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67F13" w14:textId="77777777" w:rsidR="00102470" w:rsidRDefault="00102470" w:rsidP="00102470">
      <w:pPr>
        <w:pStyle w:val="NormalWeb"/>
        <w:spacing w:before="240" w:beforeAutospacing="0" w:after="240" w:afterAutospacing="0" w:line="21" w:lineRule="atLeast"/>
        <w:jc w:val="right"/>
        <w:rPr>
          <w:rFonts w:ascii="Arial" w:hAnsi="Arial" w:cs="Arial"/>
          <w:b/>
          <w:bCs/>
          <w:sz w:val="22"/>
          <w:szCs w:val="22"/>
        </w:rPr>
      </w:pPr>
      <w:r>
        <w:rPr>
          <w:rFonts w:ascii="Arial" w:hAnsi="Arial" w:cs="Arial"/>
          <w:b/>
          <w:bCs/>
          <w:sz w:val="22"/>
          <w:szCs w:val="22"/>
        </w:rPr>
        <w:t>SUSTAINABLE APPROACHES TO FOOD WASTE MANAGEMENT IN QUALITY CONTROL LABORATORIES: INNOVATIONS IN BIOREACTOR APPLICATIONS</w:t>
      </w:r>
    </w:p>
    <w:p w14:paraId="3AA02AA5" w14:textId="77777777" w:rsidR="00350075" w:rsidRDefault="00350075" w:rsidP="00102470">
      <w:pPr>
        <w:pStyle w:val="NormalWeb"/>
        <w:spacing w:before="240" w:beforeAutospacing="0" w:after="240" w:afterAutospacing="0" w:line="21" w:lineRule="atLeast"/>
        <w:jc w:val="right"/>
        <w:rPr>
          <w:rFonts w:ascii="Arial" w:hAnsi="Arial" w:cs="Arial"/>
          <w:b/>
          <w:bCs/>
          <w:sz w:val="22"/>
          <w:szCs w:val="22"/>
        </w:rPr>
      </w:pPr>
    </w:p>
    <w:p w14:paraId="0010BC79" w14:textId="77777777" w:rsidR="00102470" w:rsidRDefault="00102470" w:rsidP="00102470">
      <w:pPr>
        <w:spacing w:after="0" w:line="240" w:lineRule="auto"/>
        <w:jc w:val="both"/>
        <w:rPr>
          <w:rFonts w:ascii="Arial" w:hAnsi="Arial" w:cs="Arial"/>
        </w:rPr>
      </w:pPr>
    </w:p>
    <w:p w14:paraId="1D1B22B6" w14:textId="77777777" w:rsidR="00102470" w:rsidRDefault="00102470" w:rsidP="00102470">
      <w:pPr>
        <w:spacing w:after="0" w:line="240" w:lineRule="auto"/>
        <w:jc w:val="both"/>
        <w:rPr>
          <w:rFonts w:ascii="Arial" w:hAnsi="Arial" w:cs="Arial"/>
          <w:b/>
          <w:bCs/>
        </w:rPr>
      </w:pPr>
    </w:p>
    <w:p w14:paraId="350F4ECD" w14:textId="77777777" w:rsidR="00102470" w:rsidRDefault="00102470" w:rsidP="00102470">
      <w:pPr>
        <w:spacing w:after="0" w:line="240" w:lineRule="auto"/>
        <w:jc w:val="both"/>
        <w:rPr>
          <w:rFonts w:ascii="Arial" w:hAnsi="Arial" w:cs="Arial"/>
          <w:b/>
          <w:bCs/>
        </w:rPr>
      </w:pPr>
      <w:r>
        <w:rPr>
          <w:rFonts w:ascii="Arial" w:hAnsi="Arial" w:cs="Arial"/>
          <w:noProof/>
        </w:rPr>
        <mc:AlternateContent>
          <mc:Choice Requires="wps">
            <w:drawing>
              <wp:inline distT="0" distB="0" distL="0" distR="0" wp14:anchorId="12FBBBE7" wp14:editId="5E643ED2">
                <wp:extent cx="5303520" cy="635"/>
                <wp:effectExtent l="0" t="0" r="0" b="0"/>
                <wp:docPr id="92764867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2C6255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BYn0t/rAEAAD8DAAAOAAAAAAAAAAAAAAAAAC4CAABkcnMvZTJvRG9jLnhtbFBLAQItABQABgAI&#10;AAAAIQBJyNK31gAAAAIBAAAPAAAAAAAAAAAAAAAAAAYEAABkcnMvZG93bnJldi54bWxQSwUGAAAA&#10;AAQABADzAAAACQUAAAAA&#10;" strokeweight="1.5pt">
                <w10:anchorlock/>
              </v:shape>
            </w:pict>
          </mc:Fallback>
        </mc:AlternateContent>
      </w:r>
    </w:p>
    <w:p w14:paraId="274ED5CE" w14:textId="77777777" w:rsidR="00102470" w:rsidRDefault="00102470" w:rsidP="00102470">
      <w:pPr>
        <w:spacing w:after="0" w:line="240" w:lineRule="auto"/>
        <w:jc w:val="both"/>
        <w:rPr>
          <w:rFonts w:ascii="Arial" w:hAnsi="Arial" w:cs="Arial"/>
          <w:b/>
          <w:bCs/>
        </w:rPr>
      </w:pPr>
    </w:p>
    <w:p w14:paraId="166D16AE" w14:textId="77777777" w:rsidR="00102470" w:rsidRDefault="00102470" w:rsidP="00102470">
      <w:pPr>
        <w:spacing w:after="0" w:line="240" w:lineRule="auto"/>
        <w:rPr>
          <w:rFonts w:ascii="Arial" w:hAnsi="Arial" w:cs="Arial"/>
          <w:b/>
          <w:bCs/>
        </w:rPr>
      </w:pPr>
      <w:r>
        <w:rPr>
          <w:rFonts w:ascii="Arial" w:hAnsi="Arial" w:cs="Arial"/>
          <w:b/>
          <w:bCs/>
        </w:rPr>
        <w:t>ABSTRACT</w:t>
      </w:r>
    </w:p>
    <w:p w14:paraId="720BD8B1" w14:textId="77777777" w:rsidR="00102470" w:rsidRDefault="00102470" w:rsidP="00102470">
      <w:pPr>
        <w:spacing w:after="0" w:line="240" w:lineRule="auto"/>
        <w:jc w:val="both"/>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88"/>
      </w:tblGrid>
      <w:tr w:rsidR="00102470" w14:paraId="70593D4A" w14:textId="77777777" w:rsidTr="00281E45">
        <w:tc>
          <w:tcPr>
            <w:tcW w:w="8190" w:type="dxa"/>
            <w:shd w:val="clear" w:color="auto" w:fill="F2F2F2"/>
          </w:tcPr>
          <w:p w14:paraId="4B84E314" w14:textId="77777777" w:rsidR="00102470" w:rsidRDefault="00102470" w:rsidP="00281E45">
            <w:pPr>
              <w:spacing w:after="0" w:line="240" w:lineRule="auto"/>
              <w:jc w:val="both"/>
              <w:rPr>
                <w:rFonts w:ascii="Arial" w:hAnsi="Arial" w:cs="Arial"/>
              </w:rPr>
            </w:pPr>
            <w:r>
              <w:rPr>
                <w:rFonts w:ascii="Arial" w:hAnsi="Arial" w:cs="Arial"/>
                <w:b/>
                <w:bCs/>
              </w:rPr>
              <w:t xml:space="preserve">Objective: </w:t>
            </w:r>
            <w:r>
              <w:rPr>
                <w:rFonts w:ascii="Arial" w:eastAsia="SimSun" w:hAnsi="Arial" w:cs="Arial"/>
              </w:rPr>
              <w:t>This study investigates the application of bioreactor technology for sustainable waste management in food testing laboratories. This research explores how organic lab waste can be converted into bioenergy and reusable materials by analyzing different bioreactor configurations, including anaerobic digesters and microbial fuel cells.</w:t>
            </w:r>
          </w:p>
          <w:p w14:paraId="44085BF2" w14:textId="77777777" w:rsidR="00102470" w:rsidRDefault="00102470" w:rsidP="00281E45">
            <w:pPr>
              <w:spacing w:after="0" w:line="240" w:lineRule="auto"/>
              <w:jc w:val="both"/>
              <w:rPr>
                <w:rFonts w:ascii="Arial" w:hAnsi="Arial" w:cs="Arial"/>
              </w:rPr>
            </w:pPr>
            <w:r>
              <w:rPr>
                <w:rFonts w:ascii="Arial" w:hAnsi="Arial" w:cs="Arial"/>
                <w:b/>
                <w:bCs/>
              </w:rPr>
              <w:t>Study Design:</w:t>
            </w:r>
            <w:r>
              <w:rPr>
                <w:rFonts w:ascii="Arial" w:hAnsi="Arial" w:cs="Arial"/>
              </w:rPr>
              <w:t xml:space="preserve"> A detailed review of existing literature, case studies, and industry reports between 2018 and 2025 to assess the recent trends and impact in the adoption </w:t>
            </w:r>
            <w:proofErr w:type="gramStart"/>
            <w:r>
              <w:rPr>
                <w:rFonts w:ascii="Arial" w:hAnsi="Arial" w:cs="Arial"/>
              </w:rPr>
              <w:t>of  bioreactors</w:t>
            </w:r>
            <w:proofErr w:type="gramEnd"/>
            <w:r>
              <w:rPr>
                <w:rFonts w:ascii="Arial" w:hAnsi="Arial" w:cs="Arial"/>
              </w:rPr>
              <w:t xml:space="preserve"> systems..</w:t>
            </w:r>
          </w:p>
          <w:p w14:paraId="0FBC190D" w14:textId="77777777" w:rsidR="00102470" w:rsidRDefault="00102470" w:rsidP="00281E45">
            <w:pPr>
              <w:spacing w:after="0" w:line="240" w:lineRule="auto"/>
              <w:jc w:val="both"/>
              <w:rPr>
                <w:rFonts w:ascii="Arial" w:hAnsi="Arial" w:cs="Arial"/>
              </w:rPr>
            </w:pPr>
            <w:r>
              <w:rPr>
                <w:rFonts w:ascii="Arial" w:hAnsi="Arial" w:cs="Arial"/>
                <w:b/>
                <w:bCs/>
              </w:rPr>
              <w:t>Methodology:</w:t>
            </w:r>
            <w:r>
              <w:rPr>
                <w:rFonts w:ascii="Arial" w:hAnsi="Arial" w:cs="Arial"/>
              </w:rPr>
              <w:t xml:space="preserve"> The research draws from peer-reviewed journal articles, government reports, and Food industry analyses. It follows a qualitative review approach, including data visualization to highlight the need, use and impact </w:t>
            </w:r>
            <w:proofErr w:type="gramStart"/>
            <w:r>
              <w:rPr>
                <w:rFonts w:ascii="Arial" w:hAnsi="Arial" w:cs="Arial"/>
              </w:rPr>
              <w:t>of  sustainable</w:t>
            </w:r>
            <w:proofErr w:type="gramEnd"/>
            <w:r>
              <w:rPr>
                <w:rFonts w:ascii="Arial" w:hAnsi="Arial" w:cs="Arial"/>
              </w:rPr>
              <w:t xml:space="preserve"> systems such as bioreactors.</w:t>
            </w:r>
          </w:p>
          <w:p w14:paraId="3E19BBCC" w14:textId="77777777" w:rsidR="00102470" w:rsidRDefault="00102470" w:rsidP="00281E45">
            <w:pPr>
              <w:spacing w:after="0" w:line="240" w:lineRule="auto"/>
              <w:jc w:val="both"/>
              <w:rPr>
                <w:rFonts w:ascii="Arial" w:hAnsi="Arial" w:cs="Arial"/>
              </w:rPr>
            </w:pPr>
            <w:r>
              <w:rPr>
                <w:rFonts w:ascii="Arial" w:hAnsi="Arial" w:cs="Arial"/>
                <w:b/>
                <w:bCs/>
              </w:rPr>
              <w:t>Results:</w:t>
            </w:r>
            <w:r>
              <w:rPr>
                <w:rFonts w:ascii="Arial" w:hAnsi="Arial" w:cs="Arial"/>
              </w:rPr>
              <w:t xml:space="preserve"> Findings indicate that integrating bioreactors into laboratory waste management systems reduces environmental impact and offers a cost-effective solution for food safety laboratories. This research provides a framework for adopting sustainable practices in food quality assurance facilities, contributing to the circular economy and environmental conservation efforts.</w:t>
            </w:r>
          </w:p>
          <w:p w14:paraId="7C466429" w14:textId="77777777" w:rsidR="00102470" w:rsidRDefault="00102470" w:rsidP="00281E45">
            <w:pPr>
              <w:spacing w:after="0" w:line="240" w:lineRule="auto"/>
              <w:jc w:val="both"/>
              <w:rPr>
                <w:rFonts w:ascii="Arial" w:hAnsi="Arial" w:cs="Arial"/>
              </w:rPr>
            </w:pPr>
            <w:r>
              <w:rPr>
                <w:rFonts w:ascii="Arial" w:hAnsi="Arial" w:cs="Arial"/>
                <w:b/>
                <w:bCs/>
              </w:rPr>
              <w:t>Conclusions:</w:t>
            </w:r>
            <w:r>
              <w:rPr>
                <w:rFonts w:ascii="Arial" w:hAnsi="Arial" w:cs="Arial"/>
              </w:rPr>
              <w:t xml:space="preserve"> This review focuses on how different systems like anaerobic digesters, microbial fuel cells, and membrane bioreactors can convert lab-generated waste into useful products such as bioenergy, clean water, and nutrient-rich materials. Anaerobic digesters are particularly effective for handling large amounts of biodegradable waste, making them highly suitable for this purpose. The effective use </w:t>
            </w:r>
            <w:proofErr w:type="gramStart"/>
            <w:r>
              <w:rPr>
                <w:rFonts w:ascii="Arial" w:hAnsi="Arial" w:cs="Arial"/>
              </w:rPr>
              <w:t>of  these</w:t>
            </w:r>
            <w:proofErr w:type="gramEnd"/>
            <w:r>
              <w:rPr>
                <w:rFonts w:ascii="Arial" w:hAnsi="Arial" w:cs="Arial"/>
              </w:rPr>
              <w:t xml:space="preserve"> systems can significantly cut down environmental impact, lower operational expenses, and improve the sustainability of food laboratory processes. </w:t>
            </w:r>
          </w:p>
          <w:p w14:paraId="337D7E0B" w14:textId="77777777" w:rsidR="00102470" w:rsidRDefault="00102470" w:rsidP="00281E45">
            <w:pPr>
              <w:pStyle w:val="Body"/>
              <w:spacing w:after="0"/>
              <w:rPr>
                <w:rFonts w:ascii="Arial" w:eastAsia="Calibri" w:hAnsi="Arial" w:cs="Arial"/>
                <w:sz w:val="22"/>
                <w:szCs w:val="22"/>
              </w:rPr>
            </w:pPr>
            <w:r>
              <w:rPr>
                <w:rFonts w:ascii="Arial" w:hAnsi="Arial" w:cs="Arial"/>
                <w:sz w:val="22"/>
                <w:szCs w:val="22"/>
              </w:rPr>
              <w:t>.</w:t>
            </w:r>
          </w:p>
        </w:tc>
      </w:tr>
    </w:tbl>
    <w:p w14:paraId="2A914329" w14:textId="77777777" w:rsidR="00102470" w:rsidRDefault="00102470" w:rsidP="00102470">
      <w:pPr>
        <w:spacing w:after="0" w:line="240" w:lineRule="auto"/>
        <w:jc w:val="both"/>
        <w:rPr>
          <w:rFonts w:ascii="Arial" w:hAnsi="Arial" w:cs="Arial"/>
        </w:rPr>
      </w:pPr>
    </w:p>
    <w:p w14:paraId="21CA385D" w14:textId="77777777" w:rsidR="00102470" w:rsidRDefault="00102470" w:rsidP="00102470">
      <w:pPr>
        <w:spacing w:after="0" w:line="240" w:lineRule="auto"/>
        <w:jc w:val="both"/>
        <w:rPr>
          <w:rFonts w:ascii="Arial" w:hAnsi="Arial" w:cs="Arial"/>
          <w:i/>
          <w:iCs/>
        </w:rPr>
      </w:pPr>
      <w:r>
        <w:rPr>
          <w:rFonts w:ascii="Arial" w:hAnsi="Arial" w:cs="Arial"/>
          <w:b/>
          <w:bCs/>
          <w:i/>
          <w:iCs/>
        </w:rPr>
        <w:t>Keywords:</w:t>
      </w:r>
      <w:r>
        <w:rPr>
          <w:rFonts w:ascii="Arial" w:hAnsi="Arial" w:cs="Arial"/>
          <w:i/>
          <w:iCs/>
        </w:rPr>
        <w:t xml:space="preserve"> Bioreactors, Food Safety, Circular Economy, Food Wastage, Food Loss, Food Laboratory </w:t>
      </w:r>
    </w:p>
    <w:p w14:paraId="65E111AA" w14:textId="77777777" w:rsidR="00102470" w:rsidRDefault="00102470" w:rsidP="00102470">
      <w:pPr>
        <w:spacing w:after="0" w:line="240" w:lineRule="auto"/>
        <w:jc w:val="both"/>
        <w:rPr>
          <w:rFonts w:ascii="Arial" w:hAnsi="Arial" w:cs="Arial"/>
          <w:b/>
          <w:bCs/>
        </w:rPr>
      </w:pPr>
    </w:p>
    <w:p w14:paraId="066F8459" w14:textId="77777777" w:rsidR="00102470" w:rsidRDefault="00102470" w:rsidP="00102470">
      <w:pPr>
        <w:pStyle w:val="NormalWeb"/>
        <w:spacing w:beforeAutospacing="0" w:afterAutospacing="0" w:line="21" w:lineRule="atLeast"/>
        <w:rPr>
          <w:rFonts w:ascii="Arial" w:hAnsi="Arial" w:cs="Arial"/>
          <w:b/>
          <w:bCs/>
          <w:sz w:val="22"/>
          <w:szCs w:val="22"/>
        </w:rPr>
      </w:pPr>
    </w:p>
    <w:p w14:paraId="7F34F8C9" w14:textId="77777777" w:rsidR="00102470" w:rsidRDefault="00102470" w:rsidP="00102470">
      <w:pPr>
        <w:pStyle w:val="NormalWeb"/>
        <w:spacing w:beforeAutospacing="0" w:afterAutospacing="0" w:line="21" w:lineRule="atLeast"/>
        <w:rPr>
          <w:rFonts w:ascii="Arial" w:hAnsi="Arial" w:cs="Arial"/>
          <w:b/>
          <w:bCs/>
          <w:sz w:val="22"/>
          <w:szCs w:val="22"/>
        </w:rPr>
      </w:pPr>
    </w:p>
    <w:p w14:paraId="2E39288A" w14:textId="77777777" w:rsidR="00102470" w:rsidRDefault="00102470" w:rsidP="00102470">
      <w:pPr>
        <w:pStyle w:val="NormalWeb"/>
        <w:numPr>
          <w:ilvl w:val="0"/>
          <w:numId w:val="1"/>
        </w:numPr>
        <w:spacing w:beforeAutospacing="0" w:afterAutospacing="0" w:line="21" w:lineRule="atLeast"/>
        <w:rPr>
          <w:rFonts w:ascii="Arial" w:hAnsi="Arial" w:cs="Arial"/>
          <w:sz w:val="22"/>
          <w:szCs w:val="22"/>
        </w:rPr>
      </w:pPr>
      <w:r>
        <w:rPr>
          <w:rFonts w:ascii="Arial" w:hAnsi="Arial" w:cs="Arial"/>
          <w:b/>
          <w:bCs/>
          <w:sz w:val="22"/>
          <w:szCs w:val="22"/>
        </w:rPr>
        <w:t>INTRODUCTION</w:t>
      </w:r>
    </w:p>
    <w:p w14:paraId="61D4F0CD" w14:textId="77777777" w:rsidR="00102470" w:rsidRDefault="00102470" w:rsidP="00102470">
      <w:pPr>
        <w:rPr>
          <w:rFonts w:ascii="Arial" w:hAnsi="Arial" w:cs="Arial"/>
        </w:rPr>
      </w:pPr>
    </w:p>
    <w:p w14:paraId="4126CAEE" w14:textId="77777777" w:rsidR="00102470" w:rsidRDefault="00102470" w:rsidP="00102470">
      <w:pPr>
        <w:pStyle w:val="NormalWeb"/>
        <w:spacing w:beforeAutospacing="0" w:afterAutospacing="0" w:line="21" w:lineRule="atLeast"/>
        <w:rPr>
          <w:rFonts w:ascii="Arial" w:hAnsi="Arial" w:cs="Arial"/>
          <w:sz w:val="22"/>
          <w:szCs w:val="22"/>
        </w:rPr>
      </w:pPr>
      <w:r>
        <w:rPr>
          <w:rFonts w:ascii="Arial" w:hAnsi="Arial" w:cs="Arial"/>
          <w:sz w:val="22"/>
          <w:szCs w:val="22"/>
        </w:rPr>
        <w:t xml:space="preserve">Waste is defined as ‘abandoned materials’ that are discarded as to no longer have a </w:t>
      </w:r>
      <w:bookmarkStart w:id="0" w:name="_GoBack"/>
      <w:r>
        <w:rPr>
          <w:rFonts w:ascii="Arial" w:hAnsi="Arial" w:cs="Arial"/>
          <w:sz w:val="22"/>
          <w:szCs w:val="22"/>
        </w:rPr>
        <w:t xml:space="preserve">functional use or economic value [1]. "Food" is any item that could be raw, semi-processed, or processed that is majorly intended for the purpose of human (or any other animal) consumption. "Food" is often found with its associated counter “inedible parts,” which are/might not be suitable for utilization. [2]. </w:t>
      </w:r>
    </w:p>
    <w:p w14:paraId="0843D9DE" w14:textId="77777777" w:rsidR="00102470" w:rsidRDefault="00102470" w:rsidP="00102470">
      <w:pPr>
        <w:pStyle w:val="NormalWeb"/>
        <w:spacing w:beforeAutospacing="0" w:afterAutospacing="0" w:line="21" w:lineRule="atLeast"/>
        <w:rPr>
          <w:rFonts w:ascii="Arial" w:hAnsi="Arial" w:cs="Arial"/>
          <w:sz w:val="22"/>
          <w:szCs w:val="22"/>
        </w:rPr>
      </w:pPr>
      <w:r>
        <w:rPr>
          <w:rFonts w:ascii="Arial" w:hAnsi="Arial" w:cs="Arial"/>
          <w:sz w:val="22"/>
          <w:szCs w:val="22"/>
        </w:rPr>
        <w:t xml:space="preserve">Over time, food waste and food loss are two terms that have been used interchangeably. However, they are quite different; "food loss" refers to the unintentional loss or deterioration of quality and/or quantity of the food as a result of </w:t>
      </w:r>
      <w:r>
        <w:rPr>
          <w:rFonts w:ascii="Arial" w:hAnsi="Arial" w:cs="Arial"/>
          <w:sz w:val="22"/>
          <w:szCs w:val="22"/>
        </w:rPr>
        <w:lastRenderedPageBreak/>
        <w:t xml:space="preserve">food spills, spoilage, bruising, and other damages caused due to limitations and impediments that occur during harvesting, processing, distribution, storage, etc. [3], while "food wastage" means any food or edible parts of food that are removed, disposed of, or discarded from the food supply chain before they can be consumed. [4]. </w:t>
      </w:r>
    </w:p>
    <w:p w14:paraId="2E09BF1D" w14:textId="77777777" w:rsidR="00102470" w:rsidRDefault="00102470" w:rsidP="00102470">
      <w:pPr>
        <w:pStyle w:val="NormalWeb"/>
        <w:spacing w:beforeAutospacing="0" w:afterAutospacing="0" w:line="21" w:lineRule="atLeast"/>
        <w:rPr>
          <w:rFonts w:ascii="Arial" w:hAnsi="Arial" w:cs="Arial"/>
          <w:sz w:val="22"/>
          <w:szCs w:val="22"/>
        </w:rPr>
      </w:pPr>
    </w:p>
    <w:bookmarkEnd w:id="0"/>
    <w:p w14:paraId="46F58E7B" w14:textId="77777777" w:rsidR="00102470" w:rsidRDefault="00102470" w:rsidP="00102470">
      <w:pPr>
        <w:pStyle w:val="NormalWeb"/>
        <w:spacing w:beforeAutospacing="0" w:afterAutospacing="0" w:line="21" w:lineRule="atLeast"/>
        <w:rPr>
          <w:rFonts w:ascii="Arial" w:hAnsi="Arial" w:cs="Arial"/>
          <w:sz w:val="22"/>
          <w:szCs w:val="22"/>
        </w:rPr>
      </w:pPr>
      <w:r>
        <w:rPr>
          <w:rFonts w:ascii="Arial" w:hAnsi="Arial" w:cs="Arial"/>
          <w:sz w:val="22"/>
          <w:szCs w:val="22"/>
        </w:rPr>
        <w:t xml:space="preserve">According to the United Nations Food and Agriculture Organization, gross food waste accounts for nearly one-third of total world food production, leaving nearly 690 million people hungry worldwide. Consequently, as per reports made in the year 2014, approximately 1.3 billion metric </w:t>
      </w:r>
      <w:proofErr w:type="spellStart"/>
      <w:r>
        <w:rPr>
          <w:rFonts w:ascii="Arial" w:hAnsi="Arial" w:cs="Arial"/>
          <w:sz w:val="22"/>
          <w:szCs w:val="22"/>
        </w:rPr>
        <w:t>tonnes</w:t>
      </w:r>
      <w:proofErr w:type="spellEnd"/>
      <w:r>
        <w:rPr>
          <w:rFonts w:ascii="Arial" w:hAnsi="Arial" w:cs="Arial"/>
          <w:sz w:val="22"/>
          <w:szCs w:val="22"/>
        </w:rPr>
        <w:t xml:space="preserve"> of food were calculated to be wasted worldwide. [5]. Also, the Food and Agriculture Organization of the United Nations (FAO) and the World Health Organization (WHO) estimate that each year about 600 million, almost 1 in 10, people worldwide become ill after eating contaminated food, and 420,000 of them die [6]. This high food wastage and food safety hazards recorded highlight the need for sustainable approaches to food waste management and food quality control. </w:t>
      </w:r>
    </w:p>
    <w:p w14:paraId="5567E172" w14:textId="77777777" w:rsidR="00102470" w:rsidRDefault="00102470" w:rsidP="00102470">
      <w:pPr>
        <w:rPr>
          <w:rFonts w:ascii="Arial" w:hAnsi="Arial" w:cs="Arial"/>
        </w:rPr>
      </w:pPr>
    </w:p>
    <w:p w14:paraId="0D40A750" w14:textId="77777777" w:rsidR="00102470" w:rsidRDefault="00102470" w:rsidP="00102470">
      <w:pPr>
        <w:pStyle w:val="NormalWeb"/>
        <w:spacing w:beforeAutospacing="0" w:afterAutospacing="0" w:line="21" w:lineRule="atLeast"/>
        <w:rPr>
          <w:rFonts w:ascii="Arial" w:hAnsi="Arial" w:cs="Arial"/>
          <w:sz w:val="22"/>
          <w:szCs w:val="22"/>
        </w:rPr>
      </w:pPr>
      <w:r>
        <w:rPr>
          <w:rFonts w:ascii="Arial" w:hAnsi="Arial" w:cs="Arial"/>
          <w:sz w:val="22"/>
          <w:szCs w:val="22"/>
          <w:shd w:val="clear" w:color="auto" w:fill="FFFFFF"/>
        </w:rPr>
        <w:t>Circular economy approaches have been gaining attention as a solution to the problem of food waste in recent years. These approaches offer a way to address the problem of food waste by emphasizing the reuse and recycling of materials and resources. One can discover innovative methods for reducing food waste and losses by adopting circular approaches, such as reusing and recovering resources rather than devaluing them. For instance, food waste can be composted, repurposed as animal feed, utilized for energy recovery, converted into biofuels, and even used to produce biomaterials. [7]. </w:t>
      </w:r>
    </w:p>
    <w:p w14:paraId="045F53D3" w14:textId="77777777" w:rsidR="00102470" w:rsidRDefault="00102470" w:rsidP="00102470">
      <w:pPr>
        <w:pStyle w:val="NormalWeb"/>
        <w:spacing w:beforeAutospacing="0" w:afterAutospacing="0" w:line="21" w:lineRule="atLeast"/>
        <w:rPr>
          <w:rFonts w:ascii="Arial" w:hAnsi="Arial" w:cs="Arial"/>
          <w:sz w:val="22"/>
          <w:szCs w:val="22"/>
          <w:shd w:val="clear" w:color="auto" w:fill="FFFFFF"/>
        </w:rPr>
      </w:pPr>
    </w:p>
    <w:p w14:paraId="581F7C20" w14:textId="77777777" w:rsidR="00102470" w:rsidRDefault="00102470" w:rsidP="00102470">
      <w:pPr>
        <w:pStyle w:val="NormalWeb"/>
        <w:spacing w:beforeAutospacing="0" w:afterAutospacing="0" w:line="21" w:lineRule="atLeast"/>
        <w:rPr>
          <w:rFonts w:ascii="Arial" w:hAnsi="Arial" w:cs="Arial"/>
          <w:sz w:val="22"/>
          <w:szCs w:val="22"/>
        </w:rPr>
      </w:pPr>
      <w:r>
        <w:rPr>
          <w:rFonts w:ascii="Arial" w:hAnsi="Arial" w:cs="Arial"/>
          <w:sz w:val="22"/>
          <w:szCs w:val="22"/>
          <w:shd w:val="clear" w:color="auto" w:fill="FFFFFF"/>
        </w:rPr>
        <w:t>Bioreactor technology presents a promising solution for the sustainable management of laboratory waste. They play a key role in managing waste and recovering resources, which in practicality is the concept of a circular economy. This means they help in making sure that materials are reused and recycled rather than being thrown away, reducing waste and making the most out of these resources. Bioreactors can significantly reduce the environmental footprint of food testing laboratories. Implementing eco-friendly technologies such as this will not only tackle pollution but also contribute to the generation of renewable energy and valuable byproducts, thereby supporting the transition towards more sustainable and resilient food systems. A recently conducted study highlights the use of a laboratory-scale anaerobic filter to treat wastewater from fish markets. The anaerobic filter achieved significant removal efficiencies, including up to 85% nitrate removal and 82% chemical oxygen demand (COD) reduction, demonstrating its potential for managing organic waste in food-related laboratories. [8]. Another notable case study was a small-scale study that tested using both traditional wastewater treatment methods and a membrane bioreactor system to clean wastewater from a food and beverage company. The results showed that the system was very good at removing organic pollutants from the water. This suggests that using bioreactors can greatly improve how we clean wastewater in food quality control laboratories. [10]. </w:t>
      </w:r>
    </w:p>
    <w:p w14:paraId="4AE9B37D" w14:textId="77777777" w:rsidR="00102470" w:rsidRDefault="00102470" w:rsidP="00102470">
      <w:pPr>
        <w:rPr>
          <w:rFonts w:ascii="Arial" w:hAnsi="Arial" w:cs="Arial"/>
        </w:rPr>
      </w:pPr>
    </w:p>
    <w:p w14:paraId="0297906A" w14:textId="77777777" w:rsidR="00102470" w:rsidRDefault="00102470" w:rsidP="00102470">
      <w:pPr>
        <w:pStyle w:val="NormalWeb"/>
        <w:spacing w:beforeAutospacing="0" w:afterAutospacing="0" w:line="21" w:lineRule="atLeast"/>
        <w:rPr>
          <w:rFonts w:ascii="Arial" w:hAnsi="Arial" w:cs="Arial"/>
          <w:sz w:val="22"/>
          <w:szCs w:val="22"/>
        </w:rPr>
      </w:pPr>
      <w:r>
        <w:rPr>
          <w:rFonts w:ascii="Arial" w:hAnsi="Arial" w:cs="Arial"/>
          <w:noProof/>
          <w:sz w:val="22"/>
          <w:szCs w:val="22"/>
          <w:shd w:val="clear" w:color="auto" w:fill="FFFFFF"/>
        </w:rPr>
        <w:lastRenderedPageBreak/>
        <w:drawing>
          <wp:inline distT="0" distB="0" distL="114300" distR="114300" wp14:anchorId="46CAD714" wp14:editId="6EA9FD78">
            <wp:extent cx="3733800" cy="3733800"/>
            <wp:effectExtent l="0" t="0" r="0" b="0"/>
            <wp:docPr id="3"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IMG_256"/>
                    <pic:cNvPicPr>
                      <a:picLocks noChangeAspect="1"/>
                    </pic:cNvPicPr>
                  </pic:nvPicPr>
                  <pic:blipFill>
                    <a:blip r:embed="rId7"/>
                    <a:stretch>
                      <a:fillRect/>
                    </a:stretch>
                  </pic:blipFill>
                  <pic:spPr>
                    <a:xfrm>
                      <a:off x="0" y="0"/>
                      <a:ext cx="3733800" cy="3733800"/>
                    </a:xfrm>
                    <a:prstGeom prst="rect">
                      <a:avLst/>
                    </a:prstGeom>
                    <a:noFill/>
                    <a:ln w="9525">
                      <a:noFill/>
                    </a:ln>
                  </pic:spPr>
                </pic:pic>
              </a:graphicData>
            </a:graphic>
          </wp:inline>
        </w:drawing>
      </w:r>
    </w:p>
    <w:p w14:paraId="0B8BE95C" w14:textId="77777777" w:rsidR="00102470" w:rsidRDefault="00102470" w:rsidP="00102470">
      <w:pPr>
        <w:pStyle w:val="NormalWeb"/>
        <w:spacing w:beforeAutospacing="0" w:afterAutospacing="0" w:line="21" w:lineRule="atLeast"/>
        <w:rPr>
          <w:rFonts w:ascii="Arial" w:hAnsi="Arial" w:cs="Arial"/>
          <w:sz w:val="22"/>
          <w:szCs w:val="22"/>
        </w:rPr>
      </w:pPr>
      <w:r>
        <w:rPr>
          <w:rFonts w:ascii="Arial" w:hAnsi="Arial" w:cs="Arial"/>
          <w:b/>
          <w:bCs/>
          <w:sz w:val="22"/>
          <w:szCs w:val="22"/>
          <w:shd w:val="clear" w:color="auto" w:fill="FFFFFF"/>
        </w:rPr>
        <w:t>Fig 1: Sustainable Food Management System [7]</w:t>
      </w:r>
    </w:p>
    <w:p w14:paraId="11842068" w14:textId="77777777" w:rsidR="00102470" w:rsidRDefault="00102470" w:rsidP="00102470">
      <w:pPr>
        <w:rPr>
          <w:rFonts w:ascii="Arial" w:hAnsi="Arial" w:cs="Arial"/>
        </w:rPr>
      </w:pPr>
    </w:p>
    <w:p w14:paraId="14DBDFCF" w14:textId="77777777" w:rsidR="00102470" w:rsidRDefault="00102470" w:rsidP="00102470">
      <w:pPr>
        <w:pStyle w:val="NormalWeb"/>
        <w:spacing w:beforeAutospacing="0" w:afterAutospacing="0" w:line="21" w:lineRule="atLeast"/>
        <w:rPr>
          <w:rFonts w:ascii="Arial" w:hAnsi="Arial" w:cs="Arial"/>
          <w:sz w:val="22"/>
          <w:szCs w:val="22"/>
        </w:rPr>
      </w:pPr>
      <w:r>
        <w:rPr>
          <w:rFonts w:ascii="Arial" w:hAnsi="Arial" w:cs="Arial"/>
          <w:noProof/>
          <w:sz w:val="22"/>
          <w:szCs w:val="22"/>
          <w:shd w:val="clear" w:color="auto" w:fill="FFFFFF"/>
        </w:rPr>
        <w:drawing>
          <wp:inline distT="0" distB="0" distL="114300" distR="114300" wp14:anchorId="0A6DD151" wp14:editId="3203D97B">
            <wp:extent cx="4200525" cy="3619500"/>
            <wp:effectExtent l="0" t="0" r="9525" b="0"/>
            <wp:docPr id="6" name="Picture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G_256"/>
                    <pic:cNvPicPr>
                      <a:picLocks noChangeAspect="1"/>
                    </pic:cNvPicPr>
                  </pic:nvPicPr>
                  <pic:blipFill>
                    <a:blip r:embed="rId8"/>
                    <a:stretch>
                      <a:fillRect/>
                    </a:stretch>
                  </pic:blipFill>
                  <pic:spPr>
                    <a:xfrm>
                      <a:off x="0" y="0"/>
                      <a:ext cx="4200525" cy="3619500"/>
                    </a:xfrm>
                    <a:prstGeom prst="rect">
                      <a:avLst/>
                    </a:prstGeom>
                    <a:noFill/>
                    <a:ln w="9525">
                      <a:noFill/>
                    </a:ln>
                  </pic:spPr>
                </pic:pic>
              </a:graphicData>
            </a:graphic>
          </wp:inline>
        </w:drawing>
      </w:r>
    </w:p>
    <w:p w14:paraId="5225CEF8" w14:textId="77777777" w:rsidR="00102470" w:rsidRDefault="00102470" w:rsidP="00102470">
      <w:pPr>
        <w:pStyle w:val="NormalWeb"/>
        <w:spacing w:beforeAutospacing="0" w:afterAutospacing="0" w:line="21" w:lineRule="atLeast"/>
        <w:rPr>
          <w:rFonts w:ascii="Arial" w:hAnsi="Arial" w:cs="Arial"/>
          <w:sz w:val="22"/>
          <w:szCs w:val="22"/>
        </w:rPr>
      </w:pPr>
      <w:r>
        <w:rPr>
          <w:rFonts w:ascii="Arial" w:hAnsi="Arial" w:cs="Arial"/>
          <w:b/>
          <w:bCs/>
          <w:sz w:val="22"/>
          <w:szCs w:val="22"/>
          <w:shd w:val="clear" w:color="auto" w:fill="FFFFFF"/>
        </w:rPr>
        <w:t>Fig 2: Areas circular economy can be implemented in the food system [9]</w:t>
      </w:r>
    </w:p>
    <w:p w14:paraId="0F81DC39" w14:textId="77777777" w:rsidR="00102470" w:rsidRDefault="00102470" w:rsidP="00102470">
      <w:pPr>
        <w:spacing w:after="240"/>
        <w:rPr>
          <w:rFonts w:ascii="Arial" w:hAnsi="Arial" w:cs="Arial"/>
        </w:rPr>
      </w:pPr>
    </w:p>
    <w:p w14:paraId="03EA2385" w14:textId="77777777" w:rsidR="00102470" w:rsidRDefault="00102470" w:rsidP="00102470">
      <w:pPr>
        <w:pStyle w:val="NormalWeb"/>
        <w:spacing w:beforeAutospacing="0" w:afterAutospacing="0" w:line="21" w:lineRule="atLeast"/>
        <w:rPr>
          <w:rFonts w:ascii="Arial" w:hAnsi="Arial" w:cs="Arial"/>
          <w:b/>
          <w:bCs/>
          <w:sz w:val="22"/>
          <w:szCs w:val="22"/>
          <w:shd w:val="clear" w:color="auto" w:fill="FFFFFF"/>
        </w:rPr>
      </w:pPr>
    </w:p>
    <w:p w14:paraId="48614A42" w14:textId="77777777" w:rsidR="00102470" w:rsidRDefault="00102470" w:rsidP="00102470">
      <w:pPr>
        <w:pStyle w:val="NormalWeb"/>
        <w:spacing w:beforeAutospacing="0" w:afterAutospacing="0" w:line="21" w:lineRule="atLeast"/>
        <w:rPr>
          <w:rFonts w:ascii="Arial" w:hAnsi="Arial" w:cs="Arial"/>
          <w:b/>
          <w:bCs/>
          <w:sz w:val="22"/>
          <w:szCs w:val="22"/>
          <w:shd w:val="clear" w:color="auto" w:fill="FFFFFF"/>
        </w:rPr>
      </w:pPr>
    </w:p>
    <w:p w14:paraId="576A8E82" w14:textId="77777777" w:rsidR="00102470" w:rsidRDefault="00102470" w:rsidP="00102470">
      <w:pPr>
        <w:pStyle w:val="NormalWeb"/>
        <w:spacing w:beforeAutospacing="0" w:afterAutospacing="0" w:line="21" w:lineRule="atLeast"/>
        <w:rPr>
          <w:rFonts w:ascii="Arial" w:hAnsi="Arial" w:cs="Arial"/>
          <w:b/>
          <w:bCs/>
          <w:sz w:val="22"/>
          <w:szCs w:val="22"/>
          <w:shd w:val="clear" w:color="auto" w:fill="FFFFFF"/>
        </w:rPr>
      </w:pPr>
    </w:p>
    <w:p w14:paraId="2DE9E479" w14:textId="77777777" w:rsidR="00102470" w:rsidRDefault="00102470" w:rsidP="00102470">
      <w:pPr>
        <w:pStyle w:val="NormalWeb"/>
        <w:spacing w:beforeAutospacing="0" w:afterAutospacing="0" w:line="21" w:lineRule="atLeast"/>
        <w:rPr>
          <w:rFonts w:ascii="Arial" w:hAnsi="Arial" w:cs="Arial"/>
          <w:b/>
          <w:bCs/>
          <w:sz w:val="22"/>
          <w:szCs w:val="22"/>
          <w:shd w:val="clear" w:color="auto" w:fill="FFFFFF"/>
        </w:rPr>
      </w:pPr>
    </w:p>
    <w:p w14:paraId="00EEC83C" w14:textId="77777777" w:rsidR="00102470" w:rsidRDefault="00102470" w:rsidP="00102470">
      <w:pPr>
        <w:pStyle w:val="NormalWeb"/>
        <w:numPr>
          <w:ilvl w:val="0"/>
          <w:numId w:val="2"/>
        </w:numPr>
        <w:spacing w:beforeAutospacing="0" w:afterAutospacing="0" w:line="21" w:lineRule="atLeast"/>
        <w:rPr>
          <w:rFonts w:ascii="Arial" w:hAnsi="Arial" w:cs="Arial"/>
          <w:sz w:val="22"/>
          <w:szCs w:val="22"/>
        </w:rPr>
      </w:pPr>
      <w:r>
        <w:rPr>
          <w:rFonts w:ascii="Arial" w:hAnsi="Arial" w:cs="Arial"/>
          <w:b/>
          <w:bCs/>
          <w:sz w:val="22"/>
          <w:szCs w:val="22"/>
          <w:shd w:val="clear" w:color="auto" w:fill="FFFFFF"/>
        </w:rPr>
        <w:t>METHODOLOGY</w:t>
      </w:r>
    </w:p>
    <w:p w14:paraId="638443D7" w14:textId="77777777" w:rsidR="00102470" w:rsidRDefault="00102470" w:rsidP="00102470">
      <w:pPr>
        <w:rPr>
          <w:rFonts w:ascii="Arial" w:hAnsi="Arial" w:cs="Arial"/>
        </w:rPr>
      </w:pPr>
    </w:p>
    <w:p w14:paraId="642B8917" w14:textId="77777777" w:rsidR="00102470" w:rsidRDefault="00102470" w:rsidP="00102470">
      <w:pPr>
        <w:pStyle w:val="NormalWeb"/>
        <w:spacing w:before="240" w:beforeAutospacing="0" w:after="240" w:afterAutospacing="0" w:line="21" w:lineRule="atLeast"/>
        <w:rPr>
          <w:rFonts w:ascii="Arial" w:hAnsi="Arial" w:cs="Arial"/>
          <w:sz w:val="22"/>
          <w:szCs w:val="22"/>
        </w:rPr>
      </w:pPr>
      <w:r>
        <w:rPr>
          <w:rFonts w:ascii="Arial" w:hAnsi="Arial" w:cs="Arial"/>
          <w:sz w:val="22"/>
          <w:szCs w:val="22"/>
          <w:shd w:val="clear" w:color="auto" w:fill="FFFFFF"/>
        </w:rPr>
        <w:t>This research employs a systematic literature review approach to explore the application of bioreactor technologies as sustainable waste management solutions in food quality control laboratories. The objective of this study is to explore sustainable approaches to Food waste management, such as bioreactor technology and how it can help manage waste created by food quality control laboratories. The research checks how different bioreactor setups perform to create a plan for using good waste management in these labs. practice.</w:t>
      </w:r>
    </w:p>
    <w:p w14:paraId="75371191" w14:textId="77777777" w:rsidR="00102470" w:rsidRDefault="00102470" w:rsidP="00102470">
      <w:pPr>
        <w:pStyle w:val="NormalWeb"/>
        <w:spacing w:before="240" w:beforeAutospacing="0" w:after="240" w:afterAutospacing="0" w:line="21" w:lineRule="atLeast"/>
        <w:rPr>
          <w:rFonts w:ascii="Arial" w:hAnsi="Arial" w:cs="Arial"/>
          <w:sz w:val="22"/>
          <w:szCs w:val="22"/>
        </w:rPr>
      </w:pPr>
      <w:r>
        <w:rPr>
          <w:rFonts w:ascii="Arial" w:hAnsi="Arial" w:cs="Arial"/>
          <w:sz w:val="22"/>
          <w:szCs w:val="22"/>
        </w:rPr>
        <w:t xml:space="preserve">An extensive search of a variety of academic databases was carried out. The following digital repositories, including ScienceDirect, PubMed, SpringerLink, IEEE Xplore, Scopus, Web of Science, Google Scholar, and Wiley Online Library, were searched. The purpose was to find peer-reviewed articles, reports, and white papers from the years 2018 to 2025. This effort aimed to collect the latest information on the use of bioreactors in both laboratories and the food industry. To guide the search, different combinations of search terms were used along with operators like AND </w:t>
      </w:r>
      <w:proofErr w:type="spellStart"/>
      <w:r>
        <w:rPr>
          <w:rFonts w:ascii="Arial" w:hAnsi="Arial" w:cs="Arial"/>
          <w:sz w:val="22"/>
          <w:szCs w:val="22"/>
        </w:rPr>
        <w:t>and</w:t>
      </w:r>
      <w:proofErr w:type="spellEnd"/>
      <w:r>
        <w:rPr>
          <w:rFonts w:ascii="Arial" w:hAnsi="Arial" w:cs="Arial"/>
          <w:sz w:val="22"/>
          <w:szCs w:val="22"/>
        </w:rPr>
        <w:t xml:space="preserve"> OR. Some of these terms were “bioreactor AND laboratory waste.”  “food quality control lab AND waste management,” “anaerobic digestion AND food testing </w:t>
      </w:r>
      <w:proofErr w:type="gramStart"/>
      <w:r>
        <w:rPr>
          <w:rFonts w:ascii="Arial" w:hAnsi="Arial" w:cs="Arial"/>
          <w:sz w:val="22"/>
          <w:szCs w:val="22"/>
        </w:rPr>
        <w:t>labs”  “</w:t>
      </w:r>
      <w:proofErr w:type="gramEnd"/>
      <w:r>
        <w:rPr>
          <w:rFonts w:ascii="Arial" w:hAnsi="Arial" w:cs="Arial"/>
          <w:sz w:val="22"/>
          <w:szCs w:val="22"/>
        </w:rPr>
        <w:t>microbial fuel cells AND organic waste reuse,” “circular economy AND laboratory sustainability,”  “bioenergy recovery AND bioreactor,” and “biohazard waste treatment AND food safety labs.” Specific filters were used to focus only on full-text articles written in English. </w:t>
      </w:r>
    </w:p>
    <w:p w14:paraId="5CA9DC30" w14:textId="77777777" w:rsidR="00102470" w:rsidRDefault="00102470" w:rsidP="00102470">
      <w:pPr>
        <w:pStyle w:val="NormalWeb"/>
        <w:spacing w:before="240" w:beforeAutospacing="0" w:after="240" w:afterAutospacing="0" w:line="21" w:lineRule="atLeast"/>
        <w:rPr>
          <w:rFonts w:ascii="Arial" w:hAnsi="Arial" w:cs="Arial"/>
          <w:sz w:val="22"/>
          <w:szCs w:val="22"/>
        </w:rPr>
      </w:pPr>
      <w:r>
        <w:rPr>
          <w:rFonts w:ascii="Arial" w:hAnsi="Arial" w:cs="Arial"/>
          <w:sz w:val="22"/>
          <w:szCs w:val="22"/>
        </w:rPr>
        <w:t xml:space="preserve">To ensure relevance and quality, the following inclusion criteria were applied: Only articles focusing on bioreactor technologies (anaerobic digesters, microbial fuel cells, composting systems) applied to organic, laboratory, or food-related waste; studies on circular economy and the implications of bioreactor usage in food or laboratory contexts; real-life case studies in food safety labs, universities, and quality assurance facilities. Excluded were articles published before 2018 and studies not involving any form of organic or bio-waste reuse </w:t>
      </w:r>
      <w:proofErr w:type="gramStart"/>
      <w:r>
        <w:rPr>
          <w:rFonts w:ascii="Arial" w:hAnsi="Arial" w:cs="Arial"/>
          <w:sz w:val="22"/>
          <w:szCs w:val="22"/>
        </w:rPr>
        <w:t>and  non</w:t>
      </w:r>
      <w:proofErr w:type="gramEnd"/>
      <w:r>
        <w:rPr>
          <w:rFonts w:ascii="Arial" w:hAnsi="Arial" w:cs="Arial"/>
          <w:sz w:val="22"/>
          <w:szCs w:val="22"/>
        </w:rPr>
        <w:t>-peer-reviewed content such as blog posts and opinion pieces.</w:t>
      </w:r>
    </w:p>
    <w:p w14:paraId="7B7108A8" w14:textId="77777777" w:rsidR="00102470" w:rsidRDefault="00102470" w:rsidP="00102470">
      <w:pPr>
        <w:pStyle w:val="NormalWeb"/>
        <w:spacing w:before="240" w:beforeAutospacing="0" w:after="240" w:afterAutospacing="0" w:line="21" w:lineRule="atLeast"/>
        <w:rPr>
          <w:rFonts w:ascii="Arial" w:hAnsi="Arial" w:cs="Arial"/>
          <w:sz w:val="22"/>
          <w:szCs w:val="22"/>
        </w:rPr>
      </w:pPr>
      <w:r>
        <w:rPr>
          <w:rFonts w:ascii="Arial" w:hAnsi="Arial" w:cs="Arial"/>
          <w:sz w:val="22"/>
          <w:szCs w:val="22"/>
        </w:rPr>
        <w:t>A shortlist of 50 papers for full-text review was done, duplicates were removed, titles and abstracts were screened for relevance to the topic, and then a final 25 studies having met all inclusion criteria were grouped into thematic categories: Types of Bioreactor Technology  (anaerobic digesters, MFCs, aerobic composters) Types of food waste (lab-generated waste, food processing byproducts, mixed organic waste), the output metrics (bioenergy generation, pollutant removal, nutrient recovery), and sustainability outcomes (GHG reduction, water/energy savings). </w:t>
      </w:r>
    </w:p>
    <w:p w14:paraId="3A661276" w14:textId="77777777" w:rsidR="00102470" w:rsidRDefault="00102470" w:rsidP="00102470">
      <w:pPr>
        <w:pStyle w:val="NormalWeb"/>
        <w:spacing w:before="240" w:beforeAutospacing="0" w:after="240" w:afterAutospacing="0" w:line="21" w:lineRule="atLeast"/>
        <w:rPr>
          <w:rFonts w:ascii="Arial" w:hAnsi="Arial" w:cs="Arial"/>
          <w:sz w:val="22"/>
          <w:szCs w:val="22"/>
        </w:rPr>
      </w:pPr>
      <w:r>
        <w:rPr>
          <w:rFonts w:ascii="Arial" w:hAnsi="Arial" w:cs="Arial"/>
          <w:sz w:val="22"/>
          <w:szCs w:val="22"/>
        </w:rPr>
        <w:t>It is important to note that, while the approach used ensured a rigorous and high-quality examination of the current literature, there were certain limitations to be observed, such as the reliance on only English-language sources, which may have excluded relevant research published in other languages, and the relatively low number of studies included in the final evaluation, which restricts the generalizability of the findings. Also, some of the most important studies may be paywalled or not available in publicly accessible databases. However, even then, this study remains a detailed and organized examination of sustainable approaches to food waste management in food laboratories. </w:t>
      </w:r>
    </w:p>
    <w:p w14:paraId="78DF1567" w14:textId="77777777" w:rsidR="00102470" w:rsidRDefault="00102470" w:rsidP="00102470">
      <w:pPr>
        <w:pStyle w:val="NormalWeb"/>
        <w:spacing w:before="240" w:beforeAutospacing="0" w:after="240" w:afterAutospacing="0" w:line="21" w:lineRule="atLeast"/>
        <w:rPr>
          <w:rFonts w:ascii="Arial" w:hAnsi="Arial" w:cs="Arial"/>
          <w:b/>
          <w:bCs/>
          <w:sz w:val="22"/>
          <w:szCs w:val="22"/>
        </w:rPr>
      </w:pPr>
    </w:p>
    <w:p w14:paraId="2144F6C6" w14:textId="77777777" w:rsidR="00102470" w:rsidRDefault="00102470" w:rsidP="00102470">
      <w:pPr>
        <w:pStyle w:val="NormalWeb"/>
        <w:numPr>
          <w:ilvl w:val="0"/>
          <w:numId w:val="3"/>
        </w:numPr>
        <w:spacing w:before="240" w:beforeAutospacing="0" w:after="240" w:afterAutospacing="0" w:line="21" w:lineRule="atLeast"/>
        <w:rPr>
          <w:rFonts w:ascii="Arial" w:hAnsi="Arial" w:cs="Arial"/>
          <w:sz w:val="22"/>
          <w:szCs w:val="22"/>
        </w:rPr>
      </w:pPr>
      <w:r>
        <w:rPr>
          <w:rFonts w:ascii="Arial" w:hAnsi="Arial" w:cs="Arial"/>
          <w:b/>
          <w:bCs/>
          <w:sz w:val="22"/>
          <w:szCs w:val="22"/>
        </w:rPr>
        <w:lastRenderedPageBreak/>
        <w:t>RESULTS AND DISCUSSION</w:t>
      </w:r>
    </w:p>
    <w:p w14:paraId="6DBBC233" w14:textId="77777777" w:rsidR="00102470" w:rsidRDefault="00102470" w:rsidP="00102470">
      <w:pPr>
        <w:pStyle w:val="NormalWeb"/>
        <w:spacing w:before="240" w:beforeAutospacing="0" w:after="240" w:afterAutospacing="0" w:line="21" w:lineRule="atLeast"/>
        <w:rPr>
          <w:rFonts w:ascii="Arial" w:hAnsi="Arial" w:cs="Arial"/>
          <w:sz w:val="22"/>
          <w:szCs w:val="22"/>
        </w:rPr>
      </w:pPr>
      <w:r>
        <w:rPr>
          <w:rFonts w:ascii="Arial" w:hAnsi="Arial" w:cs="Arial"/>
          <w:b/>
          <w:bCs/>
          <w:sz w:val="22"/>
          <w:szCs w:val="22"/>
        </w:rPr>
        <w:t>Types of Bioreactors and their Laboratory Waste Suitability</w:t>
      </w:r>
    </w:p>
    <w:p w14:paraId="5716082D" w14:textId="77777777" w:rsidR="00102470" w:rsidRDefault="00102470" w:rsidP="00102470">
      <w:pPr>
        <w:pStyle w:val="NormalWeb"/>
        <w:spacing w:before="240" w:beforeAutospacing="0" w:after="240" w:afterAutospacing="0" w:line="21" w:lineRule="atLeast"/>
        <w:rPr>
          <w:rFonts w:ascii="Arial" w:hAnsi="Arial" w:cs="Arial"/>
          <w:sz w:val="22"/>
          <w:szCs w:val="22"/>
        </w:rPr>
      </w:pPr>
      <w:r>
        <w:rPr>
          <w:rFonts w:ascii="Arial" w:hAnsi="Arial" w:cs="Arial"/>
          <w:sz w:val="22"/>
          <w:szCs w:val="22"/>
        </w:rPr>
        <w:t>There are three important bioreactor systems that could be very helpful for sustainable waste management in food quality control labs. These are Anaerobic Digesters (ADs), Microbial Fuel Cells (MFCs), and Membrane Bioreactors (MBRs). Each system has its own unique design, how it works, and what it produces. But when used together, they offer practical ways to manage various types of organic waste that are commonly found in labs that work on food safety.</w:t>
      </w:r>
    </w:p>
    <w:p w14:paraId="034484B0" w14:textId="77777777" w:rsidR="00102470" w:rsidRDefault="00102470" w:rsidP="00102470">
      <w:pPr>
        <w:pStyle w:val="NormalWeb"/>
        <w:spacing w:before="240" w:beforeAutospacing="0" w:after="240" w:afterAutospacing="0" w:line="21" w:lineRule="atLeast"/>
        <w:rPr>
          <w:rFonts w:ascii="Arial" w:hAnsi="Arial" w:cs="Arial"/>
          <w:sz w:val="22"/>
          <w:szCs w:val="22"/>
        </w:rPr>
      </w:pPr>
      <w:r>
        <w:rPr>
          <w:rFonts w:ascii="Arial" w:hAnsi="Arial" w:cs="Arial"/>
          <w:b/>
          <w:bCs/>
          <w:sz w:val="22"/>
          <w:szCs w:val="22"/>
        </w:rPr>
        <w:t>Anaerobic Digesters (ADs)</w:t>
      </w:r>
    </w:p>
    <w:p w14:paraId="76A2FB59" w14:textId="77777777" w:rsidR="00102470" w:rsidRDefault="00102470" w:rsidP="00102470">
      <w:pPr>
        <w:pStyle w:val="NormalWeb"/>
        <w:spacing w:before="240" w:beforeAutospacing="0" w:after="240" w:afterAutospacing="0" w:line="21" w:lineRule="atLeast"/>
        <w:rPr>
          <w:rFonts w:ascii="Arial" w:hAnsi="Arial" w:cs="Arial"/>
          <w:sz w:val="22"/>
          <w:szCs w:val="22"/>
        </w:rPr>
      </w:pPr>
      <w:r>
        <w:rPr>
          <w:rFonts w:ascii="Arial" w:hAnsi="Arial" w:cs="Arial"/>
          <w:sz w:val="22"/>
          <w:szCs w:val="22"/>
        </w:rPr>
        <w:t>Anaerobic digesters are enclosed systems designed to break down organic materials without oxygen. This process produces biogas, which mainly contains methane and carbon dioxide, and a nutrient-rich mixture called digestate. These digesters are very effective with waste that is high in carbohydrates, proteins, and fats, materials often found in leftover food and culture media used in microbiology labs. There's an interesting study from Maiti and others, where they tested an anaerobic filter reactor to treat wastewater from fish markets. This type of water is similar to what comes from food quality labs because it’s full of organic materials and microbes. The test showed that the system removed 82% of Chemical Oxygen Demand (COD) and 85% of nitrates. This demonstrates that anaerobic systems can significantly reduce pollution and also generate energy through the production of biogas. [8].</w:t>
      </w:r>
    </w:p>
    <w:p w14:paraId="65917400" w14:textId="77777777" w:rsidR="00102470" w:rsidRDefault="00102470" w:rsidP="00102470">
      <w:pPr>
        <w:pStyle w:val="NormalWeb"/>
        <w:spacing w:before="240" w:beforeAutospacing="0" w:after="240" w:afterAutospacing="0" w:line="21" w:lineRule="atLeast"/>
        <w:rPr>
          <w:rFonts w:ascii="Arial" w:hAnsi="Arial" w:cs="Arial"/>
          <w:sz w:val="22"/>
          <w:szCs w:val="22"/>
        </w:rPr>
      </w:pPr>
      <w:r>
        <w:rPr>
          <w:rFonts w:ascii="Arial" w:hAnsi="Arial" w:cs="Arial"/>
          <w:sz w:val="22"/>
          <w:szCs w:val="22"/>
        </w:rPr>
        <w:t>Anaerobic digestion happens in four steps: hydrolysis, acidogenesis, acetogenesis, and methanogenesis. These steps are very effective for treating lab waste that can naturally decompose. During this process, methane gas is produced. In small lab experiments with food-based organic waste, you can get between 0.2 and 0.35 m³ CH₄/kg VS of methane for each kilogram of waste. This process works well in lab settings where there is a lot of waste that can be turned into energy. [10].</w:t>
      </w:r>
    </w:p>
    <w:p w14:paraId="181C1FB6" w14:textId="77777777" w:rsidR="00102470" w:rsidRDefault="00102470" w:rsidP="00102470">
      <w:pPr>
        <w:pStyle w:val="NormalWeb"/>
        <w:spacing w:before="240" w:beforeAutospacing="0" w:after="240" w:afterAutospacing="0" w:line="21" w:lineRule="atLeast"/>
        <w:rPr>
          <w:rFonts w:ascii="Arial" w:hAnsi="Arial" w:cs="Arial"/>
          <w:sz w:val="22"/>
          <w:szCs w:val="22"/>
        </w:rPr>
      </w:pPr>
      <w:r>
        <w:rPr>
          <w:rFonts w:ascii="Arial" w:hAnsi="Arial" w:cs="Arial"/>
          <w:b/>
          <w:bCs/>
          <w:sz w:val="22"/>
          <w:szCs w:val="22"/>
        </w:rPr>
        <w:t>Microbial Fuel Cells (MFCs)</w:t>
      </w:r>
    </w:p>
    <w:p w14:paraId="09F93853" w14:textId="77777777" w:rsidR="00102470" w:rsidRDefault="00102470" w:rsidP="00102470">
      <w:pPr>
        <w:pStyle w:val="NormalWeb"/>
        <w:spacing w:before="240" w:beforeAutospacing="0" w:after="240" w:afterAutospacing="0" w:line="21" w:lineRule="atLeast"/>
        <w:rPr>
          <w:rFonts w:ascii="Arial" w:hAnsi="Arial" w:cs="Arial"/>
          <w:sz w:val="22"/>
          <w:szCs w:val="22"/>
        </w:rPr>
      </w:pPr>
      <w:r>
        <w:rPr>
          <w:rFonts w:ascii="Arial" w:hAnsi="Arial" w:cs="Arial"/>
          <w:sz w:val="22"/>
          <w:szCs w:val="22"/>
        </w:rPr>
        <w:t>Microbial Fuel Cells (MFCs) are a type of bioreactor system that takes advantage of certain bacteria to convert organic waste into electricity. These bacteria are naturally capable of helping chemical processes that release energy. When they break down the waste, they generate a small amount of electrical power. This process not only helps clean up waste but also produces renewable energy. MFCs are particularly beneficial for small labs that might not have access to large power networks. They provide a way to manage waste effectively while at the same time generating electricity. This makes them a dual-purpose technology that is useful in decentralized settings.</w:t>
      </w:r>
    </w:p>
    <w:p w14:paraId="38F28C43" w14:textId="77777777" w:rsidR="00102470" w:rsidRDefault="00102470" w:rsidP="00102470">
      <w:pPr>
        <w:pStyle w:val="NormalWeb"/>
        <w:spacing w:before="240" w:beforeAutospacing="0" w:after="240" w:afterAutospacing="0" w:line="21" w:lineRule="atLeast"/>
        <w:rPr>
          <w:rFonts w:ascii="Arial" w:hAnsi="Arial" w:cs="Arial"/>
          <w:sz w:val="22"/>
          <w:szCs w:val="22"/>
        </w:rPr>
      </w:pPr>
      <w:r>
        <w:rPr>
          <w:rFonts w:ascii="Arial" w:hAnsi="Arial" w:cs="Arial"/>
          <w:sz w:val="22"/>
          <w:szCs w:val="22"/>
        </w:rPr>
        <w:t xml:space="preserve">In a study led by Mohanty in 2022, the scientists experimented with microbial fuel cells (MFCs). They used synthetic wastewater made from glucose, similar to the waste found in labs with lots of organic material. The results were impressive, as the MFCs generated power up to 420 </w:t>
      </w:r>
      <w:proofErr w:type="spellStart"/>
      <w:r>
        <w:rPr>
          <w:rFonts w:ascii="Arial" w:hAnsi="Arial" w:cs="Arial"/>
          <w:sz w:val="22"/>
          <w:szCs w:val="22"/>
        </w:rPr>
        <w:t>mW</w:t>
      </w:r>
      <w:proofErr w:type="spellEnd"/>
      <w:r>
        <w:rPr>
          <w:rFonts w:ascii="Arial" w:hAnsi="Arial" w:cs="Arial"/>
          <w:sz w:val="22"/>
          <w:szCs w:val="22"/>
        </w:rPr>
        <w:t>/m². They also maintained a steady voltage ranging from 0.4 to 0.6 volts. These results are promising for food labs that frequently discard sugars, starches, and protein substrates in microbial media or spoiled food samples. [11]</w:t>
      </w:r>
    </w:p>
    <w:p w14:paraId="4BFBC473" w14:textId="77777777" w:rsidR="00102470" w:rsidRDefault="00102470" w:rsidP="00102470">
      <w:pPr>
        <w:pStyle w:val="NormalWeb"/>
        <w:spacing w:before="240" w:beforeAutospacing="0" w:after="240" w:afterAutospacing="0" w:line="21" w:lineRule="atLeast"/>
        <w:rPr>
          <w:rFonts w:ascii="Arial" w:hAnsi="Arial" w:cs="Arial"/>
          <w:sz w:val="22"/>
          <w:szCs w:val="22"/>
        </w:rPr>
      </w:pPr>
      <w:r>
        <w:rPr>
          <w:rFonts w:ascii="Arial" w:hAnsi="Arial" w:cs="Arial"/>
          <w:sz w:val="22"/>
          <w:szCs w:val="22"/>
        </w:rPr>
        <w:t xml:space="preserve">Furthermore, MFCs have shown high COD removal efficiency (60–85%), depending on the nature of the feedstock and the electrode material used [12]. Their compact design, low operating cost, and potential integration into existing wastewater </w:t>
      </w:r>
      <w:r>
        <w:rPr>
          <w:rFonts w:ascii="Arial" w:hAnsi="Arial" w:cs="Arial"/>
          <w:sz w:val="22"/>
          <w:szCs w:val="22"/>
        </w:rPr>
        <w:lastRenderedPageBreak/>
        <w:t>treatment chains make them ideal for pilot projects in lab-based waste energy recovery.</w:t>
      </w:r>
    </w:p>
    <w:p w14:paraId="14AC4F04" w14:textId="77777777" w:rsidR="00102470" w:rsidRDefault="00102470" w:rsidP="00102470">
      <w:pPr>
        <w:pStyle w:val="NormalWeb"/>
        <w:spacing w:before="240" w:beforeAutospacing="0" w:after="240" w:afterAutospacing="0" w:line="21" w:lineRule="atLeast"/>
        <w:rPr>
          <w:rFonts w:ascii="Arial" w:hAnsi="Arial" w:cs="Arial"/>
          <w:sz w:val="22"/>
          <w:szCs w:val="22"/>
        </w:rPr>
      </w:pPr>
      <w:r>
        <w:rPr>
          <w:rFonts w:ascii="Arial" w:hAnsi="Arial" w:cs="Arial"/>
          <w:b/>
          <w:bCs/>
          <w:sz w:val="22"/>
          <w:szCs w:val="22"/>
        </w:rPr>
        <w:t>Membrane Bioreactors (MBRs)</w:t>
      </w:r>
    </w:p>
    <w:p w14:paraId="315FFAC3" w14:textId="77777777" w:rsidR="00102470" w:rsidRDefault="00102470" w:rsidP="00102470">
      <w:pPr>
        <w:pStyle w:val="NormalWeb"/>
        <w:spacing w:before="240" w:beforeAutospacing="0" w:after="240" w:afterAutospacing="0" w:line="21" w:lineRule="atLeast"/>
        <w:rPr>
          <w:rFonts w:ascii="Arial" w:hAnsi="Arial" w:cs="Arial"/>
          <w:sz w:val="22"/>
          <w:szCs w:val="22"/>
        </w:rPr>
      </w:pPr>
      <w:r>
        <w:rPr>
          <w:rFonts w:ascii="Arial" w:hAnsi="Arial" w:cs="Arial"/>
          <w:sz w:val="22"/>
          <w:szCs w:val="22"/>
        </w:rPr>
        <w:t>Membrane Bioreactors (MBRs) are systems that combine two main processes: breaking down of waste with active microorganisms, known as activated sludge, and then further cleaning the water using special filters called membranes. This process results in very clean water that can either be reused or safely released into the environment. One of the benefits of MBRs is that they do not require a lot of space. They are also capable of dealing with different amounts of waste, which makes them especially useful in laboratory settings where space is limited and having dependable equipment is very important. </w:t>
      </w:r>
    </w:p>
    <w:p w14:paraId="4A23C80E" w14:textId="77777777" w:rsidR="00102470" w:rsidRDefault="00102470" w:rsidP="00102470">
      <w:pPr>
        <w:pStyle w:val="NormalWeb"/>
        <w:spacing w:before="240" w:beforeAutospacing="0" w:after="240" w:afterAutospacing="0" w:line="21" w:lineRule="atLeast"/>
        <w:rPr>
          <w:rFonts w:ascii="Arial" w:hAnsi="Arial" w:cs="Arial"/>
          <w:sz w:val="22"/>
          <w:szCs w:val="22"/>
        </w:rPr>
      </w:pPr>
      <w:r>
        <w:rPr>
          <w:rFonts w:ascii="Arial" w:hAnsi="Arial" w:cs="Arial"/>
          <w:sz w:val="22"/>
          <w:szCs w:val="22"/>
        </w:rPr>
        <w:t xml:space="preserve">A study that evaluated the treatment efficiency of a pilot-scale MBR plant in a fruit processing industry showed that the removal efficiency for COD, BOD5, total nitrogen, and total phosphorus was 97.1%, 98.7%, 95.7%, and 53.5%, respectively. It also showed of a complete removal of both total coliform and </w:t>
      </w:r>
      <w:r>
        <w:rPr>
          <w:rFonts w:ascii="Arial" w:hAnsi="Arial" w:cs="Arial"/>
          <w:i/>
          <w:iCs/>
          <w:sz w:val="22"/>
          <w:szCs w:val="22"/>
        </w:rPr>
        <w:t>E. Coli</w:t>
      </w:r>
      <w:r>
        <w:rPr>
          <w:rFonts w:ascii="Arial" w:hAnsi="Arial" w:cs="Arial"/>
          <w:sz w:val="22"/>
          <w:szCs w:val="22"/>
        </w:rPr>
        <w:t xml:space="preserve"> at the inlet and outlet of the system [13]</w:t>
      </w:r>
    </w:p>
    <w:p w14:paraId="59BEAA49" w14:textId="77777777" w:rsidR="00102470" w:rsidRDefault="00102470" w:rsidP="00102470">
      <w:pPr>
        <w:rPr>
          <w:rFonts w:ascii="Arial" w:hAnsi="Arial" w:cs="Arial"/>
        </w:rPr>
      </w:pPr>
    </w:p>
    <w:tbl>
      <w:tblPr>
        <w:tblW w:w="9360" w:type="dxa"/>
        <w:tblCellMar>
          <w:top w:w="15" w:type="dxa"/>
          <w:left w:w="15" w:type="dxa"/>
          <w:bottom w:w="15" w:type="dxa"/>
          <w:right w:w="15" w:type="dxa"/>
        </w:tblCellMar>
        <w:tblLook w:val="04A0" w:firstRow="1" w:lastRow="0" w:firstColumn="1" w:lastColumn="0" w:noHBand="0" w:noVBand="1"/>
      </w:tblPr>
      <w:tblGrid>
        <w:gridCol w:w="1562"/>
        <w:gridCol w:w="2993"/>
        <w:gridCol w:w="1548"/>
        <w:gridCol w:w="3257"/>
      </w:tblGrid>
      <w:tr w:rsidR="00102470" w14:paraId="64031E98" w14:textId="77777777" w:rsidTr="00281E45">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978D43" w14:textId="77777777" w:rsidR="00102470" w:rsidRDefault="00102470" w:rsidP="00281E45">
            <w:pPr>
              <w:pStyle w:val="NormalWeb"/>
              <w:spacing w:beforeAutospacing="0" w:afterAutospacing="0" w:line="18" w:lineRule="atLeast"/>
              <w:rPr>
                <w:rFonts w:ascii="Arial" w:hAnsi="Arial" w:cs="Arial"/>
                <w:sz w:val="22"/>
                <w:szCs w:val="22"/>
              </w:rPr>
            </w:pPr>
            <w:r>
              <w:rPr>
                <w:rFonts w:ascii="Arial" w:hAnsi="Arial" w:cs="Arial"/>
                <w:b/>
                <w:bCs/>
                <w:sz w:val="22"/>
                <w:szCs w:val="22"/>
              </w:rPr>
              <w:t>Bioreactor Type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12F58C" w14:textId="77777777" w:rsidR="00102470" w:rsidRDefault="00102470" w:rsidP="00281E45">
            <w:pPr>
              <w:pStyle w:val="NormalWeb"/>
              <w:spacing w:beforeAutospacing="0" w:afterAutospacing="0" w:line="18" w:lineRule="atLeast"/>
              <w:rPr>
                <w:rFonts w:ascii="Arial" w:hAnsi="Arial" w:cs="Arial"/>
                <w:sz w:val="22"/>
                <w:szCs w:val="22"/>
              </w:rPr>
            </w:pPr>
            <w:r>
              <w:rPr>
                <w:rFonts w:ascii="Arial" w:hAnsi="Arial" w:cs="Arial"/>
                <w:b/>
                <w:bCs/>
                <w:sz w:val="22"/>
                <w:szCs w:val="22"/>
              </w:rPr>
              <w:t>Best For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62A3CC" w14:textId="77777777" w:rsidR="00102470" w:rsidRDefault="00102470" w:rsidP="00281E45">
            <w:pPr>
              <w:pStyle w:val="NormalWeb"/>
              <w:spacing w:beforeAutospacing="0" w:afterAutospacing="0" w:line="18" w:lineRule="atLeast"/>
              <w:rPr>
                <w:rFonts w:ascii="Arial" w:hAnsi="Arial" w:cs="Arial"/>
                <w:sz w:val="22"/>
                <w:szCs w:val="22"/>
              </w:rPr>
            </w:pPr>
            <w:r>
              <w:rPr>
                <w:rFonts w:ascii="Arial" w:hAnsi="Arial" w:cs="Arial"/>
                <w:b/>
                <w:bCs/>
                <w:sz w:val="22"/>
                <w:szCs w:val="22"/>
              </w:rPr>
              <w:t>Output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32B2D2" w14:textId="77777777" w:rsidR="00102470" w:rsidRDefault="00102470" w:rsidP="00281E45">
            <w:pPr>
              <w:pStyle w:val="NormalWeb"/>
              <w:spacing w:beforeAutospacing="0" w:afterAutospacing="0" w:line="18" w:lineRule="atLeast"/>
              <w:rPr>
                <w:rFonts w:ascii="Arial" w:hAnsi="Arial" w:cs="Arial"/>
                <w:sz w:val="22"/>
                <w:szCs w:val="22"/>
              </w:rPr>
            </w:pPr>
            <w:r>
              <w:rPr>
                <w:rFonts w:ascii="Arial" w:hAnsi="Arial" w:cs="Arial"/>
                <w:b/>
                <w:bCs/>
                <w:sz w:val="22"/>
                <w:szCs w:val="22"/>
              </w:rPr>
              <w:t>Suitability for Food Labs</w:t>
            </w:r>
          </w:p>
        </w:tc>
      </w:tr>
      <w:tr w:rsidR="00102470" w14:paraId="03198BC3" w14:textId="77777777" w:rsidTr="00281E45">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B9943E" w14:textId="77777777" w:rsidR="00102470" w:rsidRDefault="00102470" w:rsidP="00281E45">
            <w:pPr>
              <w:pStyle w:val="NormalWeb"/>
              <w:spacing w:beforeAutospacing="0" w:afterAutospacing="0" w:line="18" w:lineRule="atLeast"/>
              <w:rPr>
                <w:rFonts w:ascii="Arial" w:hAnsi="Arial" w:cs="Arial"/>
                <w:sz w:val="22"/>
                <w:szCs w:val="22"/>
              </w:rPr>
            </w:pPr>
            <w:r>
              <w:rPr>
                <w:rFonts w:ascii="Arial" w:hAnsi="Arial" w:cs="Arial"/>
                <w:sz w:val="22"/>
                <w:szCs w:val="22"/>
              </w:rPr>
              <w:t>Anaerobic Digester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79055B" w14:textId="77777777" w:rsidR="00102470" w:rsidRDefault="00102470" w:rsidP="00281E45">
            <w:pPr>
              <w:pStyle w:val="NormalWeb"/>
              <w:spacing w:beforeAutospacing="0" w:afterAutospacing="0" w:line="18" w:lineRule="atLeast"/>
              <w:rPr>
                <w:rFonts w:ascii="Arial" w:hAnsi="Arial" w:cs="Arial"/>
                <w:sz w:val="22"/>
                <w:szCs w:val="22"/>
              </w:rPr>
            </w:pPr>
            <w:r>
              <w:rPr>
                <w:rFonts w:ascii="Arial" w:hAnsi="Arial" w:cs="Arial"/>
                <w:sz w:val="22"/>
                <w:szCs w:val="22"/>
              </w:rPr>
              <w:t>Bulk biodegradable waste (spoiled food, agar, expired samples)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CF7768" w14:textId="77777777" w:rsidR="00102470" w:rsidRDefault="00102470" w:rsidP="00281E45">
            <w:pPr>
              <w:pStyle w:val="NormalWeb"/>
              <w:spacing w:beforeAutospacing="0" w:afterAutospacing="0" w:line="18" w:lineRule="atLeast"/>
              <w:rPr>
                <w:rFonts w:ascii="Arial" w:hAnsi="Arial" w:cs="Arial"/>
                <w:sz w:val="22"/>
                <w:szCs w:val="22"/>
              </w:rPr>
            </w:pPr>
            <w:r>
              <w:rPr>
                <w:rFonts w:ascii="Arial" w:hAnsi="Arial" w:cs="Arial"/>
                <w:sz w:val="22"/>
                <w:szCs w:val="22"/>
              </w:rPr>
              <w:t>Methane, digestate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24BAA8" w14:textId="77777777" w:rsidR="00102470" w:rsidRDefault="00102470" w:rsidP="00281E45">
            <w:pPr>
              <w:pStyle w:val="NormalWeb"/>
              <w:spacing w:beforeAutospacing="0" w:afterAutospacing="0" w:line="18" w:lineRule="atLeast"/>
              <w:rPr>
                <w:rFonts w:ascii="Arial" w:hAnsi="Arial" w:cs="Arial"/>
                <w:sz w:val="22"/>
                <w:szCs w:val="22"/>
              </w:rPr>
            </w:pPr>
            <w:r>
              <w:rPr>
                <w:rFonts w:ascii="Arial" w:hAnsi="Arial" w:cs="Arial"/>
                <w:sz w:val="22"/>
                <w:szCs w:val="22"/>
              </w:rPr>
              <w:t>Highly suitable; Effective for bulk biodegradable waste with high organic content</w:t>
            </w:r>
          </w:p>
        </w:tc>
      </w:tr>
      <w:tr w:rsidR="00102470" w14:paraId="41A50E02" w14:textId="77777777" w:rsidTr="00281E45">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136B52" w14:textId="77777777" w:rsidR="00102470" w:rsidRDefault="00102470" w:rsidP="00281E45">
            <w:pPr>
              <w:pStyle w:val="NormalWeb"/>
              <w:spacing w:beforeAutospacing="0" w:afterAutospacing="0" w:line="18" w:lineRule="atLeast"/>
              <w:rPr>
                <w:rFonts w:ascii="Arial" w:hAnsi="Arial" w:cs="Arial"/>
                <w:sz w:val="22"/>
                <w:szCs w:val="22"/>
              </w:rPr>
            </w:pPr>
            <w:r>
              <w:rPr>
                <w:rFonts w:ascii="Arial" w:hAnsi="Arial" w:cs="Arial"/>
                <w:sz w:val="22"/>
                <w:szCs w:val="22"/>
              </w:rPr>
              <w:t>Microbial Fuel Cell</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08D41A" w14:textId="77777777" w:rsidR="00102470" w:rsidRDefault="00102470" w:rsidP="00281E45">
            <w:pPr>
              <w:pStyle w:val="NormalWeb"/>
              <w:spacing w:beforeAutospacing="0" w:afterAutospacing="0" w:line="18" w:lineRule="atLeast"/>
              <w:rPr>
                <w:rFonts w:ascii="Arial" w:hAnsi="Arial" w:cs="Arial"/>
                <w:sz w:val="22"/>
                <w:szCs w:val="22"/>
              </w:rPr>
            </w:pPr>
            <w:r>
              <w:rPr>
                <w:rFonts w:ascii="Arial" w:hAnsi="Arial" w:cs="Arial"/>
                <w:sz w:val="22"/>
                <w:szCs w:val="22"/>
              </w:rPr>
              <w:t>Glucose/protein-base waste (microbial media, rinse fluids)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BDB378" w14:textId="77777777" w:rsidR="00102470" w:rsidRDefault="00102470" w:rsidP="00281E45">
            <w:pPr>
              <w:pStyle w:val="NormalWeb"/>
              <w:spacing w:beforeAutospacing="0" w:afterAutospacing="0" w:line="18" w:lineRule="atLeast"/>
              <w:rPr>
                <w:rFonts w:ascii="Arial" w:hAnsi="Arial" w:cs="Arial"/>
                <w:sz w:val="22"/>
                <w:szCs w:val="22"/>
              </w:rPr>
            </w:pPr>
            <w:r>
              <w:rPr>
                <w:rFonts w:ascii="Arial" w:hAnsi="Arial" w:cs="Arial"/>
                <w:sz w:val="22"/>
                <w:szCs w:val="22"/>
              </w:rPr>
              <w:t>Electricity, treated water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9AB881" w14:textId="77777777" w:rsidR="00102470" w:rsidRDefault="00102470" w:rsidP="00281E45">
            <w:pPr>
              <w:pStyle w:val="NormalWeb"/>
              <w:spacing w:beforeAutospacing="0" w:afterAutospacing="0" w:line="18" w:lineRule="atLeast"/>
              <w:rPr>
                <w:rFonts w:ascii="Arial" w:hAnsi="Arial" w:cs="Arial"/>
                <w:sz w:val="22"/>
                <w:szCs w:val="22"/>
              </w:rPr>
            </w:pPr>
            <w:r>
              <w:rPr>
                <w:rFonts w:ascii="Arial" w:hAnsi="Arial" w:cs="Arial"/>
                <w:sz w:val="22"/>
                <w:szCs w:val="22"/>
              </w:rPr>
              <w:t>Moderately suitable;</w:t>
            </w:r>
            <w:r>
              <w:rPr>
                <w:rFonts w:ascii="Arial" w:hAnsi="Arial" w:cs="Arial"/>
                <w:b/>
                <w:bCs/>
                <w:sz w:val="22"/>
                <w:szCs w:val="22"/>
              </w:rPr>
              <w:t xml:space="preserve"> </w:t>
            </w:r>
            <w:r>
              <w:rPr>
                <w:rFonts w:ascii="Arial" w:hAnsi="Arial" w:cs="Arial"/>
                <w:sz w:val="22"/>
                <w:szCs w:val="22"/>
              </w:rPr>
              <w:t>Compact, but still experimental; good for pilot/demo labs</w:t>
            </w:r>
          </w:p>
        </w:tc>
      </w:tr>
      <w:tr w:rsidR="00102470" w14:paraId="78A5E42C" w14:textId="77777777" w:rsidTr="00281E45">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173C7D" w14:textId="77777777" w:rsidR="00102470" w:rsidRDefault="00102470" w:rsidP="00281E45">
            <w:pPr>
              <w:pStyle w:val="NormalWeb"/>
              <w:spacing w:beforeAutospacing="0" w:afterAutospacing="0" w:line="18" w:lineRule="atLeast"/>
              <w:rPr>
                <w:rFonts w:ascii="Arial" w:hAnsi="Arial" w:cs="Arial"/>
                <w:sz w:val="22"/>
                <w:szCs w:val="22"/>
              </w:rPr>
            </w:pPr>
            <w:r>
              <w:rPr>
                <w:rFonts w:ascii="Arial" w:hAnsi="Arial" w:cs="Arial"/>
                <w:sz w:val="22"/>
                <w:szCs w:val="22"/>
              </w:rPr>
              <w:t>Membrane Bioreactor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78787A" w14:textId="77777777" w:rsidR="00102470" w:rsidRDefault="00102470" w:rsidP="00281E45">
            <w:pPr>
              <w:pStyle w:val="NormalWeb"/>
              <w:spacing w:beforeAutospacing="0" w:afterAutospacing="0" w:line="18" w:lineRule="atLeast"/>
              <w:rPr>
                <w:rFonts w:ascii="Arial" w:hAnsi="Arial" w:cs="Arial"/>
                <w:sz w:val="22"/>
                <w:szCs w:val="22"/>
              </w:rPr>
            </w:pPr>
            <w:r>
              <w:rPr>
                <w:rFonts w:ascii="Arial" w:hAnsi="Arial" w:cs="Arial"/>
                <w:sz w:val="22"/>
                <w:szCs w:val="22"/>
              </w:rPr>
              <w:t>Mixed effluent with solids and microbes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B2BDE8" w14:textId="77777777" w:rsidR="00102470" w:rsidRDefault="00102470" w:rsidP="00281E45">
            <w:pPr>
              <w:textAlignment w:val="top"/>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1348"/>
            </w:tblGrid>
            <w:tr w:rsidR="00102470" w14:paraId="1AF0AA9A" w14:textId="77777777" w:rsidTr="00281E45">
              <w:trPr>
                <w:trHeight w:val="500"/>
              </w:trPr>
              <w:tc>
                <w:tcPr>
                  <w:tcW w:w="0" w:type="auto"/>
                  <w:shd w:val="clear" w:color="auto" w:fill="auto"/>
                  <w:tcMar>
                    <w:top w:w="100" w:type="dxa"/>
                    <w:left w:w="100" w:type="dxa"/>
                    <w:bottom w:w="100" w:type="dxa"/>
                    <w:right w:w="100" w:type="dxa"/>
                  </w:tcMar>
                </w:tcPr>
                <w:p w14:paraId="762C4219" w14:textId="77777777" w:rsidR="00102470" w:rsidRDefault="00102470" w:rsidP="00281E45">
                  <w:pPr>
                    <w:pStyle w:val="NormalWeb"/>
                    <w:spacing w:beforeAutospacing="0" w:afterAutospacing="0" w:line="18" w:lineRule="atLeast"/>
                    <w:rPr>
                      <w:rFonts w:ascii="Arial" w:hAnsi="Arial" w:cs="Arial"/>
                      <w:sz w:val="22"/>
                      <w:szCs w:val="22"/>
                    </w:rPr>
                  </w:pPr>
                  <w:r>
                    <w:rPr>
                      <w:rFonts w:ascii="Arial" w:hAnsi="Arial" w:cs="Arial"/>
                      <w:sz w:val="22"/>
                      <w:szCs w:val="22"/>
                    </w:rPr>
                    <w:t>High-quality effluent</w:t>
                  </w:r>
                </w:p>
              </w:tc>
            </w:tr>
          </w:tbl>
          <w:p w14:paraId="1DCD909E" w14:textId="77777777" w:rsidR="00102470" w:rsidRDefault="00102470" w:rsidP="00281E45">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31B97D" w14:textId="77777777" w:rsidR="00102470" w:rsidRDefault="00102470" w:rsidP="00281E45">
            <w:pPr>
              <w:pStyle w:val="NormalWeb"/>
              <w:spacing w:beforeAutospacing="0" w:afterAutospacing="0" w:line="18" w:lineRule="atLeast"/>
              <w:rPr>
                <w:rFonts w:ascii="Arial" w:hAnsi="Arial" w:cs="Arial"/>
                <w:sz w:val="22"/>
                <w:szCs w:val="22"/>
              </w:rPr>
            </w:pPr>
            <w:r>
              <w:rPr>
                <w:rFonts w:ascii="Arial" w:hAnsi="Arial" w:cs="Arial"/>
                <w:sz w:val="22"/>
                <w:szCs w:val="22"/>
              </w:rPr>
              <w:t>Highly suitable; Ideal for labs with hygiene-sensitive waste and space constraints</w:t>
            </w:r>
          </w:p>
        </w:tc>
      </w:tr>
    </w:tbl>
    <w:p w14:paraId="0F2F5E41" w14:textId="77777777" w:rsidR="00102470" w:rsidRDefault="00102470" w:rsidP="00102470">
      <w:pPr>
        <w:pStyle w:val="NormalWeb"/>
        <w:spacing w:before="240" w:beforeAutospacing="0" w:after="240" w:afterAutospacing="0" w:line="21" w:lineRule="atLeast"/>
        <w:rPr>
          <w:rFonts w:ascii="Arial" w:hAnsi="Arial" w:cs="Arial"/>
          <w:sz w:val="22"/>
          <w:szCs w:val="22"/>
        </w:rPr>
      </w:pPr>
      <w:r>
        <w:rPr>
          <w:rFonts w:ascii="Arial" w:hAnsi="Arial" w:cs="Arial"/>
          <w:b/>
          <w:bCs/>
          <w:sz w:val="22"/>
          <w:szCs w:val="22"/>
        </w:rPr>
        <w:t>Table 1: Bioreactor Types and Lab Suitability Table [8] [11] [12] [13] [14]</w:t>
      </w:r>
    </w:p>
    <w:p w14:paraId="273F973E" w14:textId="77777777" w:rsidR="00102470" w:rsidRDefault="00102470" w:rsidP="00102470">
      <w:pPr>
        <w:rPr>
          <w:rFonts w:ascii="Arial" w:hAnsi="Arial" w:cs="Arial"/>
        </w:rPr>
      </w:pPr>
    </w:p>
    <w:p w14:paraId="4D99DEC5" w14:textId="77777777" w:rsidR="00102470" w:rsidRDefault="00102470" w:rsidP="00102470">
      <w:pPr>
        <w:pStyle w:val="NormalWeb"/>
        <w:spacing w:before="240" w:beforeAutospacing="0" w:after="240" w:afterAutospacing="0" w:line="21" w:lineRule="atLeast"/>
        <w:rPr>
          <w:rFonts w:ascii="Arial" w:hAnsi="Arial" w:cs="Arial"/>
          <w:sz w:val="22"/>
          <w:szCs w:val="22"/>
        </w:rPr>
      </w:pPr>
      <w:r>
        <w:rPr>
          <w:rFonts w:ascii="Arial" w:hAnsi="Arial" w:cs="Arial"/>
          <w:b/>
          <w:bCs/>
          <w:sz w:val="22"/>
          <w:szCs w:val="22"/>
          <w:shd w:val="clear" w:color="auto" w:fill="FFFFFF"/>
        </w:rPr>
        <w:t>Aerobic granular sludge</w:t>
      </w:r>
    </w:p>
    <w:p w14:paraId="2303FCB7" w14:textId="77777777" w:rsidR="00102470" w:rsidRDefault="00102470" w:rsidP="00102470">
      <w:pPr>
        <w:pStyle w:val="NormalWeb"/>
        <w:spacing w:before="240" w:beforeAutospacing="0" w:after="240" w:afterAutospacing="0" w:line="21" w:lineRule="atLeast"/>
        <w:rPr>
          <w:rFonts w:ascii="Arial" w:hAnsi="Arial" w:cs="Arial"/>
          <w:sz w:val="22"/>
          <w:szCs w:val="22"/>
          <w:shd w:val="clear" w:color="auto" w:fill="FFFFFF"/>
        </w:rPr>
      </w:pPr>
      <w:r>
        <w:rPr>
          <w:rFonts w:ascii="Arial" w:hAnsi="Arial" w:cs="Arial"/>
          <w:sz w:val="22"/>
          <w:szCs w:val="22"/>
        </w:rPr>
        <w:t xml:space="preserve">Similar to Bioreactors in functionality is Aerobic granular sludge. Both </w:t>
      </w:r>
      <w:r>
        <w:rPr>
          <w:rFonts w:ascii="Arial" w:hAnsi="Arial" w:cs="Arial"/>
          <w:sz w:val="22"/>
          <w:szCs w:val="22"/>
          <w:shd w:val="clear" w:color="auto" w:fill="FFFFFF"/>
        </w:rPr>
        <w:t>anaerobic granular sludge (AGS) and bioreactors are systems that help treat organic waste, especially in cleaning wastewater and dealing with sludge. They both rely on the action of microorganisms to break down organic materials; both of them also contribute to resource recovery through the treatment process. Both systems contribute to the circular economy by converting waste into valuable products and helping reduce environmental impacts.</w:t>
      </w:r>
    </w:p>
    <w:p w14:paraId="6B02C774" w14:textId="77777777" w:rsidR="00102470" w:rsidRDefault="00102470" w:rsidP="00102470">
      <w:pPr>
        <w:pStyle w:val="NormalWeb"/>
        <w:spacing w:before="240" w:beforeAutospacing="0" w:after="240" w:afterAutospacing="0" w:line="21" w:lineRule="atLeast"/>
        <w:rPr>
          <w:rFonts w:ascii="Arial" w:hAnsi="Arial" w:cs="Arial"/>
          <w:sz w:val="22"/>
          <w:szCs w:val="22"/>
          <w:shd w:val="clear" w:color="auto" w:fill="FFFFFF"/>
        </w:rPr>
      </w:pPr>
    </w:p>
    <w:p w14:paraId="64AA9836" w14:textId="77777777" w:rsidR="00102470" w:rsidRDefault="00102470" w:rsidP="00102470">
      <w:pPr>
        <w:pStyle w:val="NormalWeb"/>
        <w:spacing w:before="240" w:beforeAutospacing="0" w:after="240" w:afterAutospacing="0" w:line="21" w:lineRule="atLeast"/>
        <w:rPr>
          <w:rFonts w:ascii="Arial" w:hAnsi="Arial" w:cs="Arial"/>
          <w:sz w:val="22"/>
          <w:szCs w:val="22"/>
          <w:shd w:val="clear" w:color="auto" w:fill="FFFFFF"/>
        </w:rPr>
      </w:pPr>
    </w:p>
    <w:p w14:paraId="7F9E3F2F" w14:textId="77777777" w:rsidR="00102470" w:rsidRDefault="00102470" w:rsidP="00102470">
      <w:pPr>
        <w:pStyle w:val="NormalWeb"/>
        <w:spacing w:before="240" w:beforeAutospacing="0" w:after="240" w:afterAutospacing="0" w:line="21" w:lineRule="atLeast"/>
        <w:rPr>
          <w:rFonts w:ascii="Arial" w:hAnsi="Arial" w:cs="Arial"/>
          <w:sz w:val="22"/>
          <w:szCs w:val="22"/>
          <w:shd w:val="clear" w:color="auto" w:fill="FFFFFF"/>
        </w:rPr>
      </w:pPr>
      <w:r>
        <w:rPr>
          <w:rFonts w:ascii="Arial" w:hAnsi="Arial" w:cs="Arial"/>
          <w:noProof/>
          <w:sz w:val="22"/>
          <w:szCs w:val="22"/>
        </w:rPr>
        <w:drawing>
          <wp:inline distT="0" distB="0" distL="114300" distR="114300" wp14:anchorId="58BB2158" wp14:editId="1DFB08C2">
            <wp:extent cx="5274310" cy="7536815"/>
            <wp:effectExtent l="0" t="0" r="2540" b="6985"/>
            <wp:docPr id="5"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_256"/>
                    <pic:cNvPicPr>
                      <a:picLocks noChangeAspect="1"/>
                    </pic:cNvPicPr>
                  </pic:nvPicPr>
                  <pic:blipFill>
                    <a:blip r:embed="rId9"/>
                    <a:stretch>
                      <a:fillRect/>
                    </a:stretch>
                  </pic:blipFill>
                  <pic:spPr>
                    <a:xfrm>
                      <a:off x="0" y="0"/>
                      <a:ext cx="5274310" cy="7536815"/>
                    </a:xfrm>
                    <a:prstGeom prst="rect">
                      <a:avLst/>
                    </a:prstGeom>
                    <a:noFill/>
                    <a:ln w="9525">
                      <a:noFill/>
                    </a:ln>
                  </pic:spPr>
                </pic:pic>
              </a:graphicData>
            </a:graphic>
          </wp:inline>
        </w:drawing>
      </w:r>
    </w:p>
    <w:p w14:paraId="74EAD9AB" w14:textId="77777777" w:rsidR="00102470" w:rsidRDefault="00102470" w:rsidP="00102470">
      <w:pPr>
        <w:pStyle w:val="NormalWeb"/>
        <w:spacing w:before="240" w:beforeAutospacing="0" w:after="240" w:afterAutospacing="0" w:line="21" w:lineRule="atLeast"/>
        <w:rPr>
          <w:rFonts w:ascii="Arial" w:hAnsi="Arial" w:cs="Arial"/>
          <w:sz w:val="22"/>
          <w:szCs w:val="22"/>
        </w:rPr>
      </w:pPr>
    </w:p>
    <w:p w14:paraId="70AD6F07" w14:textId="77777777" w:rsidR="00102470" w:rsidRDefault="00102470" w:rsidP="00102470">
      <w:pPr>
        <w:pStyle w:val="NormalWeb"/>
        <w:spacing w:before="240" w:beforeAutospacing="0" w:after="240" w:afterAutospacing="0" w:line="21" w:lineRule="atLeast"/>
        <w:rPr>
          <w:rFonts w:ascii="Arial" w:hAnsi="Arial" w:cs="Arial"/>
          <w:sz w:val="22"/>
          <w:szCs w:val="22"/>
        </w:rPr>
      </w:pPr>
      <w:r>
        <w:rPr>
          <w:rFonts w:ascii="Arial" w:hAnsi="Arial" w:cs="Arial"/>
          <w:b/>
          <w:bCs/>
          <w:sz w:val="22"/>
          <w:szCs w:val="22"/>
        </w:rPr>
        <w:t>Fig 3:  Use of Aerobic Granular Sludge in Waste water treatment [15]</w:t>
      </w:r>
    </w:p>
    <w:p w14:paraId="48894DC3" w14:textId="77777777" w:rsidR="00102470" w:rsidRDefault="00102470" w:rsidP="00102470">
      <w:pPr>
        <w:spacing w:after="240"/>
        <w:rPr>
          <w:rFonts w:ascii="Arial" w:eastAsia="SimSun" w:hAnsi="Arial" w:cs="Arial"/>
          <w:b/>
          <w:bCs/>
        </w:rPr>
      </w:pPr>
    </w:p>
    <w:p w14:paraId="5679132C" w14:textId="77777777" w:rsidR="00102470" w:rsidRDefault="00102470" w:rsidP="00102470">
      <w:pPr>
        <w:spacing w:after="240"/>
        <w:rPr>
          <w:rFonts w:ascii="Arial" w:hAnsi="Arial" w:cs="Arial"/>
          <w:b/>
          <w:bCs/>
        </w:rPr>
      </w:pPr>
      <w:r>
        <w:rPr>
          <w:rFonts w:ascii="Arial" w:eastAsia="SimSun" w:hAnsi="Arial" w:cs="Arial"/>
          <w:b/>
          <w:bCs/>
        </w:rPr>
        <w:lastRenderedPageBreak/>
        <w:t>Environmental Performance and Sustainability Outcomes</w:t>
      </w:r>
    </w:p>
    <w:tbl>
      <w:tblPr>
        <w:tblStyle w:val="TableGrid"/>
        <w:tblW w:w="0" w:type="auto"/>
        <w:tblLook w:val="04A0" w:firstRow="1" w:lastRow="0" w:firstColumn="1" w:lastColumn="0" w:noHBand="0" w:noVBand="1"/>
      </w:tblPr>
      <w:tblGrid>
        <w:gridCol w:w="4148"/>
        <w:gridCol w:w="4148"/>
      </w:tblGrid>
      <w:tr w:rsidR="00102470" w14:paraId="247C19A1" w14:textId="77777777" w:rsidTr="00281E45">
        <w:tc>
          <w:tcPr>
            <w:tcW w:w="426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4"/>
            </w:tblGrid>
            <w:tr w:rsidR="00102470" w14:paraId="48D18B8F" w14:textId="77777777" w:rsidTr="00281E45">
              <w:trPr>
                <w:tblHeader/>
                <w:tblCellSpacing w:w="15" w:type="dxa"/>
              </w:trPr>
              <w:tc>
                <w:tcPr>
                  <w:tcW w:w="0" w:type="auto"/>
                  <w:shd w:val="clear" w:color="auto" w:fill="auto"/>
                  <w:vAlign w:val="center"/>
                </w:tcPr>
                <w:p w14:paraId="7DE156F2" w14:textId="77777777" w:rsidR="00102470" w:rsidRDefault="00102470" w:rsidP="00281E45">
                  <w:pPr>
                    <w:jc w:val="center"/>
                    <w:rPr>
                      <w:rFonts w:ascii="Arial" w:hAnsi="Arial" w:cs="Arial"/>
                      <w:b/>
                      <w:bCs/>
                    </w:rPr>
                  </w:pPr>
                  <w:r>
                    <w:rPr>
                      <w:rFonts w:ascii="Arial" w:eastAsia="SimSun" w:hAnsi="Arial" w:cs="Arial"/>
                      <w:b/>
                      <w:bCs/>
                      <w:lang w:eastAsia="zh-CN" w:bidi="ar"/>
                    </w:rPr>
                    <w:t>Outcome</w:t>
                  </w:r>
                </w:p>
              </w:tc>
            </w:tr>
          </w:tbl>
          <w:p w14:paraId="29E3BA5A" w14:textId="77777777" w:rsidR="00102470" w:rsidRDefault="00102470" w:rsidP="00281E45">
            <w:pPr>
              <w:widowControl/>
              <w:spacing w:after="240"/>
              <w:jc w:val="left"/>
              <w:rPr>
                <w:rFonts w:ascii="Arial" w:hAnsi="Arial" w:cs="Arial"/>
                <w:b/>
                <w:bCs/>
              </w:rPr>
            </w:pPr>
          </w:p>
        </w:tc>
        <w:tc>
          <w:tcPr>
            <w:tcW w:w="4261" w:type="dxa"/>
          </w:tcPr>
          <w:p w14:paraId="2070DA86" w14:textId="77777777" w:rsidR="00102470" w:rsidRDefault="00102470" w:rsidP="00281E45">
            <w:pPr>
              <w:widowControl/>
              <w:spacing w:after="240"/>
              <w:jc w:val="left"/>
              <w:rPr>
                <w:rFonts w:ascii="Arial" w:hAnsi="Arial" w:cs="Arial"/>
                <w:b/>
                <w:bCs/>
              </w:rPr>
            </w:pPr>
            <w:r>
              <w:rPr>
                <w:rFonts w:ascii="Arial" w:hAnsi="Arial" w:cs="Arial"/>
                <w:b/>
                <w:bCs/>
              </w:rPr>
              <w:t>Reported Efficiency</w:t>
            </w:r>
          </w:p>
        </w:tc>
      </w:tr>
      <w:tr w:rsidR="00102470" w14:paraId="6033F38B" w14:textId="77777777" w:rsidTr="00281E45">
        <w:tc>
          <w:tcPr>
            <w:tcW w:w="4261" w:type="dxa"/>
          </w:tcPr>
          <w:p w14:paraId="47EFEBE3" w14:textId="77777777" w:rsidR="00102470" w:rsidRDefault="00102470" w:rsidP="00281E45">
            <w:pPr>
              <w:widowControl/>
              <w:spacing w:after="240"/>
              <w:jc w:val="left"/>
              <w:rPr>
                <w:rFonts w:ascii="Arial" w:hAnsi="Arial" w:cs="Arial"/>
              </w:rPr>
            </w:pPr>
            <w:r>
              <w:rPr>
                <w:rFonts w:ascii="Arial" w:hAnsi="Arial" w:cs="Arial"/>
              </w:rPr>
              <w:t>GHG Emissions Reduction</w:t>
            </w:r>
          </w:p>
        </w:tc>
        <w:tc>
          <w:tcPr>
            <w:tcW w:w="4261" w:type="dxa"/>
          </w:tcPr>
          <w:p w14:paraId="5A39385B" w14:textId="77777777" w:rsidR="00102470" w:rsidRDefault="00102470" w:rsidP="00281E45">
            <w:pPr>
              <w:widowControl/>
              <w:spacing w:after="240"/>
              <w:jc w:val="left"/>
              <w:rPr>
                <w:rFonts w:ascii="Arial" w:hAnsi="Arial" w:cs="Arial"/>
              </w:rPr>
            </w:pPr>
            <w:r>
              <w:rPr>
                <w:rFonts w:ascii="Arial" w:hAnsi="Arial" w:cs="Arial"/>
              </w:rPr>
              <w:t>Up to 70%</w:t>
            </w:r>
          </w:p>
        </w:tc>
      </w:tr>
      <w:tr w:rsidR="00102470" w14:paraId="3C023706" w14:textId="77777777" w:rsidTr="00281E45">
        <w:tc>
          <w:tcPr>
            <w:tcW w:w="4261" w:type="dxa"/>
          </w:tcPr>
          <w:p w14:paraId="4412F855" w14:textId="77777777" w:rsidR="00102470" w:rsidRDefault="00102470" w:rsidP="00281E45">
            <w:pPr>
              <w:widowControl/>
              <w:spacing w:after="240"/>
              <w:jc w:val="left"/>
              <w:rPr>
                <w:rFonts w:ascii="Arial" w:hAnsi="Arial" w:cs="Arial"/>
              </w:rPr>
            </w:pPr>
            <w:r>
              <w:rPr>
                <w:rFonts w:ascii="Arial" w:hAnsi="Arial" w:cs="Arial"/>
              </w:rPr>
              <w:t>COD Removal</w:t>
            </w:r>
          </w:p>
        </w:tc>
        <w:tc>
          <w:tcPr>
            <w:tcW w:w="4261" w:type="dxa"/>
          </w:tcPr>
          <w:p w14:paraId="26CDB0BE" w14:textId="77777777" w:rsidR="00102470" w:rsidRDefault="00102470" w:rsidP="00281E45">
            <w:pPr>
              <w:widowControl/>
              <w:spacing w:after="240"/>
              <w:jc w:val="left"/>
              <w:rPr>
                <w:rFonts w:ascii="Arial" w:hAnsi="Arial" w:cs="Arial"/>
              </w:rPr>
            </w:pPr>
            <w:r>
              <w:rPr>
                <w:rFonts w:ascii="Arial" w:hAnsi="Arial" w:cs="Arial"/>
              </w:rPr>
              <w:t>75–95%</w:t>
            </w:r>
          </w:p>
        </w:tc>
      </w:tr>
      <w:tr w:rsidR="00102470" w14:paraId="3582B1E1" w14:textId="77777777" w:rsidTr="00281E45">
        <w:tc>
          <w:tcPr>
            <w:tcW w:w="4261" w:type="dxa"/>
          </w:tcPr>
          <w:p w14:paraId="3C05BE64" w14:textId="77777777" w:rsidR="00102470" w:rsidRDefault="00102470" w:rsidP="00281E45">
            <w:pPr>
              <w:widowControl/>
              <w:spacing w:after="240"/>
              <w:jc w:val="left"/>
              <w:rPr>
                <w:rFonts w:ascii="Arial" w:hAnsi="Arial" w:cs="Arial"/>
              </w:rPr>
            </w:pPr>
            <w:r>
              <w:rPr>
                <w:rFonts w:ascii="Arial" w:hAnsi="Arial" w:cs="Arial"/>
              </w:rPr>
              <w:t>Heavy Metal Removal</w:t>
            </w:r>
          </w:p>
        </w:tc>
        <w:tc>
          <w:tcPr>
            <w:tcW w:w="4261" w:type="dxa"/>
          </w:tcPr>
          <w:p w14:paraId="4365DAAB" w14:textId="77777777" w:rsidR="00102470" w:rsidRDefault="00102470" w:rsidP="00281E45">
            <w:pPr>
              <w:widowControl/>
              <w:spacing w:after="240"/>
              <w:jc w:val="left"/>
              <w:rPr>
                <w:rFonts w:ascii="Arial" w:hAnsi="Arial" w:cs="Arial"/>
              </w:rPr>
            </w:pPr>
            <w:r>
              <w:rPr>
                <w:rFonts w:ascii="Arial" w:hAnsi="Arial" w:cs="Arial"/>
              </w:rPr>
              <w:t>60–80%</w:t>
            </w:r>
          </w:p>
        </w:tc>
      </w:tr>
      <w:tr w:rsidR="00102470" w14:paraId="4061876C" w14:textId="77777777" w:rsidTr="00281E45">
        <w:tc>
          <w:tcPr>
            <w:tcW w:w="4261" w:type="dxa"/>
          </w:tcPr>
          <w:p w14:paraId="71EEE3D2" w14:textId="77777777" w:rsidR="00102470" w:rsidRDefault="00102470" w:rsidP="00281E45">
            <w:pPr>
              <w:widowControl/>
              <w:spacing w:after="240"/>
              <w:jc w:val="left"/>
              <w:rPr>
                <w:rFonts w:ascii="Arial" w:hAnsi="Arial" w:cs="Arial"/>
              </w:rPr>
            </w:pPr>
            <w:r>
              <w:rPr>
                <w:rFonts w:ascii="Arial" w:hAnsi="Arial" w:cs="Arial"/>
              </w:rPr>
              <w:t>Water Reuse Potential</w:t>
            </w:r>
          </w:p>
        </w:tc>
        <w:tc>
          <w:tcPr>
            <w:tcW w:w="4261" w:type="dxa"/>
          </w:tcPr>
          <w:p w14:paraId="74A6DC62" w14:textId="77777777" w:rsidR="00102470" w:rsidRDefault="00102470" w:rsidP="00281E45">
            <w:pPr>
              <w:widowControl/>
              <w:spacing w:after="240"/>
              <w:jc w:val="left"/>
              <w:rPr>
                <w:rFonts w:ascii="Arial" w:hAnsi="Arial" w:cs="Arial"/>
              </w:rPr>
            </w:pPr>
            <w:r>
              <w:rPr>
                <w:rFonts w:ascii="Arial" w:hAnsi="Arial" w:cs="Arial"/>
              </w:rPr>
              <w:t>High (MBR-treated water)</w:t>
            </w:r>
          </w:p>
        </w:tc>
      </w:tr>
    </w:tbl>
    <w:p w14:paraId="789522C2" w14:textId="77777777" w:rsidR="00102470" w:rsidRDefault="00102470" w:rsidP="00102470">
      <w:pPr>
        <w:spacing w:after="240"/>
        <w:rPr>
          <w:rFonts w:ascii="Arial" w:hAnsi="Arial" w:cs="Arial"/>
          <w:b/>
          <w:bCs/>
        </w:rPr>
      </w:pPr>
      <w:r>
        <w:rPr>
          <w:rFonts w:ascii="Arial" w:hAnsi="Arial" w:cs="Arial"/>
          <w:b/>
          <w:bCs/>
        </w:rPr>
        <w:t xml:space="preserve">Table 2: Environment Impact and </w:t>
      </w:r>
      <w:r>
        <w:rPr>
          <w:rFonts w:ascii="Arial" w:eastAsia="SimSun" w:hAnsi="Arial" w:cs="Arial"/>
          <w:b/>
          <w:bCs/>
        </w:rPr>
        <w:t xml:space="preserve">advantage of adopting </w:t>
      </w:r>
      <w:r>
        <w:rPr>
          <w:rStyle w:val="Strong"/>
          <w:rFonts w:ascii="Arial" w:eastAsia="SimSun" w:hAnsi="Arial" w:cs="Arial"/>
          <w:b w:val="0"/>
          <w:bCs w:val="0"/>
        </w:rPr>
        <w:t xml:space="preserve">on-site bioreactor systems in labs [16] </w:t>
      </w:r>
    </w:p>
    <w:p w14:paraId="0C63553B" w14:textId="77777777" w:rsidR="00102470" w:rsidRDefault="00102470" w:rsidP="00102470">
      <w:pPr>
        <w:spacing w:after="240"/>
        <w:rPr>
          <w:rFonts w:ascii="Arial" w:eastAsia="SimSun" w:hAnsi="Arial" w:cs="Arial"/>
          <w:b/>
          <w:bCs/>
        </w:rPr>
      </w:pPr>
      <w:r>
        <w:rPr>
          <w:rFonts w:ascii="Arial" w:eastAsia="SimSun" w:hAnsi="Arial" w:cs="Arial"/>
          <w:b/>
          <w:bCs/>
        </w:rPr>
        <w:t>Some notable real-world Application of Bioreactors in Food Quality Control Laboratories</w:t>
      </w:r>
    </w:p>
    <w:p w14:paraId="59C96983" w14:textId="77777777" w:rsidR="00102470" w:rsidRDefault="00102470" w:rsidP="00102470">
      <w:pPr>
        <w:numPr>
          <w:ilvl w:val="0"/>
          <w:numId w:val="4"/>
        </w:numPr>
        <w:spacing w:after="240"/>
        <w:rPr>
          <w:rFonts w:ascii="Arial" w:eastAsia="SimSun" w:hAnsi="Arial" w:cs="Arial"/>
        </w:rPr>
      </w:pPr>
      <w:r>
        <w:rPr>
          <w:rStyle w:val="Strong"/>
          <w:rFonts w:ascii="Arial" w:eastAsia="SimSun" w:hAnsi="Arial" w:cs="Arial"/>
        </w:rPr>
        <w:t xml:space="preserve">Treatment of Slaughterhouse Effluent with </w:t>
      </w:r>
      <w:proofErr w:type="spellStart"/>
      <w:r>
        <w:rPr>
          <w:rStyle w:val="Strong"/>
          <w:rFonts w:ascii="Arial" w:eastAsia="SimSun" w:hAnsi="Arial" w:cs="Arial"/>
        </w:rPr>
        <w:t>Upflow</w:t>
      </w:r>
      <w:proofErr w:type="spellEnd"/>
      <w:r>
        <w:rPr>
          <w:rStyle w:val="Strong"/>
          <w:rFonts w:ascii="Arial" w:eastAsia="SimSun" w:hAnsi="Arial" w:cs="Arial"/>
        </w:rPr>
        <w:t xml:space="preserve"> Anaerobic Sludge Blanket (UASB) Reactors:</w:t>
      </w:r>
      <w:r>
        <w:rPr>
          <w:rFonts w:ascii="Arial" w:eastAsia="SimSun" w:hAnsi="Arial" w:cs="Arial"/>
        </w:rPr>
        <w:t xml:space="preserve">  A study demonstrated that UASB reactors achieved average Chemical Oxygen Demand (COD) removal efficiencies of 33% and Biological Oxygen Demand (BOD) removal efficiencies of 37% when treating slaughterhouse wastewater. [17] [18].</w:t>
      </w:r>
    </w:p>
    <w:p w14:paraId="1EE19F75" w14:textId="77777777" w:rsidR="00102470" w:rsidRDefault="00102470" w:rsidP="00102470">
      <w:pPr>
        <w:spacing w:after="240"/>
        <w:rPr>
          <w:rFonts w:ascii="Arial" w:eastAsia="SimSun" w:hAnsi="Arial" w:cs="Arial"/>
        </w:rPr>
      </w:pPr>
      <w:r>
        <w:rPr>
          <w:rFonts w:ascii="Arial" w:eastAsia="SimSun" w:hAnsi="Arial" w:cs="Arial"/>
          <w:noProof/>
        </w:rPr>
        <w:drawing>
          <wp:inline distT="0" distB="0" distL="114300" distR="114300" wp14:anchorId="428BC182" wp14:editId="068B7990">
            <wp:extent cx="4396105" cy="3462020"/>
            <wp:effectExtent l="0" t="0" r="4445" b="5080"/>
            <wp:docPr id="7" name="Picture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G_256"/>
                    <pic:cNvPicPr>
                      <a:picLocks noChangeAspect="1"/>
                    </pic:cNvPicPr>
                  </pic:nvPicPr>
                  <pic:blipFill>
                    <a:blip r:embed="rId10"/>
                    <a:stretch>
                      <a:fillRect/>
                    </a:stretch>
                  </pic:blipFill>
                  <pic:spPr>
                    <a:xfrm>
                      <a:off x="0" y="0"/>
                      <a:ext cx="4396105" cy="3462020"/>
                    </a:xfrm>
                    <a:prstGeom prst="rect">
                      <a:avLst/>
                    </a:prstGeom>
                    <a:noFill/>
                    <a:ln w="9525">
                      <a:noFill/>
                    </a:ln>
                  </pic:spPr>
                </pic:pic>
              </a:graphicData>
            </a:graphic>
          </wp:inline>
        </w:drawing>
      </w:r>
    </w:p>
    <w:p w14:paraId="50AF0F50" w14:textId="77777777" w:rsidR="00102470" w:rsidRDefault="00102470" w:rsidP="00102470">
      <w:pPr>
        <w:spacing w:after="240"/>
        <w:rPr>
          <w:rFonts w:ascii="Arial" w:eastAsia="SimSun" w:hAnsi="Arial" w:cs="Arial"/>
          <w:b/>
          <w:bCs/>
        </w:rPr>
      </w:pPr>
      <w:r>
        <w:rPr>
          <w:rFonts w:ascii="Arial" w:eastAsia="SimSun" w:hAnsi="Arial" w:cs="Arial"/>
          <w:b/>
          <w:bCs/>
        </w:rPr>
        <w:t xml:space="preserve">Fig 4: A </w:t>
      </w:r>
      <w:proofErr w:type="spellStart"/>
      <w:r>
        <w:rPr>
          <w:rFonts w:ascii="Arial" w:eastAsia="SimSun" w:hAnsi="Arial" w:cs="Arial"/>
          <w:b/>
          <w:bCs/>
        </w:rPr>
        <w:t>Schmatic</w:t>
      </w:r>
      <w:proofErr w:type="spellEnd"/>
      <w:r>
        <w:rPr>
          <w:rFonts w:ascii="Arial" w:eastAsia="SimSun" w:hAnsi="Arial" w:cs="Arial"/>
          <w:b/>
          <w:bCs/>
        </w:rPr>
        <w:t xml:space="preserve"> diagram of UASB Reactor [17] </w:t>
      </w:r>
    </w:p>
    <w:p w14:paraId="66EB58A9" w14:textId="77777777" w:rsidR="00102470" w:rsidRDefault="00102470" w:rsidP="00102470">
      <w:pPr>
        <w:spacing w:after="240"/>
        <w:rPr>
          <w:rFonts w:ascii="Arial" w:hAnsi="Arial" w:cs="Arial"/>
        </w:rPr>
      </w:pPr>
    </w:p>
    <w:p w14:paraId="6DB53B1C" w14:textId="77777777" w:rsidR="00102470" w:rsidRDefault="00102470" w:rsidP="00102470">
      <w:pPr>
        <w:spacing w:after="240"/>
        <w:rPr>
          <w:rFonts w:ascii="Arial" w:hAnsi="Arial" w:cs="Arial"/>
        </w:rPr>
      </w:pPr>
    </w:p>
    <w:p w14:paraId="5CA99AB4" w14:textId="77777777" w:rsidR="00102470" w:rsidRDefault="00102470" w:rsidP="00102470">
      <w:pPr>
        <w:numPr>
          <w:ilvl w:val="0"/>
          <w:numId w:val="4"/>
        </w:numPr>
        <w:spacing w:after="240"/>
        <w:rPr>
          <w:rFonts w:ascii="Arial" w:eastAsia="Cambria" w:hAnsi="Arial" w:cs="Arial"/>
          <w:shd w:val="clear" w:color="auto" w:fill="FFFFFF"/>
        </w:rPr>
      </w:pPr>
      <w:r>
        <w:rPr>
          <w:rFonts w:ascii="Arial" w:eastAsia="SimSun" w:hAnsi="Arial" w:cs="Arial"/>
          <w:b/>
          <w:bCs/>
        </w:rPr>
        <w:lastRenderedPageBreak/>
        <w:t xml:space="preserve">Membrane Bioreactor Systems in Food and Beverage Industry: </w:t>
      </w:r>
      <w:r>
        <w:rPr>
          <w:rFonts w:ascii="Arial" w:eastAsia="Cambria" w:hAnsi="Arial" w:cs="Arial"/>
          <w:shd w:val="clear" w:color="auto" w:fill="FFFFFF"/>
        </w:rPr>
        <w:t xml:space="preserve">This study compares the performance of the Hollow Fiber (HF) and Flat Sheet (FS) types of membrane bioreactors (MBRs) for the treatment of food and beverage (F&amp;B) industry wastewater in a pilot-scale study of a wastewater treatment plant (WWTP). HF and FS membrane configurations were evaluated at two different Mixed Liquor Suspended Solid (MLSS) levels: 6000 mg/L and 12,000 mg/L. The performance of each configuration was evaluated in terms of Chemical Oxygen Demand (COD) and Total Suspended Solid (TSS) removals for effluent quality measurement. The transmembrane pressure (TMP), flux rate, and silt density index (SDI) were monitored and calculated for membrane fouling assessment.  The results show that the rejection rates of COD and TSS for HF and FS membrane types were more than 84% for the two different MLSS levels. [19]. </w:t>
      </w:r>
    </w:p>
    <w:tbl>
      <w:tblPr>
        <w:tblStyle w:val="TableGrid"/>
        <w:tblW w:w="9405" w:type="dxa"/>
        <w:tblInd w:w="-981" w:type="dxa"/>
        <w:tblLayout w:type="fixed"/>
        <w:tblLook w:val="04A0" w:firstRow="1" w:lastRow="0" w:firstColumn="1" w:lastColumn="0" w:noHBand="0" w:noVBand="1"/>
      </w:tblPr>
      <w:tblGrid>
        <w:gridCol w:w="1854"/>
        <w:gridCol w:w="1315"/>
        <w:gridCol w:w="1062"/>
        <w:gridCol w:w="1365"/>
        <w:gridCol w:w="1045"/>
        <w:gridCol w:w="1264"/>
        <w:gridCol w:w="1500"/>
      </w:tblGrid>
      <w:tr w:rsidR="00102470" w14:paraId="0E0E2C39" w14:textId="77777777" w:rsidTr="00281E45">
        <w:tc>
          <w:tcPr>
            <w:tcW w:w="1854" w:type="dxa"/>
          </w:tcPr>
          <w:p w14:paraId="71A0DD34" w14:textId="77777777" w:rsidR="00102470" w:rsidRDefault="00102470" w:rsidP="00281E45">
            <w:pPr>
              <w:widowControl/>
              <w:shd w:val="clear" w:color="auto" w:fill="FFFFFF"/>
              <w:spacing w:line="15" w:lineRule="atLeast"/>
              <w:jc w:val="left"/>
              <w:rPr>
                <w:rFonts w:ascii="Arial" w:eastAsia="ff3" w:hAnsi="Arial" w:cs="Arial"/>
              </w:rPr>
            </w:pPr>
            <w:r>
              <w:rPr>
                <w:rFonts w:ascii="Arial" w:eastAsia="ff3" w:hAnsi="Arial" w:cs="Arial"/>
                <w:shd w:val="clear" w:color="auto" w:fill="FFFFFF"/>
                <w:lang w:eastAsia="zh-CN" w:bidi="ar"/>
              </w:rPr>
              <w:t>Source</w:t>
            </w:r>
          </w:p>
          <w:p w14:paraId="435310B9" w14:textId="77777777" w:rsidR="00102470" w:rsidRDefault="00102470" w:rsidP="00281E45">
            <w:pPr>
              <w:widowControl/>
              <w:shd w:val="clear" w:color="auto" w:fill="FFFFFF"/>
              <w:spacing w:line="15" w:lineRule="atLeast"/>
              <w:jc w:val="left"/>
              <w:rPr>
                <w:rFonts w:ascii="Arial" w:eastAsia="ff3" w:hAnsi="Arial" w:cs="Arial"/>
              </w:rPr>
            </w:pPr>
            <w:r>
              <w:rPr>
                <w:rFonts w:ascii="Arial" w:eastAsia="ff3" w:hAnsi="Arial" w:cs="Arial"/>
                <w:shd w:val="clear" w:color="auto" w:fill="FFFFFF"/>
                <w:lang w:eastAsia="zh-CN" w:bidi="ar"/>
              </w:rPr>
              <w:t>Wastewater</w:t>
            </w:r>
          </w:p>
          <w:p w14:paraId="64B5545C" w14:textId="77777777" w:rsidR="00102470" w:rsidRDefault="00102470" w:rsidP="00281E45">
            <w:pPr>
              <w:widowControl/>
              <w:spacing w:after="240"/>
              <w:jc w:val="left"/>
              <w:rPr>
                <w:rFonts w:ascii="Arial" w:eastAsia="Cambria" w:hAnsi="Arial" w:cs="Arial"/>
                <w:shd w:val="clear" w:color="auto" w:fill="FFFFFF"/>
              </w:rPr>
            </w:pPr>
          </w:p>
        </w:tc>
        <w:tc>
          <w:tcPr>
            <w:tcW w:w="1315" w:type="dxa"/>
          </w:tcPr>
          <w:p w14:paraId="1B722E62" w14:textId="77777777" w:rsidR="00102470" w:rsidRDefault="00102470" w:rsidP="00281E45">
            <w:pPr>
              <w:widowControl/>
              <w:spacing w:after="240"/>
              <w:jc w:val="left"/>
              <w:rPr>
                <w:rFonts w:ascii="Arial" w:eastAsia="Cambria" w:hAnsi="Arial" w:cs="Arial"/>
                <w:shd w:val="clear" w:color="auto" w:fill="FFFFFF"/>
              </w:rPr>
            </w:pPr>
            <w:r>
              <w:rPr>
                <w:rFonts w:ascii="Arial" w:eastAsia="Cambria" w:hAnsi="Arial" w:cs="Arial"/>
                <w:shd w:val="clear" w:color="auto" w:fill="FFFFFF"/>
              </w:rPr>
              <w:t>Membrane Type</w:t>
            </w:r>
          </w:p>
        </w:tc>
        <w:tc>
          <w:tcPr>
            <w:tcW w:w="1062" w:type="dxa"/>
          </w:tcPr>
          <w:p w14:paraId="066A1ABB" w14:textId="77777777" w:rsidR="00102470" w:rsidRDefault="00102470" w:rsidP="00281E45">
            <w:pPr>
              <w:widowControl/>
              <w:spacing w:after="240"/>
              <w:jc w:val="left"/>
              <w:rPr>
                <w:rFonts w:ascii="Arial" w:eastAsia="Cambria" w:hAnsi="Arial" w:cs="Arial"/>
                <w:shd w:val="clear" w:color="auto" w:fill="FFFFFF"/>
              </w:rPr>
            </w:pPr>
            <w:r>
              <w:rPr>
                <w:rFonts w:ascii="Arial" w:eastAsia="Cambria" w:hAnsi="Arial" w:cs="Arial"/>
                <w:shd w:val="clear" w:color="auto" w:fill="FFFFFF"/>
              </w:rPr>
              <w:t xml:space="preserve">Pore Size </w:t>
            </w:r>
            <w:r>
              <w:rPr>
                <w:rFonts w:ascii="Arial" w:eastAsia="ff3" w:hAnsi="Arial" w:cs="Arial"/>
                <w:shd w:val="clear" w:color="auto" w:fill="FFFFFF"/>
              </w:rPr>
              <w:t>(</w:t>
            </w:r>
            <w:r>
              <w:rPr>
                <w:rFonts w:ascii="Arial" w:eastAsia="ff9" w:hAnsi="Arial" w:cs="Arial"/>
                <w:shd w:val="clear" w:color="auto" w:fill="FFFFFF"/>
              </w:rPr>
              <w:t>µ</w:t>
            </w:r>
            <w:r>
              <w:rPr>
                <w:rFonts w:ascii="Arial" w:eastAsia="ff3" w:hAnsi="Arial" w:cs="Arial"/>
                <w:shd w:val="clear" w:color="auto" w:fill="FFFFFF"/>
              </w:rPr>
              <w:t>m)</w:t>
            </w:r>
          </w:p>
        </w:tc>
        <w:tc>
          <w:tcPr>
            <w:tcW w:w="1365" w:type="dxa"/>
          </w:tcPr>
          <w:p w14:paraId="2F902318" w14:textId="77777777" w:rsidR="00102470" w:rsidRDefault="00102470" w:rsidP="00281E45">
            <w:pPr>
              <w:widowControl/>
              <w:shd w:val="clear" w:color="auto" w:fill="FFFFFF"/>
              <w:spacing w:line="15" w:lineRule="atLeast"/>
              <w:jc w:val="left"/>
              <w:rPr>
                <w:rFonts w:ascii="Arial" w:eastAsia="ff3" w:hAnsi="Arial" w:cs="Arial"/>
              </w:rPr>
            </w:pPr>
            <w:r>
              <w:rPr>
                <w:rFonts w:ascii="Arial" w:eastAsia="ff3" w:hAnsi="Arial" w:cs="Arial"/>
                <w:shd w:val="clear" w:color="auto" w:fill="FFFFFF"/>
                <w:lang w:eastAsia="zh-CN" w:bidi="ar"/>
              </w:rPr>
              <w:t>Membrane</w:t>
            </w:r>
          </w:p>
          <w:p w14:paraId="479F1B2C" w14:textId="77777777" w:rsidR="00102470" w:rsidRDefault="00102470" w:rsidP="00281E45">
            <w:pPr>
              <w:widowControl/>
              <w:shd w:val="clear" w:color="auto" w:fill="FFFFFF"/>
              <w:spacing w:line="15" w:lineRule="atLeast"/>
              <w:jc w:val="left"/>
              <w:rPr>
                <w:rFonts w:ascii="Arial" w:eastAsia="ff3" w:hAnsi="Arial" w:cs="Arial"/>
              </w:rPr>
            </w:pPr>
            <w:r>
              <w:rPr>
                <w:rFonts w:ascii="Arial" w:eastAsia="ff3" w:hAnsi="Arial" w:cs="Arial"/>
                <w:shd w:val="clear" w:color="auto" w:fill="FFFFFF"/>
                <w:lang w:eastAsia="zh-CN" w:bidi="ar"/>
              </w:rPr>
              <w:t>Surface Area (m</w:t>
            </w:r>
            <w:r>
              <w:rPr>
                <w:rFonts w:ascii="Arial" w:eastAsia="ff3" w:hAnsi="Arial" w:cs="Arial"/>
                <w:spacing w:val="30"/>
                <w:shd w:val="clear" w:color="auto" w:fill="FFFFFF"/>
                <w:lang w:eastAsia="zh-CN" w:bidi="ar"/>
              </w:rPr>
              <w:t>2</w:t>
            </w:r>
            <w:r>
              <w:rPr>
                <w:rFonts w:ascii="Arial" w:eastAsia="ff3" w:hAnsi="Arial" w:cs="Arial"/>
                <w:shd w:val="clear" w:color="auto" w:fill="FFFFFF"/>
                <w:lang w:eastAsia="zh-CN" w:bidi="ar"/>
              </w:rPr>
              <w:t>)</w:t>
            </w:r>
          </w:p>
          <w:p w14:paraId="3DE23D74" w14:textId="77777777" w:rsidR="00102470" w:rsidRDefault="00102470" w:rsidP="00281E45">
            <w:pPr>
              <w:widowControl/>
              <w:spacing w:after="240"/>
              <w:jc w:val="left"/>
              <w:rPr>
                <w:rFonts w:ascii="Arial" w:eastAsia="Cambria" w:hAnsi="Arial" w:cs="Arial"/>
                <w:shd w:val="clear" w:color="auto" w:fill="FFFFFF"/>
              </w:rPr>
            </w:pPr>
          </w:p>
        </w:tc>
        <w:tc>
          <w:tcPr>
            <w:tcW w:w="1045" w:type="dxa"/>
          </w:tcPr>
          <w:p w14:paraId="2B5C5625" w14:textId="77777777" w:rsidR="00102470" w:rsidRDefault="00102470" w:rsidP="00281E45">
            <w:pPr>
              <w:widowControl/>
              <w:shd w:val="clear" w:color="auto" w:fill="FFFFFF"/>
              <w:spacing w:line="15" w:lineRule="atLeast"/>
              <w:jc w:val="left"/>
              <w:rPr>
                <w:rFonts w:ascii="Arial" w:eastAsia="ff3" w:hAnsi="Arial" w:cs="Arial"/>
              </w:rPr>
            </w:pPr>
            <w:r>
              <w:rPr>
                <w:rFonts w:ascii="Arial" w:eastAsia="ff3" w:hAnsi="Arial" w:cs="Arial"/>
                <w:shd w:val="clear" w:color="auto" w:fill="FFFFFF"/>
                <w:lang w:eastAsia="zh-CN" w:bidi="ar"/>
              </w:rPr>
              <w:t>Capacity</w:t>
            </w:r>
          </w:p>
          <w:p w14:paraId="10619C77" w14:textId="77777777" w:rsidR="00102470" w:rsidRDefault="00102470" w:rsidP="00281E45">
            <w:pPr>
              <w:widowControl/>
              <w:shd w:val="clear" w:color="auto" w:fill="FFFFFF"/>
              <w:spacing w:line="15" w:lineRule="atLeast"/>
              <w:jc w:val="left"/>
              <w:rPr>
                <w:rFonts w:ascii="Arial" w:eastAsia="ff3" w:hAnsi="Arial" w:cs="Arial"/>
              </w:rPr>
            </w:pPr>
            <w:r>
              <w:rPr>
                <w:rFonts w:ascii="Arial" w:eastAsia="ff3" w:hAnsi="Arial" w:cs="Arial"/>
                <w:shd w:val="clear" w:color="auto" w:fill="FFFFFF"/>
                <w:lang w:eastAsia="zh-CN" w:bidi="ar"/>
              </w:rPr>
              <w:t>(L)</w:t>
            </w:r>
          </w:p>
          <w:p w14:paraId="0BBC3E9A" w14:textId="77777777" w:rsidR="00102470" w:rsidRDefault="00102470" w:rsidP="00281E45">
            <w:pPr>
              <w:widowControl/>
              <w:spacing w:after="240"/>
              <w:jc w:val="left"/>
              <w:rPr>
                <w:rFonts w:ascii="Arial" w:eastAsia="Cambria" w:hAnsi="Arial" w:cs="Arial"/>
                <w:shd w:val="clear" w:color="auto" w:fill="FFFFFF"/>
              </w:rPr>
            </w:pPr>
          </w:p>
        </w:tc>
        <w:tc>
          <w:tcPr>
            <w:tcW w:w="1264" w:type="dxa"/>
          </w:tcPr>
          <w:p w14:paraId="4FBA445B" w14:textId="77777777" w:rsidR="00102470" w:rsidRDefault="00102470" w:rsidP="00281E45">
            <w:pPr>
              <w:widowControl/>
              <w:shd w:val="clear" w:color="auto" w:fill="FFFFFF"/>
              <w:spacing w:line="15" w:lineRule="atLeast"/>
              <w:jc w:val="left"/>
              <w:rPr>
                <w:rFonts w:ascii="Arial" w:eastAsia="ff3" w:hAnsi="Arial" w:cs="Arial"/>
              </w:rPr>
            </w:pPr>
            <w:r>
              <w:rPr>
                <w:rFonts w:ascii="Arial" w:eastAsia="ff3" w:hAnsi="Arial" w:cs="Arial"/>
                <w:shd w:val="clear" w:color="auto" w:fill="FFFFFF"/>
                <w:lang w:eastAsia="zh-CN" w:bidi="ar"/>
              </w:rPr>
              <w:t>Removal</w:t>
            </w:r>
          </w:p>
          <w:p w14:paraId="37DD298E" w14:textId="77777777" w:rsidR="00102470" w:rsidRDefault="00102470" w:rsidP="00281E45">
            <w:pPr>
              <w:widowControl/>
              <w:shd w:val="clear" w:color="auto" w:fill="FFFFFF"/>
              <w:spacing w:line="15" w:lineRule="atLeast"/>
              <w:jc w:val="left"/>
              <w:rPr>
                <w:rFonts w:ascii="Arial" w:eastAsia="ff3" w:hAnsi="Arial" w:cs="Arial"/>
              </w:rPr>
            </w:pPr>
            <w:r>
              <w:rPr>
                <w:rFonts w:ascii="Arial" w:eastAsia="ff3" w:hAnsi="Arial" w:cs="Arial"/>
                <w:shd w:val="clear" w:color="auto" w:fill="FFFFFF"/>
                <w:lang w:eastAsia="zh-CN" w:bidi="ar"/>
              </w:rPr>
              <w:t xml:space="preserve">Efﬁciency (%) </w:t>
            </w:r>
          </w:p>
          <w:p w14:paraId="3A9005E7" w14:textId="77777777" w:rsidR="00102470" w:rsidRDefault="00102470" w:rsidP="00281E45">
            <w:pPr>
              <w:widowControl/>
              <w:spacing w:after="240"/>
              <w:jc w:val="left"/>
              <w:rPr>
                <w:rFonts w:ascii="Arial" w:eastAsia="Cambria" w:hAnsi="Arial" w:cs="Arial"/>
                <w:shd w:val="clear" w:color="auto" w:fill="FFFFFF"/>
              </w:rPr>
            </w:pPr>
          </w:p>
        </w:tc>
        <w:tc>
          <w:tcPr>
            <w:tcW w:w="1500" w:type="dxa"/>
          </w:tcPr>
          <w:p w14:paraId="423F362D" w14:textId="77777777" w:rsidR="00102470" w:rsidRDefault="00102470" w:rsidP="00281E45">
            <w:pPr>
              <w:widowControl/>
              <w:spacing w:after="240"/>
              <w:jc w:val="left"/>
              <w:rPr>
                <w:rFonts w:ascii="Arial" w:eastAsia="Cambria" w:hAnsi="Arial" w:cs="Arial"/>
                <w:shd w:val="clear" w:color="auto" w:fill="FFFFFF"/>
              </w:rPr>
            </w:pPr>
            <w:r>
              <w:rPr>
                <w:rFonts w:ascii="Arial" w:eastAsia="Cambria" w:hAnsi="Arial" w:cs="Arial"/>
                <w:shd w:val="clear" w:color="auto" w:fill="FFFFFF"/>
              </w:rPr>
              <w:t>Country</w:t>
            </w:r>
          </w:p>
        </w:tc>
      </w:tr>
      <w:tr w:rsidR="00102470" w14:paraId="37CE96DD" w14:textId="77777777" w:rsidTr="00281E45">
        <w:tc>
          <w:tcPr>
            <w:tcW w:w="1854" w:type="dxa"/>
          </w:tcPr>
          <w:p w14:paraId="50C3524F" w14:textId="77777777" w:rsidR="00102470" w:rsidRDefault="00102470" w:rsidP="00281E45">
            <w:pPr>
              <w:widowControl/>
              <w:shd w:val="clear" w:color="auto" w:fill="FFFFFF"/>
              <w:spacing w:line="15" w:lineRule="atLeast"/>
              <w:jc w:val="left"/>
              <w:rPr>
                <w:rFonts w:ascii="Arial" w:eastAsia="ff3" w:hAnsi="Arial" w:cs="Arial"/>
              </w:rPr>
            </w:pPr>
            <w:r>
              <w:rPr>
                <w:rFonts w:ascii="Arial" w:eastAsia="ff3" w:hAnsi="Arial" w:cs="Arial"/>
                <w:shd w:val="clear" w:color="auto" w:fill="FFFFFF"/>
                <w:lang w:eastAsia="zh-CN" w:bidi="ar"/>
              </w:rPr>
              <w:t>F&amp;B</w:t>
            </w:r>
          </w:p>
          <w:p w14:paraId="7039851A" w14:textId="77777777" w:rsidR="00102470" w:rsidRDefault="00102470" w:rsidP="00281E45">
            <w:pPr>
              <w:widowControl/>
              <w:shd w:val="clear" w:color="auto" w:fill="FFFFFF"/>
              <w:spacing w:line="15" w:lineRule="atLeast"/>
              <w:jc w:val="left"/>
              <w:rPr>
                <w:rFonts w:ascii="Arial" w:eastAsia="ff3" w:hAnsi="Arial" w:cs="Arial"/>
              </w:rPr>
            </w:pPr>
            <w:r>
              <w:rPr>
                <w:rFonts w:ascii="Arial" w:eastAsia="ff3" w:hAnsi="Arial" w:cs="Arial"/>
                <w:shd w:val="clear" w:color="auto" w:fill="FFFFFF"/>
                <w:lang w:eastAsia="zh-CN" w:bidi="ar"/>
              </w:rPr>
              <w:t>processing plant</w:t>
            </w:r>
          </w:p>
          <w:p w14:paraId="69B41F91" w14:textId="77777777" w:rsidR="00102470" w:rsidRDefault="00102470" w:rsidP="00281E45">
            <w:pPr>
              <w:widowControl/>
              <w:spacing w:after="240"/>
              <w:jc w:val="left"/>
              <w:rPr>
                <w:rFonts w:ascii="Arial" w:eastAsia="Cambria" w:hAnsi="Arial" w:cs="Arial"/>
                <w:shd w:val="clear" w:color="auto" w:fill="FFFFFF"/>
              </w:rPr>
            </w:pPr>
          </w:p>
        </w:tc>
        <w:tc>
          <w:tcPr>
            <w:tcW w:w="1315" w:type="dxa"/>
          </w:tcPr>
          <w:p w14:paraId="3E2BF7E2" w14:textId="77777777" w:rsidR="00102470" w:rsidRDefault="00102470" w:rsidP="00281E45">
            <w:pPr>
              <w:widowControl/>
              <w:spacing w:after="240"/>
              <w:jc w:val="left"/>
              <w:rPr>
                <w:rFonts w:ascii="Arial" w:eastAsia="Cambria" w:hAnsi="Arial" w:cs="Arial"/>
                <w:shd w:val="clear" w:color="auto" w:fill="FFFFFF"/>
              </w:rPr>
            </w:pPr>
            <w:r>
              <w:rPr>
                <w:rFonts w:ascii="Arial" w:eastAsia="Cambria" w:hAnsi="Arial" w:cs="Arial"/>
                <w:shd w:val="clear" w:color="auto" w:fill="FFFFFF"/>
              </w:rPr>
              <w:t>HF</w:t>
            </w:r>
          </w:p>
        </w:tc>
        <w:tc>
          <w:tcPr>
            <w:tcW w:w="1062" w:type="dxa"/>
          </w:tcPr>
          <w:p w14:paraId="37D17CC2" w14:textId="77777777" w:rsidR="00102470" w:rsidRDefault="00102470" w:rsidP="00281E45">
            <w:pPr>
              <w:widowControl/>
              <w:spacing w:after="240"/>
              <w:jc w:val="left"/>
              <w:rPr>
                <w:rFonts w:ascii="Arial" w:eastAsia="Cambria" w:hAnsi="Arial" w:cs="Arial"/>
                <w:shd w:val="clear" w:color="auto" w:fill="FFFFFF"/>
              </w:rPr>
            </w:pPr>
            <w:r>
              <w:rPr>
                <w:rFonts w:ascii="Arial" w:eastAsia="Cambria" w:hAnsi="Arial" w:cs="Arial"/>
                <w:shd w:val="clear" w:color="auto" w:fill="FFFFFF"/>
              </w:rPr>
              <w:t>0.04</w:t>
            </w:r>
          </w:p>
        </w:tc>
        <w:tc>
          <w:tcPr>
            <w:tcW w:w="1365" w:type="dxa"/>
          </w:tcPr>
          <w:p w14:paraId="7AABE847" w14:textId="77777777" w:rsidR="00102470" w:rsidRDefault="00102470" w:rsidP="00281E45">
            <w:pPr>
              <w:widowControl/>
              <w:spacing w:after="240"/>
              <w:jc w:val="left"/>
              <w:rPr>
                <w:rFonts w:ascii="Arial" w:eastAsia="Cambria" w:hAnsi="Arial" w:cs="Arial"/>
                <w:shd w:val="clear" w:color="auto" w:fill="FFFFFF"/>
              </w:rPr>
            </w:pPr>
            <w:r>
              <w:rPr>
                <w:rFonts w:ascii="Arial" w:eastAsia="Cambria" w:hAnsi="Arial" w:cs="Arial"/>
                <w:shd w:val="clear" w:color="auto" w:fill="FFFFFF"/>
              </w:rPr>
              <w:t>74</w:t>
            </w:r>
          </w:p>
        </w:tc>
        <w:tc>
          <w:tcPr>
            <w:tcW w:w="1045" w:type="dxa"/>
          </w:tcPr>
          <w:p w14:paraId="2FFAE8C6" w14:textId="77777777" w:rsidR="00102470" w:rsidRDefault="00102470" w:rsidP="00281E45">
            <w:pPr>
              <w:widowControl/>
              <w:spacing w:after="240"/>
              <w:jc w:val="left"/>
              <w:rPr>
                <w:rFonts w:ascii="Arial" w:eastAsia="Cambria" w:hAnsi="Arial" w:cs="Arial"/>
                <w:shd w:val="clear" w:color="auto" w:fill="FFFFFF"/>
              </w:rPr>
            </w:pPr>
            <w:r>
              <w:rPr>
                <w:rFonts w:ascii="Arial" w:eastAsia="Cambria" w:hAnsi="Arial" w:cs="Arial"/>
                <w:shd w:val="clear" w:color="auto" w:fill="FFFFFF"/>
              </w:rPr>
              <w:t>1500</w:t>
            </w:r>
          </w:p>
        </w:tc>
        <w:tc>
          <w:tcPr>
            <w:tcW w:w="1264" w:type="dxa"/>
          </w:tcPr>
          <w:p w14:paraId="47C0CCDF" w14:textId="77777777" w:rsidR="00102470" w:rsidRDefault="00102470" w:rsidP="00281E45">
            <w:pPr>
              <w:widowControl/>
              <w:spacing w:after="240"/>
              <w:jc w:val="left"/>
              <w:rPr>
                <w:rFonts w:ascii="Arial" w:eastAsia="Cambria" w:hAnsi="Arial" w:cs="Arial"/>
                <w:shd w:val="clear" w:color="auto" w:fill="FFFFFF"/>
              </w:rPr>
            </w:pPr>
            <w:r>
              <w:rPr>
                <w:rFonts w:ascii="Arial" w:eastAsia="ff8" w:hAnsi="Arial" w:cs="Arial"/>
                <w:spacing w:val="6"/>
                <w:shd w:val="clear" w:color="auto" w:fill="FFFFFF"/>
              </w:rPr>
              <w:t>≈</w:t>
            </w:r>
            <w:r>
              <w:rPr>
                <w:rFonts w:ascii="Arial" w:eastAsia="ff7" w:hAnsi="Arial" w:cs="Arial"/>
                <w:shd w:val="clear" w:color="auto" w:fill="FFFFFF"/>
              </w:rPr>
              <w:t>99% COD</w:t>
            </w:r>
          </w:p>
        </w:tc>
        <w:tc>
          <w:tcPr>
            <w:tcW w:w="1500" w:type="dxa"/>
          </w:tcPr>
          <w:p w14:paraId="4A8051CA" w14:textId="77777777" w:rsidR="00102470" w:rsidRDefault="00102470" w:rsidP="00281E45">
            <w:pPr>
              <w:widowControl/>
              <w:spacing w:after="240"/>
              <w:jc w:val="left"/>
              <w:rPr>
                <w:rFonts w:ascii="Arial" w:eastAsia="Cambria" w:hAnsi="Arial" w:cs="Arial"/>
                <w:shd w:val="clear" w:color="auto" w:fill="FFFFFF"/>
              </w:rPr>
            </w:pPr>
            <w:r>
              <w:rPr>
                <w:rFonts w:ascii="Arial" w:eastAsia="Cambria" w:hAnsi="Arial" w:cs="Arial"/>
                <w:shd w:val="clear" w:color="auto" w:fill="FFFFFF"/>
              </w:rPr>
              <w:t>Europe</w:t>
            </w:r>
          </w:p>
        </w:tc>
      </w:tr>
      <w:tr w:rsidR="00102470" w14:paraId="779983B6" w14:textId="77777777" w:rsidTr="00281E45">
        <w:tc>
          <w:tcPr>
            <w:tcW w:w="1854" w:type="dxa"/>
          </w:tcPr>
          <w:p w14:paraId="0B7E6605" w14:textId="77777777" w:rsidR="00102470" w:rsidRDefault="00102470" w:rsidP="00281E45">
            <w:pPr>
              <w:widowControl/>
              <w:spacing w:after="240"/>
              <w:jc w:val="left"/>
              <w:rPr>
                <w:rFonts w:ascii="Arial" w:eastAsia="Cambria" w:hAnsi="Arial" w:cs="Arial"/>
                <w:shd w:val="clear" w:color="auto" w:fill="FFFFFF"/>
              </w:rPr>
            </w:pPr>
            <w:r>
              <w:rPr>
                <w:rFonts w:ascii="Arial" w:eastAsia="Cambria" w:hAnsi="Arial" w:cs="Arial"/>
                <w:shd w:val="clear" w:color="auto" w:fill="FFFFFF"/>
              </w:rPr>
              <w:t>Beverage processing</w:t>
            </w:r>
          </w:p>
        </w:tc>
        <w:tc>
          <w:tcPr>
            <w:tcW w:w="1315" w:type="dxa"/>
          </w:tcPr>
          <w:p w14:paraId="0B1C771B" w14:textId="77777777" w:rsidR="00102470" w:rsidRDefault="00102470" w:rsidP="00281E45">
            <w:pPr>
              <w:widowControl/>
              <w:spacing w:after="240"/>
              <w:jc w:val="left"/>
              <w:rPr>
                <w:rFonts w:ascii="Arial" w:eastAsia="Cambria" w:hAnsi="Arial" w:cs="Arial"/>
                <w:shd w:val="clear" w:color="auto" w:fill="FFFFFF"/>
              </w:rPr>
            </w:pPr>
            <w:r>
              <w:rPr>
                <w:rFonts w:ascii="Arial" w:eastAsia="Cambria" w:hAnsi="Arial" w:cs="Arial"/>
                <w:shd w:val="clear" w:color="auto" w:fill="FFFFFF"/>
              </w:rPr>
              <w:t>HF</w:t>
            </w:r>
          </w:p>
        </w:tc>
        <w:tc>
          <w:tcPr>
            <w:tcW w:w="1062" w:type="dxa"/>
          </w:tcPr>
          <w:p w14:paraId="5E11FD81" w14:textId="77777777" w:rsidR="00102470" w:rsidRDefault="00102470" w:rsidP="00281E45">
            <w:pPr>
              <w:widowControl/>
              <w:spacing w:after="240"/>
              <w:jc w:val="left"/>
              <w:rPr>
                <w:rFonts w:ascii="Arial" w:eastAsia="Cambria" w:hAnsi="Arial" w:cs="Arial"/>
                <w:shd w:val="clear" w:color="auto" w:fill="FFFFFF"/>
              </w:rPr>
            </w:pPr>
            <w:r>
              <w:rPr>
                <w:rFonts w:ascii="Arial" w:eastAsia="Cambria" w:hAnsi="Arial" w:cs="Arial"/>
                <w:shd w:val="clear" w:color="auto" w:fill="FFFFFF"/>
              </w:rPr>
              <w:t>0.4</w:t>
            </w:r>
          </w:p>
        </w:tc>
        <w:tc>
          <w:tcPr>
            <w:tcW w:w="1365" w:type="dxa"/>
          </w:tcPr>
          <w:p w14:paraId="73372EA1" w14:textId="77777777" w:rsidR="00102470" w:rsidRDefault="00102470" w:rsidP="00281E45">
            <w:pPr>
              <w:widowControl/>
              <w:spacing w:after="240"/>
              <w:jc w:val="left"/>
              <w:rPr>
                <w:rFonts w:ascii="Arial" w:eastAsia="Cambria" w:hAnsi="Arial" w:cs="Arial"/>
                <w:shd w:val="clear" w:color="auto" w:fill="FFFFFF"/>
              </w:rPr>
            </w:pPr>
            <w:r>
              <w:rPr>
                <w:rFonts w:ascii="Arial" w:eastAsia="Cambria" w:hAnsi="Arial" w:cs="Arial"/>
                <w:shd w:val="clear" w:color="auto" w:fill="FFFFFF"/>
              </w:rPr>
              <w:t>0.92</w:t>
            </w:r>
          </w:p>
        </w:tc>
        <w:tc>
          <w:tcPr>
            <w:tcW w:w="1045" w:type="dxa"/>
          </w:tcPr>
          <w:p w14:paraId="2704BE7E" w14:textId="77777777" w:rsidR="00102470" w:rsidRDefault="00102470" w:rsidP="00281E45">
            <w:pPr>
              <w:widowControl/>
              <w:spacing w:after="240"/>
              <w:jc w:val="left"/>
              <w:rPr>
                <w:rFonts w:ascii="Arial" w:eastAsia="Cambria" w:hAnsi="Arial" w:cs="Arial"/>
                <w:shd w:val="clear" w:color="auto" w:fill="FFFFFF"/>
              </w:rPr>
            </w:pPr>
            <w:r>
              <w:rPr>
                <w:rFonts w:ascii="Arial" w:eastAsia="Cambria" w:hAnsi="Arial" w:cs="Arial"/>
                <w:shd w:val="clear" w:color="auto" w:fill="FFFFFF"/>
              </w:rPr>
              <w:t>40</w:t>
            </w:r>
          </w:p>
        </w:tc>
        <w:tc>
          <w:tcPr>
            <w:tcW w:w="1264" w:type="dxa"/>
          </w:tcPr>
          <w:p w14:paraId="7C0C9FBE" w14:textId="77777777" w:rsidR="00102470" w:rsidRDefault="00102470" w:rsidP="00281E45">
            <w:pPr>
              <w:widowControl/>
              <w:spacing w:after="240"/>
              <w:jc w:val="left"/>
              <w:rPr>
                <w:rFonts w:ascii="Arial" w:eastAsia="Cambria" w:hAnsi="Arial" w:cs="Arial"/>
                <w:shd w:val="clear" w:color="auto" w:fill="FFFFFF"/>
              </w:rPr>
            </w:pPr>
            <w:r>
              <w:rPr>
                <w:rFonts w:ascii="Arial" w:eastAsia="ff8" w:hAnsi="Arial" w:cs="Arial"/>
                <w:spacing w:val="6"/>
                <w:shd w:val="clear" w:color="auto" w:fill="FFFFFF"/>
              </w:rPr>
              <w:t>≈</w:t>
            </w:r>
            <w:r>
              <w:rPr>
                <w:rFonts w:ascii="Arial" w:eastAsia="ff7" w:hAnsi="Arial" w:cs="Arial"/>
                <w:shd w:val="clear" w:color="auto" w:fill="FFFFFF"/>
              </w:rPr>
              <w:t>94% COD</w:t>
            </w:r>
          </w:p>
        </w:tc>
        <w:tc>
          <w:tcPr>
            <w:tcW w:w="1500" w:type="dxa"/>
          </w:tcPr>
          <w:p w14:paraId="0B59302A" w14:textId="77777777" w:rsidR="00102470" w:rsidRDefault="00102470" w:rsidP="00281E45">
            <w:pPr>
              <w:widowControl/>
              <w:spacing w:after="240"/>
              <w:jc w:val="left"/>
              <w:rPr>
                <w:rFonts w:ascii="Arial" w:eastAsia="Cambria" w:hAnsi="Arial" w:cs="Arial"/>
                <w:shd w:val="clear" w:color="auto" w:fill="FFFFFF"/>
              </w:rPr>
            </w:pPr>
            <w:r>
              <w:rPr>
                <w:rFonts w:ascii="Arial" w:eastAsia="Cambria" w:hAnsi="Arial" w:cs="Arial"/>
                <w:shd w:val="clear" w:color="auto" w:fill="FFFFFF"/>
              </w:rPr>
              <w:t>Croatia</w:t>
            </w:r>
          </w:p>
        </w:tc>
      </w:tr>
      <w:tr w:rsidR="00102470" w14:paraId="63EA42BF" w14:textId="77777777" w:rsidTr="00281E45">
        <w:tc>
          <w:tcPr>
            <w:tcW w:w="1854" w:type="dxa"/>
          </w:tcPr>
          <w:p w14:paraId="575ECFC2" w14:textId="77777777" w:rsidR="00102470" w:rsidRDefault="00102470" w:rsidP="00281E45">
            <w:pPr>
              <w:widowControl/>
              <w:spacing w:after="240"/>
              <w:jc w:val="left"/>
              <w:rPr>
                <w:rFonts w:ascii="Arial" w:eastAsia="Cambria" w:hAnsi="Arial" w:cs="Arial"/>
                <w:shd w:val="clear" w:color="auto" w:fill="FFFFFF"/>
              </w:rPr>
            </w:pPr>
            <w:r>
              <w:rPr>
                <w:rFonts w:ascii="Arial" w:eastAsia="Cambria" w:hAnsi="Arial" w:cs="Arial"/>
                <w:shd w:val="clear" w:color="auto" w:fill="FFFFFF"/>
              </w:rPr>
              <w:t>F&amp;B processing plant</w:t>
            </w:r>
          </w:p>
        </w:tc>
        <w:tc>
          <w:tcPr>
            <w:tcW w:w="1315" w:type="dxa"/>
          </w:tcPr>
          <w:p w14:paraId="6B551C04" w14:textId="77777777" w:rsidR="00102470" w:rsidRDefault="00102470" w:rsidP="00281E45">
            <w:pPr>
              <w:widowControl/>
              <w:spacing w:after="240"/>
              <w:jc w:val="left"/>
              <w:rPr>
                <w:rFonts w:ascii="Arial" w:eastAsia="Cambria" w:hAnsi="Arial" w:cs="Arial"/>
                <w:shd w:val="clear" w:color="auto" w:fill="FFFFFF"/>
              </w:rPr>
            </w:pPr>
            <w:r>
              <w:rPr>
                <w:rFonts w:ascii="Arial" w:eastAsia="Cambria" w:hAnsi="Arial" w:cs="Arial"/>
                <w:shd w:val="clear" w:color="auto" w:fill="FFFFFF"/>
              </w:rPr>
              <w:t>HF</w:t>
            </w:r>
          </w:p>
        </w:tc>
        <w:tc>
          <w:tcPr>
            <w:tcW w:w="1062" w:type="dxa"/>
          </w:tcPr>
          <w:p w14:paraId="3B20BDCA" w14:textId="77777777" w:rsidR="00102470" w:rsidRDefault="00102470" w:rsidP="00281E45">
            <w:pPr>
              <w:widowControl/>
              <w:spacing w:after="240"/>
              <w:jc w:val="left"/>
              <w:rPr>
                <w:rFonts w:ascii="Arial" w:eastAsia="Cambria" w:hAnsi="Arial" w:cs="Arial"/>
                <w:shd w:val="clear" w:color="auto" w:fill="FFFFFF"/>
              </w:rPr>
            </w:pPr>
            <w:r>
              <w:rPr>
                <w:rFonts w:ascii="Arial" w:eastAsia="Cambria" w:hAnsi="Arial" w:cs="Arial"/>
                <w:shd w:val="clear" w:color="auto" w:fill="FFFFFF"/>
              </w:rPr>
              <w:t>0.036</w:t>
            </w:r>
          </w:p>
        </w:tc>
        <w:tc>
          <w:tcPr>
            <w:tcW w:w="1365" w:type="dxa"/>
          </w:tcPr>
          <w:p w14:paraId="721DBD6E" w14:textId="77777777" w:rsidR="00102470" w:rsidRDefault="00102470" w:rsidP="00281E45">
            <w:pPr>
              <w:widowControl/>
              <w:spacing w:after="240"/>
              <w:jc w:val="left"/>
              <w:rPr>
                <w:rFonts w:ascii="Arial" w:eastAsia="Cambria" w:hAnsi="Arial" w:cs="Arial"/>
                <w:shd w:val="clear" w:color="auto" w:fill="FFFFFF"/>
              </w:rPr>
            </w:pPr>
            <w:r>
              <w:rPr>
                <w:rFonts w:ascii="Arial" w:eastAsia="Cambria" w:hAnsi="Arial" w:cs="Arial"/>
                <w:shd w:val="clear" w:color="auto" w:fill="FFFFFF"/>
              </w:rPr>
              <w:t>0.046</w:t>
            </w:r>
          </w:p>
        </w:tc>
        <w:tc>
          <w:tcPr>
            <w:tcW w:w="1045" w:type="dxa"/>
          </w:tcPr>
          <w:p w14:paraId="79F91700" w14:textId="77777777" w:rsidR="00102470" w:rsidRDefault="00102470" w:rsidP="00281E45">
            <w:pPr>
              <w:widowControl/>
              <w:spacing w:after="240"/>
              <w:jc w:val="left"/>
              <w:rPr>
                <w:rFonts w:ascii="Arial" w:eastAsia="Cambria" w:hAnsi="Arial" w:cs="Arial"/>
                <w:shd w:val="clear" w:color="auto" w:fill="FFFFFF"/>
              </w:rPr>
            </w:pPr>
            <w:r>
              <w:rPr>
                <w:rFonts w:ascii="Arial" w:eastAsia="Cambria" w:hAnsi="Arial" w:cs="Arial"/>
                <w:shd w:val="clear" w:color="auto" w:fill="FFFFFF"/>
              </w:rPr>
              <w:t>50</w:t>
            </w:r>
          </w:p>
        </w:tc>
        <w:tc>
          <w:tcPr>
            <w:tcW w:w="1264" w:type="dxa"/>
          </w:tcPr>
          <w:p w14:paraId="63F44685" w14:textId="77777777" w:rsidR="00102470" w:rsidRDefault="00102470" w:rsidP="00281E45">
            <w:pPr>
              <w:widowControl/>
              <w:spacing w:after="240"/>
              <w:jc w:val="left"/>
              <w:rPr>
                <w:rFonts w:ascii="Arial" w:eastAsia="Cambria" w:hAnsi="Arial" w:cs="Arial"/>
                <w:shd w:val="clear" w:color="auto" w:fill="FFFFFF"/>
              </w:rPr>
            </w:pPr>
            <w:r>
              <w:rPr>
                <w:rFonts w:ascii="Arial" w:eastAsia="ff8" w:hAnsi="Arial" w:cs="Arial"/>
                <w:spacing w:val="6"/>
                <w:shd w:val="clear" w:color="auto" w:fill="FFFFFF"/>
              </w:rPr>
              <w:t>≈</w:t>
            </w:r>
            <w:r>
              <w:rPr>
                <w:rFonts w:ascii="Arial" w:eastAsia="ff7" w:hAnsi="Arial" w:cs="Arial"/>
                <w:shd w:val="clear" w:color="auto" w:fill="FFFFFF"/>
              </w:rPr>
              <w:t>91–98% COD</w:t>
            </w:r>
          </w:p>
        </w:tc>
        <w:tc>
          <w:tcPr>
            <w:tcW w:w="1500" w:type="dxa"/>
          </w:tcPr>
          <w:p w14:paraId="2D424F55" w14:textId="77777777" w:rsidR="00102470" w:rsidRDefault="00102470" w:rsidP="00281E45">
            <w:pPr>
              <w:widowControl/>
              <w:spacing w:after="240"/>
              <w:jc w:val="left"/>
              <w:rPr>
                <w:rFonts w:ascii="Arial" w:eastAsia="Cambria" w:hAnsi="Arial" w:cs="Arial"/>
                <w:shd w:val="clear" w:color="auto" w:fill="FFFFFF"/>
              </w:rPr>
            </w:pPr>
            <w:r>
              <w:rPr>
                <w:rFonts w:ascii="Arial" w:eastAsia="Cambria" w:hAnsi="Arial" w:cs="Arial"/>
                <w:shd w:val="clear" w:color="auto" w:fill="FFFFFF"/>
              </w:rPr>
              <w:t>USA</w:t>
            </w:r>
          </w:p>
        </w:tc>
      </w:tr>
      <w:tr w:rsidR="00102470" w14:paraId="4042C253" w14:textId="77777777" w:rsidTr="00281E45">
        <w:tc>
          <w:tcPr>
            <w:tcW w:w="1854" w:type="dxa"/>
          </w:tcPr>
          <w:p w14:paraId="2D0F958B" w14:textId="77777777" w:rsidR="00102470" w:rsidRDefault="00102470" w:rsidP="00281E45">
            <w:pPr>
              <w:widowControl/>
              <w:spacing w:after="240"/>
              <w:jc w:val="left"/>
              <w:rPr>
                <w:rFonts w:ascii="Arial" w:eastAsia="Cambria" w:hAnsi="Arial" w:cs="Arial"/>
                <w:shd w:val="clear" w:color="auto" w:fill="FFFFFF"/>
              </w:rPr>
            </w:pPr>
            <w:r>
              <w:rPr>
                <w:rFonts w:ascii="Arial" w:eastAsia="Cambria" w:hAnsi="Arial" w:cs="Arial"/>
                <w:shd w:val="clear" w:color="auto" w:fill="FFFFFF"/>
              </w:rPr>
              <w:t>Soft drink processing</w:t>
            </w:r>
          </w:p>
        </w:tc>
        <w:tc>
          <w:tcPr>
            <w:tcW w:w="1315" w:type="dxa"/>
          </w:tcPr>
          <w:p w14:paraId="49E8CE83" w14:textId="77777777" w:rsidR="00102470" w:rsidRDefault="00102470" w:rsidP="00281E45">
            <w:pPr>
              <w:widowControl/>
              <w:spacing w:after="240"/>
              <w:jc w:val="left"/>
              <w:rPr>
                <w:rFonts w:ascii="Arial" w:eastAsia="Cambria" w:hAnsi="Arial" w:cs="Arial"/>
                <w:shd w:val="clear" w:color="auto" w:fill="FFFFFF"/>
              </w:rPr>
            </w:pPr>
            <w:r>
              <w:rPr>
                <w:rFonts w:ascii="Arial" w:eastAsia="Cambria" w:hAnsi="Arial" w:cs="Arial"/>
                <w:shd w:val="clear" w:color="auto" w:fill="FFFFFF"/>
              </w:rPr>
              <w:t>HF</w:t>
            </w:r>
          </w:p>
        </w:tc>
        <w:tc>
          <w:tcPr>
            <w:tcW w:w="1062" w:type="dxa"/>
          </w:tcPr>
          <w:p w14:paraId="03474957" w14:textId="77777777" w:rsidR="00102470" w:rsidRDefault="00102470" w:rsidP="00281E45">
            <w:pPr>
              <w:widowControl/>
              <w:spacing w:after="240"/>
              <w:jc w:val="left"/>
              <w:rPr>
                <w:rFonts w:ascii="Arial" w:eastAsia="Cambria" w:hAnsi="Arial" w:cs="Arial"/>
                <w:shd w:val="clear" w:color="auto" w:fill="FFFFFF"/>
              </w:rPr>
            </w:pPr>
            <w:r>
              <w:rPr>
                <w:rFonts w:ascii="Arial" w:eastAsia="Cambria" w:hAnsi="Arial" w:cs="Arial"/>
                <w:shd w:val="clear" w:color="auto" w:fill="FFFFFF"/>
              </w:rPr>
              <w:t>0.2-0.4</w:t>
            </w:r>
          </w:p>
        </w:tc>
        <w:tc>
          <w:tcPr>
            <w:tcW w:w="1365" w:type="dxa"/>
          </w:tcPr>
          <w:p w14:paraId="60D54899" w14:textId="77777777" w:rsidR="00102470" w:rsidRDefault="00102470" w:rsidP="00281E45">
            <w:pPr>
              <w:widowControl/>
              <w:spacing w:after="240"/>
              <w:jc w:val="left"/>
              <w:rPr>
                <w:rFonts w:ascii="Arial" w:eastAsia="Cambria" w:hAnsi="Arial" w:cs="Arial"/>
                <w:shd w:val="clear" w:color="auto" w:fill="FFFFFF"/>
              </w:rPr>
            </w:pPr>
            <w:r>
              <w:rPr>
                <w:rFonts w:ascii="Arial" w:eastAsia="Cambria" w:hAnsi="Arial" w:cs="Arial"/>
                <w:shd w:val="clear" w:color="auto" w:fill="FFFFFF"/>
              </w:rPr>
              <w:t>0.058</w:t>
            </w:r>
          </w:p>
        </w:tc>
        <w:tc>
          <w:tcPr>
            <w:tcW w:w="1045" w:type="dxa"/>
          </w:tcPr>
          <w:p w14:paraId="714F060D" w14:textId="77777777" w:rsidR="00102470" w:rsidRDefault="00102470" w:rsidP="00281E45">
            <w:pPr>
              <w:widowControl/>
              <w:spacing w:after="240"/>
              <w:jc w:val="left"/>
              <w:rPr>
                <w:rFonts w:ascii="Arial" w:eastAsia="Cambria" w:hAnsi="Arial" w:cs="Arial"/>
                <w:shd w:val="clear" w:color="auto" w:fill="FFFFFF"/>
              </w:rPr>
            </w:pPr>
            <w:r>
              <w:rPr>
                <w:rFonts w:ascii="Arial" w:eastAsia="Cambria" w:hAnsi="Arial" w:cs="Arial"/>
                <w:shd w:val="clear" w:color="auto" w:fill="FFFFFF"/>
              </w:rPr>
              <w:t>30</w:t>
            </w:r>
          </w:p>
        </w:tc>
        <w:tc>
          <w:tcPr>
            <w:tcW w:w="1264" w:type="dxa"/>
          </w:tcPr>
          <w:p w14:paraId="7FA803D9" w14:textId="77777777" w:rsidR="00102470" w:rsidRDefault="00102470" w:rsidP="00281E45">
            <w:pPr>
              <w:widowControl/>
              <w:spacing w:after="240"/>
              <w:jc w:val="left"/>
              <w:rPr>
                <w:rFonts w:ascii="Arial" w:eastAsia="Cambria" w:hAnsi="Arial" w:cs="Arial"/>
                <w:shd w:val="clear" w:color="auto" w:fill="FFFFFF"/>
              </w:rPr>
            </w:pPr>
            <w:r>
              <w:rPr>
                <w:rFonts w:ascii="Arial" w:eastAsia="ff8" w:hAnsi="Arial" w:cs="Arial"/>
                <w:spacing w:val="6"/>
                <w:shd w:val="clear" w:color="auto" w:fill="FFFFFF"/>
              </w:rPr>
              <w:t>≈</w:t>
            </w:r>
            <w:r>
              <w:rPr>
                <w:rFonts w:ascii="Arial" w:eastAsia="ff7" w:hAnsi="Arial" w:cs="Arial"/>
                <w:shd w:val="clear" w:color="auto" w:fill="FFFFFF"/>
              </w:rPr>
              <w:t>83.9% COD</w:t>
            </w:r>
          </w:p>
        </w:tc>
        <w:tc>
          <w:tcPr>
            <w:tcW w:w="1500" w:type="dxa"/>
          </w:tcPr>
          <w:p w14:paraId="6BA8A805" w14:textId="77777777" w:rsidR="00102470" w:rsidRDefault="00102470" w:rsidP="00281E45">
            <w:pPr>
              <w:widowControl/>
              <w:spacing w:after="240"/>
              <w:jc w:val="left"/>
              <w:rPr>
                <w:rFonts w:ascii="Arial" w:eastAsia="Cambria" w:hAnsi="Arial" w:cs="Arial"/>
                <w:shd w:val="clear" w:color="auto" w:fill="FFFFFF"/>
              </w:rPr>
            </w:pPr>
            <w:r>
              <w:rPr>
                <w:rFonts w:ascii="Arial" w:eastAsia="Cambria" w:hAnsi="Arial" w:cs="Arial"/>
                <w:shd w:val="clear" w:color="auto" w:fill="FFFFFF"/>
              </w:rPr>
              <w:t>South Africa</w:t>
            </w:r>
          </w:p>
        </w:tc>
      </w:tr>
      <w:tr w:rsidR="00102470" w14:paraId="791A4B43" w14:textId="77777777" w:rsidTr="00281E45">
        <w:tc>
          <w:tcPr>
            <w:tcW w:w="1854" w:type="dxa"/>
          </w:tcPr>
          <w:p w14:paraId="5C25C364" w14:textId="77777777" w:rsidR="00102470" w:rsidRDefault="00102470" w:rsidP="00281E45">
            <w:pPr>
              <w:widowControl/>
              <w:spacing w:after="240"/>
              <w:jc w:val="left"/>
              <w:rPr>
                <w:rFonts w:ascii="Arial" w:eastAsia="Cambria" w:hAnsi="Arial" w:cs="Arial"/>
                <w:shd w:val="clear" w:color="auto" w:fill="FFFFFF"/>
              </w:rPr>
            </w:pPr>
            <w:r>
              <w:rPr>
                <w:rFonts w:ascii="Arial" w:eastAsia="Cambria" w:hAnsi="Arial" w:cs="Arial"/>
                <w:shd w:val="clear" w:color="auto" w:fill="FFFFFF"/>
              </w:rPr>
              <w:t>Dairy and Soy processing</w:t>
            </w:r>
          </w:p>
        </w:tc>
        <w:tc>
          <w:tcPr>
            <w:tcW w:w="1315" w:type="dxa"/>
          </w:tcPr>
          <w:p w14:paraId="2FC5B9FB" w14:textId="77777777" w:rsidR="00102470" w:rsidRDefault="00102470" w:rsidP="00281E45">
            <w:pPr>
              <w:widowControl/>
              <w:spacing w:after="240"/>
              <w:jc w:val="left"/>
              <w:rPr>
                <w:rFonts w:ascii="Arial" w:eastAsia="Cambria" w:hAnsi="Arial" w:cs="Arial"/>
                <w:shd w:val="clear" w:color="auto" w:fill="FFFFFF"/>
              </w:rPr>
            </w:pPr>
            <w:r>
              <w:rPr>
                <w:rFonts w:ascii="Arial" w:eastAsia="Cambria" w:hAnsi="Arial" w:cs="Arial"/>
                <w:shd w:val="clear" w:color="auto" w:fill="FFFFFF"/>
              </w:rPr>
              <w:t>HF</w:t>
            </w:r>
          </w:p>
        </w:tc>
        <w:tc>
          <w:tcPr>
            <w:tcW w:w="1062" w:type="dxa"/>
          </w:tcPr>
          <w:p w14:paraId="4F7CA62D" w14:textId="77777777" w:rsidR="00102470" w:rsidRDefault="00102470" w:rsidP="00281E45">
            <w:pPr>
              <w:widowControl/>
              <w:spacing w:after="240"/>
              <w:jc w:val="left"/>
              <w:rPr>
                <w:rFonts w:ascii="Arial" w:eastAsia="Cambria" w:hAnsi="Arial" w:cs="Arial"/>
                <w:shd w:val="clear" w:color="auto" w:fill="FFFFFF"/>
              </w:rPr>
            </w:pPr>
            <w:r>
              <w:rPr>
                <w:rFonts w:ascii="Arial" w:eastAsia="Cambria" w:hAnsi="Arial" w:cs="Arial"/>
                <w:shd w:val="clear" w:color="auto" w:fill="FFFFFF"/>
              </w:rPr>
              <w:t>0.5</w:t>
            </w:r>
          </w:p>
        </w:tc>
        <w:tc>
          <w:tcPr>
            <w:tcW w:w="1365" w:type="dxa"/>
          </w:tcPr>
          <w:p w14:paraId="7BFFFDF0" w14:textId="77777777" w:rsidR="00102470" w:rsidRDefault="00102470" w:rsidP="00281E45">
            <w:pPr>
              <w:widowControl/>
              <w:spacing w:after="240"/>
              <w:jc w:val="left"/>
              <w:rPr>
                <w:rFonts w:ascii="Arial" w:eastAsia="Cambria" w:hAnsi="Arial" w:cs="Arial"/>
                <w:shd w:val="clear" w:color="auto" w:fill="FFFFFF"/>
              </w:rPr>
            </w:pPr>
            <w:r>
              <w:rPr>
                <w:rFonts w:ascii="Arial" w:eastAsia="Cambria" w:hAnsi="Arial" w:cs="Arial"/>
                <w:shd w:val="clear" w:color="auto" w:fill="FFFFFF"/>
              </w:rPr>
              <w:t>0.044</w:t>
            </w:r>
          </w:p>
        </w:tc>
        <w:tc>
          <w:tcPr>
            <w:tcW w:w="1045" w:type="dxa"/>
          </w:tcPr>
          <w:p w14:paraId="26BDC81D" w14:textId="77777777" w:rsidR="00102470" w:rsidRDefault="00102470" w:rsidP="00281E45">
            <w:pPr>
              <w:widowControl/>
              <w:spacing w:after="240"/>
              <w:jc w:val="left"/>
              <w:rPr>
                <w:rFonts w:ascii="Arial" w:eastAsia="Cambria" w:hAnsi="Arial" w:cs="Arial"/>
                <w:shd w:val="clear" w:color="auto" w:fill="FFFFFF"/>
              </w:rPr>
            </w:pPr>
            <w:r>
              <w:rPr>
                <w:rFonts w:ascii="Arial" w:eastAsia="Cambria" w:hAnsi="Arial" w:cs="Arial"/>
                <w:shd w:val="clear" w:color="auto" w:fill="FFFFFF"/>
              </w:rPr>
              <w:t>10</w:t>
            </w:r>
          </w:p>
        </w:tc>
        <w:tc>
          <w:tcPr>
            <w:tcW w:w="1264" w:type="dxa"/>
          </w:tcPr>
          <w:p w14:paraId="59B2D7FA" w14:textId="77777777" w:rsidR="00102470" w:rsidRDefault="00102470" w:rsidP="00281E45">
            <w:pPr>
              <w:widowControl/>
              <w:shd w:val="clear" w:color="auto" w:fill="FFFFFF"/>
              <w:spacing w:line="15" w:lineRule="atLeast"/>
              <w:jc w:val="left"/>
              <w:rPr>
                <w:rFonts w:ascii="Arial" w:eastAsia="ff3" w:hAnsi="Arial" w:cs="Arial"/>
              </w:rPr>
            </w:pPr>
            <w:r>
              <w:rPr>
                <w:rFonts w:ascii="Arial" w:eastAsia="ff8" w:hAnsi="Arial" w:cs="Arial"/>
                <w:spacing w:val="6"/>
                <w:shd w:val="clear" w:color="auto" w:fill="FFFFFF"/>
                <w:lang w:eastAsia="zh-CN" w:bidi="ar"/>
              </w:rPr>
              <w:t>≈</w:t>
            </w:r>
            <w:r>
              <w:rPr>
                <w:rFonts w:ascii="Arial" w:eastAsia="ff7" w:hAnsi="Arial" w:cs="Arial"/>
                <w:shd w:val="clear" w:color="auto" w:fill="FFFFFF"/>
                <w:lang w:eastAsia="zh-CN" w:bidi="ar"/>
              </w:rPr>
              <w:t>93.1% TSS</w:t>
            </w:r>
          </w:p>
          <w:p w14:paraId="3D146AB0" w14:textId="77777777" w:rsidR="00102470" w:rsidRDefault="00102470" w:rsidP="00281E45">
            <w:pPr>
              <w:widowControl/>
              <w:shd w:val="clear" w:color="auto" w:fill="FFFFFF"/>
              <w:spacing w:line="10" w:lineRule="atLeast"/>
              <w:jc w:val="left"/>
              <w:rPr>
                <w:rFonts w:ascii="Arial" w:eastAsia="ff8" w:hAnsi="Arial" w:cs="Arial"/>
                <w:spacing w:val="6"/>
              </w:rPr>
            </w:pPr>
            <w:r>
              <w:rPr>
                <w:rFonts w:ascii="Arial" w:eastAsia="ff8" w:hAnsi="Arial" w:cs="Arial"/>
                <w:spacing w:val="6"/>
                <w:shd w:val="clear" w:color="auto" w:fill="FFFFFF"/>
                <w:lang w:eastAsia="zh-CN" w:bidi="ar"/>
              </w:rPr>
              <w:t>≈</w:t>
            </w:r>
            <w:r>
              <w:rPr>
                <w:rFonts w:ascii="Arial" w:eastAsia="ff7" w:hAnsi="Arial" w:cs="Arial"/>
                <w:shd w:val="clear" w:color="auto" w:fill="FFFFFF"/>
                <w:lang w:eastAsia="zh-CN" w:bidi="ar"/>
              </w:rPr>
              <w:t>99% COD</w:t>
            </w:r>
          </w:p>
          <w:p w14:paraId="534DA5BF" w14:textId="77777777" w:rsidR="00102470" w:rsidRDefault="00102470" w:rsidP="00281E45">
            <w:pPr>
              <w:widowControl/>
              <w:spacing w:after="240"/>
              <w:jc w:val="left"/>
              <w:rPr>
                <w:rFonts w:ascii="Arial" w:eastAsia="Cambria" w:hAnsi="Arial" w:cs="Arial"/>
                <w:shd w:val="clear" w:color="auto" w:fill="FFFFFF"/>
              </w:rPr>
            </w:pPr>
          </w:p>
        </w:tc>
        <w:tc>
          <w:tcPr>
            <w:tcW w:w="1500" w:type="dxa"/>
          </w:tcPr>
          <w:p w14:paraId="64DC78FC" w14:textId="77777777" w:rsidR="00102470" w:rsidRDefault="00102470" w:rsidP="00281E45">
            <w:pPr>
              <w:widowControl/>
              <w:spacing w:after="240"/>
              <w:jc w:val="left"/>
              <w:rPr>
                <w:rFonts w:ascii="Arial" w:eastAsia="Cambria" w:hAnsi="Arial" w:cs="Arial"/>
                <w:shd w:val="clear" w:color="auto" w:fill="FFFFFF"/>
              </w:rPr>
            </w:pPr>
            <w:r>
              <w:rPr>
                <w:rFonts w:ascii="Arial" w:eastAsia="Cambria" w:hAnsi="Arial" w:cs="Arial"/>
                <w:shd w:val="clear" w:color="auto" w:fill="FFFFFF"/>
              </w:rPr>
              <w:t>New Zealand</w:t>
            </w:r>
          </w:p>
        </w:tc>
      </w:tr>
    </w:tbl>
    <w:p w14:paraId="00C642E1" w14:textId="77777777" w:rsidR="00102470" w:rsidRDefault="00102470" w:rsidP="00102470">
      <w:pPr>
        <w:spacing w:after="240"/>
        <w:rPr>
          <w:rFonts w:ascii="Arial" w:hAnsi="Arial" w:cs="Arial"/>
          <w:b/>
          <w:bCs/>
        </w:rPr>
      </w:pPr>
    </w:p>
    <w:p w14:paraId="510056D4" w14:textId="77777777" w:rsidR="00102470" w:rsidRDefault="00102470" w:rsidP="00102470">
      <w:pPr>
        <w:spacing w:after="240"/>
        <w:rPr>
          <w:rFonts w:ascii="Arial" w:hAnsi="Arial" w:cs="Arial"/>
          <w:b/>
          <w:bCs/>
        </w:rPr>
      </w:pPr>
      <w:r>
        <w:rPr>
          <w:rFonts w:ascii="Arial" w:hAnsi="Arial" w:cs="Arial"/>
          <w:b/>
          <w:bCs/>
        </w:rPr>
        <w:t xml:space="preserve">Table 3: </w:t>
      </w:r>
      <w:r>
        <w:rPr>
          <w:rFonts w:ascii="Arial" w:eastAsia="ff7" w:hAnsi="Arial" w:cs="Arial"/>
          <w:shd w:val="clear" w:color="auto" w:fill="FFFFFF"/>
        </w:rPr>
        <w:t xml:space="preserve">The summary of MBR treatment for food and beverage industry wastewater </w:t>
      </w:r>
      <w:r>
        <w:rPr>
          <w:rFonts w:ascii="Arial" w:hAnsi="Arial" w:cs="Arial"/>
          <w:b/>
          <w:bCs/>
        </w:rPr>
        <w:t>[19]</w:t>
      </w:r>
    </w:p>
    <w:p w14:paraId="150FD97D" w14:textId="77777777" w:rsidR="00102470" w:rsidRDefault="00102470" w:rsidP="00102470">
      <w:pPr>
        <w:spacing w:after="240"/>
        <w:rPr>
          <w:rFonts w:ascii="Arial" w:hAnsi="Arial" w:cs="Arial"/>
        </w:rPr>
      </w:pPr>
    </w:p>
    <w:p w14:paraId="1C174084" w14:textId="77777777" w:rsidR="00102470" w:rsidRDefault="00102470" w:rsidP="00102470">
      <w:pPr>
        <w:spacing w:after="240"/>
        <w:rPr>
          <w:rFonts w:ascii="Arial" w:eastAsia="SimSun" w:hAnsi="Arial" w:cs="Arial"/>
          <w:b/>
          <w:bCs/>
        </w:rPr>
      </w:pPr>
    </w:p>
    <w:p w14:paraId="4312D2F5" w14:textId="77777777" w:rsidR="00102470" w:rsidRDefault="00102470" w:rsidP="00102470">
      <w:pPr>
        <w:numPr>
          <w:ilvl w:val="0"/>
          <w:numId w:val="4"/>
        </w:numPr>
        <w:spacing w:after="240"/>
        <w:rPr>
          <w:rFonts w:ascii="Arial" w:hAnsi="Arial" w:cs="Arial"/>
        </w:rPr>
      </w:pPr>
      <w:r>
        <w:rPr>
          <w:rFonts w:ascii="Arial" w:eastAsia="SimSun" w:hAnsi="Arial" w:cs="Arial"/>
          <w:b/>
          <w:bCs/>
        </w:rPr>
        <w:lastRenderedPageBreak/>
        <w:t xml:space="preserve">Sequencing Batch Reactors for Poultry Slaughterhouse Wastewater: </w:t>
      </w:r>
      <w:r>
        <w:rPr>
          <w:rFonts w:ascii="Arial" w:eastAsia="Cambria" w:hAnsi="Arial" w:cs="Arial"/>
          <w:shd w:val="clear" w:color="auto" w:fill="FFFFFF"/>
        </w:rPr>
        <w:t xml:space="preserve">A sequential batch reactor (SBR) with different types of fibers was employed for the treatment of poultry slaughterhouse wastewater. Three types of fibers, namely, </w:t>
      </w:r>
      <w:proofErr w:type="spellStart"/>
      <w:r>
        <w:rPr>
          <w:rFonts w:ascii="Arial" w:eastAsia="Cambria" w:hAnsi="Arial" w:cs="Arial"/>
          <w:shd w:val="clear" w:color="auto" w:fill="FFFFFF"/>
        </w:rPr>
        <w:t>juite</w:t>
      </w:r>
      <w:proofErr w:type="spellEnd"/>
      <w:r>
        <w:rPr>
          <w:rFonts w:ascii="Arial" w:eastAsia="Cambria" w:hAnsi="Arial" w:cs="Arial"/>
          <w:shd w:val="clear" w:color="auto" w:fill="FFFFFF"/>
        </w:rPr>
        <w:t xml:space="preserve"> fiber (JF), bio-fringe fiber (BF), and </w:t>
      </w:r>
      <w:proofErr w:type="spellStart"/>
      <w:r>
        <w:rPr>
          <w:rFonts w:ascii="Arial" w:eastAsia="Cambria" w:hAnsi="Arial" w:cs="Arial"/>
          <w:shd w:val="clear" w:color="auto" w:fill="FFFFFF"/>
        </w:rPr>
        <w:t>siliconised</w:t>
      </w:r>
      <w:proofErr w:type="spellEnd"/>
      <w:r>
        <w:rPr>
          <w:rFonts w:ascii="Arial" w:eastAsia="Cambria" w:hAnsi="Arial" w:cs="Arial"/>
          <w:shd w:val="clear" w:color="auto" w:fill="FFFFFF"/>
        </w:rPr>
        <w:t xml:space="preserve"> conjugated polyester fiber (SCPF), were used. Four SBR experiments were conducted, using the fibers in different reactors, while the fourth reactor used a combination of these fibers. The treatment efficiency of the different reactors with and without fibers on biochemical oxygen demand (BOD), chemical oxygen demand (COD), ammonia-nitrogen (NH</w:t>
      </w:r>
      <w:r>
        <w:rPr>
          <w:rFonts w:ascii="Arial" w:eastAsia="Cambria" w:hAnsi="Arial" w:cs="Arial"/>
          <w:shd w:val="clear" w:color="auto" w:fill="FFFFFF"/>
          <w:vertAlign w:val="subscript"/>
        </w:rPr>
        <w:t>3</w:t>
      </w:r>
      <w:r>
        <w:rPr>
          <w:rFonts w:ascii="Arial" w:eastAsia="Cambria" w:hAnsi="Arial" w:cs="Arial"/>
          <w:shd w:val="clear" w:color="auto" w:fill="FFFFFF"/>
        </w:rPr>
        <w:t>-N), phosphorus (P), nitrite (NO</w:t>
      </w:r>
      <w:r>
        <w:rPr>
          <w:rFonts w:ascii="Arial" w:eastAsia="Cambria" w:hAnsi="Arial" w:cs="Arial"/>
          <w:shd w:val="clear" w:color="auto" w:fill="FFFFFF"/>
          <w:vertAlign w:val="subscript"/>
        </w:rPr>
        <w:t>2</w:t>
      </w:r>
      <w:r>
        <w:rPr>
          <w:rFonts w:ascii="Arial" w:eastAsia="Cambria" w:hAnsi="Arial" w:cs="Arial"/>
          <w:shd w:val="clear" w:color="auto" w:fill="FFFFFF"/>
        </w:rPr>
        <w:t>), nitrate (NO</w:t>
      </w:r>
      <w:r>
        <w:rPr>
          <w:rFonts w:ascii="Arial" w:eastAsia="Cambria" w:hAnsi="Arial" w:cs="Arial"/>
          <w:shd w:val="clear" w:color="auto" w:fill="FFFFFF"/>
          <w:vertAlign w:val="subscript"/>
        </w:rPr>
        <w:t>3</w:t>
      </w:r>
      <w:r>
        <w:rPr>
          <w:rFonts w:ascii="Arial" w:eastAsia="Cambria" w:hAnsi="Arial" w:cs="Arial"/>
          <w:shd w:val="clear" w:color="auto" w:fill="FFFFFF"/>
        </w:rPr>
        <w:t>), total suspended solids (TSS), and oil-grease were evaluated. The removal efficiency for the reactors with fibers was higher than that of the reactor without fibers for all pollutants. The treated effluent had 40 mg/L BOD</w:t>
      </w:r>
      <w:r>
        <w:rPr>
          <w:rFonts w:ascii="Arial" w:eastAsia="Cambria" w:hAnsi="Arial" w:cs="Arial"/>
          <w:shd w:val="clear" w:color="auto" w:fill="FFFFFF"/>
          <w:vertAlign w:val="subscript"/>
        </w:rPr>
        <w:t>5</w:t>
      </w:r>
      <w:r>
        <w:rPr>
          <w:rFonts w:ascii="Arial" w:eastAsia="Cambria" w:hAnsi="Arial" w:cs="Arial"/>
          <w:shd w:val="clear" w:color="auto" w:fill="FFFFFF"/>
        </w:rPr>
        <w:t xml:space="preserve"> and 45 mg/L COD with an average removal efficiency of 96% and 93%, respectively, which meet the discharge limits stated in the Environmental Quality Act in Malaysia.[20]. </w:t>
      </w:r>
    </w:p>
    <w:p w14:paraId="4433D406" w14:textId="77777777" w:rsidR="00102470" w:rsidRDefault="00102470" w:rsidP="00102470">
      <w:pPr>
        <w:spacing w:after="240"/>
        <w:rPr>
          <w:rFonts w:ascii="Arial" w:hAnsi="Arial" w:cs="Arial"/>
          <w:b/>
          <w:bCs/>
        </w:rPr>
      </w:pPr>
      <w:r>
        <w:rPr>
          <w:rFonts w:ascii="Arial" w:hAnsi="Arial" w:cs="Arial"/>
          <w:b/>
          <w:bCs/>
        </w:rPr>
        <w:t>Challenges to the Adoption of Bioreactors</w:t>
      </w:r>
    </w:p>
    <w:p w14:paraId="1359CDEA" w14:textId="77777777" w:rsidR="00102470" w:rsidRDefault="00102470" w:rsidP="00102470">
      <w:pPr>
        <w:pStyle w:val="NormalWeb"/>
        <w:numPr>
          <w:ilvl w:val="0"/>
          <w:numId w:val="5"/>
        </w:numPr>
        <w:rPr>
          <w:rFonts w:ascii="Arial" w:hAnsi="Arial" w:cs="Arial"/>
          <w:sz w:val="22"/>
          <w:szCs w:val="22"/>
        </w:rPr>
      </w:pPr>
      <w:r>
        <w:rPr>
          <w:rFonts w:ascii="Arial" w:hAnsi="Arial" w:cs="Arial"/>
          <w:b/>
          <w:bCs/>
          <w:sz w:val="22"/>
          <w:szCs w:val="22"/>
        </w:rPr>
        <w:t>Space Constraints</w:t>
      </w:r>
      <w:r>
        <w:rPr>
          <w:rFonts w:ascii="Arial" w:hAnsi="Arial" w:cs="Arial"/>
          <w:sz w:val="22"/>
          <w:szCs w:val="22"/>
        </w:rPr>
        <w:t xml:space="preserve">:  Many labs struggle with not having enough space, which makes it hard to set up bioreactor systems. These bioreactors, particularly the ones meant for continuous or semi-continuous use, take up a lot of room because they are big and need specific equipment to work. This problem can get in the way of fitting these systems into already existing lab setups. </w:t>
      </w:r>
    </w:p>
    <w:p w14:paraId="773D346A" w14:textId="77777777" w:rsidR="00102470" w:rsidRDefault="00102470" w:rsidP="00102470">
      <w:pPr>
        <w:pStyle w:val="NormalWeb"/>
        <w:numPr>
          <w:ilvl w:val="0"/>
          <w:numId w:val="5"/>
        </w:numPr>
        <w:rPr>
          <w:rFonts w:ascii="Arial" w:hAnsi="Arial" w:cs="Arial"/>
          <w:sz w:val="22"/>
          <w:szCs w:val="22"/>
        </w:rPr>
      </w:pPr>
      <w:r>
        <w:rPr>
          <w:rFonts w:ascii="Arial" w:hAnsi="Arial" w:cs="Arial"/>
          <w:b/>
          <w:bCs/>
          <w:sz w:val="22"/>
          <w:szCs w:val="22"/>
        </w:rPr>
        <w:t>Skill Gap:</w:t>
      </w:r>
      <w:r>
        <w:rPr>
          <w:rFonts w:ascii="Arial" w:hAnsi="Arial" w:cs="Arial"/>
          <w:sz w:val="22"/>
          <w:szCs w:val="22"/>
        </w:rPr>
        <w:t xml:space="preserve"> Operating bioreactors necessitates specialized knowledge in microbiology, bioprocess engineering, and environmental management. [21]. Bioreactor systems are complicated machines that require skilled people to operate them properly. Experts are needed to observe, manage, and improve how these systems work. Without enough trained staff, it becomes difficult to effectively use and oversee bioreactor systems in laboratory settings.</w:t>
      </w:r>
    </w:p>
    <w:p w14:paraId="0210BF5F" w14:textId="77777777" w:rsidR="00102470" w:rsidRDefault="00102470" w:rsidP="00102470">
      <w:pPr>
        <w:pStyle w:val="NormalWeb"/>
        <w:numPr>
          <w:ilvl w:val="0"/>
          <w:numId w:val="5"/>
        </w:numPr>
        <w:rPr>
          <w:rFonts w:ascii="Arial" w:hAnsi="Arial" w:cs="Arial"/>
          <w:sz w:val="22"/>
          <w:szCs w:val="22"/>
        </w:rPr>
      </w:pPr>
      <w:r>
        <w:rPr>
          <w:rFonts w:ascii="Arial" w:hAnsi="Arial" w:cs="Arial"/>
          <w:b/>
          <w:bCs/>
          <w:sz w:val="22"/>
          <w:szCs w:val="22"/>
        </w:rPr>
        <w:t>Cost Intensive:</w:t>
      </w:r>
      <w:r>
        <w:rPr>
          <w:rFonts w:ascii="Arial" w:hAnsi="Arial" w:cs="Arial"/>
          <w:sz w:val="22"/>
          <w:szCs w:val="22"/>
        </w:rPr>
        <w:t xml:space="preserve"> The upfront costs associated with acquiring and installing bioreactor systems, such as Membrane Bioreactors (MBRs) or Microbial Fuel Cells (MFCs), can be substantial. These expenses encompass equipment procurement, installation, and the development of supporting infrastructure. For many laboratories, especially those with limited budgets, these costs can be a significant barrier to adopting bioreactor technologies.[22].</w:t>
      </w:r>
    </w:p>
    <w:p w14:paraId="578A5289" w14:textId="77777777" w:rsidR="00102470" w:rsidRDefault="00102470" w:rsidP="00102470">
      <w:pPr>
        <w:pStyle w:val="NormalWeb"/>
        <w:rPr>
          <w:rFonts w:ascii="Arial" w:hAnsi="Arial" w:cs="Arial"/>
          <w:sz w:val="22"/>
          <w:szCs w:val="22"/>
        </w:rPr>
      </w:pPr>
      <w:r>
        <w:rPr>
          <w:rFonts w:ascii="Arial" w:hAnsi="Arial" w:cs="Arial"/>
          <w:sz w:val="22"/>
          <w:szCs w:val="22"/>
        </w:rPr>
        <w:t xml:space="preserve">While these barriers pose serious threats, there are some practical steps experts and scientists have suggested to reduce the friction and challenges of Adoption. </w:t>
      </w:r>
    </w:p>
    <w:p w14:paraId="708D465C" w14:textId="77777777" w:rsidR="00102470" w:rsidRDefault="00102470" w:rsidP="00102470">
      <w:pPr>
        <w:pStyle w:val="NormalWeb"/>
        <w:numPr>
          <w:ilvl w:val="0"/>
          <w:numId w:val="5"/>
        </w:numPr>
        <w:rPr>
          <w:rFonts w:ascii="Arial" w:hAnsi="Arial" w:cs="Arial"/>
          <w:sz w:val="22"/>
          <w:szCs w:val="22"/>
        </w:rPr>
      </w:pPr>
      <w:r>
        <w:rPr>
          <w:rStyle w:val="Strong"/>
          <w:rFonts w:ascii="Arial" w:hAnsi="Arial" w:cs="Arial"/>
          <w:sz w:val="22"/>
          <w:szCs w:val="22"/>
        </w:rPr>
        <w:t xml:space="preserve">Policy Incentives: </w:t>
      </w:r>
      <w:r>
        <w:rPr>
          <w:rFonts w:ascii="Arial" w:hAnsi="Arial" w:cs="Arial"/>
          <w:sz w:val="22"/>
          <w:szCs w:val="22"/>
        </w:rPr>
        <w:t>Government interventions, like the financial incentives, are crucial in promoting the adoption of advanced technologies, including bioreactors. Studies have shown that subsidies and grants can significantly lower the financial barriers associated with implementing such systems. For instance, a 2023 study discusses how policy incentives, including subsidies, have successfully encouraged the adoption of climate-smart agricultural practices among smallholders.[21]</w:t>
      </w:r>
    </w:p>
    <w:p w14:paraId="76D11A2D" w14:textId="77777777" w:rsidR="00102470" w:rsidRDefault="00102470" w:rsidP="00102470">
      <w:pPr>
        <w:pStyle w:val="NormalWeb"/>
        <w:numPr>
          <w:ilvl w:val="0"/>
          <w:numId w:val="5"/>
        </w:numPr>
        <w:rPr>
          <w:rFonts w:ascii="Arial" w:hAnsi="Arial" w:cs="Arial"/>
          <w:sz w:val="22"/>
          <w:szCs w:val="22"/>
        </w:rPr>
      </w:pPr>
      <w:r>
        <w:rPr>
          <w:rStyle w:val="Strong"/>
          <w:rFonts w:ascii="Arial" w:hAnsi="Arial" w:cs="Arial"/>
          <w:sz w:val="22"/>
          <w:szCs w:val="22"/>
        </w:rPr>
        <w:t xml:space="preserve">Training Programs: To solve the persistent issues of skill gap </w:t>
      </w:r>
      <w:proofErr w:type="gramStart"/>
      <w:r>
        <w:rPr>
          <w:rStyle w:val="Strong"/>
          <w:rFonts w:ascii="Arial" w:hAnsi="Arial" w:cs="Arial"/>
          <w:sz w:val="22"/>
          <w:szCs w:val="22"/>
        </w:rPr>
        <w:t>a  structured</w:t>
      </w:r>
      <w:proofErr w:type="gramEnd"/>
      <w:r>
        <w:rPr>
          <w:rStyle w:val="Strong"/>
          <w:rFonts w:ascii="Arial" w:hAnsi="Arial" w:cs="Arial"/>
          <w:sz w:val="22"/>
          <w:szCs w:val="22"/>
        </w:rPr>
        <w:t xml:space="preserve"> and c</w:t>
      </w:r>
      <w:r>
        <w:rPr>
          <w:rFonts w:ascii="Arial" w:hAnsi="Arial" w:cs="Arial"/>
          <w:sz w:val="22"/>
          <w:szCs w:val="22"/>
        </w:rPr>
        <w:t>omprehensive training is essential to equip laboratory personnel with the necessary skills to operate complex bioreactor systems effectively. Research highlights that training and information dissemination can significantly influence the adoption of new technologies. For example, a 2024 study emphasizes the role of training facilities in enhancing the capacities of health workers, suggesting that similar training programs could be beneficial in laboratory contexts. [23]</w:t>
      </w:r>
    </w:p>
    <w:p w14:paraId="4EE619C5" w14:textId="77777777" w:rsidR="00102470" w:rsidRDefault="00102470" w:rsidP="00102470">
      <w:pPr>
        <w:pStyle w:val="NormalWeb"/>
        <w:numPr>
          <w:ilvl w:val="0"/>
          <w:numId w:val="5"/>
        </w:numPr>
        <w:rPr>
          <w:rFonts w:ascii="Arial" w:hAnsi="Arial" w:cs="Arial"/>
          <w:sz w:val="22"/>
          <w:szCs w:val="22"/>
        </w:rPr>
      </w:pPr>
      <w:r>
        <w:rPr>
          <w:rStyle w:val="Strong"/>
          <w:rFonts w:ascii="Arial" w:hAnsi="Arial" w:cs="Arial"/>
          <w:sz w:val="22"/>
          <w:szCs w:val="22"/>
        </w:rPr>
        <w:lastRenderedPageBreak/>
        <w:t xml:space="preserve">Financial Support and Incentives: </w:t>
      </w:r>
      <w:r>
        <w:rPr>
          <w:rFonts w:ascii="Arial" w:hAnsi="Arial" w:cs="Arial"/>
          <w:sz w:val="22"/>
          <w:szCs w:val="22"/>
        </w:rPr>
        <w:t>Financial aid such as grants, tax incentives, and subsidies, play a pivotal role in offsetting the initial costs of bioreactor systems. Studies have shown that the right financial support can enhance the economic feasibility of adopting anaerobic digestion systems. A 2025 study discusses designing optimal policies for low-carbon technology adoption, highlighting the importance of financial incentives in reducing costs and encouraging investment in such technologies. [24]</w:t>
      </w:r>
    </w:p>
    <w:p w14:paraId="6C778A48" w14:textId="77777777" w:rsidR="00102470" w:rsidRDefault="00102470" w:rsidP="00102470">
      <w:pPr>
        <w:numPr>
          <w:ilvl w:val="0"/>
          <w:numId w:val="3"/>
        </w:numPr>
        <w:spacing w:after="240"/>
        <w:rPr>
          <w:rFonts w:ascii="Arial" w:hAnsi="Arial" w:cs="Arial"/>
          <w:b/>
          <w:bCs/>
        </w:rPr>
      </w:pPr>
      <w:r>
        <w:rPr>
          <w:rFonts w:ascii="Arial" w:hAnsi="Arial" w:cs="Arial"/>
          <w:b/>
          <w:bCs/>
        </w:rPr>
        <w:t>CONCLUSION</w:t>
      </w:r>
    </w:p>
    <w:p w14:paraId="4100E5B1" w14:textId="77777777" w:rsidR="00102470" w:rsidRDefault="00102470" w:rsidP="00102470">
      <w:pPr>
        <w:pStyle w:val="NormalWeb"/>
        <w:rPr>
          <w:rFonts w:ascii="Arial" w:hAnsi="Arial" w:cs="Arial"/>
          <w:sz w:val="22"/>
          <w:szCs w:val="22"/>
        </w:rPr>
      </w:pPr>
      <w:r>
        <w:rPr>
          <w:rFonts w:ascii="Arial" w:hAnsi="Arial" w:cs="Arial"/>
          <w:sz w:val="22"/>
          <w:szCs w:val="22"/>
        </w:rPr>
        <w:t xml:space="preserve">The adoption of bioreactor technologies in food quality control laboratories represents a vital step toward achieving sustainable waste management and advancing circular economy practices. This review focuses on how different systems like anaerobic digesters, microbial fuel cells, and membrane bioreactors can convert lab-generated waste into useful products such as bioenergy, clean water, and nutrient-rich materials. Anaerobic digesters are particularly effective for handling large amounts of biodegradable waste, making them highly suitable for this purpose. On the other hand, membrane bioreactors are ideal for efficiently treating various mixed wastewater types within a compact space. Microbial fuel cells are innovative tools that, although still developing, can reduce waste and produce electricity simultaneously. The effective use </w:t>
      </w:r>
      <w:proofErr w:type="gramStart"/>
      <w:r>
        <w:rPr>
          <w:rFonts w:ascii="Arial" w:hAnsi="Arial" w:cs="Arial"/>
          <w:sz w:val="22"/>
          <w:szCs w:val="22"/>
        </w:rPr>
        <w:t>of  these</w:t>
      </w:r>
      <w:proofErr w:type="gramEnd"/>
      <w:r>
        <w:rPr>
          <w:rFonts w:ascii="Arial" w:hAnsi="Arial" w:cs="Arial"/>
          <w:sz w:val="22"/>
          <w:szCs w:val="22"/>
        </w:rPr>
        <w:t xml:space="preserve"> systems can significantly cut down environmental impact, lower operational expenses, and improve the sustainability of food laboratory processes. </w:t>
      </w:r>
    </w:p>
    <w:p w14:paraId="5A7882C1" w14:textId="77777777" w:rsidR="00102470" w:rsidRDefault="00102470" w:rsidP="00102470">
      <w:pPr>
        <w:pStyle w:val="NormalWeb"/>
        <w:rPr>
          <w:rFonts w:ascii="Arial" w:hAnsi="Arial" w:cs="Arial"/>
          <w:sz w:val="22"/>
          <w:szCs w:val="22"/>
        </w:rPr>
      </w:pPr>
      <w:r>
        <w:rPr>
          <w:rFonts w:ascii="Arial" w:hAnsi="Arial" w:cs="Arial"/>
          <w:sz w:val="22"/>
          <w:szCs w:val="22"/>
        </w:rPr>
        <w:t xml:space="preserve">However, despite all </w:t>
      </w:r>
      <w:proofErr w:type="gramStart"/>
      <w:r>
        <w:rPr>
          <w:rFonts w:ascii="Arial" w:hAnsi="Arial" w:cs="Arial"/>
          <w:sz w:val="22"/>
          <w:szCs w:val="22"/>
        </w:rPr>
        <w:t>of  the</w:t>
      </w:r>
      <w:proofErr w:type="gramEnd"/>
      <w:r>
        <w:rPr>
          <w:rFonts w:ascii="Arial" w:hAnsi="Arial" w:cs="Arial"/>
          <w:sz w:val="22"/>
          <w:szCs w:val="22"/>
        </w:rPr>
        <w:t xml:space="preserve"> aforementioned advantages, some challenges prevent it’s general adoption. Some of </w:t>
      </w:r>
      <w:proofErr w:type="gramStart"/>
      <w:r>
        <w:rPr>
          <w:rFonts w:ascii="Arial" w:hAnsi="Arial" w:cs="Arial"/>
          <w:sz w:val="22"/>
          <w:szCs w:val="22"/>
        </w:rPr>
        <w:t>these  limitations</w:t>
      </w:r>
      <w:proofErr w:type="gramEnd"/>
      <w:r>
        <w:rPr>
          <w:rFonts w:ascii="Arial" w:hAnsi="Arial" w:cs="Arial"/>
          <w:sz w:val="22"/>
          <w:szCs w:val="22"/>
        </w:rPr>
        <w:t xml:space="preserve"> are infrastructure, knowledge gaps, and the high costs associated with initial setup.  To overcome these barriers and challenges, there should be supportive policies, comprehensive training programs, and targeted financial investments to accelerate the shift of food testing laboratories toward practices that generate no waste and emit low emissions. </w:t>
      </w:r>
    </w:p>
    <w:p w14:paraId="5C3CFC94" w14:textId="77777777" w:rsidR="00102470" w:rsidRDefault="00102470" w:rsidP="00102470">
      <w:pPr>
        <w:pStyle w:val="NormalWeb"/>
        <w:rPr>
          <w:rFonts w:ascii="Arial" w:hAnsi="Arial" w:cs="Arial"/>
          <w:b/>
          <w:bCs/>
          <w:sz w:val="22"/>
          <w:szCs w:val="22"/>
        </w:rPr>
      </w:pPr>
      <w:r>
        <w:rPr>
          <w:rFonts w:ascii="Arial" w:hAnsi="Arial" w:cs="Arial"/>
          <w:sz w:val="22"/>
          <w:szCs w:val="22"/>
        </w:rPr>
        <w:t xml:space="preserve">A project carried out in Northeast Brazil, where a membrane bioreactor was used to treat wastewater from a fruit processing facility. This project removed over 95% of BOD and total nitrogen from the wastewater, demonstrating that such systems are feasible and effective even in areas with limited resources [25]. For continuous developments and advancements, efforts should concentrate on large-scale pilot projects, developing partnerships across various disciplines, and creating waste-to-resource models that are in line with global sustainability targets. </w:t>
      </w:r>
    </w:p>
    <w:p w14:paraId="2AB2AB22" w14:textId="77777777" w:rsidR="00102470" w:rsidRDefault="00102470" w:rsidP="00102470">
      <w:pPr>
        <w:spacing w:after="240"/>
        <w:rPr>
          <w:rFonts w:ascii="Arial" w:hAnsi="Arial" w:cs="Arial"/>
        </w:rPr>
      </w:pPr>
      <w:r>
        <w:rPr>
          <w:rFonts w:ascii="Arial" w:hAnsi="Arial" w:cs="Arial"/>
          <w:b/>
          <w:bCs/>
        </w:rPr>
        <w:t>REFERENCES</w:t>
      </w:r>
    </w:p>
    <w:p w14:paraId="235C0A60" w14:textId="77777777" w:rsidR="00102470" w:rsidRDefault="00102470" w:rsidP="00102470">
      <w:pPr>
        <w:pStyle w:val="NormalWeb"/>
        <w:numPr>
          <w:ilvl w:val="0"/>
          <w:numId w:val="6"/>
        </w:numPr>
        <w:spacing w:beforeAutospacing="0" w:afterAutospacing="0" w:line="18" w:lineRule="atLeast"/>
        <w:rPr>
          <w:rFonts w:ascii="Arial" w:hAnsi="Arial" w:cs="Arial"/>
          <w:sz w:val="22"/>
          <w:szCs w:val="22"/>
        </w:rPr>
      </w:pPr>
      <w:r>
        <w:rPr>
          <w:rFonts w:ascii="Arial" w:hAnsi="Arial" w:cs="Arial"/>
          <w:sz w:val="22"/>
          <w:szCs w:val="22"/>
        </w:rPr>
        <w:t xml:space="preserve">Starovoytova D (2018). Solid Waste Management (SWM) at a University Campus (Part 1/10): Comprehensive Review on Legal Framework and Background to Waste Management in a Global Context. </w:t>
      </w:r>
      <w:r>
        <w:rPr>
          <w:rFonts w:ascii="Arial" w:hAnsi="Arial" w:cs="Arial"/>
          <w:i/>
          <w:iCs/>
          <w:sz w:val="22"/>
          <w:szCs w:val="22"/>
        </w:rPr>
        <w:t>J. Environ. Earth Sci. 2225-0948</w:t>
      </w:r>
      <w:r>
        <w:rPr>
          <w:rFonts w:ascii="Arial" w:hAnsi="Arial" w:cs="Arial"/>
          <w:sz w:val="22"/>
          <w:szCs w:val="22"/>
        </w:rPr>
        <w:t>.</w:t>
      </w:r>
    </w:p>
    <w:p w14:paraId="1D06C23E" w14:textId="77777777" w:rsidR="00102470" w:rsidRDefault="00102470" w:rsidP="00102470">
      <w:pPr>
        <w:pStyle w:val="NormalWeb"/>
        <w:numPr>
          <w:ilvl w:val="0"/>
          <w:numId w:val="6"/>
        </w:numPr>
        <w:spacing w:beforeAutospacing="0" w:afterAutospacing="0" w:line="18" w:lineRule="atLeast"/>
        <w:rPr>
          <w:rFonts w:ascii="Arial" w:hAnsi="Arial" w:cs="Arial"/>
          <w:sz w:val="22"/>
          <w:szCs w:val="22"/>
        </w:rPr>
      </w:pPr>
      <w:r>
        <w:rPr>
          <w:rFonts w:ascii="Arial" w:hAnsi="Arial" w:cs="Arial"/>
          <w:sz w:val="22"/>
          <w:szCs w:val="22"/>
        </w:rPr>
        <w:t xml:space="preserve">A. Lahiri, S. Daniel, R. </w:t>
      </w:r>
      <w:proofErr w:type="spellStart"/>
      <w:r>
        <w:rPr>
          <w:rFonts w:ascii="Arial" w:hAnsi="Arial" w:cs="Arial"/>
          <w:sz w:val="22"/>
          <w:szCs w:val="22"/>
        </w:rPr>
        <w:t>Kanthapazham</w:t>
      </w:r>
      <w:proofErr w:type="spellEnd"/>
      <w:r>
        <w:rPr>
          <w:rFonts w:ascii="Arial" w:hAnsi="Arial" w:cs="Arial"/>
          <w:sz w:val="22"/>
          <w:szCs w:val="22"/>
        </w:rPr>
        <w:t xml:space="preserve">, R. </w:t>
      </w:r>
      <w:proofErr w:type="spellStart"/>
      <w:r>
        <w:rPr>
          <w:rFonts w:ascii="Arial" w:hAnsi="Arial" w:cs="Arial"/>
          <w:sz w:val="22"/>
          <w:szCs w:val="22"/>
        </w:rPr>
        <w:t>Vanaraj</w:t>
      </w:r>
      <w:proofErr w:type="spellEnd"/>
      <w:r>
        <w:rPr>
          <w:rFonts w:ascii="Arial" w:hAnsi="Arial" w:cs="Arial"/>
          <w:sz w:val="22"/>
          <w:szCs w:val="22"/>
        </w:rPr>
        <w:t xml:space="preserve">, A. </w:t>
      </w:r>
      <w:proofErr w:type="spellStart"/>
      <w:r>
        <w:rPr>
          <w:rFonts w:ascii="Arial" w:hAnsi="Arial" w:cs="Arial"/>
          <w:sz w:val="22"/>
          <w:szCs w:val="22"/>
        </w:rPr>
        <w:t>Thambidurai</w:t>
      </w:r>
      <w:proofErr w:type="spellEnd"/>
      <w:r>
        <w:rPr>
          <w:rFonts w:ascii="Arial" w:hAnsi="Arial" w:cs="Arial"/>
          <w:sz w:val="22"/>
          <w:szCs w:val="22"/>
        </w:rPr>
        <w:t xml:space="preserve">, and L. S. Peter, “A critical review on food waste management for the production of materials and biofuel,” </w:t>
      </w:r>
      <w:r>
        <w:rPr>
          <w:rFonts w:ascii="Arial" w:hAnsi="Arial" w:cs="Arial"/>
          <w:i/>
          <w:iCs/>
          <w:sz w:val="22"/>
          <w:szCs w:val="22"/>
        </w:rPr>
        <w:t>Journal of Hazardous Materials Advances</w:t>
      </w:r>
      <w:r>
        <w:rPr>
          <w:rFonts w:ascii="Arial" w:hAnsi="Arial" w:cs="Arial"/>
          <w:sz w:val="22"/>
          <w:szCs w:val="22"/>
        </w:rPr>
        <w:t xml:space="preserve">, vol. 10, p. 100266, Feb. 2023, </w:t>
      </w:r>
      <w:proofErr w:type="spellStart"/>
      <w:r>
        <w:rPr>
          <w:rFonts w:ascii="Arial" w:hAnsi="Arial" w:cs="Arial"/>
          <w:sz w:val="22"/>
          <w:szCs w:val="22"/>
        </w:rPr>
        <w:t>doi</w:t>
      </w:r>
      <w:proofErr w:type="spellEnd"/>
      <w:r>
        <w:rPr>
          <w:rFonts w:ascii="Arial" w:hAnsi="Arial" w:cs="Arial"/>
          <w:sz w:val="22"/>
          <w:szCs w:val="22"/>
        </w:rPr>
        <w:t>: 10.1016/j.hazadv.2023.100266.</w:t>
      </w:r>
    </w:p>
    <w:p w14:paraId="2756954C" w14:textId="77777777" w:rsidR="00102470" w:rsidRDefault="00102470" w:rsidP="00102470">
      <w:pPr>
        <w:pStyle w:val="NormalWeb"/>
        <w:numPr>
          <w:ilvl w:val="0"/>
          <w:numId w:val="6"/>
        </w:numPr>
        <w:spacing w:beforeAutospacing="0" w:afterAutospacing="0" w:line="18" w:lineRule="atLeast"/>
        <w:rPr>
          <w:rFonts w:ascii="Arial" w:hAnsi="Arial" w:cs="Arial"/>
          <w:sz w:val="22"/>
          <w:szCs w:val="22"/>
        </w:rPr>
      </w:pPr>
      <w:r>
        <w:rPr>
          <w:rFonts w:ascii="Arial" w:hAnsi="Arial" w:cs="Arial"/>
          <w:sz w:val="22"/>
          <w:szCs w:val="22"/>
          <w:shd w:val="clear" w:color="auto" w:fill="FFFFFF"/>
        </w:rPr>
        <w:t xml:space="preserve">Kennard, N.J. (2020). Food Waste Management. In: Leal Filho, W., Azul, A.M., Brandli, L., </w:t>
      </w:r>
      <w:proofErr w:type="spellStart"/>
      <w:r>
        <w:rPr>
          <w:rFonts w:ascii="Arial" w:hAnsi="Arial" w:cs="Arial"/>
          <w:sz w:val="22"/>
          <w:szCs w:val="22"/>
          <w:shd w:val="clear" w:color="auto" w:fill="FFFFFF"/>
        </w:rPr>
        <w:t>Özuyar</w:t>
      </w:r>
      <w:proofErr w:type="spellEnd"/>
      <w:r>
        <w:rPr>
          <w:rFonts w:ascii="Arial" w:hAnsi="Arial" w:cs="Arial"/>
          <w:sz w:val="22"/>
          <w:szCs w:val="22"/>
          <w:shd w:val="clear" w:color="auto" w:fill="FFFFFF"/>
        </w:rPr>
        <w:t xml:space="preserve">, P.G., Wall, T. (eds) Zero Hunger. Encyclopedia of the UN Sustainable Development Goals. Springer, Cham. </w:t>
      </w:r>
      <w:hyperlink r:id="rId11" w:history="1">
        <w:r>
          <w:rPr>
            <w:rStyle w:val="Hyperlink"/>
            <w:rFonts w:ascii="Arial" w:hAnsi="Arial" w:cs="Arial"/>
            <w:color w:val="auto"/>
            <w:sz w:val="22"/>
            <w:szCs w:val="22"/>
            <w:shd w:val="clear" w:color="auto" w:fill="FFFFFF"/>
          </w:rPr>
          <w:t>https://doi.org/10.1007/978-3-319-95675-6_86</w:t>
        </w:r>
      </w:hyperlink>
    </w:p>
    <w:p w14:paraId="3FAA571B" w14:textId="77777777" w:rsidR="00102470" w:rsidRDefault="00102470" w:rsidP="00102470">
      <w:pPr>
        <w:pStyle w:val="NormalWeb"/>
        <w:numPr>
          <w:ilvl w:val="0"/>
          <w:numId w:val="6"/>
        </w:numPr>
        <w:spacing w:beforeAutospacing="0" w:afterAutospacing="0" w:line="18" w:lineRule="atLeast"/>
        <w:rPr>
          <w:rFonts w:ascii="Arial" w:hAnsi="Arial" w:cs="Arial"/>
          <w:sz w:val="22"/>
          <w:szCs w:val="22"/>
        </w:rPr>
      </w:pPr>
      <w:r>
        <w:rPr>
          <w:rFonts w:ascii="Arial" w:hAnsi="Arial" w:cs="Arial"/>
          <w:sz w:val="22"/>
          <w:szCs w:val="22"/>
          <w:shd w:val="clear" w:color="auto" w:fill="FFFFFF"/>
        </w:rPr>
        <w:t>Lam, C.</w:t>
      </w:r>
      <w:proofErr w:type="gramStart"/>
      <w:r>
        <w:rPr>
          <w:rFonts w:ascii="Arial" w:hAnsi="Arial" w:cs="Arial"/>
          <w:sz w:val="22"/>
          <w:szCs w:val="22"/>
          <w:shd w:val="clear" w:color="auto" w:fill="FFFFFF"/>
        </w:rPr>
        <w:t>-.M.</w:t>
      </w:r>
      <w:proofErr w:type="gramEnd"/>
      <w:r>
        <w:rPr>
          <w:rFonts w:ascii="Arial" w:hAnsi="Arial" w:cs="Arial"/>
          <w:sz w:val="22"/>
          <w:szCs w:val="22"/>
          <w:shd w:val="clear" w:color="auto" w:fill="FFFFFF"/>
        </w:rPr>
        <w:t xml:space="preserve">, Yu, I.K.M., Hsu, S.-.C., Tsang, D.C.W., Chapter 18 - Life-cycle assessment of food waste recycling, in: T. Bhaskar, A. Pandey, E.R. Rene, </w:t>
      </w:r>
      <w:r>
        <w:rPr>
          <w:rFonts w:ascii="Arial" w:hAnsi="Arial" w:cs="Arial"/>
          <w:sz w:val="22"/>
          <w:szCs w:val="22"/>
          <w:shd w:val="clear" w:color="auto" w:fill="FFFFFF"/>
        </w:rPr>
        <w:lastRenderedPageBreak/>
        <w:t>D.C.W.B.T.-W.B. Tsang (Eds.), Elsevier, 2020: pp. 481–513. doi:</w:t>
      </w:r>
      <w:hyperlink r:id="rId12" w:history="1">
        <w:r>
          <w:rPr>
            <w:rStyle w:val="Hyperlink"/>
            <w:rFonts w:ascii="Arial" w:hAnsi="Arial" w:cs="Arial"/>
            <w:color w:val="auto"/>
            <w:sz w:val="22"/>
            <w:szCs w:val="22"/>
            <w:shd w:val="clear" w:color="auto" w:fill="FFFFFF"/>
          </w:rPr>
          <w:t>10.1016/B978-0-12-818228-4.00018-6</w:t>
        </w:r>
      </w:hyperlink>
      <w:r>
        <w:rPr>
          <w:rFonts w:ascii="Arial" w:hAnsi="Arial" w:cs="Arial"/>
          <w:sz w:val="22"/>
          <w:szCs w:val="22"/>
          <w:shd w:val="clear" w:color="auto" w:fill="FFFFFF"/>
        </w:rPr>
        <w:t>.</w:t>
      </w:r>
    </w:p>
    <w:p w14:paraId="04DC8021" w14:textId="77777777" w:rsidR="00102470" w:rsidRDefault="00102470" w:rsidP="00102470">
      <w:pPr>
        <w:pStyle w:val="NormalWeb"/>
        <w:numPr>
          <w:ilvl w:val="0"/>
          <w:numId w:val="6"/>
        </w:numPr>
        <w:spacing w:beforeAutospacing="0" w:afterAutospacing="0" w:line="18" w:lineRule="atLeast"/>
        <w:rPr>
          <w:rFonts w:ascii="Arial" w:hAnsi="Arial" w:cs="Arial"/>
          <w:sz w:val="22"/>
          <w:szCs w:val="22"/>
        </w:rPr>
      </w:pPr>
      <w:r>
        <w:rPr>
          <w:rFonts w:ascii="Arial" w:hAnsi="Arial" w:cs="Arial"/>
          <w:sz w:val="22"/>
          <w:szCs w:val="22"/>
          <w:shd w:val="clear" w:color="auto" w:fill="FFFFFF"/>
        </w:rPr>
        <w:t>Jain, S., Newman, D., Cepeda-Márquez, R., &amp; Zeller, K. (2018). Global food waste management: an implementation guide for cities.</w:t>
      </w:r>
      <w:hyperlink r:id="rId13" w:history="1">
        <w:r>
          <w:rPr>
            <w:rStyle w:val="Hyperlink"/>
            <w:rFonts w:ascii="Arial" w:hAnsi="Arial" w:cs="Arial"/>
            <w:color w:val="auto"/>
            <w:sz w:val="22"/>
            <w:szCs w:val="22"/>
            <w:shd w:val="clear" w:color="auto" w:fill="FFFFFF"/>
          </w:rPr>
          <w:t>https://www.worldbiogasassociation.org/wp-content/uploads/2018/05/Global-Food-Waste-Management-Full-report-pdf.pdf</w:t>
        </w:r>
      </w:hyperlink>
    </w:p>
    <w:p w14:paraId="1A2C12E2" w14:textId="77777777" w:rsidR="00102470" w:rsidRDefault="00102470" w:rsidP="00102470">
      <w:pPr>
        <w:pStyle w:val="NormalWeb"/>
        <w:numPr>
          <w:ilvl w:val="0"/>
          <w:numId w:val="6"/>
        </w:numPr>
        <w:spacing w:beforeAutospacing="0" w:afterAutospacing="0" w:line="18" w:lineRule="atLeast"/>
        <w:rPr>
          <w:rFonts w:ascii="Arial" w:hAnsi="Arial" w:cs="Arial"/>
          <w:sz w:val="22"/>
          <w:szCs w:val="22"/>
        </w:rPr>
      </w:pPr>
      <w:r>
        <w:rPr>
          <w:rFonts w:ascii="Arial" w:hAnsi="Arial" w:cs="Arial"/>
          <w:sz w:val="22"/>
          <w:szCs w:val="22"/>
          <w:shd w:val="clear" w:color="auto" w:fill="FFFFFF"/>
        </w:rPr>
        <w:t>WFS (World Food Safety Day 2021 Facts), 2021. Available at: https://hygienefoodsafety.org/world-food-safety-day-2021/, Access</w:t>
      </w:r>
    </w:p>
    <w:p w14:paraId="27DD37FA" w14:textId="77777777" w:rsidR="00102470" w:rsidRDefault="00102470" w:rsidP="00102470">
      <w:pPr>
        <w:pStyle w:val="NormalWeb"/>
        <w:numPr>
          <w:ilvl w:val="0"/>
          <w:numId w:val="6"/>
        </w:numPr>
        <w:spacing w:beforeAutospacing="0" w:afterAutospacing="0" w:line="18" w:lineRule="atLeast"/>
        <w:rPr>
          <w:rFonts w:ascii="Arial" w:hAnsi="Arial" w:cs="Arial"/>
          <w:sz w:val="22"/>
          <w:szCs w:val="22"/>
        </w:rPr>
      </w:pPr>
      <w:proofErr w:type="spellStart"/>
      <w:r>
        <w:rPr>
          <w:rFonts w:ascii="Arial" w:hAnsi="Arial" w:cs="Arial"/>
          <w:sz w:val="22"/>
          <w:szCs w:val="22"/>
          <w:shd w:val="clear" w:color="auto" w:fill="FFFFFF"/>
        </w:rPr>
        <w:t>Onyeaka</w:t>
      </w:r>
      <w:proofErr w:type="spellEnd"/>
      <w:r>
        <w:rPr>
          <w:rFonts w:ascii="Arial" w:hAnsi="Arial" w:cs="Arial"/>
          <w:sz w:val="22"/>
          <w:szCs w:val="22"/>
          <w:shd w:val="clear" w:color="auto" w:fill="FFFFFF"/>
        </w:rPr>
        <w:t xml:space="preserve"> H. &amp; </w:t>
      </w:r>
      <w:proofErr w:type="spellStart"/>
      <w:r>
        <w:rPr>
          <w:rFonts w:ascii="Arial" w:hAnsi="Arial" w:cs="Arial"/>
          <w:sz w:val="22"/>
          <w:szCs w:val="22"/>
          <w:shd w:val="clear" w:color="auto" w:fill="FFFFFF"/>
        </w:rPr>
        <w:t>Chukwugozie</w:t>
      </w:r>
      <w:proofErr w:type="spellEnd"/>
      <w:r>
        <w:rPr>
          <w:rFonts w:ascii="Arial" w:hAnsi="Arial" w:cs="Arial"/>
          <w:sz w:val="22"/>
          <w:szCs w:val="22"/>
          <w:shd w:val="clear" w:color="auto" w:fill="FFFFFF"/>
        </w:rPr>
        <w:t xml:space="preserve"> D. C. (2023). Closing the Loop: How Circular Economy Approaches Can Tackle Food Waste and Promote Sustainability. </w:t>
      </w:r>
      <w:proofErr w:type="spellStart"/>
      <w:r>
        <w:rPr>
          <w:rFonts w:ascii="Arial" w:hAnsi="Arial" w:cs="Arial"/>
          <w:i/>
          <w:iCs/>
          <w:sz w:val="22"/>
          <w:szCs w:val="22"/>
          <w:shd w:val="clear" w:color="auto" w:fill="FFFFFF"/>
        </w:rPr>
        <w:t>SustainE</w:t>
      </w:r>
      <w:proofErr w:type="spellEnd"/>
      <w:r>
        <w:rPr>
          <w:rFonts w:ascii="Arial" w:hAnsi="Arial" w:cs="Arial"/>
          <w:i/>
          <w:iCs/>
          <w:sz w:val="22"/>
          <w:szCs w:val="22"/>
          <w:shd w:val="clear" w:color="auto" w:fill="FFFFFF"/>
        </w:rPr>
        <w:t>. 1</w:t>
      </w:r>
      <w:r>
        <w:rPr>
          <w:rFonts w:ascii="Arial" w:hAnsi="Arial" w:cs="Arial"/>
          <w:sz w:val="22"/>
          <w:szCs w:val="22"/>
          <w:shd w:val="clear" w:color="auto" w:fill="FFFFFF"/>
        </w:rPr>
        <w:t xml:space="preserve">(1), 151-162. </w:t>
      </w:r>
      <w:hyperlink r:id="rId14" w:history="1">
        <w:r>
          <w:rPr>
            <w:rStyle w:val="Hyperlink"/>
            <w:rFonts w:ascii="Arial" w:hAnsi="Arial" w:cs="Arial"/>
            <w:color w:val="auto"/>
            <w:sz w:val="22"/>
            <w:szCs w:val="22"/>
            <w:shd w:val="clear" w:color="auto" w:fill="FFFFFF"/>
          </w:rPr>
          <w:t>https://doi.org/10.55366/suse.v1i1.9</w:t>
        </w:r>
      </w:hyperlink>
    </w:p>
    <w:p w14:paraId="6CB93D6C" w14:textId="77777777" w:rsidR="00102470" w:rsidRDefault="00102470" w:rsidP="00102470">
      <w:pPr>
        <w:pStyle w:val="NormalWeb"/>
        <w:numPr>
          <w:ilvl w:val="0"/>
          <w:numId w:val="6"/>
        </w:numPr>
        <w:spacing w:beforeAutospacing="0" w:afterAutospacing="0" w:line="18" w:lineRule="atLeast"/>
        <w:rPr>
          <w:rFonts w:ascii="Arial" w:hAnsi="Arial" w:cs="Arial"/>
          <w:sz w:val="22"/>
          <w:szCs w:val="22"/>
        </w:rPr>
      </w:pPr>
      <w:r>
        <w:rPr>
          <w:rFonts w:ascii="Arial" w:hAnsi="Arial" w:cs="Arial"/>
          <w:sz w:val="22"/>
          <w:szCs w:val="22"/>
          <w:shd w:val="clear" w:color="auto" w:fill="FFFFFF"/>
        </w:rPr>
        <w:t xml:space="preserve">Maiti, M., Roy, A., Mukherjee, S. (2025). A Laboratory-Scale Anaerobic Filter Study for Treatment of Fish Market Wastewater. In: Roshan Dash, R., </w:t>
      </w:r>
      <w:proofErr w:type="spellStart"/>
      <w:r>
        <w:rPr>
          <w:rFonts w:ascii="Arial" w:hAnsi="Arial" w:cs="Arial"/>
          <w:sz w:val="22"/>
          <w:szCs w:val="22"/>
          <w:shd w:val="clear" w:color="auto" w:fill="FFFFFF"/>
        </w:rPr>
        <w:t>Mohapatro</w:t>
      </w:r>
      <w:proofErr w:type="spellEnd"/>
      <w:r>
        <w:rPr>
          <w:rFonts w:ascii="Arial" w:hAnsi="Arial" w:cs="Arial"/>
          <w:sz w:val="22"/>
          <w:szCs w:val="22"/>
          <w:shd w:val="clear" w:color="auto" w:fill="FFFFFF"/>
        </w:rPr>
        <w:t xml:space="preserve">, S., Behera, M. (eds) Pollution Control for Clean Environment—Volume 1. ICPCCE 2023. Lecture Notes in Civil Engineering, vol 415. Springer, Singapore. </w:t>
      </w:r>
      <w:hyperlink r:id="rId15" w:history="1">
        <w:r>
          <w:rPr>
            <w:rStyle w:val="Hyperlink"/>
            <w:rFonts w:ascii="Arial" w:hAnsi="Arial" w:cs="Arial"/>
            <w:color w:val="auto"/>
            <w:sz w:val="22"/>
            <w:szCs w:val="22"/>
            <w:shd w:val="clear" w:color="auto" w:fill="FFFFFF"/>
          </w:rPr>
          <w:t>https://doi.org/10.1007/978-981-97-7842-3_31</w:t>
        </w:r>
      </w:hyperlink>
    </w:p>
    <w:p w14:paraId="19763CA4" w14:textId="77777777" w:rsidR="00102470" w:rsidRDefault="00102470" w:rsidP="00102470">
      <w:pPr>
        <w:pStyle w:val="NormalWeb"/>
        <w:numPr>
          <w:ilvl w:val="0"/>
          <w:numId w:val="6"/>
        </w:numPr>
        <w:spacing w:beforeAutospacing="0" w:afterAutospacing="0" w:line="18" w:lineRule="atLeast"/>
        <w:rPr>
          <w:rFonts w:ascii="Arial" w:hAnsi="Arial" w:cs="Arial"/>
          <w:sz w:val="22"/>
          <w:szCs w:val="22"/>
        </w:rPr>
      </w:pPr>
      <w:r>
        <w:rPr>
          <w:rFonts w:ascii="Arial" w:hAnsi="Arial" w:cs="Arial"/>
          <w:sz w:val="22"/>
          <w:szCs w:val="22"/>
          <w:shd w:val="clear" w:color="auto" w:fill="FFFFFF"/>
        </w:rPr>
        <w:t xml:space="preserve">Fassio, F., &amp; Tecco, N. (2019). Circular Economy for Food: A Systemic Interpretation of 40 Case Histories in the Food System in their Relationships with SDGs. </w:t>
      </w:r>
      <w:r>
        <w:rPr>
          <w:rFonts w:ascii="Arial" w:hAnsi="Arial" w:cs="Arial"/>
          <w:i/>
          <w:iCs/>
          <w:sz w:val="22"/>
          <w:szCs w:val="22"/>
          <w:shd w:val="clear" w:color="auto" w:fill="FFFFFF"/>
        </w:rPr>
        <w:t>Systems</w:t>
      </w:r>
      <w:r>
        <w:rPr>
          <w:rFonts w:ascii="Arial" w:hAnsi="Arial" w:cs="Arial"/>
          <w:sz w:val="22"/>
          <w:szCs w:val="22"/>
          <w:shd w:val="clear" w:color="auto" w:fill="FFFFFF"/>
        </w:rPr>
        <w:t xml:space="preserve">, </w:t>
      </w:r>
      <w:r>
        <w:rPr>
          <w:rFonts w:ascii="Arial" w:hAnsi="Arial" w:cs="Arial"/>
          <w:i/>
          <w:iCs/>
          <w:sz w:val="22"/>
          <w:szCs w:val="22"/>
          <w:shd w:val="clear" w:color="auto" w:fill="FFFFFF"/>
        </w:rPr>
        <w:t>7</w:t>
      </w:r>
      <w:r>
        <w:rPr>
          <w:rFonts w:ascii="Arial" w:hAnsi="Arial" w:cs="Arial"/>
          <w:sz w:val="22"/>
          <w:szCs w:val="22"/>
          <w:shd w:val="clear" w:color="auto" w:fill="FFFFFF"/>
        </w:rPr>
        <w:t>(3), 43. </w:t>
      </w:r>
    </w:p>
    <w:p w14:paraId="68012256" w14:textId="77777777" w:rsidR="00102470" w:rsidRDefault="00102470" w:rsidP="00102470">
      <w:pPr>
        <w:pStyle w:val="NormalWeb"/>
        <w:numPr>
          <w:ilvl w:val="0"/>
          <w:numId w:val="6"/>
        </w:numPr>
        <w:spacing w:beforeAutospacing="0" w:afterAutospacing="0" w:line="18" w:lineRule="atLeast"/>
        <w:rPr>
          <w:rFonts w:ascii="Arial" w:hAnsi="Arial" w:cs="Arial"/>
          <w:sz w:val="22"/>
          <w:szCs w:val="22"/>
        </w:rPr>
      </w:pPr>
      <w:r>
        <w:rPr>
          <w:rFonts w:ascii="Arial" w:hAnsi="Arial" w:cs="Arial"/>
          <w:sz w:val="22"/>
          <w:szCs w:val="22"/>
          <w:shd w:val="clear" w:color="auto" w:fill="FFFFFF"/>
        </w:rPr>
        <w:t xml:space="preserve">V. Ashokkumar </w:t>
      </w:r>
      <w:r>
        <w:rPr>
          <w:rFonts w:ascii="Arial" w:hAnsi="Arial" w:cs="Arial"/>
          <w:i/>
          <w:iCs/>
          <w:sz w:val="22"/>
          <w:szCs w:val="22"/>
          <w:shd w:val="clear" w:color="auto" w:fill="FFFFFF"/>
        </w:rPr>
        <w:t>et al.</w:t>
      </w:r>
      <w:r>
        <w:rPr>
          <w:rFonts w:ascii="Arial" w:hAnsi="Arial" w:cs="Arial"/>
          <w:sz w:val="22"/>
          <w:szCs w:val="22"/>
          <w:shd w:val="clear" w:color="auto" w:fill="FFFFFF"/>
        </w:rPr>
        <w:t xml:space="preserve">, “Recent advances in lignocellulosic biomass for biofuels and value-added bioproducts - A critical review,” </w:t>
      </w:r>
      <w:r>
        <w:rPr>
          <w:rFonts w:ascii="Arial" w:hAnsi="Arial" w:cs="Arial"/>
          <w:i/>
          <w:iCs/>
          <w:sz w:val="22"/>
          <w:szCs w:val="22"/>
          <w:shd w:val="clear" w:color="auto" w:fill="FFFFFF"/>
        </w:rPr>
        <w:t>Bioresource Technology</w:t>
      </w:r>
      <w:r>
        <w:rPr>
          <w:rFonts w:ascii="Arial" w:hAnsi="Arial" w:cs="Arial"/>
          <w:sz w:val="22"/>
          <w:szCs w:val="22"/>
          <w:shd w:val="clear" w:color="auto" w:fill="FFFFFF"/>
        </w:rPr>
        <w:t xml:space="preserve">, vol. 344, p. 126195, Oct. 2021, </w:t>
      </w:r>
      <w:proofErr w:type="spellStart"/>
      <w:r>
        <w:rPr>
          <w:rFonts w:ascii="Arial" w:hAnsi="Arial" w:cs="Arial"/>
          <w:sz w:val="22"/>
          <w:szCs w:val="22"/>
          <w:shd w:val="clear" w:color="auto" w:fill="FFFFFF"/>
        </w:rPr>
        <w:t>doi</w:t>
      </w:r>
      <w:proofErr w:type="spellEnd"/>
      <w:r>
        <w:rPr>
          <w:rFonts w:ascii="Arial" w:hAnsi="Arial" w:cs="Arial"/>
          <w:sz w:val="22"/>
          <w:szCs w:val="22"/>
          <w:shd w:val="clear" w:color="auto" w:fill="FFFFFF"/>
        </w:rPr>
        <w:t>: 10.1016/j.biortech.2021.126195.</w:t>
      </w:r>
    </w:p>
    <w:p w14:paraId="0E8F3761" w14:textId="77777777" w:rsidR="00102470" w:rsidRDefault="00102470" w:rsidP="00102470">
      <w:pPr>
        <w:pStyle w:val="NormalWeb"/>
        <w:numPr>
          <w:ilvl w:val="0"/>
          <w:numId w:val="6"/>
        </w:numPr>
        <w:spacing w:beforeAutospacing="0" w:afterAutospacing="0" w:line="18" w:lineRule="atLeast"/>
        <w:rPr>
          <w:rFonts w:ascii="Arial" w:hAnsi="Arial" w:cs="Arial"/>
          <w:sz w:val="22"/>
          <w:szCs w:val="22"/>
        </w:rPr>
      </w:pPr>
      <w:r>
        <w:rPr>
          <w:rFonts w:ascii="Arial" w:hAnsi="Arial" w:cs="Arial"/>
          <w:sz w:val="22"/>
          <w:szCs w:val="22"/>
          <w:shd w:val="clear" w:color="auto" w:fill="FFFFFF"/>
        </w:rPr>
        <w:t xml:space="preserve">A. Nawaz </w:t>
      </w:r>
      <w:r>
        <w:rPr>
          <w:rFonts w:ascii="Arial" w:hAnsi="Arial" w:cs="Arial"/>
          <w:i/>
          <w:iCs/>
          <w:sz w:val="22"/>
          <w:szCs w:val="22"/>
          <w:shd w:val="clear" w:color="auto" w:fill="FFFFFF"/>
        </w:rPr>
        <w:t>et al.</w:t>
      </w:r>
      <w:r>
        <w:rPr>
          <w:rFonts w:ascii="Arial" w:hAnsi="Arial" w:cs="Arial"/>
          <w:sz w:val="22"/>
          <w:szCs w:val="22"/>
          <w:shd w:val="clear" w:color="auto" w:fill="FFFFFF"/>
        </w:rPr>
        <w:t xml:space="preserve">, “Microbial fuel cells: Insight into simultaneous wastewater treatment and bioelectricity generation,” </w:t>
      </w:r>
      <w:r>
        <w:rPr>
          <w:rFonts w:ascii="Arial" w:hAnsi="Arial" w:cs="Arial"/>
          <w:i/>
          <w:iCs/>
          <w:sz w:val="22"/>
          <w:szCs w:val="22"/>
          <w:shd w:val="clear" w:color="auto" w:fill="FFFFFF"/>
        </w:rPr>
        <w:t>Process Safety and Environmental Protection</w:t>
      </w:r>
      <w:r>
        <w:rPr>
          <w:rFonts w:ascii="Arial" w:hAnsi="Arial" w:cs="Arial"/>
          <w:sz w:val="22"/>
          <w:szCs w:val="22"/>
          <w:shd w:val="clear" w:color="auto" w:fill="FFFFFF"/>
        </w:rPr>
        <w:t xml:space="preserve">, vol. 161, pp. 357–373, Mar. 2022, </w:t>
      </w:r>
      <w:proofErr w:type="spellStart"/>
      <w:r>
        <w:rPr>
          <w:rFonts w:ascii="Arial" w:hAnsi="Arial" w:cs="Arial"/>
          <w:sz w:val="22"/>
          <w:szCs w:val="22"/>
          <w:shd w:val="clear" w:color="auto" w:fill="FFFFFF"/>
        </w:rPr>
        <w:t>doi</w:t>
      </w:r>
      <w:proofErr w:type="spellEnd"/>
      <w:r>
        <w:rPr>
          <w:rFonts w:ascii="Arial" w:hAnsi="Arial" w:cs="Arial"/>
          <w:sz w:val="22"/>
          <w:szCs w:val="22"/>
          <w:shd w:val="clear" w:color="auto" w:fill="FFFFFF"/>
        </w:rPr>
        <w:t>: 10.1016/j.psep.2022.03.039.</w:t>
      </w:r>
    </w:p>
    <w:p w14:paraId="274C3A90" w14:textId="77777777" w:rsidR="00102470" w:rsidRDefault="00102470" w:rsidP="00102470">
      <w:pPr>
        <w:pStyle w:val="NormalWeb"/>
        <w:numPr>
          <w:ilvl w:val="0"/>
          <w:numId w:val="6"/>
        </w:numPr>
        <w:spacing w:beforeAutospacing="0" w:afterAutospacing="0" w:line="18" w:lineRule="atLeast"/>
        <w:rPr>
          <w:rFonts w:ascii="Arial" w:hAnsi="Arial" w:cs="Arial"/>
          <w:sz w:val="22"/>
          <w:szCs w:val="22"/>
        </w:rPr>
      </w:pPr>
      <w:r>
        <w:rPr>
          <w:rFonts w:ascii="Arial" w:hAnsi="Arial" w:cs="Arial"/>
          <w:sz w:val="22"/>
          <w:szCs w:val="22"/>
          <w:shd w:val="clear" w:color="auto" w:fill="FFFFFF"/>
        </w:rPr>
        <w:t xml:space="preserve">A. Mukimin and H. </w:t>
      </w:r>
      <w:proofErr w:type="spellStart"/>
      <w:r>
        <w:rPr>
          <w:rFonts w:ascii="Arial" w:hAnsi="Arial" w:cs="Arial"/>
          <w:sz w:val="22"/>
          <w:szCs w:val="22"/>
          <w:shd w:val="clear" w:color="auto" w:fill="FFFFFF"/>
        </w:rPr>
        <w:t>Vistanty</w:t>
      </w:r>
      <w:proofErr w:type="spellEnd"/>
      <w:r>
        <w:rPr>
          <w:rFonts w:ascii="Arial" w:hAnsi="Arial" w:cs="Arial"/>
          <w:sz w:val="22"/>
          <w:szCs w:val="22"/>
          <w:shd w:val="clear" w:color="auto" w:fill="FFFFFF"/>
        </w:rPr>
        <w:t xml:space="preserve">, “Low carbon development based on microbial fuel cells as electrical generation and wastewater treatment unit,” </w:t>
      </w:r>
      <w:r>
        <w:rPr>
          <w:rFonts w:ascii="Arial" w:hAnsi="Arial" w:cs="Arial"/>
          <w:i/>
          <w:iCs/>
          <w:sz w:val="22"/>
          <w:szCs w:val="22"/>
          <w:shd w:val="clear" w:color="auto" w:fill="FFFFFF"/>
        </w:rPr>
        <w:t>Renewable Energy Focus</w:t>
      </w:r>
      <w:r>
        <w:rPr>
          <w:rFonts w:ascii="Arial" w:hAnsi="Arial" w:cs="Arial"/>
          <w:sz w:val="22"/>
          <w:szCs w:val="22"/>
          <w:shd w:val="clear" w:color="auto" w:fill="FFFFFF"/>
        </w:rPr>
        <w:t xml:space="preserve">, vol. 44, pp. 132–138, Dec. 2022, </w:t>
      </w:r>
      <w:proofErr w:type="spellStart"/>
      <w:r>
        <w:rPr>
          <w:rFonts w:ascii="Arial" w:hAnsi="Arial" w:cs="Arial"/>
          <w:sz w:val="22"/>
          <w:szCs w:val="22"/>
          <w:shd w:val="clear" w:color="auto" w:fill="FFFFFF"/>
        </w:rPr>
        <w:t>doi</w:t>
      </w:r>
      <w:proofErr w:type="spellEnd"/>
      <w:r>
        <w:rPr>
          <w:rFonts w:ascii="Arial" w:hAnsi="Arial" w:cs="Arial"/>
          <w:sz w:val="22"/>
          <w:szCs w:val="22"/>
          <w:shd w:val="clear" w:color="auto" w:fill="FFFFFF"/>
        </w:rPr>
        <w:t>: 10.1016/j.ref.2022.12.005.</w:t>
      </w:r>
    </w:p>
    <w:p w14:paraId="326F743D" w14:textId="77777777" w:rsidR="00102470" w:rsidRDefault="00102470" w:rsidP="00102470">
      <w:pPr>
        <w:pStyle w:val="NormalWeb"/>
        <w:numPr>
          <w:ilvl w:val="0"/>
          <w:numId w:val="6"/>
        </w:numPr>
        <w:spacing w:beforeAutospacing="0" w:afterAutospacing="0" w:line="18" w:lineRule="atLeast"/>
        <w:rPr>
          <w:rFonts w:ascii="Arial" w:hAnsi="Arial" w:cs="Arial"/>
          <w:sz w:val="22"/>
          <w:szCs w:val="22"/>
        </w:rPr>
      </w:pPr>
      <w:r>
        <w:rPr>
          <w:rFonts w:ascii="Arial" w:hAnsi="Arial" w:cs="Arial"/>
          <w:sz w:val="22"/>
          <w:szCs w:val="22"/>
          <w:shd w:val="clear" w:color="auto" w:fill="FFFFFF"/>
        </w:rPr>
        <w:t xml:space="preserve">Morais, C.E.P. de, </w:t>
      </w:r>
      <w:proofErr w:type="spellStart"/>
      <w:r>
        <w:rPr>
          <w:rFonts w:ascii="Arial" w:hAnsi="Arial" w:cs="Arial"/>
          <w:sz w:val="22"/>
          <w:szCs w:val="22"/>
          <w:shd w:val="clear" w:color="auto" w:fill="FFFFFF"/>
        </w:rPr>
        <w:t>Awater</w:t>
      </w:r>
      <w:proofErr w:type="spellEnd"/>
      <w:r>
        <w:rPr>
          <w:rFonts w:ascii="Arial" w:hAnsi="Arial" w:cs="Arial"/>
          <w:sz w:val="22"/>
          <w:szCs w:val="22"/>
          <w:shd w:val="clear" w:color="auto" w:fill="FFFFFF"/>
        </w:rPr>
        <w:t xml:space="preserve">, L.C., </w:t>
      </w:r>
      <w:proofErr w:type="spellStart"/>
      <w:r>
        <w:rPr>
          <w:rFonts w:ascii="Arial" w:hAnsi="Arial" w:cs="Arial"/>
          <w:sz w:val="22"/>
          <w:szCs w:val="22"/>
          <w:shd w:val="clear" w:color="auto" w:fill="FFFFFF"/>
        </w:rPr>
        <w:t>Athayde</w:t>
      </w:r>
      <w:proofErr w:type="spellEnd"/>
      <w:r>
        <w:rPr>
          <w:rFonts w:ascii="Arial" w:hAnsi="Arial" w:cs="Arial"/>
          <w:sz w:val="22"/>
          <w:szCs w:val="22"/>
          <w:shd w:val="clear" w:color="auto" w:fill="FFFFFF"/>
        </w:rPr>
        <w:t xml:space="preserve"> Júnior, G.B., Sena, R.F. de, Martí-Calatayud, M.C., &amp; Bohner, C. (2021). Membrane Bioreactor Applied to the Treatment of a Fruit Processing Industry Wastewater in Northeast Brazil. </w:t>
      </w:r>
      <w:proofErr w:type="spellStart"/>
      <w:r>
        <w:rPr>
          <w:rFonts w:ascii="Arial" w:hAnsi="Arial" w:cs="Arial"/>
          <w:i/>
          <w:iCs/>
          <w:sz w:val="22"/>
          <w:szCs w:val="22"/>
          <w:shd w:val="clear" w:color="auto" w:fill="FFFFFF"/>
        </w:rPr>
        <w:t>Revista</w:t>
      </w:r>
      <w:proofErr w:type="spellEnd"/>
      <w:r>
        <w:rPr>
          <w:rFonts w:ascii="Arial" w:hAnsi="Arial" w:cs="Arial"/>
          <w:i/>
          <w:iCs/>
          <w:sz w:val="22"/>
          <w:szCs w:val="22"/>
          <w:shd w:val="clear" w:color="auto" w:fill="FFFFFF"/>
        </w:rPr>
        <w:t xml:space="preserve"> AIDIS de </w:t>
      </w:r>
      <w:proofErr w:type="spellStart"/>
      <w:r>
        <w:rPr>
          <w:rFonts w:ascii="Arial" w:hAnsi="Arial" w:cs="Arial"/>
          <w:i/>
          <w:iCs/>
          <w:sz w:val="22"/>
          <w:szCs w:val="22"/>
          <w:shd w:val="clear" w:color="auto" w:fill="FFFFFF"/>
        </w:rPr>
        <w:t>Ingeniería</w:t>
      </w:r>
      <w:proofErr w:type="spellEnd"/>
      <w:r>
        <w:rPr>
          <w:rFonts w:ascii="Arial" w:hAnsi="Arial" w:cs="Arial"/>
          <w:i/>
          <w:iCs/>
          <w:sz w:val="22"/>
          <w:szCs w:val="22"/>
          <w:shd w:val="clear" w:color="auto" w:fill="FFFFFF"/>
        </w:rPr>
        <w:t xml:space="preserve"> y </w:t>
      </w:r>
      <w:proofErr w:type="spellStart"/>
      <w:r>
        <w:rPr>
          <w:rFonts w:ascii="Arial" w:hAnsi="Arial" w:cs="Arial"/>
          <w:i/>
          <w:iCs/>
          <w:sz w:val="22"/>
          <w:szCs w:val="22"/>
          <w:shd w:val="clear" w:color="auto" w:fill="FFFFFF"/>
        </w:rPr>
        <w:t>Ciencias</w:t>
      </w:r>
      <w:proofErr w:type="spellEnd"/>
      <w:r>
        <w:rPr>
          <w:rFonts w:ascii="Arial" w:hAnsi="Arial" w:cs="Arial"/>
          <w:i/>
          <w:iCs/>
          <w:sz w:val="22"/>
          <w:szCs w:val="22"/>
          <w:shd w:val="clear" w:color="auto" w:fill="FFFFFF"/>
        </w:rPr>
        <w:t xml:space="preserve"> </w:t>
      </w:r>
      <w:proofErr w:type="spellStart"/>
      <w:r>
        <w:rPr>
          <w:rFonts w:ascii="Arial" w:hAnsi="Arial" w:cs="Arial"/>
          <w:i/>
          <w:iCs/>
          <w:sz w:val="22"/>
          <w:szCs w:val="22"/>
          <w:shd w:val="clear" w:color="auto" w:fill="FFFFFF"/>
        </w:rPr>
        <w:t>Ambientales</w:t>
      </w:r>
      <w:proofErr w:type="spellEnd"/>
      <w:r>
        <w:rPr>
          <w:rFonts w:ascii="Arial" w:hAnsi="Arial" w:cs="Arial"/>
          <w:i/>
          <w:iCs/>
          <w:sz w:val="22"/>
          <w:szCs w:val="22"/>
          <w:shd w:val="clear" w:color="auto" w:fill="FFFFFF"/>
        </w:rPr>
        <w:t xml:space="preserve">: </w:t>
      </w:r>
      <w:proofErr w:type="spellStart"/>
      <w:r>
        <w:rPr>
          <w:rFonts w:ascii="Arial" w:hAnsi="Arial" w:cs="Arial"/>
          <w:i/>
          <w:iCs/>
          <w:sz w:val="22"/>
          <w:szCs w:val="22"/>
          <w:shd w:val="clear" w:color="auto" w:fill="FFFFFF"/>
        </w:rPr>
        <w:t>Investigación</w:t>
      </w:r>
      <w:proofErr w:type="spellEnd"/>
      <w:r>
        <w:rPr>
          <w:rFonts w:ascii="Arial" w:hAnsi="Arial" w:cs="Arial"/>
          <w:i/>
          <w:iCs/>
          <w:sz w:val="22"/>
          <w:szCs w:val="22"/>
          <w:shd w:val="clear" w:color="auto" w:fill="FFFFFF"/>
        </w:rPr>
        <w:t xml:space="preserve">, Desarrollo y </w:t>
      </w:r>
      <w:proofErr w:type="spellStart"/>
      <w:r>
        <w:rPr>
          <w:rFonts w:ascii="Arial" w:hAnsi="Arial" w:cs="Arial"/>
          <w:i/>
          <w:iCs/>
          <w:sz w:val="22"/>
          <w:szCs w:val="22"/>
          <w:shd w:val="clear" w:color="auto" w:fill="FFFFFF"/>
        </w:rPr>
        <w:t>Práctica</w:t>
      </w:r>
      <w:proofErr w:type="spellEnd"/>
      <w:r>
        <w:rPr>
          <w:rFonts w:ascii="Arial" w:hAnsi="Arial" w:cs="Arial"/>
          <w:sz w:val="22"/>
          <w:szCs w:val="22"/>
          <w:shd w:val="clear" w:color="auto" w:fill="FFFFFF"/>
        </w:rPr>
        <w:t>.</w:t>
      </w:r>
    </w:p>
    <w:p w14:paraId="78CB1E66" w14:textId="77777777" w:rsidR="00102470" w:rsidRDefault="00102470" w:rsidP="00102470">
      <w:pPr>
        <w:pStyle w:val="NormalWeb"/>
        <w:numPr>
          <w:ilvl w:val="0"/>
          <w:numId w:val="6"/>
        </w:numPr>
        <w:spacing w:beforeAutospacing="0" w:afterAutospacing="0" w:line="18" w:lineRule="atLeast"/>
        <w:rPr>
          <w:rFonts w:ascii="Arial" w:hAnsi="Arial" w:cs="Arial"/>
          <w:sz w:val="22"/>
          <w:szCs w:val="22"/>
        </w:rPr>
      </w:pPr>
      <w:r>
        <w:rPr>
          <w:rFonts w:ascii="Arial" w:hAnsi="Arial" w:cs="Arial"/>
          <w:sz w:val="22"/>
          <w:szCs w:val="22"/>
          <w:shd w:val="clear" w:color="auto" w:fill="FFFFFF"/>
        </w:rPr>
        <w:t xml:space="preserve">Majed </w:t>
      </w:r>
      <w:proofErr w:type="spellStart"/>
      <w:r>
        <w:rPr>
          <w:rFonts w:ascii="Arial" w:hAnsi="Arial" w:cs="Arial"/>
          <w:sz w:val="22"/>
          <w:szCs w:val="22"/>
          <w:shd w:val="clear" w:color="auto" w:fill="FFFFFF"/>
        </w:rPr>
        <w:t>Alsubih</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Rachida</w:t>
      </w:r>
      <w:proofErr w:type="spellEnd"/>
      <w:r>
        <w:rPr>
          <w:rFonts w:ascii="Arial" w:hAnsi="Arial" w:cs="Arial"/>
          <w:sz w:val="22"/>
          <w:szCs w:val="22"/>
          <w:shd w:val="clear" w:color="auto" w:fill="FFFFFF"/>
        </w:rPr>
        <w:t xml:space="preserve"> El </w:t>
      </w:r>
      <w:proofErr w:type="spellStart"/>
      <w:r>
        <w:rPr>
          <w:rFonts w:ascii="Arial" w:hAnsi="Arial" w:cs="Arial"/>
          <w:sz w:val="22"/>
          <w:szCs w:val="22"/>
          <w:shd w:val="clear" w:color="auto" w:fill="FFFFFF"/>
        </w:rPr>
        <w:t>Morabet</w:t>
      </w:r>
      <w:proofErr w:type="spellEnd"/>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Roohul</w:t>
      </w:r>
      <w:proofErr w:type="spellEnd"/>
      <w:r>
        <w:rPr>
          <w:rFonts w:ascii="Arial" w:hAnsi="Arial" w:cs="Arial"/>
          <w:sz w:val="22"/>
          <w:szCs w:val="22"/>
          <w:shd w:val="clear" w:color="auto" w:fill="FFFFFF"/>
        </w:rPr>
        <w:t xml:space="preserve"> Abad Khan, Nadeem A. Khan, </w:t>
      </w:r>
      <w:proofErr w:type="spellStart"/>
      <w:r>
        <w:rPr>
          <w:rFonts w:ascii="Arial" w:hAnsi="Arial" w:cs="Arial"/>
          <w:sz w:val="22"/>
          <w:szCs w:val="22"/>
          <w:shd w:val="clear" w:color="auto" w:fill="FFFFFF"/>
        </w:rPr>
        <w:t>Amadur</w:t>
      </w:r>
      <w:proofErr w:type="spellEnd"/>
      <w:r>
        <w:rPr>
          <w:rFonts w:ascii="Arial" w:hAnsi="Arial" w:cs="Arial"/>
          <w:sz w:val="22"/>
          <w:szCs w:val="22"/>
          <w:shd w:val="clear" w:color="auto" w:fill="FFFFFF"/>
        </w:rPr>
        <w:t xml:space="preserve"> Rahman Khan, </w:t>
      </w:r>
      <w:proofErr w:type="spellStart"/>
      <w:r>
        <w:rPr>
          <w:rFonts w:ascii="Arial" w:hAnsi="Arial" w:cs="Arial"/>
          <w:sz w:val="22"/>
          <w:szCs w:val="22"/>
          <w:shd w:val="clear" w:color="auto" w:fill="FFFFFF"/>
        </w:rPr>
        <w:t>Saimah</w:t>
      </w:r>
      <w:proofErr w:type="spellEnd"/>
      <w:r>
        <w:rPr>
          <w:rFonts w:ascii="Arial" w:hAnsi="Arial" w:cs="Arial"/>
          <w:sz w:val="22"/>
          <w:szCs w:val="22"/>
          <w:shd w:val="clear" w:color="auto" w:fill="FFFFFF"/>
        </w:rPr>
        <w:t xml:space="preserve"> Khan, Nazneen Mushtaque, Arshad Hussain and Mahmood Yousefi Journal: Arabian Journal of Chemistry, 2022, Volume 15, Number 12, Page 104344 DOI: </w:t>
      </w:r>
      <w:hyperlink r:id="rId16" w:history="1">
        <w:r>
          <w:rPr>
            <w:rStyle w:val="Hyperlink"/>
            <w:rFonts w:ascii="Arial" w:hAnsi="Arial" w:cs="Arial"/>
            <w:color w:val="auto"/>
            <w:sz w:val="22"/>
            <w:szCs w:val="22"/>
            <w:shd w:val="clear" w:color="auto" w:fill="FFFFFF"/>
          </w:rPr>
          <w:t>10.1016/j.arabjc.2022.104344</w:t>
        </w:r>
      </w:hyperlink>
    </w:p>
    <w:p w14:paraId="235A31E2" w14:textId="77777777" w:rsidR="00102470" w:rsidRDefault="00102470" w:rsidP="00102470">
      <w:pPr>
        <w:pStyle w:val="NormalWeb"/>
        <w:numPr>
          <w:ilvl w:val="0"/>
          <w:numId w:val="6"/>
        </w:numPr>
        <w:spacing w:beforeAutospacing="0" w:afterAutospacing="0" w:line="18" w:lineRule="atLeast"/>
        <w:rPr>
          <w:rFonts w:ascii="Arial" w:hAnsi="Arial" w:cs="Arial"/>
          <w:sz w:val="22"/>
          <w:szCs w:val="22"/>
        </w:rPr>
      </w:pPr>
      <w:r>
        <w:rPr>
          <w:rFonts w:ascii="Arial" w:hAnsi="Arial" w:cs="Arial"/>
          <w:sz w:val="22"/>
          <w:szCs w:val="22"/>
          <w:shd w:val="clear" w:color="auto" w:fill="FFFFFF"/>
        </w:rPr>
        <w:t xml:space="preserve">B. </w:t>
      </w:r>
      <w:proofErr w:type="spellStart"/>
      <w:r>
        <w:rPr>
          <w:rFonts w:ascii="Arial" w:hAnsi="Arial" w:cs="Arial"/>
          <w:sz w:val="22"/>
          <w:szCs w:val="22"/>
          <w:shd w:val="clear" w:color="auto" w:fill="FFFFFF"/>
        </w:rPr>
        <w:t>Cicekalan</w:t>
      </w:r>
      <w:proofErr w:type="spellEnd"/>
      <w:r>
        <w:rPr>
          <w:rFonts w:ascii="Arial" w:hAnsi="Arial" w:cs="Arial"/>
          <w:sz w:val="22"/>
          <w:szCs w:val="22"/>
          <w:shd w:val="clear" w:color="auto" w:fill="FFFFFF"/>
        </w:rPr>
        <w:t xml:space="preserve"> </w:t>
      </w:r>
      <w:r>
        <w:rPr>
          <w:rFonts w:ascii="Arial" w:hAnsi="Arial" w:cs="Arial"/>
          <w:i/>
          <w:iCs/>
          <w:sz w:val="22"/>
          <w:szCs w:val="22"/>
          <w:shd w:val="clear" w:color="auto" w:fill="FFFFFF"/>
        </w:rPr>
        <w:t>et al.</w:t>
      </w:r>
      <w:r>
        <w:rPr>
          <w:rFonts w:ascii="Arial" w:hAnsi="Arial" w:cs="Arial"/>
          <w:sz w:val="22"/>
          <w:szCs w:val="22"/>
          <w:shd w:val="clear" w:color="auto" w:fill="FFFFFF"/>
        </w:rPr>
        <w:t xml:space="preserve">, “Impact of food waste addition in energy efficient municipal wastewater treatment by aerobic granular sludge process,” </w:t>
      </w:r>
      <w:r>
        <w:rPr>
          <w:rFonts w:ascii="Arial" w:hAnsi="Arial" w:cs="Arial"/>
          <w:i/>
          <w:iCs/>
          <w:sz w:val="22"/>
          <w:szCs w:val="22"/>
          <w:shd w:val="clear" w:color="auto" w:fill="FFFFFF"/>
        </w:rPr>
        <w:t>Environmental Science and Pollution Research</w:t>
      </w:r>
      <w:r>
        <w:rPr>
          <w:rFonts w:ascii="Arial" w:hAnsi="Arial" w:cs="Arial"/>
          <w:sz w:val="22"/>
          <w:szCs w:val="22"/>
          <w:shd w:val="clear" w:color="auto" w:fill="FFFFFF"/>
        </w:rPr>
        <w:t xml:space="preserve">, vol. 31, no. 20, pp. 29304–29320, Apr. 2024, </w:t>
      </w:r>
      <w:proofErr w:type="spellStart"/>
      <w:r>
        <w:rPr>
          <w:rFonts w:ascii="Arial" w:hAnsi="Arial" w:cs="Arial"/>
          <w:sz w:val="22"/>
          <w:szCs w:val="22"/>
          <w:shd w:val="clear" w:color="auto" w:fill="FFFFFF"/>
        </w:rPr>
        <w:t>doi</w:t>
      </w:r>
      <w:proofErr w:type="spellEnd"/>
      <w:r>
        <w:rPr>
          <w:rFonts w:ascii="Arial" w:hAnsi="Arial" w:cs="Arial"/>
          <w:sz w:val="22"/>
          <w:szCs w:val="22"/>
          <w:shd w:val="clear" w:color="auto" w:fill="FFFFFF"/>
        </w:rPr>
        <w:t>: 10.1007/s11356-024-32997-5.</w:t>
      </w:r>
    </w:p>
    <w:p w14:paraId="56386445" w14:textId="77777777" w:rsidR="00102470" w:rsidRDefault="00102470" w:rsidP="00102470">
      <w:pPr>
        <w:pStyle w:val="NormalWeb"/>
        <w:numPr>
          <w:ilvl w:val="0"/>
          <w:numId w:val="6"/>
        </w:numPr>
        <w:spacing w:beforeAutospacing="0" w:afterAutospacing="0" w:line="18" w:lineRule="atLeast"/>
        <w:rPr>
          <w:rFonts w:ascii="Arial" w:hAnsi="Arial" w:cs="Arial"/>
          <w:sz w:val="22"/>
          <w:szCs w:val="22"/>
        </w:rPr>
      </w:pPr>
      <w:r>
        <w:rPr>
          <w:rFonts w:ascii="Arial" w:hAnsi="Arial" w:cs="Arial"/>
          <w:sz w:val="22"/>
          <w:szCs w:val="22"/>
        </w:rPr>
        <w:t xml:space="preserve">C-M. Lam, I. K. M. Yu, S.-C. Hsu, and D. C. W. Tsang, “Life-cycle assessment of food waste recycling,” in </w:t>
      </w:r>
      <w:r>
        <w:rPr>
          <w:rFonts w:ascii="Arial" w:hAnsi="Arial" w:cs="Arial"/>
          <w:i/>
          <w:iCs/>
          <w:sz w:val="22"/>
          <w:szCs w:val="22"/>
        </w:rPr>
        <w:t>Elsevier eBooks</w:t>
      </w:r>
      <w:r>
        <w:rPr>
          <w:rFonts w:ascii="Arial" w:hAnsi="Arial" w:cs="Arial"/>
          <w:sz w:val="22"/>
          <w:szCs w:val="22"/>
        </w:rPr>
        <w:t xml:space="preserve">, 2020, pp. 481–513. </w:t>
      </w:r>
      <w:proofErr w:type="spellStart"/>
      <w:r>
        <w:rPr>
          <w:rFonts w:ascii="Arial" w:hAnsi="Arial" w:cs="Arial"/>
          <w:sz w:val="22"/>
          <w:szCs w:val="22"/>
        </w:rPr>
        <w:t>doi</w:t>
      </w:r>
      <w:proofErr w:type="spellEnd"/>
      <w:r>
        <w:rPr>
          <w:rFonts w:ascii="Arial" w:hAnsi="Arial" w:cs="Arial"/>
          <w:sz w:val="22"/>
          <w:szCs w:val="22"/>
        </w:rPr>
        <w:t>: 10.1016/b978-0-12-818228-4.00018-6.</w:t>
      </w:r>
    </w:p>
    <w:p w14:paraId="4C6B9B9C" w14:textId="77777777" w:rsidR="00102470" w:rsidRDefault="00102470" w:rsidP="00102470">
      <w:pPr>
        <w:pStyle w:val="NormalWeb"/>
        <w:numPr>
          <w:ilvl w:val="0"/>
          <w:numId w:val="6"/>
        </w:numPr>
        <w:spacing w:beforeAutospacing="0" w:afterAutospacing="0" w:line="18" w:lineRule="atLeast"/>
        <w:rPr>
          <w:rFonts w:ascii="Arial" w:hAnsi="Arial" w:cs="Arial"/>
          <w:sz w:val="22"/>
          <w:szCs w:val="22"/>
        </w:rPr>
      </w:pPr>
      <w:r>
        <w:rPr>
          <w:rFonts w:ascii="Arial" w:hAnsi="Arial" w:cs="Arial"/>
          <w:sz w:val="22"/>
          <w:szCs w:val="22"/>
        </w:rPr>
        <w:t xml:space="preserve">M. B. Fard, S. A. </w:t>
      </w:r>
      <w:proofErr w:type="spellStart"/>
      <w:r>
        <w:rPr>
          <w:rFonts w:ascii="Arial" w:hAnsi="Arial" w:cs="Arial"/>
          <w:sz w:val="22"/>
          <w:szCs w:val="22"/>
        </w:rPr>
        <w:t>Mirbagheri</w:t>
      </w:r>
      <w:proofErr w:type="spellEnd"/>
      <w:r>
        <w:rPr>
          <w:rFonts w:ascii="Arial" w:hAnsi="Arial" w:cs="Arial"/>
          <w:sz w:val="22"/>
          <w:szCs w:val="22"/>
        </w:rPr>
        <w:t xml:space="preserve">, A. </w:t>
      </w:r>
      <w:proofErr w:type="spellStart"/>
      <w:r>
        <w:rPr>
          <w:rFonts w:ascii="Arial" w:hAnsi="Arial" w:cs="Arial"/>
          <w:sz w:val="22"/>
          <w:szCs w:val="22"/>
        </w:rPr>
        <w:t>Pendashteh</w:t>
      </w:r>
      <w:proofErr w:type="spellEnd"/>
      <w:r>
        <w:rPr>
          <w:rFonts w:ascii="Arial" w:hAnsi="Arial" w:cs="Arial"/>
          <w:sz w:val="22"/>
          <w:szCs w:val="22"/>
        </w:rPr>
        <w:t xml:space="preserve">, and J. Alavi, “Biological treatment of slaughterhouse wastewater: kinetic modeling and prediction of effluent,” </w:t>
      </w:r>
      <w:r>
        <w:rPr>
          <w:rFonts w:ascii="Arial" w:hAnsi="Arial" w:cs="Arial"/>
          <w:i/>
          <w:iCs/>
          <w:sz w:val="22"/>
          <w:szCs w:val="22"/>
        </w:rPr>
        <w:t>Journal of Environmental Health Science and Engineering</w:t>
      </w:r>
      <w:r>
        <w:rPr>
          <w:rFonts w:ascii="Arial" w:hAnsi="Arial" w:cs="Arial"/>
          <w:sz w:val="22"/>
          <w:szCs w:val="22"/>
        </w:rPr>
        <w:t xml:space="preserve">, vol. 17, no. 2, pp. 731–741, Jul. 2019, </w:t>
      </w:r>
      <w:proofErr w:type="spellStart"/>
      <w:r>
        <w:rPr>
          <w:rFonts w:ascii="Arial" w:hAnsi="Arial" w:cs="Arial"/>
          <w:sz w:val="22"/>
          <w:szCs w:val="22"/>
        </w:rPr>
        <w:t>doi</w:t>
      </w:r>
      <w:proofErr w:type="spellEnd"/>
      <w:r>
        <w:rPr>
          <w:rFonts w:ascii="Arial" w:hAnsi="Arial" w:cs="Arial"/>
          <w:sz w:val="22"/>
          <w:szCs w:val="22"/>
        </w:rPr>
        <w:t>: 10.1007/s40201-019-00389-4.</w:t>
      </w:r>
    </w:p>
    <w:p w14:paraId="573D82C4" w14:textId="77777777" w:rsidR="00102470" w:rsidRDefault="00102470" w:rsidP="00102470">
      <w:pPr>
        <w:pStyle w:val="NormalWeb"/>
        <w:numPr>
          <w:ilvl w:val="0"/>
          <w:numId w:val="6"/>
        </w:numPr>
        <w:spacing w:beforeAutospacing="0" w:afterAutospacing="0"/>
        <w:rPr>
          <w:rFonts w:ascii="Arial" w:hAnsi="Arial" w:cs="Arial"/>
          <w:sz w:val="22"/>
          <w:szCs w:val="22"/>
        </w:rPr>
      </w:pPr>
      <w:r>
        <w:rPr>
          <w:rFonts w:ascii="Arial" w:hAnsi="Arial" w:cs="Arial"/>
          <w:sz w:val="22"/>
          <w:szCs w:val="22"/>
        </w:rPr>
        <w:t xml:space="preserve">A. D. Shende, S. </w:t>
      </w:r>
      <w:proofErr w:type="spellStart"/>
      <w:r>
        <w:rPr>
          <w:rFonts w:ascii="Arial" w:hAnsi="Arial" w:cs="Arial"/>
          <w:sz w:val="22"/>
          <w:szCs w:val="22"/>
        </w:rPr>
        <w:t>Dhenkula</w:t>
      </w:r>
      <w:proofErr w:type="spellEnd"/>
      <w:r>
        <w:rPr>
          <w:rFonts w:ascii="Arial" w:hAnsi="Arial" w:cs="Arial"/>
          <w:sz w:val="22"/>
          <w:szCs w:val="22"/>
        </w:rPr>
        <w:t xml:space="preserve">, N. N. Rao, and G. R. </w:t>
      </w:r>
      <w:proofErr w:type="spellStart"/>
      <w:r>
        <w:rPr>
          <w:rFonts w:ascii="Arial" w:hAnsi="Arial" w:cs="Arial"/>
          <w:sz w:val="22"/>
          <w:szCs w:val="22"/>
        </w:rPr>
        <w:t>Pophali</w:t>
      </w:r>
      <w:proofErr w:type="spellEnd"/>
      <w:r>
        <w:rPr>
          <w:rFonts w:ascii="Arial" w:hAnsi="Arial" w:cs="Arial"/>
          <w:sz w:val="22"/>
          <w:szCs w:val="22"/>
        </w:rPr>
        <w:t xml:space="preserve">, “An improved primary wastewater treatment system for a slaughterhouse industry: a full-scale experience,” </w:t>
      </w:r>
      <w:r>
        <w:rPr>
          <w:rFonts w:ascii="Arial" w:hAnsi="Arial" w:cs="Arial"/>
          <w:i/>
          <w:iCs/>
          <w:sz w:val="22"/>
          <w:szCs w:val="22"/>
        </w:rPr>
        <w:t>Water Science &amp; Technology</w:t>
      </w:r>
      <w:r>
        <w:rPr>
          <w:rFonts w:ascii="Arial" w:hAnsi="Arial" w:cs="Arial"/>
          <w:sz w:val="22"/>
          <w:szCs w:val="22"/>
        </w:rPr>
        <w:t xml:space="preserve">, vol. 85, no. 5, pp. 1688–1700, Feb. 2022, </w:t>
      </w:r>
      <w:proofErr w:type="spellStart"/>
      <w:r>
        <w:rPr>
          <w:rFonts w:ascii="Arial" w:hAnsi="Arial" w:cs="Arial"/>
          <w:sz w:val="22"/>
          <w:szCs w:val="22"/>
        </w:rPr>
        <w:t>doi</w:t>
      </w:r>
      <w:proofErr w:type="spellEnd"/>
      <w:r>
        <w:rPr>
          <w:rFonts w:ascii="Arial" w:hAnsi="Arial" w:cs="Arial"/>
          <w:sz w:val="22"/>
          <w:szCs w:val="22"/>
        </w:rPr>
        <w:t>: 10.2166/wst.2022.041.</w:t>
      </w:r>
    </w:p>
    <w:p w14:paraId="6DCE83E6" w14:textId="77777777" w:rsidR="00102470" w:rsidRDefault="00102470" w:rsidP="00102470">
      <w:pPr>
        <w:pStyle w:val="NormalWeb"/>
        <w:numPr>
          <w:ilvl w:val="0"/>
          <w:numId w:val="6"/>
        </w:numPr>
        <w:spacing w:beforeAutospacing="0" w:afterAutospacing="0"/>
        <w:rPr>
          <w:rFonts w:ascii="Arial" w:hAnsi="Arial" w:cs="Arial"/>
          <w:sz w:val="22"/>
          <w:szCs w:val="22"/>
        </w:rPr>
      </w:pPr>
      <w:r>
        <w:rPr>
          <w:rFonts w:ascii="Arial" w:hAnsi="Arial" w:cs="Arial"/>
          <w:sz w:val="22"/>
          <w:szCs w:val="22"/>
        </w:rPr>
        <w:t xml:space="preserve">S. N. M. Ng, S. </w:t>
      </w:r>
      <w:proofErr w:type="spellStart"/>
      <w:r>
        <w:rPr>
          <w:rFonts w:ascii="Arial" w:hAnsi="Arial" w:cs="Arial"/>
          <w:sz w:val="22"/>
          <w:szCs w:val="22"/>
        </w:rPr>
        <w:t>Idrus</w:t>
      </w:r>
      <w:proofErr w:type="spellEnd"/>
      <w:r>
        <w:rPr>
          <w:rFonts w:ascii="Arial" w:hAnsi="Arial" w:cs="Arial"/>
          <w:sz w:val="22"/>
          <w:szCs w:val="22"/>
        </w:rPr>
        <w:t xml:space="preserve">, A. Ahsan, T. N. T. M. Marzuki, and S. B. Mahat, “Treatment of Wastewater from a Food and Beverage Industry Using Conventional Wastewater Treatment Integrated with Membrane Bioreactor System: A Pilot-Scale Case Study,” </w:t>
      </w:r>
      <w:r>
        <w:rPr>
          <w:rFonts w:ascii="Arial" w:hAnsi="Arial" w:cs="Arial"/>
          <w:i/>
          <w:iCs/>
          <w:sz w:val="22"/>
          <w:szCs w:val="22"/>
        </w:rPr>
        <w:t>Membranes</w:t>
      </w:r>
      <w:r>
        <w:rPr>
          <w:rFonts w:ascii="Arial" w:hAnsi="Arial" w:cs="Arial"/>
          <w:sz w:val="22"/>
          <w:szCs w:val="22"/>
        </w:rPr>
        <w:t xml:space="preserve">, vol. 11, no. 6, p. 456, Jun. 2021, </w:t>
      </w:r>
      <w:proofErr w:type="spellStart"/>
      <w:r>
        <w:rPr>
          <w:rFonts w:ascii="Arial" w:hAnsi="Arial" w:cs="Arial"/>
          <w:sz w:val="22"/>
          <w:szCs w:val="22"/>
        </w:rPr>
        <w:t>doi</w:t>
      </w:r>
      <w:proofErr w:type="spellEnd"/>
      <w:r>
        <w:rPr>
          <w:rFonts w:ascii="Arial" w:hAnsi="Arial" w:cs="Arial"/>
          <w:sz w:val="22"/>
          <w:szCs w:val="22"/>
        </w:rPr>
        <w:t>: 10.3390/membranes11060456.</w:t>
      </w:r>
    </w:p>
    <w:p w14:paraId="26A70192" w14:textId="77777777" w:rsidR="00102470" w:rsidRDefault="00102470" w:rsidP="00102470">
      <w:pPr>
        <w:pStyle w:val="NormalWeb"/>
        <w:numPr>
          <w:ilvl w:val="0"/>
          <w:numId w:val="6"/>
        </w:numPr>
        <w:spacing w:beforeAutospacing="0" w:afterAutospacing="0"/>
        <w:rPr>
          <w:rFonts w:ascii="Arial" w:hAnsi="Arial" w:cs="Arial"/>
          <w:sz w:val="22"/>
          <w:szCs w:val="22"/>
        </w:rPr>
      </w:pPr>
      <w:r>
        <w:rPr>
          <w:rFonts w:ascii="Arial" w:hAnsi="Arial" w:cs="Arial"/>
          <w:sz w:val="22"/>
          <w:szCs w:val="22"/>
        </w:rPr>
        <w:lastRenderedPageBreak/>
        <w:t xml:space="preserve">H. A. Aziz, N. N. A. </w:t>
      </w:r>
      <w:proofErr w:type="spellStart"/>
      <w:r>
        <w:rPr>
          <w:rFonts w:ascii="Arial" w:hAnsi="Arial" w:cs="Arial"/>
          <w:sz w:val="22"/>
          <w:szCs w:val="22"/>
        </w:rPr>
        <w:t>Puat</w:t>
      </w:r>
      <w:proofErr w:type="spellEnd"/>
      <w:r>
        <w:rPr>
          <w:rFonts w:ascii="Arial" w:hAnsi="Arial" w:cs="Arial"/>
          <w:sz w:val="22"/>
          <w:szCs w:val="22"/>
        </w:rPr>
        <w:t xml:space="preserve">, M. Y. D. </w:t>
      </w:r>
      <w:proofErr w:type="spellStart"/>
      <w:r>
        <w:rPr>
          <w:rFonts w:ascii="Arial" w:hAnsi="Arial" w:cs="Arial"/>
          <w:sz w:val="22"/>
          <w:szCs w:val="22"/>
        </w:rPr>
        <w:t>Alazaiza</w:t>
      </w:r>
      <w:proofErr w:type="spellEnd"/>
      <w:r>
        <w:rPr>
          <w:rFonts w:ascii="Arial" w:hAnsi="Arial" w:cs="Arial"/>
          <w:sz w:val="22"/>
          <w:szCs w:val="22"/>
        </w:rPr>
        <w:t xml:space="preserve">, and Y.-T. Hung, “Poultry slaughterhouse wastewater treatment using submerged fibers in an attached growth sequential batch reactor,” </w:t>
      </w:r>
      <w:r>
        <w:rPr>
          <w:rFonts w:ascii="Arial" w:hAnsi="Arial" w:cs="Arial"/>
          <w:i/>
          <w:iCs/>
          <w:sz w:val="22"/>
          <w:szCs w:val="22"/>
        </w:rPr>
        <w:t>International Journal of Environmental Research and Public Health</w:t>
      </w:r>
      <w:r>
        <w:rPr>
          <w:rFonts w:ascii="Arial" w:hAnsi="Arial" w:cs="Arial"/>
          <w:sz w:val="22"/>
          <w:szCs w:val="22"/>
        </w:rPr>
        <w:t xml:space="preserve">, vol. 15, no. 8, p. 1734, Aug. 2018, </w:t>
      </w:r>
      <w:proofErr w:type="spellStart"/>
      <w:r>
        <w:rPr>
          <w:rFonts w:ascii="Arial" w:hAnsi="Arial" w:cs="Arial"/>
          <w:sz w:val="22"/>
          <w:szCs w:val="22"/>
        </w:rPr>
        <w:t>doi</w:t>
      </w:r>
      <w:proofErr w:type="spellEnd"/>
      <w:r>
        <w:rPr>
          <w:rFonts w:ascii="Arial" w:hAnsi="Arial" w:cs="Arial"/>
          <w:sz w:val="22"/>
          <w:szCs w:val="22"/>
        </w:rPr>
        <w:t>: 10.3390/ijerph15081734.</w:t>
      </w:r>
    </w:p>
    <w:p w14:paraId="6FF410FB" w14:textId="77777777" w:rsidR="00102470" w:rsidRDefault="00102470" w:rsidP="00102470">
      <w:pPr>
        <w:pStyle w:val="NormalWeb"/>
        <w:numPr>
          <w:ilvl w:val="0"/>
          <w:numId w:val="6"/>
        </w:numPr>
        <w:spacing w:beforeAutospacing="0" w:afterAutospacing="0"/>
        <w:rPr>
          <w:rFonts w:ascii="Arial" w:hAnsi="Arial" w:cs="Arial"/>
          <w:sz w:val="22"/>
          <w:szCs w:val="22"/>
        </w:rPr>
      </w:pPr>
      <w:r>
        <w:rPr>
          <w:rFonts w:ascii="Arial" w:hAnsi="Arial" w:cs="Arial"/>
          <w:sz w:val="22"/>
          <w:szCs w:val="22"/>
        </w:rPr>
        <w:t xml:space="preserve">K. </w:t>
      </w:r>
      <w:proofErr w:type="spellStart"/>
      <w:r>
        <w:rPr>
          <w:rFonts w:ascii="Arial" w:hAnsi="Arial" w:cs="Arial"/>
          <w:sz w:val="22"/>
          <w:szCs w:val="22"/>
        </w:rPr>
        <w:t>Totlani</w:t>
      </w:r>
      <w:proofErr w:type="spellEnd"/>
      <w:r>
        <w:rPr>
          <w:rFonts w:ascii="Arial" w:hAnsi="Arial" w:cs="Arial"/>
          <w:sz w:val="22"/>
          <w:szCs w:val="22"/>
        </w:rPr>
        <w:t xml:space="preserve">, R. J. Van Tatenhove‐Pel, M. T. Kreutzer, W. M. Van Gulik, and V. Van Steijn, “Microbioreactors for nutrient‐controlled microbial cultures: Bridging the gap between bioprocess development and industrial use,” </w:t>
      </w:r>
      <w:r>
        <w:rPr>
          <w:rFonts w:ascii="Arial" w:hAnsi="Arial" w:cs="Arial"/>
          <w:i/>
          <w:iCs/>
          <w:sz w:val="22"/>
          <w:szCs w:val="22"/>
        </w:rPr>
        <w:t>Biotechnology Journal</w:t>
      </w:r>
      <w:r>
        <w:rPr>
          <w:rFonts w:ascii="Arial" w:hAnsi="Arial" w:cs="Arial"/>
          <w:sz w:val="22"/>
          <w:szCs w:val="22"/>
        </w:rPr>
        <w:t xml:space="preserve">, vol. 18, no. 6, Mar. 2023, </w:t>
      </w:r>
      <w:proofErr w:type="spellStart"/>
      <w:r>
        <w:rPr>
          <w:rFonts w:ascii="Arial" w:hAnsi="Arial" w:cs="Arial"/>
          <w:sz w:val="22"/>
          <w:szCs w:val="22"/>
        </w:rPr>
        <w:t>doi</w:t>
      </w:r>
      <w:proofErr w:type="spellEnd"/>
      <w:r>
        <w:rPr>
          <w:rFonts w:ascii="Arial" w:hAnsi="Arial" w:cs="Arial"/>
          <w:sz w:val="22"/>
          <w:szCs w:val="22"/>
        </w:rPr>
        <w:t>: 10.1002/biot.202200549.</w:t>
      </w:r>
    </w:p>
    <w:p w14:paraId="013C7050" w14:textId="77777777" w:rsidR="00102470" w:rsidRDefault="00102470" w:rsidP="00102470">
      <w:pPr>
        <w:pStyle w:val="NormalWeb"/>
        <w:numPr>
          <w:ilvl w:val="0"/>
          <w:numId w:val="6"/>
        </w:numPr>
        <w:spacing w:beforeAutospacing="0" w:afterAutospacing="0"/>
        <w:rPr>
          <w:rFonts w:ascii="Arial" w:hAnsi="Arial" w:cs="Arial"/>
          <w:sz w:val="22"/>
          <w:szCs w:val="22"/>
        </w:rPr>
      </w:pPr>
      <w:r>
        <w:rPr>
          <w:rFonts w:ascii="Arial" w:hAnsi="Arial" w:cs="Arial"/>
          <w:sz w:val="22"/>
          <w:szCs w:val="22"/>
        </w:rPr>
        <w:t xml:space="preserve">M. C. </w:t>
      </w:r>
      <w:proofErr w:type="spellStart"/>
      <w:r>
        <w:rPr>
          <w:rFonts w:ascii="Arial" w:hAnsi="Arial" w:cs="Arial"/>
          <w:sz w:val="22"/>
          <w:szCs w:val="22"/>
        </w:rPr>
        <w:t>Deprá</w:t>
      </w:r>
      <w:proofErr w:type="spellEnd"/>
      <w:r>
        <w:rPr>
          <w:rFonts w:ascii="Arial" w:hAnsi="Arial" w:cs="Arial"/>
          <w:sz w:val="22"/>
          <w:szCs w:val="22"/>
        </w:rPr>
        <w:t xml:space="preserve">, R. R. Dias, L. Q. Zepka, and E. Jacob-Lopes, “Tackling old challenges in microalgal biotechnology: The role of photobioreactors to advance the technology readiness level,” </w:t>
      </w:r>
      <w:r>
        <w:rPr>
          <w:rFonts w:ascii="Arial" w:hAnsi="Arial" w:cs="Arial"/>
          <w:i/>
          <w:iCs/>
          <w:sz w:val="22"/>
          <w:szCs w:val="22"/>
        </w:rPr>
        <w:t>Processes</w:t>
      </w:r>
      <w:r>
        <w:rPr>
          <w:rFonts w:ascii="Arial" w:hAnsi="Arial" w:cs="Arial"/>
          <w:sz w:val="22"/>
          <w:szCs w:val="22"/>
        </w:rPr>
        <w:t xml:space="preserve">, vol. 13, no. 1, p. 51, Dec. 2024, </w:t>
      </w:r>
      <w:proofErr w:type="spellStart"/>
      <w:r>
        <w:rPr>
          <w:rFonts w:ascii="Arial" w:hAnsi="Arial" w:cs="Arial"/>
          <w:sz w:val="22"/>
          <w:szCs w:val="22"/>
        </w:rPr>
        <w:t>doi</w:t>
      </w:r>
      <w:proofErr w:type="spellEnd"/>
      <w:r>
        <w:rPr>
          <w:rFonts w:ascii="Arial" w:hAnsi="Arial" w:cs="Arial"/>
          <w:sz w:val="22"/>
          <w:szCs w:val="22"/>
        </w:rPr>
        <w:t>: 10.3390/pr13010051.</w:t>
      </w:r>
    </w:p>
    <w:p w14:paraId="06AD5BBF" w14:textId="77777777" w:rsidR="00102470" w:rsidRDefault="00102470" w:rsidP="00102470">
      <w:pPr>
        <w:pStyle w:val="NormalWeb"/>
        <w:numPr>
          <w:ilvl w:val="0"/>
          <w:numId w:val="6"/>
        </w:numPr>
        <w:spacing w:beforeAutospacing="0" w:afterAutospacing="0"/>
        <w:rPr>
          <w:rFonts w:ascii="Arial" w:hAnsi="Arial" w:cs="Arial"/>
          <w:sz w:val="22"/>
          <w:szCs w:val="22"/>
        </w:rPr>
      </w:pPr>
      <w:r>
        <w:rPr>
          <w:rFonts w:ascii="Arial" w:eastAsia="Helvetica" w:hAnsi="Arial" w:cs="Arial"/>
          <w:sz w:val="22"/>
          <w:szCs w:val="22"/>
          <w:shd w:val="clear" w:color="auto" w:fill="FFFFFF"/>
        </w:rPr>
        <w:t xml:space="preserve">Okafor, E., </w:t>
      </w:r>
      <w:proofErr w:type="spellStart"/>
      <w:r>
        <w:rPr>
          <w:rFonts w:ascii="Arial" w:eastAsia="Helvetica" w:hAnsi="Arial" w:cs="Arial"/>
          <w:sz w:val="22"/>
          <w:szCs w:val="22"/>
          <w:shd w:val="clear" w:color="auto" w:fill="FFFFFF"/>
        </w:rPr>
        <w:t>Idogho</w:t>
      </w:r>
      <w:proofErr w:type="spellEnd"/>
      <w:r>
        <w:rPr>
          <w:rFonts w:ascii="Arial" w:eastAsia="Helvetica" w:hAnsi="Arial" w:cs="Arial"/>
          <w:sz w:val="22"/>
          <w:szCs w:val="22"/>
          <w:shd w:val="clear" w:color="auto" w:fill="FFFFFF"/>
        </w:rPr>
        <w:t xml:space="preserve">, O., </w:t>
      </w:r>
      <w:proofErr w:type="spellStart"/>
      <w:r>
        <w:rPr>
          <w:rFonts w:ascii="Arial" w:eastAsia="Helvetica" w:hAnsi="Arial" w:cs="Arial"/>
          <w:sz w:val="22"/>
          <w:szCs w:val="22"/>
          <w:shd w:val="clear" w:color="auto" w:fill="FFFFFF"/>
        </w:rPr>
        <w:t>Anyanti</w:t>
      </w:r>
      <w:proofErr w:type="spellEnd"/>
      <w:r>
        <w:rPr>
          <w:rFonts w:ascii="Arial" w:eastAsia="Helvetica" w:hAnsi="Arial" w:cs="Arial"/>
          <w:sz w:val="22"/>
          <w:szCs w:val="22"/>
          <w:shd w:val="clear" w:color="auto" w:fill="FFFFFF"/>
        </w:rPr>
        <w:t>, J. </w:t>
      </w:r>
      <w:r>
        <w:rPr>
          <w:rFonts w:ascii="Arial" w:eastAsia="Helvetica" w:hAnsi="Arial" w:cs="Arial"/>
          <w:i/>
          <w:iCs/>
          <w:sz w:val="22"/>
          <w:szCs w:val="22"/>
          <w:shd w:val="clear" w:color="auto" w:fill="FFFFFF"/>
        </w:rPr>
        <w:t>et al.</w:t>
      </w:r>
      <w:r>
        <w:rPr>
          <w:rFonts w:ascii="Arial" w:eastAsia="Helvetica" w:hAnsi="Arial" w:cs="Arial"/>
          <w:sz w:val="22"/>
          <w:szCs w:val="22"/>
          <w:shd w:val="clear" w:color="auto" w:fill="FFFFFF"/>
        </w:rPr>
        <w:t> Scaling training facilities for patent and proprietary medicine vendors in Nigeria: insights and lessons learned for policy implication and future partnerships. </w:t>
      </w:r>
      <w:r>
        <w:rPr>
          <w:rFonts w:ascii="Arial" w:eastAsia="Helvetica" w:hAnsi="Arial" w:cs="Arial"/>
          <w:i/>
          <w:iCs/>
          <w:sz w:val="22"/>
          <w:szCs w:val="22"/>
          <w:shd w:val="clear" w:color="auto" w:fill="FFFFFF"/>
        </w:rPr>
        <w:t>Health Res Policy Sys</w:t>
      </w:r>
      <w:r>
        <w:rPr>
          <w:rFonts w:ascii="Arial" w:eastAsia="Helvetica" w:hAnsi="Arial" w:cs="Arial"/>
          <w:sz w:val="22"/>
          <w:szCs w:val="22"/>
          <w:shd w:val="clear" w:color="auto" w:fill="FFFFFF"/>
        </w:rPr>
        <w:t> </w:t>
      </w:r>
      <w:r>
        <w:rPr>
          <w:rFonts w:ascii="Arial" w:eastAsia="Helvetica" w:hAnsi="Arial" w:cs="Arial"/>
          <w:b/>
          <w:bCs/>
          <w:sz w:val="22"/>
          <w:szCs w:val="22"/>
          <w:shd w:val="clear" w:color="auto" w:fill="FFFFFF"/>
        </w:rPr>
        <w:t>22</w:t>
      </w:r>
      <w:r>
        <w:rPr>
          <w:rFonts w:ascii="Arial" w:eastAsia="Helvetica" w:hAnsi="Arial" w:cs="Arial"/>
          <w:sz w:val="22"/>
          <w:szCs w:val="22"/>
          <w:shd w:val="clear" w:color="auto" w:fill="FFFFFF"/>
        </w:rPr>
        <w:t xml:space="preserve">, 97 (2024). </w:t>
      </w:r>
      <w:hyperlink r:id="rId17" w:history="1">
        <w:r>
          <w:rPr>
            <w:rStyle w:val="Hyperlink"/>
            <w:rFonts w:ascii="Arial" w:eastAsia="Helvetica" w:hAnsi="Arial" w:cs="Arial"/>
            <w:color w:val="auto"/>
            <w:sz w:val="22"/>
            <w:szCs w:val="22"/>
            <w:shd w:val="clear" w:color="auto" w:fill="FFFFFF"/>
          </w:rPr>
          <w:t>https://doi.org/10.1186/s12961-024-01186-8</w:t>
        </w:r>
      </w:hyperlink>
    </w:p>
    <w:p w14:paraId="43A56815" w14:textId="77777777" w:rsidR="00102470" w:rsidRDefault="00102470" w:rsidP="00102470">
      <w:pPr>
        <w:pStyle w:val="NormalWeb"/>
        <w:numPr>
          <w:ilvl w:val="0"/>
          <w:numId w:val="6"/>
        </w:numPr>
        <w:spacing w:beforeAutospacing="0" w:afterAutospacing="0"/>
        <w:rPr>
          <w:rFonts w:ascii="Arial" w:hAnsi="Arial" w:cs="Arial"/>
          <w:sz w:val="22"/>
          <w:szCs w:val="22"/>
        </w:rPr>
      </w:pPr>
      <w:r>
        <w:rPr>
          <w:rFonts w:ascii="Arial" w:hAnsi="Arial" w:cs="Arial"/>
          <w:sz w:val="22"/>
          <w:szCs w:val="22"/>
        </w:rPr>
        <w:t xml:space="preserve">T. Savage, A. Del Rio Chanona, and G. </w:t>
      </w:r>
      <w:proofErr w:type="spellStart"/>
      <w:r>
        <w:rPr>
          <w:rFonts w:ascii="Arial" w:hAnsi="Arial" w:cs="Arial"/>
          <w:sz w:val="22"/>
          <w:szCs w:val="22"/>
        </w:rPr>
        <w:t>Oluleye</w:t>
      </w:r>
      <w:proofErr w:type="spellEnd"/>
      <w:r>
        <w:rPr>
          <w:rFonts w:ascii="Arial" w:hAnsi="Arial" w:cs="Arial"/>
          <w:sz w:val="22"/>
          <w:szCs w:val="22"/>
        </w:rPr>
        <w:t xml:space="preserve">, “Robust Market Potential Assessment: Designing optimal policies for low-carbon technology adoption in an increasingly uncertain world,” </w:t>
      </w:r>
      <w:proofErr w:type="spellStart"/>
      <w:r>
        <w:rPr>
          <w:rFonts w:ascii="Arial" w:hAnsi="Arial" w:cs="Arial"/>
          <w:i/>
          <w:iCs/>
          <w:sz w:val="22"/>
          <w:szCs w:val="22"/>
        </w:rPr>
        <w:t>arXiv</w:t>
      </w:r>
      <w:proofErr w:type="spellEnd"/>
      <w:r>
        <w:rPr>
          <w:rFonts w:ascii="Arial" w:hAnsi="Arial" w:cs="Arial"/>
          <w:i/>
          <w:iCs/>
          <w:sz w:val="22"/>
          <w:szCs w:val="22"/>
        </w:rPr>
        <w:t xml:space="preserve"> (Cornell University)</w:t>
      </w:r>
      <w:r>
        <w:rPr>
          <w:rFonts w:ascii="Arial" w:hAnsi="Arial" w:cs="Arial"/>
          <w:sz w:val="22"/>
          <w:szCs w:val="22"/>
        </w:rPr>
        <w:t xml:space="preserve">, Jan. 2023, </w:t>
      </w:r>
      <w:proofErr w:type="spellStart"/>
      <w:r>
        <w:rPr>
          <w:rFonts w:ascii="Arial" w:hAnsi="Arial" w:cs="Arial"/>
          <w:sz w:val="22"/>
          <w:szCs w:val="22"/>
        </w:rPr>
        <w:t>doi</w:t>
      </w:r>
      <w:proofErr w:type="spellEnd"/>
      <w:r>
        <w:rPr>
          <w:rFonts w:ascii="Arial" w:hAnsi="Arial" w:cs="Arial"/>
          <w:sz w:val="22"/>
          <w:szCs w:val="22"/>
        </w:rPr>
        <w:t>: 10.48550/arxiv.2304.10203.</w:t>
      </w:r>
    </w:p>
    <w:p w14:paraId="3B96CDBA" w14:textId="77777777" w:rsidR="00102470" w:rsidRDefault="00102470" w:rsidP="00102470">
      <w:pPr>
        <w:pStyle w:val="NormalWeb"/>
        <w:numPr>
          <w:ilvl w:val="0"/>
          <w:numId w:val="6"/>
        </w:numPr>
        <w:spacing w:beforeAutospacing="0" w:afterAutospacing="0"/>
        <w:rPr>
          <w:rFonts w:ascii="Arial" w:hAnsi="Arial" w:cs="Arial"/>
          <w:sz w:val="22"/>
          <w:szCs w:val="22"/>
        </w:rPr>
      </w:pPr>
      <w:r>
        <w:rPr>
          <w:rFonts w:ascii="Arial" w:hAnsi="Arial" w:cs="Arial"/>
          <w:sz w:val="22"/>
          <w:szCs w:val="22"/>
        </w:rPr>
        <w:t xml:space="preserve">C. E. P. De Morais, L. C. </w:t>
      </w:r>
      <w:proofErr w:type="spellStart"/>
      <w:r>
        <w:rPr>
          <w:rFonts w:ascii="Arial" w:hAnsi="Arial" w:cs="Arial"/>
          <w:sz w:val="22"/>
          <w:szCs w:val="22"/>
        </w:rPr>
        <w:t>Awater</w:t>
      </w:r>
      <w:proofErr w:type="spellEnd"/>
      <w:r>
        <w:rPr>
          <w:rFonts w:ascii="Arial" w:hAnsi="Arial" w:cs="Arial"/>
          <w:sz w:val="22"/>
          <w:szCs w:val="22"/>
        </w:rPr>
        <w:t xml:space="preserve">, G. B. A. Júnior, R. F. De Sena, M. C. Martí-Calatayud, and C. Bohner, “MEMBRANE BIOREACTOR APPLIED TO THE TREATMENT OF a FRUIT PROCESSING INDUSTRY WASTEWATER IN NORTHEAST BRAZIL,” </w:t>
      </w:r>
      <w:proofErr w:type="spellStart"/>
      <w:r>
        <w:rPr>
          <w:rFonts w:ascii="Arial" w:hAnsi="Arial" w:cs="Arial"/>
          <w:i/>
          <w:iCs/>
          <w:sz w:val="22"/>
          <w:szCs w:val="22"/>
        </w:rPr>
        <w:t>Revista</w:t>
      </w:r>
      <w:proofErr w:type="spellEnd"/>
      <w:r>
        <w:rPr>
          <w:rFonts w:ascii="Arial" w:hAnsi="Arial" w:cs="Arial"/>
          <w:i/>
          <w:iCs/>
          <w:sz w:val="22"/>
          <w:szCs w:val="22"/>
        </w:rPr>
        <w:t xml:space="preserve"> AIDIS De </w:t>
      </w:r>
      <w:proofErr w:type="spellStart"/>
      <w:r>
        <w:rPr>
          <w:rFonts w:ascii="Arial" w:hAnsi="Arial" w:cs="Arial"/>
          <w:i/>
          <w:iCs/>
          <w:sz w:val="22"/>
          <w:szCs w:val="22"/>
        </w:rPr>
        <w:t>Ingeniería</w:t>
      </w:r>
      <w:proofErr w:type="spellEnd"/>
      <w:r>
        <w:rPr>
          <w:rFonts w:ascii="Arial" w:hAnsi="Arial" w:cs="Arial"/>
          <w:i/>
          <w:iCs/>
          <w:sz w:val="22"/>
          <w:szCs w:val="22"/>
        </w:rPr>
        <w:t xml:space="preserve"> Y </w:t>
      </w:r>
      <w:proofErr w:type="spellStart"/>
      <w:r>
        <w:rPr>
          <w:rFonts w:ascii="Arial" w:hAnsi="Arial" w:cs="Arial"/>
          <w:i/>
          <w:iCs/>
          <w:sz w:val="22"/>
          <w:szCs w:val="22"/>
        </w:rPr>
        <w:t>Ciencias</w:t>
      </w:r>
      <w:proofErr w:type="spellEnd"/>
      <w:r>
        <w:rPr>
          <w:rFonts w:ascii="Arial" w:hAnsi="Arial" w:cs="Arial"/>
          <w:i/>
          <w:iCs/>
          <w:sz w:val="22"/>
          <w:szCs w:val="22"/>
        </w:rPr>
        <w:t xml:space="preserve"> </w:t>
      </w:r>
      <w:proofErr w:type="spellStart"/>
      <w:r>
        <w:rPr>
          <w:rFonts w:ascii="Arial" w:hAnsi="Arial" w:cs="Arial"/>
          <w:i/>
          <w:iCs/>
          <w:sz w:val="22"/>
          <w:szCs w:val="22"/>
        </w:rPr>
        <w:t>Ambientales</w:t>
      </w:r>
      <w:proofErr w:type="spellEnd"/>
      <w:r>
        <w:rPr>
          <w:rFonts w:ascii="Arial" w:hAnsi="Arial" w:cs="Arial"/>
          <w:i/>
          <w:iCs/>
          <w:sz w:val="22"/>
          <w:szCs w:val="22"/>
        </w:rPr>
        <w:t xml:space="preserve"> </w:t>
      </w:r>
      <w:proofErr w:type="spellStart"/>
      <w:r>
        <w:rPr>
          <w:rFonts w:ascii="Arial" w:hAnsi="Arial" w:cs="Arial"/>
          <w:i/>
          <w:iCs/>
          <w:sz w:val="22"/>
          <w:szCs w:val="22"/>
        </w:rPr>
        <w:t>Investigación</w:t>
      </w:r>
      <w:proofErr w:type="spellEnd"/>
      <w:r>
        <w:rPr>
          <w:rFonts w:ascii="Arial" w:hAnsi="Arial" w:cs="Arial"/>
          <w:i/>
          <w:iCs/>
          <w:sz w:val="22"/>
          <w:szCs w:val="22"/>
        </w:rPr>
        <w:t xml:space="preserve"> Desarrollo Y </w:t>
      </w:r>
      <w:proofErr w:type="spellStart"/>
      <w:r>
        <w:rPr>
          <w:rFonts w:ascii="Arial" w:hAnsi="Arial" w:cs="Arial"/>
          <w:i/>
          <w:iCs/>
          <w:sz w:val="22"/>
          <w:szCs w:val="22"/>
        </w:rPr>
        <w:t>Práctica</w:t>
      </w:r>
      <w:proofErr w:type="spellEnd"/>
      <w:r>
        <w:rPr>
          <w:rFonts w:ascii="Arial" w:hAnsi="Arial" w:cs="Arial"/>
          <w:sz w:val="22"/>
          <w:szCs w:val="22"/>
        </w:rPr>
        <w:t xml:space="preserve">, vol. 14, no. 3, p. 1156, Dec. 2021, </w:t>
      </w:r>
      <w:proofErr w:type="spellStart"/>
      <w:r>
        <w:rPr>
          <w:rFonts w:ascii="Arial" w:hAnsi="Arial" w:cs="Arial"/>
          <w:sz w:val="22"/>
          <w:szCs w:val="22"/>
        </w:rPr>
        <w:t>doi</w:t>
      </w:r>
      <w:proofErr w:type="spellEnd"/>
      <w:r>
        <w:rPr>
          <w:rFonts w:ascii="Arial" w:hAnsi="Arial" w:cs="Arial"/>
          <w:sz w:val="22"/>
          <w:szCs w:val="22"/>
        </w:rPr>
        <w:t>: 10.22201/iingen.0718378xe.2021.14.3.75884.</w:t>
      </w:r>
    </w:p>
    <w:p w14:paraId="235F1D82" w14:textId="77777777" w:rsidR="00102470" w:rsidRDefault="00102470" w:rsidP="00102470">
      <w:pPr>
        <w:rPr>
          <w:rFonts w:ascii="Arial" w:hAnsi="Arial" w:cs="Arial"/>
        </w:rPr>
      </w:pPr>
    </w:p>
    <w:p w14:paraId="1FB4B11A" w14:textId="77777777" w:rsidR="00102470" w:rsidRDefault="00102470"/>
    <w:sectPr w:rsidR="00102470" w:rsidSect="00102470">
      <w:headerReference w:type="even" r:id="rId18"/>
      <w:headerReference w:type="default" r:id="rId19"/>
      <w:footerReference w:type="even" r:id="rId20"/>
      <w:footerReference w:type="default" r:id="rId21"/>
      <w:headerReference w:type="first" r:id="rId22"/>
      <w:footerReference w:type="first" r:id="rId2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0598A" w14:textId="77777777" w:rsidR="00867A71" w:rsidRDefault="00867A71" w:rsidP="003E42E9">
      <w:pPr>
        <w:spacing w:after="0" w:line="240" w:lineRule="auto"/>
      </w:pPr>
      <w:r>
        <w:separator/>
      </w:r>
    </w:p>
  </w:endnote>
  <w:endnote w:type="continuationSeparator" w:id="0">
    <w:p w14:paraId="3D7B568D" w14:textId="77777777" w:rsidR="00867A71" w:rsidRDefault="00867A71" w:rsidP="003E4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ff3">
    <w:altName w:val="Segoe Print"/>
    <w:charset w:val="00"/>
    <w:family w:val="auto"/>
    <w:pitch w:val="default"/>
  </w:font>
  <w:font w:name="ff9">
    <w:altName w:val="Segoe Print"/>
    <w:charset w:val="00"/>
    <w:family w:val="auto"/>
    <w:pitch w:val="default"/>
  </w:font>
  <w:font w:name="ff8">
    <w:altName w:val="Segoe Print"/>
    <w:charset w:val="00"/>
    <w:family w:val="auto"/>
    <w:pitch w:val="default"/>
  </w:font>
  <w:font w:name="ff7">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209E1" w14:textId="77777777" w:rsidR="003E42E9" w:rsidRDefault="003E4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5CDE1" w14:textId="77777777" w:rsidR="003E42E9" w:rsidRDefault="003E42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5BC36" w14:textId="77777777" w:rsidR="003E42E9" w:rsidRDefault="003E4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32C30" w14:textId="77777777" w:rsidR="00867A71" w:rsidRDefault="00867A71" w:rsidP="003E42E9">
      <w:pPr>
        <w:spacing w:after="0" w:line="240" w:lineRule="auto"/>
      </w:pPr>
      <w:r>
        <w:separator/>
      </w:r>
    </w:p>
  </w:footnote>
  <w:footnote w:type="continuationSeparator" w:id="0">
    <w:p w14:paraId="2585A84D" w14:textId="77777777" w:rsidR="00867A71" w:rsidRDefault="00867A71" w:rsidP="003E4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C0579" w14:textId="0A89F6F4" w:rsidR="003E42E9" w:rsidRDefault="003E42E9">
    <w:pPr>
      <w:pStyle w:val="Header"/>
    </w:pPr>
    <w:r>
      <w:rPr>
        <w:noProof/>
      </w:rPr>
      <w:pict w14:anchorId="79248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144688" o:spid="_x0000_s2050" type="#_x0000_t136" style="position:absolute;margin-left:0;margin-top:0;width:526.9pt;height:58.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BF2C8" w14:textId="28042714" w:rsidR="003E42E9" w:rsidRDefault="003E42E9">
    <w:pPr>
      <w:pStyle w:val="Header"/>
    </w:pPr>
    <w:r>
      <w:rPr>
        <w:noProof/>
      </w:rPr>
      <w:pict w14:anchorId="063485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144689" o:spid="_x0000_s2051" type="#_x0000_t136" style="position:absolute;margin-left:0;margin-top:0;width:526.9pt;height:58.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B2E5F" w14:textId="66A6F30A" w:rsidR="003E42E9" w:rsidRDefault="003E42E9">
    <w:pPr>
      <w:pStyle w:val="Header"/>
    </w:pPr>
    <w:r>
      <w:rPr>
        <w:noProof/>
      </w:rPr>
      <w:pict w14:anchorId="27619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144687" o:spid="_x0000_s2049" type="#_x0000_t136" style="position:absolute;margin-left:0;margin-top:0;width:526.9pt;height:58.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41BE55"/>
    <w:multiLevelType w:val="singleLevel"/>
    <w:tmpl w:val="8141BE55"/>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A6A26885"/>
    <w:multiLevelType w:val="singleLevel"/>
    <w:tmpl w:val="A6A26885"/>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C646BB5D"/>
    <w:multiLevelType w:val="singleLevel"/>
    <w:tmpl w:val="C646BB5D"/>
    <w:lvl w:ilvl="0">
      <w:start w:val="1"/>
      <w:numFmt w:val="decimal"/>
      <w:suff w:val="space"/>
      <w:lvlText w:val="%1."/>
      <w:lvlJc w:val="left"/>
    </w:lvl>
  </w:abstractNum>
  <w:abstractNum w:abstractNumId="3" w15:restartNumberingAfterBreak="0">
    <w:nsid w:val="17F89355"/>
    <w:multiLevelType w:val="singleLevel"/>
    <w:tmpl w:val="17F89355"/>
    <w:lvl w:ilvl="0">
      <w:start w:val="1"/>
      <w:numFmt w:val="decimal"/>
      <w:suff w:val="space"/>
      <w:lvlText w:val="%1."/>
      <w:lvlJc w:val="left"/>
      <w:rPr>
        <w:rFonts w:hint="default"/>
        <w:b/>
        <w:bCs/>
      </w:rPr>
    </w:lvl>
  </w:abstractNum>
  <w:abstractNum w:abstractNumId="4" w15:restartNumberingAfterBreak="0">
    <w:nsid w:val="1B60031E"/>
    <w:multiLevelType w:val="singleLevel"/>
    <w:tmpl w:val="1B60031E"/>
    <w:lvl w:ilvl="0">
      <w:start w:val="2"/>
      <w:numFmt w:val="decimal"/>
      <w:suff w:val="space"/>
      <w:lvlText w:val="%1."/>
      <w:lvlJc w:val="left"/>
      <w:rPr>
        <w:rFonts w:hint="default"/>
        <w:b/>
        <w:bCs/>
      </w:rPr>
    </w:lvl>
  </w:abstractNum>
  <w:abstractNum w:abstractNumId="5" w15:restartNumberingAfterBreak="0">
    <w:nsid w:val="3BB3C1A6"/>
    <w:multiLevelType w:val="singleLevel"/>
    <w:tmpl w:val="3BB3C1A6"/>
    <w:lvl w:ilvl="0">
      <w:start w:val="3"/>
      <w:numFmt w:val="decimal"/>
      <w:suff w:val="space"/>
      <w:lvlText w:val="%1."/>
      <w:lvlJc w:val="left"/>
      <w:rPr>
        <w:rFonts w:hint="default"/>
        <w:b/>
        <w:bCs/>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470"/>
    <w:rsid w:val="00102470"/>
    <w:rsid w:val="002A0F4C"/>
    <w:rsid w:val="00350075"/>
    <w:rsid w:val="003E42E9"/>
    <w:rsid w:val="00867A71"/>
    <w:rsid w:val="00877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18EFC4"/>
  <w15:chartTrackingRefBased/>
  <w15:docId w15:val="{79302CF0-DCB3-41BB-B85F-C42CC967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2470"/>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1024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24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24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24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24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24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4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4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4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4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24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24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24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24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24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4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4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470"/>
    <w:rPr>
      <w:rFonts w:eastAsiaTheme="majorEastAsia" w:cstheme="majorBidi"/>
      <w:color w:val="272727" w:themeColor="text1" w:themeTint="D8"/>
    </w:rPr>
  </w:style>
  <w:style w:type="paragraph" w:styleId="Title">
    <w:name w:val="Title"/>
    <w:basedOn w:val="Normal"/>
    <w:next w:val="Normal"/>
    <w:link w:val="TitleChar"/>
    <w:uiPriority w:val="10"/>
    <w:qFormat/>
    <w:rsid w:val="001024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4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4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4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470"/>
    <w:pPr>
      <w:spacing w:before="160"/>
      <w:jc w:val="center"/>
    </w:pPr>
    <w:rPr>
      <w:i/>
      <w:iCs/>
      <w:color w:val="404040" w:themeColor="text1" w:themeTint="BF"/>
    </w:rPr>
  </w:style>
  <w:style w:type="character" w:customStyle="1" w:styleId="QuoteChar">
    <w:name w:val="Quote Char"/>
    <w:basedOn w:val="DefaultParagraphFont"/>
    <w:link w:val="Quote"/>
    <w:uiPriority w:val="29"/>
    <w:rsid w:val="00102470"/>
    <w:rPr>
      <w:i/>
      <w:iCs/>
      <w:color w:val="404040" w:themeColor="text1" w:themeTint="BF"/>
    </w:rPr>
  </w:style>
  <w:style w:type="paragraph" w:styleId="ListParagraph">
    <w:name w:val="List Paragraph"/>
    <w:basedOn w:val="Normal"/>
    <w:uiPriority w:val="34"/>
    <w:qFormat/>
    <w:rsid w:val="00102470"/>
    <w:pPr>
      <w:ind w:left="720"/>
      <w:contextualSpacing/>
    </w:pPr>
  </w:style>
  <w:style w:type="character" w:styleId="IntenseEmphasis">
    <w:name w:val="Intense Emphasis"/>
    <w:basedOn w:val="DefaultParagraphFont"/>
    <w:uiPriority w:val="21"/>
    <w:qFormat/>
    <w:rsid w:val="00102470"/>
    <w:rPr>
      <w:i/>
      <w:iCs/>
      <w:color w:val="0F4761" w:themeColor="accent1" w:themeShade="BF"/>
    </w:rPr>
  </w:style>
  <w:style w:type="paragraph" w:styleId="IntenseQuote">
    <w:name w:val="Intense Quote"/>
    <w:basedOn w:val="Normal"/>
    <w:next w:val="Normal"/>
    <w:link w:val="IntenseQuoteChar"/>
    <w:uiPriority w:val="30"/>
    <w:qFormat/>
    <w:rsid w:val="001024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2470"/>
    <w:rPr>
      <w:i/>
      <w:iCs/>
      <w:color w:val="0F4761" w:themeColor="accent1" w:themeShade="BF"/>
    </w:rPr>
  </w:style>
  <w:style w:type="character" w:styleId="IntenseReference">
    <w:name w:val="Intense Reference"/>
    <w:basedOn w:val="DefaultParagraphFont"/>
    <w:uiPriority w:val="32"/>
    <w:qFormat/>
    <w:rsid w:val="00102470"/>
    <w:rPr>
      <w:b/>
      <w:bCs/>
      <w:smallCaps/>
      <w:color w:val="0F4761" w:themeColor="accent1" w:themeShade="BF"/>
      <w:spacing w:val="5"/>
    </w:rPr>
  </w:style>
  <w:style w:type="character" w:styleId="Hyperlink">
    <w:name w:val="Hyperlink"/>
    <w:basedOn w:val="DefaultParagraphFont"/>
    <w:qFormat/>
    <w:rsid w:val="00102470"/>
    <w:rPr>
      <w:color w:val="0000FF"/>
      <w:u w:val="single"/>
    </w:rPr>
  </w:style>
  <w:style w:type="paragraph" w:styleId="NormalWeb">
    <w:name w:val="Normal (Web)"/>
    <w:qFormat/>
    <w:rsid w:val="00102470"/>
    <w:pPr>
      <w:spacing w:beforeAutospacing="1" w:after="0" w:afterAutospacing="1" w:line="240" w:lineRule="auto"/>
    </w:pPr>
    <w:rPr>
      <w:rFonts w:ascii="Times New Roman" w:eastAsia="SimSun" w:hAnsi="Times New Roman" w:cs="Times New Roman"/>
      <w:kern w:val="0"/>
      <w:lang w:eastAsia="zh-CN"/>
      <w14:ligatures w14:val="none"/>
    </w:rPr>
  </w:style>
  <w:style w:type="character" w:styleId="Strong">
    <w:name w:val="Strong"/>
    <w:basedOn w:val="DefaultParagraphFont"/>
    <w:qFormat/>
    <w:rsid w:val="00102470"/>
    <w:rPr>
      <w:b/>
      <w:bCs/>
    </w:rPr>
  </w:style>
  <w:style w:type="table" w:styleId="TableGrid">
    <w:name w:val="Table Grid"/>
    <w:basedOn w:val="TableNormal"/>
    <w:qFormat/>
    <w:rsid w:val="00102470"/>
    <w:pPr>
      <w:widowControl w:val="0"/>
      <w:spacing w:after="0" w:line="240" w:lineRule="auto"/>
      <w:jc w:val="both"/>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102470"/>
    <w:pPr>
      <w:spacing w:after="240" w:line="240" w:lineRule="auto"/>
      <w:jc w:val="both"/>
    </w:pPr>
    <w:rPr>
      <w:rFonts w:ascii="Helvetica" w:eastAsia="Times New Roman" w:hAnsi="Helvetica" w:cs="Times New Roman"/>
      <w:sz w:val="20"/>
      <w:szCs w:val="20"/>
    </w:rPr>
  </w:style>
  <w:style w:type="character" w:styleId="UnresolvedMention">
    <w:name w:val="Unresolved Mention"/>
    <w:basedOn w:val="DefaultParagraphFont"/>
    <w:uiPriority w:val="99"/>
    <w:semiHidden/>
    <w:unhideWhenUsed/>
    <w:rsid w:val="00350075"/>
    <w:rPr>
      <w:color w:val="605E5C"/>
      <w:shd w:val="clear" w:color="auto" w:fill="E1DFDD"/>
    </w:rPr>
  </w:style>
  <w:style w:type="paragraph" w:styleId="Header">
    <w:name w:val="header"/>
    <w:basedOn w:val="Normal"/>
    <w:link w:val="HeaderChar"/>
    <w:uiPriority w:val="99"/>
    <w:unhideWhenUsed/>
    <w:rsid w:val="003E4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2E9"/>
    <w:rPr>
      <w:kern w:val="0"/>
      <w:sz w:val="22"/>
      <w:szCs w:val="22"/>
      <w14:ligatures w14:val="none"/>
    </w:rPr>
  </w:style>
  <w:style w:type="paragraph" w:styleId="Footer">
    <w:name w:val="footer"/>
    <w:basedOn w:val="Normal"/>
    <w:link w:val="FooterChar"/>
    <w:uiPriority w:val="99"/>
    <w:unhideWhenUsed/>
    <w:rsid w:val="003E4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2E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61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worldbiogasassociation.org/wp-content/uploads/2018/05/Global-Food-Waste-Management-Full-report-pdf.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doi.org/10.1016/B978-0-12-818228-4.00018-6" TargetMode="External"/><Relationship Id="rId17" Type="http://schemas.openxmlformats.org/officeDocument/2006/relationships/hyperlink" Target="https://doi.org/10.1186/s12961-024-01186-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x.doi.org/10.1016/j.arabjc.2022.104344"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3-319-95675-6_86"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978-981-97-7842-3_31" TargetMode="External"/><Relationship Id="rId23"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55366/suse.v1i1.9"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4551</Words>
  <Characters>25941</Characters>
  <Application>Microsoft Office Word</Application>
  <DocSecurity>0</DocSecurity>
  <Lines>216</Lines>
  <Paragraphs>60</Paragraphs>
  <ScaleCrop>false</ScaleCrop>
  <Company/>
  <LinksUpToDate>false</LinksUpToDate>
  <CharactersWithSpaces>30432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O Dogho</dc:creator>
  <cp:keywords/>
  <dc:description/>
  <cp:lastModifiedBy>SDI 1084</cp:lastModifiedBy>
  <cp:revision>3</cp:revision>
  <dcterms:created xsi:type="dcterms:W3CDTF">2025-04-14T03:01:00Z</dcterms:created>
  <dcterms:modified xsi:type="dcterms:W3CDTF">2025-04-14T12:19:00Z</dcterms:modified>
</cp:coreProperties>
</file>