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AE865" w14:textId="77AE0A69" w:rsidR="00754C9A" w:rsidRDefault="0049283E" w:rsidP="00441B6F">
      <w:pPr>
        <w:pStyle w:val="Title"/>
        <w:spacing w:after="0"/>
        <w:jc w:val="both"/>
        <w:rPr>
          <w:rFonts w:ascii="Arial" w:hAnsi="Arial" w:cs="Arial"/>
        </w:rPr>
      </w:pPr>
      <w:r w:rsidRPr="0049283E">
        <w:rPr>
          <w:rFonts w:ascii="Arial" w:hAnsi="Arial" w:cs="Arial"/>
        </w:rPr>
        <w:t>Original Research Article</w:t>
      </w:r>
    </w:p>
    <w:p w14:paraId="46B3CD0C" w14:textId="77777777" w:rsidR="0049283E" w:rsidRDefault="0049283E" w:rsidP="00441B6F">
      <w:pPr>
        <w:pStyle w:val="Title"/>
        <w:spacing w:after="0"/>
        <w:jc w:val="both"/>
        <w:rPr>
          <w:rFonts w:ascii="Arial" w:hAnsi="Arial" w:cs="Arial"/>
        </w:rPr>
      </w:pPr>
    </w:p>
    <w:p w14:paraId="250213AE" w14:textId="794C755F" w:rsidR="00163BC4" w:rsidRPr="00163BC4" w:rsidRDefault="006B29A8" w:rsidP="00441B6F">
      <w:pPr>
        <w:pStyle w:val="Author"/>
        <w:spacing w:line="240" w:lineRule="auto"/>
        <w:rPr>
          <w:rFonts w:ascii="Arial" w:hAnsi="Arial" w:cs="Arial"/>
          <w:bCs/>
          <w:iCs/>
          <w:kern w:val="28"/>
          <w:sz w:val="36"/>
        </w:rPr>
      </w:pPr>
      <w:r w:rsidRPr="006B29A8">
        <w:rPr>
          <w:rFonts w:ascii="Arial" w:hAnsi="Arial" w:cs="Arial"/>
          <w:bCs/>
          <w:iCs/>
          <w:kern w:val="28"/>
          <w:sz w:val="36"/>
        </w:rPr>
        <w:t>Rapid Transport of Orally Administered Low-Molecular-Weight Hyaluronic Acid into the Bloodstream via Mesenteric Lymph Nodes</w:t>
      </w:r>
      <w:r w:rsidR="00231920">
        <w:rPr>
          <w:rFonts w:ascii="Arial" w:hAnsi="Arial" w:cs="Arial"/>
          <w:bCs/>
          <w:iCs/>
          <w:kern w:val="28"/>
          <w:sz w:val="36"/>
        </w:rPr>
        <w:t xml:space="preserve"> </w:t>
      </w:r>
    </w:p>
    <w:p w14:paraId="79DAFDB3" w14:textId="77777777" w:rsidR="00333CBB" w:rsidRDefault="00333CBB" w:rsidP="00441B6F">
      <w:pPr>
        <w:pStyle w:val="Copyright"/>
        <w:spacing w:after="0" w:line="240" w:lineRule="auto"/>
        <w:jc w:val="both"/>
        <w:rPr>
          <w:rFonts w:ascii="Arial" w:hAnsi="Arial" w:cs="Arial"/>
        </w:rPr>
      </w:pPr>
    </w:p>
    <w:p w14:paraId="7DC9FE7D" w14:textId="77777777" w:rsidR="00333CBB" w:rsidRDefault="00333CBB" w:rsidP="00441B6F">
      <w:pPr>
        <w:pStyle w:val="Copyright"/>
        <w:spacing w:after="0" w:line="240" w:lineRule="auto"/>
        <w:jc w:val="both"/>
        <w:rPr>
          <w:rFonts w:ascii="Arial" w:hAnsi="Arial" w:cs="Arial"/>
        </w:rPr>
      </w:pPr>
    </w:p>
    <w:p w14:paraId="10FEDC32" w14:textId="77777777" w:rsidR="00333CBB" w:rsidRDefault="00333CBB" w:rsidP="00441B6F">
      <w:pPr>
        <w:pStyle w:val="Copyright"/>
        <w:spacing w:after="0" w:line="240" w:lineRule="auto"/>
        <w:jc w:val="both"/>
        <w:rPr>
          <w:rFonts w:ascii="Arial" w:hAnsi="Arial" w:cs="Arial"/>
        </w:rPr>
      </w:pPr>
    </w:p>
    <w:p w14:paraId="6F00DDD0" w14:textId="4934FDF1" w:rsidR="00B01FCD" w:rsidRPr="00FB3A86" w:rsidRDefault="002B1831" w:rsidP="00441B6F">
      <w:pPr>
        <w:pStyle w:val="Copyright"/>
        <w:spacing w:after="0" w:line="240" w:lineRule="auto"/>
        <w:jc w:val="both"/>
        <w:rPr>
          <w:rFonts w:ascii="Arial" w:hAnsi="Arial" w:cs="Arial"/>
        </w:rPr>
        <w:sectPr w:rsidR="00B01FCD" w:rsidRPr="00FB3A86" w:rsidSect="00333CB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909090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F4A79CA" w14:textId="2B5528EA" w:rsidR="00B01FCD" w:rsidRDefault="00B01FCD" w:rsidP="00441B6F">
      <w:pPr>
        <w:pStyle w:val="AbstHead"/>
        <w:spacing w:after="0"/>
        <w:jc w:val="both"/>
        <w:rPr>
          <w:rFonts w:ascii="Arial" w:hAnsi="Arial" w:cs="Arial"/>
        </w:rPr>
      </w:pPr>
      <w:r w:rsidRPr="00FB3A86">
        <w:rPr>
          <w:rFonts w:ascii="Arial" w:hAnsi="Arial" w:cs="Arial"/>
        </w:rPr>
        <w:t>ABSTRACT</w:t>
      </w:r>
    </w:p>
    <w:p w14:paraId="372EEC5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D9555F0" w14:textId="77777777" w:rsidTr="001E44FE">
        <w:tc>
          <w:tcPr>
            <w:tcW w:w="9576" w:type="dxa"/>
            <w:shd w:val="clear" w:color="auto" w:fill="F2F2F2"/>
          </w:tcPr>
          <w:p w14:paraId="279FD3A0" w14:textId="5C20D31A" w:rsidR="003E0646" w:rsidRPr="003E0646" w:rsidRDefault="003E0646" w:rsidP="003E0646">
            <w:pPr>
              <w:pStyle w:val="Body"/>
              <w:spacing w:after="0"/>
              <w:rPr>
                <w:rFonts w:ascii="Arial" w:eastAsia="Calibri" w:hAnsi="Arial" w:cs="Arial"/>
                <w:szCs w:val="22"/>
              </w:rPr>
            </w:pPr>
            <w:r w:rsidRPr="003E0646">
              <w:rPr>
                <w:rFonts w:ascii="Arial" w:eastAsia="Calibri" w:hAnsi="Arial" w:cs="Arial"/>
                <w:b/>
                <w:bCs/>
                <w:szCs w:val="22"/>
              </w:rPr>
              <w:t>Background</w:t>
            </w:r>
            <w:r w:rsidRPr="003E0646">
              <w:rPr>
                <w:rFonts w:ascii="Arial" w:eastAsia="Calibri" w:hAnsi="Arial" w:cs="Arial"/>
                <w:szCs w:val="22"/>
              </w:rPr>
              <w:br/>
            </w:r>
            <w:r w:rsidR="005B2C91" w:rsidRPr="005B2C91">
              <w:rPr>
                <w:rFonts w:ascii="Arial" w:eastAsia="Calibri" w:hAnsi="Arial" w:cs="Arial"/>
                <w:szCs w:val="22"/>
              </w:rPr>
              <w:t xml:space="preserve">The 35 </w:t>
            </w:r>
            <w:proofErr w:type="spellStart"/>
            <w:r w:rsidR="005B2C91" w:rsidRPr="005B2C91">
              <w:rPr>
                <w:rFonts w:ascii="Arial" w:eastAsia="Calibri" w:hAnsi="Arial" w:cs="Arial"/>
                <w:szCs w:val="22"/>
              </w:rPr>
              <w:t>kDa</w:t>
            </w:r>
            <w:proofErr w:type="spellEnd"/>
            <w:r w:rsidR="005B2C91" w:rsidRPr="005B2C91">
              <w:rPr>
                <w:rFonts w:ascii="Arial" w:eastAsia="Calibri" w:hAnsi="Arial" w:cs="Arial"/>
                <w:szCs w:val="22"/>
              </w:rPr>
              <w:t xml:space="preserve"> low-molecular-weight hyaluronic acid (HA35) injection has shown efficacy in alleviating various types of pain, reducing inflammation and edema, and exhibiting potential in lipolysis and cosmetic applications. Compared to injectable forms, oral administration offers enhanced convenience and better patient compliance. However, the absorption mechanism of orally administered low-molecular-weight hyaluronic acid (LMWHA, &lt;100 </w:t>
            </w:r>
            <w:proofErr w:type="spellStart"/>
            <w:r w:rsidR="005B2C91" w:rsidRPr="005B2C91">
              <w:rPr>
                <w:rFonts w:ascii="Arial" w:eastAsia="Calibri" w:hAnsi="Arial" w:cs="Arial"/>
                <w:szCs w:val="22"/>
              </w:rPr>
              <w:t>kDa</w:t>
            </w:r>
            <w:proofErr w:type="spellEnd"/>
            <w:r w:rsidR="005B2C91" w:rsidRPr="005B2C91">
              <w:rPr>
                <w:rFonts w:ascii="Arial" w:eastAsia="Calibri" w:hAnsi="Arial" w:cs="Arial"/>
                <w:szCs w:val="22"/>
              </w:rPr>
              <w:t xml:space="preserve">) remains poorly understood. </w:t>
            </w:r>
            <w:r w:rsidR="00C9600B" w:rsidRPr="00C9600B">
              <w:rPr>
                <w:rFonts w:ascii="Arial" w:eastAsia="Calibri" w:hAnsi="Arial" w:cs="Arial"/>
                <w:szCs w:val="22"/>
              </w:rPr>
              <w:t xml:space="preserve">This study investigates the absorption pathways of two </w:t>
            </w:r>
            <w:r w:rsidR="00C9600B">
              <w:rPr>
                <w:rFonts w:ascii="Arial" w:hAnsi="Arial" w:cs="Arial" w:hint="eastAsia"/>
                <w:szCs w:val="22"/>
                <w:lang w:eastAsia="zh-CN"/>
              </w:rPr>
              <w:t>LMWHA</w:t>
            </w:r>
            <w:r w:rsidR="00C9600B" w:rsidRPr="00C9600B">
              <w:rPr>
                <w:rFonts w:ascii="Arial" w:eastAsia="Calibri" w:hAnsi="Arial" w:cs="Arial"/>
                <w:szCs w:val="22"/>
              </w:rPr>
              <w:t>—HA35 and HA70—which differ in their cellular binding affinity but have similar tissue permeability</w:t>
            </w:r>
            <w:r w:rsidR="005B2C91" w:rsidRPr="005B2C91">
              <w:rPr>
                <w:rFonts w:ascii="Arial" w:eastAsia="Calibri" w:hAnsi="Arial" w:cs="Arial"/>
                <w:szCs w:val="22"/>
              </w:rPr>
              <w:t>. Particular emphasis is placed on the role of the mesenteric lymphatic system in mediating their absorption</w:t>
            </w:r>
            <w:r w:rsidRPr="003E0646">
              <w:rPr>
                <w:rFonts w:ascii="Arial" w:eastAsia="Calibri" w:hAnsi="Arial" w:cs="Arial"/>
                <w:szCs w:val="22"/>
              </w:rPr>
              <w:t>.</w:t>
            </w:r>
          </w:p>
          <w:p w14:paraId="39867A71" w14:textId="24BA7F14" w:rsidR="003E0646" w:rsidRPr="003E0646" w:rsidRDefault="003E0646" w:rsidP="003E0646">
            <w:pPr>
              <w:pStyle w:val="Body"/>
              <w:spacing w:after="0"/>
              <w:rPr>
                <w:rFonts w:ascii="Arial" w:eastAsia="Calibri" w:hAnsi="Arial" w:cs="Arial"/>
                <w:szCs w:val="22"/>
              </w:rPr>
            </w:pPr>
            <w:r w:rsidRPr="003E0646">
              <w:rPr>
                <w:rFonts w:ascii="Arial" w:eastAsia="Calibri" w:hAnsi="Arial" w:cs="Arial"/>
                <w:b/>
                <w:bCs/>
                <w:szCs w:val="22"/>
              </w:rPr>
              <w:t>Methods</w:t>
            </w:r>
            <w:r w:rsidRPr="003E0646">
              <w:rPr>
                <w:rFonts w:ascii="Arial" w:eastAsia="Calibri" w:hAnsi="Arial" w:cs="Arial"/>
                <w:szCs w:val="22"/>
              </w:rPr>
              <w:br/>
            </w:r>
            <w:r w:rsidR="005B2C91" w:rsidRPr="005B2C91">
              <w:rPr>
                <w:rFonts w:ascii="Arial" w:eastAsia="Calibri" w:hAnsi="Arial" w:cs="Arial"/>
                <w:szCs w:val="22"/>
              </w:rPr>
              <w:t xml:space="preserve">Rats were administered high oral doses of HA35 and HA70. Blood and tissue samples were collected at predefined time points following administration. The concentrations of </w:t>
            </w:r>
            <w:r w:rsidR="005B2C91" w:rsidRPr="005B2C91">
              <w:rPr>
                <w:rFonts w:ascii="Arial" w:eastAsia="Calibri" w:hAnsi="Arial" w:cs="Arial" w:hint="eastAsia"/>
                <w:szCs w:val="22"/>
              </w:rPr>
              <w:t>h</w:t>
            </w:r>
            <w:r w:rsidR="005B2C91" w:rsidRPr="005B2C91">
              <w:rPr>
                <w:rFonts w:ascii="Arial" w:eastAsia="Calibri" w:hAnsi="Arial" w:cs="Arial"/>
                <w:szCs w:val="22"/>
              </w:rPr>
              <w:t>yalu</w:t>
            </w:r>
            <w:r w:rsidR="005B2C91" w:rsidRPr="005B2C91">
              <w:rPr>
                <w:rFonts w:ascii="Arial" w:hAnsi="Arial" w:cs="Arial"/>
              </w:rPr>
              <w:t>ronic acid</w:t>
            </w:r>
            <w:r w:rsidR="005B2C91" w:rsidRPr="005B2C91">
              <w:rPr>
                <w:rFonts w:ascii="Arial" w:eastAsia="Calibri" w:hAnsi="Arial" w:cs="Arial"/>
                <w:szCs w:val="22"/>
              </w:rPr>
              <w:t xml:space="preserve"> </w:t>
            </w:r>
            <w:r w:rsidR="005B2C91">
              <w:rPr>
                <w:rFonts w:ascii="Arial" w:hAnsi="Arial" w:cs="Arial" w:hint="eastAsia"/>
                <w:szCs w:val="22"/>
                <w:lang w:eastAsia="zh-CN"/>
              </w:rPr>
              <w:t>(</w:t>
            </w:r>
            <w:r w:rsidR="005B2C91" w:rsidRPr="005B2C91">
              <w:rPr>
                <w:rFonts w:ascii="Arial" w:eastAsia="Calibri" w:hAnsi="Arial" w:cs="Arial"/>
                <w:szCs w:val="22"/>
              </w:rPr>
              <w:t>HA</w:t>
            </w:r>
            <w:r w:rsidR="005B2C91">
              <w:rPr>
                <w:rFonts w:ascii="Arial" w:hAnsi="Arial" w:cs="Arial" w:hint="eastAsia"/>
                <w:szCs w:val="22"/>
                <w:lang w:eastAsia="zh-CN"/>
              </w:rPr>
              <w:t>)</w:t>
            </w:r>
            <w:r w:rsidR="005B2C91" w:rsidRPr="005B2C91">
              <w:rPr>
                <w:rFonts w:ascii="Arial" w:eastAsia="Calibri" w:hAnsi="Arial" w:cs="Arial"/>
                <w:szCs w:val="22"/>
              </w:rPr>
              <w:t xml:space="preserve"> in serum, mesenteric lymph nodes, liver, and spleen were quantified using enzyme-linked immunosorbent assay (ELISA) to monitor absorption kinetics and tissue distribution</w:t>
            </w:r>
            <w:r w:rsidRPr="003E0646">
              <w:rPr>
                <w:rFonts w:ascii="Arial" w:eastAsia="Calibri" w:hAnsi="Arial" w:cs="Arial"/>
                <w:szCs w:val="22"/>
              </w:rPr>
              <w:t>.</w:t>
            </w:r>
          </w:p>
          <w:p w14:paraId="7714084E" w14:textId="3AC4C29E" w:rsidR="003E0646" w:rsidRPr="003E0646" w:rsidRDefault="003E0646" w:rsidP="003E0646">
            <w:pPr>
              <w:pStyle w:val="Body"/>
              <w:spacing w:after="0"/>
              <w:rPr>
                <w:rFonts w:ascii="Arial" w:eastAsia="Calibri" w:hAnsi="Arial" w:cs="Arial"/>
                <w:szCs w:val="22"/>
              </w:rPr>
            </w:pPr>
            <w:r w:rsidRPr="003E0646">
              <w:rPr>
                <w:rFonts w:ascii="Arial" w:eastAsia="Calibri" w:hAnsi="Arial" w:cs="Arial"/>
                <w:b/>
                <w:bCs/>
                <w:szCs w:val="22"/>
              </w:rPr>
              <w:t>Results</w:t>
            </w:r>
            <w:r w:rsidRPr="003E0646">
              <w:rPr>
                <w:rFonts w:ascii="Arial" w:eastAsia="Calibri" w:hAnsi="Arial" w:cs="Arial"/>
                <w:szCs w:val="22"/>
              </w:rPr>
              <w:br/>
            </w:r>
            <w:r w:rsidR="005B2C91" w:rsidRPr="005B2C91">
              <w:rPr>
                <w:rFonts w:ascii="Arial" w:eastAsia="Calibri" w:hAnsi="Arial" w:cs="Arial"/>
                <w:szCs w:val="22"/>
              </w:rPr>
              <w:t>Both HA35 and HA70 were rapidly absorbed into the systemic circulation, primarily via the mesenteric lymphatic pathway, bypassing the conventional portal vein–liver route. HA levels in the mesenteric lymph nodes increased significantly within 30 minutes post-administration and remained elevated over time. No significant increases in free HA were observed in the liver or spleen, suggesting that lymphatic uptake is the principal route of absorption</w:t>
            </w:r>
            <w:r w:rsidRPr="003E0646">
              <w:rPr>
                <w:rFonts w:ascii="Arial" w:eastAsia="Calibri" w:hAnsi="Arial" w:cs="Arial"/>
                <w:szCs w:val="22"/>
              </w:rPr>
              <w:t>.</w:t>
            </w:r>
          </w:p>
          <w:p w14:paraId="7E423918" w14:textId="437C867C" w:rsidR="00505F06" w:rsidRPr="00A83397" w:rsidRDefault="003E0646" w:rsidP="00441B6F">
            <w:pPr>
              <w:pStyle w:val="Body"/>
              <w:spacing w:after="0"/>
              <w:rPr>
                <w:rFonts w:ascii="Arial" w:hAnsi="Arial" w:cs="Arial"/>
                <w:szCs w:val="22"/>
                <w:lang w:eastAsia="zh-CN"/>
              </w:rPr>
            </w:pPr>
            <w:r w:rsidRPr="003E0646">
              <w:rPr>
                <w:rFonts w:ascii="Arial" w:eastAsia="Calibri" w:hAnsi="Arial" w:cs="Arial"/>
                <w:b/>
                <w:bCs/>
                <w:szCs w:val="22"/>
              </w:rPr>
              <w:t>Conclusion</w:t>
            </w:r>
            <w:r w:rsidRPr="003E0646">
              <w:rPr>
                <w:rFonts w:ascii="Arial" w:eastAsia="Calibri" w:hAnsi="Arial" w:cs="Arial"/>
                <w:szCs w:val="22"/>
              </w:rPr>
              <w:br/>
            </w:r>
            <w:r w:rsidR="005B2C91" w:rsidRPr="005B2C91">
              <w:rPr>
                <w:rFonts w:ascii="Arial" w:eastAsia="Calibri" w:hAnsi="Arial" w:cs="Arial"/>
                <w:szCs w:val="22"/>
              </w:rPr>
              <w:t xml:space="preserve">In contrast to high-molecular-weight hyaluronic acid (HMWHA, &gt;1000 </w:t>
            </w:r>
            <w:proofErr w:type="spellStart"/>
            <w:r w:rsidR="005B2C91" w:rsidRPr="005B2C91">
              <w:rPr>
                <w:rFonts w:ascii="Arial" w:eastAsia="Calibri" w:hAnsi="Arial" w:cs="Arial"/>
                <w:szCs w:val="22"/>
              </w:rPr>
              <w:t>kDa</w:t>
            </w:r>
            <w:proofErr w:type="spellEnd"/>
            <w:r w:rsidR="005B2C91" w:rsidRPr="005B2C91">
              <w:rPr>
                <w:rFonts w:ascii="Arial" w:eastAsia="Calibri" w:hAnsi="Arial" w:cs="Arial"/>
                <w:szCs w:val="22"/>
              </w:rPr>
              <w:t xml:space="preserve">), which requires degradation before absorption, this study demonstrates for the first time that LMWHA (HA35 and HA70) molecules, with a molecular weight of less than 100 </w:t>
            </w:r>
            <w:proofErr w:type="spellStart"/>
            <w:r w:rsidR="005B2C91" w:rsidRPr="005B2C91">
              <w:rPr>
                <w:rFonts w:ascii="Arial" w:eastAsia="Calibri" w:hAnsi="Arial" w:cs="Arial"/>
                <w:szCs w:val="22"/>
              </w:rPr>
              <w:t>kDa</w:t>
            </w:r>
            <w:proofErr w:type="spellEnd"/>
            <w:r w:rsidR="005B2C91" w:rsidRPr="005B2C91">
              <w:rPr>
                <w:rFonts w:ascii="Arial" w:eastAsia="Calibri" w:hAnsi="Arial" w:cs="Arial"/>
                <w:szCs w:val="22"/>
              </w:rPr>
              <w:t>, can be directly absorbed through the intestinal lymphatic system. These findings provide new insights into the absorption mechanisms of LMWHA, unveiling a novel pathway that may modulate lymphatic immune responses and offer a promising strategy for oral drug delivery, circumventing the hepatic first-pass effect. This research lays the groundwork for future clinical investigations into the therapeutic potential of orally administered LMWHA</w:t>
            </w:r>
            <w:r w:rsidRPr="003E0646">
              <w:rPr>
                <w:rFonts w:ascii="Arial" w:eastAsia="Calibri" w:hAnsi="Arial" w:cs="Arial"/>
                <w:szCs w:val="22"/>
              </w:rPr>
              <w:t>.</w:t>
            </w:r>
          </w:p>
        </w:tc>
      </w:tr>
    </w:tbl>
    <w:p w14:paraId="750EBAB7" w14:textId="77777777" w:rsidR="00636EB2" w:rsidRDefault="00636EB2" w:rsidP="00441B6F">
      <w:pPr>
        <w:pStyle w:val="Body"/>
        <w:spacing w:after="0"/>
        <w:rPr>
          <w:rFonts w:ascii="Arial" w:hAnsi="Arial" w:cs="Arial"/>
          <w:i/>
        </w:rPr>
      </w:pPr>
    </w:p>
    <w:p w14:paraId="511DF936" w14:textId="3C5CFEC3" w:rsidR="00A24E7E" w:rsidRDefault="00A24E7E" w:rsidP="00441B6F">
      <w:pPr>
        <w:pStyle w:val="Body"/>
        <w:spacing w:after="0"/>
        <w:rPr>
          <w:rFonts w:ascii="Arial" w:hAnsi="Arial" w:cs="Arial"/>
          <w:i/>
        </w:rPr>
      </w:pPr>
      <w:r>
        <w:rPr>
          <w:rFonts w:ascii="Arial" w:hAnsi="Arial" w:cs="Arial"/>
          <w:i/>
        </w:rPr>
        <w:t xml:space="preserve">Keywords: </w:t>
      </w:r>
      <w:r w:rsidR="003E0646" w:rsidRPr="003E0646">
        <w:rPr>
          <w:rFonts w:ascii="Arial" w:hAnsi="Arial" w:cs="Arial"/>
          <w:i/>
        </w:rPr>
        <w:t>Low molecular weight hyaluronic acid; oral administration; intestinal absorption; mesenteric lymph nodes; lymphatic system absorption.</w:t>
      </w:r>
    </w:p>
    <w:p w14:paraId="6F33DB95" w14:textId="77777777" w:rsidR="0024282C" w:rsidRDefault="0024282C" w:rsidP="00441B6F">
      <w:pPr>
        <w:pStyle w:val="Body"/>
        <w:spacing w:after="0"/>
        <w:rPr>
          <w:rFonts w:ascii="Arial" w:hAnsi="Arial" w:cs="Arial"/>
          <w:i/>
          <w:sz w:val="18"/>
        </w:rPr>
      </w:pPr>
    </w:p>
    <w:p w14:paraId="337BD1E0" w14:textId="77777777" w:rsidR="00505F06" w:rsidRPr="00A24E7E" w:rsidRDefault="00505F06" w:rsidP="00441B6F">
      <w:pPr>
        <w:pStyle w:val="Body"/>
        <w:spacing w:after="0"/>
        <w:rPr>
          <w:rFonts w:ascii="Arial" w:hAnsi="Arial" w:cs="Arial"/>
          <w:i/>
        </w:rPr>
      </w:pPr>
    </w:p>
    <w:p w14:paraId="204A2AD5" w14:textId="5D7AF92E" w:rsidR="00790ADA" w:rsidRPr="00FB3A86" w:rsidRDefault="00902823" w:rsidP="00441B6F">
      <w:pPr>
        <w:pStyle w:val="AbstHead"/>
        <w:spacing w:after="0"/>
        <w:jc w:val="both"/>
        <w:rPr>
          <w:rFonts w:ascii="Arial" w:hAnsi="Arial" w:cs="Arial"/>
          <w:lang w:eastAsia="zh-CN"/>
        </w:rPr>
      </w:pPr>
      <w:r>
        <w:rPr>
          <w:rFonts w:ascii="Arial" w:hAnsi="Arial" w:cs="Arial"/>
        </w:rPr>
        <w:t xml:space="preserve">1. </w:t>
      </w:r>
      <w:r w:rsidR="00B01FCD" w:rsidRPr="00FB3A86">
        <w:rPr>
          <w:rFonts w:ascii="Arial" w:hAnsi="Arial" w:cs="Arial"/>
        </w:rPr>
        <w:t>INTRODUCTION</w:t>
      </w:r>
    </w:p>
    <w:p w14:paraId="6A8E65F3" w14:textId="111C5B17" w:rsidR="005B2C91" w:rsidRPr="005B2C91" w:rsidRDefault="005B2C91" w:rsidP="005B2C91">
      <w:pPr>
        <w:pStyle w:val="Body"/>
        <w:rPr>
          <w:rFonts w:ascii="Arial" w:hAnsi="Arial" w:cs="Arial"/>
          <w:lang w:eastAsia="zh-CN"/>
        </w:rPr>
      </w:pPr>
      <w:r w:rsidRPr="005B2C91">
        <w:rPr>
          <w:rFonts w:ascii="Arial" w:hAnsi="Arial" w:cs="Arial"/>
        </w:rPr>
        <w:t xml:space="preserve">HA is a linear polysaccharide composed of repeating disaccharide units of D-glucuronic acid and N-acetylglucosamine. It is widely distributed in the skin, synovial fluid, and connective </w:t>
      </w:r>
      <w:r w:rsidRPr="005B2C91">
        <w:rPr>
          <w:rFonts w:ascii="Arial" w:hAnsi="Arial" w:cs="Arial"/>
        </w:rPr>
        <w:lastRenderedPageBreak/>
        <w:t xml:space="preserve">tissues, where it plays essential roles in maintaining tissue hydration, providing lubrication, and regulating cellular behavior [1]. Currently, six categories of medical devices and pharmaceutical products based on HMWHA are commercially available, including intra-articular injection formulations [2], viscoelastic agents for ophthalmic surgery [3], dermal fillers [4], anti-adhesion barriers for abdominal surgery [5], therapies for interstitial cystitis [6], and treatments for dry eye syndrome [7]. HMWHA and its degradation fragments interact with a range of cell surface receptors and pain-related calcium channels, such as CD44 [8], LYVE-1 [9], RHAMM [10], HARE [11], Siglec-9 [12], TLR2 [13], CEMIP [14], and TMEM2 [15]. The presence of these receptors suggests that both HMWHA and its fragments exert a broad spectrum of biological activities in vivo. However, due to its large molecular size (&gt;1000 </w:t>
      </w:r>
      <w:proofErr w:type="spellStart"/>
      <w:r w:rsidRPr="005B2C91">
        <w:rPr>
          <w:rFonts w:ascii="Arial" w:hAnsi="Arial" w:cs="Arial"/>
        </w:rPr>
        <w:t>kDa</w:t>
      </w:r>
      <w:proofErr w:type="spellEnd"/>
      <w:r w:rsidRPr="005B2C91">
        <w:rPr>
          <w:rFonts w:ascii="Arial" w:hAnsi="Arial" w:cs="Arial"/>
        </w:rPr>
        <w:t>), HMWHA exhibits poor tissue permeability, and injectable administration does not allow for immediate tissue penetration to achieve its therapeutic effects.</w:t>
      </w:r>
    </w:p>
    <w:p w14:paraId="76163BE6" w14:textId="23B6D3C2" w:rsidR="005B2C91" w:rsidRPr="005B2C91" w:rsidRDefault="005B2C91" w:rsidP="005B2C91">
      <w:pPr>
        <w:pStyle w:val="Body"/>
        <w:rPr>
          <w:rFonts w:ascii="Arial" w:hAnsi="Arial" w:cs="Arial"/>
          <w:lang w:eastAsia="zh-CN"/>
        </w:rPr>
      </w:pPr>
      <w:r w:rsidRPr="005B2C91">
        <w:rPr>
          <w:rFonts w:ascii="Arial" w:hAnsi="Arial" w:cs="Arial"/>
        </w:rPr>
        <w:t xml:space="preserve">Following the regulatory approval of HA as a food additive in countries such as South Korea, Japan, and China, interest in oral HA research has increased significantly [16]. In recent years, LMWHA has garnered considerable attention due to its superior bioavailability and potential for systemic effects. Our previous studies have demonstrated that radiolabeled HA35 can be rapidly absorbed via lymph nodes following subcutaneous injection, showcasing strong biological activity in clinical applications such as pain relief, anti-inflammation, and facial slimming in cosmetic use [17–25]. Unlike HMWHA, LMWHA can be absorbed through the gastrointestinal tract into systemic circulation, where it exerts various biological functions, including immunomodulation, anti-inflammatory effects, and enhanced skin hydration [26]. </w:t>
      </w:r>
      <w:r w:rsidR="0082290B" w:rsidRPr="0082290B">
        <w:rPr>
          <w:rFonts w:ascii="Arial" w:hAnsi="Arial" w:cs="Arial"/>
        </w:rPr>
        <w:t xml:space="preserve">In contrast, orally administered HMWHA is primarily degraded into smaller fragments such as disaccharides and </w:t>
      </w:r>
      <w:proofErr w:type="spellStart"/>
      <w:r w:rsidR="0082290B" w:rsidRPr="0082290B">
        <w:rPr>
          <w:rFonts w:ascii="Arial" w:hAnsi="Arial" w:cs="Arial"/>
        </w:rPr>
        <w:t>tetrasaccharides</w:t>
      </w:r>
      <w:proofErr w:type="spellEnd"/>
      <w:r w:rsidR="0082290B" w:rsidRPr="0082290B">
        <w:rPr>
          <w:rFonts w:ascii="Arial" w:hAnsi="Arial" w:cs="Arial"/>
        </w:rPr>
        <w:t>, which are limited in their distribution and efficacy, especially in applications related to the skin</w:t>
      </w:r>
      <w:r w:rsidRPr="005B2C91">
        <w:rPr>
          <w:rFonts w:ascii="Arial" w:hAnsi="Arial" w:cs="Arial"/>
        </w:rPr>
        <w:t xml:space="preserve"> [27]. Despite these promising findings, the precise mechanisms underlying the systemic absorption of LMWHA remain unclear. Specifically, the role of the intestinal lymphatic system—a key component of the gut-associated immune system—in facilitating the rapid entry of LMWHA into the bloodstream warrants further investigation.</w:t>
      </w:r>
    </w:p>
    <w:p w14:paraId="42F4A03C" w14:textId="3086BB28" w:rsidR="00B01FCD" w:rsidRDefault="005B2C91" w:rsidP="005B2C91">
      <w:pPr>
        <w:pStyle w:val="Body"/>
        <w:spacing w:after="0"/>
        <w:rPr>
          <w:rFonts w:ascii="Arial" w:hAnsi="Arial" w:cs="Arial"/>
        </w:rPr>
      </w:pPr>
      <w:r w:rsidRPr="005B2C91">
        <w:rPr>
          <w:rFonts w:ascii="Arial" w:hAnsi="Arial" w:cs="Arial"/>
        </w:rPr>
        <w:t xml:space="preserve">The intestinal lymphatic system plays a critical role in the absorption of certain macromolecules, such as chylomicrons, fat-soluble vitamins, and specific peptide molecules, allowing them to bypass hepatic first-pass metabolism via mesenteric lymphatics [28]. Prior research has suggested that LMWHA is more readily absorbed across intestinal tissues and into the bloodstream compared to HMWHA [26]. Among LMWHA molecules, those closer to the 100 </w:t>
      </w:r>
      <w:proofErr w:type="spellStart"/>
      <w:r w:rsidRPr="005B2C91">
        <w:rPr>
          <w:rFonts w:ascii="Arial" w:hAnsi="Arial" w:cs="Arial"/>
        </w:rPr>
        <w:t>kDa</w:t>
      </w:r>
      <w:proofErr w:type="spellEnd"/>
      <w:r w:rsidRPr="005B2C91">
        <w:rPr>
          <w:rFonts w:ascii="Arial" w:hAnsi="Arial" w:cs="Arial"/>
        </w:rPr>
        <w:t xml:space="preserve"> threshold tend to exhibit stronger cell-binding affinity and more pronounced biological effects [29]. Building upon our previous findings that HA35 can enter the lymphatic system following subcutaneous injection [30–34], the present study investigates the absorption pathways of two &lt;100 </w:t>
      </w:r>
      <w:proofErr w:type="spellStart"/>
      <w:r w:rsidRPr="005B2C91">
        <w:rPr>
          <w:rFonts w:ascii="Arial" w:hAnsi="Arial" w:cs="Arial"/>
        </w:rPr>
        <w:t>kDa</w:t>
      </w:r>
      <w:proofErr w:type="spellEnd"/>
      <w:r w:rsidRPr="005B2C91">
        <w:rPr>
          <w:rFonts w:ascii="Arial" w:hAnsi="Arial" w:cs="Arial"/>
        </w:rPr>
        <w:t xml:space="preserve"> LMWHA types—HA35 and HA70—following high-dose oral administration in rats. A central objective is to determine whether these molecules can be absorbed via the mesenteric lymph nodes and subsequently enter systemic circulation. To this end, we employed ELISA to quantify the concentrations of HA35 and HA70 in serum and intestinal lymphatic tissues at various time points. These findings are expected to provide experimental evidence supporting the involvement of the intestinal lymphatic system in the oral absorption of LMWHA and offer a feasibility assessment for future high-dose oral clinical applications in humans [35]</w:t>
      </w:r>
      <w:r w:rsidR="003E0646" w:rsidRPr="003E0646">
        <w:rPr>
          <w:rFonts w:ascii="Arial" w:hAnsi="Arial" w:cs="Arial"/>
        </w:rPr>
        <w:t>.</w:t>
      </w:r>
    </w:p>
    <w:p w14:paraId="3DB3ED5F" w14:textId="77777777" w:rsidR="00790ADA" w:rsidRPr="00FB3A86" w:rsidRDefault="00790ADA" w:rsidP="00441B6F">
      <w:pPr>
        <w:pStyle w:val="Body"/>
        <w:spacing w:after="0"/>
        <w:rPr>
          <w:rFonts w:ascii="Arial" w:hAnsi="Arial" w:cs="Arial"/>
        </w:rPr>
      </w:pPr>
    </w:p>
    <w:p w14:paraId="3AA62B9B" w14:textId="1BCE74E2"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r w:rsidR="007F7B32">
        <w:rPr>
          <w:rFonts w:ascii="Arial" w:hAnsi="Arial" w:cs="Arial"/>
        </w:rPr>
        <w:t xml:space="preserve"> </w:t>
      </w:r>
    </w:p>
    <w:p w14:paraId="13E3A7D6" w14:textId="77777777" w:rsidR="00790ADA" w:rsidRPr="00FB3A86" w:rsidRDefault="00790ADA" w:rsidP="00441B6F">
      <w:pPr>
        <w:pStyle w:val="AbstHead"/>
        <w:spacing w:after="0"/>
        <w:jc w:val="both"/>
        <w:rPr>
          <w:rFonts w:ascii="Arial" w:hAnsi="Arial" w:cs="Arial"/>
        </w:rPr>
      </w:pPr>
    </w:p>
    <w:p w14:paraId="3571BF33" w14:textId="28F67657" w:rsidR="003E0646" w:rsidRDefault="003E0646" w:rsidP="003E0646">
      <w:pPr>
        <w:pStyle w:val="Body"/>
        <w:spacing w:after="0"/>
        <w:rPr>
          <w:rFonts w:ascii="Arial" w:hAnsi="Arial" w:cs="Arial"/>
        </w:rPr>
      </w:pPr>
      <w:r w:rsidRPr="00C30A0F">
        <w:rPr>
          <w:rFonts w:ascii="Arial" w:hAnsi="Arial" w:cs="Arial"/>
          <w:b/>
          <w:caps/>
          <w:sz w:val="22"/>
        </w:rPr>
        <w:t xml:space="preserve">2.1 </w:t>
      </w:r>
      <w:r w:rsidRPr="003E0646">
        <w:rPr>
          <w:rFonts w:ascii="Arial" w:hAnsi="Arial" w:cs="Arial"/>
          <w:b/>
          <w:sz w:val="22"/>
        </w:rPr>
        <w:t>Production and Characterization of HA35 and HA70</w:t>
      </w:r>
    </w:p>
    <w:p w14:paraId="0750313E" w14:textId="3BD2FE4A" w:rsidR="00EA3310" w:rsidRPr="00EA3310" w:rsidRDefault="00EA3310" w:rsidP="00EA3310">
      <w:pPr>
        <w:pStyle w:val="Body"/>
        <w:rPr>
          <w:rFonts w:ascii="Arial" w:hAnsi="Arial" w:cs="Arial"/>
        </w:rPr>
      </w:pPr>
      <w:r w:rsidRPr="00EA3310">
        <w:rPr>
          <w:rFonts w:ascii="Arial" w:hAnsi="Arial" w:cs="Arial"/>
        </w:rPr>
        <w:t xml:space="preserve">HA35 was prepared by enzymatic degradation of </w:t>
      </w:r>
      <w:r w:rsidR="00C9600B">
        <w:rPr>
          <w:rFonts w:ascii="Arial" w:hAnsi="Arial" w:cs="Arial" w:hint="eastAsia"/>
          <w:lang w:eastAsia="zh-CN"/>
        </w:rPr>
        <w:t>HMWHA</w:t>
      </w:r>
      <w:r w:rsidRPr="00EA3310">
        <w:rPr>
          <w:rFonts w:ascii="Arial" w:hAnsi="Arial" w:cs="Arial"/>
        </w:rPr>
        <w:t xml:space="preserve"> (1600 </w:t>
      </w:r>
      <w:proofErr w:type="spellStart"/>
      <w:r w:rsidRPr="00EA3310">
        <w:rPr>
          <w:rFonts w:ascii="Arial" w:hAnsi="Arial" w:cs="Arial"/>
        </w:rPr>
        <w:t>kDa</w:t>
      </w:r>
      <w:proofErr w:type="spellEnd"/>
      <w:r w:rsidRPr="00EA3310">
        <w:rPr>
          <w:rFonts w:ascii="Arial" w:hAnsi="Arial" w:cs="Arial"/>
        </w:rPr>
        <w:t xml:space="preserve">) using recombinant hyaluronidase PH20, expressed in CHO cells (purity: 99.0%). The enzymatic reaction was carried out at 37 °C for 6 hours, with the pH maintained between 5.5 and 6.0 to optimize </w:t>
      </w:r>
      <w:r w:rsidRPr="00EA3310">
        <w:rPr>
          <w:rFonts w:ascii="Arial" w:hAnsi="Arial" w:cs="Arial"/>
        </w:rPr>
        <w:lastRenderedPageBreak/>
        <w:t xml:space="preserve">enzyme activity and control the molecular weight distribution. Following hydrolysis, an equal volume of absolute ethanol was added to precipitate proteins, and a second ethanol precipitation was performed using 2.5 times the sample volume to enhance product purity. </w:t>
      </w:r>
      <w:r w:rsidR="0082290B" w:rsidRPr="0082290B">
        <w:rPr>
          <w:rFonts w:ascii="Arial" w:hAnsi="Arial" w:cs="Arial"/>
        </w:rPr>
        <w:t>The precipitate was collected via centrifugation (8000 g for 15 minutes), then dried in a vacuum oven at 40 °C. To prevent moisture absorption and degradation, it was stored at –20 °C in a dry environment</w:t>
      </w:r>
      <w:r w:rsidRPr="00EA3310">
        <w:rPr>
          <w:rFonts w:ascii="Arial" w:hAnsi="Arial" w:cs="Arial"/>
        </w:rPr>
        <w:t>.</w:t>
      </w:r>
    </w:p>
    <w:p w14:paraId="2A7DD2DE" w14:textId="77777777" w:rsidR="00EA3310" w:rsidRPr="00EA3310" w:rsidRDefault="00EA3310" w:rsidP="00EA3310">
      <w:pPr>
        <w:pStyle w:val="Body"/>
        <w:rPr>
          <w:rFonts w:ascii="Arial" w:hAnsi="Arial" w:cs="Arial"/>
        </w:rPr>
      </w:pPr>
      <w:r w:rsidRPr="00EA3310">
        <w:rPr>
          <w:rFonts w:ascii="Arial" w:hAnsi="Arial" w:cs="Arial"/>
        </w:rPr>
        <w:t xml:space="preserve">HA70 was obtained commercially (food-grade, purity &gt;95%, </w:t>
      </w:r>
      <w:proofErr w:type="spellStart"/>
      <w:r w:rsidRPr="00EA3310">
        <w:rPr>
          <w:rFonts w:ascii="Arial" w:hAnsi="Arial" w:cs="Arial"/>
        </w:rPr>
        <w:t>Liyang</w:t>
      </w:r>
      <w:proofErr w:type="spellEnd"/>
      <w:r w:rsidRPr="00EA3310">
        <w:rPr>
          <w:rFonts w:ascii="Arial" w:hAnsi="Arial" w:cs="Arial"/>
        </w:rPr>
        <w:t xml:space="preserve"> Biotechnology Inc., Shandong, PRC). Upon receipt, the product was sealed and stored appropriately. Its purity and molecular weight distribution were verified prior to use.</w:t>
      </w:r>
    </w:p>
    <w:p w14:paraId="43396135" w14:textId="5E4ABD86" w:rsidR="00790ADA" w:rsidRPr="003E0646" w:rsidRDefault="00EA3310" w:rsidP="00EA3310">
      <w:pPr>
        <w:pStyle w:val="Body"/>
        <w:spacing w:after="0"/>
        <w:rPr>
          <w:rFonts w:ascii="Arial" w:hAnsi="Arial" w:cs="Arial"/>
          <w:lang w:eastAsia="zh-CN"/>
        </w:rPr>
      </w:pPr>
      <w:r w:rsidRPr="00EA3310">
        <w:rPr>
          <w:rFonts w:ascii="Arial" w:hAnsi="Arial" w:cs="Arial"/>
        </w:rPr>
        <w:t>Molecular weights of HA35 and HA70 were determined using agarose gel electrophoresis in both aqueous and lyophilized forms to confirm their consistency with expected values. Samples were dissolved in 1× TAE buffer and subjected to 0.5% agarose gel electrophoresis (120 V, 45 min). The gels were stained, and molecular weight distributions were analyzed using a gel imaging system</w:t>
      </w:r>
      <w:r w:rsidR="00A03B96" w:rsidRPr="002E0D56">
        <w:rPr>
          <w:rFonts w:ascii="Arial" w:hAnsi="Arial" w:cs="Arial"/>
        </w:rPr>
        <w:t>.</w:t>
      </w:r>
    </w:p>
    <w:p w14:paraId="08DAEFE1" w14:textId="77777777" w:rsidR="00505F06" w:rsidRDefault="00505F06" w:rsidP="00441B6F">
      <w:pPr>
        <w:pStyle w:val="Body"/>
        <w:spacing w:after="0"/>
        <w:rPr>
          <w:rFonts w:ascii="Arial" w:hAnsi="Arial" w:cs="Arial"/>
        </w:rPr>
      </w:pPr>
    </w:p>
    <w:p w14:paraId="33BF5FAA" w14:textId="528B17A9" w:rsidR="003E0646" w:rsidRDefault="003E0646" w:rsidP="003E0646">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CN"/>
        </w:rPr>
        <w:t>2</w:t>
      </w:r>
      <w:r w:rsidRPr="00C30A0F">
        <w:rPr>
          <w:rFonts w:ascii="Arial" w:hAnsi="Arial" w:cs="Arial"/>
          <w:b/>
          <w:caps/>
          <w:sz w:val="22"/>
        </w:rPr>
        <w:t xml:space="preserve"> </w:t>
      </w:r>
      <w:r w:rsidRPr="003E0646">
        <w:rPr>
          <w:rFonts w:ascii="Arial" w:hAnsi="Arial" w:cs="Arial"/>
          <w:b/>
          <w:sz w:val="22"/>
        </w:rPr>
        <w:t>Animal Experimentation</w:t>
      </w:r>
    </w:p>
    <w:p w14:paraId="31981861" w14:textId="77777777" w:rsidR="00EA3310" w:rsidRPr="00EA3310" w:rsidRDefault="00EA3310" w:rsidP="00EA3310">
      <w:pPr>
        <w:pStyle w:val="Body"/>
        <w:rPr>
          <w:rFonts w:ascii="Arial" w:hAnsi="Arial" w:cs="Arial"/>
        </w:rPr>
      </w:pPr>
      <w:r w:rsidRPr="00EA3310">
        <w:rPr>
          <w:rFonts w:ascii="Arial" w:hAnsi="Arial" w:cs="Arial"/>
        </w:rPr>
        <w:t xml:space="preserve">A total of 48 male Wistar rats (6–8 weeks old, 300–330 g) were purchased from Jinan </w:t>
      </w:r>
      <w:proofErr w:type="spellStart"/>
      <w:r w:rsidRPr="00EA3310">
        <w:rPr>
          <w:rFonts w:ascii="Arial" w:hAnsi="Arial" w:cs="Arial"/>
        </w:rPr>
        <w:t>Pengyue</w:t>
      </w:r>
      <w:proofErr w:type="spellEnd"/>
      <w:r w:rsidRPr="00EA3310">
        <w:rPr>
          <w:rFonts w:ascii="Arial" w:hAnsi="Arial" w:cs="Arial"/>
        </w:rPr>
        <w:t xml:space="preserve"> Laboratory Animal Breeding Co., Ltd. The animals were housed in an SPF facility under controlled environmental conditions (23 ± 1 °C, 50%–60% relative humidity, 12 h/12 h light/dark cycle) with ad libitum access to sterile water and standard chow. After a 7-day acclimation period, body weights were recorded on the day of administration. All experimental protocols were approved by the Animal Care and Use Committee of Longcore Biotech (Qingdao) Co., Ltd., in accordance with national regulations on laboratory animal care.</w:t>
      </w:r>
    </w:p>
    <w:p w14:paraId="32EC20A0" w14:textId="27C00C1B" w:rsidR="00EA3310" w:rsidRPr="00EA3310" w:rsidRDefault="0082290B" w:rsidP="00EA3310">
      <w:pPr>
        <w:pStyle w:val="Body"/>
        <w:rPr>
          <w:rFonts w:ascii="Arial" w:hAnsi="Arial" w:cs="Arial"/>
        </w:rPr>
      </w:pPr>
      <w:r w:rsidRPr="0082290B">
        <w:rPr>
          <w:rFonts w:ascii="Arial" w:hAnsi="Arial" w:cs="Arial"/>
        </w:rPr>
        <w:t>The rats were randomly divided into two groups (n = 6 per time point): the HA35 group and the HA70 group, with each group receiving an oral gavage of the corresponding HA solution</w:t>
      </w:r>
      <w:r w:rsidR="00EA3310" w:rsidRPr="00EA3310">
        <w:rPr>
          <w:rFonts w:ascii="Arial" w:hAnsi="Arial" w:cs="Arial"/>
        </w:rPr>
        <w:t>. Each group was subdivided into four time points: 0 min (pre-gavage), and 30 min, 60 min, and 120 min post-gavage. HA35 and HA70 powders were dissolved in sterile water (100 mg/mL), filtered through a 220-nm membrane, and prepared as sterile oral solutions. A dose of 0.4 g/kg body weight was administered via a disposable gavage needle.</w:t>
      </w:r>
    </w:p>
    <w:p w14:paraId="27AC565F" w14:textId="77777777" w:rsidR="00EA3310" w:rsidRPr="00EA3310" w:rsidRDefault="00EA3310" w:rsidP="00EA3310">
      <w:pPr>
        <w:pStyle w:val="Body"/>
        <w:rPr>
          <w:rFonts w:ascii="Arial" w:hAnsi="Arial" w:cs="Arial"/>
        </w:rPr>
      </w:pPr>
      <w:r w:rsidRPr="00EA3310">
        <w:rPr>
          <w:rFonts w:ascii="Arial" w:hAnsi="Arial" w:cs="Arial"/>
        </w:rPr>
        <w:t xml:space="preserve">At each time point, rats were anesthetized with 10% chloral hydrate (3.5 mL/kg, </w:t>
      </w:r>
      <w:proofErr w:type="spellStart"/>
      <w:r w:rsidRPr="00EA3310">
        <w:rPr>
          <w:rFonts w:ascii="Arial" w:hAnsi="Arial" w:cs="Arial"/>
        </w:rPr>
        <w:t>i.p.</w:t>
      </w:r>
      <w:proofErr w:type="spellEnd"/>
      <w:r w:rsidRPr="00EA3310">
        <w:rPr>
          <w:rFonts w:ascii="Arial" w:hAnsi="Arial" w:cs="Arial"/>
        </w:rPr>
        <w:t>), and blood samples (5 mL from the heart and 3 mL from the portal vein) were collected into serum separation tubes. Samples were kept at room temperature for 30 minutes, pre-cooled (4–12 °C), and centrifuged (1000 g, 15 min). The resulting serum was aliquoted and stored at –20 °C.</w:t>
      </w:r>
    </w:p>
    <w:p w14:paraId="6191EDBF" w14:textId="197A2F7D" w:rsidR="003E0646" w:rsidRDefault="00EA3310" w:rsidP="00EA3310">
      <w:pPr>
        <w:pStyle w:val="Body"/>
        <w:spacing w:after="0"/>
        <w:rPr>
          <w:rFonts w:ascii="Arial" w:hAnsi="Arial" w:cs="Arial"/>
          <w:lang w:eastAsia="zh-CN"/>
        </w:rPr>
      </w:pPr>
      <w:r w:rsidRPr="00EA3310">
        <w:rPr>
          <w:rFonts w:ascii="Arial" w:hAnsi="Arial" w:cs="Arial"/>
        </w:rPr>
        <w:t>Following euthanasia by cervical dislocation under anesthesia, tissue samples—including 3–4 mesenteric lymph nodes, one spleen, and one liver per rat—were harvested. Tissues were rinsed in PBS, placed into sterile tubes, and stored at 4–12 °C for same-day processing. All biological waste was disposed of in accordance with standard biosafety protocols</w:t>
      </w:r>
      <w:r w:rsidR="003E0646" w:rsidRPr="003E0646">
        <w:rPr>
          <w:rFonts w:ascii="Arial" w:hAnsi="Arial" w:cs="Arial"/>
        </w:rPr>
        <w:t>.</w:t>
      </w:r>
    </w:p>
    <w:p w14:paraId="595587CB" w14:textId="77777777" w:rsidR="00241FED" w:rsidRDefault="00241FED" w:rsidP="003E0646">
      <w:pPr>
        <w:pStyle w:val="Body"/>
        <w:spacing w:after="0"/>
        <w:rPr>
          <w:rFonts w:ascii="Arial" w:hAnsi="Arial" w:cs="Arial"/>
          <w:b/>
          <w:caps/>
          <w:sz w:val="22"/>
        </w:rPr>
      </w:pPr>
    </w:p>
    <w:p w14:paraId="64776A34" w14:textId="314FB167" w:rsidR="003E0646" w:rsidRDefault="003E0646" w:rsidP="003E0646">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CN"/>
        </w:rPr>
        <w:t>3</w:t>
      </w:r>
      <w:r w:rsidRPr="00C30A0F">
        <w:rPr>
          <w:rFonts w:ascii="Arial" w:hAnsi="Arial" w:cs="Arial"/>
          <w:b/>
          <w:caps/>
          <w:sz w:val="22"/>
        </w:rPr>
        <w:t xml:space="preserve"> </w:t>
      </w:r>
      <w:r w:rsidRPr="003E0646">
        <w:rPr>
          <w:rFonts w:ascii="Arial" w:hAnsi="Arial" w:cs="Arial"/>
          <w:b/>
          <w:sz w:val="22"/>
        </w:rPr>
        <w:t>Quantification of HA35 and HA70 Concentrations</w:t>
      </w:r>
    </w:p>
    <w:p w14:paraId="6F35D498" w14:textId="77777777" w:rsidR="00EA3310" w:rsidRPr="00EA3310" w:rsidRDefault="00EA3310" w:rsidP="00EA3310">
      <w:pPr>
        <w:pStyle w:val="Body"/>
        <w:rPr>
          <w:rFonts w:ascii="Arial" w:hAnsi="Arial" w:cs="Arial"/>
        </w:rPr>
      </w:pPr>
      <w:r w:rsidRPr="00EA3310">
        <w:rPr>
          <w:rFonts w:ascii="Arial" w:hAnsi="Arial" w:cs="Arial"/>
        </w:rPr>
        <w:t>After removal of surface blood, tissues were weighed and homogenized with PBS (1:16 w/v) using a glass homogenizer. The homogenates were sonicated (40 kHz, 10 min) to promote cell lysis, followed by centrifugation at 5000 g for 10 min. Supernatants were collected and stored at –20 °C.</w:t>
      </w:r>
    </w:p>
    <w:p w14:paraId="7F29B8AF" w14:textId="77777777" w:rsidR="00EA3310" w:rsidRPr="00EA3310" w:rsidRDefault="00EA3310" w:rsidP="00EA3310">
      <w:pPr>
        <w:pStyle w:val="Body"/>
        <w:rPr>
          <w:rFonts w:ascii="Arial" w:hAnsi="Arial" w:cs="Arial"/>
        </w:rPr>
      </w:pPr>
      <w:r w:rsidRPr="00EA3310">
        <w:rPr>
          <w:rFonts w:ascii="Arial" w:hAnsi="Arial" w:cs="Arial"/>
        </w:rPr>
        <w:t xml:space="preserve">HA35 and HA70 concentrations in serum and tissues were quantified using the </w:t>
      </w:r>
      <w:proofErr w:type="spellStart"/>
      <w:r w:rsidRPr="00EA3310">
        <w:rPr>
          <w:rFonts w:ascii="Arial" w:hAnsi="Arial" w:cs="Arial"/>
        </w:rPr>
        <w:t>Quantikine</w:t>
      </w:r>
      <w:proofErr w:type="spellEnd"/>
      <w:r w:rsidRPr="00EA3310">
        <w:rPr>
          <w:rFonts w:ascii="Arial" w:hAnsi="Arial" w:cs="Arial"/>
        </w:rPr>
        <w:t xml:space="preserve">™ ELISA Hyaluronan Immunoassay Kit (R&amp;D Systems, DHYAL0). Prior to the assay, wash </w:t>
      </w:r>
      <w:r w:rsidRPr="00EA3310">
        <w:rPr>
          <w:rFonts w:ascii="Arial" w:hAnsi="Arial" w:cs="Arial"/>
        </w:rPr>
        <w:lastRenderedPageBreak/>
        <w:t>buffer and substrate solutions A and B were prepared, with substrate solutions protected from light. Standards were reconstituted by dissolving the Hyaluronan Standard in 2 mL of Calibrator Diluent RD5-18 to a concentration of 40 ng/mL, followed by serial dilution to generate a standard curve (20, 10, 5, 2.5, 1.25, 0.625, and 0 ng/mL).</w:t>
      </w:r>
    </w:p>
    <w:p w14:paraId="0C3596E0" w14:textId="7E9F204F" w:rsidR="003E0646" w:rsidRDefault="00EA3310" w:rsidP="00EA3310">
      <w:pPr>
        <w:pStyle w:val="Body"/>
        <w:spacing w:after="0"/>
        <w:rPr>
          <w:rFonts w:ascii="Arial" w:hAnsi="Arial" w:cs="Arial"/>
        </w:rPr>
      </w:pPr>
      <w:r w:rsidRPr="00EA3310">
        <w:rPr>
          <w:rFonts w:ascii="Arial" w:hAnsi="Arial" w:cs="Arial"/>
        </w:rPr>
        <w:t>The assays were conducted following the manufacturer's protocol. Briefly, 50 </w:t>
      </w:r>
      <w:proofErr w:type="spellStart"/>
      <w:r w:rsidRPr="00EA3310">
        <w:rPr>
          <w:rFonts w:ascii="Arial" w:hAnsi="Arial" w:cs="Arial"/>
        </w:rPr>
        <w:t>μL</w:t>
      </w:r>
      <w:proofErr w:type="spellEnd"/>
      <w:r w:rsidRPr="00EA3310">
        <w:rPr>
          <w:rFonts w:ascii="Arial" w:hAnsi="Arial" w:cs="Arial"/>
        </w:rPr>
        <w:t xml:space="preserve"> of Assay Diluent RD1-14 and 50 </w:t>
      </w:r>
      <w:proofErr w:type="spellStart"/>
      <w:r w:rsidRPr="00EA3310">
        <w:rPr>
          <w:rFonts w:ascii="Arial" w:hAnsi="Arial" w:cs="Arial"/>
        </w:rPr>
        <w:t>μL</w:t>
      </w:r>
      <w:proofErr w:type="spellEnd"/>
      <w:r w:rsidRPr="00EA3310">
        <w:rPr>
          <w:rFonts w:ascii="Arial" w:hAnsi="Arial" w:cs="Arial"/>
        </w:rPr>
        <w:t xml:space="preserve"> of standard or sample were added to each well. Plates were sealed and incubated at room temperature on a shaker (500 rpm) for 2 hours. After five washes (400 </w:t>
      </w:r>
      <w:proofErr w:type="spellStart"/>
      <w:r w:rsidRPr="00EA3310">
        <w:rPr>
          <w:rFonts w:ascii="Arial" w:hAnsi="Arial" w:cs="Arial"/>
        </w:rPr>
        <w:t>μL</w:t>
      </w:r>
      <w:proofErr w:type="spellEnd"/>
      <w:r w:rsidRPr="00EA3310">
        <w:rPr>
          <w:rFonts w:ascii="Arial" w:hAnsi="Arial" w:cs="Arial"/>
        </w:rPr>
        <w:t>/well), 100 </w:t>
      </w:r>
      <w:proofErr w:type="spellStart"/>
      <w:r w:rsidRPr="00EA3310">
        <w:rPr>
          <w:rFonts w:ascii="Arial" w:hAnsi="Arial" w:cs="Arial"/>
        </w:rPr>
        <w:t>μL</w:t>
      </w:r>
      <w:proofErr w:type="spellEnd"/>
      <w:r w:rsidRPr="00EA3310">
        <w:rPr>
          <w:rFonts w:ascii="Arial" w:hAnsi="Arial" w:cs="Arial"/>
        </w:rPr>
        <w:t xml:space="preserve"> of Hyaluronan conjugate was added and incubated for another 2 hours. Following a second wash, 100 </w:t>
      </w:r>
      <w:proofErr w:type="spellStart"/>
      <w:r w:rsidRPr="00EA3310">
        <w:rPr>
          <w:rFonts w:ascii="Arial" w:hAnsi="Arial" w:cs="Arial"/>
        </w:rPr>
        <w:t>μL</w:t>
      </w:r>
      <w:proofErr w:type="spellEnd"/>
      <w:r w:rsidRPr="00EA3310">
        <w:rPr>
          <w:rFonts w:ascii="Arial" w:hAnsi="Arial" w:cs="Arial"/>
        </w:rPr>
        <w:t xml:space="preserve"> of substrate solution was added to each well and incubated in the dark for 30 minutes. The reaction was terminated with 100 </w:t>
      </w:r>
      <w:proofErr w:type="spellStart"/>
      <w:r w:rsidRPr="00EA3310">
        <w:rPr>
          <w:rFonts w:ascii="Arial" w:hAnsi="Arial" w:cs="Arial"/>
        </w:rPr>
        <w:t>μL</w:t>
      </w:r>
      <w:proofErr w:type="spellEnd"/>
      <w:r w:rsidRPr="00EA3310">
        <w:rPr>
          <w:rFonts w:ascii="Arial" w:hAnsi="Arial" w:cs="Arial"/>
        </w:rPr>
        <w:t xml:space="preserve"> of stop solution, and absorbance was measured at 450 nm with a reference wavelength of 540 or 570 nm</w:t>
      </w:r>
      <w:r w:rsidR="003E0646" w:rsidRPr="003E0646">
        <w:rPr>
          <w:rFonts w:ascii="Arial" w:hAnsi="Arial" w:cs="Arial"/>
        </w:rPr>
        <w:t>.</w:t>
      </w:r>
    </w:p>
    <w:p w14:paraId="35568E04" w14:textId="77777777" w:rsidR="003E0646" w:rsidRDefault="003E0646" w:rsidP="003E0646">
      <w:pPr>
        <w:pStyle w:val="Body"/>
        <w:spacing w:after="0"/>
        <w:rPr>
          <w:rFonts w:ascii="Arial" w:hAnsi="Arial" w:cs="Arial"/>
        </w:rPr>
      </w:pPr>
    </w:p>
    <w:p w14:paraId="02AB3835" w14:textId="718ED24A" w:rsidR="003E0646" w:rsidRDefault="003E0646" w:rsidP="003E0646">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CN"/>
        </w:rPr>
        <w:t>4</w:t>
      </w:r>
      <w:r w:rsidRPr="00C30A0F">
        <w:rPr>
          <w:rFonts w:ascii="Arial" w:hAnsi="Arial" w:cs="Arial"/>
          <w:b/>
          <w:caps/>
          <w:sz w:val="22"/>
        </w:rPr>
        <w:t xml:space="preserve"> </w:t>
      </w:r>
      <w:r w:rsidRPr="003E0646">
        <w:rPr>
          <w:rFonts w:ascii="Arial" w:hAnsi="Arial" w:cs="Arial"/>
          <w:b/>
          <w:sz w:val="22"/>
        </w:rPr>
        <w:t>Data Analysis</w:t>
      </w:r>
    </w:p>
    <w:p w14:paraId="3EE720A2" w14:textId="6668BCFC" w:rsidR="003E0646" w:rsidRDefault="00EA3310" w:rsidP="003E0646">
      <w:pPr>
        <w:pStyle w:val="Body"/>
        <w:spacing w:after="0"/>
        <w:rPr>
          <w:rFonts w:ascii="Arial" w:hAnsi="Arial" w:cs="Arial"/>
        </w:rPr>
      </w:pPr>
      <w:r w:rsidRPr="00EA3310">
        <w:rPr>
          <w:rFonts w:ascii="Arial" w:hAnsi="Arial" w:cs="Arial"/>
        </w:rPr>
        <w:t>Data were analyzed using GraphPad Prism 8.0.1 (GraphPad Software, San Diego, CA, USA) and are expressed as mean ± standard deviation (SD). Statistical comparisons between groups were performed using Student’s t-test. Differences were considered statistically significant at p &lt; 0.05, p &lt; 0.01, and p &lt; 0.001</w:t>
      </w:r>
      <w:r w:rsidR="003E0646" w:rsidRPr="003E0646">
        <w:rPr>
          <w:rFonts w:ascii="Arial" w:hAnsi="Arial" w:cs="Arial"/>
        </w:rPr>
        <w:t>.</w:t>
      </w:r>
    </w:p>
    <w:p w14:paraId="70687C8D" w14:textId="77777777" w:rsidR="00790ADA" w:rsidRPr="00FB3A86" w:rsidRDefault="00790ADA" w:rsidP="00441B6F">
      <w:pPr>
        <w:pStyle w:val="Body"/>
        <w:spacing w:after="0"/>
        <w:rPr>
          <w:rFonts w:ascii="Arial" w:hAnsi="Arial" w:cs="Arial"/>
        </w:rPr>
      </w:pPr>
    </w:p>
    <w:p w14:paraId="737F2F5F" w14:textId="1339CCFD"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71493CFB" w14:textId="77777777" w:rsidR="00790ADA" w:rsidRPr="00FB3A86" w:rsidRDefault="00790ADA" w:rsidP="00441B6F">
      <w:pPr>
        <w:pStyle w:val="Head1"/>
        <w:spacing w:after="0"/>
        <w:jc w:val="both"/>
        <w:rPr>
          <w:rFonts w:ascii="Arial" w:hAnsi="Arial" w:cs="Arial"/>
        </w:rPr>
      </w:pPr>
    </w:p>
    <w:p w14:paraId="7524AE88" w14:textId="16A3768F" w:rsidR="003E0646" w:rsidRDefault="003E0646" w:rsidP="003E0646">
      <w:pPr>
        <w:pStyle w:val="Body"/>
        <w:spacing w:after="0"/>
        <w:rPr>
          <w:rFonts w:ascii="Arial" w:hAnsi="Arial" w:cs="Arial"/>
        </w:rPr>
      </w:pPr>
      <w:r>
        <w:rPr>
          <w:rFonts w:ascii="Arial" w:hAnsi="Arial" w:cs="Arial"/>
          <w:b/>
          <w:caps/>
          <w:sz w:val="22"/>
        </w:rPr>
        <w:t>3</w:t>
      </w:r>
      <w:r w:rsidRPr="00C30A0F">
        <w:rPr>
          <w:rFonts w:ascii="Arial" w:hAnsi="Arial" w:cs="Arial"/>
          <w:b/>
          <w:caps/>
          <w:sz w:val="22"/>
        </w:rPr>
        <w:t xml:space="preserve">.1 </w:t>
      </w:r>
      <w:r w:rsidRPr="003E0646">
        <w:rPr>
          <w:rFonts w:ascii="Arial" w:hAnsi="Arial" w:cs="Arial"/>
          <w:b/>
          <w:sz w:val="22"/>
        </w:rPr>
        <w:t>Molecular Weight Analysis of HA35 and HA70 by Electrophoresis</w:t>
      </w:r>
      <w:r w:rsidRPr="00C30A0F">
        <w:rPr>
          <w:rFonts w:ascii="Arial" w:hAnsi="Arial" w:cs="Arial"/>
          <w:b/>
          <w:sz w:val="22"/>
        </w:rPr>
        <w:t xml:space="preserve"> </w:t>
      </w:r>
    </w:p>
    <w:p w14:paraId="5024055C" w14:textId="77777777" w:rsidR="00250E00" w:rsidRPr="00250E00" w:rsidRDefault="00250E00" w:rsidP="00250E00">
      <w:pPr>
        <w:pStyle w:val="Body"/>
        <w:rPr>
          <w:rFonts w:ascii="Arial" w:hAnsi="Arial" w:cs="Arial"/>
        </w:rPr>
      </w:pPr>
      <w:r w:rsidRPr="00250E00">
        <w:rPr>
          <w:rFonts w:ascii="Arial" w:hAnsi="Arial" w:cs="Arial"/>
        </w:rPr>
        <w:t>To verify the molecular weight integrity of HA35 and HA70, both samples were filtered through a 220 nm membrane to remove potential production-related impurities. Both HA35 and HA70 passed through the filter smoothly, indicating effective impurity removal and suggesting good tissue permeability. Electrophoresis was subsequently employed to confirm their molecular weights (Fig. 1).</w:t>
      </w:r>
    </w:p>
    <w:p w14:paraId="2D2344FD" w14:textId="28906EDD" w:rsidR="00231920" w:rsidRDefault="00250E00" w:rsidP="00250E00">
      <w:pPr>
        <w:pStyle w:val="Body"/>
        <w:spacing w:after="0"/>
        <w:rPr>
          <w:rFonts w:ascii="Arial" w:hAnsi="Arial" w:cs="Arial"/>
        </w:rPr>
      </w:pPr>
      <w:r w:rsidRPr="00250E00">
        <w:rPr>
          <w:rFonts w:ascii="Arial" w:hAnsi="Arial" w:cs="Arial"/>
        </w:rPr>
        <w:t>The electrophoretic profiles revealed that lane 1 (</w:t>
      </w:r>
      <w:r w:rsidR="00B0500A">
        <w:rPr>
          <w:rFonts w:ascii="Arial" w:hAnsi="Arial" w:cs="Arial" w:hint="eastAsia"/>
          <w:lang w:eastAsia="zh-CN"/>
        </w:rPr>
        <w:t>E</w:t>
      </w:r>
      <w:r w:rsidRPr="00250E00">
        <w:rPr>
          <w:rFonts w:ascii="Arial" w:hAnsi="Arial" w:cs="Arial"/>
        </w:rPr>
        <w:t xml:space="preserve">nzyme-digested HA35) and lane 2 (HA35 powder re-dissolved after dry-baking) migrated to the same position on the gel, situated between the 10 </w:t>
      </w:r>
      <w:proofErr w:type="spellStart"/>
      <w:r w:rsidRPr="00250E00">
        <w:rPr>
          <w:rFonts w:ascii="Arial" w:hAnsi="Arial" w:cs="Arial"/>
        </w:rPr>
        <w:t>kDa</w:t>
      </w:r>
      <w:proofErr w:type="spellEnd"/>
      <w:r w:rsidRPr="00250E00">
        <w:rPr>
          <w:rFonts w:ascii="Arial" w:hAnsi="Arial" w:cs="Arial"/>
        </w:rPr>
        <w:t xml:space="preserve"> and 50 </w:t>
      </w:r>
      <w:proofErr w:type="spellStart"/>
      <w:r w:rsidRPr="00250E00">
        <w:rPr>
          <w:rFonts w:ascii="Arial" w:hAnsi="Arial" w:cs="Arial"/>
        </w:rPr>
        <w:t>kDa</w:t>
      </w:r>
      <w:proofErr w:type="spellEnd"/>
      <w:r w:rsidRPr="00250E00">
        <w:rPr>
          <w:rFonts w:ascii="Arial" w:hAnsi="Arial" w:cs="Arial"/>
        </w:rPr>
        <w:t xml:space="preserve"> molecular weight standards, with an estimated molecular weight of approximately 35 </w:t>
      </w:r>
      <w:proofErr w:type="spellStart"/>
      <w:r w:rsidRPr="00250E00">
        <w:rPr>
          <w:rFonts w:ascii="Arial" w:hAnsi="Arial" w:cs="Arial"/>
        </w:rPr>
        <w:t>kDa</w:t>
      </w:r>
      <w:proofErr w:type="spellEnd"/>
      <w:r w:rsidRPr="00250E00">
        <w:rPr>
          <w:rFonts w:ascii="Arial" w:hAnsi="Arial" w:cs="Arial"/>
        </w:rPr>
        <w:t xml:space="preserve">. This result confirms that the dry-baking process did not cause noticeable degradation or polymerization of HA35. In contrast, lane 3 (HA70 powder) exhibited a molecular weight significantly higher than the 50 </w:t>
      </w:r>
      <w:proofErr w:type="spellStart"/>
      <w:r w:rsidRPr="00250E00">
        <w:rPr>
          <w:rFonts w:ascii="Arial" w:hAnsi="Arial" w:cs="Arial"/>
        </w:rPr>
        <w:t>kDa</w:t>
      </w:r>
      <w:proofErr w:type="spellEnd"/>
      <w:r w:rsidRPr="00250E00">
        <w:rPr>
          <w:rFonts w:ascii="Arial" w:hAnsi="Arial" w:cs="Arial"/>
        </w:rPr>
        <w:t xml:space="preserve"> marker, clearly distinguishing it from HA35. These findings align with the expected molecular weights of the samples [30,31]</w:t>
      </w:r>
      <w:r w:rsidR="00790ADA">
        <w:rPr>
          <w:rFonts w:ascii="Arial" w:hAnsi="Arial" w:cs="Arial"/>
        </w:rPr>
        <w:t>.</w:t>
      </w:r>
      <w:r w:rsidR="00863BD3">
        <w:rPr>
          <w:rFonts w:ascii="Arial" w:hAnsi="Arial" w:cs="Arial"/>
        </w:rPr>
        <w:t xml:space="preserve"> </w:t>
      </w:r>
    </w:p>
    <w:p w14:paraId="1312B543" w14:textId="511FB94C" w:rsidR="003E0646" w:rsidRDefault="00434FA6" w:rsidP="003E0646">
      <w:pPr>
        <w:autoSpaceDE w:val="0"/>
        <w:autoSpaceDN w:val="0"/>
        <w:adjustRightInd w:val="0"/>
        <w:jc w:val="center"/>
        <w:rPr>
          <w:rFonts w:ascii="Arial" w:hAnsi="Arial" w:cs="Arial"/>
          <w:b/>
          <w:bCs/>
          <w:szCs w:val="22"/>
        </w:rPr>
      </w:pPr>
      <w:r>
        <w:rPr>
          <w:noProof/>
        </w:rPr>
        <w:drawing>
          <wp:inline distT="0" distB="0" distL="0" distR="0" wp14:anchorId="1CCB25D4" wp14:editId="0C9C0C96">
            <wp:extent cx="1318437" cy="1775424"/>
            <wp:effectExtent l="0" t="0" r="0" b="0"/>
            <wp:docPr id="67781558" name="图片 2" descr="手机屏幕的截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1558" name="图片 2" descr="手机屏幕的截图&#10;&#10;AI 生成的内容可能不正确。"/>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6548" cy="1799812"/>
                    </a:xfrm>
                    <a:prstGeom prst="rect">
                      <a:avLst/>
                    </a:prstGeom>
                    <a:noFill/>
                    <a:ln>
                      <a:noFill/>
                    </a:ln>
                  </pic:spPr>
                </pic:pic>
              </a:graphicData>
            </a:graphic>
          </wp:inline>
        </w:drawing>
      </w:r>
    </w:p>
    <w:p w14:paraId="5AF31CA7" w14:textId="7EF1E69D" w:rsidR="003E0646" w:rsidRPr="008247A6" w:rsidRDefault="003E0646" w:rsidP="003E0646">
      <w:pPr>
        <w:autoSpaceDE w:val="0"/>
        <w:autoSpaceDN w:val="0"/>
        <w:adjustRightInd w:val="0"/>
        <w:jc w:val="center"/>
        <w:rPr>
          <w:rFonts w:ascii="Arial" w:hAnsi="Arial" w:cs="Arial"/>
          <w:b/>
          <w:bCs/>
          <w:szCs w:val="22"/>
        </w:rPr>
      </w:pPr>
      <w:r w:rsidRPr="00A84137">
        <w:rPr>
          <w:rFonts w:ascii="Arial" w:hAnsi="Arial" w:cs="Arial"/>
          <w:b/>
          <w:bCs/>
          <w:szCs w:val="22"/>
        </w:rPr>
        <w:t>Fig. 1. Molecular weight of HA determined by gel electrophoresis</w:t>
      </w:r>
    </w:p>
    <w:p w14:paraId="73ADC13D" w14:textId="7CA0925C" w:rsidR="003E0646" w:rsidRDefault="003E0646" w:rsidP="003E0646">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hint="eastAsia"/>
          <w:b/>
          <w:caps/>
          <w:sz w:val="22"/>
          <w:lang w:eastAsia="zh-CN"/>
        </w:rPr>
        <w:t>2</w:t>
      </w:r>
      <w:r w:rsidRPr="00C30A0F">
        <w:rPr>
          <w:rFonts w:ascii="Arial" w:hAnsi="Arial" w:cs="Arial"/>
          <w:b/>
          <w:caps/>
          <w:sz w:val="22"/>
        </w:rPr>
        <w:t xml:space="preserve"> </w:t>
      </w:r>
      <w:r w:rsidRPr="003E0646">
        <w:rPr>
          <w:rFonts w:ascii="Arial" w:hAnsi="Arial" w:cs="Arial"/>
          <w:b/>
          <w:sz w:val="22"/>
        </w:rPr>
        <w:t>Changes in HA35 and HA70 Levels in Blood</w:t>
      </w:r>
      <w:r w:rsidRPr="00C30A0F">
        <w:rPr>
          <w:rFonts w:ascii="Arial" w:hAnsi="Arial" w:cs="Arial"/>
          <w:b/>
          <w:sz w:val="22"/>
        </w:rPr>
        <w:t xml:space="preserve"> </w:t>
      </w:r>
    </w:p>
    <w:p w14:paraId="3D1A7281" w14:textId="22547D50" w:rsidR="00790ADA" w:rsidRDefault="00250E00" w:rsidP="00441B6F">
      <w:pPr>
        <w:pStyle w:val="Body"/>
        <w:spacing w:after="0"/>
        <w:rPr>
          <w:rFonts w:ascii="Arial" w:hAnsi="Arial" w:cs="Arial"/>
        </w:rPr>
      </w:pPr>
      <w:r w:rsidRPr="00250E00">
        <w:rPr>
          <w:rFonts w:ascii="Arial" w:hAnsi="Arial" w:cs="Arial"/>
        </w:rPr>
        <w:t xml:space="preserve">To assess the absorption of orally administered HA35 and HA70, body weights of the experimental animals were recorded at each time point. No significant differences in body </w:t>
      </w:r>
      <w:r w:rsidRPr="00250E00">
        <w:rPr>
          <w:rFonts w:ascii="Arial" w:hAnsi="Arial" w:cs="Arial"/>
        </w:rPr>
        <w:lastRenderedPageBreak/>
        <w:t>weight were observed between the HA35 and HA70 groups, both before and after gavage (P &gt; 0.5), indicating that body weight did not serve as a confounding factor</w:t>
      </w:r>
      <w:r w:rsidR="003E0646" w:rsidRPr="003E0646">
        <w:rPr>
          <w:rFonts w:ascii="Arial" w:hAnsi="Arial" w:cs="Arial"/>
        </w:rPr>
        <w:t>.</w:t>
      </w:r>
    </w:p>
    <w:p w14:paraId="32074E87" w14:textId="41CF8198" w:rsidR="003E0646" w:rsidRDefault="003E0646" w:rsidP="003E0646">
      <w:pPr>
        <w:pStyle w:val="Body"/>
        <w:spacing w:after="0"/>
        <w:jc w:val="center"/>
        <w:rPr>
          <w:rFonts w:ascii="Arial" w:hAnsi="Arial" w:cs="Arial"/>
          <w:lang w:eastAsia="zh-CN"/>
        </w:rPr>
      </w:pPr>
      <w:r w:rsidRPr="00D7576A">
        <w:rPr>
          <w:noProof/>
        </w:rPr>
        <w:drawing>
          <wp:inline distT="0" distB="0" distL="0" distR="0" wp14:anchorId="50AB718B" wp14:editId="5C2FCCB8">
            <wp:extent cx="2197100" cy="1748790"/>
            <wp:effectExtent l="0" t="0" r="0" b="3810"/>
            <wp:docPr id="2049791965" name="图片 5" descr="图表, 条形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791965" name="图片 5" descr="图表, 条形图&#10;&#10;AI 生成的内容可能不正确。"/>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07521" cy="1757600"/>
                    </a:xfrm>
                    <a:prstGeom prst="rect">
                      <a:avLst/>
                    </a:prstGeom>
                    <a:noFill/>
                    <a:ln>
                      <a:noFill/>
                    </a:ln>
                  </pic:spPr>
                </pic:pic>
              </a:graphicData>
            </a:graphic>
          </wp:inline>
        </w:drawing>
      </w:r>
    </w:p>
    <w:p w14:paraId="38BB2592" w14:textId="14BF6F1E" w:rsidR="003E0646" w:rsidRPr="00A6047D" w:rsidRDefault="003E0646" w:rsidP="003E0646">
      <w:pPr>
        <w:pStyle w:val="Body"/>
        <w:spacing w:after="0"/>
        <w:jc w:val="center"/>
        <w:rPr>
          <w:rFonts w:ascii="Arial" w:hAnsi="Arial" w:cs="Arial"/>
          <w:b/>
          <w:bCs/>
          <w:szCs w:val="22"/>
        </w:rPr>
      </w:pPr>
      <w:r w:rsidRPr="00A6047D">
        <w:rPr>
          <w:rFonts w:ascii="Arial" w:hAnsi="Arial" w:cs="Arial"/>
          <w:b/>
          <w:bCs/>
          <w:szCs w:val="22"/>
        </w:rPr>
        <w:t>Fig</w:t>
      </w:r>
      <w:r w:rsidR="00A6047D" w:rsidRPr="00A6047D">
        <w:rPr>
          <w:rFonts w:ascii="Arial" w:hAnsi="Arial" w:cs="Arial" w:hint="eastAsia"/>
          <w:b/>
          <w:bCs/>
          <w:szCs w:val="22"/>
        </w:rPr>
        <w:t>.</w:t>
      </w:r>
      <w:r w:rsidRPr="00A6047D">
        <w:rPr>
          <w:rFonts w:ascii="Arial" w:hAnsi="Arial" w:cs="Arial"/>
          <w:b/>
          <w:bCs/>
          <w:szCs w:val="22"/>
        </w:rPr>
        <w:t xml:space="preserve"> </w:t>
      </w:r>
      <w:r w:rsidRPr="00A6047D">
        <w:rPr>
          <w:rFonts w:ascii="Arial" w:hAnsi="Arial" w:cs="Arial" w:hint="eastAsia"/>
          <w:b/>
          <w:bCs/>
          <w:szCs w:val="22"/>
        </w:rPr>
        <w:t>2</w:t>
      </w:r>
      <w:r w:rsidRPr="00A6047D">
        <w:rPr>
          <w:rFonts w:ascii="Arial" w:hAnsi="Arial" w:cs="Arial"/>
          <w:b/>
          <w:bCs/>
          <w:szCs w:val="22"/>
        </w:rPr>
        <w:t>.</w:t>
      </w:r>
      <w:r w:rsidR="00F27B3A" w:rsidRPr="00F27B3A">
        <w:rPr>
          <w:b/>
          <w:bCs/>
        </w:rPr>
        <w:t xml:space="preserve"> </w:t>
      </w:r>
      <w:r w:rsidR="00F27B3A" w:rsidRPr="00452E1D">
        <w:rPr>
          <w:b/>
          <w:bCs/>
        </w:rPr>
        <w:t>Standard curves for HA detection</w:t>
      </w:r>
    </w:p>
    <w:p w14:paraId="314E27C5" w14:textId="391DFF04" w:rsidR="003E0646" w:rsidRPr="00D7576A" w:rsidRDefault="00250E00" w:rsidP="00F5327B">
      <w:pPr>
        <w:ind w:firstLineChars="200" w:firstLine="400"/>
        <w:jc w:val="both"/>
        <w:rPr>
          <w:bCs/>
        </w:rPr>
      </w:pPr>
      <w:r w:rsidRPr="00250E00">
        <w:rPr>
          <w:bCs/>
        </w:rPr>
        <w:t>Serum samples from both the portal vein and cardiac blood were analyzed by ELISA. Sample types and dilution ratios are summarized in Table 1. The standard curves for the ELISA assay (Fig. 3A, B) demonstrated excellent linearity (R² = 0.99). Although potential interactions between HA and its binding partner Aggrecan may slightly influence detection sensitivity, statistical robustness was ensured by analyzing a large sample set</w:t>
      </w:r>
      <w:r w:rsidR="003E0646" w:rsidRPr="00452E1D">
        <w:rPr>
          <w:bCs/>
        </w:rPr>
        <w:t>.</w:t>
      </w:r>
    </w:p>
    <w:p w14:paraId="45BEBB3B" w14:textId="77777777" w:rsidR="003E0646" w:rsidRPr="003E0646" w:rsidRDefault="003E0646" w:rsidP="003E0646">
      <w:pPr>
        <w:pStyle w:val="Body"/>
        <w:spacing w:after="0"/>
        <w:rPr>
          <w:rFonts w:ascii="Arial" w:hAnsi="Arial" w:cs="Arial"/>
          <w:lang w:eastAsia="zh-CN"/>
        </w:rPr>
      </w:pPr>
    </w:p>
    <w:p w14:paraId="3AA79B7A" w14:textId="1226DD46"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3E0646" w:rsidRPr="003E0646">
        <w:rPr>
          <w:rFonts w:ascii="Arial" w:hAnsi="Arial"/>
          <w:b/>
        </w:rPr>
        <w:t>Sample collection and dilution conditions for portal and cardiac blood in rats</w:t>
      </w:r>
    </w:p>
    <w:p w14:paraId="4B045E47" w14:textId="77777777" w:rsidR="00863BD3" w:rsidRPr="00DC3180" w:rsidRDefault="00863BD3" w:rsidP="00441B6F">
      <w:pPr>
        <w:tabs>
          <w:tab w:val="left" w:pos="1080"/>
        </w:tabs>
        <w:jc w:val="both"/>
        <w:rPr>
          <w:rFonts w:ascii="Arial" w:hAnsi="Arial"/>
          <w:b/>
        </w:rPr>
      </w:pPr>
    </w:p>
    <w:tbl>
      <w:tblPr>
        <w:tblW w:w="726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472"/>
        <w:gridCol w:w="1303"/>
        <w:gridCol w:w="806"/>
        <w:gridCol w:w="906"/>
        <w:gridCol w:w="1380"/>
        <w:gridCol w:w="1401"/>
      </w:tblGrid>
      <w:tr w:rsidR="00A66D0E" w:rsidRPr="00DC3180" w14:paraId="33C83AB0" w14:textId="77777777" w:rsidTr="00A66D0E">
        <w:trPr>
          <w:jc w:val="center"/>
        </w:trPr>
        <w:tc>
          <w:tcPr>
            <w:tcW w:w="2775" w:type="dxa"/>
            <w:gridSpan w:val="2"/>
            <w:tcBorders>
              <w:bottom w:val="single" w:sz="4" w:space="0" w:color="auto"/>
            </w:tcBorders>
          </w:tcPr>
          <w:p w14:paraId="01A1A429" w14:textId="219852E7" w:rsidR="00A66D0E" w:rsidRPr="00A66D0E" w:rsidRDefault="00A66D0E" w:rsidP="00A66D0E">
            <w:pPr>
              <w:jc w:val="center"/>
              <w:rPr>
                <w:rFonts w:ascii="Arial" w:hAnsi="Arial"/>
                <w:b/>
              </w:rPr>
            </w:pPr>
            <w:r w:rsidRPr="00A66D0E">
              <w:rPr>
                <w:rFonts w:hint="eastAsia"/>
                <w:b/>
              </w:rPr>
              <w:t>Group</w:t>
            </w:r>
          </w:p>
        </w:tc>
        <w:tc>
          <w:tcPr>
            <w:tcW w:w="1712" w:type="dxa"/>
            <w:gridSpan w:val="2"/>
            <w:tcBorders>
              <w:bottom w:val="single" w:sz="4" w:space="0" w:color="auto"/>
            </w:tcBorders>
          </w:tcPr>
          <w:p w14:paraId="31236E9F" w14:textId="07014603" w:rsidR="00A66D0E" w:rsidRPr="00A66D0E" w:rsidRDefault="00A66D0E" w:rsidP="00A66D0E">
            <w:pPr>
              <w:jc w:val="center"/>
              <w:rPr>
                <w:rFonts w:ascii="Arial" w:hAnsi="Arial"/>
                <w:b/>
              </w:rPr>
            </w:pPr>
            <w:r w:rsidRPr="00A66D0E">
              <w:rPr>
                <w:rFonts w:hint="eastAsia"/>
                <w:b/>
              </w:rPr>
              <w:t>HA35 (n=6)</w:t>
            </w:r>
          </w:p>
        </w:tc>
        <w:tc>
          <w:tcPr>
            <w:tcW w:w="2781" w:type="dxa"/>
            <w:gridSpan w:val="2"/>
            <w:tcBorders>
              <w:bottom w:val="single" w:sz="4" w:space="0" w:color="auto"/>
            </w:tcBorders>
          </w:tcPr>
          <w:p w14:paraId="3757864E" w14:textId="0AF6AA7A" w:rsidR="00A66D0E" w:rsidRPr="00A66D0E" w:rsidRDefault="00A66D0E" w:rsidP="00A66D0E">
            <w:pPr>
              <w:jc w:val="center"/>
              <w:rPr>
                <w:rFonts w:ascii="Arial" w:hAnsi="Arial"/>
                <w:b/>
              </w:rPr>
            </w:pPr>
            <w:r w:rsidRPr="00A66D0E">
              <w:rPr>
                <w:rFonts w:hint="eastAsia"/>
                <w:b/>
              </w:rPr>
              <w:t>HA70 (n=6)</w:t>
            </w:r>
          </w:p>
        </w:tc>
      </w:tr>
      <w:tr w:rsidR="00A66D0E" w:rsidRPr="00DC3180" w14:paraId="233F6884" w14:textId="77777777" w:rsidTr="00A66D0E">
        <w:trPr>
          <w:trHeight w:val="773"/>
          <w:jc w:val="center"/>
        </w:trPr>
        <w:tc>
          <w:tcPr>
            <w:tcW w:w="2775" w:type="dxa"/>
            <w:gridSpan w:val="2"/>
            <w:tcBorders>
              <w:bottom w:val="nil"/>
            </w:tcBorders>
          </w:tcPr>
          <w:p w14:paraId="6F412FB6" w14:textId="03C9888B" w:rsidR="00A66D0E" w:rsidRPr="00DC3180" w:rsidRDefault="00A66D0E" w:rsidP="00A66D0E">
            <w:pPr>
              <w:jc w:val="both"/>
              <w:rPr>
                <w:rFonts w:ascii="Arial" w:hAnsi="Arial"/>
                <w:b/>
                <w:bCs/>
              </w:rPr>
            </w:pPr>
            <w:r>
              <w:rPr>
                <w:rFonts w:hint="eastAsia"/>
                <w:bCs/>
              </w:rPr>
              <w:t>Sample</w:t>
            </w:r>
          </w:p>
        </w:tc>
        <w:tc>
          <w:tcPr>
            <w:tcW w:w="806" w:type="dxa"/>
          </w:tcPr>
          <w:p w14:paraId="322A7A21" w14:textId="42396B1B" w:rsidR="00A66D0E" w:rsidRPr="00DC3180" w:rsidRDefault="00A66D0E" w:rsidP="00A66D0E">
            <w:pPr>
              <w:jc w:val="both"/>
              <w:rPr>
                <w:rFonts w:ascii="Arial" w:hAnsi="Arial" w:cs="Arial"/>
              </w:rPr>
            </w:pPr>
            <w:r w:rsidRPr="00E64C97">
              <w:rPr>
                <w:bCs/>
              </w:rPr>
              <w:t>Portal Vein Blood</w:t>
            </w:r>
          </w:p>
        </w:tc>
        <w:tc>
          <w:tcPr>
            <w:tcW w:w="906" w:type="dxa"/>
          </w:tcPr>
          <w:p w14:paraId="7EB3D948" w14:textId="2FCEC5B3" w:rsidR="00A66D0E" w:rsidRPr="00DC3180" w:rsidRDefault="00A66D0E" w:rsidP="00A66D0E">
            <w:pPr>
              <w:jc w:val="both"/>
              <w:rPr>
                <w:rFonts w:ascii="Arial" w:hAnsi="Arial"/>
                <w:b/>
                <w:bCs/>
              </w:rPr>
            </w:pPr>
            <w:r w:rsidRPr="00E64C97">
              <w:rPr>
                <w:bCs/>
              </w:rPr>
              <w:t>Cardiac Blood</w:t>
            </w:r>
          </w:p>
        </w:tc>
        <w:tc>
          <w:tcPr>
            <w:tcW w:w="1380" w:type="dxa"/>
          </w:tcPr>
          <w:p w14:paraId="394D3254" w14:textId="2A83242B" w:rsidR="00A66D0E" w:rsidRPr="00DC3180" w:rsidRDefault="00A66D0E" w:rsidP="00A66D0E">
            <w:pPr>
              <w:jc w:val="both"/>
              <w:rPr>
                <w:rFonts w:ascii="Arial" w:hAnsi="Arial" w:cs="Arial"/>
              </w:rPr>
            </w:pPr>
            <w:r w:rsidRPr="00E64C97">
              <w:rPr>
                <w:bCs/>
              </w:rPr>
              <w:t>Portal Vein Blood</w:t>
            </w:r>
          </w:p>
        </w:tc>
        <w:tc>
          <w:tcPr>
            <w:tcW w:w="1401" w:type="dxa"/>
          </w:tcPr>
          <w:p w14:paraId="54A3995D" w14:textId="040F4BAF" w:rsidR="00A66D0E" w:rsidRPr="00DC3180" w:rsidRDefault="00A66D0E" w:rsidP="00A66D0E">
            <w:pPr>
              <w:jc w:val="both"/>
              <w:rPr>
                <w:rFonts w:ascii="Arial" w:hAnsi="Arial"/>
                <w:b/>
                <w:bCs/>
              </w:rPr>
            </w:pPr>
            <w:r w:rsidRPr="00E64C97">
              <w:rPr>
                <w:bCs/>
              </w:rPr>
              <w:t>Cardiac Blood</w:t>
            </w:r>
          </w:p>
        </w:tc>
      </w:tr>
      <w:tr w:rsidR="00A66D0E" w:rsidRPr="00DC3180" w14:paraId="42CF9825" w14:textId="77777777" w:rsidTr="00A66D0E">
        <w:trPr>
          <w:jc w:val="center"/>
        </w:trPr>
        <w:tc>
          <w:tcPr>
            <w:tcW w:w="2775" w:type="dxa"/>
            <w:gridSpan w:val="2"/>
            <w:tcBorders>
              <w:top w:val="nil"/>
              <w:bottom w:val="nil"/>
            </w:tcBorders>
          </w:tcPr>
          <w:p w14:paraId="39906F7E" w14:textId="6587F6B7" w:rsidR="00A66D0E" w:rsidRPr="00DC3180" w:rsidRDefault="00A66D0E" w:rsidP="00A66D0E">
            <w:pPr>
              <w:jc w:val="both"/>
              <w:rPr>
                <w:rFonts w:ascii="Arial" w:hAnsi="Arial" w:cs="Arial"/>
              </w:rPr>
            </w:pPr>
            <w:r>
              <w:rPr>
                <w:rFonts w:hint="eastAsia"/>
                <w:bCs/>
              </w:rPr>
              <w:t>Sample Detection Form</w:t>
            </w:r>
          </w:p>
        </w:tc>
        <w:tc>
          <w:tcPr>
            <w:tcW w:w="806" w:type="dxa"/>
          </w:tcPr>
          <w:p w14:paraId="08605EB3" w14:textId="59D725AE" w:rsidR="00A66D0E" w:rsidRPr="00DC3180" w:rsidRDefault="00A66D0E" w:rsidP="00A66D0E">
            <w:pPr>
              <w:jc w:val="both"/>
              <w:rPr>
                <w:rFonts w:ascii="Arial" w:hAnsi="Arial" w:cs="Arial"/>
              </w:rPr>
            </w:pPr>
            <w:r w:rsidRPr="00E64C97">
              <w:rPr>
                <w:bCs/>
              </w:rPr>
              <w:t>Serum</w:t>
            </w:r>
          </w:p>
        </w:tc>
        <w:tc>
          <w:tcPr>
            <w:tcW w:w="906" w:type="dxa"/>
          </w:tcPr>
          <w:p w14:paraId="7511FC07" w14:textId="2DCD6B63" w:rsidR="00A66D0E" w:rsidRPr="00DC3180" w:rsidRDefault="00A66D0E" w:rsidP="00A66D0E">
            <w:pPr>
              <w:jc w:val="both"/>
              <w:rPr>
                <w:rFonts w:ascii="Arial" w:hAnsi="Arial" w:cs="Arial"/>
              </w:rPr>
            </w:pPr>
            <w:r w:rsidRPr="00E64C97">
              <w:rPr>
                <w:bCs/>
              </w:rPr>
              <w:t>Serum</w:t>
            </w:r>
          </w:p>
        </w:tc>
        <w:tc>
          <w:tcPr>
            <w:tcW w:w="1380" w:type="dxa"/>
          </w:tcPr>
          <w:p w14:paraId="002A3703" w14:textId="3C9D9360" w:rsidR="00A66D0E" w:rsidRPr="00DC3180" w:rsidRDefault="00A66D0E" w:rsidP="00A66D0E">
            <w:pPr>
              <w:jc w:val="both"/>
              <w:rPr>
                <w:rFonts w:ascii="Arial" w:hAnsi="Arial"/>
              </w:rPr>
            </w:pPr>
            <w:r w:rsidRPr="00E64C97">
              <w:rPr>
                <w:bCs/>
              </w:rPr>
              <w:t>Serum</w:t>
            </w:r>
          </w:p>
        </w:tc>
        <w:tc>
          <w:tcPr>
            <w:tcW w:w="1401" w:type="dxa"/>
          </w:tcPr>
          <w:p w14:paraId="70713A1F" w14:textId="042B9E9F" w:rsidR="00A66D0E" w:rsidRPr="00DC3180" w:rsidRDefault="00A66D0E" w:rsidP="00A66D0E">
            <w:pPr>
              <w:jc w:val="both"/>
              <w:rPr>
                <w:rFonts w:ascii="Arial" w:hAnsi="Arial"/>
              </w:rPr>
            </w:pPr>
            <w:r w:rsidRPr="00E64C97">
              <w:rPr>
                <w:bCs/>
              </w:rPr>
              <w:t>Serum</w:t>
            </w:r>
          </w:p>
        </w:tc>
      </w:tr>
      <w:tr w:rsidR="00A66D0E" w:rsidRPr="00DC3180" w14:paraId="6C842535" w14:textId="77777777" w:rsidTr="00A66D0E">
        <w:trPr>
          <w:jc w:val="center"/>
        </w:trPr>
        <w:tc>
          <w:tcPr>
            <w:tcW w:w="2775" w:type="dxa"/>
            <w:gridSpan w:val="2"/>
            <w:tcBorders>
              <w:top w:val="nil"/>
              <w:bottom w:val="nil"/>
            </w:tcBorders>
          </w:tcPr>
          <w:p w14:paraId="4B316DE1" w14:textId="2C10A97E" w:rsidR="00A66D0E" w:rsidRPr="00DC3180" w:rsidRDefault="00A66D0E" w:rsidP="00A66D0E">
            <w:pPr>
              <w:jc w:val="both"/>
              <w:rPr>
                <w:rFonts w:ascii="Arial" w:hAnsi="Arial"/>
              </w:rPr>
            </w:pPr>
            <w:r>
              <w:rPr>
                <w:rFonts w:hint="eastAsia"/>
                <w:bCs/>
              </w:rPr>
              <w:t xml:space="preserve">Sampling Volume </w:t>
            </w:r>
            <w:r w:rsidRPr="00D7576A">
              <w:rPr>
                <w:rFonts w:hint="eastAsia"/>
                <w:bCs/>
              </w:rPr>
              <w:t>(mL)</w:t>
            </w:r>
          </w:p>
        </w:tc>
        <w:tc>
          <w:tcPr>
            <w:tcW w:w="806" w:type="dxa"/>
          </w:tcPr>
          <w:p w14:paraId="4C6555DE" w14:textId="1870FDF3" w:rsidR="00A66D0E" w:rsidRPr="00DC3180" w:rsidRDefault="00A66D0E" w:rsidP="00A66D0E">
            <w:pPr>
              <w:jc w:val="both"/>
              <w:rPr>
                <w:rFonts w:ascii="Arial" w:hAnsi="Arial"/>
              </w:rPr>
            </w:pPr>
            <w:r w:rsidRPr="00D7576A">
              <w:rPr>
                <w:rFonts w:hint="eastAsia"/>
                <w:bCs/>
              </w:rPr>
              <w:t>3</w:t>
            </w:r>
          </w:p>
        </w:tc>
        <w:tc>
          <w:tcPr>
            <w:tcW w:w="906" w:type="dxa"/>
          </w:tcPr>
          <w:p w14:paraId="42513E0F" w14:textId="41CB11FE" w:rsidR="00A66D0E" w:rsidRPr="00DC3180" w:rsidRDefault="00A66D0E" w:rsidP="00A66D0E">
            <w:pPr>
              <w:jc w:val="both"/>
              <w:rPr>
                <w:rFonts w:ascii="Arial" w:hAnsi="Arial"/>
              </w:rPr>
            </w:pPr>
            <w:r w:rsidRPr="00D7576A">
              <w:rPr>
                <w:rFonts w:hint="eastAsia"/>
                <w:bCs/>
              </w:rPr>
              <w:t>6</w:t>
            </w:r>
          </w:p>
        </w:tc>
        <w:tc>
          <w:tcPr>
            <w:tcW w:w="1380" w:type="dxa"/>
          </w:tcPr>
          <w:p w14:paraId="6A47C4DE" w14:textId="267E1863" w:rsidR="00A66D0E" w:rsidRPr="00DC3180" w:rsidRDefault="00A66D0E" w:rsidP="00A66D0E">
            <w:pPr>
              <w:jc w:val="both"/>
              <w:rPr>
                <w:rFonts w:ascii="Arial" w:hAnsi="Arial" w:cs="Arial"/>
              </w:rPr>
            </w:pPr>
            <w:r w:rsidRPr="00D7576A">
              <w:rPr>
                <w:rFonts w:hint="eastAsia"/>
                <w:bCs/>
              </w:rPr>
              <w:t>3</w:t>
            </w:r>
          </w:p>
        </w:tc>
        <w:tc>
          <w:tcPr>
            <w:tcW w:w="1401" w:type="dxa"/>
          </w:tcPr>
          <w:p w14:paraId="7BEDCAA5" w14:textId="4E7A6302" w:rsidR="00A66D0E" w:rsidRPr="00DC3180" w:rsidRDefault="00A66D0E" w:rsidP="00A66D0E">
            <w:pPr>
              <w:jc w:val="both"/>
              <w:rPr>
                <w:rFonts w:ascii="Arial" w:hAnsi="Arial" w:cs="Arial"/>
              </w:rPr>
            </w:pPr>
            <w:r w:rsidRPr="00D7576A">
              <w:rPr>
                <w:rFonts w:hint="eastAsia"/>
                <w:bCs/>
              </w:rPr>
              <w:t>6</w:t>
            </w:r>
          </w:p>
        </w:tc>
      </w:tr>
      <w:tr w:rsidR="00A66D0E" w:rsidRPr="00DC3180" w14:paraId="1A1D1F25" w14:textId="77777777" w:rsidTr="00A66D0E">
        <w:trPr>
          <w:jc w:val="center"/>
        </w:trPr>
        <w:tc>
          <w:tcPr>
            <w:tcW w:w="2775" w:type="dxa"/>
            <w:gridSpan w:val="2"/>
            <w:tcBorders>
              <w:top w:val="nil"/>
              <w:bottom w:val="nil"/>
            </w:tcBorders>
          </w:tcPr>
          <w:p w14:paraId="24945978" w14:textId="245EA5B7" w:rsidR="00A66D0E" w:rsidRPr="00DC3180" w:rsidRDefault="00A66D0E" w:rsidP="00A66D0E">
            <w:pPr>
              <w:jc w:val="both"/>
              <w:rPr>
                <w:rFonts w:ascii="Arial" w:hAnsi="Arial"/>
              </w:rPr>
            </w:pPr>
            <w:r>
              <w:rPr>
                <w:rFonts w:hint="eastAsia"/>
                <w:bCs/>
              </w:rPr>
              <w:t xml:space="preserve">Serum Separation Volume </w:t>
            </w:r>
            <w:r w:rsidRPr="00D7576A">
              <w:rPr>
                <w:rFonts w:hint="eastAsia"/>
                <w:bCs/>
              </w:rPr>
              <w:t>(mL)</w:t>
            </w:r>
          </w:p>
        </w:tc>
        <w:tc>
          <w:tcPr>
            <w:tcW w:w="806" w:type="dxa"/>
          </w:tcPr>
          <w:p w14:paraId="5FDA5D73" w14:textId="483523C9" w:rsidR="00A66D0E" w:rsidRPr="00DC3180" w:rsidRDefault="00A66D0E" w:rsidP="00A66D0E">
            <w:pPr>
              <w:jc w:val="both"/>
              <w:rPr>
                <w:rFonts w:ascii="Arial" w:hAnsi="Arial"/>
              </w:rPr>
            </w:pPr>
            <w:r w:rsidRPr="00D7576A">
              <w:rPr>
                <w:rFonts w:hint="eastAsia"/>
                <w:bCs/>
              </w:rPr>
              <w:t>1</w:t>
            </w:r>
          </w:p>
        </w:tc>
        <w:tc>
          <w:tcPr>
            <w:tcW w:w="906" w:type="dxa"/>
          </w:tcPr>
          <w:p w14:paraId="6A3903C4" w14:textId="39AAAA9D" w:rsidR="00A66D0E" w:rsidRPr="00DC3180" w:rsidRDefault="00A66D0E" w:rsidP="00A66D0E">
            <w:pPr>
              <w:jc w:val="both"/>
              <w:rPr>
                <w:rFonts w:ascii="Arial" w:hAnsi="Arial"/>
              </w:rPr>
            </w:pPr>
            <w:r w:rsidRPr="00D7576A">
              <w:rPr>
                <w:rFonts w:hint="eastAsia"/>
                <w:bCs/>
              </w:rPr>
              <w:t>2</w:t>
            </w:r>
          </w:p>
        </w:tc>
        <w:tc>
          <w:tcPr>
            <w:tcW w:w="1380" w:type="dxa"/>
          </w:tcPr>
          <w:p w14:paraId="6897502E" w14:textId="636025A5" w:rsidR="00A66D0E" w:rsidRPr="00DC3180" w:rsidRDefault="00A66D0E" w:rsidP="00A66D0E">
            <w:pPr>
              <w:jc w:val="both"/>
              <w:rPr>
                <w:rFonts w:ascii="Arial" w:hAnsi="Arial" w:cs="Arial"/>
              </w:rPr>
            </w:pPr>
            <w:r w:rsidRPr="00D7576A">
              <w:rPr>
                <w:rFonts w:hint="eastAsia"/>
                <w:bCs/>
              </w:rPr>
              <w:t>1</w:t>
            </w:r>
          </w:p>
        </w:tc>
        <w:tc>
          <w:tcPr>
            <w:tcW w:w="1401" w:type="dxa"/>
          </w:tcPr>
          <w:p w14:paraId="7EEE6171" w14:textId="7A911842" w:rsidR="00A66D0E" w:rsidRPr="00DC3180" w:rsidRDefault="00A66D0E" w:rsidP="00A66D0E">
            <w:pPr>
              <w:jc w:val="both"/>
              <w:rPr>
                <w:rFonts w:ascii="Arial" w:hAnsi="Arial" w:cs="Arial"/>
              </w:rPr>
            </w:pPr>
            <w:r w:rsidRPr="00D7576A">
              <w:rPr>
                <w:rFonts w:hint="eastAsia"/>
                <w:bCs/>
              </w:rPr>
              <w:t>2</w:t>
            </w:r>
          </w:p>
        </w:tc>
      </w:tr>
      <w:tr w:rsidR="00A66D0E" w:rsidRPr="00DC3180" w14:paraId="46390307" w14:textId="77777777" w:rsidTr="00A66D0E">
        <w:trPr>
          <w:jc w:val="center"/>
        </w:trPr>
        <w:tc>
          <w:tcPr>
            <w:tcW w:w="1472" w:type="dxa"/>
            <w:vMerge w:val="restart"/>
            <w:tcBorders>
              <w:top w:val="nil"/>
            </w:tcBorders>
          </w:tcPr>
          <w:p w14:paraId="2ED60265" w14:textId="77777777" w:rsidR="00A66D0E" w:rsidRPr="00DC3180" w:rsidRDefault="00A66D0E" w:rsidP="00A66D0E">
            <w:pPr>
              <w:jc w:val="both"/>
              <w:rPr>
                <w:rFonts w:ascii="Arial" w:hAnsi="Arial"/>
              </w:rPr>
            </w:pPr>
            <w:r>
              <w:rPr>
                <w:rFonts w:hint="eastAsia"/>
                <w:bCs/>
              </w:rPr>
              <w:t>Detection Dilution Ratio</w:t>
            </w:r>
          </w:p>
        </w:tc>
        <w:tc>
          <w:tcPr>
            <w:tcW w:w="1303" w:type="dxa"/>
            <w:tcBorders>
              <w:top w:val="nil"/>
            </w:tcBorders>
          </w:tcPr>
          <w:p w14:paraId="49932714" w14:textId="62B1548B" w:rsidR="00A66D0E" w:rsidRPr="00DC3180" w:rsidRDefault="00A66D0E" w:rsidP="00A66D0E">
            <w:pPr>
              <w:jc w:val="both"/>
              <w:rPr>
                <w:rFonts w:ascii="Arial" w:hAnsi="Arial"/>
                <w:lang w:eastAsia="zh-CN"/>
              </w:rPr>
            </w:pPr>
            <w:r>
              <w:rPr>
                <w:rFonts w:hint="eastAsia"/>
                <w:bCs/>
                <w:lang w:eastAsia="zh-CN"/>
              </w:rPr>
              <w:t>Blank Group</w:t>
            </w:r>
          </w:p>
        </w:tc>
        <w:tc>
          <w:tcPr>
            <w:tcW w:w="806" w:type="dxa"/>
          </w:tcPr>
          <w:p w14:paraId="740280B6" w14:textId="3D419B33" w:rsidR="00A66D0E" w:rsidRPr="00DC3180" w:rsidRDefault="00A66D0E" w:rsidP="00A66D0E">
            <w:pPr>
              <w:jc w:val="both"/>
              <w:rPr>
                <w:rFonts w:ascii="Arial" w:hAnsi="Arial"/>
              </w:rPr>
            </w:pPr>
            <w:r w:rsidRPr="00D7576A">
              <w:rPr>
                <w:rFonts w:hint="eastAsia"/>
                <w:bCs/>
              </w:rPr>
              <w:t>8</w:t>
            </w:r>
          </w:p>
        </w:tc>
        <w:tc>
          <w:tcPr>
            <w:tcW w:w="906" w:type="dxa"/>
          </w:tcPr>
          <w:p w14:paraId="2D4F06E1" w14:textId="18EBC773" w:rsidR="00A66D0E" w:rsidRPr="00DC3180" w:rsidRDefault="00A66D0E" w:rsidP="00A66D0E">
            <w:pPr>
              <w:jc w:val="both"/>
              <w:rPr>
                <w:rFonts w:ascii="Arial" w:hAnsi="Arial"/>
              </w:rPr>
            </w:pPr>
            <w:r w:rsidRPr="00D7576A">
              <w:rPr>
                <w:rFonts w:hint="eastAsia"/>
                <w:bCs/>
              </w:rPr>
              <w:t>8</w:t>
            </w:r>
          </w:p>
        </w:tc>
        <w:tc>
          <w:tcPr>
            <w:tcW w:w="1380" w:type="dxa"/>
          </w:tcPr>
          <w:p w14:paraId="42D98765" w14:textId="284F4B0A" w:rsidR="00A66D0E" w:rsidRPr="00DC3180" w:rsidRDefault="00A66D0E" w:rsidP="00A66D0E">
            <w:pPr>
              <w:jc w:val="both"/>
              <w:rPr>
                <w:rFonts w:ascii="Arial" w:hAnsi="Arial" w:cs="Arial"/>
              </w:rPr>
            </w:pPr>
            <w:r w:rsidRPr="00D7576A">
              <w:rPr>
                <w:rFonts w:hint="eastAsia"/>
                <w:bCs/>
              </w:rPr>
              <w:t>8</w:t>
            </w:r>
          </w:p>
        </w:tc>
        <w:tc>
          <w:tcPr>
            <w:tcW w:w="1401" w:type="dxa"/>
          </w:tcPr>
          <w:p w14:paraId="4BC7ACB2" w14:textId="04FE8452" w:rsidR="00A66D0E" w:rsidRPr="00DC3180" w:rsidRDefault="00A66D0E" w:rsidP="00A66D0E">
            <w:pPr>
              <w:jc w:val="both"/>
              <w:rPr>
                <w:rFonts w:ascii="Arial" w:hAnsi="Arial" w:cs="Arial"/>
              </w:rPr>
            </w:pPr>
            <w:r w:rsidRPr="00D7576A">
              <w:rPr>
                <w:rFonts w:hint="eastAsia"/>
                <w:bCs/>
              </w:rPr>
              <w:t>8</w:t>
            </w:r>
          </w:p>
        </w:tc>
      </w:tr>
      <w:tr w:rsidR="00A66D0E" w:rsidRPr="00DC3180" w14:paraId="5DF7CEF1" w14:textId="77777777" w:rsidTr="00A66D0E">
        <w:trPr>
          <w:jc w:val="center"/>
        </w:trPr>
        <w:tc>
          <w:tcPr>
            <w:tcW w:w="1472" w:type="dxa"/>
            <w:vMerge/>
          </w:tcPr>
          <w:p w14:paraId="477B665A" w14:textId="77777777" w:rsidR="00A66D0E" w:rsidRPr="00DC3180" w:rsidRDefault="00A66D0E" w:rsidP="00A66D0E">
            <w:pPr>
              <w:jc w:val="both"/>
              <w:rPr>
                <w:rFonts w:ascii="Arial" w:hAnsi="Arial"/>
              </w:rPr>
            </w:pPr>
          </w:p>
        </w:tc>
        <w:tc>
          <w:tcPr>
            <w:tcW w:w="1303" w:type="dxa"/>
          </w:tcPr>
          <w:p w14:paraId="266711BD" w14:textId="5698722D" w:rsidR="00A66D0E" w:rsidRPr="00DC3180" w:rsidRDefault="00A66D0E" w:rsidP="00A66D0E">
            <w:pPr>
              <w:jc w:val="both"/>
              <w:rPr>
                <w:rFonts w:ascii="Arial" w:hAnsi="Arial"/>
              </w:rPr>
            </w:pPr>
            <w:r w:rsidRPr="00D7576A">
              <w:rPr>
                <w:rFonts w:hint="eastAsia"/>
                <w:bCs/>
              </w:rPr>
              <w:t>30min</w:t>
            </w:r>
          </w:p>
        </w:tc>
        <w:tc>
          <w:tcPr>
            <w:tcW w:w="806" w:type="dxa"/>
          </w:tcPr>
          <w:p w14:paraId="1DBC0216" w14:textId="3326EE6B" w:rsidR="00A66D0E" w:rsidRPr="00DC3180" w:rsidRDefault="00A66D0E" w:rsidP="00A66D0E">
            <w:pPr>
              <w:jc w:val="both"/>
              <w:rPr>
                <w:rFonts w:ascii="Arial" w:hAnsi="Arial"/>
              </w:rPr>
            </w:pPr>
            <w:r w:rsidRPr="00D7576A">
              <w:rPr>
                <w:rFonts w:hint="eastAsia"/>
                <w:bCs/>
              </w:rPr>
              <w:t>8</w:t>
            </w:r>
          </w:p>
        </w:tc>
        <w:tc>
          <w:tcPr>
            <w:tcW w:w="906" w:type="dxa"/>
          </w:tcPr>
          <w:p w14:paraId="5B20474A" w14:textId="77955449" w:rsidR="00A66D0E" w:rsidRPr="00DC3180" w:rsidRDefault="00A66D0E" w:rsidP="00A66D0E">
            <w:pPr>
              <w:jc w:val="both"/>
              <w:rPr>
                <w:rFonts w:ascii="Arial" w:hAnsi="Arial"/>
              </w:rPr>
            </w:pPr>
            <w:r w:rsidRPr="00D7576A">
              <w:rPr>
                <w:rFonts w:hint="eastAsia"/>
                <w:bCs/>
              </w:rPr>
              <w:t>8</w:t>
            </w:r>
          </w:p>
        </w:tc>
        <w:tc>
          <w:tcPr>
            <w:tcW w:w="1380" w:type="dxa"/>
          </w:tcPr>
          <w:p w14:paraId="4840C154" w14:textId="36CF776C" w:rsidR="00A66D0E" w:rsidRPr="00DC3180" w:rsidRDefault="00A66D0E" w:rsidP="00A66D0E">
            <w:pPr>
              <w:jc w:val="both"/>
              <w:rPr>
                <w:rFonts w:ascii="Arial" w:hAnsi="Arial" w:cs="Arial"/>
              </w:rPr>
            </w:pPr>
            <w:r w:rsidRPr="00D7576A">
              <w:rPr>
                <w:rFonts w:hint="eastAsia"/>
                <w:bCs/>
              </w:rPr>
              <w:t>8</w:t>
            </w:r>
          </w:p>
        </w:tc>
        <w:tc>
          <w:tcPr>
            <w:tcW w:w="1401" w:type="dxa"/>
          </w:tcPr>
          <w:p w14:paraId="005BD49A" w14:textId="50252A4C" w:rsidR="00A66D0E" w:rsidRPr="00DC3180" w:rsidRDefault="00A66D0E" w:rsidP="00A66D0E">
            <w:pPr>
              <w:jc w:val="both"/>
              <w:rPr>
                <w:rFonts w:ascii="Arial" w:hAnsi="Arial" w:cs="Arial"/>
              </w:rPr>
            </w:pPr>
            <w:r w:rsidRPr="00D7576A">
              <w:rPr>
                <w:rFonts w:hint="eastAsia"/>
                <w:bCs/>
              </w:rPr>
              <w:t>8</w:t>
            </w:r>
          </w:p>
        </w:tc>
      </w:tr>
      <w:tr w:rsidR="00A66D0E" w:rsidRPr="00DC3180" w14:paraId="0D05694A" w14:textId="77777777" w:rsidTr="00A66D0E">
        <w:trPr>
          <w:jc w:val="center"/>
        </w:trPr>
        <w:tc>
          <w:tcPr>
            <w:tcW w:w="1472" w:type="dxa"/>
            <w:vMerge/>
          </w:tcPr>
          <w:p w14:paraId="4A04646E" w14:textId="77777777" w:rsidR="00A66D0E" w:rsidRPr="00DC3180" w:rsidRDefault="00A66D0E" w:rsidP="00A66D0E">
            <w:pPr>
              <w:jc w:val="both"/>
              <w:rPr>
                <w:rFonts w:ascii="Arial" w:hAnsi="Arial"/>
              </w:rPr>
            </w:pPr>
          </w:p>
        </w:tc>
        <w:tc>
          <w:tcPr>
            <w:tcW w:w="1303" w:type="dxa"/>
          </w:tcPr>
          <w:p w14:paraId="75B04BB6" w14:textId="31611838" w:rsidR="00A66D0E" w:rsidRPr="00DC3180" w:rsidRDefault="00A66D0E" w:rsidP="00A66D0E">
            <w:pPr>
              <w:jc w:val="both"/>
              <w:rPr>
                <w:rFonts w:ascii="Arial" w:hAnsi="Arial"/>
              </w:rPr>
            </w:pPr>
            <w:r w:rsidRPr="00D7576A">
              <w:rPr>
                <w:rFonts w:hint="eastAsia"/>
                <w:bCs/>
              </w:rPr>
              <w:t>1h</w:t>
            </w:r>
          </w:p>
        </w:tc>
        <w:tc>
          <w:tcPr>
            <w:tcW w:w="806" w:type="dxa"/>
          </w:tcPr>
          <w:p w14:paraId="5FC68A2E" w14:textId="3CD48B10" w:rsidR="00A66D0E" w:rsidRPr="00DC3180" w:rsidRDefault="00A66D0E" w:rsidP="00A66D0E">
            <w:pPr>
              <w:jc w:val="both"/>
              <w:rPr>
                <w:rFonts w:ascii="Arial" w:hAnsi="Arial"/>
              </w:rPr>
            </w:pPr>
            <w:r w:rsidRPr="00D7576A">
              <w:rPr>
                <w:rFonts w:hint="eastAsia"/>
                <w:bCs/>
              </w:rPr>
              <w:t>8</w:t>
            </w:r>
          </w:p>
        </w:tc>
        <w:tc>
          <w:tcPr>
            <w:tcW w:w="906" w:type="dxa"/>
          </w:tcPr>
          <w:p w14:paraId="0755755D" w14:textId="40E7BC67" w:rsidR="00A66D0E" w:rsidRPr="00DC3180" w:rsidRDefault="00A66D0E" w:rsidP="00A66D0E">
            <w:pPr>
              <w:jc w:val="both"/>
              <w:rPr>
                <w:rFonts w:ascii="Arial" w:hAnsi="Arial"/>
              </w:rPr>
            </w:pPr>
            <w:r w:rsidRPr="00D7576A">
              <w:rPr>
                <w:rFonts w:hint="eastAsia"/>
                <w:bCs/>
              </w:rPr>
              <w:t>8</w:t>
            </w:r>
          </w:p>
        </w:tc>
        <w:tc>
          <w:tcPr>
            <w:tcW w:w="1380" w:type="dxa"/>
          </w:tcPr>
          <w:p w14:paraId="449C750C" w14:textId="1533A239" w:rsidR="00A66D0E" w:rsidRPr="00DC3180" w:rsidRDefault="00A66D0E" w:rsidP="00A66D0E">
            <w:pPr>
              <w:jc w:val="both"/>
              <w:rPr>
                <w:rFonts w:ascii="Arial" w:hAnsi="Arial" w:cs="Arial"/>
              </w:rPr>
            </w:pPr>
            <w:r w:rsidRPr="00D7576A">
              <w:rPr>
                <w:rFonts w:hint="eastAsia"/>
                <w:bCs/>
              </w:rPr>
              <w:t>8</w:t>
            </w:r>
          </w:p>
        </w:tc>
        <w:tc>
          <w:tcPr>
            <w:tcW w:w="1401" w:type="dxa"/>
          </w:tcPr>
          <w:p w14:paraId="74842827" w14:textId="78E32046" w:rsidR="00A66D0E" w:rsidRPr="00DC3180" w:rsidRDefault="00A66D0E" w:rsidP="00A66D0E">
            <w:pPr>
              <w:jc w:val="both"/>
              <w:rPr>
                <w:rFonts w:ascii="Arial" w:hAnsi="Arial" w:cs="Arial"/>
              </w:rPr>
            </w:pPr>
            <w:r w:rsidRPr="00D7576A">
              <w:rPr>
                <w:rFonts w:hint="eastAsia"/>
                <w:bCs/>
              </w:rPr>
              <w:t>8</w:t>
            </w:r>
          </w:p>
        </w:tc>
      </w:tr>
      <w:tr w:rsidR="00A66D0E" w:rsidRPr="00DC3180" w14:paraId="0E23EC8F" w14:textId="77777777" w:rsidTr="00A66D0E">
        <w:trPr>
          <w:jc w:val="center"/>
        </w:trPr>
        <w:tc>
          <w:tcPr>
            <w:tcW w:w="1472" w:type="dxa"/>
            <w:vMerge/>
            <w:tcBorders>
              <w:bottom w:val="single" w:sz="4" w:space="0" w:color="auto"/>
            </w:tcBorders>
          </w:tcPr>
          <w:p w14:paraId="59B0E930" w14:textId="77777777" w:rsidR="00A66D0E" w:rsidRPr="00DC3180" w:rsidRDefault="00A66D0E" w:rsidP="00A66D0E">
            <w:pPr>
              <w:jc w:val="both"/>
              <w:rPr>
                <w:rFonts w:ascii="Arial" w:hAnsi="Arial"/>
              </w:rPr>
            </w:pPr>
          </w:p>
        </w:tc>
        <w:tc>
          <w:tcPr>
            <w:tcW w:w="1303" w:type="dxa"/>
            <w:tcBorders>
              <w:bottom w:val="single" w:sz="4" w:space="0" w:color="auto"/>
            </w:tcBorders>
          </w:tcPr>
          <w:p w14:paraId="6A4081EA" w14:textId="74EAD716" w:rsidR="00A66D0E" w:rsidRPr="00DC3180" w:rsidRDefault="00A66D0E" w:rsidP="00A66D0E">
            <w:pPr>
              <w:jc w:val="both"/>
              <w:rPr>
                <w:rFonts w:ascii="Arial" w:hAnsi="Arial"/>
              </w:rPr>
            </w:pPr>
            <w:r w:rsidRPr="00D7576A">
              <w:rPr>
                <w:rFonts w:hint="eastAsia"/>
                <w:bCs/>
              </w:rPr>
              <w:t>2h</w:t>
            </w:r>
          </w:p>
        </w:tc>
        <w:tc>
          <w:tcPr>
            <w:tcW w:w="806" w:type="dxa"/>
            <w:tcBorders>
              <w:bottom w:val="single" w:sz="4" w:space="0" w:color="auto"/>
            </w:tcBorders>
          </w:tcPr>
          <w:p w14:paraId="4BA51E7F" w14:textId="3C5A06C8" w:rsidR="00A66D0E" w:rsidRPr="00DC3180" w:rsidRDefault="00A66D0E" w:rsidP="00A66D0E">
            <w:pPr>
              <w:jc w:val="both"/>
              <w:rPr>
                <w:rFonts w:ascii="Arial" w:hAnsi="Arial"/>
              </w:rPr>
            </w:pPr>
            <w:r w:rsidRPr="00D7576A">
              <w:rPr>
                <w:rFonts w:hint="eastAsia"/>
                <w:bCs/>
              </w:rPr>
              <w:t>8</w:t>
            </w:r>
          </w:p>
        </w:tc>
        <w:tc>
          <w:tcPr>
            <w:tcW w:w="906" w:type="dxa"/>
            <w:tcBorders>
              <w:bottom w:val="single" w:sz="4" w:space="0" w:color="auto"/>
            </w:tcBorders>
          </w:tcPr>
          <w:p w14:paraId="47C4E60B" w14:textId="64C2E91E" w:rsidR="00A66D0E" w:rsidRPr="00DC3180" w:rsidRDefault="00A66D0E" w:rsidP="00A66D0E">
            <w:pPr>
              <w:jc w:val="both"/>
              <w:rPr>
                <w:rFonts w:ascii="Arial" w:hAnsi="Arial"/>
              </w:rPr>
            </w:pPr>
            <w:r w:rsidRPr="00D7576A">
              <w:rPr>
                <w:rFonts w:hint="eastAsia"/>
                <w:bCs/>
              </w:rPr>
              <w:t>32</w:t>
            </w:r>
          </w:p>
        </w:tc>
        <w:tc>
          <w:tcPr>
            <w:tcW w:w="1380" w:type="dxa"/>
            <w:tcBorders>
              <w:bottom w:val="single" w:sz="4" w:space="0" w:color="auto"/>
            </w:tcBorders>
          </w:tcPr>
          <w:p w14:paraId="1AE065ED" w14:textId="24760229" w:rsidR="00A66D0E" w:rsidRPr="00DC3180" w:rsidRDefault="00A66D0E" w:rsidP="00A66D0E">
            <w:pPr>
              <w:jc w:val="both"/>
              <w:rPr>
                <w:rFonts w:ascii="Arial" w:hAnsi="Arial" w:cs="Arial"/>
              </w:rPr>
            </w:pPr>
            <w:r w:rsidRPr="00D7576A">
              <w:rPr>
                <w:rFonts w:hint="eastAsia"/>
                <w:bCs/>
              </w:rPr>
              <w:t>8</w:t>
            </w:r>
          </w:p>
        </w:tc>
        <w:tc>
          <w:tcPr>
            <w:tcW w:w="1401" w:type="dxa"/>
            <w:tcBorders>
              <w:bottom w:val="single" w:sz="4" w:space="0" w:color="auto"/>
            </w:tcBorders>
          </w:tcPr>
          <w:p w14:paraId="67A05D30" w14:textId="5E3DA5B3" w:rsidR="00A66D0E" w:rsidRPr="00DC3180" w:rsidRDefault="00A66D0E" w:rsidP="00A66D0E">
            <w:pPr>
              <w:jc w:val="both"/>
              <w:rPr>
                <w:rFonts w:ascii="Arial" w:hAnsi="Arial" w:cs="Arial"/>
              </w:rPr>
            </w:pPr>
            <w:r w:rsidRPr="00D7576A">
              <w:rPr>
                <w:rFonts w:hint="eastAsia"/>
                <w:bCs/>
              </w:rPr>
              <w:t>16</w:t>
            </w:r>
          </w:p>
        </w:tc>
      </w:tr>
    </w:tbl>
    <w:p w14:paraId="4DEDC137" w14:textId="560F6816" w:rsidR="00376BBE" w:rsidRDefault="00A6047D" w:rsidP="00A6047D">
      <w:pPr>
        <w:pStyle w:val="Body"/>
        <w:spacing w:after="0"/>
        <w:jc w:val="center"/>
        <w:rPr>
          <w:rFonts w:ascii="Arial" w:hAnsi="Arial" w:cs="Arial"/>
          <w:lang w:eastAsia="zh-CN"/>
        </w:rPr>
      </w:pPr>
      <w:r w:rsidRPr="00D7576A">
        <w:rPr>
          <w:noProof/>
        </w:rPr>
        <w:drawing>
          <wp:inline distT="0" distB="0" distL="0" distR="0" wp14:anchorId="2818EE0F" wp14:editId="5F718CAA">
            <wp:extent cx="4127500" cy="1406525"/>
            <wp:effectExtent l="0" t="0" r="6350" b="3175"/>
            <wp:docPr id="132248327" name="图片 2" descr="图片包含 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48327" name="图片 2" descr="图片包含 图表&#10;&#10;AI 生成的内容可能不正确。"/>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48778" cy="1414335"/>
                    </a:xfrm>
                    <a:prstGeom prst="rect">
                      <a:avLst/>
                    </a:prstGeom>
                    <a:noFill/>
                    <a:ln>
                      <a:noFill/>
                    </a:ln>
                  </pic:spPr>
                </pic:pic>
              </a:graphicData>
            </a:graphic>
          </wp:inline>
        </w:drawing>
      </w:r>
    </w:p>
    <w:p w14:paraId="50E689E0" w14:textId="1F661D32" w:rsidR="00A6047D" w:rsidRPr="00A6047D" w:rsidRDefault="00A6047D" w:rsidP="00A6047D">
      <w:pPr>
        <w:pStyle w:val="Body"/>
        <w:spacing w:after="0"/>
        <w:jc w:val="center"/>
        <w:rPr>
          <w:rFonts w:ascii="Arial" w:hAnsi="Arial" w:cs="Arial"/>
          <w:b/>
          <w:bCs/>
          <w:szCs w:val="22"/>
        </w:rPr>
      </w:pPr>
      <w:r w:rsidRPr="00A6047D">
        <w:rPr>
          <w:rFonts w:ascii="Arial" w:hAnsi="Arial" w:cs="Arial"/>
          <w:b/>
          <w:bCs/>
          <w:szCs w:val="22"/>
        </w:rPr>
        <w:t>Fig</w:t>
      </w:r>
      <w:r w:rsidRPr="00A6047D">
        <w:rPr>
          <w:rFonts w:ascii="Arial" w:hAnsi="Arial" w:cs="Arial" w:hint="eastAsia"/>
          <w:b/>
          <w:bCs/>
          <w:szCs w:val="22"/>
        </w:rPr>
        <w:t>.</w:t>
      </w:r>
      <w:r w:rsidRPr="00A6047D">
        <w:rPr>
          <w:rFonts w:ascii="Arial" w:hAnsi="Arial" w:cs="Arial"/>
          <w:b/>
          <w:bCs/>
          <w:szCs w:val="22"/>
        </w:rPr>
        <w:t xml:space="preserve"> </w:t>
      </w:r>
      <w:r w:rsidRPr="00A6047D">
        <w:rPr>
          <w:rFonts w:ascii="Arial" w:hAnsi="Arial" w:cs="Arial" w:hint="eastAsia"/>
          <w:b/>
          <w:bCs/>
          <w:szCs w:val="22"/>
        </w:rPr>
        <w:t>3</w:t>
      </w:r>
      <w:r w:rsidRPr="00A6047D">
        <w:rPr>
          <w:rFonts w:ascii="Arial" w:hAnsi="Arial" w:cs="Arial"/>
          <w:b/>
          <w:bCs/>
          <w:szCs w:val="22"/>
        </w:rPr>
        <w:t>. Standard curves for HA detection</w:t>
      </w:r>
    </w:p>
    <w:p w14:paraId="748CCD81" w14:textId="15090F06" w:rsidR="00A6047D" w:rsidRPr="00A6047D" w:rsidRDefault="00A6047D" w:rsidP="00A6047D">
      <w:pPr>
        <w:ind w:left="360"/>
        <w:jc w:val="both"/>
        <w:rPr>
          <w:rFonts w:ascii="Arial" w:hAnsi="Arial" w:cs="Arial"/>
          <w:i/>
          <w:sz w:val="18"/>
        </w:rPr>
      </w:pPr>
      <w:r w:rsidRPr="00A6047D">
        <w:rPr>
          <w:rFonts w:ascii="Arial" w:hAnsi="Arial" w:cs="Arial"/>
          <w:i/>
          <w:sz w:val="18"/>
        </w:rPr>
        <w:t>Note: A shows the OD values of the standard curve; B shows the curve derived from the OD values</w:t>
      </w:r>
    </w:p>
    <w:p w14:paraId="351A4C6C" w14:textId="46CA6F83" w:rsidR="00376BBE" w:rsidRDefault="00250E00" w:rsidP="001D3074">
      <w:pPr>
        <w:pStyle w:val="Body"/>
        <w:ind w:firstLineChars="200" w:firstLine="400"/>
        <w:rPr>
          <w:rFonts w:ascii="Arial" w:hAnsi="Arial" w:cs="Arial"/>
        </w:rPr>
      </w:pPr>
      <w:r w:rsidRPr="00250E00">
        <w:rPr>
          <w:rFonts w:ascii="Arial" w:hAnsi="Arial" w:cs="Arial"/>
        </w:rPr>
        <w:t xml:space="preserve">The serum HA concentrations calculated from the standard curve are presented in Figs. 4 and 5. A time-dependent increase in HA levels was observed in both portal vein (Fig. 4) and cardiac blood (Fig. 5). However, no statistically significant differences were detected </w:t>
      </w:r>
      <w:r w:rsidRPr="00250E00">
        <w:rPr>
          <w:rFonts w:ascii="Arial" w:hAnsi="Arial" w:cs="Arial"/>
        </w:rPr>
        <w:lastRenderedPageBreak/>
        <w:t>between the HA35 and HA70 groups at any individual time point. HA concentrations were consistently higher in cardiac blood than in portal vein blood, suggesting that HA is primarily absorbed into the systemic circulation via non-portal pathways.</w:t>
      </w:r>
      <w:r w:rsidR="001D3074">
        <w:rPr>
          <w:rFonts w:ascii="Arial" w:hAnsi="Arial" w:cs="Arial" w:hint="eastAsia"/>
          <w:lang w:eastAsia="zh-CN"/>
        </w:rPr>
        <w:t xml:space="preserve"> </w:t>
      </w:r>
      <w:r w:rsidR="0082290B" w:rsidRPr="0082290B">
        <w:rPr>
          <w:rFonts w:ascii="Arial" w:hAnsi="Arial" w:cs="Arial"/>
        </w:rPr>
        <w:t>Further analysis showed a significant increase in HA levels in cardiac blood 30 minutes post-gavage compared to baseline (HA35: 129.84 ± 50.92 ng/mL, P &lt; 0.01; HA70: 102.56 ± 50.78 ng/mL, P &lt; 0.05)</w:t>
      </w:r>
      <w:r w:rsidRPr="00250E00">
        <w:rPr>
          <w:rFonts w:ascii="Arial" w:hAnsi="Arial" w:cs="Arial"/>
        </w:rPr>
        <w:t>. HA levels continued to rise at 60 minutes (HA35: 297.20 ± 123.87 ng/mL, P &lt; 0.01; HA70: 255.36 ± 130.20 ng/mL, P &lt; 0.05) and peaked at 120 minutes (HA35: 604.48 ± 269.37 ng/mL, P &lt; 0.01; HA70: 567.84 ± 300.75 ng/mL, P &lt; 0.01). These data indicate that both HA35 and HA70 are rapidly absorbed into the bloodstream following oral administration, predominantly via non-portal circulation</w:t>
      </w:r>
      <w:r w:rsidR="00A6047D" w:rsidRPr="00A6047D">
        <w:rPr>
          <w:rFonts w:ascii="Arial" w:hAnsi="Arial" w:cs="Arial"/>
        </w:rPr>
        <w:t>.</w:t>
      </w:r>
    </w:p>
    <w:p w14:paraId="4CF2A539" w14:textId="503B06B3" w:rsidR="00927834" w:rsidRDefault="00A6047D" w:rsidP="00A6047D">
      <w:pPr>
        <w:autoSpaceDE w:val="0"/>
        <w:autoSpaceDN w:val="0"/>
        <w:adjustRightInd w:val="0"/>
        <w:jc w:val="center"/>
        <w:rPr>
          <w:rFonts w:ascii="Arial" w:hAnsi="Arial" w:cs="Arial"/>
          <w:b/>
          <w:bCs/>
          <w:sz w:val="22"/>
          <w:szCs w:val="22"/>
          <w:lang w:eastAsia="zh-CN"/>
        </w:rPr>
      </w:pPr>
      <w:r w:rsidRPr="00D7576A">
        <w:rPr>
          <w:noProof/>
        </w:rPr>
        <w:drawing>
          <wp:inline distT="0" distB="0" distL="0" distR="0" wp14:anchorId="037CD89F" wp14:editId="678F0C33">
            <wp:extent cx="4490519" cy="1391534"/>
            <wp:effectExtent l="0" t="0" r="5715" b="0"/>
            <wp:docPr id="1325010666" name="图片 2"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010666" name="图片 2" descr="图表&#10;&#10;AI 生成的内容可能不正确。"/>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10043" cy="1397584"/>
                    </a:xfrm>
                    <a:prstGeom prst="rect">
                      <a:avLst/>
                    </a:prstGeom>
                    <a:noFill/>
                    <a:ln>
                      <a:noFill/>
                    </a:ln>
                  </pic:spPr>
                </pic:pic>
              </a:graphicData>
            </a:graphic>
          </wp:inline>
        </w:drawing>
      </w:r>
    </w:p>
    <w:p w14:paraId="3A7E96E1" w14:textId="743C1CF8" w:rsidR="00A6047D" w:rsidRPr="00A6047D" w:rsidRDefault="00A6047D" w:rsidP="00A6047D">
      <w:pPr>
        <w:rPr>
          <w:rFonts w:ascii="Arial" w:hAnsi="Arial" w:cs="Arial"/>
          <w:b/>
          <w:bCs/>
          <w:szCs w:val="22"/>
        </w:rPr>
      </w:pPr>
      <w:r w:rsidRPr="00A6047D">
        <w:rPr>
          <w:rFonts w:ascii="Arial" w:hAnsi="Arial" w:cs="Arial"/>
          <w:b/>
          <w:bCs/>
          <w:szCs w:val="22"/>
        </w:rPr>
        <w:t>Fig</w:t>
      </w:r>
      <w:r w:rsidRPr="00A6047D">
        <w:rPr>
          <w:rFonts w:ascii="Arial" w:hAnsi="Arial" w:cs="Arial" w:hint="eastAsia"/>
          <w:b/>
          <w:bCs/>
          <w:szCs w:val="22"/>
        </w:rPr>
        <w:t>.</w:t>
      </w:r>
      <w:r w:rsidRPr="00A6047D">
        <w:rPr>
          <w:rFonts w:ascii="Arial" w:hAnsi="Arial" w:cs="Arial"/>
          <w:b/>
          <w:bCs/>
          <w:szCs w:val="22"/>
        </w:rPr>
        <w:t xml:space="preserve"> 4. HA concentration in rat portal vein blood</w:t>
      </w:r>
    </w:p>
    <w:p w14:paraId="6F7675B3" w14:textId="256F1892" w:rsidR="00A6047D" w:rsidRPr="00A6047D" w:rsidRDefault="00A6047D" w:rsidP="00A6047D">
      <w:pPr>
        <w:ind w:left="360"/>
        <w:jc w:val="both"/>
        <w:rPr>
          <w:rFonts w:ascii="Arial" w:hAnsi="Arial" w:cs="Arial"/>
          <w:i/>
          <w:sz w:val="18"/>
        </w:rPr>
      </w:pPr>
      <w:r w:rsidRPr="00A6047D">
        <w:rPr>
          <w:rFonts w:ascii="Arial" w:hAnsi="Arial" w:cs="Arial"/>
          <w:i/>
          <w:sz w:val="18"/>
        </w:rPr>
        <w:t>Note: A shows calculated concentrations from the standard curve; B shows original concentrations after multiplying by dilution factors.</w:t>
      </w:r>
    </w:p>
    <w:p w14:paraId="2C305599" w14:textId="56DB1355" w:rsidR="00A6047D" w:rsidRDefault="00A6047D" w:rsidP="00A6047D">
      <w:pPr>
        <w:autoSpaceDE w:val="0"/>
        <w:autoSpaceDN w:val="0"/>
        <w:adjustRightInd w:val="0"/>
        <w:jc w:val="center"/>
        <w:rPr>
          <w:rFonts w:ascii="Arial" w:hAnsi="Arial" w:cs="Arial"/>
          <w:b/>
          <w:bCs/>
          <w:sz w:val="22"/>
          <w:szCs w:val="22"/>
          <w:lang w:eastAsia="zh-CN"/>
        </w:rPr>
      </w:pPr>
      <w:r w:rsidRPr="00D7576A">
        <w:rPr>
          <w:noProof/>
        </w:rPr>
        <w:drawing>
          <wp:inline distT="0" distB="0" distL="0" distR="0" wp14:anchorId="2D8195D9" wp14:editId="152FBCBB">
            <wp:extent cx="4445000" cy="1345910"/>
            <wp:effectExtent l="0" t="0" r="0" b="0"/>
            <wp:docPr id="1781164595" name="图片 1"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64595" name="图片 1" descr="图表&#10;&#10;AI 生成的内容可能不正确。"/>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442" cy="1355430"/>
                    </a:xfrm>
                    <a:prstGeom prst="rect">
                      <a:avLst/>
                    </a:prstGeom>
                    <a:noFill/>
                    <a:ln>
                      <a:noFill/>
                    </a:ln>
                  </pic:spPr>
                </pic:pic>
              </a:graphicData>
            </a:graphic>
          </wp:inline>
        </w:drawing>
      </w:r>
    </w:p>
    <w:p w14:paraId="3CB8618E" w14:textId="75782DA6" w:rsidR="00A6047D" w:rsidRPr="00A6047D" w:rsidRDefault="00A6047D" w:rsidP="00A6047D">
      <w:pPr>
        <w:autoSpaceDE w:val="0"/>
        <w:autoSpaceDN w:val="0"/>
        <w:adjustRightInd w:val="0"/>
        <w:jc w:val="both"/>
        <w:rPr>
          <w:rFonts w:ascii="Arial" w:hAnsi="Arial" w:cs="Arial"/>
          <w:b/>
          <w:bCs/>
          <w:szCs w:val="22"/>
        </w:rPr>
      </w:pPr>
      <w:r w:rsidRPr="00A6047D">
        <w:rPr>
          <w:rFonts w:ascii="Arial" w:hAnsi="Arial" w:cs="Arial"/>
          <w:b/>
          <w:bCs/>
          <w:szCs w:val="22"/>
        </w:rPr>
        <w:t>Fig</w:t>
      </w:r>
      <w:r w:rsidRPr="00A6047D">
        <w:rPr>
          <w:rFonts w:ascii="Arial" w:hAnsi="Arial" w:cs="Arial" w:hint="eastAsia"/>
          <w:b/>
          <w:bCs/>
          <w:szCs w:val="22"/>
        </w:rPr>
        <w:t>.</w:t>
      </w:r>
      <w:r w:rsidRPr="00A6047D">
        <w:rPr>
          <w:rFonts w:ascii="Arial" w:hAnsi="Arial" w:cs="Arial"/>
          <w:b/>
          <w:bCs/>
          <w:szCs w:val="22"/>
        </w:rPr>
        <w:t xml:space="preserve"> 5. HA concentration in rat cardiac blood</w:t>
      </w:r>
    </w:p>
    <w:p w14:paraId="088349D3" w14:textId="77777777" w:rsidR="00A6047D" w:rsidRPr="00A6047D" w:rsidRDefault="00A6047D" w:rsidP="00A6047D">
      <w:pPr>
        <w:ind w:left="360"/>
        <w:jc w:val="both"/>
        <w:rPr>
          <w:rFonts w:ascii="Arial" w:hAnsi="Arial" w:cs="Arial"/>
          <w:i/>
          <w:sz w:val="18"/>
        </w:rPr>
      </w:pPr>
      <w:r w:rsidRPr="00A6047D">
        <w:rPr>
          <w:rFonts w:ascii="Arial" w:hAnsi="Arial" w:cs="Arial"/>
          <w:i/>
          <w:sz w:val="18"/>
        </w:rPr>
        <w:t>Note: A shows calculated concentrations from the standard curve; B shows original concentrations after multiplying by dilution factors.</w:t>
      </w:r>
    </w:p>
    <w:p w14:paraId="475E1701" w14:textId="77777777" w:rsidR="00661209" w:rsidRDefault="00661209" w:rsidP="00A6047D">
      <w:pPr>
        <w:pStyle w:val="Body"/>
        <w:spacing w:after="0"/>
        <w:rPr>
          <w:rFonts w:ascii="Arial" w:hAnsi="Arial" w:cs="Arial"/>
          <w:b/>
          <w:caps/>
          <w:sz w:val="22"/>
        </w:rPr>
      </w:pPr>
    </w:p>
    <w:p w14:paraId="7CC91CBA" w14:textId="316D40DC" w:rsidR="00A6047D" w:rsidRDefault="00A6047D" w:rsidP="00A6047D">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hint="eastAsia"/>
          <w:b/>
          <w:caps/>
          <w:sz w:val="22"/>
          <w:lang w:eastAsia="zh-CN"/>
        </w:rPr>
        <w:t>3</w:t>
      </w:r>
      <w:r w:rsidRPr="00C30A0F">
        <w:rPr>
          <w:rFonts w:ascii="Arial" w:hAnsi="Arial" w:cs="Arial"/>
          <w:b/>
          <w:caps/>
          <w:sz w:val="22"/>
        </w:rPr>
        <w:t xml:space="preserve"> </w:t>
      </w:r>
      <w:r w:rsidRPr="00A6047D">
        <w:rPr>
          <w:rFonts w:ascii="Arial" w:hAnsi="Arial" w:cs="Arial"/>
          <w:b/>
          <w:sz w:val="22"/>
        </w:rPr>
        <w:t>Absorption of HA35 and HA70 in Tissues</w:t>
      </w:r>
    </w:p>
    <w:p w14:paraId="01F7D2E9" w14:textId="4E07FA92" w:rsidR="00250E00" w:rsidRPr="00250E00" w:rsidRDefault="00250E00" w:rsidP="00250E00">
      <w:pPr>
        <w:pStyle w:val="Body"/>
        <w:rPr>
          <w:rFonts w:ascii="Arial" w:hAnsi="Arial" w:cs="Arial"/>
        </w:rPr>
      </w:pPr>
      <w:r w:rsidRPr="00250E00">
        <w:rPr>
          <w:rFonts w:ascii="Arial" w:hAnsi="Arial" w:cs="Arial"/>
        </w:rPr>
        <w:t>To further investigate tissue-level absorption, HA concentrations were measured in the mesenteric lymph nodes, liver, and spleen. Tissue weights and corresponding dilution ratios are listed in Table 2, and HA distributions in various tissues are shown in Figs. 6 and 7.</w:t>
      </w:r>
      <w:r w:rsidR="001D3074">
        <w:rPr>
          <w:rFonts w:ascii="Arial" w:hAnsi="Arial" w:cs="Arial" w:hint="eastAsia"/>
          <w:lang w:eastAsia="zh-CN"/>
        </w:rPr>
        <w:t xml:space="preserve"> </w:t>
      </w:r>
      <w:r w:rsidRPr="00250E00">
        <w:rPr>
          <w:rFonts w:ascii="Arial" w:hAnsi="Arial" w:cs="Arial"/>
        </w:rPr>
        <w:t>As shown in Fig. 6D, HA concentrations in the mesenteric lymph nodes significantly increased 30 minutes after oral administration (HA35: 17.94 ± 8.16 ng/mL, P &lt; 0.01; HA70: 16.24 ± 8.00 ng/mL, P &lt; 0.01) compared to pre-gavage levels (HA35: 0.87 ± 0.32 ng/mL; HA70: 0.73 ± 0.33 ng/mL). These results suggest that both HA35 and HA70 are effectively absorbed through the mesenteric lymphatic system.</w:t>
      </w:r>
    </w:p>
    <w:p w14:paraId="1B62E3A1" w14:textId="77777777" w:rsidR="00250E00" w:rsidRPr="00250E00" w:rsidRDefault="00250E00" w:rsidP="00250E00">
      <w:pPr>
        <w:pStyle w:val="Body"/>
        <w:rPr>
          <w:rFonts w:ascii="Arial" w:hAnsi="Arial" w:cs="Arial"/>
        </w:rPr>
      </w:pPr>
      <w:r w:rsidRPr="00250E00">
        <w:rPr>
          <w:rFonts w:ascii="Arial" w:hAnsi="Arial" w:cs="Arial"/>
        </w:rPr>
        <w:t>In contrast, HA concentrations in the spleen (Fig. 7A) and liver (Fig. 7B) remained low and showed no significant differences before and after gavage (P &gt; 0.05), indicating limited absorption into these organs. These findings support the hypothesis that oral HA is absorbed primarily via the intestinal lymphatic pathway, rather than undergoing first-pass hepatic metabolism.</w:t>
      </w:r>
    </w:p>
    <w:p w14:paraId="0FA5BB1D" w14:textId="161EA763" w:rsidR="00A6047D" w:rsidRDefault="00250E00" w:rsidP="00A6047D">
      <w:pPr>
        <w:pStyle w:val="Body"/>
        <w:rPr>
          <w:rFonts w:ascii="Arial" w:hAnsi="Arial" w:cs="Arial"/>
        </w:rPr>
      </w:pPr>
      <w:r w:rsidRPr="00250E00">
        <w:rPr>
          <w:rFonts w:ascii="Arial" w:hAnsi="Arial" w:cs="Arial"/>
        </w:rPr>
        <w:lastRenderedPageBreak/>
        <w:t>Furthermore, no statistically significant differences were observed between the HA35 and HA70 groups in any of the tissues examined across all time points (P &gt; 0.05), suggesting that tissue permeability and absorption through mesenteric lymph nodes are not strongly dependent on molecular size within the tested range</w:t>
      </w:r>
      <w:r w:rsidR="00A6047D" w:rsidRPr="00A6047D">
        <w:rPr>
          <w:rFonts w:ascii="Arial" w:hAnsi="Arial" w:cs="Arial"/>
        </w:rPr>
        <w:t>.</w:t>
      </w:r>
    </w:p>
    <w:p w14:paraId="282C01B6" w14:textId="1F186CFC" w:rsidR="00A6047D" w:rsidRPr="00A6047D" w:rsidRDefault="00A6047D" w:rsidP="00A6047D">
      <w:pPr>
        <w:jc w:val="center"/>
        <w:rPr>
          <w:bCs/>
        </w:rPr>
      </w:pPr>
      <w:r w:rsidRPr="00E95F5F">
        <w:rPr>
          <w:rFonts w:ascii="Arial" w:hAnsi="Arial"/>
          <w:b/>
        </w:rPr>
        <w:t>Table 2. Weights and dilution conditions for mesenteric lymph nodes, liver, and spleen in rats</w:t>
      </w:r>
    </w:p>
    <w:tbl>
      <w:tblPr>
        <w:tblStyle w:val="TableGrid"/>
        <w:tblW w:w="85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9"/>
        <w:gridCol w:w="1138"/>
        <w:gridCol w:w="1305"/>
        <w:gridCol w:w="982"/>
        <w:gridCol w:w="819"/>
        <w:gridCol w:w="1140"/>
        <w:gridCol w:w="982"/>
        <w:gridCol w:w="873"/>
      </w:tblGrid>
      <w:tr w:rsidR="00A6047D" w:rsidRPr="00D7576A" w14:paraId="274A3035" w14:textId="77777777" w:rsidTr="00E95F5F">
        <w:trPr>
          <w:trHeight w:val="227"/>
          <w:jc w:val="center"/>
        </w:trPr>
        <w:tc>
          <w:tcPr>
            <w:tcW w:w="2447" w:type="dxa"/>
            <w:gridSpan w:val="2"/>
            <w:tcBorders>
              <w:top w:val="single" w:sz="4" w:space="0" w:color="auto"/>
              <w:bottom w:val="single" w:sz="4" w:space="0" w:color="auto"/>
            </w:tcBorders>
          </w:tcPr>
          <w:p w14:paraId="5BC302CE" w14:textId="77777777" w:rsidR="00A6047D" w:rsidRPr="00E95F5F" w:rsidRDefault="00A6047D" w:rsidP="008B0E49">
            <w:pPr>
              <w:jc w:val="center"/>
              <w:rPr>
                <w:b/>
              </w:rPr>
            </w:pPr>
            <w:r w:rsidRPr="00E95F5F">
              <w:rPr>
                <w:rFonts w:hint="eastAsia"/>
                <w:b/>
              </w:rPr>
              <w:t>Group</w:t>
            </w:r>
          </w:p>
        </w:tc>
        <w:tc>
          <w:tcPr>
            <w:tcW w:w="3106" w:type="dxa"/>
            <w:gridSpan w:val="3"/>
            <w:tcBorders>
              <w:top w:val="single" w:sz="4" w:space="0" w:color="auto"/>
              <w:bottom w:val="single" w:sz="4" w:space="0" w:color="auto"/>
            </w:tcBorders>
          </w:tcPr>
          <w:p w14:paraId="634F8C60" w14:textId="77777777" w:rsidR="00A6047D" w:rsidRPr="00E95F5F" w:rsidRDefault="00A6047D" w:rsidP="008B0E49">
            <w:pPr>
              <w:jc w:val="center"/>
              <w:rPr>
                <w:b/>
              </w:rPr>
            </w:pPr>
            <w:r w:rsidRPr="00E95F5F">
              <w:rPr>
                <w:rFonts w:hint="eastAsia"/>
                <w:b/>
              </w:rPr>
              <w:t>HA35 (n=6)</w:t>
            </w:r>
          </w:p>
        </w:tc>
        <w:tc>
          <w:tcPr>
            <w:tcW w:w="2995" w:type="dxa"/>
            <w:gridSpan w:val="3"/>
            <w:tcBorders>
              <w:top w:val="single" w:sz="4" w:space="0" w:color="auto"/>
              <w:bottom w:val="single" w:sz="4" w:space="0" w:color="auto"/>
            </w:tcBorders>
          </w:tcPr>
          <w:p w14:paraId="7DC91C28" w14:textId="77777777" w:rsidR="00A6047D" w:rsidRPr="00E95F5F" w:rsidRDefault="00A6047D" w:rsidP="008B0E49">
            <w:pPr>
              <w:jc w:val="center"/>
              <w:rPr>
                <w:b/>
              </w:rPr>
            </w:pPr>
            <w:r w:rsidRPr="00E95F5F">
              <w:rPr>
                <w:rFonts w:hint="eastAsia"/>
                <w:b/>
              </w:rPr>
              <w:t>HA70 (n=6)</w:t>
            </w:r>
          </w:p>
        </w:tc>
      </w:tr>
      <w:tr w:rsidR="00A6047D" w:rsidRPr="00D7576A" w14:paraId="5038A345" w14:textId="77777777" w:rsidTr="00E95F5F">
        <w:trPr>
          <w:trHeight w:val="460"/>
          <w:jc w:val="center"/>
        </w:trPr>
        <w:tc>
          <w:tcPr>
            <w:tcW w:w="2447" w:type="dxa"/>
            <w:gridSpan w:val="2"/>
            <w:tcBorders>
              <w:top w:val="single" w:sz="4" w:space="0" w:color="auto"/>
            </w:tcBorders>
          </w:tcPr>
          <w:p w14:paraId="64281687" w14:textId="77777777" w:rsidR="00A6047D" w:rsidRPr="00E95F5F" w:rsidRDefault="00A6047D" w:rsidP="008B0E49">
            <w:pPr>
              <w:jc w:val="center"/>
              <w:rPr>
                <w:bCs/>
              </w:rPr>
            </w:pPr>
            <w:r w:rsidRPr="00E95F5F">
              <w:rPr>
                <w:rFonts w:hint="eastAsia"/>
                <w:bCs/>
              </w:rPr>
              <w:t>Sample</w:t>
            </w:r>
          </w:p>
        </w:tc>
        <w:tc>
          <w:tcPr>
            <w:tcW w:w="1305" w:type="dxa"/>
            <w:tcBorders>
              <w:top w:val="single" w:sz="4" w:space="0" w:color="auto"/>
            </w:tcBorders>
          </w:tcPr>
          <w:p w14:paraId="70F51880" w14:textId="77777777" w:rsidR="00A6047D" w:rsidRPr="00E95F5F" w:rsidRDefault="00A6047D" w:rsidP="008B0E49">
            <w:pPr>
              <w:jc w:val="center"/>
              <w:rPr>
                <w:bCs/>
              </w:rPr>
            </w:pPr>
            <w:r w:rsidRPr="00E95F5F">
              <w:rPr>
                <w:bCs/>
              </w:rPr>
              <w:t>Mesenteric Lymph Nodes</w:t>
            </w:r>
          </w:p>
        </w:tc>
        <w:tc>
          <w:tcPr>
            <w:tcW w:w="982" w:type="dxa"/>
            <w:tcBorders>
              <w:top w:val="single" w:sz="4" w:space="0" w:color="auto"/>
            </w:tcBorders>
          </w:tcPr>
          <w:p w14:paraId="05B9D014" w14:textId="77777777" w:rsidR="00A6047D" w:rsidRPr="00E95F5F" w:rsidRDefault="00A6047D" w:rsidP="008B0E49">
            <w:pPr>
              <w:jc w:val="center"/>
              <w:rPr>
                <w:bCs/>
              </w:rPr>
            </w:pPr>
            <w:r w:rsidRPr="00E95F5F">
              <w:rPr>
                <w:bCs/>
              </w:rPr>
              <w:t>Spleen</w:t>
            </w:r>
          </w:p>
        </w:tc>
        <w:tc>
          <w:tcPr>
            <w:tcW w:w="819" w:type="dxa"/>
            <w:tcBorders>
              <w:top w:val="single" w:sz="4" w:space="0" w:color="auto"/>
            </w:tcBorders>
          </w:tcPr>
          <w:p w14:paraId="44704032" w14:textId="77777777" w:rsidR="00A6047D" w:rsidRPr="00E95F5F" w:rsidRDefault="00A6047D" w:rsidP="008B0E49">
            <w:pPr>
              <w:jc w:val="center"/>
              <w:rPr>
                <w:bCs/>
              </w:rPr>
            </w:pPr>
            <w:r w:rsidRPr="00E95F5F">
              <w:rPr>
                <w:bCs/>
              </w:rPr>
              <w:t>liver</w:t>
            </w:r>
          </w:p>
        </w:tc>
        <w:tc>
          <w:tcPr>
            <w:tcW w:w="1140" w:type="dxa"/>
            <w:tcBorders>
              <w:top w:val="single" w:sz="4" w:space="0" w:color="auto"/>
            </w:tcBorders>
          </w:tcPr>
          <w:p w14:paraId="215B8918" w14:textId="77777777" w:rsidR="00A6047D" w:rsidRPr="00E95F5F" w:rsidRDefault="00A6047D" w:rsidP="008B0E49">
            <w:pPr>
              <w:jc w:val="center"/>
              <w:rPr>
                <w:bCs/>
              </w:rPr>
            </w:pPr>
            <w:r w:rsidRPr="00E95F5F">
              <w:rPr>
                <w:bCs/>
              </w:rPr>
              <w:t>Mesenteric Lymph Nodes</w:t>
            </w:r>
          </w:p>
        </w:tc>
        <w:tc>
          <w:tcPr>
            <w:tcW w:w="982" w:type="dxa"/>
            <w:tcBorders>
              <w:top w:val="single" w:sz="4" w:space="0" w:color="auto"/>
            </w:tcBorders>
          </w:tcPr>
          <w:p w14:paraId="4FA729C5" w14:textId="77777777" w:rsidR="00A6047D" w:rsidRPr="00E95F5F" w:rsidRDefault="00A6047D" w:rsidP="008B0E49">
            <w:pPr>
              <w:jc w:val="center"/>
              <w:rPr>
                <w:bCs/>
              </w:rPr>
            </w:pPr>
            <w:r w:rsidRPr="00E95F5F">
              <w:rPr>
                <w:bCs/>
              </w:rPr>
              <w:t>Spleen</w:t>
            </w:r>
          </w:p>
        </w:tc>
        <w:tc>
          <w:tcPr>
            <w:tcW w:w="871" w:type="dxa"/>
            <w:tcBorders>
              <w:top w:val="single" w:sz="4" w:space="0" w:color="auto"/>
            </w:tcBorders>
          </w:tcPr>
          <w:p w14:paraId="5AFA526A" w14:textId="77777777" w:rsidR="00A6047D" w:rsidRPr="00E95F5F" w:rsidRDefault="00A6047D" w:rsidP="008B0E49">
            <w:pPr>
              <w:jc w:val="center"/>
              <w:rPr>
                <w:bCs/>
              </w:rPr>
            </w:pPr>
            <w:r w:rsidRPr="00E95F5F">
              <w:rPr>
                <w:bCs/>
              </w:rPr>
              <w:t>liver</w:t>
            </w:r>
          </w:p>
        </w:tc>
      </w:tr>
      <w:tr w:rsidR="00A6047D" w:rsidRPr="00D7576A" w14:paraId="4E422890" w14:textId="77777777" w:rsidTr="00E95F5F">
        <w:trPr>
          <w:trHeight w:val="454"/>
          <w:jc w:val="center"/>
        </w:trPr>
        <w:tc>
          <w:tcPr>
            <w:tcW w:w="2447" w:type="dxa"/>
            <w:gridSpan w:val="2"/>
          </w:tcPr>
          <w:p w14:paraId="27DC6416" w14:textId="77777777" w:rsidR="00A6047D" w:rsidRPr="00E95F5F" w:rsidRDefault="00A6047D" w:rsidP="008B0E49">
            <w:pPr>
              <w:jc w:val="center"/>
              <w:rPr>
                <w:bCs/>
              </w:rPr>
            </w:pPr>
            <w:r w:rsidRPr="00E95F5F">
              <w:rPr>
                <w:rFonts w:hint="eastAsia"/>
                <w:bCs/>
              </w:rPr>
              <w:t>Sample Detection Form</w:t>
            </w:r>
          </w:p>
        </w:tc>
        <w:tc>
          <w:tcPr>
            <w:tcW w:w="1305" w:type="dxa"/>
          </w:tcPr>
          <w:p w14:paraId="4CF8678C" w14:textId="77777777" w:rsidR="00A6047D" w:rsidRPr="00E95F5F" w:rsidRDefault="00A6047D" w:rsidP="008B0E49">
            <w:pPr>
              <w:jc w:val="center"/>
              <w:rPr>
                <w:bCs/>
              </w:rPr>
            </w:pPr>
            <w:r w:rsidRPr="00E95F5F">
              <w:rPr>
                <w:bCs/>
              </w:rPr>
              <w:t>Tissue Fluid</w:t>
            </w:r>
          </w:p>
        </w:tc>
        <w:tc>
          <w:tcPr>
            <w:tcW w:w="982" w:type="dxa"/>
          </w:tcPr>
          <w:p w14:paraId="70A9519B" w14:textId="77777777" w:rsidR="00A6047D" w:rsidRPr="00E95F5F" w:rsidRDefault="00A6047D" w:rsidP="008B0E49">
            <w:pPr>
              <w:jc w:val="center"/>
              <w:rPr>
                <w:bCs/>
              </w:rPr>
            </w:pPr>
            <w:r w:rsidRPr="00E95F5F">
              <w:rPr>
                <w:bCs/>
              </w:rPr>
              <w:t>Tissue Fluid</w:t>
            </w:r>
          </w:p>
        </w:tc>
        <w:tc>
          <w:tcPr>
            <w:tcW w:w="819" w:type="dxa"/>
          </w:tcPr>
          <w:p w14:paraId="2AAC88CB" w14:textId="77777777" w:rsidR="00A6047D" w:rsidRPr="00E95F5F" w:rsidRDefault="00A6047D" w:rsidP="008B0E49">
            <w:pPr>
              <w:jc w:val="center"/>
              <w:rPr>
                <w:bCs/>
              </w:rPr>
            </w:pPr>
            <w:r w:rsidRPr="00E95F5F">
              <w:rPr>
                <w:bCs/>
              </w:rPr>
              <w:t>Tissue Fluid</w:t>
            </w:r>
          </w:p>
        </w:tc>
        <w:tc>
          <w:tcPr>
            <w:tcW w:w="1140" w:type="dxa"/>
          </w:tcPr>
          <w:p w14:paraId="3808935C" w14:textId="77777777" w:rsidR="00A6047D" w:rsidRPr="00E95F5F" w:rsidRDefault="00A6047D" w:rsidP="008B0E49">
            <w:pPr>
              <w:jc w:val="center"/>
              <w:rPr>
                <w:bCs/>
              </w:rPr>
            </w:pPr>
            <w:r w:rsidRPr="00E95F5F">
              <w:rPr>
                <w:bCs/>
              </w:rPr>
              <w:t>Tissue Fluid</w:t>
            </w:r>
          </w:p>
        </w:tc>
        <w:tc>
          <w:tcPr>
            <w:tcW w:w="982" w:type="dxa"/>
          </w:tcPr>
          <w:p w14:paraId="3C0A126E" w14:textId="77777777" w:rsidR="00A6047D" w:rsidRPr="00E95F5F" w:rsidRDefault="00A6047D" w:rsidP="008B0E49">
            <w:pPr>
              <w:jc w:val="center"/>
              <w:rPr>
                <w:bCs/>
              </w:rPr>
            </w:pPr>
            <w:r w:rsidRPr="00E95F5F">
              <w:rPr>
                <w:bCs/>
              </w:rPr>
              <w:t>Tissue Fluid</w:t>
            </w:r>
          </w:p>
        </w:tc>
        <w:tc>
          <w:tcPr>
            <w:tcW w:w="871" w:type="dxa"/>
          </w:tcPr>
          <w:p w14:paraId="6971CFEA" w14:textId="77777777" w:rsidR="00A6047D" w:rsidRPr="00E95F5F" w:rsidRDefault="00A6047D" w:rsidP="008B0E49">
            <w:pPr>
              <w:jc w:val="center"/>
              <w:rPr>
                <w:bCs/>
              </w:rPr>
            </w:pPr>
            <w:r w:rsidRPr="00E95F5F">
              <w:rPr>
                <w:bCs/>
              </w:rPr>
              <w:t>Tissue Fluid</w:t>
            </w:r>
          </w:p>
        </w:tc>
      </w:tr>
      <w:tr w:rsidR="00A6047D" w:rsidRPr="00D7576A" w14:paraId="29F9F79E" w14:textId="77777777" w:rsidTr="00D973AE">
        <w:trPr>
          <w:trHeight w:val="227"/>
          <w:jc w:val="center"/>
        </w:trPr>
        <w:tc>
          <w:tcPr>
            <w:tcW w:w="1309" w:type="dxa"/>
            <w:vMerge w:val="restart"/>
          </w:tcPr>
          <w:p w14:paraId="5B1AED02" w14:textId="77777777" w:rsidR="00A6047D" w:rsidRPr="00E95F5F" w:rsidRDefault="00A6047D" w:rsidP="008B0E49">
            <w:pPr>
              <w:jc w:val="center"/>
              <w:rPr>
                <w:bCs/>
              </w:rPr>
            </w:pPr>
            <w:r w:rsidRPr="00E95F5F">
              <w:rPr>
                <w:rFonts w:hint="eastAsia"/>
                <w:bCs/>
              </w:rPr>
              <w:t>Sampling Weight</w:t>
            </w:r>
          </w:p>
        </w:tc>
        <w:tc>
          <w:tcPr>
            <w:tcW w:w="1138" w:type="dxa"/>
          </w:tcPr>
          <w:p w14:paraId="3303579E" w14:textId="77777777" w:rsidR="00A6047D" w:rsidRPr="00E95F5F" w:rsidRDefault="00A6047D" w:rsidP="008B0E49">
            <w:pPr>
              <w:jc w:val="center"/>
              <w:rPr>
                <w:bCs/>
              </w:rPr>
            </w:pPr>
            <w:r w:rsidRPr="00E95F5F">
              <w:rPr>
                <w:bCs/>
              </w:rPr>
              <w:t>Blank Group</w:t>
            </w:r>
          </w:p>
        </w:tc>
        <w:tc>
          <w:tcPr>
            <w:tcW w:w="1305" w:type="dxa"/>
            <w:vAlign w:val="center"/>
          </w:tcPr>
          <w:p w14:paraId="224525D6" w14:textId="77777777" w:rsidR="00A6047D" w:rsidRPr="00E95F5F" w:rsidRDefault="00A6047D" w:rsidP="00D973AE">
            <w:pPr>
              <w:jc w:val="center"/>
              <w:rPr>
                <w:bCs/>
              </w:rPr>
            </w:pPr>
            <w:r w:rsidRPr="00E95F5F">
              <w:rPr>
                <w:rFonts w:hint="eastAsia"/>
                <w:bCs/>
              </w:rPr>
              <w:t>0.2</w:t>
            </w:r>
          </w:p>
        </w:tc>
        <w:tc>
          <w:tcPr>
            <w:tcW w:w="982" w:type="dxa"/>
            <w:vAlign w:val="center"/>
          </w:tcPr>
          <w:p w14:paraId="51C949A0" w14:textId="77777777" w:rsidR="00A6047D" w:rsidRPr="00E95F5F" w:rsidRDefault="00A6047D" w:rsidP="00D973AE">
            <w:pPr>
              <w:jc w:val="center"/>
              <w:rPr>
                <w:bCs/>
              </w:rPr>
            </w:pPr>
            <w:r w:rsidRPr="00E95F5F">
              <w:rPr>
                <w:rFonts w:hint="eastAsia"/>
                <w:bCs/>
              </w:rPr>
              <w:t>0.8</w:t>
            </w:r>
          </w:p>
        </w:tc>
        <w:tc>
          <w:tcPr>
            <w:tcW w:w="819" w:type="dxa"/>
            <w:vAlign w:val="center"/>
          </w:tcPr>
          <w:p w14:paraId="321A5285" w14:textId="77777777" w:rsidR="00A6047D" w:rsidRPr="00E95F5F" w:rsidRDefault="00A6047D" w:rsidP="00D973AE">
            <w:pPr>
              <w:jc w:val="center"/>
              <w:rPr>
                <w:bCs/>
              </w:rPr>
            </w:pPr>
            <w:r w:rsidRPr="00E95F5F">
              <w:rPr>
                <w:rFonts w:hint="eastAsia"/>
                <w:bCs/>
              </w:rPr>
              <w:t>1.0</w:t>
            </w:r>
          </w:p>
        </w:tc>
        <w:tc>
          <w:tcPr>
            <w:tcW w:w="1140" w:type="dxa"/>
            <w:vAlign w:val="center"/>
          </w:tcPr>
          <w:p w14:paraId="36DC9886" w14:textId="77777777" w:rsidR="00A6047D" w:rsidRPr="00E95F5F" w:rsidRDefault="00A6047D" w:rsidP="00D973AE">
            <w:pPr>
              <w:jc w:val="center"/>
              <w:rPr>
                <w:bCs/>
              </w:rPr>
            </w:pPr>
            <w:r w:rsidRPr="00E95F5F">
              <w:rPr>
                <w:rFonts w:hint="eastAsia"/>
                <w:bCs/>
              </w:rPr>
              <w:t>0.1</w:t>
            </w:r>
          </w:p>
        </w:tc>
        <w:tc>
          <w:tcPr>
            <w:tcW w:w="982" w:type="dxa"/>
            <w:vAlign w:val="center"/>
          </w:tcPr>
          <w:p w14:paraId="47D42F36" w14:textId="77777777" w:rsidR="00A6047D" w:rsidRPr="00E95F5F" w:rsidRDefault="00A6047D" w:rsidP="00D973AE">
            <w:pPr>
              <w:jc w:val="center"/>
              <w:rPr>
                <w:bCs/>
              </w:rPr>
            </w:pPr>
            <w:r w:rsidRPr="00E95F5F">
              <w:rPr>
                <w:rFonts w:hint="eastAsia"/>
                <w:bCs/>
              </w:rPr>
              <w:t>0.9</w:t>
            </w:r>
          </w:p>
        </w:tc>
        <w:tc>
          <w:tcPr>
            <w:tcW w:w="871" w:type="dxa"/>
            <w:vAlign w:val="center"/>
          </w:tcPr>
          <w:p w14:paraId="3223FEFD" w14:textId="77777777" w:rsidR="00A6047D" w:rsidRPr="00E95F5F" w:rsidRDefault="00A6047D" w:rsidP="00D973AE">
            <w:pPr>
              <w:jc w:val="center"/>
              <w:rPr>
                <w:bCs/>
              </w:rPr>
            </w:pPr>
            <w:r w:rsidRPr="00E95F5F">
              <w:rPr>
                <w:rFonts w:hint="eastAsia"/>
                <w:bCs/>
              </w:rPr>
              <w:t>1.0</w:t>
            </w:r>
          </w:p>
        </w:tc>
      </w:tr>
      <w:tr w:rsidR="00A6047D" w:rsidRPr="00D7576A" w14:paraId="40CE3B46" w14:textId="77777777" w:rsidTr="00D973AE">
        <w:trPr>
          <w:trHeight w:val="104"/>
          <w:jc w:val="center"/>
        </w:trPr>
        <w:tc>
          <w:tcPr>
            <w:tcW w:w="1309" w:type="dxa"/>
            <w:vMerge/>
          </w:tcPr>
          <w:p w14:paraId="759D3BB7" w14:textId="77777777" w:rsidR="00A6047D" w:rsidRPr="00E95F5F" w:rsidRDefault="00A6047D" w:rsidP="008B0E49">
            <w:pPr>
              <w:jc w:val="center"/>
              <w:rPr>
                <w:bCs/>
              </w:rPr>
            </w:pPr>
          </w:p>
        </w:tc>
        <w:tc>
          <w:tcPr>
            <w:tcW w:w="1138" w:type="dxa"/>
          </w:tcPr>
          <w:p w14:paraId="2C08DB16" w14:textId="77777777" w:rsidR="00A6047D" w:rsidRPr="00E95F5F" w:rsidRDefault="00A6047D" w:rsidP="008B0E49">
            <w:pPr>
              <w:jc w:val="center"/>
              <w:rPr>
                <w:bCs/>
              </w:rPr>
            </w:pPr>
            <w:r w:rsidRPr="00E95F5F">
              <w:rPr>
                <w:rFonts w:hint="eastAsia"/>
                <w:bCs/>
              </w:rPr>
              <w:t>30min</w:t>
            </w:r>
          </w:p>
        </w:tc>
        <w:tc>
          <w:tcPr>
            <w:tcW w:w="1305" w:type="dxa"/>
            <w:vAlign w:val="center"/>
          </w:tcPr>
          <w:p w14:paraId="6AC99B5A" w14:textId="77777777" w:rsidR="00A6047D" w:rsidRPr="00E95F5F" w:rsidRDefault="00A6047D" w:rsidP="00D973AE">
            <w:pPr>
              <w:jc w:val="center"/>
              <w:rPr>
                <w:bCs/>
              </w:rPr>
            </w:pPr>
            <w:r w:rsidRPr="00E95F5F">
              <w:rPr>
                <w:rFonts w:hint="eastAsia"/>
                <w:bCs/>
              </w:rPr>
              <w:t>0.2</w:t>
            </w:r>
          </w:p>
        </w:tc>
        <w:tc>
          <w:tcPr>
            <w:tcW w:w="982" w:type="dxa"/>
            <w:vAlign w:val="center"/>
          </w:tcPr>
          <w:p w14:paraId="5359CD05" w14:textId="77777777" w:rsidR="00A6047D" w:rsidRPr="00E95F5F" w:rsidRDefault="00A6047D" w:rsidP="00D973AE">
            <w:pPr>
              <w:jc w:val="center"/>
              <w:rPr>
                <w:bCs/>
              </w:rPr>
            </w:pPr>
            <w:r w:rsidRPr="00E95F5F">
              <w:rPr>
                <w:rFonts w:hint="eastAsia"/>
                <w:bCs/>
              </w:rPr>
              <w:t>0.8</w:t>
            </w:r>
          </w:p>
        </w:tc>
        <w:tc>
          <w:tcPr>
            <w:tcW w:w="819" w:type="dxa"/>
            <w:vAlign w:val="center"/>
          </w:tcPr>
          <w:p w14:paraId="371B2670" w14:textId="77777777" w:rsidR="00A6047D" w:rsidRPr="00E95F5F" w:rsidRDefault="00A6047D" w:rsidP="00D973AE">
            <w:pPr>
              <w:jc w:val="center"/>
              <w:rPr>
                <w:bCs/>
              </w:rPr>
            </w:pPr>
            <w:r w:rsidRPr="00E95F5F">
              <w:rPr>
                <w:rFonts w:hint="eastAsia"/>
                <w:bCs/>
              </w:rPr>
              <w:t>1.0</w:t>
            </w:r>
          </w:p>
        </w:tc>
        <w:tc>
          <w:tcPr>
            <w:tcW w:w="1140" w:type="dxa"/>
            <w:vAlign w:val="center"/>
          </w:tcPr>
          <w:p w14:paraId="279E6690" w14:textId="77777777" w:rsidR="00A6047D" w:rsidRPr="00E95F5F" w:rsidRDefault="00A6047D" w:rsidP="00D973AE">
            <w:pPr>
              <w:jc w:val="center"/>
              <w:rPr>
                <w:bCs/>
              </w:rPr>
            </w:pPr>
            <w:r w:rsidRPr="00E95F5F">
              <w:rPr>
                <w:rFonts w:hint="eastAsia"/>
                <w:bCs/>
              </w:rPr>
              <w:t>0.1</w:t>
            </w:r>
          </w:p>
        </w:tc>
        <w:tc>
          <w:tcPr>
            <w:tcW w:w="982" w:type="dxa"/>
            <w:vAlign w:val="center"/>
          </w:tcPr>
          <w:p w14:paraId="02D16DEB" w14:textId="77777777" w:rsidR="00A6047D" w:rsidRPr="00E95F5F" w:rsidRDefault="00A6047D" w:rsidP="00D973AE">
            <w:pPr>
              <w:jc w:val="center"/>
              <w:rPr>
                <w:bCs/>
              </w:rPr>
            </w:pPr>
            <w:r w:rsidRPr="00E95F5F">
              <w:rPr>
                <w:rFonts w:hint="eastAsia"/>
                <w:bCs/>
              </w:rPr>
              <w:t>0.9</w:t>
            </w:r>
          </w:p>
        </w:tc>
        <w:tc>
          <w:tcPr>
            <w:tcW w:w="871" w:type="dxa"/>
            <w:vAlign w:val="center"/>
          </w:tcPr>
          <w:p w14:paraId="37728E6A" w14:textId="77777777" w:rsidR="00A6047D" w:rsidRPr="00E95F5F" w:rsidRDefault="00A6047D" w:rsidP="00D973AE">
            <w:pPr>
              <w:jc w:val="center"/>
              <w:rPr>
                <w:bCs/>
              </w:rPr>
            </w:pPr>
            <w:r w:rsidRPr="00E95F5F">
              <w:rPr>
                <w:rFonts w:hint="eastAsia"/>
                <w:bCs/>
              </w:rPr>
              <w:t>1.0</w:t>
            </w:r>
          </w:p>
        </w:tc>
      </w:tr>
      <w:tr w:rsidR="00A6047D" w:rsidRPr="00D7576A" w14:paraId="0449F3A5" w14:textId="77777777" w:rsidTr="00D973AE">
        <w:trPr>
          <w:trHeight w:val="104"/>
          <w:jc w:val="center"/>
        </w:trPr>
        <w:tc>
          <w:tcPr>
            <w:tcW w:w="1309" w:type="dxa"/>
            <w:vMerge/>
          </w:tcPr>
          <w:p w14:paraId="42C4B0D7" w14:textId="77777777" w:rsidR="00A6047D" w:rsidRPr="00E95F5F" w:rsidRDefault="00A6047D" w:rsidP="008B0E49">
            <w:pPr>
              <w:jc w:val="center"/>
              <w:rPr>
                <w:bCs/>
              </w:rPr>
            </w:pPr>
          </w:p>
        </w:tc>
        <w:tc>
          <w:tcPr>
            <w:tcW w:w="1138" w:type="dxa"/>
          </w:tcPr>
          <w:p w14:paraId="0EC0FBBB" w14:textId="77777777" w:rsidR="00A6047D" w:rsidRPr="00E95F5F" w:rsidRDefault="00A6047D" w:rsidP="008B0E49">
            <w:pPr>
              <w:jc w:val="center"/>
              <w:rPr>
                <w:bCs/>
              </w:rPr>
            </w:pPr>
            <w:r w:rsidRPr="00E95F5F">
              <w:rPr>
                <w:rFonts w:hint="eastAsia"/>
                <w:bCs/>
              </w:rPr>
              <w:t>1h</w:t>
            </w:r>
          </w:p>
        </w:tc>
        <w:tc>
          <w:tcPr>
            <w:tcW w:w="1305" w:type="dxa"/>
            <w:vAlign w:val="center"/>
          </w:tcPr>
          <w:p w14:paraId="1C85DD53" w14:textId="77777777" w:rsidR="00A6047D" w:rsidRPr="00E95F5F" w:rsidRDefault="00A6047D" w:rsidP="00D973AE">
            <w:pPr>
              <w:jc w:val="center"/>
              <w:rPr>
                <w:bCs/>
              </w:rPr>
            </w:pPr>
            <w:r w:rsidRPr="00E95F5F">
              <w:rPr>
                <w:rFonts w:hint="eastAsia"/>
                <w:bCs/>
              </w:rPr>
              <w:t>0.2</w:t>
            </w:r>
          </w:p>
        </w:tc>
        <w:tc>
          <w:tcPr>
            <w:tcW w:w="982" w:type="dxa"/>
            <w:vAlign w:val="center"/>
          </w:tcPr>
          <w:p w14:paraId="568868F5" w14:textId="77777777" w:rsidR="00A6047D" w:rsidRPr="00E95F5F" w:rsidRDefault="00A6047D" w:rsidP="00D973AE">
            <w:pPr>
              <w:jc w:val="center"/>
              <w:rPr>
                <w:bCs/>
              </w:rPr>
            </w:pPr>
            <w:r w:rsidRPr="00E95F5F">
              <w:rPr>
                <w:rFonts w:hint="eastAsia"/>
                <w:bCs/>
              </w:rPr>
              <w:t>0.8</w:t>
            </w:r>
          </w:p>
        </w:tc>
        <w:tc>
          <w:tcPr>
            <w:tcW w:w="819" w:type="dxa"/>
            <w:vAlign w:val="center"/>
          </w:tcPr>
          <w:p w14:paraId="4A2F547F" w14:textId="77777777" w:rsidR="00A6047D" w:rsidRPr="00E95F5F" w:rsidRDefault="00A6047D" w:rsidP="00D973AE">
            <w:pPr>
              <w:jc w:val="center"/>
              <w:rPr>
                <w:bCs/>
              </w:rPr>
            </w:pPr>
            <w:r w:rsidRPr="00E95F5F">
              <w:rPr>
                <w:rFonts w:hint="eastAsia"/>
                <w:bCs/>
              </w:rPr>
              <w:t>1.0</w:t>
            </w:r>
          </w:p>
        </w:tc>
        <w:tc>
          <w:tcPr>
            <w:tcW w:w="1140" w:type="dxa"/>
            <w:vAlign w:val="center"/>
          </w:tcPr>
          <w:p w14:paraId="14C96FA5" w14:textId="77777777" w:rsidR="00A6047D" w:rsidRPr="00E95F5F" w:rsidRDefault="00A6047D" w:rsidP="00D973AE">
            <w:pPr>
              <w:jc w:val="center"/>
              <w:rPr>
                <w:bCs/>
              </w:rPr>
            </w:pPr>
            <w:r w:rsidRPr="00E95F5F">
              <w:rPr>
                <w:rFonts w:hint="eastAsia"/>
                <w:bCs/>
              </w:rPr>
              <w:t>0.1</w:t>
            </w:r>
          </w:p>
        </w:tc>
        <w:tc>
          <w:tcPr>
            <w:tcW w:w="982" w:type="dxa"/>
            <w:vAlign w:val="center"/>
          </w:tcPr>
          <w:p w14:paraId="0ECCC8D0" w14:textId="77777777" w:rsidR="00A6047D" w:rsidRPr="00E95F5F" w:rsidRDefault="00A6047D" w:rsidP="00D973AE">
            <w:pPr>
              <w:jc w:val="center"/>
              <w:rPr>
                <w:bCs/>
              </w:rPr>
            </w:pPr>
            <w:r w:rsidRPr="00E95F5F">
              <w:rPr>
                <w:rFonts w:hint="eastAsia"/>
                <w:bCs/>
              </w:rPr>
              <w:t>0.9</w:t>
            </w:r>
          </w:p>
        </w:tc>
        <w:tc>
          <w:tcPr>
            <w:tcW w:w="871" w:type="dxa"/>
            <w:vAlign w:val="center"/>
          </w:tcPr>
          <w:p w14:paraId="61408C0F" w14:textId="77777777" w:rsidR="00A6047D" w:rsidRPr="00E95F5F" w:rsidRDefault="00A6047D" w:rsidP="00D973AE">
            <w:pPr>
              <w:jc w:val="center"/>
              <w:rPr>
                <w:bCs/>
              </w:rPr>
            </w:pPr>
            <w:r w:rsidRPr="00E95F5F">
              <w:rPr>
                <w:rFonts w:hint="eastAsia"/>
                <w:bCs/>
              </w:rPr>
              <w:t>1.0</w:t>
            </w:r>
          </w:p>
        </w:tc>
      </w:tr>
      <w:tr w:rsidR="00A6047D" w:rsidRPr="00D7576A" w14:paraId="04EFF83F" w14:textId="77777777" w:rsidTr="00D973AE">
        <w:trPr>
          <w:trHeight w:val="104"/>
          <w:jc w:val="center"/>
        </w:trPr>
        <w:tc>
          <w:tcPr>
            <w:tcW w:w="1309" w:type="dxa"/>
            <w:vMerge/>
          </w:tcPr>
          <w:p w14:paraId="2414AC67" w14:textId="77777777" w:rsidR="00A6047D" w:rsidRPr="00E95F5F" w:rsidRDefault="00A6047D" w:rsidP="008B0E49">
            <w:pPr>
              <w:jc w:val="center"/>
              <w:rPr>
                <w:bCs/>
              </w:rPr>
            </w:pPr>
          </w:p>
        </w:tc>
        <w:tc>
          <w:tcPr>
            <w:tcW w:w="1138" w:type="dxa"/>
          </w:tcPr>
          <w:p w14:paraId="4826AC61" w14:textId="77777777" w:rsidR="00A6047D" w:rsidRPr="00E95F5F" w:rsidRDefault="00A6047D" w:rsidP="008B0E49">
            <w:pPr>
              <w:jc w:val="center"/>
              <w:rPr>
                <w:bCs/>
              </w:rPr>
            </w:pPr>
            <w:r w:rsidRPr="00E95F5F">
              <w:rPr>
                <w:rFonts w:hint="eastAsia"/>
                <w:bCs/>
              </w:rPr>
              <w:t>2h</w:t>
            </w:r>
          </w:p>
        </w:tc>
        <w:tc>
          <w:tcPr>
            <w:tcW w:w="1305" w:type="dxa"/>
            <w:vAlign w:val="center"/>
          </w:tcPr>
          <w:p w14:paraId="0EAFF197" w14:textId="77777777" w:rsidR="00A6047D" w:rsidRPr="00E95F5F" w:rsidRDefault="00A6047D" w:rsidP="00D973AE">
            <w:pPr>
              <w:jc w:val="center"/>
              <w:rPr>
                <w:bCs/>
              </w:rPr>
            </w:pPr>
            <w:r w:rsidRPr="00E95F5F">
              <w:rPr>
                <w:rFonts w:hint="eastAsia"/>
                <w:bCs/>
              </w:rPr>
              <w:t>0.2</w:t>
            </w:r>
          </w:p>
        </w:tc>
        <w:tc>
          <w:tcPr>
            <w:tcW w:w="982" w:type="dxa"/>
            <w:vAlign w:val="center"/>
          </w:tcPr>
          <w:p w14:paraId="0ED3D3FF" w14:textId="77777777" w:rsidR="00A6047D" w:rsidRPr="00E95F5F" w:rsidRDefault="00A6047D" w:rsidP="00D973AE">
            <w:pPr>
              <w:jc w:val="center"/>
              <w:rPr>
                <w:bCs/>
              </w:rPr>
            </w:pPr>
            <w:r w:rsidRPr="00E95F5F">
              <w:rPr>
                <w:rFonts w:hint="eastAsia"/>
                <w:bCs/>
              </w:rPr>
              <w:t>0.8</w:t>
            </w:r>
          </w:p>
        </w:tc>
        <w:tc>
          <w:tcPr>
            <w:tcW w:w="819" w:type="dxa"/>
            <w:vAlign w:val="center"/>
          </w:tcPr>
          <w:p w14:paraId="6F78A291" w14:textId="77777777" w:rsidR="00A6047D" w:rsidRPr="00E95F5F" w:rsidRDefault="00A6047D" w:rsidP="00D973AE">
            <w:pPr>
              <w:jc w:val="center"/>
              <w:rPr>
                <w:bCs/>
              </w:rPr>
            </w:pPr>
            <w:r w:rsidRPr="00E95F5F">
              <w:rPr>
                <w:rFonts w:hint="eastAsia"/>
                <w:bCs/>
              </w:rPr>
              <w:t>1.0</w:t>
            </w:r>
          </w:p>
        </w:tc>
        <w:tc>
          <w:tcPr>
            <w:tcW w:w="1140" w:type="dxa"/>
            <w:vAlign w:val="center"/>
          </w:tcPr>
          <w:p w14:paraId="02019914" w14:textId="77777777" w:rsidR="00A6047D" w:rsidRPr="00E95F5F" w:rsidRDefault="00A6047D" w:rsidP="00D973AE">
            <w:pPr>
              <w:jc w:val="center"/>
              <w:rPr>
                <w:bCs/>
              </w:rPr>
            </w:pPr>
            <w:r w:rsidRPr="00E95F5F">
              <w:rPr>
                <w:rFonts w:hint="eastAsia"/>
                <w:bCs/>
              </w:rPr>
              <w:t>0.1</w:t>
            </w:r>
          </w:p>
        </w:tc>
        <w:tc>
          <w:tcPr>
            <w:tcW w:w="982" w:type="dxa"/>
            <w:vAlign w:val="center"/>
          </w:tcPr>
          <w:p w14:paraId="125A463F" w14:textId="77777777" w:rsidR="00A6047D" w:rsidRPr="00E95F5F" w:rsidRDefault="00A6047D" w:rsidP="00D973AE">
            <w:pPr>
              <w:jc w:val="center"/>
              <w:rPr>
                <w:bCs/>
              </w:rPr>
            </w:pPr>
            <w:r w:rsidRPr="00E95F5F">
              <w:rPr>
                <w:rFonts w:hint="eastAsia"/>
                <w:bCs/>
              </w:rPr>
              <w:t>0.9</w:t>
            </w:r>
          </w:p>
        </w:tc>
        <w:tc>
          <w:tcPr>
            <w:tcW w:w="871" w:type="dxa"/>
            <w:vAlign w:val="center"/>
          </w:tcPr>
          <w:p w14:paraId="2C459849" w14:textId="77777777" w:rsidR="00A6047D" w:rsidRPr="00E95F5F" w:rsidRDefault="00A6047D" w:rsidP="00D973AE">
            <w:pPr>
              <w:jc w:val="center"/>
              <w:rPr>
                <w:bCs/>
              </w:rPr>
            </w:pPr>
            <w:r w:rsidRPr="00E95F5F">
              <w:rPr>
                <w:rFonts w:hint="eastAsia"/>
                <w:bCs/>
              </w:rPr>
              <w:t>1.0</w:t>
            </w:r>
          </w:p>
        </w:tc>
      </w:tr>
      <w:tr w:rsidR="00A6047D" w:rsidRPr="00D7576A" w14:paraId="674E1B32" w14:textId="77777777" w:rsidTr="00D973AE">
        <w:trPr>
          <w:trHeight w:val="227"/>
          <w:jc w:val="center"/>
        </w:trPr>
        <w:tc>
          <w:tcPr>
            <w:tcW w:w="1309" w:type="dxa"/>
            <w:vMerge w:val="restart"/>
          </w:tcPr>
          <w:p w14:paraId="0513468E" w14:textId="77777777" w:rsidR="00A6047D" w:rsidRPr="00E95F5F" w:rsidRDefault="00A6047D" w:rsidP="008B0E49">
            <w:pPr>
              <w:jc w:val="center"/>
              <w:rPr>
                <w:bCs/>
              </w:rPr>
            </w:pPr>
            <w:r w:rsidRPr="00E95F5F">
              <w:rPr>
                <w:bCs/>
              </w:rPr>
              <w:t>Tissue Volume for Dissolution and Extraction</w:t>
            </w:r>
          </w:p>
        </w:tc>
        <w:tc>
          <w:tcPr>
            <w:tcW w:w="1138" w:type="dxa"/>
          </w:tcPr>
          <w:p w14:paraId="4F867BDE" w14:textId="77777777" w:rsidR="00A6047D" w:rsidRPr="00E95F5F" w:rsidRDefault="00A6047D" w:rsidP="008B0E49">
            <w:pPr>
              <w:jc w:val="center"/>
              <w:rPr>
                <w:bCs/>
              </w:rPr>
            </w:pPr>
            <w:r w:rsidRPr="00E95F5F">
              <w:rPr>
                <w:bCs/>
              </w:rPr>
              <w:t>Blank Group</w:t>
            </w:r>
          </w:p>
        </w:tc>
        <w:tc>
          <w:tcPr>
            <w:tcW w:w="1305" w:type="dxa"/>
            <w:vAlign w:val="center"/>
          </w:tcPr>
          <w:p w14:paraId="754ADC05" w14:textId="77777777" w:rsidR="00A6047D" w:rsidRPr="00E95F5F" w:rsidRDefault="00A6047D" w:rsidP="00D973AE">
            <w:pPr>
              <w:jc w:val="center"/>
              <w:rPr>
                <w:bCs/>
              </w:rPr>
            </w:pPr>
            <w:r w:rsidRPr="00E95F5F">
              <w:rPr>
                <w:rFonts w:hint="eastAsia"/>
                <w:bCs/>
              </w:rPr>
              <w:t>3.2</w:t>
            </w:r>
          </w:p>
        </w:tc>
        <w:tc>
          <w:tcPr>
            <w:tcW w:w="982" w:type="dxa"/>
            <w:vAlign w:val="center"/>
          </w:tcPr>
          <w:p w14:paraId="53E7ACFE" w14:textId="77777777" w:rsidR="00A6047D" w:rsidRPr="00E95F5F" w:rsidRDefault="00A6047D" w:rsidP="00D973AE">
            <w:pPr>
              <w:jc w:val="center"/>
              <w:rPr>
                <w:bCs/>
              </w:rPr>
            </w:pPr>
            <w:r w:rsidRPr="00E95F5F">
              <w:rPr>
                <w:rFonts w:hint="eastAsia"/>
                <w:bCs/>
              </w:rPr>
              <w:t>12.8</w:t>
            </w:r>
          </w:p>
        </w:tc>
        <w:tc>
          <w:tcPr>
            <w:tcW w:w="819" w:type="dxa"/>
            <w:vAlign w:val="center"/>
          </w:tcPr>
          <w:p w14:paraId="79E46BCE" w14:textId="77777777" w:rsidR="00A6047D" w:rsidRPr="00E95F5F" w:rsidRDefault="00A6047D" w:rsidP="00D973AE">
            <w:pPr>
              <w:jc w:val="center"/>
              <w:rPr>
                <w:bCs/>
              </w:rPr>
            </w:pPr>
            <w:r w:rsidRPr="00E95F5F">
              <w:rPr>
                <w:rFonts w:hint="eastAsia"/>
                <w:bCs/>
              </w:rPr>
              <w:t>16</w:t>
            </w:r>
          </w:p>
        </w:tc>
        <w:tc>
          <w:tcPr>
            <w:tcW w:w="1140" w:type="dxa"/>
            <w:vAlign w:val="center"/>
          </w:tcPr>
          <w:p w14:paraId="4B08AE61" w14:textId="77777777" w:rsidR="00A6047D" w:rsidRPr="00E95F5F" w:rsidRDefault="00A6047D" w:rsidP="00D973AE">
            <w:pPr>
              <w:jc w:val="center"/>
              <w:rPr>
                <w:bCs/>
              </w:rPr>
            </w:pPr>
            <w:r w:rsidRPr="00E95F5F">
              <w:rPr>
                <w:rFonts w:hint="eastAsia"/>
                <w:bCs/>
              </w:rPr>
              <w:t>1.6</w:t>
            </w:r>
          </w:p>
        </w:tc>
        <w:tc>
          <w:tcPr>
            <w:tcW w:w="982" w:type="dxa"/>
            <w:vAlign w:val="center"/>
          </w:tcPr>
          <w:p w14:paraId="2716927C" w14:textId="77777777" w:rsidR="00A6047D" w:rsidRPr="00E95F5F" w:rsidRDefault="00A6047D" w:rsidP="00D973AE">
            <w:pPr>
              <w:jc w:val="center"/>
              <w:rPr>
                <w:bCs/>
              </w:rPr>
            </w:pPr>
            <w:r w:rsidRPr="00E95F5F">
              <w:rPr>
                <w:rFonts w:hint="eastAsia"/>
                <w:bCs/>
              </w:rPr>
              <w:t>14.4</w:t>
            </w:r>
          </w:p>
        </w:tc>
        <w:tc>
          <w:tcPr>
            <w:tcW w:w="871" w:type="dxa"/>
            <w:vAlign w:val="center"/>
          </w:tcPr>
          <w:p w14:paraId="27FE7152" w14:textId="77777777" w:rsidR="00A6047D" w:rsidRPr="00E95F5F" w:rsidRDefault="00A6047D" w:rsidP="00D973AE">
            <w:pPr>
              <w:jc w:val="center"/>
              <w:rPr>
                <w:bCs/>
              </w:rPr>
            </w:pPr>
            <w:r w:rsidRPr="00E95F5F">
              <w:rPr>
                <w:rFonts w:hint="eastAsia"/>
                <w:bCs/>
              </w:rPr>
              <w:t>16</w:t>
            </w:r>
          </w:p>
        </w:tc>
      </w:tr>
      <w:tr w:rsidR="00A6047D" w:rsidRPr="00D7576A" w14:paraId="29EA5860" w14:textId="77777777" w:rsidTr="00D973AE">
        <w:trPr>
          <w:trHeight w:val="104"/>
          <w:jc w:val="center"/>
        </w:trPr>
        <w:tc>
          <w:tcPr>
            <w:tcW w:w="1309" w:type="dxa"/>
            <w:vMerge/>
          </w:tcPr>
          <w:p w14:paraId="3A764726" w14:textId="77777777" w:rsidR="00A6047D" w:rsidRPr="00E95F5F" w:rsidRDefault="00A6047D" w:rsidP="008B0E49">
            <w:pPr>
              <w:jc w:val="center"/>
              <w:rPr>
                <w:bCs/>
              </w:rPr>
            </w:pPr>
          </w:p>
        </w:tc>
        <w:tc>
          <w:tcPr>
            <w:tcW w:w="1138" w:type="dxa"/>
          </w:tcPr>
          <w:p w14:paraId="66944B8D" w14:textId="77777777" w:rsidR="00A6047D" w:rsidRPr="00E95F5F" w:rsidRDefault="00A6047D" w:rsidP="008B0E49">
            <w:pPr>
              <w:jc w:val="center"/>
              <w:rPr>
                <w:bCs/>
              </w:rPr>
            </w:pPr>
            <w:r w:rsidRPr="00E95F5F">
              <w:rPr>
                <w:rFonts w:hint="eastAsia"/>
                <w:bCs/>
              </w:rPr>
              <w:t>30min</w:t>
            </w:r>
          </w:p>
        </w:tc>
        <w:tc>
          <w:tcPr>
            <w:tcW w:w="1305" w:type="dxa"/>
            <w:vAlign w:val="center"/>
          </w:tcPr>
          <w:p w14:paraId="62235CC0" w14:textId="77777777" w:rsidR="00A6047D" w:rsidRPr="00E95F5F" w:rsidRDefault="00A6047D" w:rsidP="00D973AE">
            <w:pPr>
              <w:jc w:val="center"/>
              <w:rPr>
                <w:bCs/>
              </w:rPr>
            </w:pPr>
            <w:r w:rsidRPr="00E95F5F">
              <w:rPr>
                <w:rFonts w:hint="eastAsia"/>
                <w:bCs/>
              </w:rPr>
              <w:t>3.2</w:t>
            </w:r>
          </w:p>
        </w:tc>
        <w:tc>
          <w:tcPr>
            <w:tcW w:w="982" w:type="dxa"/>
            <w:vAlign w:val="center"/>
          </w:tcPr>
          <w:p w14:paraId="01AA2D9C" w14:textId="77777777" w:rsidR="00A6047D" w:rsidRPr="00E95F5F" w:rsidRDefault="00A6047D" w:rsidP="00D973AE">
            <w:pPr>
              <w:jc w:val="center"/>
              <w:rPr>
                <w:bCs/>
              </w:rPr>
            </w:pPr>
            <w:r w:rsidRPr="00E95F5F">
              <w:rPr>
                <w:rFonts w:hint="eastAsia"/>
                <w:bCs/>
              </w:rPr>
              <w:t>12.8</w:t>
            </w:r>
          </w:p>
        </w:tc>
        <w:tc>
          <w:tcPr>
            <w:tcW w:w="819" w:type="dxa"/>
            <w:vAlign w:val="center"/>
          </w:tcPr>
          <w:p w14:paraId="78A476CF" w14:textId="77777777" w:rsidR="00A6047D" w:rsidRPr="00E95F5F" w:rsidRDefault="00A6047D" w:rsidP="00D973AE">
            <w:pPr>
              <w:jc w:val="center"/>
              <w:rPr>
                <w:bCs/>
              </w:rPr>
            </w:pPr>
            <w:r w:rsidRPr="00E95F5F">
              <w:rPr>
                <w:rFonts w:hint="eastAsia"/>
                <w:bCs/>
              </w:rPr>
              <w:t>16</w:t>
            </w:r>
          </w:p>
        </w:tc>
        <w:tc>
          <w:tcPr>
            <w:tcW w:w="1140" w:type="dxa"/>
            <w:vAlign w:val="center"/>
          </w:tcPr>
          <w:p w14:paraId="586EEBCB" w14:textId="77777777" w:rsidR="00A6047D" w:rsidRPr="00E95F5F" w:rsidRDefault="00A6047D" w:rsidP="00D973AE">
            <w:pPr>
              <w:jc w:val="center"/>
              <w:rPr>
                <w:bCs/>
              </w:rPr>
            </w:pPr>
            <w:r w:rsidRPr="00E95F5F">
              <w:rPr>
                <w:rFonts w:hint="eastAsia"/>
                <w:bCs/>
              </w:rPr>
              <w:t>1.6</w:t>
            </w:r>
          </w:p>
        </w:tc>
        <w:tc>
          <w:tcPr>
            <w:tcW w:w="982" w:type="dxa"/>
            <w:vAlign w:val="center"/>
          </w:tcPr>
          <w:p w14:paraId="3258B538" w14:textId="77777777" w:rsidR="00A6047D" w:rsidRPr="00E95F5F" w:rsidRDefault="00A6047D" w:rsidP="00D973AE">
            <w:pPr>
              <w:jc w:val="center"/>
              <w:rPr>
                <w:bCs/>
              </w:rPr>
            </w:pPr>
            <w:r w:rsidRPr="00E95F5F">
              <w:rPr>
                <w:rFonts w:hint="eastAsia"/>
                <w:bCs/>
              </w:rPr>
              <w:t>14.4</w:t>
            </w:r>
          </w:p>
        </w:tc>
        <w:tc>
          <w:tcPr>
            <w:tcW w:w="871" w:type="dxa"/>
            <w:vAlign w:val="center"/>
          </w:tcPr>
          <w:p w14:paraId="102D0375" w14:textId="77777777" w:rsidR="00A6047D" w:rsidRPr="00E95F5F" w:rsidRDefault="00A6047D" w:rsidP="00D973AE">
            <w:pPr>
              <w:jc w:val="center"/>
              <w:rPr>
                <w:bCs/>
              </w:rPr>
            </w:pPr>
            <w:r w:rsidRPr="00E95F5F">
              <w:rPr>
                <w:rFonts w:hint="eastAsia"/>
                <w:bCs/>
              </w:rPr>
              <w:t>16</w:t>
            </w:r>
          </w:p>
        </w:tc>
      </w:tr>
      <w:tr w:rsidR="00A6047D" w:rsidRPr="00D7576A" w14:paraId="0CA86378" w14:textId="77777777" w:rsidTr="00D973AE">
        <w:trPr>
          <w:trHeight w:val="104"/>
          <w:jc w:val="center"/>
        </w:trPr>
        <w:tc>
          <w:tcPr>
            <w:tcW w:w="1309" w:type="dxa"/>
            <w:vMerge/>
          </w:tcPr>
          <w:p w14:paraId="1E4D2F8C" w14:textId="77777777" w:rsidR="00A6047D" w:rsidRPr="00E95F5F" w:rsidRDefault="00A6047D" w:rsidP="008B0E49">
            <w:pPr>
              <w:jc w:val="center"/>
              <w:rPr>
                <w:bCs/>
              </w:rPr>
            </w:pPr>
          </w:p>
        </w:tc>
        <w:tc>
          <w:tcPr>
            <w:tcW w:w="1138" w:type="dxa"/>
          </w:tcPr>
          <w:p w14:paraId="1225CB14" w14:textId="77777777" w:rsidR="00A6047D" w:rsidRPr="00E95F5F" w:rsidRDefault="00A6047D" w:rsidP="008B0E49">
            <w:pPr>
              <w:jc w:val="center"/>
              <w:rPr>
                <w:bCs/>
              </w:rPr>
            </w:pPr>
            <w:r w:rsidRPr="00E95F5F">
              <w:rPr>
                <w:rFonts w:hint="eastAsia"/>
                <w:bCs/>
              </w:rPr>
              <w:t>1h</w:t>
            </w:r>
          </w:p>
        </w:tc>
        <w:tc>
          <w:tcPr>
            <w:tcW w:w="1305" w:type="dxa"/>
            <w:vAlign w:val="center"/>
          </w:tcPr>
          <w:p w14:paraId="4EEC811A" w14:textId="77777777" w:rsidR="00A6047D" w:rsidRPr="00E95F5F" w:rsidRDefault="00A6047D" w:rsidP="00D973AE">
            <w:pPr>
              <w:jc w:val="center"/>
              <w:rPr>
                <w:bCs/>
              </w:rPr>
            </w:pPr>
            <w:r w:rsidRPr="00E95F5F">
              <w:rPr>
                <w:rFonts w:hint="eastAsia"/>
                <w:bCs/>
              </w:rPr>
              <w:t>3.2</w:t>
            </w:r>
          </w:p>
        </w:tc>
        <w:tc>
          <w:tcPr>
            <w:tcW w:w="982" w:type="dxa"/>
            <w:vAlign w:val="center"/>
          </w:tcPr>
          <w:p w14:paraId="62219D2F" w14:textId="77777777" w:rsidR="00A6047D" w:rsidRPr="00E95F5F" w:rsidRDefault="00A6047D" w:rsidP="00D973AE">
            <w:pPr>
              <w:jc w:val="center"/>
              <w:rPr>
                <w:bCs/>
              </w:rPr>
            </w:pPr>
            <w:r w:rsidRPr="00E95F5F">
              <w:rPr>
                <w:rFonts w:hint="eastAsia"/>
                <w:bCs/>
              </w:rPr>
              <w:t>12.8</w:t>
            </w:r>
          </w:p>
        </w:tc>
        <w:tc>
          <w:tcPr>
            <w:tcW w:w="819" w:type="dxa"/>
            <w:vAlign w:val="center"/>
          </w:tcPr>
          <w:p w14:paraId="3E97ECA4" w14:textId="77777777" w:rsidR="00A6047D" w:rsidRPr="00E95F5F" w:rsidRDefault="00A6047D" w:rsidP="00D973AE">
            <w:pPr>
              <w:jc w:val="center"/>
              <w:rPr>
                <w:bCs/>
              </w:rPr>
            </w:pPr>
            <w:r w:rsidRPr="00E95F5F">
              <w:rPr>
                <w:rFonts w:hint="eastAsia"/>
                <w:bCs/>
              </w:rPr>
              <w:t>16</w:t>
            </w:r>
          </w:p>
        </w:tc>
        <w:tc>
          <w:tcPr>
            <w:tcW w:w="1140" w:type="dxa"/>
            <w:vAlign w:val="center"/>
          </w:tcPr>
          <w:p w14:paraId="655E1DE0" w14:textId="77777777" w:rsidR="00A6047D" w:rsidRPr="00E95F5F" w:rsidRDefault="00A6047D" w:rsidP="00D973AE">
            <w:pPr>
              <w:jc w:val="center"/>
              <w:rPr>
                <w:bCs/>
              </w:rPr>
            </w:pPr>
            <w:r w:rsidRPr="00E95F5F">
              <w:rPr>
                <w:rFonts w:hint="eastAsia"/>
                <w:bCs/>
              </w:rPr>
              <w:t>1.6</w:t>
            </w:r>
          </w:p>
        </w:tc>
        <w:tc>
          <w:tcPr>
            <w:tcW w:w="982" w:type="dxa"/>
            <w:vAlign w:val="center"/>
          </w:tcPr>
          <w:p w14:paraId="66AD1375" w14:textId="77777777" w:rsidR="00A6047D" w:rsidRPr="00E95F5F" w:rsidRDefault="00A6047D" w:rsidP="00D973AE">
            <w:pPr>
              <w:jc w:val="center"/>
              <w:rPr>
                <w:bCs/>
              </w:rPr>
            </w:pPr>
            <w:r w:rsidRPr="00E95F5F">
              <w:rPr>
                <w:rFonts w:hint="eastAsia"/>
                <w:bCs/>
              </w:rPr>
              <w:t>14.4</w:t>
            </w:r>
          </w:p>
        </w:tc>
        <w:tc>
          <w:tcPr>
            <w:tcW w:w="871" w:type="dxa"/>
            <w:vAlign w:val="center"/>
          </w:tcPr>
          <w:p w14:paraId="18D05DBA" w14:textId="77777777" w:rsidR="00A6047D" w:rsidRPr="00E95F5F" w:rsidRDefault="00A6047D" w:rsidP="00D973AE">
            <w:pPr>
              <w:jc w:val="center"/>
              <w:rPr>
                <w:bCs/>
              </w:rPr>
            </w:pPr>
            <w:r w:rsidRPr="00E95F5F">
              <w:rPr>
                <w:rFonts w:hint="eastAsia"/>
                <w:bCs/>
              </w:rPr>
              <w:t>16</w:t>
            </w:r>
          </w:p>
        </w:tc>
      </w:tr>
      <w:tr w:rsidR="00A6047D" w:rsidRPr="00D7576A" w14:paraId="5A7E7999" w14:textId="77777777" w:rsidTr="00D973AE">
        <w:trPr>
          <w:trHeight w:val="104"/>
          <w:jc w:val="center"/>
        </w:trPr>
        <w:tc>
          <w:tcPr>
            <w:tcW w:w="1309" w:type="dxa"/>
            <w:vMerge/>
          </w:tcPr>
          <w:p w14:paraId="32FC9D3B" w14:textId="77777777" w:rsidR="00A6047D" w:rsidRPr="00E95F5F" w:rsidRDefault="00A6047D" w:rsidP="008B0E49">
            <w:pPr>
              <w:jc w:val="center"/>
              <w:rPr>
                <w:bCs/>
              </w:rPr>
            </w:pPr>
          </w:p>
        </w:tc>
        <w:tc>
          <w:tcPr>
            <w:tcW w:w="1138" w:type="dxa"/>
          </w:tcPr>
          <w:p w14:paraId="2028A179" w14:textId="77777777" w:rsidR="00A6047D" w:rsidRPr="00E95F5F" w:rsidRDefault="00A6047D" w:rsidP="008B0E49">
            <w:pPr>
              <w:jc w:val="center"/>
              <w:rPr>
                <w:bCs/>
              </w:rPr>
            </w:pPr>
            <w:r w:rsidRPr="00E95F5F">
              <w:rPr>
                <w:rFonts w:hint="eastAsia"/>
                <w:bCs/>
              </w:rPr>
              <w:t>2h</w:t>
            </w:r>
          </w:p>
        </w:tc>
        <w:tc>
          <w:tcPr>
            <w:tcW w:w="1305" w:type="dxa"/>
            <w:vAlign w:val="center"/>
          </w:tcPr>
          <w:p w14:paraId="51C76BE8" w14:textId="77777777" w:rsidR="00A6047D" w:rsidRPr="00E95F5F" w:rsidRDefault="00A6047D" w:rsidP="00D973AE">
            <w:pPr>
              <w:jc w:val="center"/>
              <w:rPr>
                <w:bCs/>
              </w:rPr>
            </w:pPr>
            <w:r w:rsidRPr="00E95F5F">
              <w:rPr>
                <w:rFonts w:hint="eastAsia"/>
                <w:bCs/>
              </w:rPr>
              <w:t>3.2</w:t>
            </w:r>
          </w:p>
        </w:tc>
        <w:tc>
          <w:tcPr>
            <w:tcW w:w="982" w:type="dxa"/>
            <w:vAlign w:val="center"/>
          </w:tcPr>
          <w:p w14:paraId="6A839206" w14:textId="77777777" w:rsidR="00A6047D" w:rsidRPr="00E95F5F" w:rsidRDefault="00A6047D" w:rsidP="00D973AE">
            <w:pPr>
              <w:jc w:val="center"/>
              <w:rPr>
                <w:bCs/>
              </w:rPr>
            </w:pPr>
            <w:r w:rsidRPr="00E95F5F">
              <w:rPr>
                <w:rFonts w:hint="eastAsia"/>
                <w:bCs/>
              </w:rPr>
              <w:t>12.8</w:t>
            </w:r>
          </w:p>
        </w:tc>
        <w:tc>
          <w:tcPr>
            <w:tcW w:w="819" w:type="dxa"/>
            <w:vAlign w:val="center"/>
          </w:tcPr>
          <w:p w14:paraId="5485DBDA" w14:textId="77777777" w:rsidR="00A6047D" w:rsidRPr="00E95F5F" w:rsidRDefault="00A6047D" w:rsidP="00D973AE">
            <w:pPr>
              <w:jc w:val="center"/>
              <w:rPr>
                <w:bCs/>
              </w:rPr>
            </w:pPr>
            <w:r w:rsidRPr="00E95F5F">
              <w:rPr>
                <w:rFonts w:hint="eastAsia"/>
                <w:bCs/>
              </w:rPr>
              <w:t>16</w:t>
            </w:r>
          </w:p>
        </w:tc>
        <w:tc>
          <w:tcPr>
            <w:tcW w:w="1140" w:type="dxa"/>
            <w:vAlign w:val="center"/>
          </w:tcPr>
          <w:p w14:paraId="2E5014B6" w14:textId="77777777" w:rsidR="00A6047D" w:rsidRPr="00E95F5F" w:rsidRDefault="00A6047D" w:rsidP="00D973AE">
            <w:pPr>
              <w:jc w:val="center"/>
              <w:rPr>
                <w:bCs/>
              </w:rPr>
            </w:pPr>
            <w:r w:rsidRPr="00E95F5F">
              <w:rPr>
                <w:rFonts w:hint="eastAsia"/>
                <w:bCs/>
              </w:rPr>
              <w:t>1.6</w:t>
            </w:r>
          </w:p>
        </w:tc>
        <w:tc>
          <w:tcPr>
            <w:tcW w:w="982" w:type="dxa"/>
            <w:vAlign w:val="center"/>
          </w:tcPr>
          <w:p w14:paraId="51374DC7" w14:textId="77777777" w:rsidR="00A6047D" w:rsidRPr="00E95F5F" w:rsidRDefault="00A6047D" w:rsidP="00D973AE">
            <w:pPr>
              <w:jc w:val="center"/>
              <w:rPr>
                <w:bCs/>
              </w:rPr>
            </w:pPr>
            <w:r w:rsidRPr="00E95F5F">
              <w:rPr>
                <w:rFonts w:hint="eastAsia"/>
                <w:bCs/>
              </w:rPr>
              <w:t>14.4</w:t>
            </w:r>
          </w:p>
        </w:tc>
        <w:tc>
          <w:tcPr>
            <w:tcW w:w="871" w:type="dxa"/>
            <w:vAlign w:val="center"/>
          </w:tcPr>
          <w:p w14:paraId="51AFA5F5" w14:textId="77777777" w:rsidR="00A6047D" w:rsidRPr="00E95F5F" w:rsidRDefault="00A6047D" w:rsidP="00D973AE">
            <w:pPr>
              <w:jc w:val="center"/>
              <w:rPr>
                <w:bCs/>
              </w:rPr>
            </w:pPr>
            <w:r w:rsidRPr="00E95F5F">
              <w:rPr>
                <w:rFonts w:hint="eastAsia"/>
                <w:bCs/>
              </w:rPr>
              <w:t>16</w:t>
            </w:r>
          </w:p>
        </w:tc>
      </w:tr>
      <w:tr w:rsidR="00A6047D" w:rsidRPr="00D7576A" w14:paraId="38374512" w14:textId="77777777" w:rsidTr="00D973AE">
        <w:trPr>
          <w:trHeight w:val="227"/>
          <w:jc w:val="center"/>
        </w:trPr>
        <w:tc>
          <w:tcPr>
            <w:tcW w:w="1309" w:type="dxa"/>
            <w:vMerge w:val="restart"/>
          </w:tcPr>
          <w:p w14:paraId="410BDB5E" w14:textId="77777777" w:rsidR="00A6047D" w:rsidRPr="00E95F5F" w:rsidRDefault="00A6047D" w:rsidP="008B0E49">
            <w:pPr>
              <w:jc w:val="center"/>
              <w:rPr>
                <w:bCs/>
              </w:rPr>
            </w:pPr>
            <w:r w:rsidRPr="00E95F5F">
              <w:rPr>
                <w:bCs/>
              </w:rPr>
              <w:t>Detection Dilution Ratio</w:t>
            </w:r>
          </w:p>
        </w:tc>
        <w:tc>
          <w:tcPr>
            <w:tcW w:w="1138" w:type="dxa"/>
          </w:tcPr>
          <w:p w14:paraId="7EEB777E" w14:textId="77777777" w:rsidR="00A6047D" w:rsidRPr="00E95F5F" w:rsidRDefault="00A6047D" w:rsidP="008B0E49">
            <w:pPr>
              <w:jc w:val="center"/>
              <w:rPr>
                <w:bCs/>
              </w:rPr>
            </w:pPr>
            <w:r w:rsidRPr="00E95F5F">
              <w:rPr>
                <w:bCs/>
              </w:rPr>
              <w:t>Blank Group</w:t>
            </w:r>
          </w:p>
        </w:tc>
        <w:tc>
          <w:tcPr>
            <w:tcW w:w="1305" w:type="dxa"/>
            <w:vAlign w:val="center"/>
          </w:tcPr>
          <w:p w14:paraId="2A540E84" w14:textId="77777777" w:rsidR="00A6047D" w:rsidRPr="00E95F5F" w:rsidRDefault="00A6047D" w:rsidP="00D973AE">
            <w:pPr>
              <w:jc w:val="center"/>
              <w:rPr>
                <w:bCs/>
              </w:rPr>
            </w:pPr>
            <w:r w:rsidRPr="00E95F5F">
              <w:rPr>
                <w:rFonts w:hint="eastAsia"/>
                <w:bCs/>
              </w:rPr>
              <w:t>5</w:t>
            </w:r>
          </w:p>
        </w:tc>
        <w:tc>
          <w:tcPr>
            <w:tcW w:w="982" w:type="dxa"/>
            <w:vAlign w:val="center"/>
          </w:tcPr>
          <w:p w14:paraId="75BDAD99" w14:textId="77777777" w:rsidR="00A6047D" w:rsidRPr="00E95F5F" w:rsidRDefault="00A6047D" w:rsidP="00D973AE">
            <w:pPr>
              <w:jc w:val="center"/>
              <w:rPr>
                <w:bCs/>
              </w:rPr>
            </w:pPr>
            <w:r w:rsidRPr="00E95F5F">
              <w:rPr>
                <w:rFonts w:hint="eastAsia"/>
                <w:bCs/>
              </w:rPr>
              <w:t>10</w:t>
            </w:r>
          </w:p>
        </w:tc>
        <w:tc>
          <w:tcPr>
            <w:tcW w:w="819" w:type="dxa"/>
            <w:vAlign w:val="center"/>
          </w:tcPr>
          <w:p w14:paraId="08B9CA03" w14:textId="77777777" w:rsidR="00A6047D" w:rsidRPr="00E95F5F" w:rsidRDefault="00A6047D" w:rsidP="00D973AE">
            <w:pPr>
              <w:jc w:val="center"/>
              <w:rPr>
                <w:bCs/>
              </w:rPr>
            </w:pPr>
            <w:r w:rsidRPr="00E95F5F">
              <w:rPr>
                <w:rFonts w:hint="eastAsia"/>
                <w:bCs/>
              </w:rPr>
              <w:t>10</w:t>
            </w:r>
          </w:p>
        </w:tc>
        <w:tc>
          <w:tcPr>
            <w:tcW w:w="1140" w:type="dxa"/>
            <w:vAlign w:val="center"/>
          </w:tcPr>
          <w:p w14:paraId="5A877947" w14:textId="77777777" w:rsidR="00A6047D" w:rsidRPr="00E95F5F" w:rsidRDefault="00A6047D" w:rsidP="00D973AE">
            <w:pPr>
              <w:jc w:val="center"/>
              <w:rPr>
                <w:bCs/>
              </w:rPr>
            </w:pPr>
            <w:r w:rsidRPr="00E95F5F">
              <w:rPr>
                <w:rFonts w:hint="eastAsia"/>
                <w:bCs/>
              </w:rPr>
              <w:t>5</w:t>
            </w:r>
          </w:p>
        </w:tc>
        <w:tc>
          <w:tcPr>
            <w:tcW w:w="982" w:type="dxa"/>
            <w:vAlign w:val="center"/>
          </w:tcPr>
          <w:p w14:paraId="1A448EBC" w14:textId="77777777" w:rsidR="00A6047D" w:rsidRPr="00E95F5F" w:rsidRDefault="00A6047D" w:rsidP="00D973AE">
            <w:pPr>
              <w:jc w:val="center"/>
              <w:rPr>
                <w:bCs/>
              </w:rPr>
            </w:pPr>
            <w:r w:rsidRPr="00E95F5F">
              <w:rPr>
                <w:rFonts w:hint="eastAsia"/>
                <w:bCs/>
              </w:rPr>
              <w:t>10</w:t>
            </w:r>
          </w:p>
        </w:tc>
        <w:tc>
          <w:tcPr>
            <w:tcW w:w="871" w:type="dxa"/>
            <w:vAlign w:val="center"/>
          </w:tcPr>
          <w:p w14:paraId="53247206" w14:textId="77777777" w:rsidR="00A6047D" w:rsidRPr="00E95F5F" w:rsidRDefault="00A6047D" w:rsidP="00D973AE">
            <w:pPr>
              <w:jc w:val="center"/>
              <w:rPr>
                <w:bCs/>
              </w:rPr>
            </w:pPr>
            <w:r w:rsidRPr="00E95F5F">
              <w:rPr>
                <w:rFonts w:hint="eastAsia"/>
                <w:bCs/>
              </w:rPr>
              <w:t>10</w:t>
            </w:r>
          </w:p>
        </w:tc>
      </w:tr>
      <w:tr w:rsidR="00A6047D" w:rsidRPr="00D7576A" w14:paraId="61EB28BD" w14:textId="77777777" w:rsidTr="00D973AE">
        <w:trPr>
          <w:trHeight w:val="104"/>
          <w:jc w:val="center"/>
        </w:trPr>
        <w:tc>
          <w:tcPr>
            <w:tcW w:w="1309" w:type="dxa"/>
            <w:vMerge/>
          </w:tcPr>
          <w:p w14:paraId="3B6184CD" w14:textId="77777777" w:rsidR="00A6047D" w:rsidRPr="00E95F5F" w:rsidRDefault="00A6047D" w:rsidP="008B0E49">
            <w:pPr>
              <w:jc w:val="center"/>
              <w:rPr>
                <w:bCs/>
              </w:rPr>
            </w:pPr>
          </w:p>
        </w:tc>
        <w:tc>
          <w:tcPr>
            <w:tcW w:w="1138" w:type="dxa"/>
          </w:tcPr>
          <w:p w14:paraId="27308E55" w14:textId="77777777" w:rsidR="00A6047D" w:rsidRPr="00E95F5F" w:rsidRDefault="00A6047D" w:rsidP="008B0E49">
            <w:pPr>
              <w:jc w:val="center"/>
              <w:rPr>
                <w:bCs/>
              </w:rPr>
            </w:pPr>
            <w:r w:rsidRPr="00E95F5F">
              <w:rPr>
                <w:rFonts w:hint="eastAsia"/>
                <w:bCs/>
              </w:rPr>
              <w:t>30min</w:t>
            </w:r>
          </w:p>
        </w:tc>
        <w:tc>
          <w:tcPr>
            <w:tcW w:w="1305" w:type="dxa"/>
            <w:vAlign w:val="center"/>
          </w:tcPr>
          <w:p w14:paraId="0CD10EE6" w14:textId="77777777" w:rsidR="00A6047D" w:rsidRPr="00E95F5F" w:rsidRDefault="00A6047D" w:rsidP="00D973AE">
            <w:pPr>
              <w:jc w:val="center"/>
              <w:rPr>
                <w:bCs/>
              </w:rPr>
            </w:pPr>
            <w:r w:rsidRPr="00E95F5F">
              <w:rPr>
                <w:rFonts w:hint="eastAsia"/>
                <w:bCs/>
              </w:rPr>
              <w:t>50</w:t>
            </w:r>
          </w:p>
        </w:tc>
        <w:tc>
          <w:tcPr>
            <w:tcW w:w="982" w:type="dxa"/>
            <w:vAlign w:val="center"/>
          </w:tcPr>
          <w:p w14:paraId="4B3553FD" w14:textId="77777777" w:rsidR="00A6047D" w:rsidRPr="00E95F5F" w:rsidRDefault="00A6047D" w:rsidP="00D973AE">
            <w:pPr>
              <w:jc w:val="center"/>
              <w:rPr>
                <w:bCs/>
              </w:rPr>
            </w:pPr>
            <w:r w:rsidRPr="00E95F5F">
              <w:rPr>
                <w:rFonts w:hint="eastAsia"/>
                <w:bCs/>
              </w:rPr>
              <w:t>10</w:t>
            </w:r>
          </w:p>
        </w:tc>
        <w:tc>
          <w:tcPr>
            <w:tcW w:w="819" w:type="dxa"/>
            <w:vAlign w:val="center"/>
          </w:tcPr>
          <w:p w14:paraId="57E3E0DC" w14:textId="77777777" w:rsidR="00A6047D" w:rsidRPr="00E95F5F" w:rsidRDefault="00A6047D" w:rsidP="00D973AE">
            <w:pPr>
              <w:jc w:val="center"/>
              <w:rPr>
                <w:bCs/>
              </w:rPr>
            </w:pPr>
            <w:r w:rsidRPr="00E95F5F">
              <w:rPr>
                <w:rFonts w:hint="eastAsia"/>
                <w:bCs/>
              </w:rPr>
              <w:t>10</w:t>
            </w:r>
          </w:p>
        </w:tc>
        <w:tc>
          <w:tcPr>
            <w:tcW w:w="1140" w:type="dxa"/>
            <w:vAlign w:val="center"/>
          </w:tcPr>
          <w:p w14:paraId="5C362A7E" w14:textId="77777777" w:rsidR="00A6047D" w:rsidRPr="00E95F5F" w:rsidRDefault="00A6047D" w:rsidP="00D973AE">
            <w:pPr>
              <w:jc w:val="center"/>
              <w:rPr>
                <w:bCs/>
              </w:rPr>
            </w:pPr>
            <w:r w:rsidRPr="00E95F5F">
              <w:rPr>
                <w:rFonts w:hint="eastAsia"/>
                <w:bCs/>
              </w:rPr>
              <w:t>25</w:t>
            </w:r>
          </w:p>
        </w:tc>
        <w:tc>
          <w:tcPr>
            <w:tcW w:w="982" w:type="dxa"/>
            <w:vAlign w:val="center"/>
          </w:tcPr>
          <w:p w14:paraId="2509040F" w14:textId="77777777" w:rsidR="00A6047D" w:rsidRPr="00E95F5F" w:rsidRDefault="00A6047D" w:rsidP="00D973AE">
            <w:pPr>
              <w:jc w:val="center"/>
              <w:rPr>
                <w:bCs/>
              </w:rPr>
            </w:pPr>
            <w:r w:rsidRPr="00E95F5F">
              <w:rPr>
                <w:rFonts w:hint="eastAsia"/>
                <w:bCs/>
              </w:rPr>
              <w:t>10</w:t>
            </w:r>
          </w:p>
        </w:tc>
        <w:tc>
          <w:tcPr>
            <w:tcW w:w="871" w:type="dxa"/>
            <w:vAlign w:val="center"/>
          </w:tcPr>
          <w:p w14:paraId="65ED7695" w14:textId="77777777" w:rsidR="00A6047D" w:rsidRPr="00E95F5F" w:rsidRDefault="00A6047D" w:rsidP="00D973AE">
            <w:pPr>
              <w:jc w:val="center"/>
              <w:rPr>
                <w:bCs/>
              </w:rPr>
            </w:pPr>
            <w:r w:rsidRPr="00E95F5F">
              <w:rPr>
                <w:rFonts w:hint="eastAsia"/>
                <w:bCs/>
              </w:rPr>
              <w:t>10</w:t>
            </w:r>
          </w:p>
        </w:tc>
      </w:tr>
      <w:tr w:rsidR="00A6047D" w:rsidRPr="00D7576A" w14:paraId="0C592355" w14:textId="77777777" w:rsidTr="00D973AE">
        <w:trPr>
          <w:trHeight w:val="104"/>
          <w:jc w:val="center"/>
        </w:trPr>
        <w:tc>
          <w:tcPr>
            <w:tcW w:w="1309" w:type="dxa"/>
            <w:vMerge/>
          </w:tcPr>
          <w:p w14:paraId="1586C91B" w14:textId="77777777" w:rsidR="00A6047D" w:rsidRPr="00E95F5F" w:rsidRDefault="00A6047D" w:rsidP="008B0E49">
            <w:pPr>
              <w:jc w:val="center"/>
              <w:rPr>
                <w:bCs/>
              </w:rPr>
            </w:pPr>
          </w:p>
        </w:tc>
        <w:tc>
          <w:tcPr>
            <w:tcW w:w="1138" w:type="dxa"/>
          </w:tcPr>
          <w:p w14:paraId="6EDDE09B" w14:textId="77777777" w:rsidR="00A6047D" w:rsidRPr="00E95F5F" w:rsidRDefault="00A6047D" w:rsidP="008B0E49">
            <w:pPr>
              <w:jc w:val="center"/>
              <w:rPr>
                <w:bCs/>
              </w:rPr>
            </w:pPr>
            <w:r w:rsidRPr="00E95F5F">
              <w:rPr>
                <w:rFonts w:hint="eastAsia"/>
                <w:bCs/>
              </w:rPr>
              <w:t>1h</w:t>
            </w:r>
          </w:p>
        </w:tc>
        <w:tc>
          <w:tcPr>
            <w:tcW w:w="1305" w:type="dxa"/>
            <w:vAlign w:val="center"/>
          </w:tcPr>
          <w:p w14:paraId="50FE854E" w14:textId="77777777" w:rsidR="00A6047D" w:rsidRPr="00E95F5F" w:rsidRDefault="00A6047D" w:rsidP="00D973AE">
            <w:pPr>
              <w:jc w:val="center"/>
              <w:rPr>
                <w:bCs/>
              </w:rPr>
            </w:pPr>
            <w:r w:rsidRPr="00E95F5F">
              <w:rPr>
                <w:rFonts w:hint="eastAsia"/>
                <w:bCs/>
              </w:rPr>
              <w:t>50</w:t>
            </w:r>
          </w:p>
        </w:tc>
        <w:tc>
          <w:tcPr>
            <w:tcW w:w="982" w:type="dxa"/>
            <w:vAlign w:val="center"/>
          </w:tcPr>
          <w:p w14:paraId="4F4CE9DC" w14:textId="77777777" w:rsidR="00A6047D" w:rsidRPr="00E95F5F" w:rsidRDefault="00A6047D" w:rsidP="00D973AE">
            <w:pPr>
              <w:jc w:val="center"/>
              <w:rPr>
                <w:bCs/>
              </w:rPr>
            </w:pPr>
            <w:r w:rsidRPr="00E95F5F">
              <w:rPr>
                <w:rFonts w:hint="eastAsia"/>
                <w:bCs/>
              </w:rPr>
              <w:t>10</w:t>
            </w:r>
          </w:p>
        </w:tc>
        <w:tc>
          <w:tcPr>
            <w:tcW w:w="819" w:type="dxa"/>
            <w:vAlign w:val="center"/>
          </w:tcPr>
          <w:p w14:paraId="54B485AC" w14:textId="77777777" w:rsidR="00A6047D" w:rsidRPr="00E95F5F" w:rsidRDefault="00A6047D" w:rsidP="00D973AE">
            <w:pPr>
              <w:jc w:val="center"/>
              <w:rPr>
                <w:bCs/>
              </w:rPr>
            </w:pPr>
            <w:r w:rsidRPr="00E95F5F">
              <w:rPr>
                <w:rFonts w:hint="eastAsia"/>
                <w:bCs/>
              </w:rPr>
              <w:t>10</w:t>
            </w:r>
          </w:p>
        </w:tc>
        <w:tc>
          <w:tcPr>
            <w:tcW w:w="1140" w:type="dxa"/>
            <w:vAlign w:val="center"/>
          </w:tcPr>
          <w:p w14:paraId="2C78EEC7" w14:textId="77777777" w:rsidR="00A6047D" w:rsidRPr="00E95F5F" w:rsidRDefault="00A6047D" w:rsidP="00D973AE">
            <w:pPr>
              <w:jc w:val="center"/>
              <w:rPr>
                <w:bCs/>
              </w:rPr>
            </w:pPr>
            <w:r w:rsidRPr="00E95F5F">
              <w:rPr>
                <w:rFonts w:hint="eastAsia"/>
                <w:bCs/>
              </w:rPr>
              <w:t>25</w:t>
            </w:r>
          </w:p>
        </w:tc>
        <w:tc>
          <w:tcPr>
            <w:tcW w:w="982" w:type="dxa"/>
            <w:vAlign w:val="center"/>
          </w:tcPr>
          <w:p w14:paraId="366D1339" w14:textId="77777777" w:rsidR="00A6047D" w:rsidRPr="00E95F5F" w:rsidRDefault="00A6047D" w:rsidP="00D973AE">
            <w:pPr>
              <w:jc w:val="center"/>
              <w:rPr>
                <w:bCs/>
              </w:rPr>
            </w:pPr>
            <w:r w:rsidRPr="00E95F5F">
              <w:rPr>
                <w:rFonts w:hint="eastAsia"/>
                <w:bCs/>
              </w:rPr>
              <w:t>10</w:t>
            </w:r>
          </w:p>
        </w:tc>
        <w:tc>
          <w:tcPr>
            <w:tcW w:w="871" w:type="dxa"/>
            <w:vAlign w:val="center"/>
          </w:tcPr>
          <w:p w14:paraId="11873DC3" w14:textId="77777777" w:rsidR="00A6047D" w:rsidRPr="00E95F5F" w:rsidRDefault="00A6047D" w:rsidP="00D973AE">
            <w:pPr>
              <w:jc w:val="center"/>
              <w:rPr>
                <w:bCs/>
              </w:rPr>
            </w:pPr>
            <w:r w:rsidRPr="00E95F5F">
              <w:rPr>
                <w:rFonts w:hint="eastAsia"/>
                <w:bCs/>
              </w:rPr>
              <w:t>10</w:t>
            </w:r>
          </w:p>
        </w:tc>
      </w:tr>
      <w:tr w:rsidR="00A6047D" w:rsidRPr="00D7576A" w14:paraId="4950E0DE" w14:textId="77777777" w:rsidTr="00D973AE">
        <w:trPr>
          <w:trHeight w:val="104"/>
          <w:jc w:val="center"/>
        </w:trPr>
        <w:tc>
          <w:tcPr>
            <w:tcW w:w="1309" w:type="dxa"/>
            <w:vMerge/>
            <w:tcBorders>
              <w:bottom w:val="single" w:sz="4" w:space="0" w:color="auto"/>
            </w:tcBorders>
          </w:tcPr>
          <w:p w14:paraId="52AD1DEA" w14:textId="77777777" w:rsidR="00A6047D" w:rsidRPr="00E95F5F" w:rsidRDefault="00A6047D" w:rsidP="008B0E49">
            <w:pPr>
              <w:jc w:val="center"/>
              <w:rPr>
                <w:bCs/>
              </w:rPr>
            </w:pPr>
          </w:p>
        </w:tc>
        <w:tc>
          <w:tcPr>
            <w:tcW w:w="1138" w:type="dxa"/>
            <w:tcBorders>
              <w:bottom w:val="single" w:sz="4" w:space="0" w:color="auto"/>
            </w:tcBorders>
          </w:tcPr>
          <w:p w14:paraId="56617006" w14:textId="77777777" w:rsidR="00A6047D" w:rsidRPr="00E95F5F" w:rsidRDefault="00A6047D" w:rsidP="008B0E49">
            <w:pPr>
              <w:jc w:val="center"/>
              <w:rPr>
                <w:bCs/>
              </w:rPr>
            </w:pPr>
            <w:r w:rsidRPr="00E95F5F">
              <w:rPr>
                <w:rFonts w:hint="eastAsia"/>
                <w:bCs/>
              </w:rPr>
              <w:t>2h</w:t>
            </w:r>
          </w:p>
        </w:tc>
        <w:tc>
          <w:tcPr>
            <w:tcW w:w="1305" w:type="dxa"/>
            <w:tcBorders>
              <w:bottom w:val="single" w:sz="4" w:space="0" w:color="auto"/>
            </w:tcBorders>
            <w:vAlign w:val="center"/>
          </w:tcPr>
          <w:p w14:paraId="73138419" w14:textId="77777777" w:rsidR="00A6047D" w:rsidRPr="00E95F5F" w:rsidRDefault="00A6047D" w:rsidP="00D973AE">
            <w:pPr>
              <w:jc w:val="center"/>
              <w:rPr>
                <w:bCs/>
              </w:rPr>
            </w:pPr>
            <w:r w:rsidRPr="00E95F5F">
              <w:rPr>
                <w:rFonts w:hint="eastAsia"/>
                <w:bCs/>
              </w:rPr>
              <w:t>50</w:t>
            </w:r>
          </w:p>
        </w:tc>
        <w:tc>
          <w:tcPr>
            <w:tcW w:w="982" w:type="dxa"/>
            <w:tcBorders>
              <w:bottom w:val="single" w:sz="4" w:space="0" w:color="auto"/>
            </w:tcBorders>
            <w:vAlign w:val="center"/>
          </w:tcPr>
          <w:p w14:paraId="4EBF9ED4" w14:textId="77777777" w:rsidR="00A6047D" w:rsidRPr="00E95F5F" w:rsidRDefault="00A6047D" w:rsidP="00D973AE">
            <w:pPr>
              <w:jc w:val="center"/>
              <w:rPr>
                <w:bCs/>
              </w:rPr>
            </w:pPr>
            <w:r w:rsidRPr="00E95F5F">
              <w:rPr>
                <w:rFonts w:hint="eastAsia"/>
                <w:bCs/>
              </w:rPr>
              <w:t>10</w:t>
            </w:r>
          </w:p>
        </w:tc>
        <w:tc>
          <w:tcPr>
            <w:tcW w:w="819" w:type="dxa"/>
            <w:tcBorders>
              <w:bottom w:val="single" w:sz="4" w:space="0" w:color="auto"/>
            </w:tcBorders>
            <w:vAlign w:val="center"/>
          </w:tcPr>
          <w:p w14:paraId="283D0CA6" w14:textId="77777777" w:rsidR="00A6047D" w:rsidRPr="00E95F5F" w:rsidRDefault="00A6047D" w:rsidP="00D973AE">
            <w:pPr>
              <w:jc w:val="center"/>
              <w:rPr>
                <w:bCs/>
              </w:rPr>
            </w:pPr>
            <w:r w:rsidRPr="00E95F5F">
              <w:rPr>
                <w:rFonts w:hint="eastAsia"/>
                <w:bCs/>
              </w:rPr>
              <w:t>10</w:t>
            </w:r>
          </w:p>
        </w:tc>
        <w:tc>
          <w:tcPr>
            <w:tcW w:w="1140" w:type="dxa"/>
            <w:tcBorders>
              <w:bottom w:val="single" w:sz="4" w:space="0" w:color="auto"/>
            </w:tcBorders>
            <w:vAlign w:val="center"/>
          </w:tcPr>
          <w:p w14:paraId="491B09C8" w14:textId="77777777" w:rsidR="00A6047D" w:rsidRPr="00E95F5F" w:rsidRDefault="00A6047D" w:rsidP="00D973AE">
            <w:pPr>
              <w:jc w:val="center"/>
              <w:rPr>
                <w:bCs/>
              </w:rPr>
            </w:pPr>
            <w:r w:rsidRPr="00E95F5F">
              <w:rPr>
                <w:rFonts w:hint="eastAsia"/>
                <w:bCs/>
              </w:rPr>
              <w:t>25</w:t>
            </w:r>
          </w:p>
        </w:tc>
        <w:tc>
          <w:tcPr>
            <w:tcW w:w="982" w:type="dxa"/>
            <w:tcBorders>
              <w:bottom w:val="single" w:sz="4" w:space="0" w:color="auto"/>
            </w:tcBorders>
            <w:vAlign w:val="center"/>
          </w:tcPr>
          <w:p w14:paraId="2D531074" w14:textId="77777777" w:rsidR="00A6047D" w:rsidRPr="00E95F5F" w:rsidRDefault="00A6047D" w:rsidP="00D973AE">
            <w:pPr>
              <w:jc w:val="center"/>
              <w:rPr>
                <w:bCs/>
              </w:rPr>
            </w:pPr>
            <w:r w:rsidRPr="00E95F5F">
              <w:rPr>
                <w:rFonts w:hint="eastAsia"/>
                <w:bCs/>
              </w:rPr>
              <w:t>10</w:t>
            </w:r>
          </w:p>
        </w:tc>
        <w:tc>
          <w:tcPr>
            <w:tcW w:w="871" w:type="dxa"/>
            <w:tcBorders>
              <w:bottom w:val="single" w:sz="4" w:space="0" w:color="auto"/>
            </w:tcBorders>
            <w:vAlign w:val="center"/>
          </w:tcPr>
          <w:p w14:paraId="66AB00F7" w14:textId="77777777" w:rsidR="00A6047D" w:rsidRPr="00E95F5F" w:rsidRDefault="00A6047D" w:rsidP="00D973AE">
            <w:pPr>
              <w:jc w:val="center"/>
              <w:rPr>
                <w:bCs/>
              </w:rPr>
            </w:pPr>
            <w:r w:rsidRPr="00E95F5F">
              <w:rPr>
                <w:rFonts w:hint="eastAsia"/>
                <w:bCs/>
              </w:rPr>
              <w:t>10</w:t>
            </w:r>
          </w:p>
        </w:tc>
      </w:tr>
    </w:tbl>
    <w:p w14:paraId="08AA1C77" w14:textId="77777777" w:rsidR="00A6047D" w:rsidRDefault="00A6047D" w:rsidP="00A6047D">
      <w:pPr>
        <w:autoSpaceDE w:val="0"/>
        <w:autoSpaceDN w:val="0"/>
        <w:adjustRightInd w:val="0"/>
        <w:jc w:val="center"/>
        <w:rPr>
          <w:rFonts w:ascii="Arial" w:hAnsi="Arial" w:cs="Arial"/>
          <w:lang w:eastAsia="zh-CN"/>
        </w:rPr>
      </w:pPr>
    </w:p>
    <w:p w14:paraId="7CEDE5CF" w14:textId="0F168E80" w:rsidR="00A6047D" w:rsidRDefault="00A6047D" w:rsidP="00A6047D">
      <w:pPr>
        <w:autoSpaceDE w:val="0"/>
        <w:autoSpaceDN w:val="0"/>
        <w:adjustRightInd w:val="0"/>
        <w:jc w:val="center"/>
        <w:rPr>
          <w:rFonts w:ascii="Arial" w:hAnsi="Arial" w:cs="Arial"/>
          <w:lang w:eastAsia="zh-CN"/>
        </w:rPr>
      </w:pPr>
      <w:r w:rsidRPr="00D7576A">
        <w:rPr>
          <w:noProof/>
        </w:rPr>
        <w:drawing>
          <wp:inline distT="0" distB="0" distL="0" distR="0" wp14:anchorId="6F657BB8" wp14:editId="47D4C360">
            <wp:extent cx="3600450" cy="2307623"/>
            <wp:effectExtent l="0" t="0" r="0" b="0"/>
            <wp:docPr id="574056395" name="图片 3"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56395" name="图片 3" descr="图表&#10;&#10;AI 生成的内容可能不正确。"/>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9579" cy="2345521"/>
                    </a:xfrm>
                    <a:prstGeom prst="rect">
                      <a:avLst/>
                    </a:prstGeom>
                    <a:noFill/>
                    <a:ln>
                      <a:noFill/>
                    </a:ln>
                  </pic:spPr>
                </pic:pic>
              </a:graphicData>
            </a:graphic>
          </wp:inline>
        </w:drawing>
      </w:r>
    </w:p>
    <w:p w14:paraId="7F071C3D" w14:textId="77777777" w:rsidR="00A6047D" w:rsidRDefault="00A6047D" w:rsidP="00A6047D">
      <w:pPr>
        <w:autoSpaceDE w:val="0"/>
        <w:autoSpaceDN w:val="0"/>
        <w:adjustRightInd w:val="0"/>
        <w:jc w:val="center"/>
        <w:rPr>
          <w:rFonts w:ascii="Arial" w:hAnsi="Arial" w:cs="Arial"/>
          <w:lang w:eastAsia="zh-CN"/>
        </w:rPr>
      </w:pPr>
    </w:p>
    <w:p w14:paraId="43016F49" w14:textId="535552CB" w:rsidR="00A6047D" w:rsidRPr="00105758" w:rsidRDefault="00A6047D" w:rsidP="00105758">
      <w:pPr>
        <w:autoSpaceDE w:val="0"/>
        <w:autoSpaceDN w:val="0"/>
        <w:adjustRightInd w:val="0"/>
        <w:jc w:val="both"/>
        <w:rPr>
          <w:rFonts w:ascii="Arial" w:hAnsi="Arial" w:cs="Arial"/>
          <w:b/>
          <w:bCs/>
          <w:szCs w:val="22"/>
        </w:rPr>
      </w:pPr>
      <w:r w:rsidRPr="00105758">
        <w:rPr>
          <w:rFonts w:ascii="Arial" w:hAnsi="Arial" w:cs="Arial"/>
          <w:b/>
          <w:bCs/>
          <w:szCs w:val="22"/>
        </w:rPr>
        <w:t>Fig</w:t>
      </w:r>
      <w:r w:rsidR="00105758">
        <w:rPr>
          <w:rFonts w:ascii="Arial" w:hAnsi="Arial" w:cs="Arial" w:hint="eastAsia"/>
          <w:b/>
          <w:bCs/>
          <w:szCs w:val="22"/>
          <w:lang w:eastAsia="zh-CN"/>
        </w:rPr>
        <w:t>.</w:t>
      </w:r>
      <w:r w:rsidRPr="00105758">
        <w:rPr>
          <w:rFonts w:ascii="Arial" w:hAnsi="Arial" w:cs="Arial"/>
          <w:b/>
          <w:bCs/>
          <w:szCs w:val="22"/>
        </w:rPr>
        <w:t xml:space="preserve"> 6. HA concentration in mesenteric lymph nodes of rats.</w:t>
      </w:r>
    </w:p>
    <w:p w14:paraId="052F4FFE" w14:textId="29171904" w:rsidR="00A6047D" w:rsidRPr="00105758" w:rsidRDefault="00A6047D" w:rsidP="00105758">
      <w:pPr>
        <w:ind w:left="360"/>
        <w:jc w:val="both"/>
        <w:rPr>
          <w:rFonts w:ascii="Arial" w:hAnsi="Arial" w:cs="Arial"/>
          <w:i/>
          <w:sz w:val="18"/>
        </w:rPr>
      </w:pPr>
      <w:r w:rsidRPr="00105758">
        <w:rPr>
          <w:rFonts w:ascii="Arial" w:hAnsi="Arial" w:cs="Arial"/>
          <w:i/>
          <w:sz w:val="18"/>
        </w:rPr>
        <w:t>Note: a = calculated from standard curve;</w:t>
      </w:r>
      <w:r w:rsidRPr="00105758">
        <w:rPr>
          <w:rFonts w:ascii="Arial" w:hAnsi="Arial" w:cs="Arial" w:hint="eastAsia"/>
          <w:i/>
          <w:sz w:val="18"/>
        </w:rPr>
        <w:t xml:space="preserve"> </w:t>
      </w:r>
      <w:r w:rsidRPr="00105758">
        <w:rPr>
          <w:rFonts w:ascii="Arial" w:hAnsi="Arial" w:cs="Arial"/>
          <w:i/>
          <w:sz w:val="18"/>
        </w:rPr>
        <w:t>b = total HA amount after multiplying by solution volume;</w:t>
      </w:r>
      <w:r w:rsidRPr="00105758">
        <w:rPr>
          <w:rFonts w:ascii="Arial" w:hAnsi="Arial" w:cs="Arial" w:hint="eastAsia"/>
          <w:i/>
          <w:sz w:val="18"/>
        </w:rPr>
        <w:t xml:space="preserve"> </w:t>
      </w:r>
      <w:r w:rsidRPr="00105758">
        <w:rPr>
          <w:rFonts w:ascii="Arial" w:hAnsi="Arial" w:cs="Arial"/>
          <w:i/>
          <w:sz w:val="18"/>
        </w:rPr>
        <w:t>c = HA concentration in dissolved tissue after multiplying by dilution factor;</w:t>
      </w:r>
      <w:r w:rsidRPr="00105758">
        <w:rPr>
          <w:rFonts w:ascii="Arial" w:hAnsi="Arial" w:cs="Arial" w:hint="eastAsia"/>
          <w:i/>
          <w:sz w:val="18"/>
        </w:rPr>
        <w:t xml:space="preserve"> </w:t>
      </w:r>
      <w:r w:rsidRPr="00105758">
        <w:rPr>
          <w:rFonts w:ascii="Arial" w:hAnsi="Arial" w:cs="Arial"/>
          <w:i/>
          <w:sz w:val="18"/>
        </w:rPr>
        <w:t>d = HA content per unit tissue weight.</w:t>
      </w:r>
    </w:p>
    <w:p w14:paraId="2A476405" w14:textId="77777777" w:rsidR="00A6047D" w:rsidRDefault="00A6047D" w:rsidP="00A6047D">
      <w:pPr>
        <w:autoSpaceDE w:val="0"/>
        <w:autoSpaceDN w:val="0"/>
        <w:adjustRightInd w:val="0"/>
        <w:jc w:val="center"/>
        <w:rPr>
          <w:rFonts w:ascii="Arial" w:hAnsi="Arial" w:cs="Arial"/>
          <w:lang w:eastAsia="zh-CN"/>
        </w:rPr>
      </w:pPr>
    </w:p>
    <w:p w14:paraId="140D1E58" w14:textId="1D53B64D" w:rsidR="00A6047D" w:rsidRDefault="00A6047D" w:rsidP="00A6047D">
      <w:pPr>
        <w:autoSpaceDE w:val="0"/>
        <w:autoSpaceDN w:val="0"/>
        <w:adjustRightInd w:val="0"/>
        <w:jc w:val="center"/>
        <w:rPr>
          <w:rFonts w:ascii="Arial" w:hAnsi="Arial" w:cs="Arial"/>
          <w:lang w:eastAsia="zh-CN"/>
        </w:rPr>
      </w:pPr>
      <w:r w:rsidRPr="00D7576A">
        <w:rPr>
          <w:noProof/>
        </w:rPr>
        <w:drawing>
          <wp:inline distT="0" distB="0" distL="0" distR="0" wp14:anchorId="2F8573CD" wp14:editId="16EF287E">
            <wp:extent cx="5212080" cy="1680927"/>
            <wp:effectExtent l="0" t="0" r="0" b="0"/>
            <wp:docPr id="670545541" name="图片 4" descr="图示, 工程绘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45541" name="图片 4" descr="图示, 工程绘图&#10;&#10;AI 生成的内容可能不正确。"/>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12080" cy="1680927"/>
                    </a:xfrm>
                    <a:prstGeom prst="rect">
                      <a:avLst/>
                    </a:prstGeom>
                    <a:noFill/>
                    <a:ln>
                      <a:noFill/>
                    </a:ln>
                  </pic:spPr>
                </pic:pic>
              </a:graphicData>
            </a:graphic>
          </wp:inline>
        </w:drawing>
      </w:r>
    </w:p>
    <w:p w14:paraId="4C9CCC6D" w14:textId="43B60011" w:rsidR="00A6047D" w:rsidRPr="00105758" w:rsidRDefault="00A6047D" w:rsidP="00105758">
      <w:pPr>
        <w:autoSpaceDE w:val="0"/>
        <w:autoSpaceDN w:val="0"/>
        <w:adjustRightInd w:val="0"/>
        <w:jc w:val="both"/>
        <w:rPr>
          <w:rFonts w:ascii="Arial" w:hAnsi="Arial" w:cs="Arial"/>
          <w:b/>
          <w:bCs/>
          <w:szCs w:val="22"/>
          <w:lang w:eastAsia="zh-CN"/>
        </w:rPr>
      </w:pPr>
      <w:r w:rsidRPr="00105758">
        <w:rPr>
          <w:rFonts w:ascii="Arial" w:hAnsi="Arial" w:cs="Arial"/>
          <w:b/>
          <w:bCs/>
          <w:szCs w:val="22"/>
        </w:rPr>
        <w:t>Fig</w:t>
      </w:r>
      <w:r w:rsidR="00105758">
        <w:rPr>
          <w:rFonts w:ascii="Arial" w:hAnsi="Arial" w:cs="Arial" w:hint="eastAsia"/>
          <w:b/>
          <w:bCs/>
          <w:szCs w:val="22"/>
          <w:lang w:eastAsia="zh-CN"/>
        </w:rPr>
        <w:t>.</w:t>
      </w:r>
      <w:r w:rsidRPr="00105758">
        <w:rPr>
          <w:rFonts w:ascii="Arial" w:hAnsi="Arial" w:cs="Arial"/>
          <w:b/>
          <w:bCs/>
          <w:szCs w:val="22"/>
        </w:rPr>
        <w:t xml:space="preserve"> 7. HA concentration in rat spleen and liver</w:t>
      </w:r>
      <w:r w:rsidR="00F27B3A">
        <w:rPr>
          <w:rFonts w:ascii="Arial" w:hAnsi="Arial" w:cs="Arial" w:hint="eastAsia"/>
          <w:b/>
          <w:bCs/>
          <w:szCs w:val="22"/>
          <w:lang w:eastAsia="zh-CN"/>
        </w:rPr>
        <w:t xml:space="preserve"> of rats</w:t>
      </w:r>
    </w:p>
    <w:p w14:paraId="096D0ABC" w14:textId="3AE55E2E" w:rsidR="00E053D0" w:rsidRPr="00E95F5F" w:rsidRDefault="00A6047D" w:rsidP="00E95F5F">
      <w:pPr>
        <w:ind w:left="360"/>
        <w:jc w:val="both"/>
        <w:rPr>
          <w:rFonts w:ascii="Arial" w:hAnsi="Arial" w:cs="Arial"/>
          <w:i/>
          <w:sz w:val="18"/>
        </w:rPr>
      </w:pPr>
      <w:r w:rsidRPr="00105758">
        <w:rPr>
          <w:rFonts w:ascii="Arial" w:hAnsi="Arial" w:cs="Arial"/>
          <w:i/>
          <w:sz w:val="18"/>
        </w:rPr>
        <w:t>Note: A = spleen; B = liver.</w:t>
      </w:r>
      <w:r w:rsidRPr="00105758">
        <w:rPr>
          <w:rFonts w:ascii="Arial" w:hAnsi="Arial" w:cs="Arial" w:hint="eastAsia"/>
          <w:i/>
          <w:sz w:val="18"/>
        </w:rPr>
        <w:t xml:space="preserve"> </w:t>
      </w:r>
      <w:r w:rsidRPr="00105758">
        <w:rPr>
          <w:rFonts w:ascii="Arial" w:hAnsi="Arial" w:cs="Arial"/>
          <w:i/>
          <w:sz w:val="18"/>
        </w:rPr>
        <w:t>a = calculated from standard curve;</w:t>
      </w:r>
      <w:r w:rsidRPr="00105758">
        <w:rPr>
          <w:rFonts w:ascii="Arial" w:hAnsi="Arial" w:cs="Arial" w:hint="eastAsia"/>
          <w:i/>
          <w:sz w:val="18"/>
        </w:rPr>
        <w:t xml:space="preserve"> </w:t>
      </w:r>
      <w:r w:rsidRPr="00105758">
        <w:rPr>
          <w:rFonts w:ascii="Arial" w:hAnsi="Arial" w:cs="Arial"/>
          <w:i/>
          <w:sz w:val="18"/>
        </w:rPr>
        <w:t>b = total HA amount after multiplying by solution volume;</w:t>
      </w:r>
      <w:r w:rsidRPr="00105758">
        <w:rPr>
          <w:rFonts w:ascii="Arial" w:hAnsi="Arial" w:cs="Arial" w:hint="eastAsia"/>
          <w:i/>
          <w:sz w:val="18"/>
        </w:rPr>
        <w:t xml:space="preserve"> </w:t>
      </w:r>
      <w:r w:rsidRPr="00105758">
        <w:rPr>
          <w:rFonts w:ascii="Arial" w:hAnsi="Arial" w:cs="Arial"/>
          <w:i/>
          <w:sz w:val="18"/>
        </w:rPr>
        <w:t>c = HA concentration in dissolved tissue after multiplying by dilution factor;</w:t>
      </w:r>
      <w:r w:rsidRPr="00105758">
        <w:rPr>
          <w:rFonts w:ascii="Arial" w:hAnsi="Arial" w:cs="Arial" w:hint="eastAsia"/>
          <w:i/>
          <w:sz w:val="18"/>
        </w:rPr>
        <w:t xml:space="preserve"> </w:t>
      </w:r>
      <w:r w:rsidRPr="00105758">
        <w:rPr>
          <w:rFonts w:ascii="Arial" w:hAnsi="Arial" w:cs="Arial"/>
          <w:i/>
          <w:sz w:val="18"/>
        </w:rPr>
        <w:t>d = HA content per unit tissue weight.</w:t>
      </w:r>
    </w:p>
    <w:p w14:paraId="0D943C51" w14:textId="77777777" w:rsidR="00E1383D" w:rsidRDefault="00E1383D" w:rsidP="00E1383D">
      <w:pPr>
        <w:pStyle w:val="ConcHead"/>
        <w:spacing w:after="0"/>
        <w:jc w:val="both"/>
        <w:rPr>
          <w:rFonts w:ascii="Arial" w:hAnsi="Arial" w:cs="Arial"/>
        </w:rPr>
      </w:pPr>
    </w:p>
    <w:p w14:paraId="37418A04" w14:textId="4162FD17" w:rsidR="00790ADA" w:rsidRPr="00FB3A86" w:rsidRDefault="00E1383D" w:rsidP="00E1383D">
      <w:pPr>
        <w:pStyle w:val="ConcHead"/>
        <w:spacing w:after="0"/>
        <w:jc w:val="both"/>
        <w:rPr>
          <w:rFonts w:ascii="Arial" w:hAnsi="Arial" w:cs="Arial"/>
        </w:rPr>
      </w:pPr>
      <w:r>
        <w:rPr>
          <w:rFonts w:ascii="Arial" w:hAnsi="Arial" w:cs="Arial" w:hint="eastAsia"/>
        </w:rPr>
        <w:t>4. DISCUSSION</w:t>
      </w:r>
    </w:p>
    <w:p w14:paraId="4B37DBD7" w14:textId="78467E59" w:rsidR="007B51F9" w:rsidRPr="007B51F9" w:rsidRDefault="00702ECD" w:rsidP="007B51F9">
      <w:pPr>
        <w:pStyle w:val="Body"/>
        <w:rPr>
          <w:rFonts w:ascii="Arial" w:hAnsi="Arial" w:cs="Arial"/>
          <w:lang w:eastAsia="zh-CN"/>
        </w:rPr>
      </w:pPr>
      <w:r w:rsidRPr="00702ECD">
        <w:rPr>
          <w:rFonts w:ascii="Arial" w:hAnsi="Arial" w:cs="Arial"/>
        </w:rPr>
        <w:t xml:space="preserve">HA </w:t>
      </w:r>
      <w:r w:rsidR="007B51F9" w:rsidRPr="007B51F9">
        <w:rPr>
          <w:rFonts w:ascii="Arial" w:hAnsi="Arial" w:cs="Arial"/>
        </w:rPr>
        <w:t>has gained widespread application in the cosmetics, food, and pharmaceutical industries due to its remarkable moisturizing, anti-inflammatory, and tissue-reparative properties [36]. Among the various modes of administration—topical, injectable, and oral—oral delivery has attracted increasing attention as a non-invasive and potentially effective approach. However, the mechanisms underlying the absorption of orally administered HA remain unclear and are still debated in the literature. Kimura et al. proposed that HMWHA must be degraded by gastric acid, digestive enzymes, and gut microbiota into smaller fragments before absorption [26,27]. In contrast, Sato et al. demonstrated that low-molecular-weight HA (LMWHA), specifically 2000 Da, can be absorbed via both the portal vein and the intestinal lymphatic system [36], offering new insights into the absorption pathways of LMWHA.</w:t>
      </w:r>
    </w:p>
    <w:p w14:paraId="21B7646C" w14:textId="07428863" w:rsidR="007B51F9" w:rsidRPr="007B51F9" w:rsidRDefault="007B51F9" w:rsidP="007B51F9">
      <w:pPr>
        <w:pStyle w:val="Body"/>
        <w:rPr>
          <w:rFonts w:ascii="Arial" w:hAnsi="Arial" w:cs="Arial"/>
          <w:lang w:eastAsia="zh-CN"/>
        </w:rPr>
      </w:pPr>
      <w:r w:rsidRPr="007B51F9">
        <w:rPr>
          <w:rFonts w:ascii="Arial" w:hAnsi="Arial" w:cs="Arial"/>
        </w:rPr>
        <w:t xml:space="preserve">In this study, we first characterized the molecular weights of HA35 and HA70 using electrophoresis. Compared to viscosity-based methods typically used for HMWHA, electrophoresis offers a more direct and reliable assessment for LMWHA. Our results confirmed that both HA35 and HA70 have molecular weights greater than 10 </w:t>
      </w:r>
      <w:proofErr w:type="spellStart"/>
      <w:r w:rsidRPr="007B51F9">
        <w:rPr>
          <w:rFonts w:ascii="Arial" w:hAnsi="Arial" w:cs="Arial"/>
        </w:rPr>
        <w:t>kDa</w:t>
      </w:r>
      <w:proofErr w:type="spellEnd"/>
      <w:r w:rsidRPr="007B51F9">
        <w:rPr>
          <w:rFonts w:ascii="Arial" w:hAnsi="Arial" w:cs="Arial"/>
        </w:rPr>
        <w:t>. Building upon previous studies involving radiolabeled HA35 injections [31], we further investigated the oral absorption routes of HA35 and HA70. Previous studies showed that 125I-labeled HA35 rapidly accumulated in lymph nodes within 5 minutes of subcutaneous injection and entered lymphoid organs like the spleen within 10 minutes. This suggests that HA35 may exert immunomodulatory effects by promoting lymphocyte recirculation.</w:t>
      </w:r>
      <w:r w:rsidR="00F60480">
        <w:rPr>
          <w:rFonts w:ascii="Arial" w:hAnsi="Arial" w:cs="Arial" w:hint="eastAsia"/>
          <w:lang w:eastAsia="zh-CN"/>
        </w:rPr>
        <w:t xml:space="preserve"> </w:t>
      </w:r>
      <w:r w:rsidRPr="007B51F9">
        <w:rPr>
          <w:rFonts w:ascii="Arial" w:hAnsi="Arial" w:cs="Arial"/>
        </w:rPr>
        <w:t>Having established the molecular weights of HA35 and HA70, we next focused on exploring whether these two compounds follow a similar lymphatic absorption route when administered orally or are absorbed directly into the portal circulation. To this end, we used ELISA to measure HA levels in rat tissues and serum following oral administration. Our findings revealed that, consistent with previous injection studies, HA concentrations in mesenteric lymph nodes increased significantly 30 minutes post-gavage and remained elevated at 60 and 120 minutes. In contrast, portal vein blood showed comparatively modest increases in HA levels, suggesting that HA is primarily absorbed via the mesenteric lymphatic system rather than directly through the intestinal mucosa into the portal vein. The concurrent rise in HA concentrations in cardiac blood at 120 minutes further supports the notion that HA35 and HA70 enter systemic circulation through lymphatic absorption.</w:t>
      </w:r>
      <w:r w:rsidR="00F52C64">
        <w:rPr>
          <w:rFonts w:ascii="Arial" w:hAnsi="Arial" w:cs="Arial" w:hint="eastAsia"/>
          <w:lang w:eastAsia="zh-CN"/>
        </w:rPr>
        <w:t xml:space="preserve"> </w:t>
      </w:r>
      <w:r w:rsidRPr="007B51F9">
        <w:rPr>
          <w:rFonts w:ascii="Arial" w:hAnsi="Arial" w:cs="Arial"/>
        </w:rPr>
        <w:t xml:space="preserve">Interestingly, HA levels in the spleen and liver did not show significant changes post-gavage, which contrasts with findings from previous studies, where radiolabeled HA accumulated in these organs after injection [31]. This discrepancy could be attributed to the different methodologies used: while radiolabeling tracks both free and cell-bound HA, ELISA detects only unbound HA, </w:t>
      </w:r>
      <w:r w:rsidRPr="007B51F9">
        <w:rPr>
          <w:rFonts w:ascii="Arial" w:hAnsi="Arial" w:cs="Arial"/>
        </w:rPr>
        <w:lastRenderedPageBreak/>
        <w:t>potentially underestimating the total absorption in tissues like the spleen and liver. Therefore, the ELISA-based results likely reflect the levels of circulating, unbound HA35 and HA70.</w:t>
      </w:r>
      <w:r w:rsidR="00F52C64">
        <w:rPr>
          <w:rFonts w:ascii="Arial" w:hAnsi="Arial" w:cs="Arial" w:hint="eastAsia"/>
          <w:lang w:eastAsia="zh-CN"/>
        </w:rPr>
        <w:t xml:space="preserve"> </w:t>
      </w:r>
      <w:r w:rsidRPr="007B51F9">
        <w:rPr>
          <w:rFonts w:ascii="Arial" w:hAnsi="Arial" w:cs="Arial"/>
        </w:rPr>
        <w:t xml:space="preserve">Moreover, no significant differences were observed between HA35 and HA70 in terms of absorption efficiency or tissue distribution, indicating that LMWHA fragments under 100 </w:t>
      </w:r>
      <w:proofErr w:type="spellStart"/>
      <w:r w:rsidRPr="007B51F9">
        <w:rPr>
          <w:rFonts w:ascii="Arial" w:hAnsi="Arial" w:cs="Arial"/>
        </w:rPr>
        <w:t>kDa</w:t>
      </w:r>
      <w:proofErr w:type="spellEnd"/>
      <w:r w:rsidRPr="007B51F9">
        <w:rPr>
          <w:rFonts w:ascii="Arial" w:hAnsi="Arial" w:cs="Arial"/>
        </w:rPr>
        <w:t xml:space="preserve"> can be effectively absorbed via the mesenteric lymphatic system, regardless of minor differences in molecular weight. Notably, Ma et al. (2025) reported that HA70 may exhibit enhanced biological activity, as demonstrated in red blood cell physiology assays [36].</w:t>
      </w:r>
    </w:p>
    <w:p w14:paraId="37F8364F" w14:textId="1A6A5C58" w:rsidR="007B51F9" w:rsidRPr="007B51F9" w:rsidRDefault="007B51F9" w:rsidP="007B51F9">
      <w:pPr>
        <w:pStyle w:val="Body"/>
        <w:rPr>
          <w:rFonts w:ascii="Arial" w:hAnsi="Arial" w:cs="Arial"/>
          <w:lang w:eastAsia="zh-CN"/>
        </w:rPr>
      </w:pPr>
      <w:r w:rsidRPr="007B51F9">
        <w:rPr>
          <w:rFonts w:ascii="Arial" w:hAnsi="Arial" w:cs="Arial"/>
        </w:rPr>
        <w:t>Beyond its role in lymphatic recirculation and immune modulation, absorbed HA may also influence intestinal fat absorption, metabolic homeostasis, and drug delivery processes mediated by the gut lymphatic system [16]. The mesenteric lymphatic system is known to play a critical role in the transport of chylomicrons, fat-soluble vitamins, and certain peptide fragments, as well as in regulating lipid metabolism and energy balance [28]. By promoting lymphatic absorption, HA35 and HA70 could potentially influence lipid digestion and metabolic regulation. Previous studies have suggested that HA35 improves intestinal barrier function, modulates the lipid microenvironment, and reduces adipose tissue inflammation, contributing to lipolysis and fat metabolism [37]. Anecdotal reports also suggest that high doses of HA35 and HA70 (Food Production License No.: SC10637028502320) may exhibit lipolytic and facial slimming effects, although the underlying mechanisms remain poorly understood. Future research should investigate the impact of orally absorbed HA on lipid metabolism and assess its therapeutic potential in metabolic disorders.</w:t>
      </w:r>
    </w:p>
    <w:p w14:paraId="15A13C59" w14:textId="02C7EF5B" w:rsidR="007B51F9" w:rsidRPr="007B51F9" w:rsidRDefault="007B51F9" w:rsidP="007B51F9">
      <w:pPr>
        <w:pStyle w:val="Body"/>
        <w:rPr>
          <w:rFonts w:ascii="Arial" w:hAnsi="Arial" w:cs="Arial"/>
          <w:lang w:eastAsia="zh-CN"/>
        </w:rPr>
      </w:pPr>
      <w:r w:rsidRPr="007B51F9">
        <w:rPr>
          <w:rFonts w:ascii="Arial" w:hAnsi="Arial" w:cs="Arial"/>
        </w:rPr>
        <w:t>Furthermore, the unique absorption mechanism of HA35 and HA70 presents promising opportunities for oral drug delivery. One of the major challenges in oral pharmacology is overcoming hepatic first-pass metabolism, where a significant proportion of drugs are metabolized in the liver before reaching systemic circulation [40]. Lymphatic absorption offers a promising alternative, potentially enhancing the bioavailability of orally administered compounds. Given their efficient lymphatic uptake, HA35 and HA70 may serve as novel carriers for the oral delivery of anti-inflammatory agents or other macromolecules. Future studies could focus on developing HA-based nanoparticles or HA-drug conjugates to evaluate their performance in enhancing drug absorption and modulating lipid metabolism.</w:t>
      </w:r>
    </w:p>
    <w:p w14:paraId="10101948" w14:textId="6CD5A659" w:rsidR="00E1383D" w:rsidRDefault="007B51F9" w:rsidP="007B51F9">
      <w:pPr>
        <w:pStyle w:val="Body"/>
        <w:rPr>
          <w:rFonts w:ascii="Arial" w:hAnsi="Arial" w:cs="Arial"/>
        </w:rPr>
      </w:pPr>
      <w:r w:rsidRPr="007B51F9">
        <w:rPr>
          <w:rFonts w:ascii="Arial" w:hAnsi="Arial" w:cs="Arial"/>
        </w:rPr>
        <w:t>Despite the strong experimental evidence provided by this study, there are some limitations. First, the ELISA method used detects only free HA and cannot quantify cell-associated HA, potentially leading to an underestimation of total absorption. Future studies could incorporate isotopic labeling or other advanced imaging techniques to quantify both free and cell-bound HA, providing a more comprehensive view of its absorption and distribution. Second, the findings were obtained from rat models, and their applicability to humans remains uncertain. Human clinical trials are necessary to confirm the absorption dynamics and therapeutic potential of orally administered LMWHA. Additionally, the ELISA kit employed in this study is based on HA–aggrecan binding, and the low solubility and prolonged incubation times associated with aggrecan may influence assay sensitivity and accuracy</w:t>
      </w:r>
      <w:r w:rsidR="00E1383D" w:rsidRPr="00E1383D">
        <w:rPr>
          <w:rFonts w:ascii="Arial" w:hAnsi="Arial" w:cs="Arial"/>
        </w:rPr>
        <w:t>.</w:t>
      </w:r>
    </w:p>
    <w:p w14:paraId="280E1F4F" w14:textId="5B11E300" w:rsidR="00790ADA" w:rsidRPr="00FB3A86" w:rsidRDefault="00E1383D" w:rsidP="00441B6F">
      <w:pPr>
        <w:pStyle w:val="ConcHead"/>
        <w:spacing w:after="0"/>
        <w:jc w:val="both"/>
        <w:rPr>
          <w:rFonts w:ascii="Arial" w:hAnsi="Arial" w:cs="Arial"/>
          <w:lang w:eastAsia="zh-CN"/>
        </w:rPr>
      </w:pPr>
      <w:r>
        <w:rPr>
          <w:rFonts w:ascii="Arial" w:hAnsi="Arial" w:cs="Arial" w:hint="eastAsia"/>
          <w:lang w:eastAsia="zh-CN"/>
        </w:rPr>
        <w:t>5</w:t>
      </w:r>
      <w:r w:rsidR="00000F8F">
        <w:rPr>
          <w:rFonts w:ascii="Arial" w:hAnsi="Arial" w:cs="Arial"/>
        </w:rPr>
        <w:t xml:space="preserve">. </w:t>
      </w:r>
      <w:r w:rsidR="00B01FCD" w:rsidRPr="00FB3A86">
        <w:rPr>
          <w:rFonts w:ascii="Arial" w:hAnsi="Arial" w:cs="Arial"/>
        </w:rPr>
        <w:t>Conclusion</w:t>
      </w:r>
    </w:p>
    <w:p w14:paraId="40D3EAC6" w14:textId="46D25A08" w:rsidR="00B01FCD" w:rsidRDefault="00702ECD" w:rsidP="00441B6F">
      <w:pPr>
        <w:pStyle w:val="Body"/>
        <w:spacing w:after="0"/>
        <w:rPr>
          <w:rFonts w:ascii="Arial" w:hAnsi="Arial" w:cs="Arial"/>
        </w:rPr>
      </w:pPr>
      <w:r w:rsidRPr="00702ECD">
        <w:rPr>
          <w:rFonts w:ascii="Arial" w:hAnsi="Arial" w:cs="Arial"/>
        </w:rPr>
        <w:t xml:space="preserve">In conclusion, this study is the first to systematically demonstrate that LMWHA (&lt;100 </w:t>
      </w:r>
      <w:proofErr w:type="spellStart"/>
      <w:r w:rsidRPr="00702ECD">
        <w:rPr>
          <w:rFonts w:ascii="Arial" w:hAnsi="Arial" w:cs="Arial"/>
        </w:rPr>
        <w:t>kDa</w:t>
      </w:r>
      <w:proofErr w:type="spellEnd"/>
      <w:r w:rsidRPr="00702ECD">
        <w:rPr>
          <w:rFonts w:ascii="Arial" w:hAnsi="Arial" w:cs="Arial"/>
        </w:rPr>
        <w:t xml:space="preserve">), specifically HA35 and HA70, is primarily absorbed into systemic circulation via the mesenteric lymphatic immune system rather than through the traditional portal vein–liver route following oral administration. </w:t>
      </w:r>
      <w:r w:rsidR="00D67053" w:rsidRPr="00D67053">
        <w:rPr>
          <w:rFonts w:ascii="Arial" w:hAnsi="Arial" w:cs="Arial"/>
        </w:rPr>
        <w:t>These findings offer new insights into the absorption mechanisms of orally delivered HA and pave the way for future clinical trials aimed at exploring its physiological functions and potential applications in metabolic health and drug delivery</w:t>
      </w:r>
      <w:r w:rsidR="00E1383D" w:rsidRPr="00E1383D">
        <w:rPr>
          <w:rFonts w:ascii="Arial" w:hAnsi="Arial" w:cs="Arial"/>
        </w:rPr>
        <w:t>.</w:t>
      </w:r>
    </w:p>
    <w:p w14:paraId="1CE275F0" w14:textId="77777777" w:rsidR="00790ADA" w:rsidRPr="00FB3A86" w:rsidRDefault="00790ADA" w:rsidP="00441B6F">
      <w:pPr>
        <w:pStyle w:val="Body"/>
        <w:spacing w:after="0"/>
        <w:rPr>
          <w:rFonts w:ascii="Arial" w:hAnsi="Arial" w:cs="Arial"/>
        </w:rPr>
      </w:pPr>
    </w:p>
    <w:p w14:paraId="5825B229" w14:textId="4D640BD8" w:rsidR="005C784C" w:rsidRPr="002B685A" w:rsidRDefault="005C784C" w:rsidP="00441B6F">
      <w:pPr>
        <w:pStyle w:val="ReferHead"/>
        <w:spacing w:after="0"/>
        <w:jc w:val="both"/>
        <w:rPr>
          <w:rFonts w:ascii="Arial" w:hAnsi="Arial" w:cs="Arial"/>
          <w:bCs/>
          <w:lang w:eastAsia="zh-CN"/>
        </w:rPr>
      </w:pPr>
      <w:r>
        <w:rPr>
          <w:rFonts w:ascii="Arial" w:hAnsi="Arial" w:cs="Arial"/>
          <w:bCs/>
        </w:rPr>
        <w:lastRenderedPageBreak/>
        <w:t xml:space="preserve">Ethical approval </w:t>
      </w:r>
    </w:p>
    <w:p w14:paraId="13B7BDE7" w14:textId="5E2F09FB" w:rsidR="00860000" w:rsidRPr="004618E8" w:rsidRDefault="00840D33" w:rsidP="004618E8">
      <w:pPr>
        <w:pStyle w:val="ReferHead"/>
        <w:jc w:val="both"/>
        <w:rPr>
          <w:rFonts w:ascii="Arial" w:hAnsi="Arial" w:cs="Arial"/>
          <w:b w:val="0"/>
          <w:caps w:val="0"/>
          <w:sz w:val="20"/>
          <w:lang w:eastAsia="zh-CN"/>
        </w:rPr>
      </w:pPr>
      <w:r w:rsidRPr="00840D33">
        <w:rPr>
          <w:rFonts w:ascii="Arial" w:hAnsi="Arial" w:cs="Arial"/>
          <w:b w:val="0"/>
          <w:caps w:val="0"/>
          <w:sz w:val="20"/>
          <w:lang w:eastAsia="zh-CN"/>
        </w:rPr>
        <w:t xml:space="preserve">The </w:t>
      </w:r>
      <w:r w:rsidRPr="00840D33">
        <w:rPr>
          <w:rFonts w:ascii="Arial" w:hAnsi="Arial" w:cs="Arial"/>
          <w:b w:val="0"/>
          <w:caps w:val="0"/>
          <w:sz w:val="20"/>
        </w:rPr>
        <w:t>Animal Care and Use Committee of Longcore Biotech (Qingdao) Co., Ltd.,</w:t>
      </w:r>
      <w:r w:rsidRPr="00840D33">
        <w:rPr>
          <w:rFonts w:ascii="Arial" w:hAnsi="Arial" w:cs="Arial"/>
          <w:b w:val="0"/>
          <w:caps w:val="0"/>
          <w:sz w:val="20"/>
          <w:lang w:eastAsia="zh-CN"/>
        </w:rPr>
        <w:t xml:space="preserve"> approved the protocol of this study. All experimental animal tests were carried out according to the 2016 China Laboratory Animal Standards and other related regulations in the Animal Welfare Law.</w:t>
      </w:r>
    </w:p>
    <w:p w14:paraId="56BFA6AC" w14:textId="254CD859" w:rsidR="00284C4C" w:rsidRPr="00D07F4A" w:rsidRDefault="00B01FCD" w:rsidP="00D07F4A">
      <w:pPr>
        <w:pStyle w:val="ReferHead"/>
        <w:spacing w:after="0"/>
        <w:jc w:val="both"/>
        <w:rPr>
          <w:rFonts w:ascii="Arial" w:hAnsi="Arial" w:cs="Arial"/>
        </w:rPr>
      </w:pPr>
      <w:r w:rsidRPr="00FB3A86">
        <w:rPr>
          <w:rFonts w:ascii="Arial" w:hAnsi="Arial" w:cs="Arial"/>
        </w:rPr>
        <w:t>References</w:t>
      </w:r>
    </w:p>
    <w:p w14:paraId="2050C28B" w14:textId="55E0E66C" w:rsidR="008124A9" w:rsidRPr="008124A9" w:rsidRDefault="008124A9" w:rsidP="00EB2A62">
      <w:pPr>
        <w:pStyle w:val="Body"/>
        <w:numPr>
          <w:ilvl w:val="0"/>
          <w:numId w:val="34"/>
        </w:numPr>
        <w:rPr>
          <w:bCs/>
          <w:iCs/>
          <w:lang w:eastAsia="zh-CN"/>
        </w:rPr>
      </w:pPr>
      <w:proofErr w:type="spellStart"/>
      <w:r w:rsidRPr="008124A9">
        <w:rPr>
          <w:bCs/>
          <w:iCs/>
          <w:lang w:eastAsia="zh-CN"/>
        </w:rPr>
        <w:t>Hargittai</w:t>
      </w:r>
      <w:proofErr w:type="spellEnd"/>
      <w:r w:rsidRPr="008124A9">
        <w:rPr>
          <w:bCs/>
          <w:iCs/>
          <w:lang w:eastAsia="zh-CN"/>
        </w:rPr>
        <w:t xml:space="preserve">, I. (2010). Pioneer of hyaluronan structural chemistry and other studies of polysaccharides: </w:t>
      </w:r>
      <w:proofErr w:type="spellStart"/>
      <w:r w:rsidRPr="008124A9">
        <w:rPr>
          <w:bCs/>
          <w:iCs/>
          <w:lang w:eastAsia="zh-CN"/>
        </w:rPr>
        <w:t>Torvard</w:t>
      </w:r>
      <w:proofErr w:type="spellEnd"/>
      <w:r w:rsidRPr="008124A9">
        <w:rPr>
          <w:bCs/>
          <w:iCs/>
          <w:lang w:eastAsia="zh-CN"/>
        </w:rPr>
        <w:t xml:space="preserve"> C. Laurent (1930–2009). Structural Chemistry, 21(4), 471–480. </w:t>
      </w:r>
    </w:p>
    <w:p w14:paraId="55440E8F" w14:textId="4DE13697" w:rsidR="008124A9" w:rsidRPr="008124A9" w:rsidRDefault="008124A9" w:rsidP="00EB2A62">
      <w:pPr>
        <w:pStyle w:val="Body"/>
        <w:numPr>
          <w:ilvl w:val="0"/>
          <w:numId w:val="34"/>
        </w:numPr>
        <w:rPr>
          <w:bCs/>
          <w:iCs/>
          <w:lang w:eastAsia="zh-CN"/>
        </w:rPr>
      </w:pPr>
      <w:r w:rsidRPr="008124A9">
        <w:rPr>
          <w:bCs/>
          <w:iCs/>
          <w:lang w:eastAsia="zh-CN"/>
        </w:rPr>
        <w:t xml:space="preserve">Marshall, K. W. (1998). </w:t>
      </w:r>
      <w:proofErr w:type="spellStart"/>
      <w:r w:rsidRPr="008124A9">
        <w:rPr>
          <w:bCs/>
          <w:iCs/>
          <w:lang w:eastAsia="zh-CN"/>
        </w:rPr>
        <w:t>Viscosupplementation</w:t>
      </w:r>
      <w:proofErr w:type="spellEnd"/>
      <w:r w:rsidRPr="008124A9">
        <w:rPr>
          <w:bCs/>
          <w:iCs/>
          <w:lang w:eastAsia="zh-CN"/>
        </w:rPr>
        <w:t xml:space="preserve"> for osteoarthritis: Current status, unresolved issues, and future directions. Journal of Rheumatology, 25(11), 2056–2058.</w:t>
      </w:r>
    </w:p>
    <w:p w14:paraId="2EEF6967" w14:textId="54BBB866" w:rsidR="008124A9" w:rsidRPr="008124A9" w:rsidRDefault="008124A9" w:rsidP="00EB2A62">
      <w:pPr>
        <w:pStyle w:val="Body"/>
        <w:numPr>
          <w:ilvl w:val="0"/>
          <w:numId w:val="34"/>
        </w:numPr>
        <w:rPr>
          <w:bCs/>
          <w:iCs/>
          <w:lang w:eastAsia="zh-CN"/>
        </w:rPr>
      </w:pPr>
      <w:r w:rsidRPr="008124A9">
        <w:rPr>
          <w:bCs/>
          <w:iCs/>
          <w:lang w:eastAsia="zh-CN"/>
        </w:rPr>
        <w:t>Huerta Angeles, G., &amp; Neporova, K. (2021). Hyaluronan and its derivatives for ophthalmology: Recent advances and future perspectives. Carbohydrate Polymers, 259, 117697.</w:t>
      </w:r>
    </w:p>
    <w:p w14:paraId="31AB6C03" w14:textId="2954265E" w:rsidR="008124A9" w:rsidRPr="008124A9" w:rsidRDefault="008124A9" w:rsidP="00EB2A62">
      <w:pPr>
        <w:pStyle w:val="Body"/>
        <w:numPr>
          <w:ilvl w:val="0"/>
          <w:numId w:val="34"/>
        </w:numPr>
        <w:rPr>
          <w:bCs/>
          <w:iCs/>
          <w:lang w:eastAsia="zh-CN"/>
        </w:rPr>
      </w:pPr>
      <w:r w:rsidRPr="008124A9">
        <w:rPr>
          <w:bCs/>
          <w:iCs/>
          <w:lang w:eastAsia="zh-CN"/>
        </w:rPr>
        <w:t>Beasley, K. L., Weiss, M. A., &amp; Weiss, R. A. (2009). Hyaluronic acid fillers: A comprehensive review. Facial Plastic Surgery, 25(2), 86–94.</w:t>
      </w:r>
    </w:p>
    <w:p w14:paraId="185B6F88" w14:textId="532CA479" w:rsidR="008124A9" w:rsidRPr="008124A9" w:rsidRDefault="008124A9" w:rsidP="00EB2A62">
      <w:pPr>
        <w:pStyle w:val="Body"/>
        <w:numPr>
          <w:ilvl w:val="0"/>
          <w:numId w:val="34"/>
        </w:numPr>
        <w:rPr>
          <w:bCs/>
          <w:iCs/>
          <w:lang w:eastAsia="zh-CN"/>
        </w:rPr>
      </w:pPr>
      <w:r w:rsidRPr="008124A9">
        <w:rPr>
          <w:bCs/>
          <w:iCs/>
          <w:lang w:eastAsia="zh-CN"/>
        </w:rPr>
        <w:t>Kramer, K., Senninger, N., Herbst, H., et al. (2002). Effective prevention of adhesions with hyaluronate. Archives of Surgery, 137(3), 278–282.</w:t>
      </w:r>
    </w:p>
    <w:p w14:paraId="06D26FFA" w14:textId="75CA4F4A" w:rsidR="008124A9" w:rsidRPr="008124A9" w:rsidRDefault="008124A9" w:rsidP="00EB2A62">
      <w:pPr>
        <w:pStyle w:val="Body"/>
        <w:numPr>
          <w:ilvl w:val="0"/>
          <w:numId w:val="34"/>
        </w:numPr>
        <w:rPr>
          <w:bCs/>
          <w:iCs/>
          <w:lang w:eastAsia="zh-CN"/>
        </w:rPr>
      </w:pPr>
      <w:r w:rsidRPr="008124A9">
        <w:rPr>
          <w:bCs/>
          <w:iCs/>
          <w:lang w:eastAsia="zh-CN"/>
        </w:rPr>
        <w:t xml:space="preserve">Sherif, H., </w:t>
      </w:r>
      <w:proofErr w:type="spellStart"/>
      <w:r w:rsidRPr="008124A9">
        <w:rPr>
          <w:bCs/>
          <w:iCs/>
          <w:lang w:eastAsia="zh-CN"/>
        </w:rPr>
        <w:t>Sebay</w:t>
      </w:r>
      <w:proofErr w:type="spellEnd"/>
      <w:r w:rsidRPr="008124A9">
        <w:rPr>
          <w:bCs/>
          <w:iCs/>
          <w:lang w:eastAsia="zh-CN"/>
        </w:rPr>
        <w:t>, A., Kandeel, W., et al. (2018). Safety and efficacy of intravesical hyaluronic acid/chondroitin sulfate in the treatment of refractory painful bladder syndrome. Turkish Journal of Urology, 45(4), 296–301.</w:t>
      </w:r>
    </w:p>
    <w:p w14:paraId="521E8CCE" w14:textId="2881A4BF" w:rsidR="008124A9" w:rsidRPr="008124A9" w:rsidRDefault="008124A9" w:rsidP="00EB2A62">
      <w:pPr>
        <w:pStyle w:val="Body"/>
        <w:numPr>
          <w:ilvl w:val="0"/>
          <w:numId w:val="34"/>
        </w:numPr>
        <w:rPr>
          <w:bCs/>
          <w:iCs/>
          <w:lang w:eastAsia="zh-CN"/>
        </w:rPr>
      </w:pPr>
      <w:proofErr w:type="spellStart"/>
      <w:r w:rsidRPr="008124A9">
        <w:rPr>
          <w:bCs/>
          <w:iCs/>
          <w:lang w:eastAsia="zh-CN"/>
        </w:rPr>
        <w:t>Hynnekleiv</w:t>
      </w:r>
      <w:proofErr w:type="spellEnd"/>
      <w:r w:rsidRPr="008124A9">
        <w:rPr>
          <w:bCs/>
          <w:iCs/>
          <w:lang w:eastAsia="zh-CN"/>
        </w:rPr>
        <w:t xml:space="preserve">, L., Magno, M., </w:t>
      </w:r>
      <w:proofErr w:type="spellStart"/>
      <w:r w:rsidRPr="008124A9">
        <w:rPr>
          <w:bCs/>
          <w:iCs/>
          <w:lang w:eastAsia="zh-CN"/>
        </w:rPr>
        <w:t>Vernhardsdottir</w:t>
      </w:r>
      <w:proofErr w:type="spellEnd"/>
      <w:r w:rsidRPr="008124A9">
        <w:rPr>
          <w:bCs/>
          <w:iCs/>
          <w:lang w:eastAsia="zh-CN"/>
        </w:rPr>
        <w:t xml:space="preserve">, R. R., et al. (2022). Hyaluronic acid in the treatment of dry eye disease. Acta </w:t>
      </w:r>
      <w:proofErr w:type="spellStart"/>
      <w:r w:rsidRPr="008124A9">
        <w:rPr>
          <w:bCs/>
          <w:iCs/>
          <w:lang w:eastAsia="zh-CN"/>
        </w:rPr>
        <w:t>Ophthalmologica</w:t>
      </w:r>
      <w:proofErr w:type="spellEnd"/>
      <w:r w:rsidRPr="008124A9">
        <w:rPr>
          <w:bCs/>
          <w:iCs/>
          <w:lang w:eastAsia="zh-CN"/>
        </w:rPr>
        <w:t>, 100(8), 844–860.</w:t>
      </w:r>
    </w:p>
    <w:p w14:paraId="790CA382" w14:textId="64CBC478" w:rsidR="008124A9" w:rsidRPr="008124A9" w:rsidRDefault="008124A9" w:rsidP="00EB2A62">
      <w:pPr>
        <w:pStyle w:val="Body"/>
        <w:numPr>
          <w:ilvl w:val="0"/>
          <w:numId w:val="34"/>
        </w:numPr>
        <w:rPr>
          <w:bCs/>
          <w:iCs/>
          <w:lang w:eastAsia="zh-CN"/>
        </w:rPr>
      </w:pPr>
      <w:r w:rsidRPr="008124A9">
        <w:rPr>
          <w:bCs/>
          <w:iCs/>
          <w:lang w:eastAsia="zh-CN"/>
        </w:rPr>
        <w:t>Chaudhry, G. E., Akim, A., Naveed Zafar, M., et al. (2021). Understanding hyaluronan receptor (CD44) interaction, HA-CD44 activated potential targets in cancer therapeutics. Advanced Pharmaceutical Bulletin, 11(3), 426–438.</w:t>
      </w:r>
    </w:p>
    <w:p w14:paraId="74E9A8E9" w14:textId="1E0A145E" w:rsidR="008124A9" w:rsidRPr="008124A9" w:rsidRDefault="008124A9" w:rsidP="00EB2A62">
      <w:pPr>
        <w:pStyle w:val="Body"/>
        <w:numPr>
          <w:ilvl w:val="0"/>
          <w:numId w:val="34"/>
        </w:numPr>
        <w:rPr>
          <w:bCs/>
          <w:iCs/>
          <w:lang w:eastAsia="zh-CN"/>
        </w:rPr>
      </w:pPr>
      <w:r w:rsidRPr="008124A9">
        <w:rPr>
          <w:bCs/>
          <w:iCs/>
          <w:lang w:eastAsia="zh-CN"/>
        </w:rPr>
        <w:t>Johnson, L. A., &amp; Jackson, D. G. (2021). Hyaluronan and its receptors: Key mediators of immune cell entry and trafficking in the lymphatic system. Cells, 10(8), 2061.</w:t>
      </w:r>
    </w:p>
    <w:p w14:paraId="4301E80F" w14:textId="128A8F42" w:rsidR="008124A9" w:rsidRPr="008124A9" w:rsidRDefault="008124A9" w:rsidP="00EB2A62">
      <w:pPr>
        <w:pStyle w:val="Body"/>
        <w:numPr>
          <w:ilvl w:val="0"/>
          <w:numId w:val="34"/>
        </w:numPr>
        <w:rPr>
          <w:bCs/>
          <w:iCs/>
          <w:lang w:eastAsia="zh-CN"/>
        </w:rPr>
      </w:pPr>
      <w:r w:rsidRPr="008124A9">
        <w:rPr>
          <w:bCs/>
          <w:iCs/>
          <w:lang w:eastAsia="zh-CN"/>
        </w:rPr>
        <w:t xml:space="preserve">Messam, B. J., </w:t>
      </w:r>
      <w:proofErr w:type="spellStart"/>
      <w:r w:rsidRPr="008124A9">
        <w:rPr>
          <w:bCs/>
          <w:iCs/>
          <w:lang w:eastAsia="zh-CN"/>
        </w:rPr>
        <w:t>Tolg</w:t>
      </w:r>
      <w:proofErr w:type="spellEnd"/>
      <w:r w:rsidRPr="008124A9">
        <w:rPr>
          <w:bCs/>
          <w:iCs/>
          <w:lang w:eastAsia="zh-CN"/>
        </w:rPr>
        <w:t>, C., McCarthy, J. B., et al. (2021). RHAMM is a multifunctional protein that regulates cancer progression. International Journal of Molecular Sciences, 22(19), 10313.</w:t>
      </w:r>
    </w:p>
    <w:p w14:paraId="3B305334" w14:textId="68F85535" w:rsidR="008124A9" w:rsidRPr="008124A9" w:rsidRDefault="008124A9" w:rsidP="00EB2A62">
      <w:pPr>
        <w:pStyle w:val="Body"/>
        <w:numPr>
          <w:ilvl w:val="0"/>
          <w:numId w:val="34"/>
        </w:numPr>
        <w:rPr>
          <w:bCs/>
          <w:iCs/>
          <w:lang w:eastAsia="zh-CN"/>
        </w:rPr>
      </w:pPr>
      <w:r w:rsidRPr="008124A9">
        <w:rPr>
          <w:bCs/>
          <w:iCs/>
          <w:lang w:eastAsia="zh-CN"/>
        </w:rPr>
        <w:t>Pandey, M. S., Harris, E. N., &amp; Weigel, P. H. (2015). HARE-mediated endocytosis of hyaluronan and heparin is targeted by different subsets of three endocytic motifs. International Journal of Cell Biology, 2015, 524707.</w:t>
      </w:r>
    </w:p>
    <w:p w14:paraId="47F4BDDE" w14:textId="0DFAF3B6" w:rsidR="008124A9" w:rsidRPr="008124A9" w:rsidRDefault="008124A9" w:rsidP="00EB2A62">
      <w:pPr>
        <w:pStyle w:val="Body"/>
        <w:numPr>
          <w:ilvl w:val="0"/>
          <w:numId w:val="34"/>
        </w:numPr>
        <w:rPr>
          <w:bCs/>
          <w:iCs/>
          <w:lang w:eastAsia="zh-CN"/>
        </w:rPr>
      </w:pPr>
      <w:r w:rsidRPr="008124A9">
        <w:rPr>
          <w:bCs/>
          <w:iCs/>
          <w:lang w:eastAsia="zh-CN"/>
        </w:rPr>
        <w:t>Mei, Y., Wang, X., Zhang, J., et al. (2023). Siglec-9 acts as an immune-checkpoint molecule on macrophages in glioblastoma, restricting T-cell priming and immunotherapy response. Nature Cancer, 4, 1273–1291.</w:t>
      </w:r>
    </w:p>
    <w:p w14:paraId="1324CE89" w14:textId="76620700" w:rsidR="008124A9" w:rsidRPr="008124A9" w:rsidRDefault="008124A9" w:rsidP="00EB2A62">
      <w:pPr>
        <w:pStyle w:val="Body"/>
        <w:numPr>
          <w:ilvl w:val="0"/>
          <w:numId w:val="34"/>
        </w:numPr>
        <w:rPr>
          <w:bCs/>
          <w:iCs/>
          <w:lang w:eastAsia="zh-CN"/>
        </w:rPr>
      </w:pPr>
      <w:r w:rsidRPr="008124A9">
        <w:rPr>
          <w:bCs/>
          <w:iCs/>
          <w:lang w:eastAsia="zh-CN"/>
        </w:rPr>
        <w:t>Jiang, D., Liang, J., Fan, J., et al. (2005). Regulation of lung injury and repair by Toll-like receptors and hyaluronan. Nature Medicine, 11(11), 1173–1179.</w:t>
      </w:r>
    </w:p>
    <w:p w14:paraId="06140BEE" w14:textId="26C4FA78" w:rsidR="008124A9" w:rsidRPr="008124A9" w:rsidRDefault="008124A9" w:rsidP="00EB2A62">
      <w:pPr>
        <w:pStyle w:val="Body"/>
        <w:numPr>
          <w:ilvl w:val="0"/>
          <w:numId w:val="34"/>
        </w:numPr>
        <w:rPr>
          <w:bCs/>
          <w:iCs/>
          <w:lang w:eastAsia="zh-CN"/>
        </w:rPr>
      </w:pPr>
      <w:proofErr w:type="spellStart"/>
      <w:r w:rsidRPr="008124A9">
        <w:rPr>
          <w:bCs/>
          <w:iCs/>
          <w:lang w:eastAsia="zh-CN"/>
        </w:rPr>
        <w:lastRenderedPageBreak/>
        <w:t>Domanegg</w:t>
      </w:r>
      <w:proofErr w:type="spellEnd"/>
      <w:r w:rsidRPr="008124A9">
        <w:rPr>
          <w:bCs/>
          <w:iCs/>
          <w:lang w:eastAsia="zh-CN"/>
        </w:rPr>
        <w:t>, K., Sleeman, J. P., &amp; Schmaus, A. (2022). CEMIP, a promising biomarker that promotes the progression and metastasis of colorectal and other types of cancer. Cancers, 14(20), 5093.</w:t>
      </w:r>
    </w:p>
    <w:p w14:paraId="4A1A58BE" w14:textId="0AB0626F" w:rsidR="008124A9" w:rsidRPr="008124A9" w:rsidRDefault="008124A9" w:rsidP="00EB2A62">
      <w:pPr>
        <w:pStyle w:val="Body"/>
        <w:numPr>
          <w:ilvl w:val="0"/>
          <w:numId w:val="34"/>
        </w:numPr>
        <w:rPr>
          <w:bCs/>
          <w:iCs/>
          <w:lang w:eastAsia="zh-CN"/>
        </w:rPr>
      </w:pPr>
      <w:proofErr w:type="spellStart"/>
      <w:r w:rsidRPr="008124A9">
        <w:rPr>
          <w:bCs/>
          <w:iCs/>
          <w:lang w:eastAsia="zh-CN"/>
        </w:rPr>
        <w:t>Tobisawa</w:t>
      </w:r>
      <w:proofErr w:type="spellEnd"/>
      <w:r w:rsidRPr="008124A9">
        <w:rPr>
          <w:bCs/>
          <w:iCs/>
          <w:lang w:eastAsia="zh-CN"/>
        </w:rPr>
        <w:t>, Y., Fujita, N., Yamamoto, H., et al. (2021). The cell surface hyaluronidase TMEM2 is essential for systemic hyaluronan catabolism and turnover. Journal of Biological Chemistry, 297(5), 101281.</w:t>
      </w:r>
    </w:p>
    <w:p w14:paraId="6FCB3C19" w14:textId="397482BC" w:rsidR="008124A9" w:rsidRPr="008124A9" w:rsidRDefault="008124A9" w:rsidP="00EB2A62">
      <w:pPr>
        <w:pStyle w:val="Body"/>
        <w:numPr>
          <w:ilvl w:val="0"/>
          <w:numId w:val="34"/>
        </w:numPr>
        <w:rPr>
          <w:bCs/>
          <w:iCs/>
          <w:lang w:eastAsia="zh-CN"/>
        </w:rPr>
      </w:pPr>
      <w:r w:rsidRPr="008124A9">
        <w:rPr>
          <w:bCs/>
          <w:iCs/>
          <w:lang w:eastAsia="zh-CN"/>
        </w:rPr>
        <w:t xml:space="preserve">Zheng, X., Wang, B., Tang, X., Mao, B., Zhang, Q., Zhang, T., Zhao, J., Cui, S., &amp; Chen, W. (2023). Absorption, metabolism, and functions of hyaluronic acid and its therapeutic prospects in combination with microorganisms: A review. Carbohydrate Polymers, 299, 120153. </w:t>
      </w:r>
    </w:p>
    <w:p w14:paraId="62CD8B6F" w14:textId="3A5B412E" w:rsidR="008124A9" w:rsidRPr="008124A9" w:rsidRDefault="008124A9" w:rsidP="00EB2A62">
      <w:pPr>
        <w:pStyle w:val="Body"/>
        <w:numPr>
          <w:ilvl w:val="0"/>
          <w:numId w:val="34"/>
        </w:numPr>
        <w:rPr>
          <w:bCs/>
          <w:iCs/>
          <w:lang w:eastAsia="zh-CN"/>
        </w:rPr>
      </w:pPr>
      <w:r w:rsidRPr="008124A9">
        <w:rPr>
          <w:bCs/>
          <w:iCs/>
          <w:lang w:eastAsia="zh-CN"/>
        </w:rPr>
        <w:t xml:space="preserve">Xu, F., Treger, D., Ma, X., et al. (2024). Local injection of a freshly manufactured 35 </w:t>
      </w:r>
      <w:proofErr w:type="spellStart"/>
      <w:r w:rsidRPr="008124A9">
        <w:rPr>
          <w:bCs/>
          <w:iCs/>
          <w:lang w:eastAsia="zh-CN"/>
        </w:rPr>
        <w:t>kDa</w:t>
      </w:r>
      <w:proofErr w:type="spellEnd"/>
      <w:r w:rsidRPr="008124A9">
        <w:rPr>
          <w:bCs/>
          <w:iCs/>
          <w:lang w:eastAsia="zh-CN"/>
        </w:rPr>
        <w:t xml:space="preserve"> hyaluronan fragment reduces neuropathic and inflammatory pain: A clinical study. European Journal of Inflammation, 22. </w:t>
      </w:r>
    </w:p>
    <w:p w14:paraId="026B0103" w14:textId="2FF26B6D" w:rsidR="008124A9" w:rsidRPr="008124A9" w:rsidRDefault="008124A9" w:rsidP="00EB2A62">
      <w:pPr>
        <w:pStyle w:val="Body"/>
        <w:numPr>
          <w:ilvl w:val="0"/>
          <w:numId w:val="34"/>
        </w:numPr>
        <w:rPr>
          <w:bCs/>
          <w:iCs/>
          <w:lang w:eastAsia="zh-CN"/>
        </w:rPr>
      </w:pPr>
      <w:r w:rsidRPr="008124A9">
        <w:rPr>
          <w:bCs/>
          <w:iCs/>
          <w:lang w:eastAsia="zh-CN"/>
        </w:rPr>
        <w:t xml:space="preserve">Treger, D., Zhang, L., Jia, X., Hui, J. H., Gantumur, M. A., Hui, M., &amp; Liu, L. (2024). A clinical study of the local injection of a freshly manufactured 35 </w:t>
      </w:r>
      <w:proofErr w:type="spellStart"/>
      <w:r w:rsidRPr="008124A9">
        <w:rPr>
          <w:bCs/>
          <w:iCs/>
          <w:lang w:eastAsia="zh-CN"/>
        </w:rPr>
        <w:t>kDa</w:t>
      </w:r>
      <w:proofErr w:type="spellEnd"/>
      <w:r w:rsidRPr="008124A9">
        <w:rPr>
          <w:bCs/>
          <w:iCs/>
          <w:lang w:eastAsia="zh-CN"/>
        </w:rPr>
        <w:t xml:space="preserve"> hyaluronan fragment for treating chronic wounds. International Wound Journal, 21(5), e14906. </w:t>
      </w:r>
    </w:p>
    <w:p w14:paraId="5E1281D7" w14:textId="236726CF" w:rsidR="008124A9" w:rsidRPr="008124A9" w:rsidRDefault="008124A9" w:rsidP="00EB2A62">
      <w:pPr>
        <w:pStyle w:val="Body"/>
        <w:numPr>
          <w:ilvl w:val="0"/>
          <w:numId w:val="34"/>
        </w:numPr>
        <w:rPr>
          <w:bCs/>
          <w:iCs/>
          <w:lang w:eastAsia="zh-CN"/>
        </w:rPr>
      </w:pPr>
      <w:r w:rsidRPr="008124A9">
        <w:rPr>
          <w:bCs/>
          <w:iCs/>
          <w:lang w:eastAsia="zh-CN"/>
        </w:rPr>
        <w:t xml:space="preserve">Dashnyam, K., Treger, D., Jia, X., et al. (2023). Injection of 35 </w:t>
      </w:r>
      <w:proofErr w:type="spellStart"/>
      <w:r w:rsidRPr="008124A9">
        <w:rPr>
          <w:bCs/>
          <w:iCs/>
          <w:lang w:eastAsia="zh-CN"/>
        </w:rPr>
        <w:t>kDa</w:t>
      </w:r>
      <w:proofErr w:type="spellEnd"/>
      <w:r w:rsidRPr="008124A9">
        <w:rPr>
          <w:bCs/>
          <w:iCs/>
          <w:lang w:eastAsia="zh-CN"/>
        </w:rPr>
        <w:t xml:space="preserve"> hyaluronan fragment alleviates pain associated with radiotherapy for treatment of colorectal and rectal cancer. [Journal Name], 1(1), 131–135.</w:t>
      </w:r>
    </w:p>
    <w:p w14:paraId="070C0654" w14:textId="285202F2" w:rsidR="008124A9" w:rsidRPr="008124A9" w:rsidRDefault="008124A9" w:rsidP="00EB2A62">
      <w:pPr>
        <w:pStyle w:val="Body"/>
        <w:numPr>
          <w:ilvl w:val="0"/>
          <w:numId w:val="34"/>
        </w:numPr>
        <w:rPr>
          <w:bCs/>
          <w:iCs/>
          <w:lang w:eastAsia="zh-CN"/>
        </w:rPr>
      </w:pPr>
      <w:r w:rsidRPr="008124A9">
        <w:rPr>
          <w:bCs/>
          <w:iCs/>
          <w:lang w:eastAsia="zh-CN"/>
        </w:rPr>
        <w:t xml:space="preserve">Zhang, Z., Jia, X., Treger, D., &amp; Hui, M. (2024). Low molecular weight 35 </w:t>
      </w:r>
      <w:proofErr w:type="spellStart"/>
      <w:r w:rsidRPr="008124A9">
        <w:rPr>
          <w:bCs/>
          <w:iCs/>
          <w:lang w:eastAsia="zh-CN"/>
        </w:rPr>
        <w:t>kDa</w:t>
      </w:r>
      <w:proofErr w:type="spellEnd"/>
      <w:r w:rsidRPr="008124A9">
        <w:rPr>
          <w:bCs/>
          <w:iCs/>
          <w:lang w:eastAsia="zh-CN"/>
        </w:rPr>
        <w:t xml:space="preserve"> hyaluronan fragment HA35 in the treatment of bone metastasis pain: A case report. Medicine, 103(31), e39145. </w:t>
      </w:r>
    </w:p>
    <w:p w14:paraId="52F09AC8" w14:textId="25D80338" w:rsidR="00F2656A" w:rsidRPr="003B6E71" w:rsidRDefault="00F2656A" w:rsidP="00EB2A62">
      <w:pPr>
        <w:pStyle w:val="Body"/>
        <w:numPr>
          <w:ilvl w:val="0"/>
          <w:numId w:val="34"/>
        </w:numPr>
        <w:rPr>
          <w:bCs/>
          <w:iCs/>
          <w:lang w:eastAsia="zh-CN"/>
        </w:rPr>
      </w:pPr>
      <w:r w:rsidRPr="003B6E71">
        <w:rPr>
          <w:bCs/>
          <w:iCs/>
          <w:lang w:eastAsia="zh-CN"/>
        </w:rPr>
        <w:t xml:space="preserve">Hui, M., Hui, J., Gantumur, M., &amp; Treger, D. (2024). Clinical functions and bioactivities of hyaluronan and its fragments: A minireview. Current Trends in Biomedical Engineering &amp; Biosciences, 22(3), 556087. </w:t>
      </w:r>
    </w:p>
    <w:p w14:paraId="736ED38E" w14:textId="6936C1B8" w:rsidR="00F2656A" w:rsidRPr="003B6E71" w:rsidRDefault="00F2656A" w:rsidP="00EB2A62">
      <w:pPr>
        <w:pStyle w:val="Body"/>
        <w:numPr>
          <w:ilvl w:val="0"/>
          <w:numId w:val="34"/>
        </w:numPr>
        <w:rPr>
          <w:bCs/>
          <w:iCs/>
          <w:lang w:eastAsia="zh-CN"/>
        </w:rPr>
      </w:pPr>
      <w:proofErr w:type="spellStart"/>
      <w:r w:rsidRPr="003B6E71">
        <w:rPr>
          <w:bCs/>
          <w:iCs/>
          <w:lang w:eastAsia="zh-CN"/>
        </w:rPr>
        <w:t>Purevsuren</w:t>
      </w:r>
      <w:proofErr w:type="spellEnd"/>
      <w:r w:rsidRPr="003B6E71">
        <w:rPr>
          <w:bCs/>
          <w:iCs/>
          <w:lang w:eastAsia="zh-CN"/>
        </w:rPr>
        <w:t xml:space="preserve">, E., Treger, D., Ma, Z., Jia, X., Ganbaatar, T., Gantumur, M., Hui, M., &amp; </w:t>
      </w:r>
      <w:proofErr w:type="spellStart"/>
      <w:r w:rsidRPr="003B6E71">
        <w:rPr>
          <w:bCs/>
          <w:iCs/>
          <w:lang w:eastAsia="zh-CN"/>
        </w:rPr>
        <w:t>Nkhtuvshin</w:t>
      </w:r>
      <w:proofErr w:type="spellEnd"/>
      <w:r w:rsidRPr="003B6E71">
        <w:rPr>
          <w:bCs/>
          <w:iCs/>
          <w:lang w:eastAsia="zh-CN"/>
        </w:rPr>
        <w:t xml:space="preserve">, D. (2025). Therapeutic effects of 35 </w:t>
      </w:r>
      <w:proofErr w:type="spellStart"/>
      <w:r w:rsidRPr="003B6E71">
        <w:rPr>
          <w:bCs/>
          <w:iCs/>
          <w:lang w:eastAsia="zh-CN"/>
        </w:rPr>
        <w:t>kDa</w:t>
      </w:r>
      <w:proofErr w:type="spellEnd"/>
      <w:r w:rsidRPr="003B6E71">
        <w:rPr>
          <w:bCs/>
          <w:iCs/>
          <w:lang w:eastAsia="zh-CN"/>
        </w:rPr>
        <w:t xml:space="preserve"> hyaluronan injection at trigger points in the treatment of myofascial pain syndrome. International Journal of Clinical Medicine, 16, 1–15. </w:t>
      </w:r>
    </w:p>
    <w:p w14:paraId="7DB6D3D0" w14:textId="6C1592FD" w:rsidR="00F2656A" w:rsidRPr="003B6E71" w:rsidRDefault="00F2656A" w:rsidP="00EB2A62">
      <w:pPr>
        <w:pStyle w:val="Body"/>
        <w:numPr>
          <w:ilvl w:val="0"/>
          <w:numId w:val="34"/>
        </w:numPr>
        <w:rPr>
          <w:bCs/>
          <w:iCs/>
          <w:lang w:eastAsia="zh-CN"/>
        </w:rPr>
      </w:pPr>
      <w:r w:rsidRPr="003B6E71">
        <w:rPr>
          <w:bCs/>
          <w:iCs/>
          <w:lang w:eastAsia="zh-CN"/>
        </w:rPr>
        <w:t xml:space="preserve">Zhang, H., Treger, D., Jia, X., Ma, Z., &amp; Hui, M. (2024). Analgesic effect of 35 </w:t>
      </w:r>
      <w:proofErr w:type="spellStart"/>
      <w:r w:rsidRPr="003B6E71">
        <w:rPr>
          <w:bCs/>
          <w:iCs/>
          <w:lang w:eastAsia="zh-CN"/>
        </w:rPr>
        <w:t>kDa</w:t>
      </w:r>
      <w:proofErr w:type="spellEnd"/>
      <w:r w:rsidRPr="003B6E71">
        <w:rPr>
          <w:bCs/>
          <w:iCs/>
          <w:lang w:eastAsia="zh-CN"/>
        </w:rPr>
        <w:t xml:space="preserve"> hyaluronan fragment on vaginal oocyte retrieval operation-associated pain: A case report. Case Reports in Clinical Medicine, 13, 503–511. </w:t>
      </w:r>
    </w:p>
    <w:p w14:paraId="69E8BBAF" w14:textId="62879D0E" w:rsidR="00F2656A" w:rsidRPr="003B6E71" w:rsidRDefault="00F2656A" w:rsidP="00EB2A62">
      <w:pPr>
        <w:pStyle w:val="Body"/>
        <w:numPr>
          <w:ilvl w:val="0"/>
          <w:numId w:val="34"/>
        </w:numPr>
        <w:rPr>
          <w:bCs/>
          <w:iCs/>
          <w:lang w:eastAsia="zh-CN"/>
        </w:rPr>
      </w:pPr>
      <w:r w:rsidRPr="003B6E71">
        <w:rPr>
          <w:bCs/>
          <w:iCs/>
          <w:lang w:eastAsia="zh-CN"/>
        </w:rPr>
        <w:t xml:space="preserve">Xu, F., Treger, D., Jia, X., Hui, M., &amp; Ma, Z. (2025). Analgesic and curative effects of 35 </w:t>
      </w:r>
      <w:proofErr w:type="spellStart"/>
      <w:r w:rsidRPr="003B6E71">
        <w:rPr>
          <w:bCs/>
          <w:iCs/>
          <w:lang w:eastAsia="zh-CN"/>
        </w:rPr>
        <w:t>kDa</w:t>
      </w:r>
      <w:proofErr w:type="spellEnd"/>
      <w:r w:rsidRPr="003B6E71">
        <w:rPr>
          <w:bCs/>
          <w:iCs/>
          <w:lang w:eastAsia="zh-CN"/>
        </w:rPr>
        <w:t xml:space="preserve"> hyaluronan fragment on zoster-associated pain: A case report of two patients. Pain Medicine Case Reports, 9(1), 51–54.</w:t>
      </w:r>
    </w:p>
    <w:p w14:paraId="207522C9" w14:textId="5D376C98" w:rsidR="00F2656A" w:rsidRPr="003B6E71" w:rsidRDefault="00F2656A" w:rsidP="00EB2A62">
      <w:pPr>
        <w:pStyle w:val="Body"/>
        <w:numPr>
          <w:ilvl w:val="0"/>
          <w:numId w:val="34"/>
        </w:numPr>
        <w:rPr>
          <w:bCs/>
          <w:iCs/>
          <w:lang w:eastAsia="zh-CN"/>
        </w:rPr>
      </w:pPr>
      <w:r w:rsidRPr="003B6E71">
        <w:rPr>
          <w:bCs/>
          <w:iCs/>
          <w:lang w:eastAsia="zh-CN"/>
        </w:rPr>
        <w:t xml:space="preserve">Ding, M., Zhao, X., Jia, X., </w:t>
      </w:r>
      <w:proofErr w:type="spellStart"/>
      <w:r w:rsidRPr="003B6E71">
        <w:rPr>
          <w:bCs/>
          <w:iCs/>
          <w:lang w:eastAsia="zh-CN"/>
        </w:rPr>
        <w:t>Shofaro</w:t>
      </w:r>
      <w:proofErr w:type="spellEnd"/>
      <w:r w:rsidRPr="003B6E71">
        <w:rPr>
          <w:bCs/>
          <w:iCs/>
          <w:lang w:eastAsia="zh-CN"/>
        </w:rPr>
        <w:t xml:space="preserve">, J. H., Ma, Z., &amp; Hui, M. (2025). Exploratory study on 35 </w:t>
      </w:r>
      <w:proofErr w:type="spellStart"/>
      <w:r w:rsidRPr="003B6E71">
        <w:rPr>
          <w:bCs/>
          <w:iCs/>
          <w:lang w:eastAsia="zh-CN"/>
        </w:rPr>
        <w:t>kDa</w:t>
      </w:r>
      <w:proofErr w:type="spellEnd"/>
      <w:r w:rsidRPr="003B6E71">
        <w:rPr>
          <w:bCs/>
          <w:iCs/>
          <w:lang w:eastAsia="zh-CN"/>
        </w:rPr>
        <w:t xml:space="preserve"> hyaluronan with </w:t>
      </w:r>
      <w:proofErr w:type="spellStart"/>
      <w:r w:rsidRPr="003B6E71">
        <w:rPr>
          <w:bCs/>
          <w:iCs/>
          <w:lang w:eastAsia="zh-CN"/>
        </w:rPr>
        <w:t>microneedling</w:t>
      </w:r>
      <w:proofErr w:type="spellEnd"/>
      <w:r w:rsidRPr="003B6E71">
        <w:rPr>
          <w:bCs/>
          <w:iCs/>
          <w:lang w:eastAsia="zh-CN"/>
        </w:rPr>
        <w:t xml:space="preserve"> for skin concerns: A series of 16 cases. Journal of Dermatology &amp; Skin Science, 7(1), 1–9.</w:t>
      </w:r>
    </w:p>
    <w:p w14:paraId="48C43650" w14:textId="59F189B6" w:rsidR="00F2656A" w:rsidRPr="003B6E71" w:rsidRDefault="00F2656A" w:rsidP="00EB2A62">
      <w:pPr>
        <w:pStyle w:val="Body"/>
        <w:numPr>
          <w:ilvl w:val="0"/>
          <w:numId w:val="34"/>
        </w:numPr>
        <w:rPr>
          <w:bCs/>
          <w:iCs/>
          <w:lang w:eastAsia="zh-CN"/>
        </w:rPr>
      </w:pPr>
      <w:r w:rsidRPr="003B6E71">
        <w:rPr>
          <w:bCs/>
          <w:iCs/>
          <w:lang w:eastAsia="zh-CN"/>
        </w:rPr>
        <w:t xml:space="preserve">Marinho, A., Nunes, C., &amp; Reis, S. (2021). Hyaluronic acid: A key ingredient in the therapy of inflammation. Biomolecules, 11(10), 1518. </w:t>
      </w:r>
    </w:p>
    <w:p w14:paraId="2A6464DE" w14:textId="3034967B" w:rsidR="00F2656A" w:rsidRPr="003B6E71" w:rsidRDefault="00F2656A" w:rsidP="00EB2A62">
      <w:pPr>
        <w:pStyle w:val="Body"/>
        <w:numPr>
          <w:ilvl w:val="0"/>
          <w:numId w:val="34"/>
        </w:numPr>
        <w:rPr>
          <w:bCs/>
          <w:iCs/>
          <w:lang w:eastAsia="zh-CN"/>
        </w:rPr>
      </w:pPr>
      <w:r w:rsidRPr="003B6E71">
        <w:rPr>
          <w:bCs/>
          <w:iCs/>
          <w:lang w:eastAsia="zh-CN"/>
        </w:rPr>
        <w:lastRenderedPageBreak/>
        <w:t xml:space="preserve">Kimura, M., Maeshima, T., Kubota, T., Kurihara, H., Masuda, Y., &amp; Nomura, Y. (2016). Absorption of orally administered hyaluronan. Journal of Medicinal Food, 19(12), 1172–1179. </w:t>
      </w:r>
    </w:p>
    <w:p w14:paraId="687E6F43" w14:textId="1B2E1A49" w:rsidR="00F2656A" w:rsidRPr="003B6E71" w:rsidRDefault="00F2656A" w:rsidP="00EB2A62">
      <w:pPr>
        <w:pStyle w:val="Body"/>
        <w:numPr>
          <w:ilvl w:val="0"/>
          <w:numId w:val="34"/>
        </w:numPr>
        <w:rPr>
          <w:bCs/>
          <w:iCs/>
          <w:lang w:eastAsia="zh-CN"/>
        </w:rPr>
      </w:pPr>
      <w:r w:rsidRPr="003B6E71">
        <w:rPr>
          <w:bCs/>
          <w:iCs/>
          <w:lang w:eastAsia="zh-CN"/>
        </w:rPr>
        <w:t>Tso, P., Bernier-</w:t>
      </w:r>
      <w:proofErr w:type="spellStart"/>
      <w:r w:rsidRPr="003B6E71">
        <w:rPr>
          <w:bCs/>
          <w:iCs/>
          <w:lang w:eastAsia="zh-CN"/>
        </w:rPr>
        <w:t>Latmani</w:t>
      </w:r>
      <w:proofErr w:type="spellEnd"/>
      <w:r w:rsidRPr="003B6E71">
        <w:rPr>
          <w:bCs/>
          <w:iCs/>
          <w:lang w:eastAsia="zh-CN"/>
        </w:rPr>
        <w:t xml:space="preserve">, J., Petrova, T. V., et al. (2025). Transport functions of intestinal lymphatic vessels. Nature Reviews Gastroenterology &amp; Hepatology, 22, 127–145. </w:t>
      </w:r>
    </w:p>
    <w:p w14:paraId="557F5CA4" w14:textId="0E0813C7" w:rsidR="00F2656A" w:rsidRPr="003B6E71" w:rsidRDefault="00F2656A" w:rsidP="00EB2A62">
      <w:pPr>
        <w:pStyle w:val="Body"/>
        <w:numPr>
          <w:ilvl w:val="0"/>
          <w:numId w:val="34"/>
        </w:numPr>
        <w:rPr>
          <w:bCs/>
          <w:iCs/>
          <w:lang w:eastAsia="zh-CN"/>
        </w:rPr>
      </w:pPr>
      <w:r w:rsidRPr="003B6E71">
        <w:rPr>
          <w:bCs/>
          <w:iCs/>
          <w:lang w:eastAsia="zh-CN"/>
        </w:rPr>
        <w:t xml:space="preserve">Ma, X., Wang, X., Jia, X., Hui, J. H., </w:t>
      </w:r>
      <w:proofErr w:type="spellStart"/>
      <w:r w:rsidRPr="003B6E71">
        <w:rPr>
          <w:bCs/>
          <w:iCs/>
          <w:lang w:eastAsia="zh-CN"/>
        </w:rPr>
        <w:t>Shofaro</w:t>
      </w:r>
      <w:proofErr w:type="spellEnd"/>
      <w:r w:rsidRPr="003B6E71">
        <w:rPr>
          <w:bCs/>
          <w:iCs/>
          <w:lang w:eastAsia="zh-CN"/>
        </w:rPr>
        <w:t xml:space="preserve">, J. H., Tao, R., &amp; Hui, M. M. (2025). Size-dependent aggregation of erythrocytes by low molecular weight hyaluronic acids of different sizes: Bioactivity and quality control potential. Frontiers in Physiology, 16, 1527354. </w:t>
      </w:r>
    </w:p>
    <w:p w14:paraId="1211F0B9" w14:textId="046409ED" w:rsidR="00F2656A" w:rsidRPr="003B6E71" w:rsidRDefault="00F2656A" w:rsidP="00EB2A62">
      <w:pPr>
        <w:pStyle w:val="Body"/>
        <w:numPr>
          <w:ilvl w:val="0"/>
          <w:numId w:val="34"/>
        </w:numPr>
        <w:rPr>
          <w:bCs/>
          <w:iCs/>
          <w:lang w:eastAsia="zh-CN"/>
        </w:rPr>
      </w:pPr>
      <w:r w:rsidRPr="003B6E71">
        <w:rPr>
          <w:bCs/>
          <w:iCs/>
          <w:lang w:eastAsia="zh-CN"/>
        </w:rPr>
        <w:t xml:space="preserve">Jia, X., Shi, M., Wang, Q., Hui, J., </w:t>
      </w:r>
      <w:proofErr w:type="spellStart"/>
      <w:r w:rsidRPr="003B6E71">
        <w:rPr>
          <w:bCs/>
          <w:iCs/>
          <w:lang w:eastAsia="zh-CN"/>
        </w:rPr>
        <w:t>Shofaro</w:t>
      </w:r>
      <w:proofErr w:type="spellEnd"/>
      <w:r w:rsidRPr="003B6E71">
        <w:rPr>
          <w:bCs/>
          <w:iCs/>
          <w:lang w:eastAsia="zh-CN"/>
        </w:rPr>
        <w:t xml:space="preserve">, J. H., Erkhembayar, R., Hui, M., Gao, C., &amp; Gantumur, M. A. (2023). Anti-inflammatory effects of the 35 </w:t>
      </w:r>
      <w:proofErr w:type="spellStart"/>
      <w:r w:rsidRPr="003B6E71">
        <w:rPr>
          <w:bCs/>
          <w:iCs/>
          <w:lang w:eastAsia="zh-CN"/>
        </w:rPr>
        <w:t>kDa</w:t>
      </w:r>
      <w:proofErr w:type="spellEnd"/>
      <w:r w:rsidRPr="003B6E71">
        <w:rPr>
          <w:bCs/>
          <w:iCs/>
          <w:lang w:eastAsia="zh-CN"/>
        </w:rPr>
        <w:t xml:space="preserve"> hyaluronic acid fragment (B-HA/HA35). Journal of Inflammation Research, 16, 209–224. </w:t>
      </w:r>
    </w:p>
    <w:p w14:paraId="554CA752" w14:textId="6EB2FF60" w:rsidR="00F2656A" w:rsidRPr="003B6E71" w:rsidRDefault="00F2656A" w:rsidP="00EB2A62">
      <w:pPr>
        <w:pStyle w:val="Body"/>
        <w:numPr>
          <w:ilvl w:val="0"/>
          <w:numId w:val="34"/>
        </w:numPr>
        <w:rPr>
          <w:bCs/>
          <w:iCs/>
          <w:lang w:eastAsia="zh-CN"/>
        </w:rPr>
      </w:pPr>
      <w:r w:rsidRPr="003B6E71">
        <w:rPr>
          <w:bCs/>
          <w:iCs/>
          <w:lang w:eastAsia="zh-CN"/>
        </w:rPr>
        <w:t xml:space="preserve">Gantumur, M. A., Jia, X., Hui, J. H., Barber, C., Wan, L., </w:t>
      </w:r>
      <w:proofErr w:type="spellStart"/>
      <w:r w:rsidRPr="003B6E71">
        <w:rPr>
          <w:bCs/>
          <w:iCs/>
          <w:lang w:eastAsia="zh-CN"/>
        </w:rPr>
        <w:t>Furenlid</w:t>
      </w:r>
      <w:proofErr w:type="spellEnd"/>
      <w:r w:rsidRPr="003B6E71">
        <w:rPr>
          <w:bCs/>
          <w:iCs/>
          <w:lang w:eastAsia="zh-CN"/>
        </w:rPr>
        <w:t xml:space="preserve">, L. R., Martin, D. R., Hui, M., &amp; Liu, Z. (2024). Characterization, bioactivity, and biodistribution of 35 </w:t>
      </w:r>
      <w:proofErr w:type="spellStart"/>
      <w:r w:rsidRPr="003B6E71">
        <w:rPr>
          <w:bCs/>
          <w:iCs/>
          <w:lang w:eastAsia="zh-CN"/>
        </w:rPr>
        <w:t>kDa</w:t>
      </w:r>
      <w:proofErr w:type="spellEnd"/>
      <w:r w:rsidRPr="003B6E71">
        <w:rPr>
          <w:bCs/>
          <w:iCs/>
          <w:lang w:eastAsia="zh-CN"/>
        </w:rPr>
        <w:t xml:space="preserve"> hyaluronan fragment. Life, 14(1), 97. </w:t>
      </w:r>
    </w:p>
    <w:p w14:paraId="78BBE4E1" w14:textId="227C3103" w:rsidR="00F2656A" w:rsidRPr="003B6E71" w:rsidRDefault="00F2656A" w:rsidP="00EB2A62">
      <w:pPr>
        <w:pStyle w:val="Body"/>
        <w:numPr>
          <w:ilvl w:val="0"/>
          <w:numId w:val="34"/>
        </w:numPr>
        <w:rPr>
          <w:bCs/>
          <w:iCs/>
          <w:lang w:eastAsia="zh-CN"/>
        </w:rPr>
      </w:pPr>
      <w:r w:rsidRPr="003B6E71">
        <w:rPr>
          <w:bCs/>
          <w:iCs/>
          <w:lang w:eastAsia="zh-CN"/>
        </w:rPr>
        <w:t xml:space="preserve">Johnson, L. A., Banerji, S., Lagerholm, B. C., &amp; Jackson, D. G. (2021). Dendritic cell entry to lymphatic capillaries is orchestrated by CD44 and the hyaluronan glycocalyx. Life Science Alliance, 4(5), e202000908. </w:t>
      </w:r>
    </w:p>
    <w:p w14:paraId="5B4881C0" w14:textId="17C8C4B4" w:rsidR="00F2656A" w:rsidRPr="003B6E71" w:rsidRDefault="00F2656A" w:rsidP="00EB2A62">
      <w:pPr>
        <w:pStyle w:val="Body"/>
        <w:numPr>
          <w:ilvl w:val="0"/>
          <w:numId w:val="34"/>
        </w:numPr>
        <w:rPr>
          <w:bCs/>
          <w:iCs/>
          <w:lang w:eastAsia="zh-CN"/>
        </w:rPr>
      </w:pPr>
      <w:r w:rsidRPr="003B6E71">
        <w:rPr>
          <w:bCs/>
          <w:iCs/>
          <w:lang w:eastAsia="zh-CN"/>
        </w:rPr>
        <w:t xml:space="preserve">Stanly, T. A., Fritzsche, M., Banerji, S., Shrestha, D., Schneider, F., Eggeling, C., &amp; Jackson, D. G. (2020). The cortical actin network regulates avidity-dependent binding of hyaluronan by the lymphatic vessel endothelial receptor LYVE-1. Journal of Biological Chemistry, 295(15), 5036–5050. </w:t>
      </w:r>
    </w:p>
    <w:p w14:paraId="07A67FE4" w14:textId="0C9001D9" w:rsidR="00F2656A" w:rsidRPr="003B6E71" w:rsidRDefault="00F2656A" w:rsidP="00EB2A62">
      <w:pPr>
        <w:pStyle w:val="Body"/>
        <w:numPr>
          <w:ilvl w:val="0"/>
          <w:numId w:val="34"/>
        </w:numPr>
        <w:rPr>
          <w:bCs/>
          <w:iCs/>
          <w:lang w:eastAsia="zh-CN"/>
        </w:rPr>
      </w:pPr>
      <w:r w:rsidRPr="003B6E71">
        <w:rPr>
          <w:bCs/>
          <w:iCs/>
          <w:lang w:eastAsia="zh-CN"/>
        </w:rPr>
        <w:t xml:space="preserve">Balogh, L., Polyak, A., Mathe, D., Kiraly, R., </w:t>
      </w:r>
      <w:proofErr w:type="spellStart"/>
      <w:r w:rsidRPr="003B6E71">
        <w:rPr>
          <w:bCs/>
          <w:iCs/>
          <w:lang w:eastAsia="zh-CN"/>
        </w:rPr>
        <w:t>Thuroczy</w:t>
      </w:r>
      <w:proofErr w:type="spellEnd"/>
      <w:r w:rsidRPr="003B6E71">
        <w:rPr>
          <w:bCs/>
          <w:iCs/>
          <w:lang w:eastAsia="zh-CN"/>
        </w:rPr>
        <w:t xml:space="preserve">, J., Terez, M., </w:t>
      </w:r>
      <w:proofErr w:type="spellStart"/>
      <w:r w:rsidRPr="003B6E71">
        <w:rPr>
          <w:bCs/>
          <w:iCs/>
          <w:lang w:eastAsia="zh-CN"/>
        </w:rPr>
        <w:t>Janoki</w:t>
      </w:r>
      <w:proofErr w:type="spellEnd"/>
      <w:r w:rsidRPr="003B6E71">
        <w:rPr>
          <w:bCs/>
          <w:iCs/>
          <w:lang w:eastAsia="zh-CN"/>
        </w:rPr>
        <w:t>, G., Ting, Y., Bucci, L. R., &amp; Schauss, A. G. (2008). Absorption, uptake and tissue affinity of high-molecular-weight hyaluronan after oral administration in rats and dogs. Journal of Agricultural and Food Chemistry, 56(22), 10582–10593.</w:t>
      </w:r>
    </w:p>
    <w:p w14:paraId="1984F8D7" w14:textId="01CBEC32" w:rsidR="00F2656A" w:rsidRPr="003B6E71" w:rsidRDefault="00F2656A" w:rsidP="00EB2A62">
      <w:pPr>
        <w:pStyle w:val="Body"/>
        <w:numPr>
          <w:ilvl w:val="0"/>
          <w:numId w:val="34"/>
        </w:numPr>
        <w:rPr>
          <w:bCs/>
          <w:iCs/>
          <w:lang w:eastAsia="zh-CN"/>
        </w:rPr>
      </w:pPr>
      <w:r w:rsidRPr="003B6E71">
        <w:rPr>
          <w:bCs/>
          <w:iCs/>
          <w:lang w:eastAsia="zh-CN"/>
        </w:rPr>
        <w:t xml:space="preserve">Bellar, A., Kessler, S. P., Obery, D. R., Sangwan, N., Welch, N., Nagy, L. E., </w:t>
      </w:r>
      <w:proofErr w:type="spellStart"/>
      <w:r w:rsidRPr="003B6E71">
        <w:rPr>
          <w:bCs/>
          <w:iCs/>
          <w:lang w:eastAsia="zh-CN"/>
        </w:rPr>
        <w:t>Dasarathy</w:t>
      </w:r>
      <w:proofErr w:type="spellEnd"/>
      <w:r w:rsidRPr="003B6E71">
        <w:rPr>
          <w:bCs/>
          <w:iCs/>
          <w:lang w:eastAsia="zh-CN"/>
        </w:rPr>
        <w:t xml:space="preserve">, S., &amp; de la Motte, C. (2019). Safety of hyaluronan 35 in healthy human subjects: A pilot study. Nutrients, 11(5), 1135. </w:t>
      </w:r>
    </w:p>
    <w:p w14:paraId="1D4B0DA0" w14:textId="3EF65C98" w:rsidR="00F2656A" w:rsidRPr="003B6E71" w:rsidRDefault="00F2656A" w:rsidP="00EB2A62">
      <w:pPr>
        <w:pStyle w:val="Body"/>
        <w:numPr>
          <w:ilvl w:val="0"/>
          <w:numId w:val="34"/>
        </w:numPr>
        <w:rPr>
          <w:bCs/>
          <w:iCs/>
          <w:lang w:eastAsia="zh-CN"/>
        </w:rPr>
      </w:pPr>
      <w:r w:rsidRPr="003B6E71">
        <w:rPr>
          <w:bCs/>
          <w:iCs/>
          <w:lang w:eastAsia="zh-CN"/>
        </w:rPr>
        <w:t xml:space="preserve">Sato, Y., </w:t>
      </w:r>
      <w:proofErr w:type="spellStart"/>
      <w:r w:rsidRPr="003B6E71">
        <w:rPr>
          <w:bCs/>
          <w:iCs/>
          <w:lang w:eastAsia="zh-CN"/>
        </w:rPr>
        <w:t>Joumura</w:t>
      </w:r>
      <w:proofErr w:type="spellEnd"/>
      <w:r w:rsidRPr="003B6E71">
        <w:rPr>
          <w:bCs/>
          <w:iCs/>
          <w:lang w:eastAsia="zh-CN"/>
        </w:rPr>
        <w:t xml:space="preserve">, T., </w:t>
      </w:r>
      <w:proofErr w:type="spellStart"/>
      <w:r w:rsidRPr="003B6E71">
        <w:rPr>
          <w:bCs/>
          <w:iCs/>
          <w:lang w:eastAsia="zh-CN"/>
        </w:rPr>
        <w:t>Takekuma</w:t>
      </w:r>
      <w:proofErr w:type="spellEnd"/>
      <w:r w:rsidRPr="003B6E71">
        <w:rPr>
          <w:bCs/>
          <w:iCs/>
          <w:lang w:eastAsia="zh-CN"/>
        </w:rPr>
        <w:t xml:space="preserve">, Y., &amp; Sugawara, M. (2020). Transfer of orally administered hyaluronan to the lymph. European Journal of Pharmaceutics and Biopharmaceutics, 154, 210–213. </w:t>
      </w:r>
    </w:p>
    <w:p w14:paraId="63566B78" w14:textId="789072E5" w:rsidR="00F2656A" w:rsidRPr="003B6E71" w:rsidRDefault="00F2656A" w:rsidP="00EB2A62">
      <w:pPr>
        <w:pStyle w:val="Body"/>
        <w:numPr>
          <w:ilvl w:val="0"/>
          <w:numId w:val="34"/>
        </w:numPr>
        <w:rPr>
          <w:bCs/>
          <w:iCs/>
          <w:lang w:eastAsia="zh-CN"/>
        </w:rPr>
      </w:pPr>
      <w:r w:rsidRPr="003B6E71">
        <w:rPr>
          <w:bCs/>
          <w:iCs/>
          <w:lang w:eastAsia="zh-CN"/>
        </w:rPr>
        <w:t xml:space="preserve">Ray, S., Huang, E., McMullen, M. R., Jatana, S., de la Motte, C., &amp; Nagy, L. E. (2025). 35 </w:t>
      </w:r>
      <w:proofErr w:type="spellStart"/>
      <w:r w:rsidRPr="003B6E71">
        <w:rPr>
          <w:bCs/>
          <w:iCs/>
          <w:lang w:eastAsia="zh-CN"/>
        </w:rPr>
        <w:t>kDa</w:t>
      </w:r>
      <w:proofErr w:type="spellEnd"/>
      <w:r w:rsidRPr="003B6E71">
        <w:rPr>
          <w:bCs/>
          <w:iCs/>
          <w:lang w:eastAsia="zh-CN"/>
        </w:rPr>
        <w:t xml:space="preserve"> specific-sized hyaluronan ameliorates high-fat diet-induced liver injury in murine model of moderate obesity. Matrix Biology, 136, 1–8. </w:t>
      </w:r>
    </w:p>
    <w:p w14:paraId="0565CB37" w14:textId="0514D47B" w:rsidR="00F2656A" w:rsidRPr="003B6E71" w:rsidRDefault="00F2656A" w:rsidP="00EB2A62">
      <w:pPr>
        <w:pStyle w:val="Body"/>
        <w:numPr>
          <w:ilvl w:val="0"/>
          <w:numId w:val="34"/>
        </w:numPr>
        <w:rPr>
          <w:bCs/>
          <w:iCs/>
          <w:lang w:eastAsia="zh-CN"/>
        </w:rPr>
      </w:pPr>
      <w:proofErr w:type="spellStart"/>
      <w:r w:rsidRPr="003B6E71">
        <w:rPr>
          <w:bCs/>
          <w:iCs/>
          <w:lang w:eastAsia="zh-CN"/>
        </w:rPr>
        <w:t>Pashkina</w:t>
      </w:r>
      <w:proofErr w:type="spellEnd"/>
      <w:r w:rsidRPr="003B6E71">
        <w:rPr>
          <w:bCs/>
          <w:iCs/>
          <w:lang w:eastAsia="zh-CN"/>
        </w:rPr>
        <w:t xml:space="preserve">, E., Bykova, M., Berishvili, M., Lazarev, Y., &amp; Kozlov, V. (2025). Hyaluronic acid-based drug delivery systems for cancer therapy. Cells, 14(2), 61. </w:t>
      </w:r>
    </w:p>
    <w:p w14:paraId="2D31B0AF" w14:textId="3393946D" w:rsidR="00F2656A" w:rsidRPr="003B6E71" w:rsidRDefault="00F2656A" w:rsidP="00EB2A62">
      <w:pPr>
        <w:pStyle w:val="Body"/>
        <w:numPr>
          <w:ilvl w:val="0"/>
          <w:numId w:val="34"/>
        </w:numPr>
        <w:rPr>
          <w:bCs/>
          <w:iCs/>
          <w:lang w:eastAsia="zh-CN"/>
        </w:rPr>
      </w:pPr>
      <w:proofErr w:type="spellStart"/>
      <w:r w:rsidRPr="003B6E71">
        <w:rPr>
          <w:bCs/>
          <w:iCs/>
          <w:lang w:eastAsia="zh-CN"/>
        </w:rPr>
        <w:t>Bokatyi</w:t>
      </w:r>
      <w:proofErr w:type="spellEnd"/>
      <w:r w:rsidRPr="003B6E71">
        <w:rPr>
          <w:bCs/>
          <w:iCs/>
          <w:lang w:eastAsia="zh-CN"/>
        </w:rPr>
        <w:t xml:space="preserve">, A. N., </w:t>
      </w:r>
      <w:proofErr w:type="spellStart"/>
      <w:r w:rsidRPr="003B6E71">
        <w:rPr>
          <w:bCs/>
          <w:iCs/>
          <w:lang w:eastAsia="zh-CN"/>
        </w:rPr>
        <w:t>Dubashynskaya</w:t>
      </w:r>
      <w:proofErr w:type="spellEnd"/>
      <w:r w:rsidRPr="003B6E71">
        <w:rPr>
          <w:bCs/>
          <w:iCs/>
          <w:lang w:eastAsia="zh-CN"/>
        </w:rPr>
        <w:t xml:space="preserve">, N. V., &amp; Skorik, Y. A. (2024). Chemical modification of hyaluronic acid as a strategy for the development of advanced drug delivery systems. Carbohydrate Polymers, 337, 122145. </w:t>
      </w:r>
    </w:p>
    <w:p w14:paraId="0C77A110" w14:textId="00CBE4C5" w:rsidR="00441B6F" w:rsidRPr="003B6E71" w:rsidRDefault="00F2656A" w:rsidP="00EB2A62">
      <w:pPr>
        <w:pStyle w:val="Body"/>
        <w:numPr>
          <w:ilvl w:val="0"/>
          <w:numId w:val="34"/>
        </w:numPr>
        <w:rPr>
          <w:bCs/>
          <w:iCs/>
          <w:lang w:eastAsia="zh-CN"/>
        </w:rPr>
      </w:pPr>
      <w:r w:rsidRPr="003B6E71">
        <w:rPr>
          <w:bCs/>
          <w:iCs/>
          <w:lang w:eastAsia="zh-CN"/>
        </w:rPr>
        <w:lastRenderedPageBreak/>
        <w:t xml:space="preserve">Azman, M., Sabri, A. H., Anjani, Q. K., Mustaffa, M. F., &amp; Hamid, K. A. (2022). Intestinal absorption study: Challenges and absorption enhancement strategies in improving oral drug delivery. Pharmaceuticals, 15(8), 975. </w:t>
      </w:r>
    </w:p>
    <w:p w14:paraId="1DB9ECE3" w14:textId="516A931A" w:rsidR="004D4277" w:rsidRPr="00FB3A86" w:rsidRDefault="004D4277" w:rsidP="00441B6F">
      <w:pPr>
        <w:pStyle w:val="Appendix"/>
        <w:spacing w:after="0"/>
        <w:jc w:val="both"/>
        <w:rPr>
          <w:rFonts w:ascii="Arial" w:hAnsi="Arial" w:cs="Arial"/>
          <w:b w:val="0"/>
          <w:lang w:eastAsia="zh-CN"/>
        </w:rPr>
        <w:sectPr w:rsidR="004D4277" w:rsidRPr="00FB3A86" w:rsidSect="00333CBB">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00C17FA2" w14:textId="77777777" w:rsidR="00B01FCD" w:rsidRPr="00FB3A86" w:rsidRDefault="00B01FCD" w:rsidP="00441B6F">
      <w:pPr>
        <w:pStyle w:val="Appendix"/>
        <w:spacing w:after="0"/>
        <w:jc w:val="both"/>
        <w:rPr>
          <w:rFonts w:ascii="Arial" w:hAnsi="Arial" w:cs="Arial"/>
          <w:b w:val="0"/>
        </w:rPr>
      </w:pPr>
    </w:p>
    <w:sectPr w:rsidR="00B01FCD" w:rsidRPr="00FB3A86" w:rsidSect="00333CB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2B81F" w14:textId="77777777" w:rsidR="002B1831" w:rsidRDefault="002B1831" w:rsidP="00C37E61">
      <w:r>
        <w:separator/>
      </w:r>
    </w:p>
  </w:endnote>
  <w:endnote w:type="continuationSeparator" w:id="0">
    <w:p w14:paraId="4781B6B3" w14:textId="77777777" w:rsidR="002B1831" w:rsidRDefault="002B183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C441" w14:textId="77777777" w:rsidR="00333CBB" w:rsidRDefault="00333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6827" w14:textId="77777777" w:rsidR="00333CBB" w:rsidRDefault="00333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E0E70" w14:textId="30488EB5" w:rsidR="00754C9A" w:rsidRPr="00333CBB" w:rsidRDefault="00754C9A" w:rsidP="00333CBB">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123F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A6C20" w14:textId="77777777" w:rsidR="002B1831" w:rsidRDefault="002B1831" w:rsidP="00C37E61">
      <w:r>
        <w:separator/>
      </w:r>
    </w:p>
  </w:footnote>
  <w:footnote w:type="continuationSeparator" w:id="0">
    <w:p w14:paraId="1DAE5148" w14:textId="77777777" w:rsidR="002B1831" w:rsidRDefault="002B183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8E67B" w14:textId="239B39F1" w:rsidR="00333CBB" w:rsidRDefault="00333CBB">
    <w:pPr>
      <w:pStyle w:val="Header"/>
    </w:pPr>
    <w:r>
      <w:rPr>
        <w:noProof/>
      </w:rPr>
      <w:pict w14:anchorId="0E13A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34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2750" w14:textId="33097A34" w:rsidR="00333CBB" w:rsidRDefault="00333CBB">
    <w:pPr>
      <w:pStyle w:val="Header"/>
    </w:pPr>
    <w:r>
      <w:rPr>
        <w:noProof/>
      </w:rPr>
      <w:pict w14:anchorId="009A1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34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CA50" w14:textId="5A033995" w:rsidR="00296529" w:rsidRPr="00296529" w:rsidRDefault="00333CBB" w:rsidP="00296529">
    <w:pPr>
      <w:ind w:left="2160"/>
      <w:jc w:val="center"/>
      <w:rPr>
        <w:rFonts w:ascii="Times New Roman" w:eastAsia="Calibri" w:hAnsi="Times New Roman"/>
        <w:i/>
        <w:sz w:val="18"/>
        <w:szCs w:val="22"/>
      </w:rPr>
    </w:pPr>
    <w:r>
      <w:rPr>
        <w:noProof/>
      </w:rPr>
      <w:pict w14:anchorId="02859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34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317426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E5BD72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5A4D5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5699D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598C2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66277F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D67FD" w14:textId="089E47E5" w:rsidR="00333CBB" w:rsidRDefault="00333CBB">
    <w:pPr>
      <w:pStyle w:val="Header"/>
    </w:pPr>
    <w:r>
      <w:rPr>
        <w:noProof/>
      </w:rPr>
      <w:pict w14:anchorId="0F7B4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342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F493" w14:textId="71F7F19B" w:rsidR="00333CBB" w:rsidRDefault="00333CBB">
    <w:pPr>
      <w:pStyle w:val="Header"/>
    </w:pPr>
    <w:r>
      <w:rPr>
        <w:noProof/>
      </w:rPr>
      <w:pict w14:anchorId="54A8F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342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237CC" w14:textId="574E00E0" w:rsidR="00333CBB" w:rsidRDefault="00333CBB">
    <w:pPr>
      <w:pStyle w:val="Header"/>
    </w:pPr>
    <w:r>
      <w:rPr>
        <w:noProof/>
      </w:rPr>
      <w:pict w14:anchorId="2DCE1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342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36B27AA"/>
    <w:multiLevelType w:val="hybridMultilevel"/>
    <w:tmpl w:val="61A219A0"/>
    <w:lvl w:ilvl="0" w:tplc="AB2C61D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8936E69"/>
    <w:multiLevelType w:val="multilevel"/>
    <w:tmpl w:val="F9D02AF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E59E5"/>
    <w:multiLevelType w:val="hybridMultilevel"/>
    <w:tmpl w:val="8F3C7716"/>
    <w:lvl w:ilvl="0" w:tplc="52CE071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4D75926"/>
    <w:multiLevelType w:val="multilevel"/>
    <w:tmpl w:val="821E5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9"/>
  </w:num>
  <w:num w:numId="10">
    <w:abstractNumId w:val="2"/>
  </w:num>
  <w:num w:numId="11">
    <w:abstractNumId w:val="22"/>
  </w:num>
  <w:num w:numId="12">
    <w:abstractNumId w:val="3"/>
  </w:num>
  <w:num w:numId="13">
    <w:abstractNumId w:val="20"/>
  </w:num>
  <w:num w:numId="14">
    <w:abstractNumId w:val="8"/>
  </w:num>
  <w:num w:numId="15">
    <w:abstractNumId w:val="25"/>
  </w:num>
  <w:num w:numId="16">
    <w:abstractNumId w:val="5"/>
  </w:num>
  <w:num w:numId="17">
    <w:abstractNumId w:val="26"/>
  </w:num>
  <w:num w:numId="18">
    <w:abstractNumId w:val="14"/>
  </w:num>
  <w:num w:numId="19">
    <w:abstractNumId w:val="32"/>
  </w:num>
  <w:num w:numId="20">
    <w:abstractNumId w:val="11"/>
  </w:num>
  <w:num w:numId="21">
    <w:abstractNumId w:val="9"/>
  </w:num>
  <w:num w:numId="22">
    <w:abstractNumId w:val="13"/>
  </w:num>
  <w:num w:numId="23">
    <w:abstractNumId w:val="23"/>
  </w:num>
  <w:num w:numId="24">
    <w:abstractNumId w:val="30"/>
  </w:num>
  <w:num w:numId="25">
    <w:abstractNumId w:val="4"/>
  </w:num>
  <w:num w:numId="26">
    <w:abstractNumId w:val="18"/>
  </w:num>
  <w:num w:numId="27">
    <w:abstractNumId w:val="24"/>
  </w:num>
  <w:num w:numId="28">
    <w:abstractNumId w:val="31"/>
  </w:num>
  <w:num w:numId="29">
    <w:abstractNumId w:val="28"/>
  </w:num>
  <w:num w:numId="30">
    <w:abstractNumId w:val="10"/>
  </w:num>
  <w:num w:numId="31">
    <w:abstractNumId w:val="21"/>
  </w:num>
  <w:num w:numId="32">
    <w:abstractNumId w:val="16"/>
  </w:num>
  <w:num w:numId="33">
    <w:abstractNumId w:val="1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01CE"/>
    <w:rsid w:val="000A47FA"/>
    <w:rsid w:val="000A65D3"/>
    <w:rsid w:val="000B1E33"/>
    <w:rsid w:val="000D689F"/>
    <w:rsid w:val="000E7B7B"/>
    <w:rsid w:val="000E7D62"/>
    <w:rsid w:val="00103357"/>
    <w:rsid w:val="00105758"/>
    <w:rsid w:val="001128FC"/>
    <w:rsid w:val="00120B5E"/>
    <w:rsid w:val="00122078"/>
    <w:rsid w:val="00123C9F"/>
    <w:rsid w:val="00126190"/>
    <w:rsid w:val="00130F17"/>
    <w:rsid w:val="001320BF"/>
    <w:rsid w:val="00163BC4"/>
    <w:rsid w:val="00191062"/>
    <w:rsid w:val="00192B72"/>
    <w:rsid w:val="001A29D8"/>
    <w:rsid w:val="001A5CAA"/>
    <w:rsid w:val="001B0427"/>
    <w:rsid w:val="001B76CC"/>
    <w:rsid w:val="001D3074"/>
    <w:rsid w:val="001D3A51"/>
    <w:rsid w:val="001E10D2"/>
    <w:rsid w:val="001E25B4"/>
    <w:rsid w:val="001E44FE"/>
    <w:rsid w:val="00200595"/>
    <w:rsid w:val="00204835"/>
    <w:rsid w:val="00217B25"/>
    <w:rsid w:val="00231920"/>
    <w:rsid w:val="0023195C"/>
    <w:rsid w:val="00241FED"/>
    <w:rsid w:val="0024282C"/>
    <w:rsid w:val="002460DC"/>
    <w:rsid w:val="00250985"/>
    <w:rsid w:val="00250E00"/>
    <w:rsid w:val="002556F6"/>
    <w:rsid w:val="0027013C"/>
    <w:rsid w:val="00283105"/>
    <w:rsid w:val="00284C4C"/>
    <w:rsid w:val="00287E68"/>
    <w:rsid w:val="00296529"/>
    <w:rsid w:val="002B1831"/>
    <w:rsid w:val="002B27FB"/>
    <w:rsid w:val="002B685A"/>
    <w:rsid w:val="002C57D2"/>
    <w:rsid w:val="002E0D56"/>
    <w:rsid w:val="002F7B3F"/>
    <w:rsid w:val="00315186"/>
    <w:rsid w:val="0033343E"/>
    <w:rsid w:val="00333CBB"/>
    <w:rsid w:val="003512C2"/>
    <w:rsid w:val="00371FB6"/>
    <w:rsid w:val="003763C1"/>
    <w:rsid w:val="00376BBE"/>
    <w:rsid w:val="0039224F"/>
    <w:rsid w:val="003A3CA0"/>
    <w:rsid w:val="003A43A4"/>
    <w:rsid w:val="003A7E18"/>
    <w:rsid w:val="003B6E71"/>
    <w:rsid w:val="003C4C86"/>
    <w:rsid w:val="003C6258"/>
    <w:rsid w:val="003D2B81"/>
    <w:rsid w:val="003E0646"/>
    <w:rsid w:val="003E2904"/>
    <w:rsid w:val="003F0508"/>
    <w:rsid w:val="00401927"/>
    <w:rsid w:val="0041027F"/>
    <w:rsid w:val="00412475"/>
    <w:rsid w:val="00423789"/>
    <w:rsid w:val="00434FA6"/>
    <w:rsid w:val="00440F43"/>
    <w:rsid w:val="00441B6F"/>
    <w:rsid w:val="00443530"/>
    <w:rsid w:val="00446221"/>
    <w:rsid w:val="00450E62"/>
    <w:rsid w:val="004539DB"/>
    <w:rsid w:val="004618E8"/>
    <w:rsid w:val="004642C0"/>
    <w:rsid w:val="00471A80"/>
    <w:rsid w:val="0049283E"/>
    <w:rsid w:val="004A0010"/>
    <w:rsid w:val="004D305E"/>
    <w:rsid w:val="004D4277"/>
    <w:rsid w:val="004E16BE"/>
    <w:rsid w:val="00502282"/>
    <w:rsid w:val="00502516"/>
    <w:rsid w:val="00505F06"/>
    <w:rsid w:val="00506828"/>
    <w:rsid w:val="0053056E"/>
    <w:rsid w:val="00554FDA"/>
    <w:rsid w:val="0058684E"/>
    <w:rsid w:val="005A3D3A"/>
    <w:rsid w:val="005B2C91"/>
    <w:rsid w:val="005C784C"/>
    <w:rsid w:val="005D17F6"/>
    <w:rsid w:val="005D63B8"/>
    <w:rsid w:val="005E5539"/>
    <w:rsid w:val="00602BF5"/>
    <w:rsid w:val="00617FDD"/>
    <w:rsid w:val="00633614"/>
    <w:rsid w:val="00633F68"/>
    <w:rsid w:val="00636EB2"/>
    <w:rsid w:val="006375B8"/>
    <w:rsid w:val="00661209"/>
    <w:rsid w:val="0066510A"/>
    <w:rsid w:val="00673F9F"/>
    <w:rsid w:val="00686953"/>
    <w:rsid w:val="00687DEA"/>
    <w:rsid w:val="00687E67"/>
    <w:rsid w:val="006967F7"/>
    <w:rsid w:val="006A250C"/>
    <w:rsid w:val="006B21D3"/>
    <w:rsid w:val="006B29A8"/>
    <w:rsid w:val="006B4C9B"/>
    <w:rsid w:val="006B57D0"/>
    <w:rsid w:val="006D30FF"/>
    <w:rsid w:val="006D6940"/>
    <w:rsid w:val="006F11EC"/>
    <w:rsid w:val="0070082C"/>
    <w:rsid w:val="00702ECD"/>
    <w:rsid w:val="007369E6"/>
    <w:rsid w:val="00741051"/>
    <w:rsid w:val="00746E59"/>
    <w:rsid w:val="00754C9A"/>
    <w:rsid w:val="00754D09"/>
    <w:rsid w:val="0075599A"/>
    <w:rsid w:val="00761D52"/>
    <w:rsid w:val="00770760"/>
    <w:rsid w:val="0077749E"/>
    <w:rsid w:val="00790ADA"/>
    <w:rsid w:val="007B51F9"/>
    <w:rsid w:val="007D2288"/>
    <w:rsid w:val="007E088F"/>
    <w:rsid w:val="007F7B32"/>
    <w:rsid w:val="00804BC2"/>
    <w:rsid w:val="008124A9"/>
    <w:rsid w:val="0081431A"/>
    <w:rsid w:val="0082290B"/>
    <w:rsid w:val="0083216F"/>
    <w:rsid w:val="00840D33"/>
    <w:rsid w:val="008412A6"/>
    <w:rsid w:val="00860000"/>
    <w:rsid w:val="00863BD3"/>
    <w:rsid w:val="008641ED"/>
    <w:rsid w:val="00866D66"/>
    <w:rsid w:val="008671C6"/>
    <w:rsid w:val="00875803"/>
    <w:rsid w:val="008B459E"/>
    <w:rsid w:val="008B7D71"/>
    <w:rsid w:val="008C5BE5"/>
    <w:rsid w:val="008E13AE"/>
    <w:rsid w:val="008E1506"/>
    <w:rsid w:val="008E710C"/>
    <w:rsid w:val="008F69D6"/>
    <w:rsid w:val="00902823"/>
    <w:rsid w:val="00915CA6"/>
    <w:rsid w:val="00927834"/>
    <w:rsid w:val="009500A6"/>
    <w:rsid w:val="00957C18"/>
    <w:rsid w:val="009659BA"/>
    <w:rsid w:val="00983040"/>
    <w:rsid w:val="00983FDC"/>
    <w:rsid w:val="009B3FB9"/>
    <w:rsid w:val="009C2465"/>
    <w:rsid w:val="009D35A0"/>
    <w:rsid w:val="009D7EB7"/>
    <w:rsid w:val="009E048A"/>
    <w:rsid w:val="009E08E9"/>
    <w:rsid w:val="009E3DB9"/>
    <w:rsid w:val="009E6E35"/>
    <w:rsid w:val="009F0EDA"/>
    <w:rsid w:val="00A03B96"/>
    <w:rsid w:val="00A05B19"/>
    <w:rsid w:val="00A10E1A"/>
    <w:rsid w:val="00A1134E"/>
    <w:rsid w:val="00A24E7E"/>
    <w:rsid w:val="00A258C3"/>
    <w:rsid w:val="00A33B11"/>
    <w:rsid w:val="00A347C0"/>
    <w:rsid w:val="00A51431"/>
    <w:rsid w:val="00A539AD"/>
    <w:rsid w:val="00A6047D"/>
    <w:rsid w:val="00A66D0E"/>
    <w:rsid w:val="00A80FEB"/>
    <w:rsid w:val="00A83397"/>
    <w:rsid w:val="00A84137"/>
    <w:rsid w:val="00A94063"/>
    <w:rsid w:val="00AA6219"/>
    <w:rsid w:val="00AA74E0"/>
    <w:rsid w:val="00AB703F"/>
    <w:rsid w:val="00AC6196"/>
    <w:rsid w:val="00AC6BB8"/>
    <w:rsid w:val="00AE008F"/>
    <w:rsid w:val="00B01FCD"/>
    <w:rsid w:val="00B0500A"/>
    <w:rsid w:val="00B1776C"/>
    <w:rsid w:val="00B35DF0"/>
    <w:rsid w:val="00B52583"/>
    <w:rsid w:val="00B52896"/>
    <w:rsid w:val="00B95236"/>
    <w:rsid w:val="00B96BD9"/>
    <w:rsid w:val="00BA1B01"/>
    <w:rsid w:val="00BA2641"/>
    <w:rsid w:val="00BB37AA"/>
    <w:rsid w:val="00BC53A0"/>
    <w:rsid w:val="00BC7303"/>
    <w:rsid w:val="00BE62AD"/>
    <w:rsid w:val="00BF121F"/>
    <w:rsid w:val="00BF1F80"/>
    <w:rsid w:val="00C166EF"/>
    <w:rsid w:val="00C17EB0"/>
    <w:rsid w:val="00C27F5F"/>
    <w:rsid w:val="00C30A0F"/>
    <w:rsid w:val="00C350F0"/>
    <w:rsid w:val="00C37E61"/>
    <w:rsid w:val="00C70F1B"/>
    <w:rsid w:val="00C71A47"/>
    <w:rsid w:val="00C7464C"/>
    <w:rsid w:val="00C85588"/>
    <w:rsid w:val="00C9600B"/>
    <w:rsid w:val="00C978AC"/>
    <w:rsid w:val="00CA65D0"/>
    <w:rsid w:val="00CD6755"/>
    <w:rsid w:val="00CD6856"/>
    <w:rsid w:val="00CE0089"/>
    <w:rsid w:val="00CE793C"/>
    <w:rsid w:val="00CE7CD4"/>
    <w:rsid w:val="00CF193C"/>
    <w:rsid w:val="00D07F4A"/>
    <w:rsid w:val="00D173F1"/>
    <w:rsid w:val="00D63D2D"/>
    <w:rsid w:val="00D67053"/>
    <w:rsid w:val="00D74CB0"/>
    <w:rsid w:val="00D8295D"/>
    <w:rsid w:val="00D973AE"/>
    <w:rsid w:val="00DC1E0B"/>
    <w:rsid w:val="00DC2A65"/>
    <w:rsid w:val="00DE15F0"/>
    <w:rsid w:val="00DE5663"/>
    <w:rsid w:val="00DE78AA"/>
    <w:rsid w:val="00E053D0"/>
    <w:rsid w:val="00E1328B"/>
    <w:rsid w:val="00E1383D"/>
    <w:rsid w:val="00E15994"/>
    <w:rsid w:val="00E3114E"/>
    <w:rsid w:val="00E31A70"/>
    <w:rsid w:val="00E35B02"/>
    <w:rsid w:val="00E66496"/>
    <w:rsid w:val="00E66B35"/>
    <w:rsid w:val="00E66E10"/>
    <w:rsid w:val="00E769F6"/>
    <w:rsid w:val="00E811B1"/>
    <w:rsid w:val="00E8407C"/>
    <w:rsid w:val="00E84F3C"/>
    <w:rsid w:val="00E87270"/>
    <w:rsid w:val="00E95F5F"/>
    <w:rsid w:val="00EA012C"/>
    <w:rsid w:val="00EA3310"/>
    <w:rsid w:val="00EB2A62"/>
    <w:rsid w:val="00EC6A55"/>
    <w:rsid w:val="00ED0288"/>
    <w:rsid w:val="00EE52CB"/>
    <w:rsid w:val="00EF581D"/>
    <w:rsid w:val="00EF7FD8"/>
    <w:rsid w:val="00F06F59"/>
    <w:rsid w:val="00F17988"/>
    <w:rsid w:val="00F2656A"/>
    <w:rsid w:val="00F27B3A"/>
    <w:rsid w:val="00F469F0"/>
    <w:rsid w:val="00F52C64"/>
    <w:rsid w:val="00F53273"/>
    <w:rsid w:val="00F5327B"/>
    <w:rsid w:val="00F60480"/>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813E95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047D"/>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2656A"/>
    <w:pPr>
      <w:spacing w:before="100" w:beforeAutospacing="1" w:after="100" w:afterAutospacing="1"/>
    </w:pPr>
    <w:rPr>
      <w:rFonts w:ascii="SimSun" w:eastAsia="SimSun" w:hAnsi="SimSun" w:cs="SimSun"/>
      <w:sz w:val="24"/>
      <w:szCs w:val="24"/>
      <w:lang w:eastAsia="zh-CN"/>
    </w:rPr>
  </w:style>
  <w:style w:type="character" w:styleId="Strong">
    <w:name w:val="Strong"/>
    <w:basedOn w:val="DefaultParagraphFont"/>
    <w:uiPriority w:val="22"/>
    <w:qFormat/>
    <w:rsid w:val="00F2656A"/>
    <w:rPr>
      <w:b/>
      <w:bCs/>
    </w:rPr>
  </w:style>
  <w:style w:type="character" w:customStyle="1" w:styleId="FooterChar">
    <w:name w:val="Footer Char"/>
    <w:basedOn w:val="DefaultParagraphFont"/>
    <w:link w:val="Footer"/>
    <w:rsid w:val="00983FD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570708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9541289">
      <w:bodyDiv w:val="1"/>
      <w:marLeft w:val="0"/>
      <w:marRight w:val="0"/>
      <w:marTop w:val="0"/>
      <w:marBottom w:val="0"/>
      <w:divBdr>
        <w:top w:val="none" w:sz="0" w:space="0" w:color="auto"/>
        <w:left w:val="none" w:sz="0" w:space="0" w:color="auto"/>
        <w:bottom w:val="none" w:sz="0" w:space="0" w:color="auto"/>
        <w:right w:val="none" w:sz="0" w:space="0" w:color="auto"/>
      </w:divBdr>
    </w:div>
    <w:div w:id="859200244">
      <w:bodyDiv w:val="1"/>
      <w:marLeft w:val="0"/>
      <w:marRight w:val="0"/>
      <w:marTop w:val="0"/>
      <w:marBottom w:val="0"/>
      <w:divBdr>
        <w:top w:val="none" w:sz="0" w:space="0" w:color="auto"/>
        <w:left w:val="none" w:sz="0" w:space="0" w:color="auto"/>
        <w:bottom w:val="none" w:sz="0" w:space="0" w:color="auto"/>
        <w:right w:val="none" w:sz="0" w:space="0" w:color="auto"/>
      </w:divBdr>
    </w:div>
    <w:div w:id="929390908">
      <w:bodyDiv w:val="1"/>
      <w:marLeft w:val="0"/>
      <w:marRight w:val="0"/>
      <w:marTop w:val="0"/>
      <w:marBottom w:val="0"/>
      <w:divBdr>
        <w:top w:val="none" w:sz="0" w:space="0" w:color="auto"/>
        <w:left w:val="none" w:sz="0" w:space="0" w:color="auto"/>
        <w:bottom w:val="none" w:sz="0" w:space="0" w:color="auto"/>
        <w:right w:val="none" w:sz="0" w:space="0" w:color="auto"/>
      </w:divBdr>
    </w:div>
    <w:div w:id="94295902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6456526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0799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C7CA-C99A-4C2F-B62F-F7B8649C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684</TotalTime>
  <Pages>13</Pages>
  <Words>5090</Words>
  <Characters>29016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34038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52</cp:revision>
  <cp:lastPrinted>1999-07-06T11:00:00Z</cp:lastPrinted>
  <dcterms:created xsi:type="dcterms:W3CDTF">2014-10-25T14:34:00Z</dcterms:created>
  <dcterms:modified xsi:type="dcterms:W3CDTF">2025-04-26T10:55:00Z</dcterms:modified>
</cp:coreProperties>
</file>