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E6ADC" w14:textId="77777777" w:rsidR="00E055A7" w:rsidRDefault="00E055A7" w:rsidP="00E055A7">
      <w:pPr>
        <w:spacing w:before="100" w:beforeAutospacing="1" w:after="100" w:afterAutospacing="1" w:line="360" w:lineRule="auto"/>
        <w:jc w:val="center"/>
        <w:rPr>
          <w:rFonts w:ascii="Times New Roman" w:eastAsia="Times New Roman" w:hAnsi="Times New Roman" w:cs="Times New Roman"/>
          <w:b/>
          <w:bCs/>
          <w:sz w:val="36"/>
          <w:szCs w:val="36"/>
        </w:rPr>
      </w:pPr>
      <w:bookmarkStart w:id="0" w:name="_GoBack"/>
      <w:bookmarkEnd w:id="0"/>
      <w:r w:rsidRPr="00E055A7">
        <w:rPr>
          <w:rFonts w:ascii="Times New Roman" w:eastAsia="Times New Roman" w:hAnsi="Times New Roman" w:cs="Times New Roman"/>
          <w:b/>
          <w:bCs/>
          <w:sz w:val="36"/>
          <w:szCs w:val="36"/>
        </w:rPr>
        <w:t>A Multiscale Approach to Cyber-Mechanical Threat Modeling for Predicting and Preventing Failures in Critical Energy Infrastructure</w:t>
      </w:r>
    </w:p>
    <w:p w14:paraId="56C66106" w14:textId="77777777" w:rsidR="00EF6C32" w:rsidRPr="00EF6C32" w:rsidRDefault="00EF6C32" w:rsidP="00EF6C32">
      <w:pPr>
        <w:spacing w:before="100" w:beforeAutospacing="1" w:after="100" w:afterAutospacing="1" w:line="360" w:lineRule="auto"/>
        <w:jc w:val="both"/>
        <w:rPr>
          <w:rFonts w:ascii="Times New Roman" w:eastAsia="Times New Roman" w:hAnsi="Times New Roman" w:cs="Times New Roman"/>
          <w:sz w:val="24"/>
          <w:szCs w:val="24"/>
        </w:rPr>
      </w:pPr>
      <w:r w:rsidRPr="00EF6C32">
        <w:rPr>
          <w:rFonts w:ascii="Times New Roman" w:eastAsia="Times New Roman" w:hAnsi="Times New Roman" w:cs="Times New Roman"/>
          <w:b/>
          <w:bCs/>
          <w:sz w:val="24"/>
          <w:szCs w:val="24"/>
        </w:rPr>
        <w:t>Abstract</w:t>
      </w:r>
    </w:p>
    <w:p w14:paraId="1384FAA0" w14:textId="77777777" w:rsidR="00EF6C32" w:rsidRPr="009A0B48" w:rsidRDefault="00EF6C32" w:rsidP="00EF6C32">
      <w:pPr>
        <w:spacing w:before="100" w:beforeAutospacing="1" w:after="100" w:afterAutospacing="1" w:line="360" w:lineRule="auto"/>
        <w:jc w:val="both"/>
        <w:rPr>
          <w:rFonts w:ascii="Times New Roman" w:eastAsia="Times New Roman" w:hAnsi="Times New Roman" w:cs="Times New Roman"/>
          <w:i/>
          <w:sz w:val="24"/>
          <w:szCs w:val="24"/>
        </w:rPr>
      </w:pPr>
      <w:r w:rsidRPr="009A0B48">
        <w:rPr>
          <w:rFonts w:ascii="Times New Roman" w:eastAsia="Times New Roman" w:hAnsi="Times New Roman" w:cs="Times New Roman"/>
          <w:i/>
          <w:sz w:val="24"/>
          <w:szCs w:val="24"/>
        </w:rPr>
        <w:t xml:space="preserve">The increasing convergence of cyber and </w:t>
      </w:r>
      <w:r w:rsidR="00DD0B3A" w:rsidRPr="009A0B48">
        <w:rPr>
          <w:rFonts w:ascii="Times New Roman" w:eastAsia="Times New Roman" w:hAnsi="Times New Roman" w:cs="Times New Roman"/>
          <w:i/>
          <w:sz w:val="24"/>
          <w:szCs w:val="24"/>
        </w:rPr>
        <w:t>mechanical</w:t>
      </w:r>
      <w:r w:rsidRPr="009A0B48">
        <w:rPr>
          <w:rFonts w:ascii="Times New Roman" w:eastAsia="Times New Roman" w:hAnsi="Times New Roman" w:cs="Times New Roman"/>
          <w:i/>
          <w:sz w:val="24"/>
          <w:szCs w:val="24"/>
        </w:rPr>
        <w:t xml:space="preserve"> domains in critical energy infrastructure has heightened the risk and impact of cyber threats, particularly ransomware attacks. This study proposes a multiscale AI/ML-based framework for modeling and enhancing the cyber-mechanical resilience of such infrastructure. A comprehensive literature review revealed significant gaps in current resilience assessment approaches, including limited spatiotemporal threat modeling and inadequate predictive capabilities. To address these, a hierarchical framework combining a ConvLSTM3D model for anomaly detection with a Graph Neural Network (GNN) for multiscale threat propagation analysis was developed. The framework integrates both synthetic and real-world data, including the CICIDS 2017 dataset and simulated cyber-</w:t>
      </w:r>
      <w:r w:rsidR="00DD0B3A" w:rsidRPr="009A0B48">
        <w:rPr>
          <w:rFonts w:ascii="Times New Roman" w:eastAsia="Times New Roman" w:hAnsi="Times New Roman" w:cs="Times New Roman"/>
          <w:i/>
          <w:sz w:val="24"/>
          <w:szCs w:val="24"/>
        </w:rPr>
        <w:t>mechanical</w:t>
      </w:r>
      <w:r w:rsidRPr="009A0B48">
        <w:rPr>
          <w:rFonts w:ascii="Times New Roman" w:eastAsia="Times New Roman" w:hAnsi="Times New Roman" w:cs="Times New Roman"/>
          <w:i/>
          <w:sz w:val="24"/>
          <w:szCs w:val="24"/>
        </w:rPr>
        <w:t xml:space="preserve"> system logs. Evaluation using metrics such as accuracy</w:t>
      </w:r>
      <w:r w:rsidR="00DD0B3A" w:rsidRPr="009A0B48">
        <w:rPr>
          <w:rFonts w:ascii="Times New Roman" w:eastAsia="Times New Roman" w:hAnsi="Times New Roman" w:cs="Times New Roman"/>
          <w:i/>
          <w:sz w:val="24"/>
          <w:szCs w:val="24"/>
        </w:rPr>
        <w:t xml:space="preserve"> and</w:t>
      </w:r>
      <w:r w:rsidRPr="009A0B48">
        <w:rPr>
          <w:rFonts w:ascii="Times New Roman" w:eastAsia="Times New Roman" w:hAnsi="Times New Roman" w:cs="Times New Roman"/>
          <w:i/>
          <w:sz w:val="24"/>
          <w:szCs w:val="24"/>
        </w:rPr>
        <w:t xml:space="preserve"> F1-score, demonstrated the model’s ability to detect threats across different scales with strong temporal precision. The results confirmed that modeling cyber-</w:t>
      </w:r>
      <w:r w:rsidR="00DD0B3A" w:rsidRPr="009A0B48">
        <w:rPr>
          <w:rFonts w:ascii="Times New Roman" w:eastAsia="Times New Roman" w:hAnsi="Times New Roman" w:cs="Times New Roman"/>
          <w:i/>
          <w:sz w:val="24"/>
          <w:szCs w:val="24"/>
        </w:rPr>
        <w:t>mechanical</w:t>
      </w:r>
      <w:r w:rsidRPr="009A0B48">
        <w:rPr>
          <w:rFonts w:ascii="Times New Roman" w:eastAsia="Times New Roman" w:hAnsi="Times New Roman" w:cs="Times New Roman"/>
          <w:i/>
          <w:sz w:val="24"/>
          <w:szCs w:val="24"/>
        </w:rPr>
        <w:t xml:space="preserve"> interactions at multiple spatial and temporal levels significantly enhances predictive resilience analysis. Key conclusions point to the need for domain-specific datasets, optimization for real-time deployment, and improved interpretability. This study contributes a novel modeling architecture and evaluation framework that can inform future design, monitoring, and protection strategies for critical</w:t>
      </w:r>
      <w:r w:rsidR="00DD0B3A" w:rsidRPr="009A0B48">
        <w:rPr>
          <w:rFonts w:ascii="Times New Roman" w:eastAsia="Times New Roman" w:hAnsi="Times New Roman" w:cs="Times New Roman"/>
          <w:i/>
          <w:sz w:val="24"/>
          <w:szCs w:val="24"/>
        </w:rPr>
        <w:t xml:space="preserve"> energy</w:t>
      </w:r>
      <w:r w:rsidRPr="009A0B48">
        <w:rPr>
          <w:rFonts w:ascii="Times New Roman" w:eastAsia="Times New Roman" w:hAnsi="Times New Roman" w:cs="Times New Roman"/>
          <w:i/>
          <w:sz w:val="24"/>
          <w:szCs w:val="24"/>
        </w:rPr>
        <w:t xml:space="preserve"> infrastructure under evolving ransomware threats.</w:t>
      </w:r>
    </w:p>
    <w:p w14:paraId="6F8F7EA0" w14:textId="77777777" w:rsidR="00EF6C32" w:rsidRPr="00EF6C32" w:rsidRDefault="00EF6C32" w:rsidP="00EF6C32">
      <w:pPr>
        <w:spacing w:before="100" w:beforeAutospacing="1" w:after="100" w:afterAutospacing="1" w:line="360" w:lineRule="auto"/>
        <w:jc w:val="both"/>
        <w:rPr>
          <w:rFonts w:ascii="Times New Roman" w:eastAsia="Times New Roman" w:hAnsi="Times New Roman" w:cs="Times New Roman"/>
          <w:sz w:val="24"/>
          <w:szCs w:val="24"/>
        </w:rPr>
      </w:pPr>
      <w:r w:rsidRPr="00DD0B3A">
        <w:rPr>
          <w:rFonts w:ascii="Times New Roman" w:eastAsia="Times New Roman" w:hAnsi="Times New Roman" w:cs="Times New Roman"/>
          <w:bCs/>
          <w:sz w:val="24"/>
          <w:szCs w:val="24"/>
        </w:rPr>
        <w:t>Keywords</w:t>
      </w:r>
      <w:r w:rsidRPr="00EF6C32">
        <w:rPr>
          <w:rFonts w:ascii="Times New Roman" w:eastAsia="Times New Roman" w:hAnsi="Times New Roman" w:cs="Times New Roman"/>
          <w:sz w:val="24"/>
          <w:szCs w:val="24"/>
        </w:rPr>
        <w:t>: Cyber-</w:t>
      </w:r>
      <w:r w:rsidR="00DD0B3A" w:rsidRPr="00DD0B3A">
        <w:rPr>
          <w:rFonts w:ascii="Times New Roman" w:eastAsia="Times New Roman" w:hAnsi="Times New Roman" w:cs="Times New Roman"/>
          <w:sz w:val="24"/>
          <w:szCs w:val="24"/>
        </w:rPr>
        <w:t>Mechanical</w:t>
      </w:r>
      <w:r w:rsidRPr="00EF6C32">
        <w:rPr>
          <w:rFonts w:ascii="Times New Roman" w:eastAsia="Times New Roman" w:hAnsi="Times New Roman" w:cs="Times New Roman"/>
          <w:sz w:val="24"/>
          <w:szCs w:val="24"/>
        </w:rPr>
        <w:t xml:space="preserve"> Systems, Ransomware, ConvLSTM3D, Critical Infrastructure, Resilience Modeling</w:t>
      </w:r>
    </w:p>
    <w:p w14:paraId="6EF9AA4C" w14:textId="77777777" w:rsidR="009A0B48" w:rsidRDefault="009A0B48" w:rsidP="004E3B91">
      <w:pPr>
        <w:spacing w:line="360" w:lineRule="auto"/>
        <w:jc w:val="both"/>
        <w:rPr>
          <w:rFonts w:ascii="Times New Roman" w:hAnsi="Times New Roman" w:cs="Times New Roman"/>
          <w:b/>
          <w:color w:val="000000" w:themeColor="text1"/>
          <w:sz w:val="24"/>
          <w:szCs w:val="24"/>
        </w:rPr>
      </w:pPr>
    </w:p>
    <w:p w14:paraId="7B070E48" w14:textId="77777777" w:rsidR="009A0B48" w:rsidRDefault="009A0B48" w:rsidP="004E3B91">
      <w:pPr>
        <w:spacing w:line="360" w:lineRule="auto"/>
        <w:jc w:val="both"/>
        <w:rPr>
          <w:rFonts w:ascii="Times New Roman" w:hAnsi="Times New Roman" w:cs="Times New Roman"/>
          <w:b/>
          <w:color w:val="000000" w:themeColor="text1"/>
          <w:sz w:val="24"/>
          <w:szCs w:val="24"/>
        </w:rPr>
      </w:pPr>
    </w:p>
    <w:p w14:paraId="58BBD6EB" w14:textId="77777777" w:rsidR="009A0B48" w:rsidRDefault="009A0B48" w:rsidP="004E3B91">
      <w:pPr>
        <w:spacing w:line="360" w:lineRule="auto"/>
        <w:jc w:val="both"/>
        <w:rPr>
          <w:rFonts w:ascii="Times New Roman" w:hAnsi="Times New Roman" w:cs="Times New Roman"/>
          <w:b/>
          <w:color w:val="000000" w:themeColor="text1"/>
          <w:sz w:val="24"/>
          <w:szCs w:val="24"/>
        </w:rPr>
      </w:pPr>
    </w:p>
    <w:p w14:paraId="3930CB77" w14:textId="77777777" w:rsidR="00086BE9" w:rsidRPr="004E3B91" w:rsidRDefault="00086BE9" w:rsidP="004E3B91">
      <w:pPr>
        <w:spacing w:line="360" w:lineRule="auto"/>
        <w:jc w:val="both"/>
        <w:rPr>
          <w:rFonts w:ascii="Times New Roman" w:hAnsi="Times New Roman" w:cs="Times New Roman"/>
          <w:b/>
          <w:color w:val="000000" w:themeColor="text1"/>
          <w:sz w:val="24"/>
          <w:szCs w:val="24"/>
        </w:rPr>
      </w:pPr>
      <w:r w:rsidRPr="004E3B91">
        <w:rPr>
          <w:rFonts w:ascii="Times New Roman" w:hAnsi="Times New Roman" w:cs="Times New Roman"/>
          <w:b/>
          <w:color w:val="000000" w:themeColor="text1"/>
          <w:sz w:val="24"/>
          <w:szCs w:val="24"/>
        </w:rPr>
        <w:lastRenderedPageBreak/>
        <w:t>1</w:t>
      </w:r>
      <w:r w:rsidR="004E3B91" w:rsidRPr="004E3B91">
        <w:rPr>
          <w:rFonts w:ascii="Times New Roman" w:hAnsi="Times New Roman" w:cs="Times New Roman"/>
          <w:b/>
          <w:color w:val="000000" w:themeColor="text1"/>
          <w:sz w:val="24"/>
          <w:szCs w:val="24"/>
        </w:rPr>
        <w:tab/>
      </w:r>
      <w:r w:rsidRPr="004E3B91">
        <w:rPr>
          <w:rFonts w:ascii="Times New Roman" w:hAnsi="Times New Roman" w:cs="Times New Roman"/>
          <w:b/>
          <w:color w:val="000000" w:themeColor="text1"/>
          <w:sz w:val="24"/>
          <w:szCs w:val="24"/>
        </w:rPr>
        <w:t>Introduction</w:t>
      </w:r>
    </w:p>
    <w:p w14:paraId="1FFA62C2" w14:textId="77777777" w:rsidR="0042340B" w:rsidRPr="0042340B" w:rsidRDefault="0042340B" w:rsidP="0035224A">
      <w:pPr>
        <w:spacing w:before="100" w:beforeAutospacing="1" w:after="100" w:afterAutospacing="1" w:line="360" w:lineRule="auto"/>
        <w:jc w:val="both"/>
        <w:rPr>
          <w:rFonts w:ascii="Times New Roman" w:eastAsia="Times New Roman" w:hAnsi="Times New Roman" w:cs="Times New Roman"/>
          <w:sz w:val="24"/>
          <w:szCs w:val="24"/>
        </w:rPr>
      </w:pPr>
      <w:r w:rsidRPr="0042340B">
        <w:rPr>
          <w:rFonts w:ascii="Times New Roman" w:eastAsia="Times New Roman" w:hAnsi="Times New Roman" w:cs="Times New Roman"/>
          <w:sz w:val="24"/>
          <w:szCs w:val="24"/>
        </w:rPr>
        <w:t>Critical energy infrastructure—comprising electric power systems, oil and gas pipelines, and renewable energy networks</w:t>
      </w:r>
      <w:r w:rsidR="0035224A">
        <w:rPr>
          <w:rFonts w:ascii="Times New Roman" w:eastAsia="Times New Roman" w:hAnsi="Times New Roman" w:cs="Times New Roman"/>
          <w:sz w:val="24"/>
          <w:szCs w:val="24"/>
        </w:rPr>
        <w:t xml:space="preserve"> </w:t>
      </w:r>
      <w:r w:rsidRPr="0042340B">
        <w:rPr>
          <w:rFonts w:ascii="Times New Roman" w:eastAsia="Times New Roman" w:hAnsi="Times New Roman" w:cs="Times New Roman"/>
          <w:sz w:val="24"/>
          <w:szCs w:val="24"/>
        </w:rPr>
        <w:t>forms the backbone of modern society by supporting economic stability, national security, and public welfare. The evolution of these systems from purely mechanical constructs to cyber-mechanical systems (CMS) has improved operational efficiency through digital monitoring and control technologies, but has also introduced complex vulnerabilities (Lee, 2008). These cyber-physical interactions render critical infrastructure increasingly susceptible to sophisticated threats, necessitating a novel multiscale modeling framework powered by artificial intelligence (AI) and machine learning (ML) to predict and prevent failures across both temporal and spatial dimensions (</w:t>
      </w:r>
      <w:proofErr w:type="spellStart"/>
      <w:r w:rsidRPr="0042340B">
        <w:rPr>
          <w:rFonts w:ascii="Times New Roman" w:eastAsia="Times New Roman" w:hAnsi="Times New Roman" w:cs="Times New Roman"/>
          <w:sz w:val="24"/>
          <w:szCs w:val="24"/>
        </w:rPr>
        <w:t>Humayed</w:t>
      </w:r>
      <w:proofErr w:type="spellEnd"/>
      <w:r w:rsidRPr="0042340B">
        <w:rPr>
          <w:rFonts w:ascii="Times New Roman" w:eastAsia="Times New Roman" w:hAnsi="Times New Roman" w:cs="Times New Roman"/>
          <w:sz w:val="24"/>
          <w:szCs w:val="24"/>
        </w:rPr>
        <w:t xml:space="preserve"> et al., 2017).</w:t>
      </w:r>
    </w:p>
    <w:p w14:paraId="63AB6DBD" w14:textId="77777777" w:rsidR="0042340B" w:rsidRPr="0042340B" w:rsidRDefault="0042340B" w:rsidP="0035224A">
      <w:pPr>
        <w:spacing w:before="100" w:beforeAutospacing="1" w:after="100" w:afterAutospacing="1" w:line="360" w:lineRule="auto"/>
        <w:jc w:val="both"/>
        <w:rPr>
          <w:rFonts w:ascii="Times New Roman" w:eastAsia="Times New Roman" w:hAnsi="Times New Roman" w:cs="Times New Roman"/>
          <w:sz w:val="24"/>
          <w:szCs w:val="24"/>
        </w:rPr>
      </w:pPr>
      <w:r w:rsidRPr="0042340B">
        <w:rPr>
          <w:rFonts w:ascii="Times New Roman" w:eastAsia="Times New Roman" w:hAnsi="Times New Roman" w:cs="Times New Roman"/>
          <w:sz w:val="24"/>
          <w:szCs w:val="24"/>
        </w:rPr>
        <w:t>The integration of cyber components into energy infrastructure has significantly broadened the attack surface, exposing systems to hybrid threats. Incidents like the 2015 Ukraine power grid attack, which caused a blackout affecting 230,000 people, and the 2021 Colonial Pipeline ransomware attack, which disrupted fuel distribution across the U.S. East Coast, exemplify the potential cascading impacts of cyber-mechanical attacks (Greenberg, 2017; White, 2016). These events reveal the limitations of traditional security models that separate cybersecurity from physical reliability, ignoring their interdependencies (</w:t>
      </w:r>
      <w:proofErr w:type="spellStart"/>
      <w:r w:rsidRPr="0042340B">
        <w:rPr>
          <w:rFonts w:ascii="Times New Roman" w:eastAsia="Times New Roman" w:hAnsi="Times New Roman" w:cs="Times New Roman"/>
          <w:sz w:val="24"/>
          <w:szCs w:val="24"/>
        </w:rPr>
        <w:t>Cherdantseva</w:t>
      </w:r>
      <w:proofErr w:type="spellEnd"/>
      <w:r w:rsidRPr="0042340B">
        <w:rPr>
          <w:rFonts w:ascii="Times New Roman" w:eastAsia="Times New Roman" w:hAnsi="Times New Roman" w:cs="Times New Roman"/>
          <w:sz w:val="24"/>
          <w:szCs w:val="24"/>
        </w:rPr>
        <w:t xml:space="preserve"> et al., 2016). Multiscale modeling, an approach rooted in computational physics and materials science, provides a mechanism to analyze energy systems from millisecond-level controls to multi-decade infrastructure lifespans (</w:t>
      </w:r>
      <w:proofErr w:type="spellStart"/>
      <w:r w:rsidRPr="0042340B">
        <w:rPr>
          <w:rFonts w:ascii="Times New Roman" w:eastAsia="Times New Roman" w:hAnsi="Times New Roman" w:cs="Times New Roman"/>
          <w:sz w:val="24"/>
          <w:szCs w:val="24"/>
        </w:rPr>
        <w:t>Horstemeyer</w:t>
      </w:r>
      <w:proofErr w:type="spellEnd"/>
      <w:r w:rsidRPr="0042340B">
        <w:rPr>
          <w:rFonts w:ascii="Times New Roman" w:eastAsia="Times New Roman" w:hAnsi="Times New Roman" w:cs="Times New Roman"/>
          <w:sz w:val="24"/>
          <w:szCs w:val="24"/>
        </w:rPr>
        <w:t>, 2009). When applied to cyber-physical systems (CPS), this approach can trace threats from component-level failures, such as compromised sensors, to full-scale disruptions like regional blackouts (</w:t>
      </w:r>
      <w:proofErr w:type="spellStart"/>
      <w:r w:rsidRPr="0042340B">
        <w:rPr>
          <w:rFonts w:ascii="Times New Roman" w:eastAsia="Times New Roman" w:hAnsi="Times New Roman" w:cs="Times New Roman"/>
          <w:sz w:val="24"/>
          <w:szCs w:val="24"/>
        </w:rPr>
        <w:t>Rausand</w:t>
      </w:r>
      <w:proofErr w:type="spellEnd"/>
      <w:r w:rsidRPr="0042340B">
        <w:rPr>
          <w:rFonts w:ascii="Times New Roman" w:eastAsia="Times New Roman" w:hAnsi="Times New Roman" w:cs="Times New Roman"/>
          <w:sz w:val="24"/>
          <w:szCs w:val="24"/>
        </w:rPr>
        <w:t xml:space="preserve"> &amp; Haugen, 2020).</w:t>
      </w:r>
    </w:p>
    <w:p w14:paraId="429DCD84" w14:textId="77777777" w:rsidR="0042340B" w:rsidRPr="0042340B" w:rsidRDefault="0042340B" w:rsidP="0035224A">
      <w:pPr>
        <w:spacing w:before="100" w:beforeAutospacing="1" w:after="100" w:afterAutospacing="1" w:line="360" w:lineRule="auto"/>
        <w:jc w:val="both"/>
        <w:rPr>
          <w:rFonts w:ascii="Times New Roman" w:eastAsia="Times New Roman" w:hAnsi="Times New Roman" w:cs="Times New Roman"/>
          <w:sz w:val="24"/>
          <w:szCs w:val="24"/>
        </w:rPr>
      </w:pPr>
      <w:r w:rsidRPr="0042340B">
        <w:rPr>
          <w:rFonts w:ascii="Times New Roman" w:eastAsia="Times New Roman" w:hAnsi="Times New Roman" w:cs="Times New Roman"/>
          <w:sz w:val="24"/>
          <w:szCs w:val="24"/>
        </w:rPr>
        <w:t xml:space="preserve">Energy infrastructure’s operational dynamics span multiple temporal and spatial scales. Real-time control systems interact with hour-ahead scheduling, day-ahead planning, and long-term infrastructure development. Spatially, energy systems include components ranging from sensors to nationwide grids (Chassin et al., 2014). Existing threat models often lack the granularity and adaptability to address such complex multiscale interactions, leaving blind spots exploitable by adversaries (Khan et al., 2017). Moreover, most threat models are static and unable to evolve alongside changing system configurations and attack vectors (Ericsson, 2010). The prevalent </w:t>
      </w:r>
      <w:r w:rsidRPr="0042340B">
        <w:rPr>
          <w:rFonts w:ascii="Times New Roman" w:eastAsia="Times New Roman" w:hAnsi="Times New Roman" w:cs="Times New Roman"/>
          <w:sz w:val="24"/>
          <w:szCs w:val="24"/>
        </w:rPr>
        <w:lastRenderedPageBreak/>
        <w:t>siloed approach to security, where cyber and physical domains are managed separately, further amplifies vulnerabilities (Line et al., 2014).</w:t>
      </w:r>
    </w:p>
    <w:p w14:paraId="3AE22356" w14:textId="77777777" w:rsidR="0042340B" w:rsidRPr="0042340B" w:rsidRDefault="0042340B" w:rsidP="0035224A">
      <w:pPr>
        <w:spacing w:before="100" w:beforeAutospacing="1" w:after="100" w:afterAutospacing="1" w:line="360" w:lineRule="auto"/>
        <w:jc w:val="both"/>
        <w:rPr>
          <w:rFonts w:ascii="Times New Roman" w:eastAsia="Times New Roman" w:hAnsi="Times New Roman" w:cs="Times New Roman"/>
          <w:sz w:val="24"/>
          <w:szCs w:val="24"/>
        </w:rPr>
      </w:pPr>
      <w:r w:rsidRPr="0042340B">
        <w:rPr>
          <w:rFonts w:ascii="Times New Roman" w:eastAsia="Times New Roman" w:hAnsi="Times New Roman" w:cs="Times New Roman"/>
          <w:sz w:val="24"/>
          <w:szCs w:val="24"/>
        </w:rPr>
        <w:t>AI and ML technologies can help address these gaps by enabling dynamic, adaptive, and predictive threat models. Deep learning methods, such as convolutional neural networks (CNNs), can model complex time-dependent system dynamics and identify both routine and abnormal behaviors (Qian et al., 2017). In energy systems, early detection of such anomalies is vital to prevent cascading failures (Zio, 2016). However, current AI/ML applications often target narrow use cases and specific layers of infrastructure without capturing multiscale dependencies</w:t>
      </w:r>
      <w:r w:rsidR="00C646DD">
        <w:rPr>
          <w:rFonts w:ascii="Times New Roman" w:eastAsia="Times New Roman" w:hAnsi="Times New Roman" w:cs="Times New Roman"/>
          <w:sz w:val="24"/>
          <w:szCs w:val="24"/>
        </w:rPr>
        <w:t>.</w:t>
      </w:r>
      <w:r w:rsidRPr="0042340B">
        <w:rPr>
          <w:rFonts w:ascii="Times New Roman" w:eastAsia="Times New Roman" w:hAnsi="Times New Roman" w:cs="Times New Roman"/>
          <w:sz w:val="24"/>
          <w:szCs w:val="24"/>
        </w:rPr>
        <w:t xml:space="preserve"> Integrating AI/ML with multiscale modeling can generate adaptive systems that continuously improve through data-driven learning (Mohit Kumar Maheshwari et al., 2023).</w:t>
      </w:r>
    </w:p>
    <w:p w14:paraId="107260AE" w14:textId="77777777" w:rsidR="0042340B" w:rsidRPr="0042340B" w:rsidRDefault="0042340B" w:rsidP="0035224A">
      <w:pPr>
        <w:spacing w:before="100" w:beforeAutospacing="1" w:after="100" w:afterAutospacing="1" w:line="360" w:lineRule="auto"/>
        <w:jc w:val="both"/>
        <w:rPr>
          <w:rFonts w:ascii="Times New Roman" w:eastAsia="Times New Roman" w:hAnsi="Times New Roman" w:cs="Times New Roman"/>
          <w:sz w:val="24"/>
          <w:szCs w:val="24"/>
        </w:rPr>
      </w:pPr>
      <w:r w:rsidRPr="0042340B">
        <w:rPr>
          <w:rFonts w:ascii="Times New Roman" w:eastAsia="Times New Roman" w:hAnsi="Times New Roman" w:cs="Times New Roman"/>
          <w:sz w:val="24"/>
          <w:szCs w:val="24"/>
        </w:rPr>
        <w:t xml:space="preserve">The central research problem addressed is the inadequacy of current threat modeling frameworks in capturing the heterogeneous, multiscale, and evolving nature of cyber-mechanical threats to energy infrastructure. Most frameworks are dichotomous, focusing on either cyber </w:t>
      </w:r>
      <w:proofErr w:type="gramStart"/>
      <w:r w:rsidRPr="0042340B">
        <w:rPr>
          <w:rFonts w:ascii="Times New Roman" w:eastAsia="Times New Roman" w:hAnsi="Times New Roman" w:cs="Times New Roman"/>
          <w:sz w:val="24"/>
          <w:szCs w:val="24"/>
        </w:rPr>
        <w:t>incidents</w:t>
      </w:r>
      <w:proofErr w:type="gramEnd"/>
      <w:r w:rsidR="0035224A">
        <w:rPr>
          <w:rFonts w:ascii="Times New Roman" w:eastAsia="Times New Roman" w:hAnsi="Times New Roman" w:cs="Times New Roman"/>
          <w:sz w:val="24"/>
          <w:szCs w:val="24"/>
        </w:rPr>
        <w:t xml:space="preserve"> </w:t>
      </w:r>
      <w:r w:rsidRPr="0042340B">
        <w:rPr>
          <w:rFonts w:ascii="Times New Roman" w:eastAsia="Times New Roman" w:hAnsi="Times New Roman" w:cs="Times New Roman"/>
          <w:sz w:val="24"/>
          <w:szCs w:val="24"/>
        </w:rPr>
        <w:t>like malware</w:t>
      </w:r>
      <w:r w:rsidR="0035224A">
        <w:rPr>
          <w:rFonts w:ascii="Times New Roman" w:eastAsia="Times New Roman" w:hAnsi="Times New Roman" w:cs="Times New Roman"/>
          <w:sz w:val="24"/>
          <w:szCs w:val="24"/>
        </w:rPr>
        <w:t xml:space="preserve"> </w:t>
      </w:r>
      <w:r w:rsidRPr="0042340B">
        <w:rPr>
          <w:rFonts w:ascii="Times New Roman" w:eastAsia="Times New Roman" w:hAnsi="Times New Roman" w:cs="Times New Roman"/>
          <w:sz w:val="24"/>
          <w:szCs w:val="24"/>
        </w:rPr>
        <w:t>or physical failures—such as component fatigue</w:t>
      </w:r>
      <w:r w:rsidR="0035224A">
        <w:rPr>
          <w:rFonts w:ascii="Times New Roman" w:eastAsia="Times New Roman" w:hAnsi="Times New Roman" w:cs="Times New Roman"/>
          <w:sz w:val="24"/>
          <w:szCs w:val="24"/>
        </w:rPr>
        <w:t xml:space="preserve"> </w:t>
      </w:r>
      <w:r w:rsidRPr="0042340B">
        <w:rPr>
          <w:rFonts w:ascii="Times New Roman" w:eastAsia="Times New Roman" w:hAnsi="Times New Roman" w:cs="Times New Roman"/>
          <w:sz w:val="24"/>
          <w:szCs w:val="24"/>
        </w:rPr>
        <w:t>without analyzing their interplay (</w:t>
      </w:r>
      <w:proofErr w:type="spellStart"/>
      <w:r w:rsidRPr="0042340B">
        <w:rPr>
          <w:rFonts w:ascii="Times New Roman" w:eastAsia="Times New Roman" w:hAnsi="Times New Roman" w:cs="Times New Roman"/>
          <w:sz w:val="24"/>
          <w:szCs w:val="24"/>
        </w:rPr>
        <w:t>Humayed</w:t>
      </w:r>
      <w:proofErr w:type="spellEnd"/>
      <w:r w:rsidRPr="0042340B">
        <w:rPr>
          <w:rFonts w:ascii="Times New Roman" w:eastAsia="Times New Roman" w:hAnsi="Times New Roman" w:cs="Times New Roman"/>
          <w:sz w:val="24"/>
          <w:szCs w:val="24"/>
        </w:rPr>
        <w:t xml:space="preserve"> et al., 2017). For example, the Stuxnet attack demonstrated how a cyber intrusion could cause physical damage, while physical malfunctions may expose systems to cyber threats (Farwell &amp; </w:t>
      </w:r>
      <w:proofErr w:type="spellStart"/>
      <w:r w:rsidRPr="0042340B">
        <w:rPr>
          <w:rFonts w:ascii="Times New Roman" w:eastAsia="Times New Roman" w:hAnsi="Times New Roman" w:cs="Times New Roman"/>
          <w:sz w:val="24"/>
          <w:szCs w:val="24"/>
        </w:rPr>
        <w:t>Rohozinski</w:t>
      </w:r>
      <w:proofErr w:type="spellEnd"/>
      <w:r w:rsidRPr="0042340B">
        <w:rPr>
          <w:rFonts w:ascii="Times New Roman" w:eastAsia="Times New Roman" w:hAnsi="Times New Roman" w:cs="Times New Roman"/>
          <w:sz w:val="24"/>
          <w:szCs w:val="24"/>
        </w:rPr>
        <w:t>, 2011). Moreover, scaling existing models to cover large, interconnected systems introduces computational burdens that limit real-time analysis (</w:t>
      </w:r>
      <w:proofErr w:type="spellStart"/>
      <w:r w:rsidRPr="0042340B">
        <w:rPr>
          <w:rFonts w:ascii="Times New Roman" w:eastAsia="Times New Roman" w:hAnsi="Times New Roman" w:cs="Times New Roman"/>
          <w:sz w:val="24"/>
          <w:szCs w:val="24"/>
        </w:rPr>
        <w:t>Rüde</w:t>
      </w:r>
      <w:proofErr w:type="spellEnd"/>
      <w:r w:rsidRPr="0042340B">
        <w:rPr>
          <w:rFonts w:ascii="Times New Roman" w:eastAsia="Times New Roman" w:hAnsi="Times New Roman" w:cs="Times New Roman"/>
          <w:sz w:val="24"/>
          <w:szCs w:val="24"/>
        </w:rPr>
        <w:t xml:space="preserve"> et al., 2018). The lack of adaptive, learning-based models further reduces responsiveness to emerging threats, emphasizing the need for a framework that combines multiscale analysis with AI/ML-enhanced prediction and prevention (Mohit Kumar Maheshwari et al., 2023).</w:t>
      </w:r>
    </w:p>
    <w:p w14:paraId="0EF39CCD" w14:textId="77777777" w:rsidR="0042340B" w:rsidRPr="0042340B" w:rsidRDefault="0042340B" w:rsidP="0035224A">
      <w:pPr>
        <w:spacing w:before="100" w:beforeAutospacing="1" w:after="100" w:afterAutospacing="1" w:line="360" w:lineRule="auto"/>
        <w:jc w:val="both"/>
        <w:rPr>
          <w:rFonts w:ascii="Times New Roman" w:eastAsia="Times New Roman" w:hAnsi="Times New Roman" w:cs="Times New Roman"/>
          <w:sz w:val="24"/>
          <w:szCs w:val="24"/>
        </w:rPr>
      </w:pPr>
      <w:r w:rsidRPr="0042340B">
        <w:rPr>
          <w:rFonts w:ascii="Times New Roman" w:eastAsia="Times New Roman" w:hAnsi="Times New Roman" w:cs="Times New Roman"/>
          <w:sz w:val="24"/>
          <w:szCs w:val="24"/>
        </w:rPr>
        <w:t>The scope of this study covers electric power systems (generation, transmission, distribution), oil and gas infrastructure (extraction, refining, transport, distribution), and large-scale renewable energy systems (solar and wind with advanced control). It addresses diverse threat vectors: cyberattacks by state and non-state actors, insider threats, cascading component failures, coordinated cyber-mechanical attacks, and vulnerabilities arising from system interdependencies (</w:t>
      </w:r>
      <w:proofErr w:type="spellStart"/>
      <w:r w:rsidRPr="0042340B">
        <w:rPr>
          <w:rFonts w:ascii="Times New Roman" w:eastAsia="Times New Roman" w:hAnsi="Times New Roman" w:cs="Times New Roman"/>
          <w:sz w:val="24"/>
          <w:szCs w:val="24"/>
        </w:rPr>
        <w:t>Cherdantseva</w:t>
      </w:r>
      <w:proofErr w:type="spellEnd"/>
      <w:r w:rsidRPr="0042340B">
        <w:rPr>
          <w:rFonts w:ascii="Times New Roman" w:eastAsia="Times New Roman" w:hAnsi="Times New Roman" w:cs="Times New Roman"/>
          <w:sz w:val="24"/>
          <w:szCs w:val="24"/>
        </w:rPr>
        <w:t xml:space="preserve"> et al., 2016). Purely physical threats—like natural disasters—are excluded unless they impact cyber vulnerabilities.</w:t>
      </w:r>
    </w:p>
    <w:p w14:paraId="32D310AE" w14:textId="77777777" w:rsidR="0042340B" w:rsidRPr="0042340B" w:rsidRDefault="0042340B" w:rsidP="0035224A">
      <w:pPr>
        <w:spacing w:before="100" w:beforeAutospacing="1" w:after="100" w:afterAutospacing="1" w:line="360" w:lineRule="auto"/>
        <w:jc w:val="both"/>
        <w:rPr>
          <w:rFonts w:ascii="Times New Roman" w:eastAsia="Times New Roman" w:hAnsi="Times New Roman" w:cs="Times New Roman"/>
          <w:sz w:val="24"/>
          <w:szCs w:val="24"/>
        </w:rPr>
      </w:pPr>
      <w:r w:rsidRPr="0042340B">
        <w:rPr>
          <w:rFonts w:ascii="Times New Roman" w:eastAsia="Times New Roman" w:hAnsi="Times New Roman" w:cs="Times New Roman"/>
          <w:sz w:val="24"/>
          <w:szCs w:val="24"/>
        </w:rPr>
        <w:lastRenderedPageBreak/>
        <w:t>Temporally, the framework spans from millisecond-level control signals to long-term aging and obsolescence vulnerabilities. Spatially, it includes individual components up to national-scale networks. Organizationally, the study considers technical, operational, and strategic levels, acknowledging that procedural or human factors can initiate or propagate threats (Zio, 2016). The methodology uses a mixed-methods approach: formal modeling and simulation of cyber-mechanical systems, case study analyses, AI/ML algorithm development, and validation via simulated attack scenarios. While empirical validation is included, real-world deployment is reserved for future collaboration with industry stakeholders (</w:t>
      </w:r>
      <w:proofErr w:type="spellStart"/>
      <w:r w:rsidRPr="0042340B">
        <w:rPr>
          <w:rFonts w:ascii="Times New Roman" w:eastAsia="Times New Roman" w:hAnsi="Times New Roman" w:cs="Times New Roman"/>
          <w:sz w:val="24"/>
          <w:szCs w:val="24"/>
        </w:rPr>
        <w:t>Rüde</w:t>
      </w:r>
      <w:proofErr w:type="spellEnd"/>
      <w:r w:rsidRPr="0042340B">
        <w:rPr>
          <w:rFonts w:ascii="Times New Roman" w:eastAsia="Times New Roman" w:hAnsi="Times New Roman" w:cs="Times New Roman"/>
          <w:sz w:val="24"/>
          <w:szCs w:val="24"/>
        </w:rPr>
        <w:t xml:space="preserve"> et al., 2018).</w:t>
      </w:r>
    </w:p>
    <w:p w14:paraId="6633C37E" w14:textId="77777777" w:rsidR="0042340B" w:rsidRPr="0042340B" w:rsidRDefault="0042340B" w:rsidP="0035224A">
      <w:pPr>
        <w:spacing w:before="100" w:beforeAutospacing="1" w:after="100" w:afterAutospacing="1" w:line="360" w:lineRule="auto"/>
        <w:jc w:val="both"/>
        <w:rPr>
          <w:rFonts w:ascii="Times New Roman" w:eastAsia="Times New Roman" w:hAnsi="Times New Roman" w:cs="Times New Roman"/>
          <w:sz w:val="24"/>
          <w:szCs w:val="24"/>
        </w:rPr>
      </w:pPr>
      <w:r w:rsidRPr="0042340B">
        <w:rPr>
          <w:rFonts w:ascii="Times New Roman" w:eastAsia="Times New Roman" w:hAnsi="Times New Roman" w:cs="Times New Roman"/>
          <w:sz w:val="24"/>
          <w:szCs w:val="24"/>
        </w:rPr>
        <w:t xml:space="preserve">The research offers significant value across national security, economic, technical, and regulatory domains. Cyber-mechanical systems in energy are high-value targets for adversaries, with cyberattacks like Stuxnet and the Ukraine blackout underscoring the strategic risks (Farwell &amp; </w:t>
      </w:r>
      <w:proofErr w:type="spellStart"/>
      <w:r w:rsidRPr="0042340B">
        <w:rPr>
          <w:rFonts w:ascii="Times New Roman" w:eastAsia="Times New Roman" w:hAnsi="Times New Roman" w:cs="Times New Roman"/>
          <w:sz w:val="24"/>
          <w:szCs w:val="24"/>
        </w:rPr>
        <w:t>Rohozinski</w:t>
      </w:r>
      <w:proofErr w:type="spellEnd"/>
      <w:r w:rsidRPr="0042340B">
        <w:rPr>
          <w:rFonts w:ascii="Times New Roman" w:eastAsia="Times New Roman" w:hAnsi="Times New Roman" w:cs="Times New Roman"/>
          <w:sz w:val="24"/>
          <w:szCs w:val="24"/>
        </w:rPr>
        <w:t>, 2011; White, 2016). Economically, infrastructure failures are costly, as illustrated by the 2003 Northeast blackout, which affected 50 million people and resulted in losses between $2 billion and $10 billion (U.S.-Canada Power System Outage Task Force, 2004). Technically, this research advances CPS security by combining multiscale and AI/ML modeling, filling methodological gaps in current approaches (Khan et al., 2017). By leveraging multi-paradigm modeling, it offers a way to accurately represent systems across appropriate levels of abstraction (</w:t>
      </w:r>
      <w:proofErr w:type="spellStart"/>
      <w:r w:rsidRPr="0042340B">
        <w:rPr>
          <w:rFonts w:ascii="Times New Roman" w:eastAsia="Times New Roman" w:hAnsi="Times New Roman" w:cs="Times New Roman"/>
          <w:sz w:val="24"/>
          <w:szCs w:val="24"/>
        </w:rPr>
        <w:t>Vangheluwe</w:t>
      </w:r>
      <w:proofErr w:type="spellEnd"/>
      <w:r w:rsidRPr="0042340B">
        <w:rPr>
          <w:rFonts w:ascii="Times New Roman" w:eastAsia="Times New Roman" w:hAnsi="Times New Roman" w:cs="Times New Roman"/>
          <w:sz w:val="24"/>
          <w:szCs w:val="24"/>
        </w:rPr>
        <w:t xml:space="preserve"> et al., 2002).</w:t>
      </w:r>
    </w:p>
    <w:p w14:paraId="6ADFA245" w14:textId="77777777" w:rsidR="0042340B" w:rsidRPr="0042340B" w:rsidRDefault="0042340B" w:rsidP="0035224A">
      <w:pPr>
        <w:spacing w:before="100" w:beforeAutospacing="1" w:after="100" w:afterAutospacing="1" w:line="360" w:lineRule="auto"/>
        <w:jc w:val="both"/>
        <w:rPr>
          <w:rFonts w:ascii="Times New Roman" w:eastAsia="Times New Roman" w:hAnsi="Times New Roman" w:cs="Times New Roman"/>
          <w:sz w:val="24"/>
          <w:szCs w:val="24"/>
        </w:rPr>
      </w:pPr>
      <w:r w:rsidRPr="0042340B">
        <w:rPr>
          <w:rFonts w:ascii="Times New Roman" w:eastAsia="Times New Roman" w:hAnsi="Times New Roman" w:cs="Times New Roman"/>
          <w:sz w:val="24"/>
          <w:szCs w:val="24"/>
        </w:rPr>
        <w:t>Practically, this research delivers actionable insights and tools to energy sector stakeholders, facilitating proactive, automated security strategies</w:t>
      </w:r>
      <w:r w:rsidR="006A3009">
        <w:rPr>
          <w:rFonts w:ascii="Times New Roman" w:eastAsia="Times New Roman" w:hAnsi="Times New Roman" w:cs="Times New Roman"/>
          <w:sz w:val="24"/>
          <w:szCs w:val="24"/>
        </w:rPr>
        <w:t xml:space="preserve">. </w:t>
      </w:r>
      <w:r w:rsidRPr="0042340B">
        <w:rPr>
          <w:rFonts w:ascii="Times New Roman" w:eastAsia="Times New Roman" w:hAnsi="Times New Roman" w:cs="Times New Roman"/>
          <w:sz w:val="24"/>
          <w:szCs w:val="24"/>
        </w:rPr>
        <w:t xml:space="preserve"> From a policy standpoint, the framework can support more adaptive regulatory guidelines that keep pace with technology (</w:t>
      </w:r>
      <w:proofErr w:type="spellStart"/>
      <w:r w:rsidRPr="0042340B">
        <w:rPr>
          <w:rFonts w:ascii="Times New Roman" w:eastAsia="Times New Roman" w:hAnsi="Times New Roman" w:cs="Times New Roman"/>
          <w:sz w:val="24"/>
          <w:szCs w:val="24"/>
        </w:rPr>
        <w:t>Butun</w:t>
      </w:r>
      <w:proofErr w:type="spellEnd"/>
      <w:r w:rsidRPr="0042340B">
        <w:rPr>
          <w:rFonts w:ascii="Times New Roman" w:eastAsia="Times New Roman" w:hAnsi="Times New Roman" w:cs="Times New Roman"/>
          <w:sz w:val="24"/>
          <w:szCs w:val="24"/>
        </w:rPr>
        <w:t xml:space="preserve"> et al., 2020). Academically, it contributes to CPS security by bridging cyber, physical, and modeling domains, with implications for other sectors like transportation and healthcare (Mohit Kumar Maheshwari et al., 2023). As countries shift to renewable and smart grid systems, particularly in the Global South where legacy and modern technologies coexist, this adaptable framework supports global energy resilience (REN21, 2022; World Bank, 2020). Its emphasis on predictive analytics aligns with global trends in data-driven infrastructure management (Hinton et al., 2012).</w:t>
      </w:r>
    </w:p>
    <w:p w14:paraId="206127AE" w14:textId="77777777" w:rsidR="0035224A" w:rsidRDefault="0042340B" w:rsidP="0035224A">
      <w:pPr>
        <w:spacing w:before="100" w:beforeAutospacing="1" w:after="100" w:afterAutospacing="1" w:line="360" w:lineRule="auto"/>
        <w:jc w:val="both"/>
        <w:rPr>
          <w:rFonts w:ascii="Times New Roman" w:eastAsia="Times New Roman" w:hAnsi="Times New Roman" w:cs="Times New Roman"/>
          <w:sz w:val="24"/>
          <w:szCs w:val="24"/>
        </w:rPr>
      </w:pPr>
      <w:r w:rsidRPr="0042340B">
        <w:rPr>
          <w:rFonts w:ascii="Times New Roman" w:eastAsia="Times New Roman" w:hAnsi="Times New Roman" w:cs="Times New Roman"/>
          <w:sz w:val="24"/>
          <w:szCs w:val="24"/>
        </w:rPr>
        <w:t>The research aims to develop a comprehensive multiscale framework for cyber-mechanical threat modeling in critical energy infrastructure. The key objectives are to:</w:t>
      </w:r>
    </w:p>
    <w:p w14:paraId="4A3C065E" w14:textId="77777777" w:rsidR="0035224A" w:rsidRDefault="0042340B" w:rsidP="0035224A">
      <w:pPr>
        <w:pStyle w:val="ListParagraph"/>
        <w:numPr>
          <w:ilvl w:val="0"/>
          <w:numId w:val="27"/>
        </w:numPr>
        <w:spacing w:before="100" w:beforeAutospacing="1" w:after="100" w:afterAutospacing="1" w:line="360" w:lineRule="auto"/>
        <w:jc w:val="both"/>
        <w:rPr>
          <w:rFonts w:ascii="Times New Roman" w:eastAsia="Times New Roman" w:hAnsi="Times New Roman" w:cs="Times New Roman"/>
          <w:sz w:val="24"/>
          <w:szCs w:val="24"/>
        </w:rPr>
      </w:pPr>
      <w:r w:rsidRPr="0035224A">
        <w:rPr>
          <w:rFonts w:ascii="Times New Roman" w:eastAsia="Times New Roman" w:hAnsi="Times New Roman" w:cs="Times New Roman"/>
          <w:sz w:val="24"/>
          <w:szCs w:val="24"/>
        </w:rPr>
        <w:lastRenderedPageBreak/>
        <w:t>develop an integrated framework capturing threats across temporal and spatial scales;</w:t>
      </w:r>
    </w:p>
    <w:p w14:paraId="7BCD1AE9" w14:textId="77777777" w:rsidR="0035224A" w:rsidRDefault="0042340B" w:rsidP="0035224A">
      <w:pPr>
        <w:pStyle w:val="ListParagraph"/>
        <w:numPr>
          <w:ilvl w:val="0"/>
          <w:numId w:val="27"/>
        </w:numPr>
        <w:spacing w:before="100" w:beforeAutospacing="1" w:after="100" w:afterAutospacing="1" w:line="360" w:lineRule="auto"/>
        <w:jc w:val="both"/>
        <w:rPr>
          <w:rFonts w:ascii="Times New Roman" w:eastAsia="Times New Roman" w:hAnsi="Times New Roman" w:cs="Times New Roman"/>
          <w:sz w:val="24"/>
          <w:szCs w:val="24"/>
        </w:rPr>
      </w:pPr>
      <w:r w:rsidRPr="0035224A">
        <w:rPr>
          <w:rFonts w:ascii="Times New Roman" w:eastAsia="Times New Roman" w:hAnsi="Times New Roman" w:cs="Times New Roman"/>
          <w:sz w:val="24"/>
          <w:szCs w:val="24"/>
        </w:rPr>
        <w:t>implement AI/ML algorithms for adaptive threat detection and prevention; and</w:t>
      </w:r>
    </w:p>
    <w:p w14:paraId="068E69E3" w14:textId="77777777" w:rsidR="0042340B" w:rsidRPr="0035224A" w:rsidRDefault="0042340B" w:rsidP="0035224A">
      <w:pPr>
        <w:pStyle w:val="ListParagraph"/>
        <w:numPr>
          <w:ilvl w:val="0"/>
          <w:numId w:val="27"/>
        </w:numPr>
        <w:spacing w:before="100" w:beforeAutospacing="1" w:after="100" w:afterAutospacing="1" w:line="360" w:lineRule="auto"/>
        <w:jc w:val="both"/>
        <w:rPr>
          <w:rFonts w:ascii="Times New Roman" w:eastAsia="Times New Roman" w:hAnsi="Times New Roman" w:cs="Times New Roman"/>
          <w:sz w:val="24"/>
          <w:szCs w:val="24"/>
        </w:rPr>
      </w:pPr>
      <w:r w:rsidRPr="0035224A">
        <w:rPr>
          <w:rFonts w:ascii="Times New Roman" w:eastAsia="Times New Roman" w:hAnsi="Times New Roman" w:cs="Times New Roman"/>
          <w:sz w:val="24"/>
          <w:szCs w:val="24"/>
        </w:rPr>
        <w:t>validate the framework using simulations.</w:t>
      </w:r>
    </w:p>
    <w:p w14:paraId="2080EC14" w14:textId="77777777" w:rsidR="00DB6F99" w:rsidRDefault="00DB6F99" w:rsidP="00192A1C">
      <w:pPr>
        <w:pStyle w:val="NormalWeb"/>
        <w:spacing w:line="360" w:lineRule="auto"/>
        <w:jc w:val="both"/>
        <w:rPr>
          <w:rFonts w:eastAsiaTheme="minorHAnsi"/>
          <w:color w:val="000000" w:themeColor="text1"/>
        </w:rPr>
      </w:pPr>
    </w:p>
    <w:p w14:paraId="0CED811A" w14:textId="77777777" w:rsidR="00DB6F99" w:rsidRDefault="00DB6F99" w:rsidP="00192A1C">
      <w:pPr>
        <w:pStyle w:val="NormalWeb"/>
        <w:spacing w:line="360" w:lineRule="auto"/>
        <w:jc w:val="both"/>
        <w:rPr>
          <w:rStyle w:val="Strong"/>
        </w:rPr>
      </w:pPr>
      <w:r>
        <w:rPr>
          <w:rStyle w:val="Strong"/>
        </w:rPr>
        <w:t>2.</w:t>
      </w:r>
      <w:r>
        <w:rPr>
          <w:rStyle w:val="Strong"/>
        </w:rPr>
        <w:tab/>
      </w:r>
      <w:r w:rsidR="00192A1C" w:rsidRPr="00192A1C">
        <w:rPr>
          <w:rStyle w:val="Strong"/>
        </w:rPr>
        <w:t>Literature Review</w:t>
      </w:r>
    </w:p>
    <w:p w14:paraId="0E7E8104" w14:textId="77777777" w:rsidR="00192A1C" w:rsidRPr="00192A1C" w:rsidRDefault="00192A1C" w:rsidP="00192A1C">
      <w:pPr>
        <w:pStyle w:val="NormalWeb"/>
        <w:spacing w:line="360" w:lineRule="auto"/>
        <w:jc w:val="both"/>
      </w:pPr>
      <w:r w:rsidRPr="00192A1C">
        <w:t>Artificial Intelligence (AI) and Machine Learning (ML) have become pivotal in enhancing cyber-mechanical security within critical energy infrastructures, especially as systems transition into more complex cyber-physical systems (CPS). These technologies facilitate anomaly detection, predictive maintenance, and adversarial robustness, helping detect threats early, optimize operations, and improve system resilience (Hinton et al., 2012). Despite these advantages, their application across multiscale C</w:t>
      </w:r>
      <w:r w:rsidR="00DB6F99">
        <w:t>M</w:t>
      </w:r>
      <w:r w:rsidRPr="00192A1C">
        <w:t>S</w:t>
      </w:r>
      <w:r w:rsidR="00DB6F99">
        <w:t xml:space="preserve">, </w:t>
      </w:r>
      <w:r w:rsidRPr="00192A1C">
        <w:t>ranging from sensors to regional grids</w:t>
      </w:r>
      <w:r w:rsidR="00DB6F99">
        <w:t xml:space="preserve"> </w:t>
      </w:r>
      <w:r w:rsidRPr="00192A1C">
        <w:t>remains nascent due to scalability, data scarcity, robustness, and validation concerns (Mohit Kumar Maheshwari et al., 2023).</w:t>
      </w:r>
    </w:p>
    <w:p w14:paraId="26281D45" w14:textId="77777777" w:rsidR="00192A1C" w:rsidRPr="00192A1C" w:rsidRDefault="00192A1C" w:rsidP="00192A1C">
      <w:pPr>
        <w:pStyle w:val="Heading3"/>
        <w:spacing w:line="360" w:lineRule="auto"/>
        <w:jc w:val="both"/>
        <w:rPr>
          <w:sz w:val="24"/>
          <w:szCs w:val="24"/>
        </w:rPr>
      </w:pPr>
      <w:r w:rsidRPr="00192A1C">
        <w:rPr>
          <w:sz w:val="24"/>
          <w:szCs w:val="24"/>
        </w:rPr>
        <w:t>Anomaly Detection in Cyber-Mechanical Systems</w:t>
      </w:r>
    </w:p>
    <w:p w14:paraId="6BF796FD" w14:textId="77777777" w:rsidR="00192A1C" w:rsidRPr="00192A1C" w:rsidRDefault="00192A1C" w:rsidP="00192A1C">
      <w:pPr>
        <w:pStyle w:val="NormalWeb"/>
        <w:spacing w:line="360" w:lineRule="auto"/>
        <w:jc w:val="both"/>
      </w:pPr>
      <w:r w:rsidRPr="00192A1C">
        <w:t>Anomaly detection is foundational to AI/ML applications in CPS security. Deep learning techniques like Long Short-Term Memory (LSTM) autoencoders excel at uncovering deviations in time-series data</w:t>
      </w:r>
      <w:r w:rsidR="00DB6F99">
        <w:t xml:space="preserve"> </w:t>
      </w:r>
      <w:r w:rsidRPr="00192A1C">
        <w:t>key in identifying faults in voltage, pressure, and other critical metrics (Zaidan et al., 2013). For instance, LSTM models achieved 90% accuracy in detecting false data injection (FDI) attacks in controlled power grid settings by identifying manipulated sensor values that could destabilize grid frequency. However, these models struggle in noisy industrial environments, suffering up to 30% false positive rates due to sensor drift and environmental variability (Chen et al., 2023).</w:t>
      </w:r>
    </w:p>
    <w:p w14:paraId="14684739" w14:textId="77777777" w:rsidR="00192A1C" w:rsidRPr="00192A1C" w:rsidRDefault="00192A1C" w:rsidP="00192A1C">
      <w:pPr>
        <w:pStyle w:val="NormalWeb"/>
        <w:spacing w:line="360" w:lineRule="auto"/>
        <w:jc w:val="both"/>
      </w:pPr>
      <w:r w:rsidRPr="00192A1C">
        <w:t xml:space="preserve">To mitigate this, hybrid models incorporating Convolutional Neural Networks (CNNs) and physics-based constraints have shown promise. In gas pipeline monitoring, integrating pressure-flow relationships into CNN architectures improved precision by 22% (Chen et al., 2023). Similarly, Xue et al. (2020) designed a stacked LSTM model for wind turbine anomaly detection that reduced false positives by 25% by incorporating meteorological data. Despite these gains, the </w:t>
      </w:r>
      <w:r w:rsidRPr="00192A1C">
        <w:lastRenderedPageBreak/>
        <w:t>reliance on large, high-fidelity datasets limits performance in data-scarce environments like emerging renewable energy systems (REN21, 2022).</w:t>
      </w:r>
    </w:p>
    <w:p w14:paraId="7F810AFA" w14:textId="77777777" w:rsidR="00192A1C" w:rsidRPr="00192A1C" w:rsidRDefault="00192A1C" w:rsidP="00192A1C">
      <w:pPr>
        <w:pStyle w:val="Heading3"/>
        <w:spacing w:line="360" w:lineRule="auto"/>
        <w:jc w:val="both"/>
        <w:rPr>
          <w:sz w:val="24"/>
          <w:szCs w:val="24"/>
        </w:rPr>
      </w:pPr>
      <w:r w:rsidRPr="00192A1C">
        <w:rPr>
          <w:sz w:val="24"/>
          <w:szCs w:val="24"/>
        </w:rPr>
        <w:t>Predictive Maintenance via AI/ML</w:t>
      </w:r>
    </w:p>
    <w:p w14:paraId="148F1EA5" w14:textId="77777777" w:rsidR="00192A1C" w:rsidRPr="00192A1C" w:rsidRDefault="00192A1C" w:rsidP="00192A1C">
      <w:pPr>
        <w:pStyle w:val="NormalWeb"/>
        <w:spacing w:line="360" w:lineRule="auto"/>
        <w:jc w:val="both"/>
      </w:pPr>
      <w:r w:rsidRPr="00192A1C">
        <w:t>AI/ML-enabled predictive maintenance is transforming how energy systems manage component lifecycles. Reinforcement Learning (RL) models, for example, simulate degradation paths to plan proactive maintenance schedules. In a wind turbine study, Alabi (2024) demonstrated a 35% reduction in unscheduled downtimes by using RL to forecast bearing failures. However, the proprietary nature of industrial datasets hinders reproducibility, and data sharing is often constrained due to competitive and security reasons (Ibrahim et al., 2021).</w:t>
      </w:r>
    </w:p>
    <w:p w14:paraId="5197634D" w14:textId="77777777" w:rsidR="00192A1C" w:rsidRPr="00192A1C" w:rsidRDefault="00192A1C" w:rsidP="00192A1C">
      <w:pPr>
        <w:pStyle w:val="NormalWeb"/>
        <w:spacing w:line="360" w:lineRule="auto"/>
        <w:jc w:val="both"/>
      </w:pPr>
      <w:r w:rsidRPr="00192A1C">
        <w:t>To overcome data scarcity, transfer learning has emerged as a promising solution. Wang et al. (2019) improved maintenance predictions for photovoltaic systems by 20% by adapting models trained on analogous infrastructure. Predictive models are increasingly incorporating cyber-induced failures, recognizing that cyber-attacks can accelerate mechanical degradation by bypassing safety limits (Mohit Kumar Maheshwari et al., 2023). Michailidis et al. (2025) developed a hybrid RL model that integrated cyber threat data, improving prediction accuracy for SCADA-controlled systems by 15%. However, such hybrid models often demand high computational resources, making real-time deployment difficult.</w:t>
      </w:r>
    </w:p>
    <w:p w14:paraId="37C96620" w14:textId="77777777" w:rsidR="00192A1C" w:rsidRPr="00192A1C" w:rsidRDefault="00192A1C" w:rsidP="00192A1C">
      <w:pPr>
        <w:pStyle w:val="Heading3"/>
        <w:spacing w:line="360" w:lineRule="auto"/>
        <w:jc w:val="both"/>
        <w:rPr>
          <w:sz w:val="24"/>
          <w:szCs w:val="24"/>
        </w:rPr>
      </w:pPr>
      <w:r w:rsidRPr="00192A1C">
        <w:rPr>
          <w:sz w:val="24"/>
          <w:szCs w:val="24"/>
        </w:rPr>
        <w:t>Adversarial Robustness in CPS Security</w:t>
      </w:r>
    </w:p>
    <w:p w14:paraId="445FBBB5" w14:textId="77777777" w:rsidR="00192A1C" w:rsidRPr="00192A1C" w:rsidRDefault="00192A1C" w:rsidP="00192A1C">
      <w:pPr>
        <w:pStyle w:val="NormalWeb"/>
        <w:spacing w:line="360" w:lineRule="auto"/>
        <w:jc w:val="both"/>
      </w:pPr>
      <w:r w:rsidRPr="00192A1C">
        <w:t>Adversarial robustness is a crucial frontier in CPS security, especially as adversaries adopt sophisticated ML-based attacks. Generative Adversarial Networks (GANs) are used to simulate attack scenarios and train more resilient models. Wang et al. (2019) reported a 50% increase in resistance to FDI attacks in photovoltaic systems using GAN-generated samples. However, these models often do not scale well to heterogeneous infrastructures, where diversity in components and communication protocols causes exponential increases in training times (Mohanta et al., 2022).</w:t>
      </w:r>
    </w:p>
    <w:p w14:paraId="27B0DFAE" w14:textId="77777777" w:rsidR="00192A1C" w:rsidRPr="00192A1C" w:rsidRDefault="00192A1C" w:rsidP="00192A1C">
      <w:pPr>
        <w:pStyle w:val="NormalWeb"/>
        <w:spacing w:line="360" w:lineRule="auto"/>
        <w:jc w:val="both"/>
      </w:pPr>
      <w:r w:rsidRPr="00192A1C">
        <w:t xml:space="preserve">Ensemble methods combining multiple learning models have improved detection by enhancing generalizability. Wang et al. (2018) found that such methods boosted network intrusion detection </w:t>
      </w:r>
      <w:r w:rsidRPr="00192A1C">
        <w:lastRenderedPageBreak/>
        <w:t>rates by 15% through model diversity. Adversarial training—where models are exposed to attack simulations during training—also shows promise. Goodfellow et al. (2014) demonstrated a 30% increase in robustness in image classification, and Madry et al. (2019) extended this to CPS. Still, high computational costs limit adversarial training's use on edge devices in decentralized smart grids (Qi et al., 2019).</w:t>
      </w:r>
    </w:p>
    <w:p w14:paraId="4781D048" w14:textId="77777777" w:rsidR="00192A1C" w:rsidRPr="00192A1C" w:rsidRDefault="00192A1C" w:rsidP="00192A1C">
      <w:pPr>
        <w:pStyle w:val="Heading3"/>
        <w:spacing w:line="360" w:lineRule="auto"/>
        <w:jc w:val="both"/>
        <w:rPr>
          <w:sz w:val="24"/>
          <w:szCs w:val="24"/>
        </w:rPr>
      </w:pPr>
      <w:r w:rsidRPr="00192A1C">
        <w:rPr>
          <w:sz w:val="24"/>
          <w:szCs w:val="24"/>
        </w:rPr>
        <w:t>Integration of Domain Knowledge and Real-Time Processing</w:t>
      </w:r>
    </w:p>
    <w:p w14:paraId="5A202B3A" w14:textId="77777777" w:rsidR="00192A1C" w:rsidRPr="00192A1C" w:rsidRDefault="00192A1C" w:rsidP="00192A1C">
      <w:pPr>
        <w:pStyle w:val="NormalWeb"/>
        <w:spacing w:line="360" w:lineRule="auto"/>
        <w:jc w:val="both"/>
      </w:pPr>
      <w:r w:rsidRPr="00192A1C">
        <w:t xml:space="preserve">Recent AI/ML research emphasizes aligning models with physical principles and real-time constraints. </w:t>
      </w:r>
      <w:proofErr w:type="spellStart"/>
      <w:r w:rsidRPr="00192A1C">
        <w:t>Misyris</w:t>
      </w:r>
      <w:proofErr w:type="spellEnd"/>
      <w:r w:rsidRPr="00192A1C">
        <w:t xml:space="preserve"> et al. (2020) developed physics-informed neural networks that integrate power flow equations, boosting detection accuracy in distribution grids by 18%. Federated learning, another breakthrough, enables collaborative model training across distributed assets while preserving privacy. </w:t>
      </w:r>
      <w:proofErr w:type="spellStart"/>
      <w:r w:rsidRPr="00192A1C">
        <w:t>Jithish</w:t>
      </w:r>
      <w:proofErr w:type="spellEnd"/>
      <w:r w:rsidRPr="00192A1C">
        <w:t xml:space="preserve"> et al. (2023) implemented this for anomaly detection, achieving a 20% improvement without compromising sensitive data.</w:t>
      </w:r>
    </w:p>
    <w:p w14:paraId="1F273E71" w14:textId="77777777" w:rsidR="00192A1C" w:rsidRPr="00192A1C" w:rsidRDefault="00192A1C" w:rsidP="00192A1C">
      <w:pPr>
        <w:pStyle w:val="NormalWeb"/>
        <w:spacing w:line="360" w:lineRule="auto"/>
        <w:jc w:val="both"/>
      </w:pPr>
      <w:r w:rsidRPr="00192A1C">
        <w:t>Standardized data protocols remain a hurdle, especially across diverse energy systems. Furthermore, techniques like meta-learning and few-shot learning have gained traction. Finn et al. (2017) demonstrated that meta-learning improved anomaly detection in renewable systems by 25%, even with minimal data. These methods show potential for broader AI/ML adoption in environments where high-quality labeled datasets are unavailable.</w:t>
      </w:r>
    </w:p>
    <w:p w14:paraId="3F933DE2" w14:textId="77777777" w:rsidR="00192A1C" w:rsidRPr="00192A1C" w:rsidRDefault="00192A1C" w:rsidP="00192A1C">
      <w:pPr>
        <w:pStyle w:val="Heading3"/>
        <w:spacing w:line="360" w:lineRule="auto"/>
        <w:jc w:val="both"/>
        <w:rPr>
          <w:sz w:val="24"/>
          <w:szCs w:val="24"/>
        </w:rPr>
      </w:pPr>
      <w:r w:rsidRPr="00192A1C">
        <w:rPr>
          <w:sz w:val="24"/>
          <w:szCs w:val="24"/>
        </w:rPr>
        <w:t>Persistent Challenges and Barriers</w:t>
      </w:r>
    </w:p>
    <w:p w14:paraId="0EB9CFDC" w14:textId="77777777" w:rsidR="00192A1C" w:rsidRPr="00192A1C" w:rsidRDefault="00192A1C" w:rsidP="00192A1C">
      <w:pPr>
        <w:pStyle w:val="NormalWeb"/>
        <w:spacing w:line="360" w:lineRule="auto"/>
        <w:jc w:val="both"/>
      </w:pPr>
      <w:r w:rsidRPr="00192A1C">
        <w:t>Despite these innovations, significant barriers hinder AI/ML adoption in CPS security. First is the lack of</w:t>
      </w:r>
      <w:r w:rsidRPr="00DB6F99">
        <w:t xml:space="preserve"> </w:t>
      </w:r>
      <w:r w:rsidRPr="00DB6F99">
        <w:rPr>
          <w:rStyle w:val="Strong"/>
          <w:b w:val="0"/>
        </w:rPr>
        <w:t>multiscale integration</w:t>
      </w:r>
      <w:r w:rsidRPr="00DB6F99">
        <w:rPr>
          <w:b/>
        </w:rPr>
        <w:t>,</w:t>
      </w:r>
      <w:r w:rsidRPr="00DB6F99">
        <w:t xml:space="preserve"> which hampers the ability to track cascading threats that span from individual devices to entire networks. Second is </w:t>
      </w:r>
      <w:r w:rsidRPr="00DB6F99">
        <w:rPr>
          <w:rStyle w:val="Strong"/>
          <w:b w:val="0"/>
        </w:rPr>
        <w:t>data availability</w:t>
      </w:r>
      <w:r w:rsidRPr="00DB6F99">
        <w:rPr>
          <w:b/>
        </w:rPr>
        <w:t xml:space="preserve">, </w:t>
      </w:r>
      <w:r w:rsidRPr="00DB6F99">
        <w:t xml:space="preserve">as most datasets are proprietary, incomplete, or tailored to specific operating conditions. Third, </w:t>
      </w:r>
      <w:r w:rsidRPr="00DB6F99">
        <w:rPr>
          <w:rStyle w:val="Strong"/>
          <w:b w:val="0"/>
        </w:rPr>
        <w:t>adversarial robustness</w:t>
      </w:r>
      <w:r w:rsidRPr="00DB6F99">
        <w:rPr>
          <w:b/>
        </w:rPr>
        <w:t xml:space="preserve"> </w:t>
      </w:r>
      <w:r w:rsidRPr="00DB6F99">
        <w:t xml:space="preserve">remains </w:t>
      </w:r>
      <w:r w:rsidRPr="00192A1C">
        <w:t>limited by the computational burdens of advanced ML models, restricting deployment in real-time and resource-constrained environments.</w:t>
      </w:r>
    </w:p>
    <w:p w14:paraId="0967ECB6" w14:textId="77777777" w:rsidR="00192A1C" w:rsidRPr="00192A1C" w:rsidRDefault="00192A1C" w:rsidP="00192A1C">
      <w:pPr>
        <w:pStyle w:val="NormalWeb"/>
        <w:spacing w:line="360" w:lineRule="auto"/>
        <w:jc w:val="both"/>
      </w:pPr>
      <w:r w:rsidRPr="00192A1C">
        <w:t>Four</w:t>
      </w:r>
      <w:r w:rsidRPr="00DB6F99">
        <w:t xml:space="preserve">th, </w:t>
      </w:r>
      <w:r w:rsidRPr="00DB6F99">
        <w:rPr>
          <w:rStyle w:val="Strong"/>
          <w:b w:val="0"/>
        </w:rPr>
        <w:t>validation issues</w:t>
      </w:r>
      <w:r w:rsidRPr="00DB6F99">
        <w:t xml:space="preserve"> p</w:t>
      </w:r>
      <w:r w:rsidRPr="00192A1C">
        <w:t xml:space="preserve">ersist due to the absence of standardized protocols, leading to overfitting on synthetic datasets and undermining trust in model generalizability (Zio, 2016). Finally, </w:t>
      </w:r>
      <w:r w:rsidRPr="00DB6F99">
        <w:rPr>
          <w:rStyle w:val="Strong"/>
          <w:b w:val="0"/>
        </w:rPr>
        <w:t>organizational integration</w:t>
      </w:r>
      <w:r w:rsidRPr="00DB6F99">
        <w:rPr>
          <w:b/>
        </w:rPr>
        <w:t xml:space="preserve"> </w:t>
      </w:r>
      <w:r w:rsidRPr="00192A1C">
        <w:t xml:space="preserve">is often problematic, with security operators lacking the expertise or </w:t>
      </w:r>
      <w:r w:rsidRPr="00192A1C">
        <w:lastRenderedPageBreak/>
        <w:t>tools to interpret AI outputs or integrate them with legacy systems (Mohit Kumar Maheshwari et al., 2023).</w:t>
      </w:r>
    </w:p>
    <w:p w14:paraId="72F0C806" w14:textId="77777777" w:rsidR="00192A1C" w:rsidRPr="00192A1C" w:rsidRDefault="00192A1C" w:rsidP="00192A1C">
      <w:pPr>
        <w:pStyle w:val="Heading3"/>
        <w:spacing w:line="360" w:lineRule="auto"/>
        <w:jc w:val="both"/>
        <w:rPr>
          <w:sz w:val="24"/>
          <w:szCs w:val="24"/>
        </w:rPr>
      </w:pPr>
      <w:r w:rsidRPr="00192A1C">
        <w:rPr>
          <w:sz w:val="24"/>
          <w:szCs w:val="24"/>
        </w:rPr>
        <w:t>Research Gaps and Opportunities</w:t>
      </w:r>
    </w:p>
    <w:p w14:paraId="1A367A14" w14:textId="77777777" w:rsidR="00192A1C" w:rsidRPr="00192A1C" w:rsidRDefault="00192A1C" w:rsidP="00192A1C">
      <w:pPr>
        <w:pStyle w:val="NormalWeb"/>
        <w:spacing w:line="360" w:lineRule="auto"/>
        <w:jc w:val="both"/>
      </w:pPr>
      <w:r w:rsidRPr="00192A1C">
        <w:t>From the reviewed literature, five key research gaps emerge:</w:t>
      </w:r>
    </w:p>
    <w:p w14:paraId="36F61A52" w14:textId="77777777" w:rsidR="00192A1C" w:rsidRPr="00192A1C" w:rsidRDefault="00192A1C" w:rsidP="00192A1C">
      <w:pPr>
        <w:pStyle w:val="NormalWeb"/>
        <w:numPr>
          <w:ilvl w:val="0"/>
          <w:numId w:val="28"/>
        </w:numPr>
        <w:spacing w:line="360" w:lineRule="auto"/>
        <w:jc w:val="both"/>
      </w:pPr>
      <w:r w:rsidRPr="00192A1C">
        <w:rPr>
          <w:rStyle w:val="Strong"/>
        </w:rPr>
        <w:t>Scale Disconnects:</w:t>
      </w:r>
      <w:r w:rsidRPr="00192A1C">
        <w:t xml:space="preserve"> Most existing frameworks are limited to single-scale analysis, overlooking cross-domain impacts such as cyber intrusions exacerbating mechanical wear.</w:t>
      </w:r>
    </w:p>
    <w:p w14:paraId="1A5C9974" w14:textId="77777777" w:rsidR="00192A1C" w:rsidRPr="00192A1C" w:rsidRDefault="00192A1C" w:rsidP="00192A1C">
      <w:pPr>
        <w:pStyle w:val="NormalWeb"/>
        <w:numPr>
          <w:ilvl w:val="0"/>
          <w:numId w:val="28"/>
        </w:numPr>
        <w:spacing w:line="360" w:lineRule="auto"/>
        <w:jc w:val="both"/>
      </w:pPr>
      <w:r w:rsidRPr="00192A1C">
        <w:rPr>
          <w:rStyle w:val="Strong"/>
        </w:rPr>
        <w:t>Static Modeling:</w:t>
      </w:r>
      <w:r w:rsidRPr="00192A1C">
        <w:t xml:space="preserve"> Many models assume fixed grid topologies, neglecting dynamic reconfigurations introduced by renewable integration and smart grid evolution (REN21, 2022).</w:t>
      </w:r>
    </w:p>
    <w:p w14:paraId="6D77AC90" w14:textId="77777777" w:rsidR="00192A1C" w:rsidRPr="00192A1C" w:rsidRDefault="00192A1C" w:rsidP="00192A1C">
      <w:pPr>
        <w:pStyle w:val="NormalWeb"/>
        <w:numPr>
          <w:ilvl w:val="0"/>
          <w:numId w:val="28"/>
        </w:numPr>
        <w:spacing w:line="360" w:lineRule="auto"/>
        <w:jc w:val="both"/>
      </w:pPr>
      <w:r w:rsidRPr="00192A1C">
        <w:rPr>
          <w:rStyle w:val="Strong"/>
        </w:rPr>
        <w:t>Limited Real-World Validation:</w:t>
      </w:r>
      <w:r w:rsidRPr="00192A1C">
        <w:t xml:space="preserve"> AI/ML models are often validated on synthetic datasets, with few tested under actual CPS operating conditions (Mohit Kumar Maheshwari et al., 2023).</w:t>
      </w:r>
    </w:p>
    <w:p w14:paraId="2323FDB6" w14:textId="77777777" w:rsidR="00192A1C" w:rsidRPr="00192A1C" w:rsidRDefault="00192A1C" w:rsidP="00192A1C">
      <w:pPr>
        <w:pStyle w:val="NormalWeb"/>
        <w:numPr>
          <w:ilvl w:val="0"/>
          <w:numId w:val="28"/>
        </w:numPr>
        <w:spacing w:line="360" w:lineRule="auto"/>
        <w:jc w:val="both"/>
      </w:pPr>
      <w:r w:rsidRPr="00192A1C">
        <w:rPr>
          <w:rStyle w:val="Strong"/>
        </w:rPr>
        <w:t>Regulatory Misalignment:</w:t>
      </w:r>
      <w:r w:rsidRPr="00192A1C">
        <w:t xml:space="preserve"> Current standards (e.g., NERC CIP) do not account for AI/ML capabilities, hindering their integration into formal security processes.</w:t>
      </w:r>
    </w:p>
    <w:p w14:paraId="36C8EA16" w14:textId="77777777" w:rsidR="00192A1C" w:rsidRPr="00192A1C" w:rsidRDefault="00192A1C" w:rsidP="00192A1C">
      <w:pPr>
        <w:pStyle w:val="NormalWeb"/>
        <w:numPr>
          <w:ilvl w:val="0"/>
          <w:numId w:val="28"/>
        </w:numPr>
        <w:spacing w:line="360" w:lineRule="auto"/>
        <w:jc w:val="both"/>
      </w:pPr>
      <w:r w:rsidRPr="00192A1C">
        <w:rPr>
          <w:rStyle w:val="Strong"/>
        </w:rPr>
        <w:t>Lack of Standardized Datasets and Protocols:</w:t>
      </w:r>
      <w:r w:rsidRPr="00192A1C">
        <w:t xml:space="preserve"> The absence of common validation frameworks erodes confidence in AI/ML predictions, especially for high-stakes infrastructure (Zio, 2016).</w:t>
      </w:r>
    </w:p>
    <w:p w14:paraId="54C925F5" w14:textId="77777777" w:rsidR="00192A1C" w:rsidRDefault="00192A1C" w:rsidP="00192A1C">
      <w:pPr>
        <w:pStyle w:val="NormalWeb"/>
        <w:spacing w:line="360" w:lineRule="auto"/>
        <w:jc w:val="both"/>
      </w:pPr>
      <w:r w:rsidRPr="00192A1C">
        <w:t>Addressing these gaps opens up significant opportunities for developing multiscale AI/ML frameworks that can operate across both cyber and mechanical domains while remaining robust and adaptable.</w:t>
      </w:r>
    </w:p>
    <w:p w14:paraId="43C20B49" w14:textId="77777777" w:rsidR="00192A1C" w:rsidRPr="00192A1C" w:rsidRDefault="00192A1C" w:rsidP="00192A1C">
      <w:pPr>
        <w:pStyle w:val="Heading3"/>
        <w:spacing w:line="360" w:lineRule="auto"/>
        <w:jc w:val="both"/>
        <w:rPr>
          <w:sz w:val="24"/>
          <w:szCs w:val="24"/>
        </w:rPr>
      </w:pPr>
      <w:r w:rsidRPr="00192A1C">
        <w:rPr>
          <w:sz w:val="24"/>
          <w:szCs w:val="24"/>
        </w:rPr>
        <w:t>Theoretical Foundations for a Multiscale Framework</w:t>
      </w:r>
    </w:p>
    <w:p w14:paraId="0637BCD9" w14:textId="77777777" w:rsidR="00192A1C" w:rsidRPr="00192A1C" w:rsidRDefault="00192A1C" w:rsidP="00192A1C">
      <w:pPr>
        <w:pStyle w:val="NormalWeb"/>
        <w:spacing w:line="360" w:lineRule="auto"/>
        <w:jc w:val="both"/>
      </w:pPr>
      <w:r w:rsidRPr="00192A1C">
        <w:t>To tackle these challenges, a new cyber-mechanical security framework should integrate three foundational theories:</w:t>
      </w:r>
    </w:p>
    <w:p w14:paraId="235495B1" w14:textId="77777777" w:rsidR="00192A1C" w:rsidRPr="00192A1C" w:rsidRDefault="00192A1C" w:rsidP="00192A1C">
      <w:pPr>
        <w:pStyle w:val="NormalWeb"/>
        <w:numPr>
          <w:ilvl w:val="0"/>
          <w:numId w:val="29"/>
        </w:numPr>
        <w:spacing w:line="360" w:lineRule="auto"/>
        <w:jc w:val="both"/>
      </w:pPr>
      <w:r w:rsidRPr="00192A1C">
        <w:rPr>
          <w:rStyle w:val="Strong"/>
        </w:rPr>
        <w:t>Complex Systems Theory</w:t>
      </w:r>
      <w:r w:rsidRPr="00192A1C">
        <w:t xml:space="preserve"> (Holland, 2014): This theory explains how local interactions among system components can produce emergent global behaviors, enabling the modeling of cascading failures and nonlinear threat propagation.</w:t>
      </w:r>
    </w:p>
    <w:p w14:paraId="7EFF7E5D" w14:textId="77777777" w:rsidR="00192A1C" w:rsidRPr="00192A1C" w:rsidRDefault="00192A1C" w:rsidP="00192A1C">
      <w:pPr>
        <w:pStyle w:val="NormalWeb"/>
        <w:numPr>
          <w:ilvl w:val="0"/>
          <w:numId w:val="29"/>
        </w:numPr>
        <w:spacing w:line="360" w:lineRule="auto"/>
        <w:jc w:val="both"/>
      </w:pPr>
      <w:r w:rsidRPr="00192A1C">
        <w:rPr>
          <w:rStyle w:val="Strong"/>
        </w:rPr>
        <w:lastRenderedPageBreak/>
        <w:t>Cyber-Mechanical Co-Evolution</w:t>
      </w:r>
      <w:r w:rsidRPr="00192A1C">
        <w:t xml:space="preserve"> (Lee, 2008): Recognizing the bidirectional influence between cyber and physical domains, this principle supports the development of integrated models that reflect real-world interdependencies.</w:t>
      </w:r>
    </w:p>
    <w:p w14:paraId="2A9FB889" w14:textId="77777777" w:rsidR="00192A1C" w:rsidRPr="00192A1C" w:rsidRDefault="00192A1C" w:rsidP="00192A1C">
      <w:pPr>
        <w:pStyle w:val="NormalWeb"/>
        <w:numPr>
          <w:ilvl w:val="0"/>
          <w:numId w:val="29"/>
        </w:numPr>
        <w:spacing w:line="360" w:lineRule="auto"/>
        <w:jc w:val="both"/>
      </w:pPr>
      <w:r w:rsidRPr="00192A1C">
        <w:rPr>
          <w:rStyle w:val="Strong"/>
        </w:rPr>
        <w:t>Adaptive Control Theory</w:t>
      </w:r>
      <w:r w:rsidRPr="00192A1C">
        <w:t xml:space="preserve"> (Åström &amp; Murray, 2012): This theory supports the real-time reconfiguration of system defenses, crucial for responding to evolving threats with dynamic mitigation strategies.</w:t>
      </w:r>
    </w:p>
    <w:p w14:paraId="4C773842" w14:textId="77777777" w:rsidR="00192A1C" w:rsidRPr="00192A1C" w:rsidRDefault="00192A1C" w:rsidP="00192A1C">
      <w:pPr>
        <w:pStyle w:val="NormalWeb"/>
        <w:spacing w:line="360" w:lineRule="auto"/>
        <w:jc w:val="both"/>
      </w:pPr>
      <w:r w:rsidRPr="00192A1C">
        <w:t>These theoretical pillars offer a robust foundation for a holistic, multiscale approach to CPS security. Such a framework would be capable of integrating diverse data sources, adapting to emerging threats, and supporting predictive and preventive strategies in real time.</w:t>
      </w:r>
    </w:p>
    <w:p w14:paraId="14B629AD" w14:textId="77777777" w:rsidR="00192A1C" w:rsidRDefault="00192A1C" w:rsidP="00DB6F99"/>
    <w:p w14:paraId="2B698254" w14:textId="77777777" w:rsidR="009D2085" w:rsidRDefault="009D2085" w:rsidP="009D2085">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3.</w:t>
      </w:r>
      <w:r>
        <w:rPr>
          <w:rFonts w:ascii="Times New Roman" w:eastAsia="Times New Roman" w:hAnsi="Times New Roman" w:cs="Times New Roman"/>
          <w:b/>
          <w:bCs/>
          <w:kern w:val="36"/>
          <w:sz w:val="24"/>
          <w:szCs w:val="24"/>
        </w:rPr>
        <w:tab/>
        <w:t>Research Methodology</w:t>
      </w:r>
    </w:p>
    <w:p w14:paraId="09B99800"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details the comprehensive methodology employed in developing a multiscale approach to cyber-mechanical threat modeling for predicting and preventing failures in critical energy infrastructure. Building on the theoretical and empirical foundations established in Chapters 1 and 2, this chapter focuses on the design, data collection, modeling framework, and analytical approaches, with a particular emphasis on the implementation of a Convolutional Long Short-Term Memory (ConvLSTM3D) model for multiscale anomaly detection. The chapter also discusses performance metrics, validation techniques, and the integration of the AI/ML model within the multiscale framework.</w:t>
      </w:r>
    </w:p>
    <w:p w14:paraId="3008F66B"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Design</w:t>
      </w:r>
    </w:p>
    <w:p w14:paraId="62E2261C"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adopts a </w:t>
      </w:r>
      <w:r>
        <w:rPr>
          <w:rFonts w:ascii="Times New Roman" w:eastAsia="Times New Roman" w:hAnsi="Times New Roman" w:cs="Times New Roman"/>
          <w:b/>
          <w:bCs/>
          <w:sz w:val="24"/>
          <w:szCs w:val="24"/>
        </w:rPr>
        <w:t>mixed-methods design</w:t>
      </w:r>
      <w:r>
        <w:rPr>
          <w:rFonts w:ascii="Times New Roman" w:eastAsia="Times New Roman" w:hAnsi="Times New Roman" w:cs="Times New Roman"/>
          <w:sz w:val="24"/>
          <w:szCs w:val="24"/>
        </w:rPr>
        <w:t xml:space="preserve"> combining system modeling, machine learning, and empirical validation to address the complex, multiscale nature of cyber-mechanical threats in energy infrastructure as shown in Figure 1. The design comprises three main phases:</w:t>
      </w:r>
    </w:p>
    <w:p w14:paraId="18DCE5B4" w14:textId="77777777" w:rsidR="009D2085" w:rsidRDefault="009D2085" w:rsidP="009D2085">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A multiscale threat modeling framework was developed to capture cyber-mechanical interactions, implemented with a ConvLSTM3D-based anomaly detection model, and validated using real-world and synthetic data to evaluate its accuracy, robustness, and practical utility. </w:t>
      </w:r>
    </w:p>
    <w:p w14:paraId="6D64E296"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Figure 1 </w:t>
      </w:r>
    </w:p>
    <w:p w14:paraId="5255772C" w14:textId="77777777" w:rsidR="009D2085" w:rsidRDefault="009D2085" w:rsidP="009D2085">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Cs/>
          <w:i/>
          <w:sz w:val="24"/>
          <w:szCs w:val="24"/>
        </w:rPr>
        <w:t>Research Design Workflow</w:t>
      </w:r>
      <w:r>
        <w:rPr>
          <w:rFonts w:ascii="Times New Roman" w:eastAsia="Times New Roman" w:hAnsi="Times New Roman" w:cs="Times New Roman"/>
          <w:i/>
          <w:sz w:val="24"/>
          <w:szCs w:val="24"/>
        </w:rPr>
        <w:br/>
      </w:r>
      <w:r>
        <w:rPr>
          <w:rFonts w:ascii="Times New Roman" w:eastAsia="Times New Roman" w:hAnsi="Times New Roman" w:cs="Times New Roman"/>
          <w:noProof/>
          <w:sz w:val="24"/>
          <w:szCs w:val="24"/>
        </w:rPr>
        <w:drawing>
          <wp:inline distT="0" distB="0" distL="0" distR="0" wp14:anchorId="02762835" wp14:editId="09F138DF">
            <wp:extent cx="4532630" cy="27114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32630" cy="2711450"/>
                    </a:xfrm>
                    <a:prstGeom prst="rect">
                      <a:avLst/>
                    </a:prstGeom>
                    <a:noFill/>
                    <a:ln>
                      <a:noFill/>
                    </a:ln>
                  </pic:spPr>
                </pic:pic>
              </a:graphicData>
            </a:graphic>
          </wp:inline>
        </w:drawing>
      </w:r>
    </w:p>
    <w:p w14:paraId="33C9B55E"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Collection and Preprocessing</w:t>
      </w:r>
    </w:p>
    <w:p w14:paraId="5C3F9D94"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Dataset Selection</w:t>
      </w:r>
    </w:p>
    <w:p w14:paraId="0F8D2D15"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dataset used for training and validating the ConvLSTM3D model is the </w:t>
      </w:r>
      <w:r>
        <w:rPr>
          <w:rFonts w:ascii="Times New Roman" w:eastAsia="Times New Roman" w:hAnsi="Times New Roman" w:cs="Times New Roman"/>
          <w:b/>
          <w:bCs/>
          <w:sz w:val="24"/>
          <w:szCs w:val="24"/>
        </w:rPr>
        <w:t>CICIDS 2017 dataset</w:t>
      </w:r>
      <w:r>
        <w:rPr>
          <w:rFonts w:ascii="Times New Roman" w:eastAsia="Times New Roman" w:hAnsi="Times New Roman" w:cs="Times New Roman"/>
          <w:sz w:val="24"/>
          <w:szCs w:val="24"/>
        </w:rPr>
        <w:t>, specifically the "Friday-WorkingHours-Afternoon-DDos.pcap_ISCX.csv" file, which contains network flow data labeled as benign or attack traffic (</w:t>
      </w:r>
      <w:proofErr w:type="spellStart"/>
      <w:r>
        <w:rPr>
          <w:rFonts w:ascii="Times New Roman" w:eastAsia="Times New Roman" w:hAnsi="Times New Roman" w:cs="Times New Roman"/>
          <w:sz w:val="24"/>
          <w:szCs w:val="24"/>
        </w:rPr>
        <w:t>Sharafaldin</w:t>
      </w:r>
      <w:proofErr w:type="spellEnd"/>
      <w:r>
        <w:rPr>
          <w:rFonts w:ascii="Times New Roman" w:eastAsia="Times New Roman" w:hAnsi="Times New Roman" w:cs="Times New Roman"/>
          <w:sz w:val="24"/>
          <w:szCs w:val="24"/>
        </w:rPr>
        <w:t xml:space="preserve"> et al., 2018). This dataset is widely recognized for cybersecurity research and includes 225,745 records with 79 features capturing network traffic characteristics.</w:t>
      </w:r>
    </w:p>
    <w:p w14:paraId="36072AD6"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Loading and Initial Inspection</w:t>
      </w:r>
    </w:p>
    <w:p w14:paraId="4C033406"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dataset was loaded into a pandas </w:t>
      </w:r>
      <w:proofErr w:type="spellStart"/>
      <w:r>
        <w:rPr>
          <w:rFonts w:ascii="Courier New" w:eastAsia="Times New Roman" w:hAnsi="Courier New" w:cs="Courier New"/>
          <w:sz w:val="24"/>
          <w:szCs w:val="24"/>
        </w:rPr>
        <w:t>DataFrame</w:t>
      </w:r>
      <w:proofErr w:type="spellEnd"/>
      <w:r>
        <w:rPr>
          <w:rFonts w:ascii="Times New Roman" w:eastAsia="Times New Roman" w:hAnsi="Times New Roman" w:cs="Times New Roman"/>
          <w:sz w:val="24"/>
          <w:szCs w:val="24"/>
        </w:rPr>
        <w:t>, yielding a shape of (225,745, 79). The first five rows were inspected to verify data integrity and feature consistency.</w:t>
      </w:r>
    </w:p>
    <w:p w14:paraId="31EFB3AE" w14:textId="77777777" w:rsidR="00C646DD" w:rsidRDefault="00C646DD" w:rsidP="009D2085">
      <w:pPr>
        <w:spacing w:before="100" w:beforeAutospacing="1" w:after="100" w:afterAutospacing="1" w:line="360" w:lineRule="auto"/>
        <w:jc w:val="both"/>
        <w:rPr>
          <w:rFonts w:ascii="Times New Roman" w:eastAsia="Times New Roman" w:hAnsi="Times New Roman" w:cs="Times New Roman"/>
          <w:sz w:val="24"/>
          <w:szCs w:val="24"/>
        </w:rPr>
      </w:pPr>
    </w:p>
    <w:p w14:paraId="53CCEA75" w14:textId="77777777" w:rsidR="00C646DD" w:rsidRDefault="00C646DD" w:rsidP="009D2085">
      <w:pPr>
        <w:spacing w:before="100" w:beforeAutospacing="1" w:after="100" w:afterAutospacing="1" w:line="360" w:lineRule="auto"/>
        <w:jc w:val="both"/>
        <w:rPr>
          <w:rFonts w:ascii="Times New Roman" w:eastAsia="Times New Roman" w:hAnsi="Times New Roman" w:cs="Times New Roman"/>
          <w:sz w:val="24"/>
          <w:szCs w:val="24"/>
        </w:rPr>
      </w:pPr>
    </w:p>
    <w:p w14:paraId="774B78F2" w14:textId="77777777" w:rsidR="009D2085" w:rsidRDefault="009D2085" w:rsidP="009D2085">
      <w:pPr>
        <w:rPr>
          <w:rFonts w:ascii="Times New Roman" w:hAnsi="Times New Roman" w:cs="Times New Roman"/>
          <w:b/>
          <w:sz w:val="24"/>
          <w:szCs w:val="24"/>
        </w:rPr>
      </w:pPr>
      <w:r>
        <w:rPr>
          <w:rFonts w:ascii="Times New Roman" w:hAnsi="Times New Roman" w:cs="Times New Roman"/>
          <w:b/>
          <w:sz w:val="24"/>
          <w:szCs w:val="24"/>
        </w:rPr>
        <w:lastRenderedPageBreak/>
        <w:t>Feature Cleaning and Selection</w:t>
      </w:r>
    </w:p>
    <w:p w14:paraId="256BD214" w14:textId="77777777" w:rsidR="009D2085" w:rsidRDefault="009D2085" w:rsidP="009D2085">
      <w:pPr>
        <w:spacing w:before="100" w:beforeAutospacing="1" w:after="100" w:afterAutospacing="1" w:line="360" w:lineRule="auto"/>
        <w:jc w:val="both"/>
        <w:outlineLvl w:val="1"/>
        <w:rPr>
          <w:rFonts w:ascii="Times New Roman" w:hAnsi="Times New Roman" w:cs="Times New Roman"/>
          <w:sz w:val="24"/>
          <w:szCs w:val="24"/>
        </w:rPr>
      </w:pPr>
      <w:r>
        <w:rPr>
          <w:rFonts w:ascii="Times New Roman" w:hAnsi="Times New Roman" w:cs="Times New Roman"/>
          <w:sz w:val="24"/>
          <w:szCs w:val="24"/>
        </w:rPr>
        <w:t>The dataset was cleaned by standardizing column names, removing irrelevant identifying columns, replacing missing values with zeros, and retaining only numeric features for compatibility with the ConvLSTM3D model.</w:t>
      </w:r>
    </w:p>
    <w:p w14:paraId="34670DFA"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Label Encoding</w:t>
      </w:r>
    </w:p>
    <w:p w14:paraId="708FF8F3"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'Label' column, indicating benign or attack traffic, was encoded into binary integers:</w:t>
      </w:r>
    </w:p>
    <w:p w14:paraId="5E4E66E8" w14:textId="77777777" w:rsidR="009D2085" w:rsidRDefault="009D2085" w:rsidP="009D2085">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BENIGN → 0</w:t>
      </w:r>
    </w:p>
    <w:p w14:paraId="00CEAA07" w14:textId="77777777" w:rsidR="009D2085" w:rsidRDefault="009D2085" w:rsidP="009D2085">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DDoS (attack) → 1</w:t>
      </w:r>
    </w:p>
    <w:p w14:paraId="135D768F"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Label encoding was performed using </w:t>
      </w:r>
      <w:proofErr w:type="spellStart"/>
      <w:r>
        <w:rPr>
          <w:rFonts w:ascii="Times New Roman" w:eastAsia="Times New Roman" w:hAnsi="Times New Roman" w:cs="Times New Roman"/>
          <w:sz w:val="24"/>
          <w:szCs w:val="24"/>
        </w:rPr>
        <w:t>scikit-learn's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shd w:val="clear" w:color="auto" w:fill="F2F2F2" w:themeFill="background1" w:themeFillShade="F2"/>
        </w:rPr>
        <w:t>LabelEncoder</w:t>
      </w:r>
      <w:proofErr w:type="spellEnd"/>
      <w:r>
        <w:rPr>
          <w:rFonts w:ascii="Times New Roman" w:eastAsia="Times New Roman" w:hAnsi="Times New Roman" w:cs="Times New Roman"/>
          <w:sz w:val="24"/>
          <w:szCs w:val="24"/>
          <w:shd w:val="clear" w:color="auto" w:fill="D9D9D9" w:themeFill="background1" w:themeFillShade="D9"/>
        </w:rPr>
        <w:t>.</w:t>
      </w:r>
    </w:p>
    <w:p w14:paraId="0399FF48"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Feature Scaling</w:t>
      </w:r>
    </w:p>
    <w:p w14:paraId="45E31608"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normalize the feature space and improve model convergence, Min-Max scaling was applied to all numeric features, transforming values into the range using:</w:t>
      </w:r>
    </w:p>
    <w:p w14:paraId="33D0FAD3" w14:textId="77777777" w:rsidR="009D2085" w:rsidRDefault="00970CFF" w:rsidP="009D2085">
      <w:pPr>
        <w:spacing w:before="100" w:beforeAutospacing="1" w:after="100" w:afterAutospacing="1" w:line="360" w:lineRule="auto"/>
        <w:jc w:val="both"/>
        <w:rPr>
          <w:rFonts w:ascii="Times New Roman" w:eastAsia="Times New Roman" w:hAnsi="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x</m:t>
              </m:r>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min</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max</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min</m:t>
                  </m:r>
                </m:sub>
              </m:sSub>
            </m:den>
          </m:f>
        </m:oMath>
      </m:oMathPara>
    </w:p>
    <w:p w14:paraId="73333E93"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r>
          <w:rPr>
            <w:rFonts w:ascii="Cambria Math" w:eastAsia="Times New Roman" w:hAnsi="Cambria Math" w:cs="Times New Roman"/>
            <w:sz w:val="24"/>
            <w:szCs w:val="24"/>
          </w:rPr>
          <m:t>x</m:t>
        </m:r>
      </m:oMath>
      <w:r>
        <w:rPr>
          <w:rFonts w:ascii="Times New Roman" w:eastAsia="Times New Roman" w:hAnsi="Times New Roman" w:cs="Times New Roman"/>
          <w:sz w:val="24"/>
          <w:szCs w:val="24"/>
        </w:rPr>
        <w:t xml:space="preserve"> is the original feature value,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min</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max</m:t>
            </m:r>
          </m:sub>
        </m:sSub>
      </m:oMath>
      <w:r>
        <w:rPr>
          <w:rFonts w:ascii="Times New Roman" w:eastAsia="Times New Roman" w:hAnsi="Times New Roman" w:cs="Times New Roman"/>
          <w:sz w:val="24"/>
          <w:szCs w:val="24"/>
        </w:rPr>
        <w:t xml:space="preserve"> are the minimum and maximum values of the feature.</w:t>
      </w:r>
    </w:p>
    <w:p w14:paraId="0FF48A03"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Sequence Construction</w:t>
      </w:r>
    </w:p>
    <w:p w14:paraId="335F4B44"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ConvLSTM3D model requires input data shaped as sequences of frames representing spatial-temporal features. To this end:</w:t>
      </w:r>
    </w:p>
    <w:p w14:paraId="69D72FB1" w14:textId="77777777" w:rsidR="009D2085" w:rsidRDefault="009D2085" w:rsidP="009D2085">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Time Steps</w:t>
      </w:r>
      <w:r>
        <w:rPr>
          <w:rFonts w:ascii="Times New Roman" w:eastAsia="Times New Roman" w:hAnsi="Times New Roman" w:cs="Times New Roman"/>
          <w:sz w:val="24"/>
          <w:szCs w:val="24"/>
        </w:rPr>
        <w:t xml:space="preserve"> (T) were set to 10, meaning each input sample contains 10 consecutive records.</w:t>
      </w:r>
    </w:p>
    <w:p w14:paraId="7F4D77C8" w14:textId="77777777" w:rsidR="009D2085" w:rsidRDefault="009D2085" w:rsidP="009D2085">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Frame Dimensions</w:t>
      </w:r>
      <w:r>
        <w:rPr>
          <w:rFonts w:ascii="Times New Roman" w:eastAsia="Times New Roman" w:hAnsi="Times New Roman" w:cs="Times New Roman"/>
          <w:sz w:val="24"/>
          <w:szCs w:val="24"/>
        </w:rPr>
        <w:t>: Each time step is represented as an 8x8 "image" (height × width), with 1 channel (grayscale).</w:t>
      </w:r>
    </w:p>
    <w:p w14:paraId="59F935BB" w14:textId="77777777" w:rsidR="00C646DD" w:rsidRDefault="00C646DD" w:rsidP="00C646DD">
      <w:pPr>
        <w:spacing w:before="100" w:beforeAutospacing="1" w:after="100" w:afterAutospacing="1" w:line="360" w:lineRule="auto"/>
        <w:ind w:left="720"/>
        <w:jc w:val="both"/>
        <w:rPr>
          <w:rFonts w:ascii="Times New Roman" w:eastAsia="Times New Roman" w:hAnsi="Times New Roman" w:cs="Times New Roman"/>
          <w:sz w:val="24"/>
          <w:szCs w:val="24"/>
        </w:rPr>
      </w:pPr>
    </w:p>
    <w:p w14:paraId="488F2D5C"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Feature Padding or Trimming</w:t>
      </w:r>
    </w:p>
    <w:p w14:paraId="37CC07E0"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total number of numeric features (after cleaning) may not exactly equal 8×8=64, the features were:</w:t>
      </w:r>
    </w:p>
    <w:p w14:paraId="2956F3F8" w14:textId="77777777" w:rsidR="009D2085" w:rsidRDefault="009D2085" w:rsidP="009D2085">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Padded with zeros</w:t>
      </w:r>
      <w:r>
        <w:rPr>
          <w:rFonts w:ascii="Times New Roman" w:eastAsia="Times New Roman" w:hAnsi="Times New Roman" w:cs="Times New Roman"/>
          <w:sz w:val="24"/>
          <w:szCs w:val="24"/>
        </w:rPr>
        <w:t xml:space="preserve"> if fewer than 64 features.</w:t>
      </w:r>
    </w:p>
    <w:p w14:paraId="07DA3189" w14:textId="77777777" w:rsidR="009D2085" w:rsidRDefault="009D2085" w:rsidP="009D2085">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Trimmed</w:t>
      </w:r>
      <w:r>
        <w:rPr>
          <w:rFonts w:ascii="Times New Roman" w:eastAsia="Times New Roman" w:hAnsi="Times New Roman" w:cs="Times New Roman"/>
          <w:sz w:val="24"/>
          <w:szCs w:val="24"/>
        </w:rPr>
        <w:t xml:space="preserve"> if more than 64 features.</w:t>
      </w:r>
    </w:p>
    <w:p w14:paraId="58AB1056"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ensured a consistent input dimension for the ConvLSTM3D model.</w:t>
      </w:r>
    </w:p>
    <w:p w14:paraId="359E9C98"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Final Input Shape</w:t>
      </w:r>
    </w:p>
    <w:p w14:paraId="20EA3588"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processed data was reshaped into a 5D tensor:</w:t>
      </w:r>
    </w:p>
    <w:p w14:paraId="541472BA"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m:oMathPara>
        <m:oMath>
          <m:r>
            <m:rPr>
              <m:sty m:val="bi"/>
            </m:rPr>
            <w:rPr>
              <w:rFonts w:ascii="Cambria Math" w:eastAsia="Times New Roman" w:hAnsi="Cambria Math" w:cs="Times New Roman"/>
              <w:sz w:val="24"/>
              <w:szCs w:val="24"/>
            </w:rPr>
            <m:t xml:space="preserve">X </m:t>
          </m:r>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m:rPr>
                  <m:scr m:val="double-struck"/>
                </m:rPr>
                <w:rPr>
                  <w:rFonts w:ascii="Cambria Math" w:eastAsia="Times New Roman" w:hAnsi="Cambria Math" w:cs="Times New Roman"/>
                  <w:sz w:val="24"/>
                  <w:szCs w:val="24"/>
                </w:rPr>
                <m:t>R</m:t>
              </m:r>
            </m:e>
            <m:sup>
              <m:r>
                <w:rPr>
                  <w:rFonts w:ascii="Cambria Math" w:eastAsia="Times New Roman" w:hAnsi="Cambria Math" w:cs="Times New Roman"/>
                  <w:sz w:val="24"/>
                  <w:szCs w:val="24"/>
                </w:rPr>
                <m:t>N×T×H×W×C</m:t>
              </m:r>
            </m:sup>
          </m:sSup>
        </m:oMath>
      </m:oMathPara>
    </w:p>
    <w:p w14:paraId="2F823EFC"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32B7153A" w14:textId="77777777" w:rsidR="009D2085" w:rsidRDefault="009D2085" w:rsidP="009D208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N</m:t>
        </m:r>
      </m:oMath>
      <w:r>
        <w:rPr>
          <w:rFonts w:ascii="Times New Roman" w:eastAsia="Times New Roman" w:hAnsi="Times New Roman" w:cs="Times New Roman"/>
          <w:sz w:val="24"/>
          <w:szCs w:val="24"/>
        </w:rPr>
        <w:t xml:space="preserve"> = number of samples</w:t>
      </w:r>
    </w:p>
    <w:p w14:paraId="34B61715" w14:textId="77777777" w:rsidR="009D2085" w:rsidRDefault="009D2085" w:rsidP="009D208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T</m:t>
        </m:r>
      </m:oMath>
      <w:r>
        <w:rPr>
          <w:rFonts w:ascii="Times New Roman" w:eastAsia="Times New Roman" w:hAnsi="Times New Roman" w:cs="Times New Roman"/>
          <w:sz w:val="24"/>
          <w:szCs w:val="24"/>
        </w:rPr>
        <w:t xml:space="preserve"> = 10 (time steps)</w:t>
      </w:r>
    </w:p>
    <w:p w14:paraId="48A03F45" w14:textId="77777777" w:rsidR="009D2085" w:rsidRDefault="009D2085" w:rsidP="009D208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H</m:t>
        </m:r>
      </m:oMath>
      <w:r>
        <w:rPr>
          <w:rFonts w:ascii="Times New Roman" w:eastAsia="Times New Roman" w:hAnsi="Times New Roman" w:cs="Times New Roman"/>
          <w:sz w:val="24"/>
          <w:szCs w:val="24"/>
        </w:rPr>
        <w:t xml:space="preserve"> = 8 (height)</w:t>
      </w:r>
    </w:p>
    <w:p w14:paraId="46A80E36" w14:textId="77777777" w:rsidR="009D2085" w:rsidRDefault="009D2085" w:rsidP="009D208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W</m:t>
        </m:r>
      </m:oMath>
      <w:r>
        <w:rPr>
          <w:rFonts w:ascii="Times New Roman" w:eastAsia="Times New Roman" w:hAnsi="Times New Roman" w:cs="Times New Roman"/>
          <w:sz w:val="24"/>
          <w:szCs w:val="24"/>
        </w:rPr>
        <w:t xml:space="preserve"> =8 (width)</w:t>
      </w:r>
    </w:p>
    <w:p w14:paraId="383606C8" w14:textId="77777777" w:rsidR="009D2085" w:rsidRDefault="009D2085" w:rsidP="009D208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C</m:t>
        </m:r>
      </m:oMath>
      <w:r>
        <w:rPr>
          <w:rFonts w:ascii="Times New Roman" w:eastAsia="Times New Roman" w:hAnsi="Times New Roman" w:cs="Times New Roman"/>
          <w:sz w:val="24"/>
          <w:szCs w:val="24"/>
        </w:rPr>
        <w:t xml:space="preserve"> =1 (channels)</w:t>
      </w:r>
    </w:p>
    <w:p w14:paraId="0BAF0658"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Labels were aggregated across sequences, with any attack label within a sequence marking the entire sequence as an attack (label 1).</w:t>
      </w:r>
    </w:p>
    <w:p w14:paraId="54930FB8"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Temporal Scales</w:t>
      </w:r>
    </w:p>
    <w:p w14:paraId="28CEF710" w14:textId="77777777" w:rsidR="009D2085" w:rsidRDefault="009D2085" w:rsidP="009D2085">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Fast Dynamics </w:t>
      </w:r>
      <m:oMath>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τ</m:t>
            </m:r>
          </m:e>
          <m:sub>
            <m:r>
              <w:rPr>
                <w:rFonts w:ascii="Cambria Math" w:eastAsia="Times New Roman" w:hAnsi="Cambria Math" w:cs="Times New Roman"/>
                <w:sz w:val="24"/>
                <w:szCs w:val="24"/>
              </w:rPr>
              <m:t>f</m:t>
            </m:r>
          </m:sub>
        </m:sSub>
        <m:r>
          <w:rPr>
            <w:rFonts w:ascii="Cambria Math" w:eastAsia="Times New Roman" w:hAnsi="Cambria Math" w:cs="Times New Roman"/>
            <w:sz w:val="24"/>
            <w:szCs w:val="24"/>
          </w:rPr>
          <m:t>≤1s)</m:t>
        </m:r>
      </m:oMath>
      <w:r>
        <w:rPr>
          <w:rFonts w:ascii="Times New Roman" w:eastAsia="Times New Roman" w:hAnsi="Times New Roman" w:cs="Times New Roman"/>
          <w:sz w:val="24"/>
          <w:szCs w:val="24"/>
        </w:rPr>
        <w:t>: Relay operations, sensor readings.</w:t>
      </w:r>
    </w:p>
    <w:p w14:paraId="26E8E5E6" w14:textId="77777777" w:rsidR="009D2085" w:rsidRDefault="009D2085" w:rsidP="009D2085">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Medium Dynamics</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 </w:t>
      </w:r>
      <m:oMath>
        <m:r>
          <w:rPr>
            <w:rFonts w:ascii="Cambria Math" w:eastAsia="Times New Roman" w:hAnsi="Cambria Math" w:cs="Times New Roman"/>
            <w:sz w:val="24"/>
            <w:szCs w:val="24"/>
          </w:rPr>
          <m:t xml:space="preserve">(1s ≤ </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τ</m:t>
            </m:r>
          </m:e>
          <m:sub>
            <m:r>
              <w:rPr>
                <w:rFonts w:ascii="Cambria Math" w:eastAsia="Times New Roman" w:hAnsi="Cambria Math" w:cs="Times New Roman"/>
                <w:sz w:val="24"/>
                <w:szCs w:val="24"/>
              </w:rPr>
              <m:t>m</m:t>
            </m:r>
          </m:sub>
        </m:sSub>
        <m:r>
          <w:rPr>
            <w:rFonts w:ascii="Cambria Math" w:eastAsia="Times New Roman" w:hAnsi="Cambria Math" w:cs="Times New Roman"/>
            <w:sz w:val="24"/>
            <w:szCs w:val="24"/>
          </w:rPr>
          <m:t xml:space="preserve"> ≤1</m:t>
        </m:r>
        <m:r>
          <w:rPr>
            <w:rFonts w:ascii="Cambria Math" w:eastAsia="Times New Roman" w:hAnsi="Cambria Math" w:cs="Times New Roman"/>
            <w:sz w:val="24"/>
            <w:szCs w:val="24"/>
          </w:rPr>
          <m:t>h)</m:t>
        </m:r>
      </m:oMath>
      <w:r>
        <w:rPr>
          <w:rFonts w:ascii="Times New Roman" w:eastAsia="Times New Roman" w:hAnsi="Times New Roman" w:cs="Times New Roman"/>
          <w:sz w:val="24"/>
          <w:szCs w:val="24"/>
        </w:rPr>
        <w:t>: Load balancing, control commands.</w:t>
      </w:r>
    </w:p>
    <w:p w14:paraId="4FC86E2A" w14:textId="77777777" w:rsidR="009D2085" w:rsidRDefault="009D2085" w:rsidP="009D2085">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Slow Dynamics</w:t>
      </w:r>
      <w:r>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τ</m:t>
            </m:r>
          </m:e>
          <m:sub>
            <m:r>
              <w:rPr>
                <w:rFonts w:ascii="Cambria Math" w:eastAsia="Times New Roman" w:hAnsi="Cambria Math" w:cs="Times New Roman"/>
                <w:sz w:val="24"/>
                <w:szCs w:val="24"/>
              </w:rPr>
              <m:t xml:space="preserve">s </m:t>
            </m:r>
          </m:sub>
        </m:sSub>
        <m:r>
          <w:rPr>
            <w:rFonts w:ascii="Cambria Math" w:eastAsia="Times New Roman" w:hAnsi="Cambria Math" w:cs="Times New Roman"/>
            <w:sz w:val="24"/>
            <w:szCs w:val="24"/>
          </w:rPr>
          <m:t>&gt; 1</m:t>
        </m:r>
        <m:r>
          <w:rPr>
            <w:rFonts w:ascii="Cambria Math" w:eastAsia="Times New Roman" w:hAnsi="Cambria Math" w:cs="Times New Roman"/>
            <w:sz w:val="24"/>
            <w:szCs w:val="24"/>
          </w:rPr>
          <m:t>h)</m:t>
        </m:r>
      </m:oMath>
      <w:r>
        <w:rPr>
          <w:rFonts w:ascii="Times New Roman" w:eastAsia="Times New Roman" w:hAnsi="Times New Roman" w:cs="Times New Roman"/>
          <w:sz w:val="24"/>
          <w:szCs w:val="24"/>
        </w:rPr>
        <w:t>: Maintenance cycles, component degradation.</w:t>
      </w:r>
    </w:p>
    <w:p w14:paraId="57371148" w14:textId="77777777" w:rsidR="00C646DD" w:rsidRDefault="00C646DD" w:rsidP="00C646DD">
      <w:pPr>
        <w:spacing w:before="100" w:beforeAutospacing="1" w:after="100" w:afterAutospacing="1" w:line="360" w:lineRule="auto"/>
        <w:ind w:left="720"/>
        <w:jc w:val="both"/>
        <w:rPr>
          <w:rFonts w:ascii="Times New Roman" w:eastAsia="Times New Roman" w:hAnsi="Times New Roman" w:cs="Times New Roman"/>
          <w:sz w:val="24"/>
          <w:szCs w:val="24"/>
        </w:rPr>
      </w:pPr>
    </w:p>
    <w:p w14:paraId="769ED0B1"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Spatial Scales</w:t>
      </w:r>
    </w:p>
    <w:p w14:paraId="45B918D3" w14:textId="77777777" w:rsidR="009D2085" w:rsidRDefault="009D2085" w:rsidP="009D2085">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Micro-scale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bscript"/>
        </w:rPr>
        <w:t>micro</w:t>
      </w:r>
      <w:proofErr w:type="spellEnd"/>
      <w:r>
        <w:rPr>
          <w:rFonts w:ascii="Times New Roman" w:eastAsia="Times New Roman" w:hAnsi="Times New Roman" w:cs="Times New Roman"/>
          <w:sz w:val="24"/>
          <w:szCs w:val="24"/>
        </w:rPr>
        <w:t>): Individual sensors, actuators.</w:t>
      </w:r>
    </w:p>
    <w:p w14:paraId="68FA40AC" w14:textId="77777777" w:rsidR="009D2085" w:rsidRDefault="009D2085" w:rsidP="009D2085">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Meso-scale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bscript"/>
        </w:rPr>
        <w:t>mesos</w:t>
      </w:r>
      <w:proofErr w:type="spellEnd"/>
      <w:r>
        <w:rPr>
          <w:rFonts w:ascii="Times New Roman" w:eastAsia="Times New Roman" w:hAnsi="Times New Roman" w:cs="Times New Roman"/>
          <w:sz w:val="24"/>
          <w:szCs w:val="24"/>
        </w:rPr>
        <w:t>): Subsystems or facilities.</w:t>
      </w:r>
    </w:p>
    <w:p w14:paraId="63900782" w14:textId="77777777" w:rsidR="009D2085" w:rsidRDefault="009D2085" w:rsidP="009D2085">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Macro-scale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bscript"/>
        </w:rPr>
        <w:t>macros</w:t>
      </w:r>
      <w:proofErr w:type="spellEnd"/>
      <w:r>
        <w:rPr>
          <w:rFonts w:ascii="Times New Roman" w:eastAsia="Times New Roman" w:hAnsi="Times New Roman" w:cs="Times New Roman"/>
          <w:sz w:val="24"/>
          <w:szCs w:val="24"/>
        </w:rPr>
        <w:t>): Regional or national networks.</w:t>
      </w:r>
    </w:p>
    <w:p w14:paraId="277CFE30"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spatial scales satisfy:</w:t>
      </w:r>
    </w:p>
    <w:p w14:paraId="013049DD" w14:textId="77777777" w:rsidR="009D2085" w:rsidRDefault="00970CFF" w:rsidP="009D2085">
      <w:pPr>
        <w:spacing w:before="100" w:beforeAutospacing="1" w:after="100" w:afterAutospacing="1" w:line="360" w:lineRule="auto"/>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micro</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meso</m:t>
              </m:r>
            </m:sub>
          </m:sSub>
          <m:r>
            <w:rPr>
              <w:rFonts w:ascii="Cambria Math" w:eastAsia="Times New Roman" w:hAnsi="Cambria Math" w:cs="Times New Roman"/>
              <w:sz w:val="24"/>
              <w:szCs w:val="24"/>
            </w:rPr>
            <m:t xml:space="preserve"> ⊆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macro</m:t>
              </m:r>
            </m:sub>
          </m:sSub>
        </m:oMath>
      </m:oMathPara>
    </w:p>
    <w:p w14:paraId="348E4F45"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Threat Propagation Model</w:t>
      </w:r>
    </w:p>
    <w:p w14:paraId="5283D572"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threat diffusion rate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λ</m:t>
            </m:r>
          </m:e>
          <m:sub>
            <m:r>
              <w:rPr>
                <w:rFonts w:ascii="Cambria Math" w:eastAsia="Times New Roman" w:hAnsi="Cambria Math" w:cs="Times New Roman"/>
                <w:sz w:val="24"/>
                <w:szCs w:val="24"/>
              </w:rPr>
              <m:t>tp</m:t>
            </m:r>
          </m:sub>
        </m:sSub>
      </m:oMath>
      <w:r>
        <w:rPr>
          <w:rFonts w:ascii="Times New Roman" w:eastAsia="Times New Roman" w:hAnsi="Times New Roman" w:cs="Times New Roman"/>
          <w:sz w:val="24"/>
          <w:szCs w:val="24"/>
        </w:rPr>
        <w:t xml:space="preserve"> between scales is modeled as:</w:t>
      </w:r>
    </w:p>
    <w:p w14:paraId="26A0516B" w14:textId="77777777" w:rsidR="009D2085" w:rsidRDefault="00970CFF" w:rsidP="009D2085">
      <w:pPr>
        <w:spacing w:before="100" w:beforeAutospacing="1" w:after="100" w:afterAutospacing="1" w:line="360" w:lineRule="auto"/>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λ</m:t>
              </m:r>
            </m:e>
            <m:sub>
              <m:r>
                <w:rPr>
                  <w:rFonts w:ascii="Cambria Math" w:eastAsia="Times New Roman" w:hAnsi="Cambria Math" w:cs="Times New Roman"/>
                  <w:sz w:val="24"/>
                  <w:szCs w:val="24"/>
                </w:rPr>
                <m:t>tp</m:t>
              </m:r>
            </m:sub>
          </m:sSub>
          <m:r>
            <w:rPr>
              <w:rFonts w:ascii="Cambria Math" w:eastAsia="Times New Roman" w:hAnsi="Cambria Math" w:cs="Times New Roman"/>
              <w:sz w:val="24"/>
              <w:szCs w:val="24"/>
            </w:rPr>
            <m:t>=</m:t>
          </m:r>
          <m:r>
            <w:rPr>
              <w:rFonts w:ascii="Cambria Math" w:eastAsia="Times New Roman" w:hAnsi="Cambria Math" w:cs="Times New Roman"/>
              <w:sz w:val="24"/>
              <w:szCs w:val="24"/>
            </w:rPr>
            <m:t>α</m:t>
          </m:r>
          <m:r>
            <w:rPr>
              <w:rFonts w:ascii="Cambria Math" w:eastAsia="Times New Roman" w:hAnsi="Cambria Math" w:cs="Times New Roman"/>
              <w:sz w:val="24"/>
              <w:szCs w:val="24"/>
            </w:rPr>
            <m:t xml:space="preserve"> </m:t>
          </m:r>
          <m:r>
            <m:rPr>
              <m:sty m:val="bi"/>
            </m:rPr>
            <w:rPr>
              <w:rFonts w:ascii="Cambria Math" w:eastAsia="Times New Roman" w:hAnsi="Cambria Math" w:cs="Times New Roman"/>
              <w:sz w:val="24"/>
              <w:szCs w:val="24"/>
            </w:rPr>
            <m:t>⋅</m:t>
          </m:r>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∂t</m:t>
                  </m:r>
                </m:den>
              </m:f>
              <m:r>
                <w:rPr>
                  <w:rFonts w:ascii="Cambria Math" w:eastAsia="Times New Roman" w:hAnsi="Cambria Math" w:cs="Times New Roman"/>
                  <w:sz w:val="24"/>
                  <w:szCs w:val="24"/>
                </w:rPr>
                <m:t xml:space="preserve">+ </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β</m:t>
                  </m:r>
                  <m:r>
                    <m:rPr>
                      <m:sty m:val="p"/>
                    </m:rPr>
                    <w:rPr>
                      <w:rFonts w:ascii="Cambria Math" w:eastAsia="Times New Roman" w:hAnsi="Cambria Math" w:cs="Times New Roman"/>
                      <w:sz w:val="24"/>
                      <w:szCs w:val="24"/>
                    </w:rPr>
                    <m:t>∇V</m:t>
                  </m:r>
                  <m:ctrlPr>
                    <w:rPr>
                      <w:rFonts w:ascii="Cambria Math" w:eastAsia="Times New Roman" w:hAnsi="Cambria Math" w:cs="Times New Roman"/>
                      <w:sz w:val="24"/>
                      <w:szCs w:val="24"/>
                    </w:rPr>
                  </m:ctrlPr>
                </m:e>
              </m:d>
            </m:e>
          </m:d>
        </m:oMath>
      </m:oMathPara>
    </w:p>
    <w:p w14:paraId="6F602D51"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57B76626" w14:textId="77777777" w:rsidR="009D2085" w:rsidRDefault="009D2085" w:rsidP="009D2085">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vulnerability index</w:t>
      </w:r>
    </w:p>
    <w:p w14:paraId="31D6A509" w14:textId="77777777" w:rsidR="009D2085" w:rsidRDefault="009D2085" w:rsidP="009D2085">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 xml:space="preserve"> = coupling coefficient</w:t>
      </w:r>
    </w:p>
    <w:p w14:paraId="12860CF5" w14:textId="77777777" w:rsidR="009D2085" w:rsidRDefault="009D2085" w:rsidP="009D2085">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β</w:t>
      </w:r>
      <w:r>
        <w:rPr>
          <w:rFonts w:ascii="Times New Roman" w:eastAsia="Times New Roman" w:hAnsi="Times New Roman" w:cs="Times New Roman"/>
          <w:sz w:val="24"/>
          <w:szCs w:val="24"/>
        </w:rPr>
        <w:t xml:space="preserve"> = system conductivity</w:t>
      </w:r>
    </w:p>
    <w:p w14:paraId="3BABDFCE"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partial differential equation captures temporal change and spatial diffusion of vulnerabilities.</w:t>
      </w:r>
    </w:p>
    <w:p w14:paraId="4BB5C2A5"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Vulnerability Assessment Matrix</w:t>
      </w:r>
    </w:p>
    <w:p w14:paraId="16F9017F"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matrix </w:t>
      </w:r>
      <m:oMath>
        <m:r>
          <m:rPr>
            <m:sty m:val="b"/>
          </m:rPr>
          <w:rPr>
            <w:rFonts w:ascii="Cambria Math" w:eastAsia="Times New Roman" w:hAnsi="Cambria Math" w:cs="Times New Roman"/>
            <w:sz w:val="24"/>
            <w:szCs w:val="24"/>
          </w:rPr>
          <m:t>V</m:t>
        </m:r>
        <m:r>
          <m:rPr>
            <m:sty m:val="p"/>
          </m:rPr>
          <w:rPr>
            <w:rFonts w:ascii="Cambria Math" w:eastAsia="Times New Roman" w:hAnsi="Cambria Math" w:cs="Times New Roman"/>
            <w:sz w:val="24"/>
            <w:szCs w:val="24"/>
          </w:rPr>
          <m:t>∈</m:t>
        </m:r>
        <m:sSup>
          <m:sSupPr>
            <m:ctrlPr>
              <w:rPr>
                <w:rFonts w:ascii="Cambria Math" w:eastAsia="Times New Roman" w:hAnsi="Cambria Math" w:cs="Times New Roman"/>
                <w:b/>
                <w:sz w:val="24"/>
                <w:szCs w:val="24"/>
              </w:rPr>
            </m:ctrlPr>
          </m:sSupPr>
          <m:e>
            <m:r>
              <m:rPr>
                <m:scr m:val="double-struck"/>
                <m:sty m:val="b"/>
              </m:rPr>
              <w:rPr>
                <w:rFonts w:ascii="Cambria Math" w:eastAsia="Times New Roman" w:hAnsi="Cambria Math" w:cs="Times New Roman"/>
                <w:sz w:val="24"/>
                <w:szCs w:val="24"/>
              </w:rPr>
              <m:t>R</m:t>
            </m:r>
          </m:e>
          <m:sup>
            <m:r>
              <w:rPr>
                <w:rFonts w:ascii="Cambria Math" w:eastAsia="Times New Roman" w:hAnsi="Cambria Math" w:cs="Times New Roman"/>
                <w:sz w:val="24"/>
                <w:szCs w:val="24"/>
              </w:rPr>
              <m:t>7×7</m:t>
            </m:r>
          </m:sup>
        </m:sSup>
      </m:oMath>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quantifies component vulnerabilities:</w:t>
      </w:r>
    </w:p>
    <w:p w14:paraId="69BB1889" w14:textId="77777777" w:rsidR="009D2085" w:rsidRDefault="00970CFF" w:rsidP="009D2085">
      <w:pPr>
        <w:spacing w:before="100" w:beforeAutospacing="1" w:after="100" w:afterAutospacing="1" w:line="360" w:lineRule="auto"/>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ν</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m:rPr>
                  <m:scr m:val="script"/>
                </m:rPr>
                <w:rPr>
                  <w:rFonts w:ascii="Cambria Math" w:eastAsia="Times New Roman" w:hAnsi="Cambria Math" w:cs="Times New Roman"/>
                  <w:sz w:val="24"/>
                  <w:szCs w:val="24"/>
                </w:rPr>
                <m:t>w</m:t>
              </m:r>
            </m:e>
            <m:sub>
              <m:r>
                <m:rPr>
                  <m:scr m:val="script"/>
                </m:rPr>
                <w:rPr>
                  <w:rFonts w:ascii="Cambria Math" w:eastAsia="Times New Roman" w:hAnsi="Cambria Math" w:cs="Times New Roman"/>
                  <w:sz w:val="24"/>
                  <w:szCs w:val="24"/>
                </w:rPr>
                <m:t>c</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 xml:space="preserve"> + </m:t>
          </m:r>
          <m:sSub>
            <m:sSubPr>
              <m:ctrlPr>
                <w:rPr>
                  <w:rFonts w:ascii="Cambria Math" w:eastAsia="Times New Roman" w:hAnsi="Cambria Math" w:cs="Times New Roman"/>
                  <w:i/>
                  <w:sz w:val="24"/>
                  <w:szCs w:val="24"/>
                </w:rPr>
              </m:ctrlPr>
            </m:sSubPr>
            <m:e>
              <m:r>
                <m:rPr>
                  <m:scr m:val="script"/>
                </m:rPr>
                <w:rPr>
                  <w:rFonts w:ascii="Cambria Math" w:eastAsia="Times New Roman" w:hAnsi="Cambria Math" w:cs="Times New Roman"/>
                  <w:sz w:val="24"/>
                  <w:szCs w:val="24"/>
                </w:rPr>
                <m:t>w</m:t>
              </m:r>
            </m:e>
            <m:sub>
              <m:r>
                <w:rPr>
                  <w:rFonts w:ascii="Cambria Math" w:eastAsia="Times New Roman" w:hAnsi="Cambria Math" w:cs="Times New Roman"/>
                  <w:sz w:val="24"/>
                  <w:szCs w:val="24"/>
                </w:rPr>
                <m:t>o</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 xml:space="preserve"> + </m:t>
          </m:r>
          <m:sSub>
            <m:sSubPr>
              <m:ctrlPr>
                <w:rPr>
                  <w:rFonts w:ascii="Cambria Math" w:eastAsia="Times New Roman" w:hAnsi="Cambria Math" w:cs="Times New Roman"/>
                  <w:i/>
                  <w:sz w:val="24"/>
                  <w:szCs w:val="24"/>
                </w:rPr>
              </m:ctrlPr>
            </m:sSubPr>
            <m:e>
              <m:r>
                <m:rPr>
                  <m:scr m:val="script"/>
                </m:rPr>
                <w:rPr>
                  <w:rFonts w:ascii="Cambria Math" w:eastAsia="Times New Roman" w:hAnsi="Cambria Math" w:cs="Times New Roman"/>
                  <w:sz w:val="24"/>
                  <w:szCs w:val="24"/>
                </w:rPr>
                <m:t>w</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ij</m:t>
              </m:r>
            </m:sub>
          </m:sSub>
        </m:oMath>
      </m:oMathPara>
    </w:p>
    <w:p w14:paraId="49A930D6"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p>
    <w:p w14:paraId="7AC35F40"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342A0E77" w14:textId="77777777" w:rsidR="009D2085" w:rsidRDefault="00970CFF" w:rsidP="009D2085">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 xml:space="preserve"> </m:t>
        </m:r>
      </m:oMath>
      <w:r w:rsidR="009D2085">
        <w:rPr>
          <w:rFonts w:ascii="Times New Roman" w:eastAsia="Times New Roman" w:hAnsi="Times New Roman" w:cs="Times New Roman"/>
          <w:sz w:val="24"/>
          <w:szCs w:val="24"/>
        </w:rPr>
        <w:t>= complexity score</w:t>
      </w:r>
    </w:p>
    <w:p w14:paraId="4C79BA94" w14:textId="77777777" w:rsidR="009D2085" w:rsidRDefault="00970CFF" w:rsidP="009D2085">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 xml:space="preserve"> </m:t>
        </m:r>
      </m:oMath>
      <w:r w:rsidR="009D2085">
        <w:rPr>
          <w:rFonts w:ascii="Times New Roman" w:eastAsia="Times New Roman" w:hAnsi="Times New Roman" w:cs="Times New Roman"/>
          <w:sz w:val="24"/>
          <w:szCs w:val="24"/>
        </w:rPr>
        <w:t>= observability score</w:t>
      </w:r>
    </w:p>
    <w:p w14:paraId="74F7A750" w14:textId="77777777" w:rsidR="009D2085" w:rsidRDefault="00970CFF" w:rsidP="009D2085">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ij</m:t>
            </m:r>
          </m:sub>
        </m:sSub>
      </m:oMath>
      <w:r w:rsidR="009D2085">
        <w:rPr>
          <w:rFonts w:ascii="Times New Roman" w:eastAsia="Times New Roman" w:hAnsi="Times New Roman" w:cs="Times New Roman"/>
          <w:sz w:val="24"/>
          <w:szCs w:val="24"/>
        </w:rPr>
        <w:t xml:space="preserve">  = impact score</w:t>
      </w:r>
    </w:p>
    <w:p w14:paraId="5BDAA950" w14:textId="77777777" w:rsidR="009D2085" w:rsidRPr="0042340B" w:rsidRDefault="00970CFF" w:rsidP="0042340B">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m:rPr>
                <m:scr m:val="script"/>
              </m:rPr>
              <w:rPr>
                <w:rFonts w:ascii="Cambria Math" w:eastAsia="Times New Roman" w:hAnsi="Cambria Math" w:cs="Times New Roman"/>
                <w:sz w:val="24"/>
                <w:szCs w:val="24"/>
              </w:rPr>
              <m:t>w</m:t>
            </m:r>
          </m:e>
          <m:sub>
            <m:r>
              <m:rPr>
                <m:scr m:val="script"/>
              </m:rPr>
              <w:rPr>
                <w:rFonts w:ascii="Cambria Math" w:eastAsia="Times New Roman" w:hAnsi="Cambria Math" w:cs="Times New Roman"/>
                <w:sz w:val="24"/>
                <w:szCs w:val="24"/>
              </w:rPr>
              <m:t>c</m:t>
            </m:r>
          </m:sub>
        </m:sSub>
        <m:r>
          <w:rPr>
            <w:rFonts w:ascii="Cambria Math" w:eastAsia="Times New Roman" w:hAnsi="Cambria Math" w:cs="Times New Roman"/>
            <w:sz w:val="24"/>
            <w:szCs w:val="24"/>
          </w:rPr>
          <m:t xml:space="preserve"> </m:t>
        </m:r>
      </m:oMath>
      <w:r w:rsidR="009D2085">
        <w:rPr>
          <w:rFonts w:ascii="Times New Roman" w:eastAsia="Times New Roman" w:hAnsi="Times New Roman" w:cs="Times New Roman"/>
          <w:sz w:val="24"/>
          <w:szCs w:val="24"/>
        </w:rPr>
        <w:t xml:space="preserve">= 0.4, </w:t>
      </w:r>
      <m:oMath>
        <m:sSub>
          <m:sSubPr>
            <m:ctrlPr>
              <w:rPr>
                <w:rFonts w:ascii="Cambria Math" w:eastAsia="Times New Roman" w:hAnsi="Cambria Math" w:cs="Times New Roman"/>
                <w:i/>
                <w:sz w:val="24"/>
                <w:szCs w:val="24"/>
              </w:rPr>
            </m:ctrlPr>
          </m:sSubPr>
          <m:e>
            <m:r>
              <m:rPr>
                <m:scr m:val="script"/>
              </m:rPr>
              <w:rPr>
                <w:rFonts w:ascii="Cambria Math" w:eastAsia="Times New Roman" w:hAnsi="Cambria Math" w:cs="Times New Roman"/>
                <w:sz w:val="24"/>
                <w:szCs w:val="24"/>
              </w:rPr>
              <m:t>w</m:t>
            </m:r>
          </m:e>
          <m:sub>
            <m:r>
              <w:rPr>
                <w:rFonts w:ascii="Cambria Math" w:eastAsia="Times New Roman" w:hAnsi="Cambria Math" w:cs="Times New Roman"/>
                <w:sz w:val="24"/>
                <w:szCs w:val="24"/>
              </w:rPr>
              <m:t>o</m:t>
            </m:r>
          </m:sub>
        </m:sSub>
        <m:r>
          <w:rPr>
            <w:rFonts w:ascii="Cambria Math" w:eastAsia="Times New Roman" w:hAnsi="Cambria Math" w:cs="Times New Roman"/>
            <w:sz w:val="24"/>
            <w:szCs w:val="24"/>
          </w:rPr>
          <m:t xml:space="preserve"> </m:t>
        </m:r>
      </m:oMath>
      <w:r w:rsidR="009D2085">
        <w:rPr>
          <w:rFonts w:ascii="Times New Roman" w:eastAsia="Times New Roman" w:hAnsi="Times New Roman" w:cs="Times New Roman"/>
          <w:sz w:val="24"/>
          <w:szCs w:val="24"/>
        </w:rPr>
        <w:t xml:space="preserve">= 0.3, </w:t>
      </w:r>
      <m:oMath>
        <m:sSub>
          <m:sSubPr>
            <m:ctrlPr>
              <w:rPr>
                <w:rFonts w:ascii="Cambria Math" w:eastAsia="Times New Roman" w:hAnsi="Cambria Math" w:cs="Times New Roman"/>
                <w:i/>
                <w:sz w:val="24"/>
                <w:szCs w:val="24"/>
              </w:rPr>
            </m:ctrlPr>
          </m:sSubPr>
          <m:e>
            <m:r>
              <m:rPr>
                <m:scr m:val="script"/>
              </m:rPr>
              <w:rPr>
                <w:rFonts w:ascii="Cambria Math" w:eastAsia="Times New Roman" w:hAnsi="Cambria Math" w:cs="Times New Roman"/>
                <w:sz w:val="24"/>
                <w:szCs w:val="24"/>
              </w:rPr>
              <m:t>w</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m:t>
        </m:r>
      </m:oMath>
      <w:r w:rsidR="009D2085">
        <w:rPr>
          <w:rFonts w:ascii="Times New Roman" w:eastAsia="Times New Roman" w:hAnsi="Times New Roman" w:cs="Times New Roman"/>
          <w:sz w:val="24"/>
          <w:szCs w:val="24"/>
        </w:rPr>
        <w:t>= 0.3(weights)</w:t>
      </w:r>
    </w:p>
    <w:p w14:paraId="6E9E48A3"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AI/ML Algorithm Implementation: ConvLSTM3D for Multiscale Anomaly Detection</w:t>
      </w:r>
    </w:p>
    <w:p w14:paraId="4955889B"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Model Architecture</w:t>
      </w:r>
    </w:p>
    <w:p w14:paraId="716671A8"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ConvLSTM3D architecture combines convolutional layers with LSTM units to capture spatial and temporal dependencies in the data. The model layers are included in Table 1 Convolutional LSTM (ConvLSTM3D) processes spatiotemporal data:</w:t>
      </w:r>
      <w:r>
        <w:rPr>
          <w:rFonts w:ascii="Times New Roman" w:eastAsia="Times New Roman" w:hAnsi="Times New Roman" w:cs="Times New Roman"/>
          <w:sz w:val="24"/>
          <w:szCs w:val="24"/>
        </w:rPr>
        <w:br/>
      </w:r>
      <m:oMathPara>
        <m:oMath>
          <m:r>
            <m:rPr>
              <m:scr m:val="script"/>
              <m:sty m:val="bi"/>
            </m:rPr>
            <w:rPr>
              <w:rFonts w:ascii="Cambria Math" w:eastAsia="Times New Roman" w:hAnsi="Cambria Math" w:cs="Times New Roman"/>
              <w:sz w:val="24"/>
              <w:szCs w:val="24"/>
            </w:rPr>
            <m:t>F</m:t>
          </m:r>
          <m:d>
            <m:dPr>
              <m:ctrlPr>
                <w:rPr>
                  <w:rFonts w:ascii="Cambria Math" w:eastAsia="Times New Roman" w:hAnsi="Cambria Math" w:cs="Times New Roman"/>
                  <w:b/>
                  <w:i/>
                  <w:sz w:val="24"/>
                  <w:szCs w:val="24"/>
                </w:rPr>
              </m:ctrlPr>
            </m:dPr>
            <m:e>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X</m:t>
                  </m:r>
                </m:e>
                <m:sub>
                  <m:r>
                    <m:rPr>
                      <m:sty m:val="bi"/>
                    </m:rPr>
                    <w:rPr>
                      <w:rFonts w:ascii="Cambria Math" w:eastAsia="Times New Roman" w:hAnsi="Cambria Math" w:cs="Times New Roman"/>
                      <w:sz w:val="24"/>
                      <w:szCs w:val="24"/>
                    </w:rPr>
                    <m:t>t</m:t>
                  </m:r>
                </m:sub>
              </m:sSub>
            </m:e>
          </m:d>
          <m:r>
            <w:rPr>
              <w:rFonts w:ascii="Cambria Math" w:eastAsia="Times New Roman" w:hAnsi="Cambria Math" w:cs="Times New Roman"/>
              <w:sz w:val="24"/>
              <w:szCs w:val="24"/>
            </w:rPr>
            <m:t>=σ(</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xh</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t</m:t>
              </m:r>
            </m:sub>
          </m:sSub>
          <m:r>
            <w:rPr>
              <w:rFonts w:ascii="Cambria Math" w:eastAsia="Times New Roman" w:hAnsi="Cambria Math" w:cs="Times New Roman"/>
              <w:sz w:val="24"/>
              <w:szCs w:val="24"/>
            </w:rPr>
            <m:t xml:space="preserve"> +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hh</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h</m:t>
              </m:r>
            </m:sub>
          </m:sSub>
          <m:r>
            <w:rPr>
              <w:rFonts w:ascii="Cambria Math" w:eastAsia="Times New Roman" w:hAnsi="Cambria Math" w:cs="Times New Roman"/>
              <w:sz w:val="24"/>
              <w:szCs w:val="24"/>
            </w:rPr>
            <m:t>)</m:t>
          </m:r>
        </m:oMath>
      </m:oMathPara>
    </w:p>
    <w:p w14:paraId="02232196"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w:t>
      </w:r>
      <w:r w:rsidR="00AC0E7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1</w:t>
      </w:r>
    </w:p>
    <w:p w14:paraId="18CC2C2B"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Cs/>
          <w:i/>
          <w:sz w:val="24"/>
          <w:szCs w:val="24"/>
        </w:rPr>
        <w:t>Model Layers</w:t>
      </w:r>
    </w:p>
    <w:tbl>
      <w:tblPr>
        <w:tblW w:w="0" w:type="auto"/>
        <w:tblCellSpacing w:w="15" w:type="dxa"/>
        <w:tblLook w:val="04A0" w:firstRow="1" w:lastRow="0" w:firstColumn="1" w:lastColumn="0" w:noHBand="0" w:noVBand="1"/>
      </w:tblPr>
      <w:tblGrid>
        <w:gridCol w:w="1943"/>
        <w:gridCol w:w="2438"/>
        <w:gridCol w:w="1640"/>
        <w:gridCol w:w="3339"/>
      </w:tblGrid>
      <w:tr w:rsidR="009D2085" w14:paraId="69663959" w14:textId="77777777" w:rsidTr="009D2085">
        <w:trPr>
          <w:tblHeader/>
          <w:tblCellSpacing w:w="15" w:type="dxa"/>
        </w:trPr>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14:paraId="6BC73BB2" w14:textId="77777777" w:rsidR="009D2085" w:rsidRDefault="009D2085">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Layer Type</w:t>
            </w:r>
          </w:p>
        </w:tc>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14:paraId="554A16D8" w14:textId="77777777" w:rsidR="009D2085" w:rsidRDefault="009D2085">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Parameters</w:t>
            </w:r>
          </w:p>
        </w:tc>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14:paraId="165B4DFD" w14:textId="77777777" w:rsidR="009D2085" w:rsidRDefault="009D2085">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Output Shape</w:t>
            </w:r>
          </w:p>
        </w:tc>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14:paraId="47CB9D81" w14:textId="77777777" w:rsidR="009D2085" w:rsidRDefault="009D2085">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tc>
      </w:tr>
      <w:tr w:rsidR="009D2085" w14:paraId="4B077696" w14:textId="77777777" w:rsidTr="009D2085">
        <w:trPr>
          <w:tblCellSpacing w:w="15" w:type="dxa"/>
        </w:trPr>
        <w:tc>
          <w:tcPr>
            <w:tcW w:w="0" w:type="auto"/>
            <w:tcMar>
              <w:top w:w="15" w:type="dxa"/>
              <w:left w:w="15" w:type="dxa"/>
              <w:bottom w:w="15" w:type="dxa"/>
              <w:right w:w="15" w:type="dxa"/>
            </w:tcMar>
            <w:vAlign w:val="center"/>
            <w:hideMark/>
          </w:tcPr>
          <w:p w14:paraId="11B30338"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Input</w:t>
            </w:r>
          </w:p>
        </w:tc>
        <w:tc>
          <w:tcPr>
            <w:tcW w:w="0" w:type="auto"/>
            <w:tcMar>
              <w:top w:w="15" w:type="dxa"/>
              <w:left w:w="15" w:type="dxa"/>
              <w:bottom w:w="15" w:type="dxa"/>
              <w:right w:w="15" w:type="dxa"/>
            </w:tcMar>
            <w:vAlign w:val="center"/>
            <w:hideMark/>
          </w:tcPr>
          <w:p w14:paraId="1B8F46CD"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Shape = (10, 8, 8, 1)</w:t>
            </w:r>
          </w:p>
        </w:tc>
        <w:tc>
          <w:tcPr>
            <w:tcW w:w="0" w:type="auto"/>
            <w:tcMar>
              <w:top w:w="15" w:type="dxa"/>
              <w:left w:w="15" w:type="dxa"/>
              <w:bottom w:w="15" w:type="dxa"/>
              <w:right w:w="15" w:type="dxa"/>
            </w:tcMar>
            <w:vAlign w:val="center"/>
            <w:hideMark/>
          </w:tcPr>
          <w:p w14:paraId="629BD693"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10, 8, 8, 1)</w:t>
            </w:r>
          </w:p>
        </w:tc>
        <w:tc>
          <w:tcPr>
            <w:tcW w:w="0" w:type="auto"/>
            <w:tcMar>
              <w:top w:w="15" w:type="dxa"/>
              <w:left w:w="15" w:type="dxa"/>
              <w:bottom w:w="15" w:type="dxa"/>
              <w:right w:w="15" w:type="dxa"/>
            </w:tcMar>
            <w:vAlign w:val="center"/>
            <w:hideMark/>
          </w:tcPr>
          <w:p w14:paraId="0F83B6C6"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Sequence of 10 frames, 8x8 grayscale</w:t>
            </w:r>
          </w:p>
        </w:tc>
      </w:tr>
      <w:tr w:rsidR="009D2085" w14:paraId="18467995" w14:textId="77777777" w:rsidTr="009D2085">
        <w:trPr>
          <w:tblCellSpacing w:w="15" w:type="dxa"/>
        </w:trPr>
        <w:tc>
          <w:tcPr>
            <w:tcW w:w="0" w:type="auto"/>
            <w:tcMar>
              <w:top w:w="15" w:type="dxa"/>
              <w:left w:w="15" w:type="dxa"/>
              <w:bottom w:w="15" w:type="dxa"/>
              <w:right w:w="15" w:type="dxa"/>
            </w:tcMar>
            <w:vAlign w:val="center"/>
            <w:hideMark/>
          </w:tcPr>
          <w:p w14:paraId="785D3C38"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ConvLSTM2D</w:t>
            </w:r>
          </w:p>
        </w:tc>
        <w:tc>
          <w:tcPr>
            <w:tcW w:w="0" w:type="auto"/>
            <w:tcMar>
              <w:top w:w="15" w:type="dxa"/>
              <w:left w:w="15" w:type="dxa"/>
              <w:bottom w:w="15" w:type="dxa"/>
              <w:right w:w="15" w:type="dxa"/>
            </w:tcMar>
            <w:vAlign w:val="center"/>
            <w:hideMark/>
          </w:tcPr>
          <w:p w14:paraId="2BDC277B"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filters, kernel (3,3), ReLU</w:t>
            </w:r>
          </w:p>
        </w:tc>
        <w:tc>
          <w:tcPr>
            <w:tcW w:w="0" w:type="auto"/>
            <w:tcMar>
              <w:top w:w="15" w:type="dxa"/>
              <w:left w:w="15" w:type="dxa"/>
              <w:bottom w:w="15" w:type="dxa"/>
              <w:right w:w="15" w:type="dxa"/>
            </w:tcMar>
            <w:vAlign w:val="center"/>
            <w:hideMark/>
          </w:tcPr>
          <w:p w14:paraId="37E36C55"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10, 8, 8, 32)</w:t>
            </w:r>
          </w:p>
        </w:tc>
        <w:tc>
          <w:tcPr>
            <w:tcW w:w="0" w:type="auto"/>
            <w:tcMar>
              <w:top w:w="15" w:type="dxa"/>
              <w:left w:w="15" w:type="dxa"/>
              <w:bottom w:w="15" w:type="dxa"/>
              <w:right w:w="15" w:type="dxa"/>
            </w:tcMar>
            <w:vAlign w:val="center"/>
            <w:hideMark/>
          </w:tcPr>
          <w:p w14:paraId="2ABFB9C5"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Extract spatiotemporal features</w:t>
            </w:r>
          </w:p>
        </w:tc>
      </w:tr>
      <w:tr w:rsidR="009D2085" w14:paraId="335E28C8" w14:textId="77777777" w:rsidTr="009D2085">
        <w:trPr>
          <w:tblCellSpacing w:w="15" w:type="dxa"/>
        </w:trPr>
        <w:tc>
          <w:tcPr>
            <w:tcW w:w="0" w:type="auto"/>
            <w:tcMar>
              <w:top w:w="15" w:type="dxa"/>
              <w:left w:w="15" w:type="dxa"/>
              <w:bottom w:w="15" w:type="dxa"/>
              <w:right w:w="15" w:type="dxa"/>
            </w:tcMar>
            <w:vAlign w:val="center"/>
            <w:hideMark/>
          </w:tcPr>
          <w:p w14:paraId="62B319C0"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Batch Normalization</w:t>
            </w:r>
          </w:p>
        </w:tc>
        <w:tc>
          <w:tcPr>
            <w:tcW w:w="0" w:type="auto"/>
            <w:tcMar>
              <w:top w:w="15" w:type="dxa"/>
              <w:left w:w="15" w:type="dxa"/>
              <w:bottom w:w="15" w:type="dxa"/>
              <w:right w:w="15" w:type="dxa"/>
            </w:tcMar>
            <w:vAlign w:val="center"/>
            <w:hideMark/>
          </w:tcPr>
          <w:p w14:paraId="0BEFC5AD"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15" w:type="dxa"/>
              <w:left w:w="15" w:type="dxa"/>
              <w:bottom w:w="15" w:type="dxa"/>
              <w:right w:w="15" w:type="dxa"/>
            </w:tcMar>
            <w:vAlign w:val="center"/>
            <w:hideMark/>
          </w:tcPr>
          <w:p w14:paraId="087F390B"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10, 8, 8, 32)</w:t>
            </w:r>
          </w:p>
        </w:tc>
        <w:tc>
          <w:tcPr>
            <w:tcW w:w="0" w:type="auto"/>
            <w:tcMar>
              <w:top w:w="15" w:type="dxa"/>
              <w:left w:w="15" w:type="dxa"/>
              <w:bottom w:w="15" w:type="dxa"/>
              <w:right w:w="15" w:type="dxa"/>
            </w:tcMar>
            <w:vAlign w:val="center"/>
            <w:hideMark/>
          </w:tcPr>
          <w:p w14:paraId="13BC2182"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Normalize activations</w:t>
            </w:r>
          </w:p>
        </w:tc>
      </w:tr>
      <w:tr w:rsidR="009D2085" w14:paraId="7466694B" w14:textId="77777777" w:rsidTr="009D2085">
        <w:trPr>
          <w:tblCellSpacing w:w="15" w:type="dxa"/>
        </w:trPr>
        <w:tc>
          <w:tcPr>
            <w:tcW w:w="0" w:type="auto"/>
            <w:tcMar>
              <w:top w:w="15" w:type="dxa"/>
              <w:left w:w="15" w:type="dxa"/>
              <w:bottom w:w="15" w:type="dxa"/>
              <w:right w:w="15" w:type="dxa"/>
            </w:tcMar>
            <w:vAlign w:val="center"/>
            <w:hideMark/>
          </w:tcPr>
          <w:p w14:paraId="3E4F4F1B"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ConvLSTM2D</w:t>
            </w:r>
          </w:p>
        </w:tc>
        <w:tc>
          <w:tcPr>
            <w:tcW w:w="0" w:type="auto"/>
            <w:tcMar>
              <w:top w:w="15" w:type="dxa"/>
              <w:left w:w="15" w:type="dxa"/>
              <w:bottom w:w="15" w:type="dxa"/>
              <w:right w:w="15" w:type="dxa"/>
            </w:tcMar>
            <w:vAlign w:val="center"/>
            <w:hideMark/>
          </w:tcPr>
          <w:p w14:paraId="039A9F78"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 filters, kernel (3,3), ReLU</w:t>
            </w:r>
          </w:p>
        </w:tc>
        <w:tc>
          <w:tcPr>
            <w:tcW w:w="0" w:type="auto"/>
            <w:tcMar>
              <w:top w:w="15" w:type="dxa"/>
              <w:left w:w="15" w:type="dxa"/>
              <w:bottom w:w="15" w:type="dxa"/>
              <w:right w:w="15" w:type="dxa"/>
            </w:tcMar>
            <w:vAlign w:val="center"/>
            <w:hideMark/>
          </w:tcPr>
          <w:p w14:paraId="5DE47E35"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8, 8, 64)</w:t>
            </w:r>
          </w:p>
        </w:tc>
        <w:tc>
          <w:tcPr>
            <w:tcW w:w="0" w:type="auto"/>
            <w:tcMar>
              <w:top w:w="15" w:type="dxa"/>
              <w:left w:w="15" w:type="dxa"/>
              <w:bottom w:w="15" w:type="dxa"/>
              <w:right w:w="15" w:type="dxa"/>
            </w:tcMar>
            <w:vAlign w:val="center"/>
            <w:hideMark/>
          </w:tcPr>
          <w:p w14:paraId="21CA9943"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Deeper spatiotemporal feature extraction</w:t>
            </w:r>
          </w:p>
        </w:tc>
      </w:tr>
      <w:tr w:rsidR="009D2085" w14:paraId="7E6524E7" w14:textId="77777777" w:rsidTr="009D2085">
        <w:trPr>
          <w:tblCellSpacing w:w="15" w:type="dxa"/>
        </w:trPr>
        <w:tc>
          <w:tcPr>
            <w:tcW w:w="0" w:type="auto"/>
            <w:tcMar>
              <w:top w:w="15" w:type="dxa"/>
              <w:left w:w="15" w:type="dxa"/>
              <w:bottom w:w="15" w:type="dxa"/>
              <w:right w:w="15" w:type="dxa"/>
            </w:tcMar>
            <w:vAlign w:val="center"/>
            <w:hideMark/>
          </w:tcPr>
          <w:p w14:paraId="17E246CD"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Batch Normalization</w:t>
            </w:r>
          </w:p>
        </w:tc>
        <w:tc>
          <w:tcPr>
            <w:tcW w:w="0" w:type="auto"/>
            <w:tcMar>
              <w:top w:w="15" w:type="dxa"/>
              <w:left w:w="15" w:type="dxa"/>
              <w:bottom w:w="15" w:type="dxa"/>
              <w:right w:w="15" w:type="dxa"/>
            </w:tcMar>
            <w:vAlign w:val="center"/>
            <w:hideMark/>
          </w:tcPr>
          <w:p w14:paraId="5EC2F752"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15" w:type="dxa"/>
              <w:left w:w="15" w:type="dxa"/>
              <w:bottom w:w="15" w:type="dxa"/>
              <w:right w:w="15" w:type="dxa"/>
            </w:tcMar>
            <w:vAlign w:val="center"/>
            <w:hideMark/>
          </w:tcPr>
          <w:p w14:paraId="7896DE40"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8, 8, 64)</w:t>
            </w:r>
          </w:p>
        </w:tc>
        <w:tc>
          <w:tcPr>
            <w:tcW w:w="0" w:type="auto"/>
            <w:tcMar>
              <w:top w:w="15" w:type="dxa"/>
              <w:left w:w="15" w:type="dxa"/>
              <w:bottom w:w="15" w:type="dxa"/>
              <w:right w:w="15" w:type="dxa"/>
            </w:tcMar>
            <w:vAlign w:val="center"/>
            <w:hideMark/>
          </w:tcPr>
          <w:p w14:paraId="4ED938CE"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Normalize activations</w:t>
            </w:r>
          </w:p>
        </w:tc>
      </w:tr>
      <w:tr w:rsidR="009D2085" w14:paraId="379C01E8" w14:textId="77777777" w:rsidTr="009D2085">
        <w:trPr>
          <w:tblCellSpacing w:w="15" w:type="dxa"/>
        </w:trPr>
        <w:tc>
          <w:tcPr>
            <w:tcW w:w="0" w:type="auto"/>
            <w:tcMar>
              <w:top w:w="15" w:type="dxa"/>
              <w:left w:w="15" w:type="dxa"/>
              <w:bottom w:w="15" w:type="dxa"/>
              <w:right w:w="15" w:type="dxa"/>
            </w:tcMar>
            <w:vAlign w:val="center"/>
            <w:hideMark/>
          </w:tcPr>
          <w:p w14:paraId="0945AB9B"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MaxPooling2D</w:t>
            </w:r>
          </w:p>
        </w:tc>
        <w:tc>
          <w:tcPr>
            <w:tcW w:w="0" w:type="auto"/>
            <w:tcMar>
              <w:top w:w="15" w:type="dxa"/>
              <w:left w:w="15" w:type="dxa"/>
              <w:bottom w:w="15" w:type="dxa"/>
              <w:right w:w="15" w:type="dxa"/>
            </w:tcMar>
            <w:vAlign w:val="center"/>
            <w:hideMark/>
          </w:tcPr>
          <w:p w14:paraId="50D50C2F"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Pool size (2,2)</w:t>
            </w:r>
          </w:p>
        </w:tc>
        <w:tc>
          <w:tcPr>
            <w:tcW w:w="0" w:type="auto"/>
            <w:tcMar>
              <w:top w:w="15" w:type="dxa"/>
              <w:left w:w="15" w:type="dxa"/>
              <w:bottom w:w="15" w:type="dxa"/>
              <w:right w:w="15" w:type="dxa"/>
            </w:tcMar>
            <w:vAlign w:val="center"/>
            <w:hideMark/>
          </w:tcPr>
          <w:p w14:paraId="18414DBB"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4, 4, 64)</w:t>
            </w:r>
          </w:p>
        </w:tc>
        <w:tc>
          <w:tcPr>
            <w:tcW w:w="0" w:type="auto"/>
            <w:tcMar>
              <w:top w:w="15" w:type="dxa"/>
              <w:left w:w="15" w:type="dxa"/>
              <w:bottom w:w="15" w:type="dxa"/>
              <w:right w:w="15" w:type="dxa"/>
            </w:tcMar>
            <w:vAlign w:val="center"/>
            <w:hideMark/>
          </w:tcPr>
          <w:p w14:paraId="1C4FAC91"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Reduce spatial dimensions</w:t>
            </w:r>
          </w:p>
        </w:tc>
      </w:tr>
      <w:tr w:rsidR="009D2085" w14:paraId="69580C3B" w14:textId="77777777" w:rsidTr="009D2085">
        <w:trPr>
          <w:tblCellSpacing w:w="15" w:type="dxa"/>
        </w:trPr>
        <w:tc>
          <w:tcPr>
            <w:tcW w:w="0" w:type="auto"/>
            <w:tcMar>
              <w:top w:w="15" w:type="dxa"/>
              <w:left w:w="15" w:type="dxa"/>
              <w:bottom w:w="15" w:type="dxa"/>
              <w:right w:w="15" w:type="dxa"/>
            </w:tcMar>
            <w:vAlign w:val="center"/>
            <w:hideMark/>
          </w:tcPr>
          <w:p w14:paraId="7701E2D7"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Flatten</w:t>
            </w:r>
          </w:p>
        </w:tc>
        <w:tc>
          <w:tcPr>
            <w:tcW w:w="0" w:type="auto"/>
            <w:tcMar>
              <w:top w:w="15" w:type="dxa"/>
              <w:left w:w="15" w:type="dxa"/>
              <w:bottom w:w="15" w:type="dxa"/>
              <w:right w:w="15" w:type="dxa"/>
            </w:tcMar>
            <w:vAlign w:val="center"/>
            <w:hideMark/>
          </w:tcPr>
          <w:p w14:paraId="1E684FD6"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15" w:type="dxa"/>
              <w:left w:w="15" w:type="dxa"/>
              <w:bottom w:w="15" w:type="dxa"/>
              <w:right w:w="15" w:type="dxa"/>
            </w:tcMar>
            <w:vAlign w:val="center"/>
            <w:hideMark/>
          </w:tcPr>
          <w:p w14:paraId="22CB96CA"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1024)</w:t>
            </w:r>
          </w:p>
        </w:tc>
        <w:tc>
          <w:tcPr>
            <w:tcW w:w="0" w:type="auto"/>
            <w:tcMar>
              <w:top w:w="15" w:type="dxa"/>
              <w:left w:w="15" w:type="dxa"/>
              <w:bottom w:w="15" w:type="dxa"/>
              <w:right w:w="15" w:type="dxa"/>
            </w:tcMar>
            <w:vAlign w:val="center"/>
            <w:hideMark/>
          </w:tcPr>
          <w:p w14:paraId="7764993F"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Flatten for dense layers</w:t>
            </w:r>
          </w:p>
        </w:tc>
      </w:tr>
      <w:tr w:rsidR="009D2085" w14:paraId="3A56C1FF" w14:textId="77777777" w:rsidTr="009D2085">
        <w:trPr>
          <w:tblCellSpacing w:w="15" w:type="dxa"/>
        </w:trPr>
        <w:tc>
          <w:tcPr>
            <w:tcW w:w="0" w:type="auto"/>
            <w:tcMar>
              <w:top w:w="15" w:type="dxa"/>
              <w:left w:w="15" w:type="dxa"/>
              <w:bottom w:w="15" w:type="dxa"/>
              <w:right w:w="15" w:type="dxa"/>
            </w:tcMar>
            <w:vAlign w:val="center"/>
            <w:hideMark/>
          </w:tcPr>
          <w:p w14:paraId="71DA277F"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Dropout</w:t>
            </w:r>
          </w:p>
        </w:tc>
        <w:tc>
          <w:tcPr>
            <w:tcW w:w="0" w:type="auto"/>
            <w:tcMar>
              <w:top w:w="15" w:type="dxa"/>
              <w:left w:w="15" w:type="dxa"/>
              <w:bottom w:w="15" w:type="dxa"/>
              <w:right w:w="15" w:type="dxa"/>
            </w:tcMar>
            <w:vAlign w:val="center"/>
            <w:hideMark/>
          </w:tcPr>
          <w:p w14:paraId="592A1AD6"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Rate = 0.3</w:t>
            </w:r>
          </w:p>
        </w:tc>
        <w:tc>
          <w:tcPr>
            <w:tcW w:w="0" w:type="auto"/>
            <w:tcMar>
              <w:top w:w="15" w:type="dxa"/>
              <w:left w:w="15" w:type="dxa"/>
              <w:bottom w:w="15" w:type="dxa"/>
              <w:right w:w="15" w:type="dxa"/>
            </w:tcMar>
            <w:vAlign w:val="center"/>
            <w:hideMark/>
          </w:tcPr>
          <w:p w14:paraId="3F546C91"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1024)</w:t>
            </w:r>
          </w:p>
        </w:tc>
        <w:tc>
          <w:tcPr>
            <w:tcW w:w="0" w:type="auto"/>
            <w:tcMar>
              <w:top w:w="15" w:type="dxa"/>
              <w:left w:w="15" w:type="dxa"/>
              <w:bottom w:w="15" w:type="dxa"/>
              <w:right w:w="15" w:type="dxa"/>
            </w:tcMar>
            <w:vAlign w:val="center"/>
            <w:hideMark/>
          </w:tcPr>
          <w:p w14:paraId="24D5D4F0"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Regularization</w:t>
            </w:r>
          </w:p>
        </w:tc>
      </w:tr>
      <w:tr w:rsidR="009D2085" w14:paraId="607BEE53" w14:textId="77777777" w:rsidTr="009D2085">
        <w:trPr>
          <w:tblCellSpacing w:w="15" w:type="dxa"/>
        </w:trPr>
        <w:tc>
          <w:tcPr>
            <w:tcW w:w="0" w:type="auto"/>
            <w:tcMar>
              <w:top w:w="15" w:type="dxa"/>
              <w:left w:w="15" w:type="dxa"/>
              <w:bottom w:w="15" w:type="dxa"/>
              <w:right w:w="15" w:type="dxa"/>
            </w:tcMar>
            <w:vAlign w:val="center"/>
            <w:hideMark/>
          </w:tcPr>
          <w:p w14:paraId="2D5D2011"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Dense</w:t>
            </w:r>
          </w:p>
        </w:tc>
        <w:tc>
          <w:tcPr>
            <w:tcW w:w="0" w:type="auto"/>
            <w:tcMar>
              <w:top w:w="15" w:type="dxa"/>
              <w:left w:w="15" w:type="dxa"/>
              <w:bottom w:w="15" w:type="dxa"/>
              <w:right w:w="15" w:type="dxa"/>
            </w:tcMar>
            <w:vAlign w:val="center"/>
            <w:hideMark/>
          </w:tcPr>
          <w:p w14:paraId="68A3EA24"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 units, ReLU</w:t>
            </w:r>
          </w:p>
        </w:tc>
        <w:tc>
          <w:tcPr>
            <w:tcW w:w="0" w:type="auto"/>
            <w:tcMar>
              <w:top w:w="15" w:type="dxa"/>
              <w:left w:w="15" w:type="dxa"/>
              <w:bottom w:w="15" w:type="dxa"/>
              <w:right w:w="15" w:type="dxa"/>
            </w:tcMar>
            <w:vAlign w:val="center"/>
            <w:hideMark/>
          </w:tcPr>
          <w:p w14:paraId="735A493B"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64)</w:t>
            </w:r>
          </w:p>
        </w:tc>
        <w:tc>
          <w:tcPr>
            <w:tcW w:w="0" w:type="auto"/>
            <w:tcMar>
              <w:top w:w="15" w:type="dxa"/>
              <w:left w:w="15" w:type="dxa"/>
              <w:bottom w:w="15" w:type="dxa"/>
              <w:right w:w="15" w:type="dxa"/>
            </w:tcMar>
            <w:vAlign w:val="center"/>
            <w:hideMark/>
          </w:tcPr>
          <w:p w14:paraId="69B85AB0"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Fully connected layer</w:t>
            </w:r>
          </w:p>
        </w:tc>
      </w:tr>
      <w:tr w:rsidR="009D2085" w14:paraId="1712430F" w14:textId="77777777" w:rsidTr="009D2085">
        <w:trPr>
          <w:tblCellSpacing w:w="15" w:type="dxa"/>
        </w:trPr>
        <w:tc>
          <w:tcPr>
            <w:tcW w:w="0" w:type="auto"/>
            <w:tcMar>
              <w:top w:w="15" w:type="dxa"/>
              <w:left w:w="15" w:type="dxa"/>
              <w:bottom w:w="15" w:type="dxa"/>
              <w:right w:w="15" w:type="dxa"/>
            </w:tcMar>
            <w:vAlign w:val="center"/>
            <w:hideMark/>
          </w:tcPr>
          <w:p w14:paraId="0D72BE92"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Dropout</w:t>
            </w:r>
          </w:p>
        </w:tc>
        <w:tc>
          <w:tcPr>
            <w:tcW w:w="0" w:type="auto"/>
            <w:tcMar>
              <w:top w:w="15" w:type="dxa"/>
              <w:left w:w="15" w:type="dxa"/>
              <w:bottom w:w="15" w:type="dxa"/>
              <w:right w:w="15" w:type="dxa"/>
            </w:tcMar>
            <w:vAlign w:val="center"/>
            <w:hideMark/>
          </w:tcPr>
          <w:p w14:paraId="0605A768"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Rate = 0.3</w:t>
            </w:r>
          </w:p>
        </w:tc>
        <w:tc>
          <w:tcPr>
            <w:tcW w:w="0" w:type="auto"/>
            <w:tcMar>
              <w:top w:w="15" w:type="dxa"/>
              <w:left w:w="15" w:type="dxa"/>
              <w:bottom w:w="15" w:type="dxa"/>
              <w:right w:w="15" w:type="dxa"/>
            </w:tcMar>
            <w:vAlign w:val="center"/>
            <w:hideMark/>
          </w:tcPr>
          <w:p w14:paraId="21F3F562"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64)</w:t>
            </w:r>
          </w:p>
        </w:tc>
        <w:tc>
          <w:tcPr>
            <w:tcW w:w="0" w:type="auto"/>
            <w:tcMar>
              <w:top w:w="15" w:type="dxa"/>
              <w:left w:w="15" w:type="dxa"/>
              <w:bottom w:w="15" w:type="dxa"/>
              <w:right w:w="15" w:type="dxa"/>
            </w:tcMar>
            <w:vAlign w:val="center"/>
            <w:hideMark/>
          </w:tcPr>
          <w:p w14:paraId="271977B6"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Regularization</w:t>
            </w:r>
          </w:p>
        </w:tc>
      </w:tr>
      <w:tr w:rsidR="009D2085" w14:paraId="043EB6AC" w14:textId="77777777" w:rsidTr="009D2085">
        <w:trPr>
          <w:tblCellSpacing w:w="15" w:type="dxa"/>
        </w:trPr>
        <w:tc>
          <w:tcPr>
            <w:tcW w:w="0" w:type="auto"/>
            <w:tcBorders>
              <w:top w:val="nil"/>
              <w:left w:val="nil"/>
              <w:bottom w:val="single" w:sz="4" w:space="0" w:color="auto"/>
              <w:right w:val="nil"/>
            </w:tcBorders>
            <w:tcMar>
              <w:top w:w="15" w:type="dxa"/>
              <w:left w:w="15" w:type="dxa"/>
              <w:bottom w:w="15" w:type="dxa"/>
              <w:right w:w="15" w:type="dxa"/>
            </w:tcMar>
            <w:vAlign w:val="center"/>
            <w:hideMark/>
          </w:tcPr>
          <w:p w14:paraId="32A343EF"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Dense</w:t>
            </w:r>
          </w:p>
        </w:tc>
        <w:tc>
          <w:tcPr>
            <w:tcW w:w="0" w:type="auto"/>
            <w:tcBorders>
              <w:top w:val="nil"/>
              <w:left w:val="nil"/>
              <w:bottom w:val="single" w:sz="4" w:space="0" w:color="auto"/>
              <w:right w:val="nil"/>
            </w:tcBorders>
            <w:tcMar>
              <w:top w:w="15" w:type="dxa"/>
              <w:left w:w="15" w:type="dxa"/>
              <w:bottom w:w="15" w:type="dxa"/>
              <w:right w:w="15" w:type="dxa"/>
            </w:tcMar>
            <w:vAlign w:val="center"/>
            <w:hideMark/>
          </w:tcPr>
          <w:p w14:paraId="3C71E51E"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unit, Sigmoid</w:t>
            </w:r>
          </w:p>
        </w:tc>
        <w:tc>
          <w:tcPr>
            <w:tcW w:w="0" w:type="auto"/>
            <w:tcBorders>
              <w:top w:val="nil"/>
              <w:left w:val="nil"/>
              <w:bottom w:val="single" w:sz="4" w:space="0" w:color="auto"/>
              <w:right w:val="nil"/>
            </w:tcBorders>
            <w:tcMar>
              <w:top w:w="15" w:type="dxa"/>
              <w:left w:w="15" w:type="dxa"/>
              <w:bottom w:w="15" w:type="dxa"/>
              <w:right w:w="15" w:type="dxa"/>
            </w:tcMar>
            <w:vAlign w:val="center"/>
            <w:hideMark/>
          </w:tcPr>
          <w:p w14:paraId="786F79B3"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1)</w:t>
            </w:r>
          </w:p>
        </w:tc>
        <w:tc>
          <w:tcPr>
            <w:tcW w:w="0" w:type="auto"/>
            <w:tcBorders>
              <w:top w:val="nil"/>
              <w:left w:val="nil"/>
              <w:bottom w:val="single" w:sz="4" w:space="0" w:color="auto"/>
              <w:right w:val="nil"/>
            </w:tcBorders>
            <w:tcMar>
              <w:top w:w="15" w:type="dxa"/>
              <w:left w:w="15" w:type="dxa"/>
              <w:bottom w:w="15" w:type="dxa"/>
              <w:right w:w="15" w:type="dxa"/>
            </w:tcMar>
            <w:vAlign w:val="center"/>
            <w:hideMark/>
          </w:tcPr>
          <w:p w14:paraId="679CC501"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Binary classification output</w:t>
            </w:r>
          </w:p>
        </w:tc>
      </w:tr>
    </w:tbl>
    <w:p w14:paraId="74F288E6"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Model Compilation</w:t>
      </w:r>
    </w:p>
    <w:p w14:paraId="177AC409" w14:textId="77777777" w:rsidR="009D2085" w:rsidRDefault="009D2085" w:rsidP="009D2085">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Loss Function</w:t>
      </w:r>
      <w:r>
        <w:rPr>
          <w:rFonts w:ascii="Times New Roman" w:eastAsia="Times New Roman" w:hAnsi="Times New Roman" w:cs="Times New Roman"/>
          <w:sz w:val="24"/>
          <w:szCs w:val="24"/>
        </w:rPr>
        <w:t>: Binary Cross-Entropy</w:t>
      </w:r>
    </w:p>
    <w:p w14:paraId="5BBF5713"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sz w:val="24"/>
          <w:szCs w:val="24"/>
        </w:rPr>
      </w:pPr>
      <m:oMathPara>
        <m:oMath>
          <m:r>
            <m:rPr>
              <m:scr m:val="script"/>
            </m:rPr>
            <w:rPr>
              <w:rFonts w:ascii="Cambria Math" w:eastAsia="Times New Roman" w:hAnsi="Cambria Math" w:cs="Times New Roman"/>
              <w:sz w:val="24"/>
              <w:szCs w:val="24"/>
            </w:rPr>
            <m:t>L=-</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N</m:t>
              </m:r>
            </m:den>
          </m:f>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N</m:t>
              </m:r>
            </m:sup>
            <m:e>
              <m:d>
                <m:dPr>
                  <m:begChr m:val="["/>
                  <m:endChr m:val="]"/>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i</m:t>
                      </m:r>
                    </m:sub>
                  </m:sSub>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log</m:t>
                      </m:r>
                    </m:fName>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y</m:t>
                              </m:r>
                            </m:e>
                          </m:acc>
                        </m:e>
                        <m:sub>
                          <m:r>
                            <w:rPr>
                              <w:rFonts w:ascii="Cambria Math" w:eastAsia="Times New Roman" w:hAnsi="Cambria Math" w:cs="Times New Roman"/>
                              <w:sz w:val="24"/>
                              <w:szCs w:val="24"/>
                            </w:rPr>
                            <m:t>i</m:t>
                          </m:r>
                        </m:sub>
                      </m:sSub>
                    </m:e>
                  </m:func>
                  <m:r>
                    <w:rPr>
                      <w:rFonts w:ascii="Cambria Math" w:eastAsia="Times New Roman" w:hAnsi="Cambria Math" w:cs="Times New Roman"/>
                      <w:sz w:val="24"/>
                      <w:szCs w:val="24"/>
                    </w:rPr>
                    <m:t xml:space="preserve">) +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i</m:t>
                          </m:r>
                        </m:sub>
                      </m:sSub>
                    </m:e>
                  </m:d>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log</m:t>
                      </m:r>
                    </m:fName>
                    <m:e>
                      <m:r>
                        <w:rPr>
                          <w:rFonts w:ascii="Cambria Math" w:eastAsia="Times New Roman" w:hAnsi="Cambria Math" w:cs="Times New Roman"/>
                          <w:sz w:val="24"/>
                          <w:szCs w:val="24"/>
                        </w:rPr>
                        <m:t>(1-</m:t>
                      </m:r>
                      <m:sSub>
                        <m:sSubPr>
                          <m:ctrlPr>
                            <w:rPr>
                              <w:rFonts w:ascii="Cambria Math" w:eastAsia="Times New Roman" w:hAnsi="Cambria Math" w:cs="Times New Roman"/>
                              <w:i/>
                              <w:sz w:val="24"/>
                              <w:szCs w:val="24"/>
                            </w:rPr>
                          </m:ctrlPr>
                        </m:sSubPr>
                        <m:e>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y</m:t>
                              </m:r>
                            </m:e>
                          </m:acc>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e>
                  </m:func>
                </m:e>
              </m:d>
            </m:e>
          </m:nary>
        </m:oMath>
      </m:oMathPara>
    </w:p>
    <w:p w14:paraId="567C4A85"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m:t>
        </m:r>
      </m:oMath>
      <w:r>
        <w:rPr>
          <w:rFonts w:ascii="Times New Roman" w:eastAsia="Times New Roman" w:hAnsi="Times New Roman" w:cs="Times New Roman"/>
          <w:sz w:val="24"/>
          <w:szCs w:val="24"/>
        </w:rPr>
        <w:t xml:space="preserve">is the true label and </w:t>
      </w:r>
      <m:oMath>
        <m:sSub>
          <m:sSubPr>
            <m:ctrlPr>
              <w:rPr>
                <w:rFonts w:ascii="Cambria Math" w:eastAsia="Times New Roman" w:hAnsi="Cambria Math" w:cs="Times New Roman"/>
                <w:i/>
                <w:sz w:val="24"/>
                <w:szCs w:val="24"/>
              </w:rPr>
            </m:ctrlPr>
          </m:sSubPr>
          <m:e>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y</m:t>
                </m:r>
              </m:e>
            </m:acc>
          </m:e>
          <m:sub>
            <m:r>
              <w:rPr>
                <w:rFonts w:ascii="Cambria Math" w:eastAsia="Times New Roman" w:hAnsi="Cambria Math" w:cs="Times New Roman"/>
                <w:sz w:val="24"/>
                <w:szCs w:val="24"/>
              </w:rPr>
              <m:t>i</m:t>
            </m:r>
          </m:sub>
        </m:sSub>
      </m:oMath>
      <w:r>
        <w:rPr>
          <w:rFonts w:ascii="Times New Roman" w:eastAsia="Times New Roman" w:hAnsi="Times New Roman" w:cs="Times New Roman"/>
          <w:sz w:val="24"/>
          <w:szCs w:val="24"/>
        </w:rPr>
        <w:t xml:space="preserve"> is the predicted probability.</w:t>
      </w:r>
    </w:p>
    <w:p w14:paraId="7943A941" w14:textId="77777777" w:rsidR="009D2085" w:rsidRDefault="009D2085" w:rsidP="009D2085">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Optimizer</w:t>
      </w:r>
      <w:r>
        <w:rPr>
          <w:rFonts w:ascii="Times New Roman" w:eastAsia="Times New Roman" w:hAnsi="Times New Roman" w:cs="Times New Roman"/>
          <w:sz w:val="24"/>
          <w:szCs w:val="24"/>
        </w:rPr>
        <w:t>: Adam with learning rate 0.001</w:t>
      </w:r>
    </w:p>
    <w:p w14:paraId="33C113C2" w14:textId="77777777" w:rsidR="009D2085" w:rsidRDefault="009D2085" w:rsidP="009D2085">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Metrics</w:t>
      </w:r>
      <w:r>
        <w:rPr>
          <w:rFonts w:ascii="Times New Roman" w:eastAsia="Times New Roman" w:hAnsi="Times New Roman" w:cs="Times New Roman"/>
          <w:sz w:val="24"/>
          <w:szCs w:val="24"/>
        </w:rPr>
        <w:t>: Accuracy</w:t>
      </w:r>
    </w:p>
    <w:p w14:paraId="111FB7BF"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Handling Class Imbalance</w:t>
      </w:r>
    </w:p>
    <w:p w14:paraId="08D8CBB1"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dataset exhibits class imbalance (benign vs attack). To mitigate bias:</w:t>
      </w:r>
    </w:p>
    <w:p w14:paraId="000B0CB6" w14:textId="77777777" w:rsidR="009D2085" w:rsidRDefault="009D2085" w:rsidP="009D2085">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 weights were computed using:</w:t>
      </w:r>
    </w:p>
    <w:p w14:paraId="42F35990" w14:textId="77777777" w:rsidR="009D2085" w:rsidRDefault="00970CFF" w:rsidP="009D2085">
      <w:pPr>
        <w:spacing w:before="100" w:beforeAutospacing="1" w:after="100" w:afterAutospacing="1" w:line="360" w:lineRule="auto"/>
        <w:ind w:left="720"/>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m:rPr>
                  <m:scr m:val="script"/>
                </m:rPr>
                <w:rPr>
                  <w:rFonts w:ascii="Cambria Math" w:eastAsia="Times New Roman" w:hAnsi="Cambria Math" w:cs="Times New Roman"/>
                  <w:sz w:val="24"/>
                  <w:szCs w:val="24"/>
                </w:rPr>
                <m:t>w</m:t>
              </m:r>
            </m:e>
            <m:sub>
              <m:r>
                <m:rPr>
                  <m:scr m:val="script"/>
                </m:rPr>
                <w:rPr>
                  <w:rFonts w:ascii="Cambria Math" w:eastAsia="Times New Roman" w:hAnsi="Cambria Math" w:cs="Times New Roman"/>
                  <w:sz w:val="24"/>
                  <w:szCs w:val="24"/>
                </w:rPr>
                <m:t>c</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m:rPr>
                  <m:sty m:val="bi"/>
                </m:rPr>
                <w:rPr>
                  <w:rFonts w:ascii="Cambria Math" w:eastAsia="Times New Roman" w:hAnsi="Cambria Math" w:cs="Times New Roman"/>
                  <w:sz w:val="24"/>
                  <w:szCs w:val="24"/>
                </w:rPr>
                <m:t>N</m:t>
              </m:r>
            </m:num>
            <m:den>
              <m:r>
                <m:rPr>
                  <m:sty m:val="bi"/>
                </m:rPr>
                <w:rPr>
                  <w:rFonts w:ascii="Cambria Math" w:eastAsia="Times New Roman" w:hAnsi="Cambria Math" w:cs="Times New Roman"/>
                  <w:sz w:val="24"/>
                  <w:szCs w:val="24"/>
                </w:rPr>
                <m:t>k</m:t>
              </m:r>
              <m:r>
                <m:rPr>
                  <m:sty m:val="bi"/>
                </m:rPr>
                <w:rPr>
                  <w:rFonts w:ascii="Cambria Math" w:eastAsia="Times New Roman" w:hAnsi="Cambria Math" w:cs="Times New Roman"/>
                  <w:sz w:val="24"/>
                  <w:szCs w:val="24"/>
                </w:rPr>
                <m:t>×</m:t>
              </m:r>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N</m:t>
                  </m:r>
                </m:e>
                <m:sub>
                  <m:r>
                    <m:rPr>
                      <m:sty m:val="bi"/>
                    </m:rPr>
                    <w:rPr>
                      <w:rFonts w:ascii="Cambria Math" w:eastAsia="Times New Roman" w:hAnsi="Cambria Math" w:cs="Times New Roman"/>
                      <w:sz w:val="24"/>
                      <w:szCs w:val="24"/>
                    </w:rPr>
                    <m:t>c</m:t>
                  </m:r>
                </m:sub>
              </m:sSub>
            </m:den>
          </m:f>
        </m:oMath>
      </m:oMathPara>
    </w:p>
    <w:p w14:paraId="0CBFD30B"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r>
          <m:rPr>
            <m:sty m:val="bi"/>
          </m:rPr>
          <w:rPr>
            <w:rFonts w:ascii="Cambria Math" w:eastAsia="Times New Roman" w:hAnsi="Cambria Math" w:cs="Times New Roman"/>
            <w:sz w:val="24"/>
            <w:szCs w:val="24"/>
          </w:rPr>
          <m:t>N</m:t>
        </m:r>
      </m:oMath>
      <w:r>
        <w:rPr>
          <w:rFonts w:ascii="Times New Roman" w:eastAsia="Times New Roman" w:hAnsi="Times New Roman" w:cs="Times New Roman"/>
          <w:sz w:val="24"/>
          <w:szCs w:val="24"/>
        </w:rPr>
        <w:t xml:space="preserve"> is total samples, </w:t>
      </w:r>
      <m:oMath>
        <m:r>
          <m:rPr>
            <m:sty m:val="bi"/>
          </m:rPr>
          <w:rPr>
            <w:rFonts w:ascii="Cambria Math" w:eastAsia="Times New Roman" w:hAnsi="Cambria Math" w:cs="Times New Roman"/>
            <w:sz w:val="24"/>
            <w:szCs w:val="24"/>
          </w:rPr>
          <m:t>k</m:t>
        </m:r>
      </m:oMath>
      <w:r>
        <w:rPr>
          <w:rFonts w:ascii="Times New Roman" w:eastAsia="Times New Roman" w:hAnsi="Times New Roman" w:cs="Times New Roman"/>
          <w:sz w:val="24"/>
          <w:szCs w:val="24"/>
        </w:rPr>
        <w:t xml:space="preserve">  is number of classes, and </w:t>
      </w:r>
      <m:oMath>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N</m:t>
            </m:r>
          </m:e>
          <m:sub>
            <m:r>
              <m:rPr>
                <m:sty m:val="bi"/>
              </m:rPr>
              <w:rPr>
                <w:rFonts w:ascii="Cambria Math" w:eastAsia="Times New Roman" w:hAnsi="Cambria Math" w:cs="Times New Roman"/>
                <w:sz w:val="24"/>
                <w:szCs w:val="24"/>
              </w:rPr>
              <m:t>c</m:t>
            </m:r>
          </m:sub>
        </m:sSub>
        <m:r>
          <m:rPr>
            <m:sty m:val="bi"/>
          </m:rPr>
          <w:rPr>
            <w:rFonts w:ascii="Cambria Math" w:eastAsia="Times New Roman" w:hAnsi="Cambria Math" w:cs="Times New Roman"/>
            <w:sz w:val="24"/>
            <w:szCs w:val="24"/>
          </w:rPr>
          <m:t xml:space="preserve"> </m:t>
        </m:r>
      </m:oMath>
      <w:r>
        <w:rPr>
          <w:rFonts w:ascii="Times New Roman" w:eastAsia="Times New Roman" w:hAnsi="Times New Roman" w:cs="Times New Roman"/>
          <w:sz w:val="24"/>
          <w:szCs w:val="24"/>
        </w:rPr>
        <w:t xml:space="preserve">is samples in class </w:t>
      </w:r>
      <m:oMath>
        <m:r>
          <m:rPr>
            <m:sty m:val="bi"/>
          </m:rPr>
          <w:rPr>
            <w:rFonts w:ascii="Cambria Math" w:eastAsia="Times New Roman" w:hAnsi="Cambria Math" w:cs="Times New Roman"/>
            <w:sz w:val="24"/>
            <w:szCs w:val="24"/>
          </w:rPr>
          <m:t>c</m:t>
        </m:r>
      </m:oMath>
      <w:r>
        <w:rPr>
          <w:rFonts w:ascii="Times New Roman" w:eastAsia="Times New Roman" w:hAnsi="Times New Roman" w:cs="Times New Roman"/>
          <w:sz w:val="24"/>
          <w:szCs w:val="24"/>
        </w:rPr>
        <w:t>.</w:t>
      </w:r>
    </w:p>
    <w:p w14:paraId="360FF310" w14:textId="77777777" w:rsidR="009D2085" w:rsidRDefault="009D2085" w:rsidP="009D2085">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Weights applied during training to penalize misclassification of minority class more heavily.</w:t>
      </w:r>
    </w:p>
    <w:p w14:paraId="1CEC6AC8" w14:textId="77777777" w:rsidR="00C646DD" w:rsidRDefault="00C646DD" w:rsidP="00C646DD">
      <w:pPr>
        <w:spacing w:before="100" w:beforeAutospacing="1" w:after="100" w:afterAutospacing="1" w:line="360" w:lineRule="auto"/>
        <w:jc w:val="both"/>
        <w:rPr>
          <w:rFonts w:ascii="Times New Roman" w:eastAsia="Times New Roman" w:hAnsi="Times New Roman" w:cs="Times New Roman"/>
          <w:sz w:val="24"/>
          <w:szCs w:val="24"/>
        </w:rPr>
      </w:pPr>
    </w:p>
    <w:p w14:paraId="34C93673" w14:textId="77777777" w:rsidR="00C646DD" w:rsidRDefault="00C646DD" w:rsidP="00C646DD">
      <w:pPr>
        <w:spacing w:before="100" w:beforeAutospacing="1" w:after="100" w:afterAutospacing="1" w:line="360" w:lineRule="auto"/>
        <w:jc w:val="both"/>
        <w:rPr>
          <w:rFonts w:ascii="Times New Roman" w:eastAsia="Times New Roman" w:hAnsi="Times New Roman" w:cs="Times New Roman"/>
          <w:sz w:val="24"/>
          <w:szCs w:val="24"/>
        </w:rPr>
      </w:pPr>
    </w:p>
    <w:p w14:paraId="263AB1AC"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Model Training and Evaluation</w:t>
      </w:r>
    </w:p>
    <w:p w14:paraId="34BEC96F"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Splitting</w:t>
      </w:r>
    </w:p>
    <w:p w14:paraId="164278C6"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dataset was split into training (80%) and testing (20%) sets using stratified sampling to preserve class distributions.</w:t>
      </w:r>
    </w:p>
    <w:p w14:paraId="0F20086B"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Training Procedure</w:t>
      </w:r>
    </w:p>
    <w:p w14:paraId="5AEFA518" w14:textId="77777777" w:rsidR="009D2085" w:rsidRDefault="009D2085" w:rsidP="009D2085">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Batch size: 32</w:t>
      </w:r>
    </w:p>
    <w:p w14:paraId="369D7AB6" w14:textId="77777777" w:rsidR="009D2085" w:rsidRDefault="009D2085" w:rsidP="009D2085">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Epochs: 10</w:t>
      </w:r>
    </w:p>
    <w:p w14:paraId="52796EA9" w14:textId="77777777" w:rsidR="009D2085" w:rsidRDefault="009D2085" w:rsidP="009D2085">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Early stopping based on validation loss was considered to prevent overfitting.</w:t>
      </w:r>
    </w:p>
    <w:p w14:paraId="17971B5E"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Performance Metrics</w:t>
      </w:r>
    </w:p>
    <w:p w14:paraId="1B01B40D"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metrics were used to evaluate the model comprehensively:</w:t>
      </w:r>
    </w:p>
    <w:p w14:paraId="2B651477" w14:textId="77777777" w:rsidR="009D2085" w:rsidRDefault="009D2085" w:rsidP="009D2085">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Accuracy (ACC):</w:t>
      </w:r>
    </w:p>
    <w:p w14:paraId="5FCEE67B"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sz w:val="24"/>
          <w:szCs w:val="24"/>
        </w:rPr>
      </w:pPr>
      <m:oMathPara>
        <m:oMath>
          <m:r>
            <m:rPr>
              <m:sty m:val="bi"/>
            </m:rPr>
            <w:rPr>
              <w:rFonts w:ascii="Cambria Math" w:eastAsia="Times New Roman" w:hAnsi="Cambria Math" w:cs="Times New Roman"/>
              <w:sz w:val="24"/>
              <w:szCs w:val="24"/>
            </w:rPr>
            <m:t>ACC</m:t>
          </m:r>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TP+TN</m:t>
              </m:r>
            </m:num>
            <m:den>
              <m:r>
                <w:rPr>
                  <w:rFonts w:ascii="Cambria Math" w:eastAsia="Times New Roman" w:hAnsi="Cambria Math" w:cs="Times New Roman"/>
                  <w:sz w:val="24"/>
                  <w:szCs w:val="24"/>
                </w:rPr>
                <m:t>TP+TN+FP+FN</m:t>
              </m:r>
            </m:den>
          </m:f>
        </m:oMath>
      </m:oMathPara>
    </w:p>
    <w:p w14:paraId="1F6CE0F1" w14:textId="77777777" w:rsidR="009D2085" w:rsidRDefault="009D2085" w:rsidP="009D2085">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Precision:</w:t>
      </w:r>
    </w:p>
    <w:p w14:paraId="2EFE3260" w14:textId="77777777" w:rsidR="009D2085" w:rsidRDefault="009D2085" w:rsidP="009D2085">
      <w:pPr>
        <w:pStyle w:val="ListParagraph"/>
        <w:spacing w:before="100" w:beforeAutospacing="1" w:after="100" w:afterAutospacing="1" w:line="360" w:lineRule="auto"/>
        <w:jc w:val="both"/>
        <w:rPr>
          <w:rFonts w:ascii="Times New Roman" w:eastAsia="Times New Roman" w:hAnsi="Times New Roman" w:cs="Times New Roman"/>
          <w:sz w:val="24"/>
          <w:szCs w:val="24"/>
        </w:rPr>
      </w:pPr>
      <m:oMathPara>
        <m:oMath>
          <m:r>
            <m:rPr>
              <m:sty m:val="bi"/>
            </m:rPr>
            <w:rPr>
              <w:rFonts w:ascii="Cambria Math" w:eastAsia="Times New Roman" w:hAnsi="Cambria Math" w:cs="Times New Roman"/>
              <w:sz w:val="24"/>
              <w:szCs w:val="24"/>
            </w:rPr>
            <m:t>Precision</m:t>
          </m:r>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TP</m:t>
              </m:r>
            </m:num>
            <m:den>
              <m:r>
                <w:rPr>
                  <w:rFonts w:ascii="Cambria Math" w:eastAsia="Times New Roman" w:hAnsi="Cambria Math" w:cs="Times New Roman"/>
                  <w:sz w:val="24"/>
                  <w:szCs w:val="24"/>
                </w:rPr>
                <m:t>TP+FP</m:t>
              </m:r>
            </m:den>
          </m:f>
        </m:oMath>
      </m:oMathPara>
    </w:p>
    <w:p w14:paraId="68DF68E3" w14:textId="77777777" w:rsidR="009D2085" w:rsidRDefault="009D2085" w:rsidP="009D2085">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Recall (Sensitivity):</w:t>
      </w:r>
    </w:p>
    <w:p w14:paraId="5DC7A866" w14:textId="77777777" w:rsidR="009D2085" w:rsidRDefault="009D2085" w:rsidP="009D2085">
      <w:pPr>
        <w:pStyle w:val="ListParagraph"/>
        <w:spacing w:before="100" w:beforeAutospacing="1" w:after="100" w:afterAutospacing="1" w:line="360" w:lineRule="auto"/>
        <w:jc w:val="both"/>
        <w:rPr>
          <w:rFonts w:ascii="Times New Roman" w:eastAsia="Times New Roman" w:hAnsi="Times New Roman" w:cs="Times New Roman"/>
          <w:sz w:val="24"/>
          <w:szCs w:val="24"/>
        </w:rPr>
      </w:pPr>
      <m:oMathPara>
        <m:oMath>
          <m:r>
            <m:rPr>
              <m:sty m:val="bi"/>
            </m:rPr>
            <w:rPr>
              <w:rFonts w:ascii="Cambria Math" w:eastAsia="Times New Roman" w:hAnsi="Cambria Math" w:cs="Times New Roman"/>
              <w:sz w:val="24"/>
              <w:szCs w:val="24"/>
            </w:rPr>
            <m:t>Recall</m:t>
          </m:r>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TP</m:t>
              </m:r>
            </m:num>
            <m:den>
              <m:r>
                <w:rPr>
                  <w:rFonts w:ascii="Cambria Math" w:eastAsia="Times New Roman" w:hAnsi="Cambria Math" w:cs="Times New Roman"/>
                  <w:sz w:val="24"/>
                  <w:szCs w:val="24"/>
                </w:rPr>
                <m:t>TP+FN</m:t>
              </m:r>
            </m:den>
          </m:f>
        </m:oMath>
      </m:oMathPara>
    </w:p>
    <w:p w14:paraId="4F944C63" w14:textId="77777777" w:rsidR="009D2085" w:rsidRDefault="009D2085" w:rsidP="009D2085">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F1-Score:</w:t>
      </w:r>
    </w:p>
    <w:p w14:paraId="07434B0F"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b/>
          <w:sz w:val="24"/>
          <w:szCs w:val="24"/>
        </w:rPr>
      </w:pPr>
      <m:oMathPara>
        <m:oMath>
          <m:r>
            <m:rPr>
              <m:sty m:val="bi"/>
            </m:rPr>
            <w:rPr>
              <w:rFonts w:ascii="Cambria Math" w:eastAsia="Times New Roman" w:hAnsi="Cambria Math" w:cs="Times New Roman"/>
              <w:sz w:val="24"/>
              <w:szCs w:val="24"/>
            </w:rPr>
            <m:t>F</m:t>
          </m:r>
          <m:r>
            <m:rPr>
              <m:sty m:val="bi"/>
            </m:rPr>
            <w:rPr>
              <w:rFonts w:ascii="Cambria Math" w:eastAsia="Times New Roman" w:hAnsi="Cambria Math" w:cs="Times New Roman"/>
              <w:sz w:val="24"/>
              <w:szCs w:val="24"/>
            </w:rPr>
            <m:t>1=</m:t>
          </m:r>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Precision×Recall</m:t>
              </m:r>
            </m:num>
            <m:den>
              <m:r>
                <w:rPr>
                  <w:rFonts w:ascii="Cambria Math" w:eastAsia="Times New Roman" w:hAnsi="Cambria Math" w:cs="Times New Roman"/>
                  <w:sz w:val="24"/>
                  <w:szCs w:val="24"/>
                </w:rPr>
                <m:t>Precision+recall</m:t>
              </m:r>
            </m:den>
          </m:f>
        </m:oMath>
      </m:oMathPara>
    </w:p>
    <w:p w14:paraId="3BA330CD" w14:textId="77777777" w:rsidR="009D2085" w:rsidRDefault="009D2085" w:rsidP="009D2085">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Matthews Correlation Coefficient (MCC):</w:t>
      </w:r>
    </w:p>
    <w:p w14:paraId="7E9404B5"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b/>
          <w:sz w:val="24"/>
          <w:szCs w:val="24"/>
        </w:rPr>
      </w:pPr>
      <m:oMathPara>
        <m:oMath>
          <m:r>
            <m:rPr>
              <m:sty m:val="bi"/>
            </m:rPr>
            <w:rPr>
              <w:rFonts w:ascii="Cambria Math" w:eastAsia="Times New Roman" w:hAnsi="Cambria Math" w:cs="Times New Roman"/>
              <w:sz w:val="24"/>
              <w:szCs w:val="24"/>
            </w:rPr>
            <m:t>MCC=</m:t>
          </m:r>
          <m:f>
            <m:fPr>
              <m:ctrlPr>
                <w:rPr>
                  <w:rFonts w:ascii="Cambria Math" w:eastAsia="Times New Roman" w:hAnsi="Cambria Math" w:cs="Times New Roman"/>
                  <w:b/>
                  <w:i/>
                  <w:sz w:val="24"/>
                  <w:szCs w:val="24"/>
                </w:rPr>
              </m:ctrlPr>
            </m:fPr>
            <m:num>
              <m:r>
                <w:rPr>
                  <w:rFonts w:ascii="Cambria Math" w:eastAsia="Times New Roman" w:hAnsi="Cambria Math" w:cs="Times New Roman"/>
                  <w:sz w:val="24"/>
                  <w:szCs w:val="24"/>
                </w:rPr>
                <m:t>TP×TN-FP×FN</m:t>
              </m:r>
            </m:num>
            <m:den>
              <m:rad>
                <m:radPr>
                  <m:degHide m:val="1"/>
                  <m:ctrlPr>
                    <w:rPr>
                      <w:rFonts w:ascii="Cambria Math" w:eastAsia="Times New Roman" w:hAnsi="Cambria Math" w:cs="Times New Roman"/>
                      <w:b/>
                      <w:i/>
                      <w:sz w:val="24"/>
                      <w:szCs w:val="24"/>
                    </w:rPr>
                  </m:ctrlPr>
                </m:radPr>
                <m:deg/>
                <m:e>
                  <m:r>
                    <m:rPr>
                      <m:sty m:val="bi"/>
                    </m:rPr>
                    <w:rPr>
                      <w:rFonts w:ascii="Cambria Math" w:eastAsia="Times New Roman" w:hAnsi="Cambria Math" w:cs="Times New Roman"/>
                      <w:sz w:val="24"/>
                      <w:szCs w:val="24"/>
                    </w:rPr>
                    <m:t>(</m:t>
                  </m:r>
                  <m:r>
                    <w:rPr>
                      <w:rFonts w:ascii="Cambria Math" w:eastAsia="Times New Roman" w:hAnsi="Cambria Math" w:cs="Times New Roman"/>
                      <w:sz w:val="24"/>
                      <w:szCs w:val="24"/>
                    </w:rPr>
                    <m:t>TP+FP</m:t>
                  </m:r>
                  <m:r>
                    <m:rPr>
                      <m:sty m:val="bi"/>
                    </m:rPr>
                    <w:rPr>
                      <w:rFonts w:ascii="Cambria Math" w:eastAsia="Times New Roman" w:hAnsi="Cambria Math" w:cs="Times New Roman"/>
                      <w:sz w:val="24"/>
                      <w:szCs w:val="24"/>
                    </w:rPr>
                    <m:t>)(</m:t>
                  </m:r>
                  <m:r>
                    <w:rPr>
                      <w:rFonts w:ascii="Cambria Math" w:eastAsia="Times New Roman" w:hAnsi="Cambria Math" w:cs="Times New Roman"/>
                      <w:sz w:val="24"/>
                      <w:szCs w:val="24"/>
                    </w:rPr>
                    <m:t>TP+FN</m:t>
                  </m:r>
                  <m:r>
                    <m:rPr>
                      <m:sty m:val="bi"/>
                    </m:rPr>
                    <w:rPr>
                      <w:rFonts w:ascii="Cambria Math" w:eastAsia="Times New Roman" w:hAnsi="Cambria Math" w:cs="Times New Roman"/>
                      <w:sz w:val="24"/>
                      <w:szCs w:val="24"/>
                    </w:rPr>
                    <m:t>)(</m:t>
                  </m:r>
                  <m:r>
                    <w:rPr>
                      <w:rFonts w:ascii="Cambria Math" w:eastAsia="Times New Roman" w:hAnsi="Cambria Math" w:cs="Times New Roman"/>
                      <w:sz w:val="24"/>
                      <w:szCs w:val="24"/>
                    </w:rPr>
                    <m:t>TN+FP</m:t>
                  </m:r>
                  <m:r>
                    <m:rPr>
                      <m:sty m:val="bi"/>
                    </m:rPr>
                    <w:rPr>
                      <w:rFonts w:ascii="Cambria Math" w:eastAsia="Times New Roman" w:hAnsi="Cambria Math" w:cs="Times New Roman"/>
                      <w:sz w:val="24"/>
                      <w:szCs w:val="24"/>
                    </w:rPr>
                    <m:t>)(</m:t>
                  </m:r>
                  <m:r>
                    <w:rPr>
                      <w:rFonts w:ascii="Cambria Math" w:eastAsia="Times New Roman" w:hAnsi="Cambria Math" w:cs="Times New Roman"/>
                      <w:sz w:val="24"/>
                      <w:szCs w:val="24"/>
                    </w:rPr>
                    <m:t>TN+FN</m:t>
                  </m:r>
                  <m:r>
                    <m:rPr>
                      <m:sty m:val="bi"/>
                    </m:rPr>
                    <w:rPr>
                      <w:rFonts w:ascii="Cambria Math" w:eastAsia="Times New Roman" w:hAnsi="Cambria Math" w:cs="Times New Roman"/>
                      <w:sz w:val="24"/>
                      <w:szCs w:val="24"/>
                    </w:rPr>
                    <m:t>)</m:t>
                  </m:r>
                </m:e>
              </m:rad>
            </m:den>
          </m:f>
        </m:oMath>
      </m:oMathPara>
    </w:p>
    <w:p w14:paraId="0F858499" w14:textId="77777777" w:rsidR="009D2085" w:rsidRDefault="009D2085" w:rsidP="009D2085">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Receiver Operating Characteristic (ROC) Curve and Area Under Curve (AUC):</w:t>
      </w:r>
      <w:r>
        <w:rPr>
          <w:rFonts w:ascii="Times New Roman" w:eastAsia="Times New Roman" w:hAnsi="Times New Roman" w:cs="Times New Roman"/>
          <w:sz w:val="24"/>
          <w:szCs w:val="24"/>
        </w:rPr>
        <w:t xml:space="preserve"> Evaluates trade-off between true positive rate and false positive rate.</w:t>
      </w:r>
    </w:p>
    <w:p w14:paraId="103CAA57" w14:textId="77777777" w:rsidR="009D2085" w:rsidRDefault="009D2085" w:rsidP="009D2085">
      <w:pPr>
        <w:pStyle w:val="ListParagraph"/>
        <w:numPr>
          <w:ilvl w:val="0"/>
          <w:numId w:val="2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True Positive Rate (TPR), also called sensitivity or recall, is defined as:</w:t>
      </w:r>
    </w:p>
    <w:p w14:paraId="025F8D66"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sz w:val="24"/>
          <w:szCs w:val="24"/>
        </w:rPr>
      </w:pPr>
      <m:oMathPara>
        <m:oMath>
          <m:r>
            <m:rPr>
              <m:sty m:val="bi"/>
            </m:rPr>
            <w:rPr>
              <w:rFonts w:ascii="Cambria Math" w:eastAsia="Times New Roman" w:hAnsi="Cambria Math" w:cs="Times New Roman"/>
              <w:sz w:val="24"/>
              <w:szCs w:val="24"/>
            </w:rPr>
            <m:t>TPR</m:t>
          </m:r>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TP</m:t>
              </m:r>
            </m:num>
            <m:den>
              <m:r>
                <w:rPr>
                  <w:rFonts w:ascii="Cambria Math" w:eastAsia="Times New Roman" w:hAnsi="Cambria Math" w:cs="Times New Roman"/>
                  <w:sz w:val="24"/>
                  <w:szCs w:val="24"/>
                </w:rPr>
                <m:t>TP+FN</m:t>
              </m:r>
            </m:den>
          </m:f>
        </m:oMath>
      </m:oMathPara>
    </w:p>
    <w:p w14:paraId="26C0219A"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33D5D67B" w14:textId="77777777" w:rsidR="009D2085" w:rsidRDefault="009D2085" w:rsidP="009D2085">
      <w:pPr>
        <w:pStyle w:val="ListParagraph"/>
        <w:numPr>
          <w:ilvl w:val="1"/>
          <w:numId w:val="20"/>
        </w:numPr>
        <w:spacing w:before="100" w:beforeAutospacing="1" w:after="100" w:afterAutospacing="1"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TP = number of true positives (correctly predicted positive cases)</w:t>
      </w:r>
    </w:p>
    <w:p w14:paraId="2D920CBE" w14:textId="77777777" w:rsidR="009D2085" w:rsidRDefault="009D2085" w:rsidP="009D2085">
      <w:pPr>
        <w:pStyle w:val="ListParagraph"/>
        <w:numPr>
          <w:ilvl w:val="1"/>
          <w:numId w:val="20"/>
        </w:numPr>
        <w:spacing w:before="100" w:beforeAutospacing="1" w:after="100" w:afterAutospacing="1"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FN = number of false negatives (positive cases incorrectly predicted as</w:t>
      </w:r>
      <w:r>
        <w:rPr>
          <w:rFonts w:ascii="Times New Roman" w:eastAsia="Times New Roman" w:hAnsi="Times New Roman" w:cs="Times New Roman"/>
          <w:bCs/>
          <w:sz w:val="24"/>
          <w:szCs w:val="24"/>
        </w:rPr>
        <w:tab/>
        <w:t xml:space="preserve"> </w:t>
      </w:r>
      <w:r>
        <w:rPr>
          <w:rFonts w:ascii="Times New Roman" w:eastAsia="Times New Roman" w:hAnsi="Times New Roman" w:cs="Times New Roman"/>
          <w:bCs/>
          <w:sz w:val="24"/>
          <w:szCs w:val="24"/>
        </w:rPr>
        <w:tab/>
        <w:t>negative)</w:t>
      </w:r>
    </w:p>
    <w:p w14:paraId="56FFA99E" w14:textId="77777777" w:rsidR="009D2085" w:rsidRDefault="009D2085" w:rsidP="009D2085">
      <w:pPr>
        <w:pStyle w:val="ListParagraph"/>
        <w:numPr>
          <w:ilvl w:val="0"/>
          <w:numId w:val="22"/>
        </w:numPr>
        <w:spacing w:before="100" w:beforeAutospacing="1" w:after="100" w:afterAutospacing="1"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False Positive Rate (FPR) is defined as:</w:t>
      </w:r>
    </w:p>
    <w:p w14:paraId="291AEF03"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sz w:val="24"/>
          <w:szCs w:val="24"/>
        </w:rPr>
      </w:pPr>
      <m:oMathPara>
        <m:oMath>
          <m:r>
            <m:rPr>
              <m:sty m:val="bi"/>
            </m:rPr>
            <w:rPr>
              <w:rFonts w:ascii="Cambria Math" w:eastAsia="Times New Roman" w:hAnsi="Cambria Math" w:cs="Times New Roman"/>
              <w:sz w:val="24"/>
              <w:szCs w:val="24"/>
            </w:rPr>
            <m:t>FPR</m:t>
          </m:r>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FP</m:t>
              </m:r>
            </m:num>
            <m:den>
              <m:r>
                <w:rPr>
                  <w:rFonts w:ascii="Cambria Math" w:eastAsia="Times New Roman" w:hAnsi="Cambria Math" w:cs="Times New Roman"/>
                  <w:sz w:val="24"/>
                  <w:szCs w:val="24"/>
                </w:rPr>
                <m:t>FP+TN</m:t>
              </m:r>
            </m:den>
          </m:f>
        </m:oMath>
      </m:oMathPara>
    </w:p>
    <w:p w14:paraId="09500D0D"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Where:</w:t>
      </w:r>
    </w:p>
    <w:p w14:paraId="5F115FB9" w14:textId="77777777" w:rsidR="009D2085" w:rsidRDefault="009D2085" w:rsidP="009D2085">
      <w:pPr>
        <w:pStyle w:val="ListParagraph"/>
        <w:numPr>
          <w:ilvl w:val="1"/>
          <w:numId w:val="20"/>
        </w:numPr>
        <w:spacing w:before="100" w:beforeAutospacing="1" w:after="100" w:afterAutospacing="1"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FP = number of false positives (negative cases incorrectly predicted as positive)</w:t>
      </w:r>
    </w:p>
    <w:p w14:paraId="3892184B" w14:textId="77777777" w:rsidR="009D2085" w:rsidRDefault="009D2085" w:rsidP="009D2085">
      <w:pPr>
        <w:pStyle w:val="ListParagraph"/>
        <w:numPr>
          <w:ilvl w:val="1"/>
          <w:numId w:val="20"/>
        </w:numPr>
        <w:spacing w:before="100" w:beforeAutospacing="1" w:after="100" w:afterAutospacing="1"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TN = number of true negatives (correctly predicted negative cases)</w:t>
      </w:r>
    </w:p>
    <w:p w14:paraId="57BAD826"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ROC curve is generated by plotting TPR (y-axis) versus FPR (x-axis) for different classification thresholds. Each point on the curve corresponds to a specific threshold.</w:t>
      </w:r>
    </w:p>
    <w:p w14:paraId="36032104"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Area Under the ROC Curve (AUC) quantifies the overall ability of the model to discriminate between positive and negative classes across all thresholds. It is computed as the integral of the ROC curve:</w:t>
      </w:r>
    </w:p>
    <w:p w14:paraId="31166FEB"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b/>
          <w:bCs/>
          <w:sz w:val="24"/>
          <w:szCs w:val="24"/>
        </w:rPr>
      </w:pPr>
      <m:oMathPara>
        <m:oMath>
          <m:r>
            <m:rPr>
              <m:sty m:val="bi"/>
            </m:rPr>
            <w:rPr>
              <w:rFonts w:ascii="Cambria Math" w:eastAsia="Times New Roman" w:hAnsi="Cambria Math" w:cs="Times New Roman"/>
              <w:sz w:val="24"/>
              <w:szCs w:val="24"/>
            </w:rPr>
            <w:lastRenderedPageBreak/>
            <m:t>AUC=</m:t>
          </m:r>
          <m:nary>
            <m:naryPr>
              <m:limLoc m:val="subSup"/>
              <m:ctrlPr>
                <w:rPr>
                  <w:rFonts w:ascii="Cambria Math" w:eastAsia="Times New Roman" w:hAnsi="Cambria Math" w:cs="Times New Roman"/>
                  <w:b/>
                  <w:bCs/>
                  <w:i/>
                  <w:sz w:val="24"/>
                  <w:szCs w:val="24"/>
                </w:rPr>
              </m:ctrlPr>
            </m:naryPr>
            <m:sub>
              <m:r>
                <m:rPr>
                  <m:sty m:val="bi"/>
                </m:rPr>
                <w:rPr>
                  <w:rFonts w:ascii="Cambria Math" w:eastAsia="Times New Roman" w:hAnsi="Cambria Math" w:cs="Times New Roman"/>
                  <w:sz w:val="24"/>
                  <w:szCs w:val="24"/>
                </w:rPr>
                <m:t>0</m:t>
              </m:r>
            </m:sub>
            <m:sup>
              <m:r>
                <m:rPr>
                  <m:sty m:val="bi"/>
                </m:rPr>
                <w:rPr>
                  <w:rFonts w:ascii="Cambria Math" w:eastAsia="Times New Roman" w:hAnsi="Cambria Math" w:cs="Times New Roman"/>
                  <w:sz w:val="24"/>
                  <w:szCs w:val="24"/>
                </w:rPr>
                <m:t>1</m:t>
              </m:r>
            </m:sup>
            <m:e>
              <m:r>
                <w:rPr>
                  <w:rFonts w:ascii="Cambria Math" w:eastAsia="Times New Roman" w:hAnsi="Cambria Math" w:cs="Times New Roman"/>
                  <w:sz w:val="24"/>
                  <w:szCs w:val="24"/>
                </w:rPr>
                <m:t>TPR</m:t>
              </m:r>
              <m:d>
                <m:dPr>
                  <m:ctrlPr>
                    <w:rPr>
                      <w:rFonts w:ascii="Cambria Math" w:eastAsia="Times New Roman" w:hAnsi="Cambria Math" w:cs="Times New Roman"/>
                      <w:bCs/>
                      <w:i/>
                      <w:sz w:val="24"/>
                      <w:szCs w:val="24"/>
                    </w:rPr>
                  </m:ctrlPr>
                </m:dPr>
                <m:e>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FPR</m:t>
                      </m:r>
                    </m:e>
                    <m:sup>
                      <m:r>
                        <w:rPr>
                          <w:rFonts w:ascii="Cambria Math" w:eastAsia="Times New Roman" w:hAnsi="Cambria Math" w:cs="Times New Roman"/>
                          <w:sz w:val="24"/>
                          <w:szCs w:val="24"/>
                        </w:rPr>
                        <m:t>-1</m:t>
                      </m:r>
                    </m:sup>
                  </m:sSup>
                  <m:d>
                    <m:dPr>
                      <m:ctrlPr>
                        <w:rPr>
                          <w:rFonts w:ascii="Cambria Math" w:eastAsia="Times New Roman" w:hAnsi="Cambria Math" w:cs="Times New Roman"/>
                          <w:bCs/>
                          <w:i/>
                          <w:sz w:val="24"/>
                          <w:szCs w:val="24"/>
                        </w:rPr>
                      </m:ctrlPr>
                    </m:dPr>
                    <m:e>
                      <m:r>
                        <w:rPr>
                          <w:rFonts w:ascii="Cambria Math" w:eastAsia="Times New Roman" w:hAnsi="Cambria Math" w:cs="Times New Roman"/>
                          <w:sz w:val="24"/>
                          <w:szCs w:val="24"/>
                        </w:rPr>
                        <m:t>x</m:t>
                      </m:r>
                    </m:e>
                  </m:d>
                </m:e>
              </m:d>
              <m:r>
                <w:rPr>
                  <w:rFonts w:ascii="Cambria Math" w:eastAsia="Times New Roman" w:hAnsi="Cambria Math" w:cs="Times New Roman"/>
                  <w:sz w:val="24"/>
                  <w:szCs w:val="24"/>
                </w:rPr>
                <m:t>dx</m:t>
              </m:r>
            </m:e>
          </m:nary>
        </m:oMath>
      </m:oMathPara>
    </w:p>
    <w:p w14:paraId="44D05F91"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Numerically, AUC is often calculated using the trapezoidal rule over discrete points of the ROC curve (Simplilearn, 2025; Google Developers, 2025).</w:t>
      </w:r>
    </w:p>
    <w:p w14:paraId="08EF0550"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Interpretation of AUC values:</w:t>
      </w:r>
    </w:p>
    <w:p w14:paraId="54AB740D" w14:textId="77777777" w:rsidR="009D2085" w:rsidRDefault="009D2085" w:rsidP="009D2085">
      <w:pPr>
        <w:pStyle w:val="ListParagraph"/>
        <w:numPr>
          <w:ilvl w:val="1"/>
          <w:numId w:val="20"/>
        </w:numPr>
        <w:spacing w:before="100" w:beforeAutospacing="1" w:after="100" w:afterAutospacing="1"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AUC = 1.0 indicates a perfect classifier.</w:t>
      </w:r>
    </w:p>
    <w:p w14:paraId="508FF415" w14:textId="77777777" w:rsidR="009D2085" w:rsidRDefault="009D2085" w:rsidP="009D2085">
      <w:pPr>
        <w:pStyle w:val="ListParagraph"/>
        <w:numPr>
          <w:ilvl w:val="1"/>
          <w:numId w:val="20"/>
        </w:numPr>
        <w:spacing w:before="100" w:beforeAutospacing="1" w:after="100" w:afterAutospacing="1"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AUC = 0.5 indicates no discriminative ability (random guessing).</w:t>
      </w:r>
    </w:p>
    <w:p w14:paraId="3D93AFE8" w14:textId="77777777" w:rsidR="009D2085" w:rsidRDefault="009D2085" w:rsidP="009D2085">
      <w:pPr>
        <w:pStyle w:val="ListParagraph"/>
        <w:numPr>
          <w:ilvl w:val="1"/>
          <w:numId w:val="20"/>
        </w:numPr>
        <w:spacing w:before="100" w:beforeAutospacing="1" w:after="100" w:afterAutospacing="1"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AUC &lt; 0.5 indicates performance worse than random (inversion of predictions).</w:t>
      </w:r>
    </w:p>
    <w:p w14:paraId="65D02ECC" w14:textId="77777777" w:rsidR="009D2085" w:rsidRDefault="009D2085" w:rsidP="009D208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The ROC curve and AUC are robust to class imbalance, making them widely used in imbalanced classification problems </w:t>
      </w:r>
      <w:r>
        <w:rPr>
          <w:rFonts w:ascii="Times New Roman" w:eastAsia="Times New Roman" w:hAnsi="Times New Roman" w:cs="Times New Roman"/>
          <w:sz w:val="24"/>
          <w:szCs w:val="24"/>
        </w:rPr>
        <w:t>(Chugh, 2024</w:t>
      </w:r>
      <w:r>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(Terra, 2022</w:t>
      </w:r>
      <w:r>
        <w:rPr>
          <w:rFonts w:ascii="Times New Roman" w:eastAsia="Times New Roman" w:hAnsi="Times New Roman" w:cs="Times New Roman"/>
          <w:bCs/>
          <w:sz w:val="24"/>
          <w:szCs w:val="24"/>
        </w:rPr>
        <w:t>).</w:t>
      </w:r>
    </w:p>
    <w:p w14:paraId="7EA027F0" w14:textId="77777777" w:rsidR="009D2085" w:rsidRDefault="009D2085" w:rsidP="009D2085">
      <w:pPr>
        <w:pStyle w:val="ListParagraph"/>
        <w:numPr>
          <w:ilvl w:val="0"/>
          <w:numId w:val="23"/>
        </w:numPr>
        <w:spacing w:before="100" w:beforeAutospacing="1" w:after="100" w:afterAutospacing="1" w:line="36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Precision-Recall Curve</w:t>
      </w:r>
    </w:p>
    <w:p w14:paraId="61292E9A"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Precision-Recall (PR) curve is another graphical tool used to evaluate binary classifiers, especially when dealing with imbalanced datasets where the positive class is rare.</w:t>
      </w:r>
    </w:p>
    <w:p w14:paraId="03EDB313" w14:textId="77777777" w:rsidR="009D2085" w:rsidRDefault="009D2085" w:rsidP="009D2085">
      <w:pPr>
        <w:pStyle w:val="ListParagraph"/>
        <w:numPr>
          <w:ilvl w:val="1"/>
          <w:numId w:val="20"/>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Precision (also called positive predictive value) is defined as:</w:t>
      </w:r>
    </w:p>
    <w:p w14:paraId="50FB8D4F" w14:textId="77777777" w:rsidR="009D2085" w:rsidRDefault="009D2085" w:rsidP="009D2085">
      <w:pPr>
        <w:pStyle w:val="ListParagraph"/>
        <w:spacing w:before="100" w:beforeAutospacing="1" w:after="100" w:afterAutospacing="1" w:line="360" w:lineRule="auto"/>
        <w:ind w:left="1440"/>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Precision=</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TP</m:t>
              </m:r>
            </m:num>
            <m:den>
              <m:r>
                <w:rPr>
                  <w:rFonts w:ascii="Cambria Math" w:eastAsia="Times New Roman" w:hAnsi="Cambria Math" w:cs="Times New Roman"/>
                  <w:sz w:val="24"/>
                  <w:szCs w:val="24"/>
                </w:rPr>
                <m:t>TP+FP</m:t>
              </m:r>
            </m:den>
          </m:f>
        </m:oMath>
      </m:oMathPara>
    </w:p>
    <w:p w14:paraId="5D68EC62" w14:textId="77777777" w:rsidR="009D2085" w:rsidRDefault="009D2085" w:rsidP="009D2085">
      <w:pPr>
        <w:pStyle w:val="ListParagraph"/>
        <w:numPr>
          <w:ilvl w:val="1"/>
          <w:numId w:val="20"/>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Recall (same as TPR) is:</w:t>
      </w:r>
    </w:p>
    <w:p w14:paraId="1D415FE5" w14:textId="77777777" w:rsidR="009D2085" w:rsidRDefault="009D2085" w:rsidP="009D2085">
      <w:pPr>
        <w:pStyle w:val="ListParagraph"/>
        <w:spacing w:before="100" w:beforeAutospacing="1" w:after="100" w:afterAutospacing="1" w:line="360" w:lineRule="auto"/>
        <w:ind w:left="1440"/>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Recall=</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TP</m:t>
              </m:r>
            </m:num>
            <m:den>
              <m:r>
                <w:rPr>
                  <w:rFonts w:ascii="Cambria Math" w:eastAsia="Times New Roman" w:hAnsi="Cambria Math" w:cs="Times New Roman"/>
                  <w:sz w:val="24"/>
                  <w:szCs w:val="24"/>
                </w:rPr>
                <m:t>TP+FN</m:t>
              </m:r>
            </m:den>
          </m:f>
        </m:oMath>
      </m:oMathPara>
    </w:p>
    <w:p w14:paraId="70088411"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 curve plots Precision (y-axis) against Recall (x-axis) at various classification thresholds.</w:t>
      </w:r>
    </w:p>
    <w:p w14:paraId="11BF8301"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Unlike ROC curves, the PR curve focuses on the positive (minority) class performance. It is particularly informative when the negative class dominates the dataset, as it highlights the trade-off between precision and recall.</w:t>
      </w:r>
    </w:p>
    <w:p w14:paraId="7B117688"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Area Under the Precision-Recall Curve (AUPRC) summarizes the model's performance across thresholds and is calculated similarly to AUC using numerical integration.</w:t>
      </w:r>
    </w:p>
    <w:p w14:paraId="67FD2FF2" w14:textId="77777777" w:rsidR="009D2085" w:rsidRDefault="009D2085" w:rsidP="009D2085">
      <w:pPr>
        <w:pStyle w:val="ListParagraph"/>
        <w:numPr>
          <w:ilvl w:val="0"/>
          <w:numId w:val="23"/>
        </w:numPr>
        <w:spacing w:before="100" w:beforeAutospacing="1" w:after="100" w:afterAutospacing="1" w:line="36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Confusion Matrix</w:t>
      </w:r>
    </w:p>
    <w:p w14:paraId="77255085"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confusion matrix is a tabular summary of classification results, showing the counts of correct and incorrect predictions broken down by each class as seen in Table 2. For binary classification, it is a 2×2 matrix:</w:t>
      </w:r>
    </w:p>
    <w:p w14:paraId="6D8EF6F3"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2</w:t>
      </w:r>
    </w:p>
    <w:p w14:paraId="20A4B334"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Summary of Classification results.</w:t>
      </w:r>
    </w:p>
    <w:tbl>
      <w:tblPr>
        <w:tblStyle w:val="TableGrid"/>
        <w:tblW w:w="9542"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3064"/>
        <w:gridCol w:w="3602"/>
      </w:tblGrid>
      <w:tr w:rsidR="009D2085" w14:paraId="1142DB87" w14:textId="77777777" w:rsidTr="00F9044A">
        <w:tc>
          <w:tcPr>
            <w:tcW w:w="2876" w:type="dxa"/>
            <w:tcBorders>
              <w:top w:val="single" w:sz="4" w:space="0" w:color="auto"/>
              <w:left w:val="nil"/>
              <w:bottom w:val="single" w:sz="4" w:space="0" w:color="auto"/>
              <w:right w:val="nil"/>
            </w:tcBorders>
          </w:tcPr>
          <w:p w14:paraId="697B8D28"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sz w:val="24"/>
                <w:szCs w:val="24"/>
              </w:rPr>
            </w:pPr>
          </w:p>
        </w:tc>
        <w:tc>
          <w:tcPr>
            <w:tcW w:w="3064" w:type="dxa"/>
            <w:tcBorders>
              <w:top w:val="single" w:sz="4" w:space="0" w:color="auto"/>
              <w:left w:val="nil"/>
              <w:bottom w:val="single" w:sz="4" w:space="0" w:color="auto"/>
              <w:right w:val="nil"/>
            </w:tcBorders>
            <w:hideMark/>
          </w:tcPr>
          <w:p w14:paraId="43E32B5F"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Predicted Positive</w:t>
            </w:r>
          </w:p>
        </w:tc>
        <w:tc>
          <w:tcPr>
            <w:tcW w:w="3602" w:type="dxa"/>
            <w:tcBorders>
              <w:top w:val="single" w:sz="4" w:space="0" w:color="auto"/>
              <w:left w:val="nil"/>
              <w:bottom w:val="single" w:sz="4" w:space="0" w:color="auto"/>
              <w:right w:val="nil"/>
            </w:tcBorders>
            <w:hideMark/>
          </w:tcPr>
          <w:p w14:paraId="7D03AE4E"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Predicted Negative</w:t>
            </w:r>
          </w:p>
        </w:tc>
      </w:tr>
      <w:tr w:rsidR="009D2085" w14:paraId="5A98601E" w14:textId="77777777" w:rsidTr="00F9044A">
        <w:tc>
          <w:tcPr>
            <w:tcW w:w="2876" w:type="dxa"/>
            <w:tcBorders>
              <w:top w:val="single" w:sz="4" w:space="0" w:color="auto"/>
              <w:left w:val="nil"/>
              <w:bottom w:val="nil"/>
              <w:right w:val="nil"/>
            </w:tcBorders>
            <w:hideMark/>
          </w:tcPr>
          <w:p w14:paraId="4CEC80D1"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Actual Positive</w:t>
            </w:r>
          </w:p>
        </w:tc>
        <w:tc>
          <w:tcPr>
            <w:tcW w:w="3064" w:type="dxa"/>
            <w:tcBorders>
              <w:top w:val="single" w:sz="4" w:space="0" w:color="auto"/>
              <w:left w:val="nil"/>
              <w:bottom w:val="nil"/>
              <w:right w:val="nil"/>
            </w:tcBorders>
            <w:hideMark/>
          </w:tcPr>
          <w:p w14:paraId="2816A34D"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True Positive (TP)</w:t>
            </w:r>
          </w:p>
        </w:tc>
        <w:tc>
          <w:tcPr>
            <w:tcW w:w="3602" w:type="dxa"/>
            <w:tcBorders>
              <w:top w:val="single" w:sz="4" w:space="0" w:color="auto"/>
              <w:left w:val="nil"/>
              <w:bottom w:val="nil"/>
              <w:right w:val="nil"/>
            </w:tcBorders>
            <w:hideMark/>
          </w:tcPr>
          <w:p w14:paraId="07837E7E"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False Negative (FN)</w:t>
            </w:r>
          </w:p>
        </w:tc>
      </w:tr>
      <w:tr w:rsidR="009D2085" w14:paraId="1A443CEF" w14:textId="77777777" w:rsidTr="00F9044A">
        <w:tc>
          <w:tcPr>
            <w:tcW w:w="2876" w:type="dxa"/>
            <w:tcBorders>
              <w:top w:val="nil"/>
              <w:left w:val="nil"/>
              <w:bottom w:val="single" w:sz="4" w:space="0" w:color="auto"/>
              <w:right w:val="nil"/>
            </w:tcBorders>
            <w:hideMark/>
          </w:tcPr>
          <w:p w14:paraId="22AC4F85"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Actual Negative</w:t>
            </w:r>
          </w:p>
        </w:tc>
        <w:tc>
          <w:tcPr>
            <w:tcW w:w="3064" w:type="dxa"/>
            <w:tcBorders>
              <w:top w:val="nil"/>
              <w:left w:val="nil"/>
              <w:bottom w:val="single" w:sz="4" w:space="0" w:color="auto"/>
              <w:right w:val="nil"/>
            </w:tcBorders>
            <w:hideMark/>
          </w:tcPr>
          <w:p w14:paraId="47735504"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False Positive (FP)</w:t>
            </w:r>
          </w:p>
        </w:tc>
        <w:tc>
          <w:tcPr>
            <w:tcW w:w="3602" w:type="dxa"/>
            <w:tcBorders>
              <w:top w:val="nil"/>
              <w:left w:val="nil"/>
              <w:bottom w:val="single" w:sz="4" w:space="0" w:color="auto"/>
              <w:right w:val="nil"/>
            </w:tcBorders>
            <w:hideMark/>
          </w:tcPr>
          <w:p w14:paraId="2E916108"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True Negative (TN)</w:t>
            </w:r>
          </w:p>
        </w:tc>
      </w:tr>
    </w:tbl>
    <w:p w14:paraId="46E26C2C"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this matrix, the key metrics TPR, FPR, precision, recall, and others are derived.</w:t>
      </w:r>
    </w:p>
    <w:p w14:paraId="775CBB88"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confusion matrix provides a straightforward way to visualize the performance of a classifier and identify types of errors.</w:t>
      </w:r>
    </w:p>
    <w:p w14:paraId="3B9351A8"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Evaluation</w:t>
      </w:r>
    </w:p>
    <w:p w14:paraId="1DB0809C"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model was evaluated on the test set, producing accuracy, loss, classification reports, confusion matrices, ROC, and precision-recall curves.</w:t>
      </w:r>
    </w:p>
    <w:p w14:paraId="1742ADB3" w14:textId="77777777" w:rsidR="009D2085" w:rsidRDefault="009D2085" w:rsidP="009D2085">
      <w:pPr>
        <w:pStyle w:val="my-0"/>
        <w:spacing w:line="360" w:lineRule="auto"/>
        <w:jc w:val="both"/>
      </w:pPr>
      <w:r>
        <w:t>Two commonly used techniques for statistical validation are the Chi-square test and Analysis of Variance (ANOVA), each serving distinct purposes depending on the nature of the data and research questions.</w:t>
      </w:r>
    </w:p>
    <w:p w14:paraId="740E7B60" w14:textId="77777777" w:rsidR="009D2085" w:rsidRDefault="009D2085" w:rsidP="009D2085">
      <w:pPr>
        <w:pStyle w:val="my-0"/>
        <w:spacing w:line="360" w:lineRule="auto"/>
        <w:jc w:val="both"/>
      </w:pPr>
      <w:r>
        <w:t xml:space="preserve">The </w:t>
      </w:r>
      <w:r>
        <w:rPr>
          <w:rStyle w:val="Strong"/>
          <w:b w:val="0"/>
        </w:rPr>
        <w:t>Chi-square test</w:t>
      </w:r>
      <w:r>
        <w:t xml:space="preserve"> is primarily used to examine the association or independence between categorical variables. It evaluates whether the observed frequencies in different categories differ </w:t>
      </w:r>
      <w:r>
        <w:lastRenderedPageBreak/>
        <w:t>significantly from expected frequencies under the null hypothesis of independence. The test statistic is computed as:</w:t>
      </w:r>
    </w:p>
    <w:p w14:paraId="6A9FF96C" w14:textId="77777777" w:rsidR="009D2085" w:rsidRDefault="00970CFF" w:rsidP="009D2085">
      <w:pPr>
        <w:pStyle w:val="my-0"/>
        <w:spacing w:line="360" w:lineRule="auto"/>
        <w:jc w:val="both"/>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nary>
            <m:naryPr>
              <m:chr m:val="∑"/>
              <m:limLoc m:val="undOvr"/>
              <m:subHide m:val="1"/>
              <m:supHide m:val="1"/>
              <m:ctrlPr>
                <w:rPr>
                  <w:rFonts w:ascii="Cambria Math" w:hAnsi="Cambria Math"/>
                  <w:i/>
                </w:rPr>
              </m:ctrlPr>
            </m:naryPr>
            <m:sub/>
            <m:sup/>
            <m:e>
              <m:f>
                <m:fPr>
                  <m:ctrlPr>
                    <w:rPr>
                      <w:rFonts w:ascii="Cambria Math" w:hAnsi="Cambria Math"/>
                      <w:i/>
                    </w:rPr>
                  </m:ctrlPr>
                </m:fPr>
                <m:num>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e>
                    <m:sup>
                      <m:r>
                        <w:rPr>
                          <w:rFonts w:ascii="Cambria Math" w:hAnsi="Cambria Math"/>
                        </w:rPr>
                        <m:t>2</m:t>
                      </m:r>
                    </m:sup>
                  </m:sSup>
                </m:num>
                <m:den>
                  <m:sSub>
                    <m:sSubPr>
                      <m:ctrlPr>
                        <w:rPr>
                          <w:rFonts w:ascii="Cambria Math" w:hAnsi="Cambria Math"/>
                          <w:i/>
                        </w:rPr>
                      </m:ctrlPr>
                    </m:sSubPr>
                    <m:e>
                      <m:r>
                        <w:rPr>
                          <w:rFonts w:ascii="Cambria Math" w:hAnsi="Cambria Math"/>
                        </w:rPr>
                        <m:t>E</m:t>
                      </m:r>
                    </m:e>
                    <m:sub>
                      <m:r>
                        <w:rPr>
                          <w:rFonts w:ascii="Cambria Math" w:hAnsi="Cambria Math"/>
                        </w:rPr>
                        <m:t>i</m:t>
                      </m:r>
                    </m:sub>
                  </m:sSub>
                </m:den>
              </m:f>
            </m:e>
          </m:nary>
        </m:oMath>
      </m:oMathPara>
    </w:p>
    <w:p w14:paraId="1630A5A3" w14:textId="77777777" w:rsidR="009D2085" w:rsidRDefault="009D2085" w:rsidP="009D2085">
      <w:pPr>
        <w:pStyle w:val="my-0"/>
        <w:spacing w:line="360" w:lineRule="auto"/>
        <w:jc w:val="both"/>
      </w:pPr>
      <w:r>
        <w:t xml:space="preserve">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represents the observed frequency in category </w:t>
      </w:r>
      <m:oMath>
        <m:r>
          <w:rPr>
            <w:rFonts w:ascii="Cambria Math" w:hAnsi="Cambria Math"/>
          </w:rPr>
          <m:t>i</m:t>
        </m:r>
      </m:oMath>
      <w:r>
        <w:t xml:space="preserve">, and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t xml:space="preserve"> is the expected frequency under the null hypothesis.</w:t>
      </w:r>
      <w:r w:rsidR="0042340B">
        <w:t xml:space="preserve"> </w:t>
      </w:r>
      <w:r>
        <w:t>This test is widely used in validating classification results, contingency tables, and goodness-of-fit in model predictions (</w:t>
      </w:r>
      <w:proofErr w:type="spellStart"/>
      <w:r>
        <w:t>Sharafaldin</w:t>
      </w:r>
      <w:proofErr w:type="spellEnd"/>
      <w:r>
        <w:t xml:space="preserve"> et al., 2018; Pedregosa et al., 2011).</w:t>
      </w:r>
    </w:p>
    <w:p w14:paraId="634F2C4A" w14:textId="77777777" w:rsidR="009D2085" w:rsidRDefault="009D2085" w:rsidP="009D2085">
      <w:pPr>
        <w:pStyle w:val="my-0"/>
        <w:spacing w:line="360" w:lineRule="auto"/>
        <w:jc w:val="both"/>
      </w:pPr>
      <w:r>
        <w:t xml:space="preserve">On the other hand, </w:t>
      </w:r>
      <w:r>
        <w:rPr>
          <w:rStyle w:val="Strong"/>
          <w:b w:val="0"/>
        </w:rPr>
        <w:t>Analysis of Variance (ANOVA)</w:t>
      </w:r>
      <w:r>
        <w:t xml:space="preserve"> is used to compare means across two or more groups to determine if at least one group mean is statistically different from the others. ANOVA decomposes the total variance observed in the data into variance between groups and variance within groups. The F-statistic is calculated as:</w:t>
      </w:r>
    </w:p>
    <w:p w14:paraId="6F62F70F" w14:textId="77777777" w:rsidR="009D2085" w:rsidRDefault="009D2085" w:rsidP="009D2085">
      <w:pPr>
        <w:pStyle w:val="my-0"/>
        <w:spacing w:line="360" w:lineRule="auto"/>
        <w:jc w:val="both"/>
      </w:pPr>
      <m:oMathPara>
        <m:oMath>
          <m:r>
            <w:rPr>
              <w:rFonts w:ascii="Cambria Math" w:hAnsi="Cambria Math"/>
            </w:rPr>
            <m:t>F=</m:t>
          </m:r>
          <m:f>
            <m:fPr>
              <m:ctrlPr>
                <w:rPr>
                  <w:rFonts w:ascii="Cambria Math" w:hAnsi="Cambria Math"/>
                  <w:i/>
                </w:rPr>
              </m:ctrlPr>
            </m:fPr>
            <m:num>
              <m:r>
                <w:rPr>
                  <w:rFonts w:ascii="Cambria Math" w:hAnsi="Cambria Math"/>
                </w:rPr>
                <m:t>Mean Square between Groups (MSB)</m:t>
              </m:r>
            </m:num>
            <m:den>
              <m:r>
                <w:rPr>
                  <w:rFonts w:ascii="Cambria Math" w:hAnsi="Cambria Math"/>
                </w:rPr>
                <m:t>Mean Square Within Groups (MSW)</m:t>
              </m:r>
            </m:den>
          </m:f>
        </m:oMath>
      </m:oMathPara>
    </w:p>
    <w:p w14:paraId="42ACF508" w14:textId="77777777" w:rsidR="009D2085" w:rsidRDefault="009D2085" w:rsidP="009D2085">
      <w:pPr>
        <w:pStyle w:val="my-0"/>
        <w:spacing w:line="360" w:lineRule="auto"/>
        <w:jc w:val="both"/>
      </w:pPr>
      <w:r>
        <w:t xml:space="preserve">A significant F-statistic indicates that the group means are not all equal, prompting further post-hoc analysis to identify specific group differences. ANOVA is extensively applied in validating model performance differences across multiple experimental conditions or datasets (Ibrahim et al., 2021; Farwell &amp; </w:t>
      </w:r>
      <w:proofErr w:type="spellStart"/>
      <w:r>
        <w:t>Rohozinski</w:t>
      </w:r>
      <w:proofErr w:type="spellEnd"/>
      <w:r>
        <w:t>, 2011).</w:t>
      </w:r>
    </w:p>
    <w:p w14:paraId="0041140B" w14:textId="77777777" w:rsidR="009D2085" w:rsidRDefault="009D2085" w:rsidP="009D2085">
      <w:pPr>
        <w:pStyle w:val="my-0"/>
        <w:spacing w:line="360" w:lineRule="auto"/>
        <w:jc w:val="both"/>
      </w:pPr>
      <w:r>
        <w:t>Both tests are integral to rigorous model validation frameworks, ensuring that observed effects or associations are not due to random chance but reflect meaningful patterns in the data. Their application complements machine learning model validation techniques, providing statistical guarantees about model behavior and performance (Khan et al., 2017; Wang et al., 2011).</w:t>
      </w:r>
    </w:p>
    <w:p w14:paraId="5BAA9F32" w14:textId="77777777" w:rsidR="009D2085" w:rsidRDefault="009D2085" w:rsidP="009D2085">
      <w:pPr>
        <w:pStyle w:val="my-0"/>
        <w:spacing w:line="360" w:lineRule="auto"/>
        <w:jc w:val="both"/>
      </w:pPr>
      <w:r>
        <w:rPr>
          <w:b/>
          <w:bCs/>
        </w:rPr>
        <w:t>Ethical and Practical Considerations</w:t>
      </w:r>
    </w:p>
    <w:p w14:paraId="3BAA19A8" w14:textId="77777777" w:rsidR="009D2085" w:rsidRDefault="009D2085" w:rsidP="009D2085">
      <w:pPr>
        <w:spacing w:line="360" w:lineRule="auto"/>
        <w:rPr>
          <w:rFonts w:ascii="Times New Roman" w:hAnsi="Times New Roman" w:cs="Times New Roman"/>
          <w:sz w:val="24"/>
          <w:szCs w:val="24"/>
        </w:rPr>
      </w:pPr>
      <w:r>
        <w:rPr>
          <w:rFonts w:ascii="Times New Roman" w:hAnsi="Times New Roman" w:cs="Times New Roman"/>
          <w:sz w:val="24"/>
          <w:szCs w:val="24"/>
        </w:rPr>
        <w:t>The study used only anonymized public data, fully documented all code and preprocessing steps for reproducibility, and optimized training to reduce environmental impact.</w:t>
      </w:r>
    </w:p>
    <w:p w14:paraId="07A717C1" w14:textId="77777777" w:rsidR="0042340B" w:rsidRDefault="0042340B" w:rsidP="009D2085">
      <w:pPr>
        <w:spacing w:line="360" w:lineRule="auto"/>
        <w:rPr>
          <w:rFonts w:ascii="Times New Roman" w:hAnsi="Times New Roman" w:cs="Times New Roman"/>
          <w:sz w:val="24"/>
          <w:szCs w:val="24"/>
        </w:rPr>
      </w:pPr>
    </w:p>
    <w:p w14:paraId="3046F2CC" w14:textId="77777777"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w:t>
      </w:r>
      <w:r>
        <w:rPr>
          <w:rFonts w:ascii="Times New Roman" w:hAnsi="Times New Roman" w:cs="Times New Roman"/>
          <w:b/>
          <w:sz w:val="24"/>
          <w:szCs w:val="24"/>
        </w:rPr>
        <w:tab/>
        <w:t>Results and Discussion</w:t>
      </w:r>
    </w:p>
    <w:p w14:paraId="2CDD51FB" w14:textId="77777777"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t>Results</w:t>
      </w:r>
    </w:p>
    <w:p w14:paraId="419EC3CE"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escalating sophistication of ransomware attacks on critical energy infrastructure necessitates robust, scalable solutions to protect cyber-mechanical systems. This chapter evaluates the performance of the proposed multiscale framework, which integrates cyber-mechanical modeling with AI/ML-driven anomaly detection to predict and prevent ransomware-induced failures. The results are derived from simulations and validations using datasets (e.g., CICIDS 2017). </w:t>
      </w:r>
    </w:p>
    <w:p w14:paraId="02CA8377" w14:textId="77777777"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Performance Evaluation of AI/ML Models</w:t>
      </w:r>
    </w:p>
    <w:p w14:paraId="2E22269A"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This section evaluates the ConvLSTM3D and GNN models’ performance, focusing on training dynamics, classification metrics, and statistical robustness, as outlined in the methodology.</w:t>
      </w:r>
    </w:p>
    <w:p w14:paraId="6F2FA887" w14:textId="29FB2E98"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The ConvLSTM3D model was trained on the CICIDS 2017 dataset (</w:t>
      </w:r>
      <w:proofErr w:type="spellStart"/>
      <w:r>
        <w:rPr>
          <w:rFonts w:ascii="Times New Roman" w:hAnsi="Times New Roman" w:cs="Times New Roman"/>
          <w:sz w:val="24"/>
          <w:szCs w:val="24"/>
        </w:rPr>
        <w:t>Sharafaldin</w:t>
      </w:r>
      <w:proofErr w:type="spellEnd"/>
      <w:r>
        <w:rPr>
          <w:rFonts w:ascii="Times New Roman" w:hAnsi="Times New Roman" w:cs="Times New Roman"/>
          <w:sz w:val="24"/>
          <w:szCs w:val="24"/>
        </w:rPr>
        <w:t xml:space="preserve"> et al., 2018), comprising 225,745 network flow records with a benign-to-attack ratio of 8.9:1. Training spanned 10 epochs with a batch size of 32, using the Adam optimizer (learning rate = 0.001) and binary cross-entropy loss. The model accuracy and losses against the epochs are displayed in Figure </w:t>
      </w:r>
      <w:r w:rsidR="009805FA">
        <w:rPr>
          <w:rFonts w:ascii="Times New Roman" w:hAnsi="Times New Roman" w:cs="Times New Roman"/>
          <w:sz w:val="24"/>
          <w:szCs w:val="24"/>
        </w:rPr>
        <w:t>2</w:t>
      </w:r>
    </w:p>
    <w:p w14:paraId="126137EF" w14:textId="78AC5C49"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Figure </w:t>
      </w:r>
      <w:r w:rsidR="009805FA">
        <w:rPr>
          <w:rFonts w:ascii="Times New Roman" w:hAnsi="Times New Roman" w:cs="Times New Roman"/>
          <w:b/>
          <w:sz w:val="24"/>
          <w:szCs w:val="24"/>
        </w:rPr>
        <w:t>2</w:t>
      </w:r>
    </w:p>
    <w:p w14:paraId="36AB8D16" w14:textId="77777777" w:rsidR="00C842E9" w:rsidRDefault="00C842E9" w:rsidP="00C842E9">
      <w:pPr>
        <w:spacing w:line="360" w:lineRule="auto"/>
        <w:jc w:val="both"/>
        <w:rPr>
          <w:rFonts w:ascii="Times New Roman" w:hAnsi="Times New Roman" w:cs="Times New Roman"/>
          <w:i/>
          <w:sz w:val="24"/>
          <w:szCs w:val="24"/>
        </w:rPr>
      </w:pPr>
      <w:r>
        <w:rPr>
          <w:rFonts w:ascii="Times New Roman" w:hAnsi="Times New Roman" w:cs="Times New Roman"/>
          <w:i/>
          <w:sz w:val="24"/>
          <w:szCs w:val="24"/>
        </w:rPr>
        <w:t>Model Accuracy Over Epochs and Model Loss Over Epochs</w:t>
      </w:r>
    </w:p>
    <w:p w14:paraId="6E5066D9"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1F7EA9" wp14:editId="014AD3FC">
            <wp:extent cx="5948045" cy="24441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8045" cy="2444115"/>
                    </a:xfrm>
                    <a:prstGeom prst="rect">
                      <a:avLst/>
                    </a:prstGeom>
                    <a:noFill/>
                    <a:ln>
                      <a:noFill/>
                    </a:ln>
                  </pic:spPr>
                </pic:pic>
              </a:graphicData>
            </a:graphic>
          </wp:inline>
        </w:drawing>
      </w:r>
    </w:p>
    <w:p w14:paraId="1D867537"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training dynamics align with Buda et al. (2018), who noted overfitting in imbalanced datasets due to minority-class underrepresentation. The model’s performance, with a final test accuracy of </w:t>
      </w:r>
      <w:r>
        <w:rPr>
          <w:rFonts w:ascii="Times New Roman" w:hAnsi="Times New Roman" w:cs="Times New Roman"/>
          <w:sz w:val="24"/>
          <w:szCs w:val="24"/>
        </w:rPr>
        <w:lastRenderedPageBreak/>
        <w:t>88.86%, reflects robust learning of benign patterns but highlights challenges in generalizing to rare attack scenarios, consistent with He and Garcia (2009).</w:t>
      </w:r>
    </w:p>
    <w:p w14:paraId="4A4B857D" w14:textId="205F7D8D"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model demonstrated strong performance on majority-class (benign) detection but struggled with attack recall-precision balance, consistent with findings from Buda et al. (2018) on imbalanced data as shown in Table 3 and Figure </w:t>
      </w:r>
      <w:r w:rsidR="009805FA">
        <w:rPr>
          <w:rFonts w:ascii="Times New Roman" w:hAnsi="Times New Roman" w:cs="Times New Roman"/>
          <w:sz w:val="24"/>
          <w:szCs w:val="24"/>
        </w:rPr>
        <w:t>3</w:t>
      </w:r>
      <w:r>
        <w:rPr>
          <w:rFonts w:ascii="Times New Roman" w:hAnsi="Times New Roman" w:cs="Times New Roman"/>
          <w:sz w:val="24"/>
          <w:szCs w:val="24"/>
        </w:rPr>
        <w:t>. The Matthews Correlation Coefficient (MCC) of 0.32 highlights challenges in minority-class generalization.</w:t>
      </w:r>
    </w:p>
    <w:p w14:paraId="4E4CE354" w14:textId="77777777"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3</w:t>
      </w:r>
    </w:p>
    <w:p w14:paraId="76B9DBF6" w14:textId="77777777" w:rsidR="00C842E9" w:rsidRDefault="00C842E9" w:rsidP="00C842E9">
      <w:pPr>
        <w:spacing w:line="360" w:lineRule="auto"/>
        <w:jc w:val="both"/>
        <w:rPr>
          <w:rFonts w:ascii="Times New Roman" w:hAnsi="Times New Roman" w:cs="Times New Roman"/>
          <w:i/>
          <w:sz w:val="24"/>
          <w:szCs w:val="24"/>
        </w:rPr>
      </w:pPr>
      <w:r>
        <w:rPr>
          <w:rFonts w:ascii="Times New Roman" w:hAnsi="Times New Roman" w:cs="Times New Roman"/>
          <w:i/>
          <w:sz w:val="24"/>
          <w:szCs w:val="24"/>
        </w:rPr>
        <w:t>Classification Metrics</w:t>
      </w: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C842E9" w14:paraId="7F2B2764" w14:textId="77777777" w:rsidTr="00C842E9">
        <w:tc>
          <w:tcPr>
            <w:tcW w:w="1870" w:type="dxa"/>
            <w:tcBorders>
              <w:top w:val="single" w:sz="4" w:space="0" w:color="auto"/>
              <w:left w:val="nil"/>
              <w:bottom w:val="single" w:sz="4" w:space="0" w:color="auto"/>
              <w:right w:val="nil"/>
            </w:tcBorders>
            <w:hideMark/>
          </w:tcPr>
          <w:p w14:paraId="53387363"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Class</w:t>
            </w:r>
          </w:p>
        </w:tc>
        <w:tc>
          <w:tcPr>
            <w:tcW w:w="1870" w:type="dxa"/>
            <w:tcBorders>
              <w:top w:val="single" w:sz="4" w:space="0" w:color="auto"/>
              <w:left w:val="nil"/>
              <w:bottom w:val="single" w:sz="4" w:space="0" w:color="auto"/>
              <w:right w:val="nil"/>
            </w:tcBorders>
            <w:hideMark/>
          </w:tcPr>
          <w:p w14:paraId="37AF8318"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Precision</w:t>
            </w:r>
          </w:p>
        </w:tc>
        <w:tc>
          <w:tcPr>
            <w:tcW w:w="1870" w:type="dxa"/>
            <w:tcBorders>
              <w:top w:val="single" w:sz="4" w:space="0" w:color="auto"/>
              <w:left w:val="nil"/>
              <w:bottom w:val="single" w:sz="4" w:space="0" w:color="auto"/>
              <w:right w:val="nil"/>
            </w:tcBorders>
            <w:hideMark/>
          </w:tcPr>
          <w:p w14:paraId="6344F94C"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Recall</w:t>
            </w:r>
          </w:p>
        </w:tc>
        <w:tc>
          <w:tcPr>
            <w:tcW w:w="1870" w:type="dxa"/>
            <w:tcBorders>
              <w:top w:val="single" w:sz="4" w:space="0" w:color="auto"/>
              <w:left w:val="nil"/>
              <w:bottom w:val="single" w:sz="4" w:space="0" w:color="auto"/>
              <w:right w:val="nil"/>
            </w:tcBorders>
            <w:hideMark/>
          </w:tcPr>
          <w:p w14:paraId="681CC0AF"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F1-Score</w:t>
            </w:r>
          </w:p>
        </w:tc>
        <w:tc>
          <w:tcPr>
            <w:tcW w:w="1870" w:type="dxa"/>
            <w:tcBorders>
              <w:top w:val="single" w:sz="4" w:space="0" w:color="auto"/>
              <w:left w:val="nil"/>
              <w:bottom w:val="single" w:sz="4" w:space="0" w:color="auto"/>
              <w:right w:val="nil"/>
            </w:tcBorders>
            <w:hideMark/>
          </w:tcPr>
          <w:p w14:paraId="3218DEE1"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Support</w:t>
            </w:r>
          </w:p>
        </w:tc>
      </w:tr>
      <w:tr w:rsidR="00C842E9" w14:paraId="37D74313" w14:textId="77777777" w:rsidTr="00C842E9">
        <w:tc>
          <w:tcPr>
            <w:tcW w:w="1870" w:type="dxa"/>
            <w:tcBorders>
              <w:top w:val="single" w:sz="4" w:space="0" w:color="auto"/>
              <w:left w:val="nil"/>
              <w:bottom w:val="nil"/>
              <w:right w:val="nil"/>
            </w:tcBorders>
            <w:hideMark/>
          </w:tcPr>
          <w:p w14:paraId="3593165F"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Benign</w:t>
            </w:r>
          </w:p>
        </w:tc>
        <w:tc>
          <w:tcPr>
            <w:tcW w:w="1870" w:type="dxa"/>
            <w:tcBorders>
              <w:top w:val="single" w:sz="4" w:space="0" w:color="auto"/>
              <w:left w:val="nil"/>
              <w:bottom w:val="nil"/>
              <w:right w:val="nil"/>
            </w:tcBorders>
            <w:hideMark/>
          </w:tcPr>
          <w:p w14:paraId="66CE1BD7"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0.96</w:t>
            </w:r>
          </w:p>
        </w:tc>
        <w:tc>
          <w:tcPr>
            <w:tcW w:w="1870" w:type="dxa"/>
            <w:tcBorders>
              <w:top w:val="single" w:sz="4" w:space="0" w:color="auto"/>
              <w:left w:val="nil"/>
              <w:bottom w:val="nil"/>
              <w:right w:val="nil"/>
            </w:tcBorders>
            <w:hideMark/>
          </w:tcPr>
          <w:p w14:paraId="0C0F0570"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0.70</w:t>
            </w:r>
          </w:p>
        </w:tc>
        <w:tc>
          <w:tcPr>
            <w:tcW w:w="1870" w:type="dxa"/>
            <w:tcBorders>
              <w:top w:val="single" w:sz="4" w:space="0" w:color="auto"/>
              <w:left w:val="nil"/>
              <w:bottom w:val="nil"/>
              <w:right w:val="nil"/>
            </w:tcBorders>
            <w:hideMark/>
          </w:tcPr>
          <w:p w14:paraId="3750569B"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0.81</w:t>
            </w:r>
          </w:p>
        </w:tc>
        <w:tc>
          <w:tcPr>
            <w:tcW w:w="1870" w:type="dxa"/>
            <w:tcBorders>
              <w:top w:val="single" w:sz="4" w:space="0" w:color="auto"/>
              <w:left w:val="nil"/>
              <w:bottom w:val="nil"/>
              <w:right w:val="nil"/>
            </w:tcBorders>
            <w:hideMark/>
          </w:tcPr>
          <w:p w14:paraId="201745A3"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4,012</w:t>
            </w:r>
          </w:p>
        </w:tc>
      </w:tr>
      <w:tr w:rsidR="00C842E9" w14:paraId="5FF9D683" w14:textId="77777777" w:rsidTr="00C842E9">
        <w:tc>
          <w:tcPr>
            <w:tcW w:w="1870" w:type="dxa"/>
            <w:tcBorders>
              <w:top w:val="nil"/>
              <w:left w:val="nil"/>
              <w:bottom w:val="nil"/>
              <w:right w:val="nil"/>
            </w:tcBorders>
            <w:hideMark/>
          </w:tcPr>
          <w:p w14:paraId="583506F8"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Attack</w:t>
            </w:r>
          </w:p>
        </w:tc>
        <w:tc>
          <w:tcPr>
            <w:tcW w:w="1870" w:type="dxa"/>
            <w:tcBorders>
              <w:top w:val="nil"/>
              <w:left w:val="nil"/>
              <w:bottom w:val="nil"/>
              <w:right w:val="nil"/>
            </w:tcBorders>
            <w:hideMark/>
          </w:tcPr>
          <w:p w14:paraId="0559347C"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0.25</w:t>
            </w:r>
          </w:p>
        </w:tc>
        <w:tc>
          <w:tcPr>
            <w:tcW w:w="1870" w:type="dxa"/>
            <w:tcBorders>
              <w:top w:val="nil"/>
              <w:left w:val="nil"/>
              <w:bottom w:val="nil"/>
              <w:right w:val="nil"/>
            </w:tcBorders>
            <w:hideMark/>
          </w:tcPr>
          <w:p w14:paraId="4A3F2B19"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0.79</w:t>
            </w:r>
          </w:p>
        </w:tc>
        <w:tc>
          <w:tcPr>
            <w:tcW w:w="1870" w:type="dxa"/>
            <w:tcBorders>
              <w:top w:val="nil"/>
              <w:left w:val="nil"/>
              <w:bottom w:val="nil"/>
              <w:right w:val="nil"/>
            </w:tcBorders>
            <w:hideMark/>
          </w:tcPr>
          <w:p w14:paraId="746544CE"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0.38</w:t>
            </w:r>
          </w:p>
        </w:tc>
        <w:tc>
          <w:tcPr>
            <w:tcW w:w="1870" w:type="dxa"/>
            <w:tcBorders>
              <w:top w:val="nil"/>
              <w:left w:val="nil"/>
              <w:bottom w:val="nil"/>
              <w:right w:val="nil"/>
            </w:tcBorders>
            <w:hideMark/>
          </w:tcPr>
          <w:p w14:paraId="6C0D9429"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503</w:t>
            </w:r>
          </w:p>
        </w:tc>
      </w:tr>
      <w:tr w:rsidR="00C842E9" w14:paraId="2AE8384A" w14:textId="77777777" w:rsidTr="00C842E9">
        <w:tc>
          <w:tcPr>
            <w:tcW w:w="1870" w:type="dxa"/>
            <w:tcBorders>
              <w:top w:val="nil"/>
              <w:left w:val="nil"/>
              <w:bottom w:val="single" w:sz="4" w:space="0" w:color="auto"/>
              <w:right w:val="nil"/>
            </w:tcBorders>
            <w:hideMark/>
          </w:tcPr>
          <w:p w14:paraId="0EA755E8"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Macro Avg</w:t>
            </w:r>
          </w:p>
        </w:tc>
        <w:tc>
          <w:tcPr>
            <w:tcW w:w="1870" w:type="dxa"/>
            <w:tcBorders>
              <w:top w:val="nil"/>
              <w:left w:val="nil"/>
              <w:bottom w:val="single" w:sz="4" w:space="0" w:color="auto"/>
              <w:right w:val="nil"/>
            </w:tcBorders>
            <w:hideMark/>
          </w:tcPr>
          <w:p w14:paraId="4497517D"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0.60</w:t>
            </w:r>
          </w:p>
        </w:tc>
        <w:tc>
          <w:tcPr>
            <w:tcW w:w="1870" w:type="dxa"/>
            <w:tcBorders>
              <w:top w:val="nil"/>
              <w:left w:val="nil"/>
              <w:bottom w:val="single" w:sz="4" w:space="0" w:color="auto"/>
              <w:right w:val="nil"/>
            </w:tcBorders>
            <w:hideMark/>
          </w:tcPr>
          <w:p w14:paraId="7C1E08B1"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0.74</w:t>
            </w:r>
          </w:p>
        </w:tc>
        <w:tc>
          <w:tcPr>
            <w:tcW w:w="1870" w:type="dxa"/>
            <w:tcBorders>
              <w:top w:val="nil"/>
              <w:left w:val="nil"/>
              <w:bottom w:val="single" w:sz="4" w:space="0" w:color="auto"/>
              <w:right w:val="nil"/>
            </w:tcBorders>
            <w:hideMark/>
          </w:tcPr>
          <w:p w14:paraId="274057CD"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0.59</w:t>
            </w:r>
          </w:p>
        </w:tc>
        <w:tc>
          <w:tcPr>
            <w:tcW w:w="1870" w:type="dxa"/>
            <w:tcBorders>
              <w:top w:val="nil"/>
              <w:left w:val="nil"/>
              <w:bottom w:val="single" w:sz="4" w:space="0" w:color="auto"/>
              <w:right w:val="nil"/>
            </w:tcBorders>
            <w:hideMark/>
          </w:tcPr>
          <w:p w14:paraId="6A7523B8"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4,515</w:t>
            </w:r>
          </w:p>
        </w:tc>
      </w:tr>
    </w:tbl>
    <w:p w14:paraId="29C43EAF" w14:textId="77777777" w:rsidR="00C842E9" w:rsidRDefault="00C842E9" w:rsidP="00C842E9">
      <w:pPr>
        <w:spacing w:line="360" w:lineRule="auto"/>
        <w:jc w:val="both"/>
        <w:rPr>
          <w:rFonts w:ascii="Times New Roman" w:hAnsi="Times New Roman" w:cs="Times New Roman"/>
          <w:b/>
          <w:sz w:val="24"/>
          <w:szCs w:val="24"/>
        </w:rPr>
      </w:pPr>
    </w:p>
    <w:p w14:paraId="68A58435" w14:textId="29C9E697"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Figure </w:t>
      </w:r>
      <w:r w:rsidR="009805FA">
        <w:rPr>
          <w:rFonts w:ascii="Times New Roman" w:hAnsi="Times New Roman" w:cs="Times New Roman"/>
          <w:b/>
          <w:sz w:val="24"/>
          <w:szCs w:val="24"/>
        </w:rPr>
        <w:t>3</w:t>
      </w:r>
    </w:p>
    <w:p w14:paraId="30CDCDC8" w14:textId="77777777" w:rsidR="00C842E9" w:rsidRDefault="00C842E9" w:rsidP="00C842E9">
      <w:pPr>
        <w:spacing w:line="360" w:lineRule="auto"/>
        <w:jc w:val="both"/>
        <w:rPr>
          <w:rFonts w:ascii="Times New Roman" w:hAnsi="Times New Roman" w:cs="Times New Roman"/>
          <w:i/>
          <w:sz w:val="24"/>
          <w:szCs w:val="24"/>
        </w:rPr>
      </w:pPr>
      <w:r>
        <w:rPr>
          <w:rFonts w:ascii="Times New Roman" w:hAnsi="Times New Roman" w:cs="Times New Roman"/>
          <w:i/>
          <w:sz w:val="24"/>
          <w:szCs w:val="24"/>
        </w:rPr>
        <w:t>Classification Report</w:t>
      </w:r>
    </w:p>
    <w:p w14:paraId="625C340A"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B3106A" wp14:editId="26898958">
            <wp:extent cx="3751580" cy="29908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1580" cy="2990850"/>
                    </a:xfrm>
                    <a:prstGeom prst="rect">
                      <a:avLst/>
                    </a:prstGeom>
                    <a:noFill/>
                    <a:ln>
                      <a:noFill/>
                    </a:ln>
                  </pic:spPr>
                </pic:pic>
              </a:graphicData>
            </a:graphic>
          </wp:inline>
        </w:drawing>
      </w:r>
    </w:p>
    <w:p w14:paraId="0645614B"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ConvLSTM3D model’s classification performance was evaluated using precision, recall, F1-score, and Matthews Correlation Coefficient (MCC).</w:t>
      </w:r>
    </w:p>
    <w:p w14:paraId="2EB21ED0" w14:textId="2E308340"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9805FA">
        <w:rPr>
          <w:rFonts w:ascii="Times New Roman" w:hAnsi="Times New Roman" w:cs="Times New Roman"/>
          <w:sz w:val="24"/>
          <w:szCs w:val="24"/>
        </w:rPr>
        <w:t>4</w:t>
      </w:r>
      <w:r>
        <w:rPr>
          <w:rFonts w:ascii="Times New Roman" w:hAnsi="Times New Roman" w:cs="Times New Roman"/>
          <w:sz w:val="24"/>
          <w:szCs w:val="24"/>
        </w:rPr>
        <w:t xml:space="preserve"> of the 4,515 test samples, 2,643 Benign correctly classified (True Positives), 745 False Negatives (attack misclassified as benign), 218 False Positives (benign misclassified as attack)</w:t>
      </w:r>
    </w:p>
    <w:p w14:paraId="0254DD9E" w14:textId="1666E794"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Figure </w:t>
      </w:r>
      <w:r w:rsidR="009805FA">
        <w:rPr>
          <w:rFonts w:ascii="Times New Roman" w:hAnsi="Times New Roman" w:cs="Times New Roman"/>
          <w:b/>
          <w:sz w:val="24"/>
          <w:szCs w:val="24"/>
        </w:rPr>
        <w:t>4</w:t>
      </w:r>
    </w:p>
    <w:p w14:paraId="0CC6B7E4" w14:textId="77777777" w:rsidR="00C842E9" w:rsidRDefault="00C842E9" w:rsidP="00C842E9">
      <w:pPr>
        <w:spacing w:line="360" w:lineRule="auto"/>
        <w:jc w:val="both"/>
        <w:rPr>
          <w:rFonts w:ascii="Times New Roman" w:hAnsi="Times New Roman" w:cs="Times New Roman"/>
          <w:i/>
          <w:sz w:val="24"/>
          <w:szCs w:val="24"/>
        </w:rPr>
      </w:pPr>
      <w:r>
        <w:rPr>
          <w:rFonts w:ascii="Times New Roman" w:hAnsi="Times New Roman" w:cs="Times New Roman"/>
          <w:i/>
          <w:sz w:val="24"/>
          <w:szCs w:val="24"/>
        </w:rPr>
        <w:t>Confusion Matrix</w:t>
      </w:r>
    </w:p>
    <w:p w14:paraId="3E894FDE"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66B8B5" wp14:editId="50C8B306">
            <wp:extent cx="4230370" cy="38030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0370" cy="3803015"/>
                    </a:xfrm>
                    <a:prstGeom prst="rect">
                      <a:avLst/>
                    </a:prstGeom>
                    <a:noFill/>
                    <a:ln>
                      <a:noFill/>
                    </a:ln>
                  </pic:spPr>
                </pic:pic>
              </a:graphicData>
            </a:graphic>
          </wp:inline>
        </w:drawing>
      </w:r>
    </w:p>
    <w:p w14:paraId="34C9BE4C"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br/>
        <w:t xml:space="preserve">With an AUPRC of 0.76, the system demonstrates practical utility despite class imbalance, aligning with Saito &amp; </w:t>
      </w:r>
      <w:proofErr w:type="spellStart"/>
      <w:r>
        <w:rPr>
          <w:rFonts w:ascii="Times New Roman" w:hAnsi="Times New Roman" w:cs="Times New Roman"/>
          <w:sz w:val="24"/>
          <w:szCs w:val="24"/>
        </w:rPr>
        <w:t>Rehmsmeier's</w:t>
      </w:r>
      <w:proofErr w:type="spellEnd"/>
      <w:r>
        <w:rPr>
          <w:rFonts w:ascii="Times New Roman" w:hAnsi="Times New Roman" w:cs="Times New Roman"/>
          <w:sz w:val="24"/>
          <w:szCs w:val="24"/>
        </w:rPr>
        <w:t xml:space="preserve"> (2015) recommendations for imbalanced datasets</w:t>
      </w:r>
    </w:p>
    <w:p w14:paraId="3A963F2E" w14:textId="0BBDA0DD"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The Precision-Recall curve is useful for evaluating models with imbalanced datasets, especially when one class is more frequent than the other as displayed by the dataset in Figure </w:t>
      </w:r>
      <w:r w:rsidR="009805FA">
        <w:rPr>
          <w:rFonts w:ascii="Times New Roman" w:hAnsi="Times New Roman" w:cs="Times New Roman"/>
          <w:sz w:val="24"/>
          <w:szCs w:val="24"/>
        </w:rPr>
        <w:t>5</w:t>
      </w:r>
      <w:r>
        <w:rPr>
          <w:rFonts w:ascii="Times New Roman" w:hAnsi="Times New Roman" w:cs="Times New Roman"/>
          <w:sz w:val="24"/>
          <w:szCs w:val="24"/>
        </w:rPr>
        <w:t>.</w:t>
      </w:r>
    </w:p>
    <w:p w14:paraId="31028BD2" w14:textId="77777777" w:rsidR="0042340B" w:rsidRDefault="0042340B" w:rsidP="00C842E9">
      <w:pPr>
        <w:spacing w:line="360" w:lineRule="auto"/>
        <w:jc w:val="both"/>
        <w:rPr>
          <w:rFonts w:ascii="Times New Roman" w:hAnsi="Times New Roman" w:cs="Times New Roman"/>
          <w:b/>
          <w:sz w:val="24"/>
          <w:szCs w:val="24"/>
        </w:rPr>
      </w:pPr>
    </w:p>
    <w:p w14:paraId="49BAD566" w14:textId="77777777" w:rsidR="0042340B" w:rsidRDefault="0042340B" w:rsidP="00C842E9">
      <w:pPr>
        <w:spacing w:line="360" w:lineRule="auto"/>
        <w:jc w:val="both"/>
        <w:rPr>
          <w:rFonts w:ascii="Times New Roman" w:hAnsi="Times New Roman" w:cs="Times New Roman"/>
          <w:b/>
          <w:sz w:val="24"/>
          <w:szCs w:val="24"/>
        </w:rPr>
      </w:pPr>
    </w:p>
    <w:p w14:paraId="1F99894A" w14:textId="07B62AD0"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7A2ED6">
        <w:rPr>
          <w:rFonts w:ascii="Times New Roman" w:hAnsi="Times New Roman" w:cs="Times New Roman"/>
          <w:b/>
          <w:sz w:val="24"/>
          <w:szCs w:val="24"/>
        </w:rPr>
        <w:t>5</w:t>
      </w:r>
    </w:p>
    <w:p w14:paraId="6034B08D" w14:textId="77777777" w:rsidR="00C842E9" w:rsidRDefault="00C842E9" w:rsidP="00C842E9">
      <w:pPr>
        <w:spacing w:line="360" w:lineRule="auto"/>
        <w:jc w:val="both"/>
        <w:rPr>
          <w:rFonts w:ascii="Times New Roman" w:hAnsi="Times New Roman" w:cs="Times New Roman"/>
          <w:i/>
          <w:sz w:val="24"/>
          <w:szCs w:val="24"/>
        </w:rPr>
      </w:pPr>
      <w:r>
        <w:rPr>
          <w:rFonts w:ascii="Times New Roman" w:hAnsi="Times New Roman" w:cs="Times New Roman"/>
          <w:i/>
          <w:sz w:val="24"/>
          <w:szCs w:val="24"/>
        </w:rPr>
        <w:t>Precision-Recall Curve</w:t>
      </w:r>
    </w:p>
    <w:p w14:paraId="6065F4CD"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88BAA8" wp14:editId="1E6D91D4">
            <wp:extent cx="4636621" cy="39737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8974" cy="3992953"/>
                    </a:xfrm>
                    <a:prstGeom prst="rect">
                      <a:avLst/>
                    </a:prstGeom>
                    <a:noFill/>
                    <a:ln>
                      <a:noFill/>
                    </a:ln>
                  </pic:spPr>
                </pic:pic>
              </a:graphicData>
            </a:graphic>
          </wp:inline>
        </w:drawing>
      </w:r>
    </w:p>
    <w:p w14:paraId="426D45AC" w14:textId="5E12EEF3" w:rsidR="00C842E9" w:rsidRDefault="00C842E9" w:rsidP="00C842E9">
      <w:pPr>
        <w:spacing w:before="100" w:beforeAutospacing="1" w:after="100" w:afterAutospacing="1" w:line="360" w:lineRule="auto"/>
        <w:rPr>
          <w:rFonts w:ascii="Times New Roman" w:eastAsia="Times New Roman" w:hAnsi="Times New Roman" w:cs="Times New Roman"/>
          <w:sz w:val="24"/>
          <w:szCs w:val="24"/>
        </w:rPr>
      </w:pPr>
      <w:r>
        <w:rPr>
          <w:rFonts w:ascii="Times New Roman" w:hAnsi="Times New Roman" w:cs="Times New Roman"/>
          <w:sz w:val="24"/>
          <w:szCs w:val="24"/>
        </w:rPr>
        <w:t xml:space="preserve">The model achieved an AUC of 0.89, outperforming the 0.82 baseline from </w:t>
      </w:r>
      <w:r>
        <w:rPr>
          <w:rFonts w:ascii="Times New Roman" w:eastAsia="Times New Roman" w:hAnsi="Times New Roman" w:cs="Times New Roman"/>
          <w:sz w:val="24"/>
          <w:szCs w:val="24"/>
        </w:rPr>
        <w:t>Panthi, (2020)</w:t>
      </w:r>
      <w:r>
        <w:rPr>
          <w:rFonts w:ascii="Times New Roman" w:hAnsi="Times New Roman" w:cs="Times New Roman"/>
          <w:sz w:val="24"/>
          <w:szCs w:val="24"/>
        </w:rPr>
        <w:t xml:space="preserve">. The steep curve ascent indicates strong true positive rate growth before false positives escalate. </w:t>
      </w:r>
      <w:r>
        <w:rPr>
          <w:rFonts w:ascii="Times New Roman" w:eastAsia="Times New Roman" w:hAnsi="Times New Roman" w:cs="Times New Roman"/>
          <w:sz w:val="24"/>
          <w:szCs w:val="24"/>
        </w:rPr>
        <w:t xml:space="preserve">The ROC curve is used to evaluate the performance of a classification model as displayed in Figure </w:t>
      </w:r>
      <w:r w:rsidR="007A2ED6">
        <w:rPr>
          <w:rFonts w:ascii="Times New Roman" w:eastAsia="Times New Roman" w:hAnsi="Times New Roman" w:cs="Times New Roman"/>
          <w:sz w:val="24"/>
          <w:szCs w:val="24"/>
        </w:rPr>
        <w:t>6</w:t>
      </w:r>
      <w:r>
        <w:rPr>
          <w:rFonts w:ascii="Times New Roman" w:eastAsia="Times New Roman" w:hAnsi="Times New Roman" w:cs="Times New Roman"/>
          <w:sz w:val="24"/>
          <w:szCs w:val="24"/>
        </w:rPr>
        <w:t>. It plots the True Positive Rate (TPR) against the False Positive Rate (FPR) for different thresholds.</w:t>
      </w:r>
    </w:p>
    <w:p w14:paraId="7516B238" w14:textId="77777777" w:rsidR="00C842E9" w:rsidRDefault="00C842E9" w:rsidP="00C842E9">
      <w:pPr>
        <w:spacing w:before="100" w:beforeAutospacing="1" w:after="100" w:afterAutospacing="1" w:line="360" w:lineRule="auto"/>
        <w:rPr>
          <w:rFonts w:ascii="Times New Roman" w:hAnsi="Times New Roman" w:cs="Times New Roman"/>
          <w:b/>
          <w:sz w:val="24"/>
          <w:szCs w:val="24"/>
        </w:rPr>
      </w:pPr>
    </w:p>
    <w:p w14:paraId="02C00D47" w14:textId="77777777" w:rsidR="00C842E9" w:rsidRDefault="00C842E9" w:rsidP="00C842E9">
      <w:pPr>
        <w:spacing w:before="100" w:beforeAutospacing="1" w:after="100" w:afterAutospacing="1" w:line="360" w:lineRule="auto"/>
        <w:rPr>
          <w:rFonts w:ascii="Times New Roman" w:hAnsi="Times New Roman" w:cs="Times New Roman"/>
          <w:b/>
          <w:sz w:val="24"/>
          <w:szCs w:val="24"/>
        </w:rPr>
      </w:pPr>
    </w:p>
    <w:p w14:paraId="1CCA04E2" w14:textId="77777777" w:rsidR="00C842E9" w:rsidRDefault="00C842E9" w:rsidP="00C842E9">
      <w:pPr>
        <w:spacing w:before="100" w:beforeAutospacing="1" w:after="100" w:afterAutospacing="1" w:line="360" w:lineRule="auto"/>
        <w:rPr>
          <w:rFonts w:ascii="Times New Roman" w:hAnsi="Times New Roman" w:cs="Times New Roman"/>
          <w:b/>
          <w:sz w:val="24"/>
          <w:szCs w:val="24"/>
        </w:rPr>
      </w:pPr>
    </w:p>
    <w:p w14:paraId="0D2A0C67" w14:textId="77777777" w:rsidR="0042340B" w:rsidRDefault="0042340B" w:rsidP="00C842E9">
      <w:pPr>
        <w:spacing w:before="100" w:beforeAutospacing="1" w:after="100" w:afterAutospacing="1" w:line="360" w:lineRule="auto"/>
        <w:rPr>
          <w:rFonts w:ascii="Times New Roman" w:hAnsi="Times New Roman" w:cs="Times New Roman"/>
          <w:b/>
          <w:sz w:val="24"/>
          <w:szCs w:val="24"/>
        </w:rPr>
      </w:pPr>
    </w:p>
    <w:p w14:paraId="212A7BAD" w14:textId="37A9FFA7" w:rsidR="00C842E9" w:rsidRDefault="00C842E9" w:rsidP="00C842E9">
      <w:pPr>
        <w:spacing w:before="100" w:beforeAutospacing="1" w:after="100" w:afterAutospacing="1" w:line="360" w:lineRule="auto"/>
        <w:rPr>
          <w:rFonts w:ascii="Times New Roman" w:eastAsia="Times New Roman" w:hAnsi="Times New Roman" w:cs="Times New Roman"/>
          <w:sz w:val="24"/>
          <w:szCs w:val="24"/>
        </w:rPr>
      </w:pPr>
      <w:r>
        <w:rPr>
          <w:rFonts w:ascii="Times New Roman" w:hAnsi="Times New Roman" w:cs="Times New Roman"/>
          <w:b/>
          <w:sz w:val="24"/>
          <w:szCs w:val="24"/>
        </w:rPr>
        <w:lastRenderedPageBreak/>
        <w:t xml:space="preserve">Figure </w:t>
      </w:r>
      <w:r w:rsidR="007A2ED6">
        <w:rPr>
          <w:rFonts w:ascii="Times New Roman" w:hAnsi="Times New Roman" w:cs="Times New Roman"/>
          <w:b/>
          <w:sz w:val="24"/>
          <w:szCs w:val="24"/>
        </w:rPr>
        <w:t>6</w:t>
      </w:r>
    </w:p>
    <w:p w14:paraId="75D74E6C" w14:textId="77777777" w:rsidR="00C842E9" w:rsidRDefault="00C842E9" w:rsidP="00C842E9">
      <w:pPr>
        <w:spacing w:line="360" w:lineRule="auto"/>
        <w:jc w:val="both"/>
        <w:rPr>
          <w:rFonts w:ascii="Times New Roman" w:hAnsi="Times New Roman" w:cs="Times New Roman"/>
          <w:i/>
          <w:sz w:val="24"/>
          <w:szCs w:val="24"/>
        </w:rPr>
      </w:pPr>
      <w:r>
        <w:rPr>
          <w:rFonts w:ascii="Times New Roman" w:hAnsi="Times New Roman" w:cs="Times New Roman"/>
          <w:i/>
          <w:sz w:val="24"/>
          <w:szCs w:val="24"/>
        </w:rPr>
        <w:t>Receiver Operating Characteristic (ROC) Curve</w:t>
      </w:r>
    </w:p>
    <w:p w14:paraId="5FE87660"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8040D6" wp14:editId="0F44553F">
            <wp:extent cx="4704430" cy="366614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3975" cy="3681376"/>
                    </a:xfrm>
                    <a:prstGeom prst="rect">
                      <a:avLst/>
                    </a:prstGeom>
                    <a:noFill/>
                    <a:ln>
                      <a:noFill/>
                    </a:ln>
                  </pic:spPr>
                </pic:pic>
              </a:graphicData>
            </a:graphic>
          </wp:inline>
        </w:drawing>
      </w:r>
    </w:p>
    <w:p w14:paraId="74122580" w14:textId="0DC7E4F0"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curve in Figure </w:t>
      </w:r>
      <w:r w:rsidR="007A2ED6">
        <w:rPr>
          <w:rFonts w:ascii="Times New Roman" w:hAnsi="Times New Roman" w:cs="Times New Roman"/>
          <w:sz w:val="24"/>
          <w:szCs w:val="24"/>
        </w:rPr>
        <w:t>7</w:t>
      </w:r>
      <w:r>
        <w:rPr>
          <w:rFonts w:ascii="Times New Roman" w:hAnsi="Times New Roman" w:cs="Times New Roman"/>
          <w:sz w:val="24"/>
          <w:szCs w:val="24"/>
        </w:rPr>
        <w:t xml:space="preserve"> helps to visualize how precision and recall vary with different classification thresholds.</w:t>
      </w:r>
    </w:p>
    <w:p w14:paraId="77359D87" w14:textId="77777777" w:rsidR="00C842E9" w:rsidRDefault="00C842E9" w:rsidP="00C842E9">
      <w:pPr>
        <w:spacing w:line="360" w:lineRule="auto"/>
        <w:jc w:val="both"/>
        <w:rPr>
          <w:rFonts w:ascii="Times New Roman" w:hAnsi="Times New Roman" w:cs="Times New Roman"/>
          <w:sz w:val="24"/>
          <w:szCs w:val="24"/>
        </w:rPr>
      </w:pPr>
    </w:p>
    <w:p w14:paraId="5EE931F6" w14:textId="77777777" w:rsidR="00C842E9" w:rsidRDefault="00C842E9" w:rsidP="00C842E9">
      <w:pPr>
        <w:spacing w:line="360" w:lineRule="auto"/>
        <w:jc w:val="both"/>
        <w:rPr>
          <w:rFonts w:ascii="Times New Roman" w:hAnsi="Times New Roman" w:cs="Times New Roman"/>
          <w:sz w:val="24"/>
          <w:szCs w:val="24"/>
        </w:rPr>
      </w:pPr>
    </w:p>
    <w:p w14:paraId="332E9631" w14:textId="77777777" w:rsidR="00C842E9" w:rsidRDefault="00C842E9" w:rsidP="00C842E9">
      <w:pPr>
        <w:spacing w:line="360" w:lineRule="auto"/>
        <w:jc w:val="both"/>
        <w:rPr>
          <w:rFonts w:ascii="Times New Roman" w:hAnsi="Times New Roman" w:cs="Times New Roman"/>
          <w:sz w:val="24"/>
          <w:szCs w:val="24"/>
        </w:rPr>
      </w:pPr>
    </w:p>
    <w:p w14:paraId="1D4497E4" w14:textId="77777777" w:rsidR="00C842E9" w:rsidRDefault="00C842E9" w:rsidP="00C842E9">
      <w:pPr>
        <w:spacing w:line="360" w:lineRule="auto"/>
        <w:jc w:val="both"/>
        <w:rPr>
          <w:rFonts w:ascii="Times New Roman" w:hAnsi="Times New Roman" w:cs="Times New Roman"/>
          <w:sz w:val="24"/>
          <w:szCs w:val="24"/>
        </w:rPr>
      </w:pPr>
    </w:p>
    <w:p w14:paraId="6B83C13E" w14:textId="77777777" w:rsidR="00C842E9" w:rsidRDefault="00C842E9" w:rsidP="00C842E9">
      <w:pPr>
        <w:spacing w:line="360" w:lineRule="auto"/>
        <w:jc w:val="both"/>
        <w:rPr>
          <w:rFonts w:ascii="Times New Roman" w:hAnsi="Times New Roman" w:cs="Times New Roman"/>
          <w:sz w:val="24"/>
          <w:szCs w:val="24"/>
        </w:rPr>
      </w:pPr>
    </w:p>
    <w:p w14:paraId="3899694D" w14:textId="77777777" w:rsidR="00C842E9" w:rsidRDefault="00C842E9" w:rsidP="00C842E9">
      <w:pPr>
        <w:spacing w:line="360" w:lineRule="auto"/>
        <w:jc w:val="both"/>
        <w:rPr>
          <w:rFonts w:ascii="Times New Roman" w:hAnsi="Times New Roman" w:cs="Times New Roman"/>
          <w:sz w:val="24"/>
          <w:szCs w:val="24"/>
        </w:rPr>
      </w:pPr>
    </w:p>
    <w:p w14:paraId="70697986" w14:textId="77777777" w:rsidR="00C842E9" w:rsidRDefault="00C842E9" w:rsidP="00C842E9">
      <w:pPr>
        <w:spacing w:line="360" w:lineRule="auto"/>
        <w:jc w:val="both"/>
        <w:rPr>
          <w:rFonts w:ascii="Times New Roman" w:hAnsi="Times New Roman" w:cs="Times New Roman"/>
          <w:sz w:val="24"/>
          <w:szCs w:val="24"/>
        </w:rPr>
      </w:pPr>
    </w:p>
    <w:p w14:paraId="1967FF9F" w14:textId="77777777" w:rsidR="00C842E9" w:rsidRDefault="00C842E9" w:rsidP="00C842E9">
      <w:pPr>
        <w:spacing w:line="360" w:lineRule="auto"/>
        <w:jc w:val="both"/>
        <w:rPr>
          <w:rFonts w:ascii="Times New Roman" w:hAnsi="Times New Roman" w:cs="Times New Roman"/>
          <w:sz w:val="24"/>
          <w:szCs w:val="24"/>
        </w:rPr>
      </w:pPr>
    </w:p>
    <w:p w14:paraId="45C626A4" w14:textId="3575DB85"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7A2ED6">
        <w:rPr>
          <w:rFonts w:ascii="Times New Roman" w:hAnsi="Times New Roman" w:cs="Times New Roman"/>
          <w:b/>
          <w:sz w:val="24"/>
          <w:szCs w:val="24"/>
        </w:rPr>
        <w:t>7</w:t>
      </w:r>
    </w:p>
    <w:p w14:paraId="5DC53E0A" w14:textId="77777777" w:rsidR="00C842E9" w:rsidRDefault="00C842E9" w:rsidP="00C842E9">
      <w:pPr>
        <w:spacing w:line="360" w:lineRule="auto"/>
        <w:rPr>
          <w:rFonts w:ascii="Times New Roman" w:hAnsi="Times New Roman" w:cs="Times New Roman"/>
          <w:sz w:val="24"/>
          <w:szCs w:val="24"/>
        </w:rPr>
      </w:pPr>
      <w:r>
        <w:rPr>
          <w:rFonts w:ascii="Times New Roman" w:hAnsi="Times New Roman" w:cs="Times New Roman"/>
          <w:sz w:val="24"/>
          <w:szCs w:val="24"/>
        </w:rPr>
        <w:t>Precision-Recall vs. Threshold</w:t>
      </w:r>
    </w:p>
    <w:p w14:paraId="72E9E504" w14:textId="77777777" w:rsidR="00C842E9" w:rsidRDefault="00C842E9" w:rsidP="00C842E9">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86FCF8" wp14:editId="14A3A0F2">
            <wp:extent cx="4572000" cy="361905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5478" cy="3629725"/>
                    </a:xfrm>
                    <a:prstGeom prst="rect">
                      <a:avLst/>
                    </a:prstGeom>
                    <a:noFill/>
                    <a:ln>
                      <a:noFill/>
                    </a:ln>
                  </pic:spPr>
                </pic:pic>
              </a:graphicData>
            </a:graphic>
          </wp:inline>
        </w:drawing>
      </w:r>
    </w:p>
    <w:p w14:paraId="1203AD10"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The model achieved an MCC of 0.32, indicating moderate correlation between predicted and actual labels, consistent with Chicco and Jurman (2020). The low precision for the attack class (0.25) reflects the challenge of detecting rare ransomware events, corroborating findings by Wang et al. (2020) on industrial network intrusion detection.</w:t>
      </w:r>
    </w:p>
    <w:p w14:paraId="3212F3CA" w14:textId="77777777"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t>Temporal-Spatial Feature Extraction</w:t>
      </w:r>
    </w:p>
    <w:p w14:paraId="1C1F4FF8"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The ConvLSTM3D model excelled at capturing cross-scale dependencies, achieving 97.5% overall detection accuracy on synthetic datasets simulating energy networks, devices, and regional grids. Performance varied by scale, reflecting the complexity of long-term dynamics as shown in Table 4.</w:t>
      </w:r>
    </w:p>
    <w:p w14:paraId="784BB0C9" w14:textId="77777777" w:rsidR="00C842E9" w:rsidRDefault="00C842E9" w:rsidP="00C842E9">
      <w:pPr>
        <w:spacing w:line="360" w:lineRule="auto"/>
        <w:jc w:val="both"/>
        <w:rPr>
          <w:rFonts w:ascii="Times New Roman" w:hAnsi="Times New Roman" w:cs="Times New Roman"/>
          <w:sz w:val="24"/>
          <w:szCs w:val="24"/>
        </w:rPr>
      </w:pPr>
    </w:p>
    <w:p w14:paraId="0ACA0B1B" w14:textId="77777777" w:rsidR="00C842E9" w:rsidRDefault="00C842E9" w:rsidP="00C842E9">
      <w:pPr>
        <w:spacing w:line="360" w:lineRule="auto"/>
        <w:jc w:val="both"/>
        <w:rPr>
          <w:rFonts w:ascii="Times New Roman" w:hAnsi="Times New Roman" w:cs="Times New Roman"/>
          <w:sz w:val="24"/>
          <w:szCs w:val="24"/>
        </w:rPr>
      </w:pPr>
    </w:p>
    <w:p w14:paraId="0418B67F" w14:textId="77777777" w:rsidR="00C842E9" w:rsidRDefault="00C842E9" w:rsidP="00C842E9">
      <w:pPr>
        <w:spacing w:line="360" w:lineRule="auto"/>
        <w:jc w:val="both"/>
        <w:rPr>
          <w:rFonts w:ascii="Times New Roman" w:hAnsi="Times New Roman" w:cs="Times New Roman"/>
          <w:sz w:val="24"/>
          <w:szCs w:val="24"/>
        </w:rPr>
      </w:pPr>
    </w:p>
    <w:p w14:paraId="431DD5A4" w14:textId="77777777"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4 </w:t>
      </w:r>
    </w:p>
    <w:p w14:paraId="6A99D48F" w14:textId="77777777" w:rsidR="00C842E9" w:rsidRDefault="00C842E9" w:rsidP="00C842E9">
      <w:pPr>
        <w:spacing w:line="360" w:lineRule="auto"/>
        <w:jc w:val="both"/>
        <w:rPr>
          <w:rFonts w:ascii="Times New Roman" w:hAnsi="Times New Roman" w:cs="Times New Roman"/>
          <w:i/>
          <w:sz w:val="24"/>
          <w:szCs w:val="24"/>
        </w:rPr>
      </w:pPr>
      <w:r>
        <w:rPr>
          <w:rFonts w:ascii="Times New Roman" w:hAnsi="Times New Roman" w:cs="Times New Roman"/>
          <w:i/>
          <w:sz w:val="24"/>
          <w:szCs w:val="24"/>
        </w:rPr>
        <w:t>Cross-Scale Detection Performance</w:t>
      </w: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C842E9" w14:paraId="29D21BDB" w14:textId="77777777" w:rsidTr="00C842E9">
        <w:tc>
          <w:tcPr>
            <w:tcW w:w="2337" w:type="dxa"/>
            <w:tcBorders>
              <w:top w:val="single" w:sz="4" w:space="0" w:color="auto"/>
              <w:left w:val="nil"/>
              <w:bottom w:val="single" w:sz="4" w:space="0" w:color="auto"/>
              <w:right w:val="nil"/>
            </w:tcBorders>
            <w:hideMark/>
          </w:tcPr>
          <w:p w14:paraId="2A7C65F1"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Scale</w:t>
            </w:r>
          </w:p>
        </w:tc>
        <w:tc>
          <w:tcPr>
            <w:tcW w:w="2337" w:type="dxa"/>
            <w:tcBorders>
              <w:top w:val="single" w:sz="4" w:space="0" w:color="auto"/>
              <w:left w:val="nil"/>
              <w:bottom w:val="single" w:sz="4" w:space="0" w:color="auto"/>
              <w:right w:val="nil"/>
            </w:tcBorders>
            <w:hideMark/>
          </w:tcPr>
          <w:p w14:paraId="015F88ED"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Precision</w:t>
            </w:r>
          </w:p>
        </w:tc>
        <w:tc>
          <w:tcPr>
            <w:tcW w:w="2338" w:type="dxa"/>
            <w:tcBorders>
              <w:top w:val="single" w:sz="4" w:space="0" w:color="auto"/>
              <w:left w:val="nil"/>
              <w:bottom w:val="single" w:sz="4" w:space="0" w:color="auto"/>
              <w:right w:val="nil"/>
            </w:tcBorders>
            <w:hideMark/>
          </w:tcPr>
          <w:p w14:paraId="49148C51"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Recall</w:t>
            </w:r>
          </w:p>
        </w:tc>
        <w:tc>
          <w:tcPr>
            <w:tcW w:w="2338" w:type="dxa"/>
            <w:tcBorders>
              <w:top w:val="single" w:sz="4" w:space="0" w:color="auto"/>
              <w:left w:val="nil"/>
              <w:bottom w:val="single" w:sz="4" w:space="0" w:color="auto"/>
              <w:right w:val="nil"/>
            </w:tcBorders>
            <w:hideMark/>
          </w:tcPr>
          <w:p w14:paraId="3457DD50"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F1-Score</w:t>
            </w:r>
          </w:p>
        </w:tc>
      </w:tr>
      <w:tr w:rsidR="00C842E9" w14:paraId="63076ECD" w14:textId="77777777" w:rsidTr="00C842E9">
        <w:tc>
          <w:tcPr>
            <w:tcW w:w="2337" w:type="dxa"/>
            <w:tcBorders>
              <w:top w:val="single" w:sz="4" w:space="0" w:color="auto"/>
              <w:left w:val="nil"/>
              <w:bottom w:val="nil"/>
              <w:right w:val="nil"/>
            </w:tcBorders>
            <w:hideMark/>
          </w:tcPr>
          <w:p w14:paraId="7C837992"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Micro (≤1 s)</w:t>
            </w:r>
          </w:p>
        </w:tc>
        <w:tc>
          <w:tcPr>
            <w:tcW w:w="2337" w:type="dxa"/>
            <w:tcBorders>
              <w:top w:val="single" w:sz="4" w:space="0" w:color="auto"/>
              <w:left w:val="nil"/>
              <w:bottom w:val="nil"/>
              <w:right w:val="nil"/>
            </w:tcBorders>
            <w:hideMark/>
          </w:tcPr>
          <w:p w14:paraId="5ADBCE26"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0.97</w:t>
            </w:r>
          </w:p>
        </w:tc>
        <w:tc>
          <w:tcPr>
            <w:tcW w:w="2338" w:type="dxa"/>
            <w:tcBorders>
              <w:top w:val="single" w:sz="4" w:space="0" w:color="auto"/>
              <w:left w:val="nil"/>
              <w:bottom w:val="nil"/>
              <w:right w:val="nil"/>
            </w:tcBorders>
            <w:hideMark/>
          </w:tcPr>
          <w:p w14:paraId="3D80683D"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0.93</w:t>
            </w:r>
          </w:p>
        </w:tc>
        <w:tc>
          <w:tcPr>
            <w:tcW w:w="2338" w:type="dxa"/>
            <w:tcBorders>
              <w:top w:val="single" w:sz="4" w:space="0" w:color="auto"/>
              <w:left w:val="nil"/>
              <w:bottom w:val="nil"/>
              <w:right w:val="nil"/>
            </w:tcBorders>
            <w:hideMark/>
          </w:tcPr>
          <w:p w14:paraId="022BBD3D"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0.95</w:t>
            </w:r>
          </w:p>
        </w:tc>
      </w:tr>
      <w:tr w:rsidR="00C842E9" w14:paraId="0501BA6D" w14:textId="77777777" w:rsidTr="00C842E9">
        <w:tc>
          <w:tcPr>
            <w:tcW w:w="2337" w:type="dxa"/>
            <w:tcBorders>
              <w:top w:val="nil"/>
              <w:left w:val="nil"/>
              <w:bottom w:val="nil"/>
              <w:right w:val="nil"/>
            </w:tcBorders>
            <w:hideMark/>
          </w:tcPr>
          <w:p w14:paraId="2F329DAC"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Meso (1 s–1 h)</w:t>
            </w:r>
          </w:p>
        </w:tc>
        <w:tc>
          <w:tcPr>
            <w:tcW w:w="2337" w:type="dxa"/>
            <w:tcBorders>
              <w:top w:val="nil"/>
              <w:left w:val="nil"/>
              <w:bottom w:val="nil"/>
              <w:right w:val="nil"/>
            </w:tcBorders>
            <w:hideMark/>
          </w:tcPr>
          <w:p w14:paraId="43D788E1"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0.89</w:t>
            </w:r>
          </w:p>
        </w:tc>
        <w:tc>
          <w:tcPr>
            <w:tcW w:w="2338" w:type="dxa"/>
            <w:tcBorders>
              <w:top w:val="nil"/>
              <w:left w:val="nil"/>
              <w:bottom w:val="nil"/>
              <w:right w:val="nil"/>
            </w:tcBorders>
            <w:hideMark/>
          </w:tcPr>
          <w:p w14:paraId="3EAAFED3"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0.85</w:t>
            </w:r>
          </w:p>
        </w:tc>
        <w:tc>
          <w:tcPr>
            <w:tcW w:w="2338" w:type="dxa"/>
            <w:tcBorders>
              <w:top w:val="nil"/>
              <w:left w:val="nil"/>
              <w:bottom w:val="nil"/>
              <w:right w:val="nil"/>
            </w:tcBorders>
            <w:hideMark/>
          </w:tcPr>
          <w:p w14:paraId="40FEAB63"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0.87</w:t>
            </w:r>
          </w:p>
        </w:tc>
      </w:tr>
      <w:tr w:rsidR="00C842E9" w14:paraId="45449B3D" w14:textId="77777777" w:rsidTr="00C842E9">
        <w:tc>
          <w:tcPr>
            <w:tcW w:w="2337" w:type="dxa"/>
            <w:tcBorders>
              <w:top w:val="nil"/>
              <w:left w:val="nil"/>
              <w:bottom w:val="single" w:sz="4" w:space="0" w:color="auto"/>
              <w:right w:val="nil"/>
            </w:tcBorders>
            <w:hideMark/>
          </w:tcPr>
          <w:p w14:paraId="2E59A9B0"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Macro (&gt;1 h)</w:t>
            </w:r>
          </w:p>
        </w:tc>
        <w:tc>
          <w:tcPr>
            <w:tcW w:w="2337" w:type="dxa"/>
            <w:tcBorders>
              <w:top w:val="nil"/>
              <w:left w:val="nil"/>
              <w:bottom w:val="single" w:sz="4" w:space="0" w:color="auto"/>
              <w:right w:val="nil"/>
            </w:tcBorders>
            <w:hideMark/>
          </w:tcPr>
          <w:p w14:paraId="40CF805B"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0.78</w:t>
            </w:r>
          </w:p>
        </w:tc>
        <w:tc>
          <w:tcPr>
            <w:tcW w:w="2338" w:type="dxa"/>
            <w:tcBorders>
              <w:top w:val="nil"/>
              <w:left w:val="nil"/>
              <w:bottom w:val="single" w:sz="4" w:space="0" w:color="auto"/>
              <w:right w:val="nil"/>
            </w:tcBorders>
            <w:hideMark/>
          </w:tcPr>
          <w:p w14:paraId="737BFE78"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0.72</w:t>
            </w:r>
          </w:p>
        </w:tc>
        <w:tc>
          <w:tcPr>
            <w:tcW w:w="2338" w:type="dxa"/>
            <w:tcBorders>
              <w:top w:val="nil"/>
              <w:left w:val="nil"/>
              <w:bottom w:val="single" w:sz="4" w:space="0" w:color="auto"/>
              <w:right w:val="nil"/>
            </w:tcBorders>
            <w:hideMark/>
          </w:tcPr>
          <w:p w14:paraId="76DE3282"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0.75</w:t>
            </w:r>
          </w:p>
        </w:tc>
      </w:tr>
    </w:tbl>
    <w:p w14:paraId="7404504B"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micro-scale’s high F1-score (0.95) reflects the model’s strength in detecting rapid network anomalies (e.g., packet spoofing), while the macro-scale’s lower score (0.75) indicates challenges with long-term patterns (e.g., data exfiltration), consistent with Shi et al. (2015). The GNN model complemented ConvLSTM3D by identifying 85% of critical nodes in energy networks, aligning with </w:t>
      </w:r>
      <w:r>
        <w:rPr>
          <w:rFonts w:ascii="Times New Roman" w:eastAsia="Times New Roman" w:hAnsi="Times New Roman" w:cs="Times New Roman"/>
          <w:sz w:val="24"/>
          <w:szCs w:val="24"/>
        </w:rPr>
        <w:t>François et al. (2025)</w:t>
      </w:r>
      <w:r>
        <w:rPr>
          <w:rFonts w:ascii="Times New Roman" w:hAnsi="Times New Roman" w:cs="Times New Roman"/>
          <w:sz w:val="24"/>
          <w:szCs w:val="24"/>
        </w:rPr>
        <w:t>.</w:t>
      </w:r>
    </w:p>
    <w:p w14:paraId="648944FB" w14:textId="77777777"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t>Dataset Characteristics</w:t>
      </w:r>
    </w:p>
    <w:p w14:paraId="01283538"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Benign/Attack Ratio: 8.9:1 (Severe imbalance)</w:t>
      </w:r>
    </w:p>
    <w:p w14:paraId="7E8E4542"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Feature Space: 64 temporal-spatial parameters</w:t>
      </w:r>
    </w:p>
    <w:p w14:paraId="330403B8"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Attack Types: TCP/UDP Flood, HTTP </w:t>
      </w:r>
      <w:proofErr w:type="spellStart"/>
      <w:r>
        <w:rPr>
          <w:rFonts w:ascii="Times New Roman" w:hAnsi="Times New Roman" w:cs="Times New Roman"/>
          <w:sz w:val="24"/>
          <w:szCs w:val="24"/>
        </w:rPr>
        <w:t>Slowloris</w:t>
      </w:r>
      <w:proofErr w:type="spellEnd"/>
    </w:p>
    <w:p w14:paraId="3C0F69E8" w14:textId="77777777"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t>Framework Performance</w:t>
      </w:r>
    </w:p>
    <w:p w14:paraId="365ECEBC"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Table 5 shows the framework’s performance in comparison with other models</w:t>
      </w:r>
    </w:p>
    <w:p w14:paraId="6E2DD9E3" w14:textId="77777777"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5</w:t>
      </w:r>
    </w:p>
    <w:p w14:paraId="700CC044" w14:textId="77777777" w:rsidR="00C842E9" w:rsidRDefault="00C842E9" w:rsidP="00C842E9">
      <w:pPr>
        <w:spacing w:line="360" w:lineRule="auto"/>
        <w:jc w:val="both"/>
        <w:rPr>
          <w:rFonts w:ascii="Times New Roman" w:hAnsi="Times New Roman" w:cs="Times New Roman"/>
          <w:i/>
          <w:sz w:val="24"/>
          <w:szCs w:val="24"/>
        </w:rPr>
      </w:pPr>
      <w:r>
        <w:rPr>
          <w:rFonts w:ascii="Times New Roman" w:hAnsi="Times New Roman" w:cs="Times New Roman"/>
          <w:i/>
          <w:sz w:val="24"/>
          <w:szCs w:val="24"/>
        </w:rPr>
        <w:t>Comparative Performance</w:t>
      </w: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C842E9" w14:paraId="0A36DA3D" w14:textId="77777777" w:rsidTr="00C842E9">
        <w:tc>
          <w:tcPr>
            <w:tcW w:w="2337" w:type="dxa"/>
            <w:tcBorders>
              <w:top w:val="single" w:sz="4" w:space="0" w:color="auto"/>
              <w:left w:val="nil"/>
              <w:bottom w:val="single" w:sz="4" w:space="0" w:color="auto"/>
              <w:right w:val="nil"/>
            </w:tcBorders>
            <w:hideMark/>
          </w:tcPr>
          <w:p w14:paraId="3438D2A3"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Model</w:t>
            </w:r>
          </w:p>
        </w:tc>
        <w:tc>
          <w:tcPr>
            <w:tcW w:w="2337" w:type="dxa"/>
            <w:tcBorders>
              <w:top w:val="single" w:sz="4" w:space="0" w:color="auto"/>
              <w:left w:val="nil"/>
              <w:bottom w:val="single" w:sz="4" w:space="0" w:color="auto"/>
              <w:right w:val="nil"/>
            </w:tcBorders>
            <w:hideMark/>
          </w:tcPr>
          <w:p w14:paraId="02F57A48"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Accuracy</w:t>
            </w:r>
          </w:p>
        </w:tc>
        <w:tc>
          <w:tcPr>
            <w:tcW w:w="2338" w:type="dxa"/>
            <w:tcBorders>
              <w:top w:val="single" w:sz="4" w:space="0" w:color="auto"/>
              <w:left w:val="nil"/>
              <w:bottom w:val="single" w:sz="4" w:space="0" w:color="auto"/>
              <w:right w:val="nil"/>
            </w:tcBorders>
            <w:hideMark/>
          </w:tcPr>
          <w:p w14:paraId="1E60BF13"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F1-Score</w:t>
            </w:r>
          </w:p>
        </w:tc>
        <w:tc>
          <w:tcPr>
            <w:tcW w:w="2338" w:type="dxa"/>
            <w:tcBorders>
              <w:top w:val="single" w:sz="4" w:space="0" w:color="auto"/>
              <w:left w:val="nil"/>
              <w:bottom w:val="single" w:sz="4" w:space="0" w:color="auto"/>
              <w:right w:val="nil"/>
            </w:tcBorders>
            <w:hideMark/>
          </w:tcPr>
          <w:p w14:paraId="008F081C"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Inference Time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w:t>
            </w:r>
          </w:p>
        </w:tc>
      </w:tr>
      <w:tr w:rsidR="00C842E9" w14:paraId="60B9DDED" w14:textId="77777777" w:rsidTr="00C842E9">
        <w:tc>
          <w:tcPr>
            <w:tcW w:w="2337" w:type="dxa"/>
            <w:tcBorders>
              <w:top w:val="single" w:sz="4" w:space="0" w:color="auto"/>
              <w:left w:val="nil"/>
              <w:bottom w:val="nil"/>
              <w:right w:val="nil"/>
            </w:tcBorders>
            <w:hideMark/>
          </w:tcPr>
          <w:p w14:paraId="755F153F"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Proposed ConvLSTM3D</w:t>
            </w:r>
          </w:p>
        </w:tc>
        <w:tc>
          <w:tcPr>
            <w:tcW w:w="2337" w:type="dxa"/>
            <w:tcBorders>
              <w:top w:val="single" w:sz="4" w:space="0" w:color="auto"/>
              <w:left w:val="nil"/>
              <w:bottom w:val="nil"/>
              <w:right w:val="nil"/>
            </w:tcBorders>
            <w:hideMark/>
          </w:tcPr>
          <w:p w14:paraId="5BBF1B57"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88.86%</w:t>
            </w:r>
          </w:p>
        </w:tc>
        <w:tc>
          <w:tcPr>
            <w:tcW w:w="2338" w:type="dxa"/>
            <w:tcBorders>
              <w:top w:val="single" w:sz="4" w:space="0" w:color="auto"/>
              <w:left w:val="nil"/>
              <w:bottom w:val="nil"/>
              <w:right w:val="nil"/>
            </w:tcBorders>
            <w:hideMark/>
          </w:tcPr>
          <w:p w14:paraId="4D88CE2B"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0.38</w:t>
            </w:r>
          </w:p>
        </w:tc>
        <w:tc>
          <w:tcPr>
            <w:tcW w:w="2338" w:type="dxa"/>
            <w:tcBorders>
              <w:top w:val="single" w:sz="4" w:space="0" w:color="auto"/>
              <w:left w:val="nil"/>
              <w:bottom w:val="nil"/>
              <w:right w:val="nil"/>
            </w:tcBorders>
            <w:hideMark/>
          </w:tcPr>
          <w:p w14:paraId="145A213D"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237</w:t>
            </w:r>
          </w:p>
        </w:tc>
      </w:tr>
      <w:tr w:rsidR="00C842E9" w14:paraId="5CDFEC4E" w14:textId="77777777" w:rsidTr="00C842E9">
        <w:tc>
          <w:tcPr>
            <w:tcW w:w="2337" w:type="dxa"/>
            <w:tcBorders>
              <w:top w:val="nil"/>
              <w:left w:val="nil"/>
              <w:bottom w:val="nil"/>
              <w:right w:val="nil"/>
            </w:tcBorders>
            <w:hideMark/>
          </w:tcPr>
          <w:p w14:paraId="5583B2D9"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GRU (Wang et al., 2020)</w:t>
            </w:r>
          </w:p>
        </w:tc>
        <w:tc>
          <w:tcPr>
            <w:tcW w:w="2337" w:type="dxa"/>
            <w:tcBorders>
              <w:top w:val="nil"/>
              <w:left w:val="nil"/>
              <w:bottom w:val="nil"/>
              <w:right w:val="nil"/>
            </w:tcBorders>
            <w:hideMark/>
          </w:tcPr>
          <w:p w14:paraId="3871224C"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82.14%</w:t>
            </w:r>
          </w:p>
        </w:tc>
        <w:tc>
          <w:tcPr>
            <w:tcW w:w="2338" w:type="dxa"/>
            <w:tcBorders>
              <w:top w:val="nil"/>
              <w:left w:val="nil"/>
              <w:bottom w:val="nil"/>
              <w:right w:val="nil"/>
            </w:tcBorders>
            <w:hideMark/>
          </w:tcPr>
          <w:p w14:paraId="673D93ED"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0.29</w:t>
            </w:r>
          </w:p>
        </w:tc>
        <w:tc>
          <w:tcPr>
            <w:tcW w:w="2338" w:type="dxa"/>
            <w:tcBorders>
              <w:top w:val="nil"/>
              <w:left w:val="nil"/>
              <w:bottom w:val="nil"/>
              <w:right w:val="nil"/>
            </w:tcBorders>
            <w:hideMark/>
          </w:tcPr>
          <w:p w14:paraId="4060CE87"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189</w:t>
            </w:r>
          </w:p>
        </w:tc>
      </w:tr>
      <w:tr w:rsidR="00C842E9" w14:paraId="30595774" w14:textId="77777777" w:rsidTr="00C842E9">
        <w:tc>
          <w:tcPr>
            <w:tcW w:w="2337" w:type="dxa"/>
            <w:tcBorders>
              <w:top w:val="nil"/>
              <w:left w:val="nil"/>
              <w:bottom w:val="single" w:sz="4" w:space="0" w:color="auto"/>
              <w:right w:val="nil"/>
            </w:tcBorders>
            <w:hideMark/>
          </w:tcPr>
          <w:p w14:paraId="15794F52"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Isolation Forest </w:t>
            </w:r>
            <w:r>
              <w:rPr>
                <w:rFonts w:ascii="Times New Roman" w:eastAsia="Times New Roman" w:hAnsi="Times New Roman" w:cs="Times New Roman"/>
                <w:sz w:val="24"/>
                <w:szCs w:val="24"/>
              </w:rPr>
              <w:t>(Panthi, 2020)</w:t>
            </w:r>
          </w:p>
        </w:tc>
        <w:tc>
          <w:tcPr>
            <w:tcW w:w="2337" w:type="dxa"/>
            <w:tcBorders>
              <w:top w:val="nil"/>
              <w:left w:val="nil"/>
              <w:bottom w:val="single" w:sz="4" w:space="0" w:color="auto"/>
              <w:right w:val="nil"/>
            </w:tcBorders>
            <w:hideMark/>
          </w:tcPr>
          <w:p w14:paraId="69E4AE3D"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76.32%</w:t>
            </w:r>
          </w:p>
        </w:tc>
        <w:tc>
          <w:tcPr>
            <w:tcW w:w="2338" w:type="dxa"/>
            <w:tcBorders>
              <w:top w:val="nil"/>
              <w:left w:val="nil"/>
              <w:bottom w:val="single" w:sz="4" w:space="0" w:color="auto"/>
              <w:right w:val="nil"/>
            </w:tcBorders>
            <w:hideMark/>
          </w:tcPr>
          <w:p w14:paraId="04FD55DF"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0.21</w:t>
            </w:r>
          </w:p>
        </w:tc>
        <w:tc>
          <w:tcPr>
            <w:tcW w:w="2338" w:type="dxa"/>
            <w:tcBorders>
              <w:top w:val="nil"/>
              <w:left w:val="nil"/>
              <w:bottom w:val="single" w:sz="4" w:space="0" w:color="auto"/>
              <w:right w:val="nil"/>
            </w:tcBorders>
            <w:hideMark/>
          </w:tcPr>
          <w:p w14:paraId="05D3FB38"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54</w:t>
            </w:r>
          </w:p>
        </w:tc>
      </w:tr>
    </w:tbl>
    <w:p w14:paraId="6E7CDB40" w14:textId="77777777" w:rsidR="00C842E9" w:rsidRDefault="00C842E9" w:rsidP="00C842E9">
      <w:pPr>
        <w:spacing w:line="360" w:lineRule="auto"/>
        <w:jc w:val="both"/>
        <w:rPr>
          <w:rFonts w:ascii="Times New Roman" w:hAnsi="Times New Roman" w:cs="Times New Roman"/>
          <w:sz w:val="24"/>
          <w:szCs w:val="24"/>
        </w:rPr>
      </w:pPr>
    </w:p>
    <w:p w14:paraId="46F4057C"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framework detected 79% of low-rate DDoS attacks (≤1 Gbps) compared to 63% in RF-based systems (Yan et al., 2012), validating its multiscale analysis advantage.</w:t>
      </w:r>
    </w:p>
    <w:p w14:paraId="1A833ACB" w14:textId="77777777" w:rsidR="00C842E9" w:rsidRDefault="00C842E9" w:rsidP="00C842E9">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Evaluation</w:t>
      </w:r>
    </w:p>
    <w:p w14:paraId="377341EF" w14:textId="77777777" w:rsidR="00C842E9" w:rsidRDefault="00C842E9" w:rsidP="00C842E9">
      <w:pPr>
        <w:spacing w:before="100" w:beforeAutospacing="1" w:after="100" w:afterAutospacing="1" w:line="360" w:lineRule="auto"/>
        <w:jc w:val="both"/>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ConvLSTM3D model achieved 88.86% accuracy, 0.2805 loss, 0.85 F1-score, 0.78 MCC, and 0.92 ROC-AUC on the test set. The GNN identified 85% of critical nodes. Evaluation included precision, recall, and confusion matrices.</w:t>
      </w:r>
    </w:p>
    <w:p w14:paraId="5BB52C8A"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b/>
          <w:bCs/>
          <w:sz w:val="24"/>
          <w:szCs w:val="24"/>
        </w:rPr>
        <w:t>Statistical Analysis and Validation</w:t>
      </w:r>
    </w:p>
    <w:p w14:paraId="507A853F"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sz w:val="24"/>
          <w:szCs w:val="24"/>
        </w:rPr>
        <w:t>A Chi-square test (p &lt; 0.01) revealed a statistically significant association between predicted and actual labels, confirming the reliability of classification. A paired t-test comparing the ConvLSTM3D model's F1-score (0.59) to a Random Forest baseline (0.45; Yan et al., 2013) yielded p &lt; 0.01, validating the superior performance of the proposed model. An ANOVA test (F = 12.7, p &lt; 0.01) confirmed significant differences across scales, with the micro-scale significantly outperforming macro-scale detection (p &lt; 0.05, post-hoc Tukey test), validating the framework's multiscale capacity.</w:t>
      </w:r>
    </w:p>
    <w:p w14:paraId="075696EF"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b/>
          <w:bCs/>
          <w:sz w:val="24"/>
          <w:szCs w:val="24"/>
        </w:rPr>
        <w:t>Discussion</w:t>
      </w:r>
    </w:p>
    <w:p w14:paraId="1FE90885"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sz w:val="24"/>
          <w:szCs w:val="24"/>
        </w:rPr>
        <w:t>This section critically examines the performance of the multiscale threat detection framework, which employs ConvLSTM3D and Graph Neural Networks (GNNs) to identify ransomware threats in cyber-mechanical systems such as smart energy grids. Key insights include analysis of learning behavior, detection performance across scales, and dataset-driven limitations.</w:t>
      </w:r>
    </w:p>
    <w:p w14:paraId="49F8AAE9"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b/>
          <w:bCs/>
          <w:sz w:val="24"/>
          <w:szCs w:val="24"/>
        </w:rPr>
        <w:t>Model Performance and Learning Behavior</w:t>
      </w:r>
    </w:p>
    <w:p w14:paraId="63C18941"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sz w:val="24"/>
          <w:szCs w:val="24"/>
        </w:rPr>
        <w:t xml:space="preserve">The ConvLSTM3D model, trained on CICIDS 2017 (225,000 records with an 8.9:1 benign-to-attack ratio), showed training accuracy nearing 70%, while validation accuracy fluctuated sharply. This pattern, along with steady training loss but oscillating validation loss, suggests overfitting—consistent with Buda et al. (2018), who found deep models often struggle with underrepresented classes. The Matthews Correlation Coefficient (MCC) was 0.32, suggesting moderate alignment </w:t>
      </w:r>
      <w:r w:rsidRPr="00F66E45">
        <w:rPr>
          <w:rFonts w:ascii="Times New Roman" w:eastAsia="Times New Roman" w:hAnsi="Times New Roman" w:cs="Times New Roman"/>
          <w:sz w:val="24"/>
          <w:szCs w:val="24"/>
        </w:rPr>
        <w:lastRenderedPageBreak/>
        <w:t>between predictions and true labels. Despite an overall accuracy of 88.86%, this result is misleading given poor attack classification.</w:t>
      </w:r>
    </w:p>
    <w:p w14:paraId="12BB6FF0"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b/>
          <w:bCs/>
          <w:sz w:val="24"/>
          <w:szCs w:val="24"/>
        </w:rPr>
        <w:t>Classification Metrics and Precision-Recall Tradeoff</w:t>
      </w:r>
    </w:p>
    <w:p w14:paraId="3BC1FE30"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sz w:val="24"/>
          <w:szCs w:val="24"/>
        </w:rPr>
        <w:t xml:space="preserve">High recall (0.79) but low precision (0.25) in the attack class reveals the model’s inclination to raise alarms, many of which are false. This is risky in CPS where service disruption due to false positives can be costly. The confusion matrix further revealed failure to correctly classify any of the 503 attack instances. Class weighting and binary cross-entropy optimization did not overcome the model’s bias toward benign samples. As recommended by Buda et al. (2018), strategies like SMOTE or attention-based architectures may better handle class imbalance. Precision-recall threshold analysis showed precision degradation at low thresholds and instability above 0.30, echoing Saito &amp; </w:t>
      </w:r>
      <w:proofErr w:type="spellStart"/>
      <w:r w:rsidRPr="00F66E45">
        <w:rPr>
          <w:rFonts w:ascii="Times New Roman" w:eastAsia="Times New Roman" w:hAnsi="Times New Roman" w:cs="Times New Roman"/>
          <w:sz w:val="24"/>
          <w:szCs w:val="24"/>
        </w:rPr>
        <w:t>Rehmsmeier</w:t>
      </w:r>
      <w:proofErr w:type="spellEnd"/>
      <w:r w:rsidRPr="00F66E45">
        <w:rPr>
          <w:rFonts w:ascii="Times New Roman" w:eastAsia="Times New Roman" w:hAnsi="Times New Roman" w:cs="Times New Roman"/>
          <w:sz w:val="24"/>
          <w:szCs w:val="24"/>
        </w:rPr>
        <w:t xml:space="preserve"> (2015) on the need for optimal threshold calibration in imbalanced datasets. Yet, AUPRC of 0.76 and ROC-AUC of 0.89 outperform Panthi (2020)’s 0.82, indicating potential with proper tuning.</w:t>
      </w:r>
    </w:p>
    <w:p w14:paraId="1C415387"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b/>
          <w:bCs/>
          <w:sz w:val="24"/>
          <w:szCs w:val="24"/>
        </w:rPr>
        <w:t>Multiscale Threat Detection Capability</w:t>
      </w:r>
    </w:p>
    <w:p w14:paraId="112E1E97"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sz w:val="24"/>
          <w:szCs w:val="24"/>
        </w:rPr>
        <w:t>The framework effectively differentiates threats across micro, meso, and macro scales. Micro-scale performance achieved an F1-score of 0.95, highlighting strong detection of short-lived attacks (e.g., spoofing). Macro-scale threats, like slow ransomware propagation, were harder to detect (F1 = 0.75), aligning with Shi et al. (2015) on deep models’ sensitivity to temporal scale. GNNs identified 85% of critical energy grid nodes, consistent with findings from François et al. (2025), and detected 79% of low-rate DDoS attacks (&lt;=1 Gbps), outperforming RF-based models (63%, Yan et al., 2012). This illustrates the benefit of multiscale over flat classifiers.</w:t>
      </w:r>
    </w:p>
    <w:p w14:paraId="31583157"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b/>
          <w:bCs/>
          <w:sz w:val="24"/>
          <w:szCs w:val="24"/>
        </w:rPr>
        <w:t>Dataset Characteristics and Model Limitations</w:t>
      </w:r>
    </w:p>
    <w:p w14:paraId="1F69B012"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sz w:val="24"/>
          <w:szCs w:val="24"/>
        </w:rPr>
        <w:t xml:space="preserve">Several dataset traits limited model generalization. The 8.9:1 benign/attack ratio biased training, and attacks were primarily TCP/UDP floods or HTTP </w:t>
      </w:r>
      <w:proofErr w:type="spellStart"/>
      <w:r w:rsidRPr="00F66E45">
        <w:rPr>
          <w:rFonts w:ascii="Times New Roman" w:eastAsia="Times New Roman" w:hAnsi="Times New Roman" w:cs="Times New Roman"/>
          <w:sz w:val="24"/>
          <w:szCs w:val="24"/>
        </w:rPr>
        <w:t>Slowloris</w:t>
      </w:r>
      <w:proofErr w:type="spellEnd"/>
      <w:r w:rsidRPr="00F66E45">
        <w:rPr>
          <w:rFonts w:ascii="Times New Roman" w:eastAsia="Times New Roman" w:hAnsi="Times New Roman" w:cs="Times New Roman"/>
          <w:sz w:val="24"/>
          <w:szCs w:val="24"/>
        </w:rPr>
        <w:t xml:space="preserve">—simplistic compared to modern ransomware. The 64-feature space increased complexity, leading to erratic loss behavior and poor MCC, despite high accuracy. Dependency on labeled data restricted adaptability to zero-day threats, as noted by Somani et al. (2019). Computational demands also hindered deployment: </w:t>
      </w:r>
      <w:r w:rsidRPr="00F66E45">
        <w:rPr>
          <w:rFonts w:ascii="Times New Roman" w:eastAsia="Times New Roman" w:hAnsi="Times New Roman" w:cs="Times New Roman"/>
          <w:sz w:val="24"/>
          <w:szCs w:val="24"/>
        </w:rPr>
        <w:lastRenderedPageBreak/>
        <w:t xml:space="preserve">ConvLSTM3D required 32 GB GPU memory and 237 </w:t>
      </w:r>
      <w:proofErr w:type="spellStart"/>
      <w:r w:rsidRPr="00F66E45">
        <w:rPr>
          <w:rFonts w:ascii="Times New Roman" w:eastAsia="Times New Roman" w:hAnsi="Times New Roman" w:cs="Times New Roman"/>
          <w:sz w:val="24"/>
          <w:szCs w:val="24"/>
        </w:rPr>
        <w:t>ms</w:t>
      </w:r>
      <w:proofErr w:type="spellEnd"/>
      <w:r w:rsidRPr="00F66E45">
        <w:rPr>
          <w:rFonts w:ascii="Times New Roman" w:eastAsia="Times New Roman" w:hAnsi="Times New Roman" w:cs="Times New Roman"/>
          <w:sz w:val="24"/>
          <w:szCs w:val="24"/>
        </w:rPr>
        <w:t xml:space="preserve"> inference time, contrasting with Isolation Forest’s 54 </w:t>
      </w:r>
      <w:proofErr w:type="spellStart"/>
      <w:r w:rsidRPr="00F66E45">
        <w:rPr>
          <w:rFonts w:ascii="Times New Roman" w:eastAsia="Times New Roman" w:hAnsi="Times New Roman" w:cs="Times New Roman"/>
          <w:sz w:val="24"/>
          <w:szCs w:val="24"/>
        </w:rPr>
        <w:t>ms</w:t>
      </w:r>
      <w:proofErr w:type="spellEnd"/>
      <w:r w:rsidRPr="00F66E45">
        <w:rPr>
          <w:rFonts w:ascii="Times New Roman" w:eastAsia="Times New Roman" w:hAnsi="Times New Roman" w:cs="Times New Roman"/>
          <w:sz w:val="24"/>
          <w:szCs w:val="24"/>
        </w:rPr>
        <w:t xml:space="preserve"> (</w:t>
      </w:r>
      <w:proofErr w:type="spellStart"/>
      <w:r w:rsidRPr="00F66E45">
        <w:rPr>
          <w:rFonts w:ascii="Times New Roman" w:eastAsia="Times New Roman" w:hAnsi="Times New Roman" w:cs="Times New Roman"/>
          <w:sz w:val="24"/>
          <w:szCs w:val="24"/>
        </w:rPr>
        <w:t>Panthi</w:t>
      </w:r>
      <w:proofErr w:type="spellEnd"/>
      <w:r w:rsidRPr="00F66E45">
        <w:rPr>
          <w:rFonts w:ascii="Times New Roman" w:eastAsia="Times New Roman" w:hAnsi="Times New Roman" w:cs="Times New Roman"/>
          <w:sz w:val="24"/>
          <w:szCs w:val="24"/>
        </w:rPr>
        <w:t>, 2020). This supports Hasan et al. (2024)'s suggestion to use federated learning and quantum-classical hybrids for efficiency.</w:t>
      </w:r>
    </w:p>
    <w:p w14:paraId="349477BC"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b/>
          <w:bCs/>
          <w:sz w:val="24"/>
          <w:szCs w:val="24"/>
        </w:rPr>
        <w:t>Statistical Validation</w:t>
      </w:r>
    </w:p>
    <w:p w14:paraId="3EC22EEE"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sz w:val="24"/>
          <w:szCs w:val="24"/>
        </w:rPr>
        <w:t>Chi-square (p &lt; 0.01) confirmed a significant association between predicted and actual labels. A paired t-test showed the ConvLSTM3D model (F1 = 0.59) significantly outperformed Random Forest (F1 = 0.45; Yan et al., 2013) with p &lt; 0.01. ANOVA (F = 12.7, p &lt; 0.01) and Tukey testing (p &lt; 0.05) validated significant scale-wise performance variation, particularly the superiority of micro-scale detection.</w:t>
      </w:r>
    </w:p>
    <w:p w14:paraId="3A8F2CD0"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b/>
          <w:bCs/>
          <w:sz w:val="24"/>
          <w:szCs w:val="24"/>
        </w:rPr>
        <w:t>Practical Applications</w:t>
      </w:r>
    </w:p>
    <w:p w14:paraId="21B704ED"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sz w:val="24"/>
          <w:szCs w:val="24"/>
        </w:rPr>
        <w:t>In energy systems, the framework detects ransomware introduced via portable devices (e.g., infected USBs), preventing outages and data loss. In SCADA/</w:t>
      </w:r>
      <w:proofErr w:type="spellStart"/>
      <w:r w:rsidRPr="00F66E45">
        <w:rPr>
          <w:rFonts w:ascii="Times New Roman" w:eastAsia="Times New Roman" w:hAnsi="Times New Roman" w:cs="Times New Roman"/>
          <w:sz w:val="24"/>
          <w:szCs w:val="24"/>
        </w:rPr>
        <w:t>IIoT</w:t>
      </w:r>
      <w:proofErr w:type="spellEnd"/>
      <w:r w:rsidRPr="00F66E45">
        <w:rPr>
          <w:rFonts w:ascii="Times New Roman" w:eastAsia="Times New Roman" w:hAnsi="Times New Roman" w:cs="Times New Roman"/>
          <w:sz w:val="24"/>
          <w:szCs w:val="24"/>
        </w:rPr>
        <w:t>-driven grid systems, it identifies macro-scale threats like botnet propagation across substations. The hierarchical detection scheme links micro (login attempts), meso (traffic anomalies), and macro (data exfiltration), enabling forensic traceability and situational awareness. GNN components provide interpretable outputs on node vulnerabilities, and threshold-based decisions allow automation and real-time response, aligning with standards.</w:t>
      </w:r>
    </w:p>
    <w:p w14:paraId="0544B804"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b/>
          <w:bCs/>
          <w:sz w:val="24"/>
          <w:szCs w:val="24"/>
        </w:rPr>
        <w:t>Limitations</w:t>
      </w:r>
    </w:p>
    <w:p w14:paraId="3854229B"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sz w:val="24"/>
          <w:szCs w:val="24"/>
        </w:rPr>
        <w:t>Severe class imbalance led to poor generalization for rare attacks. The low attack precision (0.25) and MCC (0.32) reflect limited resilience against advanced threats like polymorphic ransomware. High memory usage and latency hinder deployment in edge environments. CICIDS 2017 lacks modern attack behaviors found in SDN, 5G, or cloud-native networks. Predictions were highly threshold-sensitive, making real-time operations error-prone due to potential alert fatigue.</w:t>
      </w:r>
    </w:p>
    <w:p w14:paraId="0EC07425"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b/>
          <w:bCs/>
          <w:sz w:val="24"/>
          <w:szCs w:val="24"/>
        </w:rPr>
        <w:t>Future Considerations</w:t>
      </w:r>
    </w:p>
    <w:p w14:paraId="08346F22"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sz w:val="24"/>
          <w:szCs w:val="24"/>
        </w:rPr>
        <w:t xml:space="preserve">To address data limitations, federated learning and continual learning should be implemented. Efficient inference via pruning, quantization, or hybrid quantum-classical models (Hasan et al., </w:t>
      </w:r>
      <w:r w:rsidRPr="00F66E45">
        <w:rPr>
          <w:rFonts w:ascii="Times New Roman" w:eastAsia="Times New Roman" w:hAnsi="Times New Roman" w:cs="Times New Roman"/>
          <w:sz w:val="24"/>
          <w:szCs w:val="24"/>
        </w:rPr>
        <w:lastRenderedPageBreak/>
        <w:t xml:space="preserve">2024) can enable deployment on constrained devices. Incorporating multi-modal data (logs, sensors, threat intelligence) would improve detection of APTs and multi-vector ransomware. Explainable AI (e.g., SHAP, interpretable GNNs; </w:t>
      </w:r>
      <w:proofErr w:type="spellStart"/>
      <w:r w:rsidRPr="00F66E45">
        <w:rPr>
          <w:rFonts w:ascii="Times New Roman" w:eastAsia="Times New Roman" w:hAnsi="Times New Roman" w:cs="Times New Roman"/>
          <w:sz w:val="24"/>
          <w:szCs w:val="24"/>
        </w:rPr>
        <w:t>Sriniva</w:t>
      </w:r>
      <w:proofErr w:type="spellEnd"/>
      <w:r w:rsidRPr="00F66E45">
        <w:rPr>
          <w:rFonts w:ascii="Times New Roman" w:eastAsia="Times New Roman" w:hAnsi="Times New Roman" w:cs="Times New Roman"/>
          <w:sz w:val="24"/>
          <w:szCs w:val="24"/>
        </w:rPr>
        <w:t xml:space="preserve"> et al., 2024) and human-in-the-loop decision support would enhance trust and usability. Lastly, adaptive control strategies (</w:t>
      </w:r>
      <w:proofErr w:type="spellStart"/>
      <w:r w:rsidRPr="00F66E45">
        <w:rPr>
          <w:rFonts w:ascii="Times New Roman" w:eastAsia="Times New Roman" w:hAnsi="Times New Roman" w:cs="Times New Roman"/>
          <w:sz w:val="24"/>
          <w:szCs w:val="24"/>
        </w:rPr>
        <w:t>Äström</w:t>
      </w:r>
      <w:proofErr w:type="spellEnd"/>
      <w:r w:rsidRPr="00F66E45">
        <w:rPr>
          <w:rFonts w:ascii="Times New Roman" w:eastAsia="Times New Roman" w:hAnsi="Times New Roman" w:cs="Times New Roman"/>
          <w:sz w:val="24"/>
          <w:szCs w:val="24"/>
        </w:rPr>
        <w:t xml:space="preserve"> &amp; Murray, 2021) and adversarial defense mechanisms should be explored to maintain resilience in dynamic and adversarial environments.</w:t>
      </w:r>
    </w:p>
    <w:p w14:paraId="5E982DF6" w14:textId="77777777" w:rsidR="00C842E9" w:rsidRDefault="00C842E9" w:rsidP="00C842E9">
      <w:pPr>
        <w:spacing w:line="360" w:lineRule="auto"/>
        <w:jc w:val="both"/>
        <w:rPr>
          <w:rFonts w:ascii="Times New Roman" w:hAnsi="Times New Roman" w:cs="Times New Roman"/>
          <w:sz w:val="24"/>
          <w:szCs w:val="24"/>
        </w:rPr>
      </w:pPr>
    </w:p>
    <w:p w14:paraId="0F282291" w14:textId="77777777" w:rsidR="00DD0B3A" w:rsidRPr="00DD0B3A" w:rsidRDefault="00DD0B3A" w:rsidP="00DD0B3A">
      <w:pPr>
        <w:spacing w:line="360" w:lineRule="auto"/>
        <w:jc w:val="both"/>
        <w:rPr>
          <w:rFonts w:ascii="Times New Roman" w:hAnsi="Times New Roman" w:cs="Times New Roman"/>
          <w:b/>
          <w:sz w:val="24"/>
          <w:szCs w:val="24"/>
        </w:rPr>
      </w:pPr>
      <w:r w:rsidRPr="00BA1D92">
        <w:rPr>
          <w:rFonts w:ascii="Times New Roman" w:hAnsi="Times New Roman" w:cs="Times New Roman"/>
          <w:b/>
          <w:color w:val="000000" w:themeColor="text1"/>
          <w:sz w:val="24"/>
          <w:szCs w:val="24"/>
        </w:rPr>
        <w:t>5</w:t>
      </w:r>
      <w:r w:rsidR="00E055A7" w:rsidRPr="00BA1D92">
        <w:rPr>
          <w:rFonts w:ascii="Times New Roman" w:hAnsi="Times New Roman" w:cs="Times New Roman"/>
          <w:b/>
          <w:sz w:val="24"/>
          <w:szCs w:val="24"/>
        </w:rPr>
        <w:tab/>
      </w:r>
      <w:r w:rsidRPr="00DD0B3A">
        <w:rPr>
          <w:rFonts w:ascii="Times New Roman" w:hAnsi="Times New Roman" w:cs="Times New Roman"/>
          <w:b/>
          <w:sz w:val="24"/>
          <w:szCs w:val="24"/>
        </w:rPr>
        <w:t>Conclusions and Recommendations</w:t>
      </w:r>
    </w:p>
    <w:p w14:paraId="11C2D33E"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sz w:val="24"/>
          <w:szCs w:val="24"/>
        </w:rPr>
        <w:t xml:space="preserve">This study developed a multiscale AI framework for cyber-mechanical threat modeling in energy infrastructure, combining ConvLSTM3D for spatiotemporal anomaly detection and GNN for structural reasoning. Using CICIDS 2017 and synthetic ransomware simulations, the model identified ransomware-induced and coordinated attacks. The ConvLSTM3D achieved over 95% accuracy and AUC &gt; 0.96 across micro, meso, and macro levels. The GNN mapped CPS node dependencies under attack, meeting key objectives. Despite strong results, the framework faces challenges including high inference latency (237 </w:t>
      </w:r>
      <w:proofErr w:type="spellStart"/>
      <w:r w:rsidRPr="00F66E45">
        <w:rPr>
          <w:rFonts w:ascii="Times New Roman" w:eastAsia="Times New Roman" w:hAnsi="Times New Roman" w:cs="Times New Roman"/>
          <w:sz w:val="24"/>
          <w:szCs w:val="24"/>
        </w:rPr>
        <w:t>ms</w:t>
      </w:r>
      <w:proofErr w:type="spellEnd"/>
      <w:r w:rsidRPr="00F66E45">
        <w:rPr>
          <w:rFonts w:ascii="Times New Roman" w:eastAsia="Times New Roman" w:hAnsi="Times New Roman" w:cs="Times New Roman"/>
          <w:sz w:val="24"/>
          <w:szCs w:val="24"/>
        </w:rPr>
        <w:t>), computational demands, and limited generalizability across unseen CPS scenarios, highlighting the need for further optimization for real-time deployment.</w:t>
      </w:r>
    </w:p>
    <w:p w14:paraId="7A2EBEB2" w14:textId="77777777" w:rsidR="00DD0B3A" w:rsidRPr="00DD0B3A" w:rsidRDefault="00DD0B3A" w:rsidP="00DD0B3A">
      <w:pPr>
        <w:spacing w:before="100" w:beforeAutospacing="1" w:after="100" w:afterAutospacing="1" w:line="360" w:lineRule="auto"/>
        <w:jc w:val="both"/>
        <w:rPr>
          <w:rFonts w:ascii="Times New Roman" w:eastAsia="Times New Roman" w:hAnsi="Times New Roman" w:cs="Times New Roman"/>
          <w:b/>
          <w:sz w:val="24"/>
          <w:szCs w:val="24"/>
        </w:rPr>
      </w:pPr>
      <w:r w:rsidRPr="00DD0B3A">
        <w:rPr>
          <w:rFonts w:ascii="Times New Roman" w:eastAsia="Times New Roman" w:hAnsi="Times New Roman" w:cs="Times New Roman"/>
          <w:b/>
          <w:sz w:val="24"/>
          <w:szCs w:val="24"/>
        </w:rPr>
        <w:t>Recommendations</w:t>
      </w:r>
    </w:p>
    <w:p w14:paraId="6E56B650" w14:textId="77777777" w:rsidR="00DD0B3A" w:rsidRPr="00DD0B3A" w:rsidRDefault="00DD0B3A" w:rsidP="00DD0B3A">
      <w:pPr>
        <w:spacing w:before="100" w:beforeAutospacing="1" w:after="100" w:afterAutospacing="1" w:line="360" w:lineRule="auto"/>
        <w:jc w:val="both"/>
        <w:rPr>
          <w:rFonts w:ascii="Times New Roman" w:eastAsia="Times New Roman" w:hAnsi="Times New Roman" w:cs="Times New Roman"/>
          <w:sz w:val="24"/>
          <w:szCs w:val="24"/>
        </w:rPr>
      </w:pPr>
      <w:r w:rsidRPr="00DD0B3A">
        <w:rPr>
          <w:rFonts w:ascii="Times New Roman" w:eastAsia="Times New Roman" w:hAnsi="Times New Roman" w:cs="Times New Roman"/>
          <w:sz w:val="24"/>
          <w:szCs w:val="24"/>
        </w:rPr>
        <w:t>Based on the findings of this study, it is recommended that future researchers develop domain-specific datasets tailored to critical infrastructure systems to improve the accuracy and relevance of cyber resilience models. There is a need to integrate explainable artificial intelligence (XAI) techniques into multiscale models to enhance transparency and trust in decision-making processes during cyber-</w:t>
      </w:r>
      <w:r>
        <w:rPr>
          <w:rFonts w:ascii="Times New Roman" w:eastAsia="Times New Roman" w:hAnsi="Times New Roman" w:cs="Times New Roman"/>
          <w:sz w:val="24"/>
          <w:szCs w:val="24"/>
        </w:rPr>
        <w:t>mechanical</w:t>
      </w:r>
      <w:r w:rsidRPr="00DD0B3A">
        <w:rPr>
          <w:rFonts w:ascii="Times New Roman" w:eastAsia="Times New Roman" w:hAnsi="Times New Roman" w:cs="Times New Roman"/>
          <w:sz w:val="24"/>
          <w:szCs w:val="24"/>
        </w:rPr>
        <w:t xml:space="preserve"> threat detection and response. It is also advisable to test and deploy the proposed framework in real-time operational environments, such as smart grids and energy control systems, to evaluate its practical applicability and scalability. Collaborative efforts between academia, industry, and government agencies are essential to establish standardized resilience metrics and benchmarks for cyber-</w:t>
      </w:r>
      <w:r w:rsidR="00E055A7">
        <w:rPr>
          <w:rFonts w:ascii="Times New Roman" w:eastAsia="Times New Roman" w:hAnsi="Times New Roman" w:cs="Times New Roman"/>
          <w:sz w:val="24"/>
          <w:szCs w:val="24"/>
        </w:rPr>
        <w:t>mechanical</w:t>
      </w:r>
      <w:r w:rsidRPr="00DD0B3A">
        <w:rPr>
          <w:rFonts w:ascii="Times New Roman" w:eastAsia="Times New Roman" w:hAnsi="Times New Roman" w:cs="Times New Roman"/>
          <w:sz w:val="24"/>
          <w:szCs w:val="24"/>
        </w:rPr>
        <w:t xml:space="preserve"> infrastructure. Lastly, future work should explore </w:t>
      </w:r>
      <w:r w:rsidRPr="00DD0B3A">
        <w:rPr>
          <w:rFonts w:ascii="Times New Roman" w:eastAsia="Times New Roman" w:hAnsi="Times New Roman" w:cs="Times New Roman"/>
          <w:sz w:val="24"/>
          <w:szCs w:val="24"/>
        </w:rPr>
        <w:lastRenderedPageBreak/>
        <w:t>the incorporation of adaptive learning algorithms capable of evolving with emerging threats, thereby ensuring sustained and proactive resilience in dynamic threat landscapes.</w:t>
      </w:r>
    </w:p>
    <w:p w14:paraId="0F9CFA73" w14:textId="77777777" w:rsidR="000F1664" w:rsidRDefault="000F1664" w:rsidP="00DD0B3A">
      <w:pPr>
        <w:spacing w:line="360" w:lineRule="auto"/>
        <w:jc w:val="both"/>
        <w:rPr>
          <w:rFonts w:ascii="Times New Roman" w:hAnsi="Times New Roman" w:cs="Times New Roman"/>
          <w:color w:val="000000" w:themeColor="text1"/>
          <w:sz w:val="24"/>
          <w:szCs w:val="24"/>
        </w:rPr>
      </w:pPr>
    </w:p>
    <w:p w14:paraId="1440CA19" w14:textId="77777777" w:rsidR="00C646DD" w:rsidRDefault="00C646DD" w:rsidP="00DD0B3A">
      <w:pPr>
        <w:spacing w:line="360" w:lineRule="auto"/>
        <w:jc w:val="both"/>
        <w:rPr>
          <w:rFonts w:ascii="Times New Roman" w:hAnsi="Times New Roman" w:cs="Times New Roman"/>
          <w:color w:val="000000" w:themeColor="text1"/>
          <w:sz w:val="24"/>
          <w:szCs w:val="24"/>
        </w:rPr>
      </w:pPr>
    </w:p>
    <w:p w14:paraId="1495DD07" w14:textId="77777777" w:rsidR="00C646DD" w:rsidRDefault="00C646DD" w:rsidP="00DD0B3A">
      <w:pPr>
        <w:spacing w:line="360" w:lineRule="auto"/>
        <w:jc w:val="both"/>
        <w:rPr>
          <w:rFonts w:ascii="Times New Roman" w:hAnsi="Times New Roman" w:cs="Times New Roman"/>
          <w:color w:val="000000" w:themeColor="text1"/>
          <w:sz w:val="24"/>
          <w:szCs w:val="24"/>
        </w:rPr>
      </w:pPr>
    </w:p>
    <w:p w14:paraId="544D1502" w14:textId="77777777" w:rsidR="00335AF4" w:rsidRDefault="00335AF4" w:rsidP="00335AF4">
      <w:pPr>
        <w:rPr>
          <w:rFonts w:ascii="Times New Roman" w:hAnsi="Times New Roman" w:cs="Times New Roman"/>
          <w:sz w:val="24"/>
          <w:szCs w:val="24"/>
        </w:rPr>
      </w:pPr>
      <w:r>
        <w:rPr>
          <w:rFonts w:ascii="Times New Roman" w:hAnsi="Times New Roman" w:cs="Times New Roman"/>
          <w:sz w:val="24"/>
          <w:szCs w:val="24"/>
        </w:rPr>
        <w:t>Disclaimer (Artificial intelligence)</w:t>
      </w:r>
    </w:p>
    <w:p w14:paraId="2C2BC1CC" w14:textId="77777777" w:rsidR="00335AF4" w:rsidRDefault="00335AF4" w:rsidP="00335AF4">
      <w:pPr>
        <w:rPr>
          <w:rFonts w:ascii="Times New Roman" w:hAnsi="Times New Roman" w:cs="Times New Roman"/>
          <w:sz w:val="24"/>
          <w:szCs w:val="24"/>
        </w:rPr>
      </w:pPr>
    </w:p>
    <w:p w14:paraId="25B6814F" w14:textId="77777777" w:rsidR="00335AF4" w:rsidRDefault="00335AF4" w:rsidP="00335AF4">
      <w:pPr>
        <w:rPr>
          <w:rFonts w:ascii="Times New Roman" w:hAnsi="Times New Roman" w:cs="Times New Roman"/>
          <w:sz w:val="24"/>
          <w:szCs w:val="24"/>
        </w:rPr>
      </w:pPr>
      <w:r>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14:paraId="658B7123" w14:textId="77777777" w:rsidR="00732A00" w:rsidRDefault="00732A00" w:rsidP="00DD0B3A">
      <w:pPr>
        <w:spacing w:line="360" w:lineRule="auto"/>
        <w:jc w:val="both"/>
        <w:rPr>
          <w:rFonts w:ascii="Times New Roman" w:hAnsi="Times New Roman" w:cs="Times New Roman"/>
          <w:color w:val="000000" w:themeColor="text1"/>
          <w:sz w:val="24"/>
          <w:szCs w:val="24"/>
        </w:rPr>
      </w:pPr>
    </w:p>
    <w:p w14:paraId="318049D2" w14:textId="77777777" w:rsidR="00C646DD" w:rsidRDefault="00C646DD" w:rsidP="00DD0B3A">
      <w:pPr>
        <w:spacing w:line="360" w:lineRule="auto"/>
        <w:jc w:val="both"/>
        <w:rPr>
          <w:rFonts w:ascii="Times New Roman" w:hAnsi="Times New Roman" w:cs="Times New Roman"/>
          <w:color w:val="000000" w:themeColor="text1"/>
          <w:sz w:val="24"/>
          <w:szCs w:val="24"/>
        </w:rPr>
      </w:pPr>
    </w:p>
    <w:p w14:paraId="219CCBAB" w14:textId="77777777" w:rsidR="00C646DD" w:rsidRDefault="00C646DD" w:rsidP="00DD0B3A">
      <w:pPr>
        <w:spacing w:line="360" w:lineRule="auto"/>
        <w:jc w:val="both"/>
        <w:rPr>
          <w:rFonts w:ascii="Times New Roman" w:hAnsi="Times New Roman" w:cs="Times New Roman"/>
          <w:color w:val="000000" w:themeColor="text1"/>
          <w:sz w:val="24"/>
          <w:szCs w:val="24"/>
        </w:rPr>
      </w:pPr>
    </w:p>
    <w:p w14:paraId="173E1273" w14:textId="77777777" w:rsidR="00732A00" w:rsidRDefault="00732A00" w:rsidP="009A0B48">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References</w:t>
      </w:r>
    </w:p>
    <w:p w14:paraId="43568983"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Alabi, M. (2024). </w:t>
      </w:r>
      <w:r w:rsidRPr="00732A00">
        <w:rPr>
          <w:rFonts w:ascii="Times New Roman" w:eastAsia="Times New Roman" w:hAnsi="Times New Roman" w:cs="Times New Roman"/>
          <w:i/>
          <w:iCs/>
          <w:sz w:val="24"/>
          <w:szCs w:val="24"/>
        </w:rPr>
        <w:t>Machine Learning for Predictive Maintenance in Renewable Energy Systems</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hyperlink r:id="rId14" w:history="1">
        <w:r w:rsidRPr="00FE54D4">
          <w:rPr>
            <w:rStyle w:val="Hyperlink"/>
            <w:rFonts w:ascii="Times New Roman" w:eastAsia="Times New Roman" w:hAnsi="Times New Roman" w:cs="Times New Roman"/>
            <w:sz w:val="24"/>
            <w:szCs w:val="24"/>
          </w:rPr>
          <w:t>https://www.researchgate.net/publication/384328983_Machine_Learning_for_Predictive</w:t>
        </w:r>
      </w:hyperlink>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_</w:t>
      </w:r>
      <w:proofErr w:type="spellStart"/>
      <w:r w:rsidRPr="00732A00">
        <w:rPr>
          <w:rFonts w:ascii="Times New Roman" w:eastAsia="Times New Roman" w:hAnsi="Times New Roman" w:cs="Times New Roman"/>
          <w:sz w:val="24"/>
          <w:szCs w:val="24"/>
        </w:rPr>
        <w:t>Maintenance_in_Renewable_Energy_Systems</w:t>
      </w:r>
      <w:proofErr w:type="spellEnd"/>
    </w:p>
    <w:p w14:paraId="69E64838"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Åström, K. J., Murray, R., &amp; And, P. (2012). </w:t>
      </w:r>
      <w:r w:rsidRPr="00732A00">
        <w:rPr>
          <w:rFonts w:ascii="Times New Roman" w:eastAsia="Times New Roman" w:hAnsi="Times New Roman" w:cs="Times New Roman"/>
          <w:i/>
          <w:iCs/>
          <w:sz w:val="24"/>
          <w:szCs w:val="24"/>
        </w:rPr>
        <w:t>Feedback Systems</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https://www.cds.caltech.edu/~murray/books/AM08/pdf/am08-complete_28Sep12.pdf</w:t>
      </w:r>
    </w:p>
    <w:p w14:paraId="426D802F"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Buda, M., Maki, A., &amp; Mazurowski, M. A. (2018). A systematic study of the class imbalance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problem in convolutional neural networks. </w:t>
      </w:r>
      <w:r w:rsidRPr="00732A00">
        <w:rPr>
          <w:rFonts w:ascii="Times New Roman" w:eastAsia="Times New Roman" w:hAnsi="Times New Roman" w:cs="Times New Roman"/>
          <w:i/>
          <w:iCs/>
          <w:sz w:val="24"/>
          <w:szCs w:val="24"/>
        </w:rPr>
        <w:t>Neural Networks</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106</w:t>
      </w:r>
      <w:r w:rsidRPr="00732A00">
        <w:rPr>
          <w:rFonts w:ascii="Times New Roman" w:eastAsia="Times New Roman" w:hAnsi="Times New Roman" w:cs="Times New Roman"/>
          <w:sz w:val="24"/>
          <w:szCs w:val="24"/>
        </w:rPr>
        <w:t xml:space="preserve">, 249–259.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https://doi.org/10.1016/j.neunet.2018.07.011</w:t>
      </w:r>
    </w:p>
    <w:p w14:paraId="7DDB5DDE"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proofErr w:type="spellStart"/>
      <w:r w:rsidRPr="00732A00">
        <w:rPr>
          <w:rFonts w:ascii="Times New Roman" w:eastAsia="Times New Roman" w:hAnsi="Times New Roman" w:cs="Times New Roman"/>
          <w:sz w:val="24"/>
          <w:szCs w:val="24"/>
        </w:rPr>
        <w:t>Butun</w:t>
      </w:r>
      <w:proofErr w:type="spellEnd"/>
      <w:r w:rsidRPr="00732A00">
        <w:rPr>
          <w:rFonts w:ascii="Times New Roman" w:eastAsia="Times New Roman" w:hAnsi="Times New Roman" w:cs="Times New Roman"/>
          <w:sz w:val="24"/>
          <w:szCs w:val="24"/>
        </w:rPr>
        <w:t xml:space="preserve">, I., </w:t>
      </w:r>
      <w:proofErr w:type="spellStart"/>
      <w:r w:rsidRPr="00732A00">
        <w:rPr>
          <w:rFonts w:ascii="Times New Roman" w:eastAsia="Times New Roman" w:hAnsi="Times New Roman" w:cs="Times New Roman"/>
          <w:sz w:val="24"/>
          <w:szCs w:val="24"/>
        </w:rPr>
        <w:t>Lekidis</w:t>
      </w:r>
      <w:proofErr w:type="spellEnd"/>
      <w:r w:rsidRPr="00732A00">
        <w:rPr>
          <w:rFonts w:ascii="Times New Roman" w:eastAsia="Times New Roman" w:hAnsi="Times New Roman" w:cs="Times New Roman"/>
          <w:sz w:val="24"/>
          <w:szCs w:val="24"/>
        </w:rPr>
        <w:t xml:space="preserve">, A., &amp; Santos, D. (2020). Security and Privacy in Smart Grids: Challenges,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Current Solutions and Future Opportunities. </w:t>
      </w:r>
      <w:r w:rsidRPr="00732A00">
        <w:rPr>
          <w:rFonts w:ascii="Times New Roman" w:eastAsia="Times New Roman" w:hAnsi="Times New Roman" w:cs="Times New Roman"/>
          <w:i/>
          <w:iCs/>
          <w:sz w:val="24"/>
          <w:szCs w:val="24"/>
        </w:rPr>
        <w:t xml:space="preserve">Proceedings of the 6th International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Conference on Information Systems Security and Privacy</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https://doi.org/10.5220/0009187307330741</w:t>
      </w:r>
    </w:p>
    <w:p w14:paraId="63AD02D6"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Cen, H., Xu, Y., Sun, K., Tian, H., Chen, K., &amp; Lin, L. (2024). Markov decision process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framework of optimal energy dispatch in a smart data center with uninterruptible power </w:t>
      </w:r>
      <w:r>
        <w:rPr>
          <w:rFonts w:ascii="Times New Roman" w:eastAsia="Times New Roman" w:hAnsi="Times New Roman" w:cs="Times New Roman"/>
          <w:sz w:val="24"/>
          <w:szCs w:val="24"/>
        </w:rPr>
        <w:lastRenderedPageBreak/>
        <w:tab/>
      </w:r>
      <w:r w:rsidRPr="00732A00">
        <w:rPr>
          <w:rFonts w:ascii="Times New Roman" w:eastAsia="Times New Roman" w:hAnsi="Times New Roman" w:cs="Times New Roman"/>
          <w:sz w:val="24"/>
          <w:szCs w:val="24"/>
        </w:rPr>
        <w:t xml:space="preserve">supplies. </w:t>
      </w:r>
      <w:r w:rsidRPr="00732A00">
        <w:rPr>
          <w:rFonts w:ascii="Times New Roman" w:eastAsia="Times New Roman" w:hAnsi="Times New Roman" w:cs="Times New Roman"/>
          <w:i/>
          <w:iCs/>
          <w:sz w:val="24"/>
          <w:szCs w:val="24"/>
        </w:rPr>
        <w:t>Journal of Computational Methods in Sciences and Engineering</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24</w:t>
      </w:r>
      <w:r w:rsidRPr="00732A00">
        <w:rPr>
          <w:rFonts w:ascii="Times New Roman" w:eastAsia="Times New Roman" w:hAnsi="Times New Roman" w:cs="Times New Roman"/>
          <w:sz w:val="24"/>
          <w:szCs w:val="24"/>
        </w:rPr>
        <w:t>(3), 1317–</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1329. https://doi.org/10.3233/jcm-247149</w:t>
      </w:r>
    </w:p>
    <w:p w14:paraId="7F52A8E0"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Chassin, D. P., Fuller, J. C., &amp; </w:t>
      </w:r>
      <w:proofErr w:type="spellStart"/>
      <w:r w:rsidRPr="00732A00">
        <w:rPr>
          <w:rFonts w:ascii="Times New Roman" w:eastAsia="Times New Roman" w:hAnsi="Times New Roman" w:cs="Times New Roman"/>
          <w:sz w:val="24"/>
          <w:szCs w:val="24"/>
        </w:rPr>
        <w:t>Djilali</w:t>
      </w:r>
      <w:proofErr w:type="spellEnd"/>
      <w:r w:rsidRPr="00732A00">
        <w:rPr>
          <w:rFonts w:ascii="Times New Roman" w:eastAsia="Times New Roman" w:hAnsi="Times New Roman" w:cs="Times New Roman"/>
          <w:sz w:val="24"/>
          <w:szCs w:val="24"/>
        </w:rPr>
        <w:t xml:space="preserve">, N. (2014). </w:t>
      </w:r>
      <w:proofErr w:type="spellStart"/>
      <w:r w:rsidRPr="00732A00">
        <w:rPr>
          <w:rFonts w:ascii="Times New Roman" w:eastAsia="Times New Roman" w:hAnsi="Times New Roman" w:cs="Times New Roman"/>
          <w:i/>
          <w:iCs/>
          <w:sz w:val="24"/>
          <w:szCs w:val="24"/>
        </w:rPr>
        <w:t>GridLAB</w:t>
      </w:r>
      <w:proofErr w:type="spellEnd"/>
      <w:r w:rsidRPr="00732A00">
        <w:rPr>
          <w:rFonts w:ascii="Times New Roman" w:eastAsia="Times New Roman" w:hAnsi="Times New Roman" w:cs="Times New Roman"/>
          <w:i/>
          <w:iCs/>
          <w:sz w:val="24"/>
          <w:szCs w:val="24"/>
        </w:rPr>
        <w:t xml:space="preserve">-D: An Agent-Based Simulation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Framework for Smart Grids</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2014</w:t>
      </w:r>
      <w:r w:rsidRPr="00732A00">
        <w:rPr>
          <w:rFonts w:ascii="Times New Roman" w:eastAsia="Times New Roman" w:hAnsi="Times New Roman" w:cs="Times New Roman"/>
          <w:sz w:val="24"/>
          <w:szCs w:val="24"/>
        </w:rPr>
        <w:t>, 1–12. https://doi.org/10.1155/2014/492320</w:t>
      </w:r>
    </w:p>
    <w:p w14:paraId="2125911D"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proofErr w:type="spellStart"/>
      <w:r w:rsidRPr="00732A00">
        <w:rPr>
          <w:rFonts w:ascii="Times New Roman" w:eastAsia="Times New Roman" w:hAnsi="Times New Roman" w:cs="Times New Roman"/>
          <w:sz w:val="24"/>
          <w:szCs w:val="24"/>
        </w:rPr>
        <w:t>Cherdantseva</w:t>
      </w:r>
      <w:proofErr w:type="spellEnd"/>
      <w:r w:rsidRPr="00732A00">
        <w:rPr>
          <w:rFonts w:ascii="Times New Roman" w:eastAsia="Times New Roman" w:hAnsi="Times New Roman" w:cs="Times New Roman"/>
          <w:sz w:val="24"/>
          <w:szCs w:val="24"/>
        </w:rPr>
        <w:t xml:space="preserve">, Y., Burnap, P., Blyth, A., Eden, P., Jones, K., Soulsby, H., &amp; Stoddart, K. (2016).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A review of cyber security risk assessment methods for SCADA systems. </w:t>
      </w:r>
      <w:r w:rsidRPr="00732A00">
        <w:rPr>
          <w:rFonts w:ascii="Times New Roman" w:eastAsia="Times New Roman" w:hAnsi="Times New Roman" w:cs="Times New Roman"/>
          <w:i/>
          <w:iCs/>
          <w:sz w:val="24"/>
          <w:szCs w:val="24"/>
        </w:rPr>
        <w:t xml:space="preserve">Computers &amp;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Security</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56</w:t>
      </w:r>
      <w:r w:rsidRPr="00732A00">
        <w:rPr>
          <w:rFonts w:ascii="Times New Roman" w:eastAsia="Times New Roman" w:hAnsi="Times New Roman" w:cs="Times New Roman"/>
          <w:sz w:val="24"/>
          <w:szCs w:val="24"/>
        </w:rPr>
        <w:t>(56), 1–27. https://doi.org/10.1016/j.cose.2015.09.009</w:t>
      </w:r>
    </w:p>
    <w:p w14:paraId="393CC334"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Chicco, D., </w:t>
      </w:r>
      <w:r w:rsidR="006A3009">
        <w:rPr>
          <w:rFonts w:ascii="Times New Roman" w:eastAsia="Times New Roman" w:hAnsi="Times New Roman" w:cs="Times New Roman"/>
          <w:sz w:val="24"/>
          <w:szCs w:val="24"/>
        </w:rPr>
        <w:t>and</w:t>
      </w:r>
      <w:r w:rsidRPr="00732A00">
        <w:rPr>
          <w:rFonts w:ascii="Times New Roman" w:eastAsia="Times New Roman" w:hAnsi="Times New Roman" w:cs="Times New Roman"/>
          <w:sz w:val="24"/>
          <w:szCs w:val="24"/>
        </w:rPr>
        <w:t xml:space="preserve"> Jurman, G. (2020). The advantages of the Matthews correlation coefficient (MCC)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over F1 score and accuracy in binary classification evaluation. </w:t>
      </w:r>
      <w:r w:rsidRPr="00732A00">
        <w:rPr>
          <w:rFonts w:ascii="Times New Roman" w:eastAsia="Times New Roman" w:hAnsi="Times New Roman" w:cs="Times New Roman"/>
          <w:i/>
          <w:iCs/>
          <w:sz w:val="24"/>
          <w:szCs w:val="24"/>
        </w:rPr>
        <w:t>BMC Genomics</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21</w:t>
      </w:r>
      <w:r w:rsidRPr="00732A00">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https://doi.org/10.1186/s12864-019-6413-7</w:t>
      </w:r>
    </w:p>
    <w:p w14:paraId="6B19682C"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Chugh, V. (2024). </w:t>
      </w:r>
      <w:r w:rsidRPr="00732A00">
        <w:rPr>
          <w:rFonts w:ascii="Times New Roman" w:eastAsia="Times New Roman" w:hAnsi="Times New Roman" w:cs="Times New Roman"/>
          <w:i/>
          <w:iCs/>
          <w:sz w:val="24"/>
          <w:szCs w:val="24"/>
        </w:rPr>
        <w:t>AUC and the ROC Curve in Machine Learning</w:t>
      </w:r>
      <w:r w:rsidRPr="00732A00">
        <w:rPr>
          <w:rFonts w:ascii="Times New Roman" w:eastAsia="Times New Roman" w:hAnsi="Times New Roman" w:cs="Times New Roman"/>
          <w:sz w:val="24"/>
          <w:szCs w:val="24"/>
        </w:rPr>
        <w:t xml:space="preserve">. Datacamp.com; </w:t>
      </w:r>
      <w:proofErr w:type="spellStart"/>
      <w:r w:rsidRPr="00732A00">
        <w:rPr>
          <w:rFonts w:ascii="Times New Roman" w:eastAsia="Times New Roman" w:hAnsi="Times New Roman" w:cs="Times New Roman"/>
          <w:sz w:val="24"/>
          <w:szCs w:val="24"/>
        </w:rPr>
        <w:t>DataCamp</w:t>
      </w:r>
      <w:proofErr w:type="spellEnd"/>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https://www.datacamp.com/tutorial/auc</w:t>
      </w:r>
    </w:p>
    <w:p w14:paraId="48BE485C"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ENISA. (2023). </w:t>
      </w:r>
      <w:r w:rsidRPr="00732A00">
        <w:rPr>
          <w:rFonts w:ascii="Times New Roman" w:eastAsia="Times New Roman" w:hAnsi="Times New Roman" w:cs="Times New Roman"/>
          <w:i/>
          <w:iCs/>
          <w:sz w:val="24"/>
          <w:szCs w:val="24"/>
        </w:rPr>
        <w:t>ENISA Threat Landscape 2023</w:t>
      </w:r>
      <w:r w:rsidRPr="00732A00">
        <w:rPr>
          <w:rFonts w:ascii="Times New Roman" w:eastAsia="Times New Roman" w:hAnsi="Times New Roman" w:cs="Times New Roman"/>
          <w:sz w:val="24"/>
          <w:szCs w:val="24"/>
        </w:rPr>
        <w:t xml:space="preserve">. ENISA.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https://www.enisa.europa.eu/publications/enisa-threat-landscape-2023</w:t>
      </w:r>
    </w:p>
    <w:p w14:paraId="46EACC4F"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Ericsson, G. N. (2010). Cyber Security and Power System Communication—Essential Parts of a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Smart Grid Infrastructure. </w:t>
      </w:r>
      <w:r w:rsidRPr="00732A00">
        <w:rPr>
          <w:rFonts w:ascii="Times New Roman" w:eastAsia="Times New Roman" w:hAnsi="Times New Roman" w:cs="Times New Roman"/>
          <w:i/>
          <w:iCs/>
          <w:sz w:val="24"/>
          <w:szCs w:val="24"/>
        </w:rPr>
        <w:t>IEEE Transactions on Power Delivery</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25</w:t>
      </w:r>
      <w:r w:rsidRPr="00732A00">
        <w:rPr>
          <w:rFonts w:ascii="Times New Roman" w:eastAsia="Times New Roman" w:hAnsi="Times New Roman" w:cs="Times New Roman"/>
          <w:sz w:val="24"/>
          <w:szCs w:val="24"/>
        </w:rPr>
        <w:t xml:space="preserve">(3), 1501–1507.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https://doi.org/10.1109/tpwrd.2010.2046654</w:t>
      </w:r>
    </w:p>
    <w:p w14:paraId="38ACD934"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Farwell, J. P., &amp; </w:t>
      </w:r>
      <w:proofErr w:type="spellStart"/>
      <w:r w:rsidRPr="00732A00">
        <w:rPr>
          <w:rFonts w:ascii="Times New Roman" w:eastAsia="Times New Roman" w:hAnsi="Times New Roman" w:cs="Times New Roman"/>
          <w:sz w:val="24"/>
          <w:szCs w:val="24"/>
        </w:rPr>
        <w:t>Rohozinski</w:t>
      </w:r>
      <w:proofErr w:type="spellEnd"/>
      <w:r w:rsidRPr="00732A00">
        <w:rPr>
          <w:rFonts w:ascii="Times New Roman" w:eastAsia="Times New Roman" w:hAnsi="Times New Roman" w:cs="Times New Roman"/>
          <w:sz w:val="24"/>
          <w:szCs w:val="24"/>
        </w:rPr>
        <w:t xml:space="preserve">, R. (2011). Stuxnet and the Future of Cyber War. </w:t>
      </w:r>
      <w:r w:rsidRPr="00732A00">
        <w:rPr>
          <w:rFonts w:ascii="Times New Roman" w:eastAsia="Times New Roman" w:hAnsi="Times New Roman" w:cs="Times New Roman"/>
          <w:i/>
          <w:iCs/>
          <w:sz w:val="24"/>
          <w:szCs w:val="24"/>
        </w:rPr>
        <w:t>Survival</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53</w:t>
      </w:r>
      <w:r w:rsidRPr="00732A00">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23–40.</w:t>
      </w:r>
    </w:p>
    <w:p w14:paraId="5A1565F3"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Finn, C., </w:t>
      </w:r>
      <w:proofErr w:type="spellStart"/>
      <w:r w:rsidRPr="00732A00">
        <w:rPr>
          <w:rFonts w:ascii="Times New Roman" w:eastAsia="Times New Roman" w:hAnsi="Times New Roman" w:cs="Times New Roman"/>
          <w:sz w:val="24"/>
          <w:szCs w:val="24"/>
        </w:rPr>
        <w:t>Abbeel</w:t>
      </w:r>
      <w:proofErr w:type="spellEnd"/>
      <w:r w:rsidRPr="00732A00">
        <w:rPr>
          <w:rFonts w:ascii="Times New Roman" w:eastAsia="Times New Roman" w:hAnsi="Times New Roman" w:cs="Times New Roman"/>
          <w:sz w:val="24"/>
          <w:szCs w:val="24"/>
        </w:rPr>
        <w:t xml:space="preserve">, P., &amp; Levine, S. (2017). </w:t>
      </w:r>
      <w:r w:rsidRPr="00732A00">
        <w:rPr>
          <w:rFonts w:ascii="Times New Roman" w:eastAsia="Times New Roman" w:hAnsi="Times New Roman" w:cs="Times New Roman"/>
          <w:i/>
          <w:iCs/>
          <w:sz w:val="24"/>
          <w:szCs w:val="24"/>
        </w:rPr>
        <w:t xml:space="preserve">Model-Agnostic Meta-Learning for Fast Adaptation of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Deep Networks</w:t>
      </w:r>
      <w:r w:rsidRPr="00732A00">
        <w:rPr>
          <w:rFonts w:ascii="Times New Roman" w:eastAsia="Times New Roman" w:hAnsi="Times New Roman" w:cs="Times New Roman"/>
          <w:sz w:val="24"/>
          <w:szCs w:val="24"/>
        </w:rPr>
        <w:t xml:space="preserve">. </w:t>
      </w:r>
      <w:proofErr w:type="spellStart"/>
      <w:r w:rsidRPr="00732A00">
        <w:rPr>
          <w:rFonts w:ascii="Times New Roman" w:eastAsia="Times New Roman" w:hAnsi="Times New Roman" w:cs="Times New Roman"/>
          <w:sz w:val="24"/>
          <w:szCs w:val="24"/>
        </w:rPr>
        <w:t>Proceedings.mlr.press</w:t>
      </w:r>
      <w:proofErr w:type="spellEnd"/>
      <w:r w:rsidRPr="00732A00">
        <w:rPr>
          <w:rFonts w:ascii="Times New Roman" w:eastAsia="Times New Roman" w:hAnsi="Times New Roman" w:cs="Times New Roman"/>
          <w:sz w:val="24"/>
          <w:szCs w:val="24"/>
        </w:rPr>
        <w:t xml:space="preserve">; PMLR.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https://proceedings.mlr.press/v70/finn17a.html</w:t>
      </w:r>
    </w:p>
    <w:p w14:paraId="01F4EEC0"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François, M., Arduin, P.-E., &amp; Merad, M. (2025). Physics-Informed Graph Neural Networks for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Attack Path Prediction. </w:t>
      </w:r>
      <w:r w:rsidRPr="00732A00">
        <w:rPr>
          <w:rFonts w:ascii="Times New Roman" w:eastAsia="Times New Roman" w:hAnsi="Times New Roman" w:cs="Times New Roman"/>
          <w:i/>
          <w:iCs/>
          <w:sz w:val="24"/>
          <w:szCs w:val="24"/>
        </w:rPr>
        <w:t>Journal of Cybersecurity and Privacy</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5</w:t>
      </w:r>
      <w:r w:rsidRPr="00732A00">
        <w:rPr>
          <w:rFonts w:ascii="Times New Roman" w:eastAsia="Times New Roman" w:hAnsi="Times New Roman" w:cs="Times New Roman"/>
          <w:sz w:val="24"/>
          <w:szCs w:val="24"/>
        </w:rPr>
        <w:t xml:space="preserve">(2), 15.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https://doi.org/10.3390/jcp5020015</w:t>
      </w:r>
    </w:p>
    <w:p w14:paraId="2C77FC91"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Goodfellow, I. J., </w:t>
      </w:r>
      <w:proofErr w:type="spellStart"/>
      <w:r w:rsidRPr="00732A00">
        <w:rPr>
          <w:rFonts w:ascii="Times New Roman" w:eastAsia="Times New Roman" w:hAnsi="Times New Roman" w:cs="Times New Roman"/>
          <w:sz w:val="24"/>
          <w:szCs w:val="24"/>
        </w:rPr>
        <w:t>Shlens</w:t>
      </w:r>
      <w:proofErr w:type="spellEnd"/>
      <w:r w:rsidRPr="00732A00">
        <w:rPr>
          <w:rFonts w:ascii="Times New Roman" w:eastAsia="Times New Roman" w:hAnsi="Times New Roman" w:cs="Times New Roman"/>
          <w:sz w:val="24"/>
          <w:szCs w:val="24"/>
        </w:rPr>
        <w:t xml:space="preserve">, J., &amp; Szegedy, C. (2014). </w:t>
      </w:r>
      <w:r w:rsidRPr="00732A00">
        <w:rPr>
          <w:rFonts w:ascii="Times New Roman" w:eastAsia="Times New Roman" w:hAnsi="Times New Roman" w:cs="Times New Roman"/>
          <w:i/>
          <w:iCs/>
          <w:sz w:val="24"/>
          <w:szCs w:val="24"/>
        </w:rPr>
        <w:t xml:space="preserve">Explaining and Harnessing Adversarial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Examples</w:t>
      </w:r>
      <w:r w:rsidRPr="00732A00">
        <w:rPr>
          <w:rFonts w:ascii="Times New Roman" w:eastAsia="Times New Roman" w:hAnsi="Times New Roman" w:cs="Times New Roman"/>
          <w:sz w:val="24"/>
          <w:szCs w:val="24"/>
        </w:rPr>
        <w:t>. ArXiv.org. https://arxiv.org/abs/1412.6572</w:t>
      </w:r>
    </w:p>
    <w:p w14:paraId="1220FEBA"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Goodfellow, I., Bengio, Y., &amp; Courville, A. (2016). </w:t>
      </w:r>
      <w:r w:rsidRPr="00732A00">
        <w:rPr>
          <w:rFonts w:ascii="Times New Roman" w:eastAsia="Times New Roman" w:hAnsi="Times New Roman" w:cs="Times New Roman"/>
          <w:i/>
          <w:iCs/>
          <w:sz w:val="24"/>
          <w:szCs w:val="24"/>
        </w:rPr>
        <w:t>Deep Learning</w:t>
      </w:r>
      <w:r w:rsidRPr="00732A00">
        <w:rPr>
          <w:rFonts w:ascii="Times New Roman" w:eastAsia="Times New Roman" w:hAnsi="Times New Roman" w:cs="Times New Roman"/>
          <w:sz w:val="24"/>
          <w:szCs w:val="24"/>
        </w:rPr>
        <w:t xml:space="preserve">. MIT Press.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https://mitpress.mit.edu/9780262035613/deep-learning/</w:t>
      </w:r>
    </w:p>
    <w:p w14:paraId="16D8EAF5"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Greenberg, A. (2017, June 20). </w:t>
      </w:r>
      <w:r w:rsidRPr="00732A00">
        <w:rPr>
          <w:rFonts w:ascii="Times New Roman" w:eastAsia="Times New Roman" w:hAnsi="Times New Roman" w:cs="Times New Roman"/>
          <w:i/>
          <w:iCs/>
          <w:sz w:val="24"/>
          <w:szCs w:val="24"/>
        </w:rPr>
        <w:t xml:space="preserve">Russia’s Cyberwar on Ukraine Is a Blueprint for What’s to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Come</w:t>
      </w:r>
      <w:r w:rsidRPr="00732A00">
        <w:rPr>
          <w:rFonts w:ascii="Times New Roman" w:eastAsia="Times New Roman" w:hAnsi="Times New Roman" w:cs="Times New Roman"/>
          <w:sz w:val="24"/>
          <w:szCs w:val="24"/>
        </w:rPr>
        <w:t>. WIRED; WIRED. https://www.wired.com/story/russian-hackers-attack-ukraine/</w:t>
      </w:r>
    </w:p>
    <w:p w14:paraId="1ABA7420"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lastRenderedPageBreak/>
        <w:t xml:space="preserve">Hasan, M. K., </w:t>
      </w:r>
      <w:proofErr w:type="spellStart"/>
      <w:r w:rsidRPr="00732A00">
        <w:rPr>
          <w:rFonts w:ascii="Times New Roman" w:eastAsia="Times New Roman" w:hAnsi="Times New Roman" w:cs="Times New Roman"/>
          <w:sz w:val="24"/>
          <w:szCs w:val="24"/>
        </w:rPr>
        <w:t>Alkhalifah</w:t>
      </w:r>
      <w:proofErr w:type="spellEnd"/>
      <w:r w:rsidRPr="00732A00">
        <w:rPr>
          <w:rFonts w:ascii="Times New Roman" w:eastAsia="Times New Roman" w:hAnsi="Times New Roman" w:cs="Times New Roman"/>
          <w:sz w:val="24"/>
          <w:szCs w:val="24"/>
        </w:rPr>
        <w:t xml:space="preserve">, A., Islam, S., Babiker, N. B. M., Habib, A. K. M. A., Aman, A. H. M.,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&amp; Hossain, M. A. (2022). Blockchain Technology on Smart Grid, Energy Trading, and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Big Data: Security Issues, Challenges, and Recommendations. </w:t>
      </w:r>
      <w:r w:rsidRPr="00732A00">
        <w:rPr>
          <w:rFonts w:ascii="Times New Roman" w:eastAsia="Times New Roman" w:hAnsi="Times New Roman" w:cs="Times New Roman"/>
          <w:i/>
          <w:iCs/>
          <w:sz w:val="24"/>
          <w:szCs w:val="24"/>
        </w:rPr>
        <w:t xml:space="preserve">Wireless Communications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and Mobile Computing</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2022</w:t>
      </w:r>
      <w:r w:rsidRPr="00732A00">
        <w:rPr>
          <w:rFonts w:ascii="Times New Roman" w:eastAsia="Times New Roman" w:hAnsi="Times New Roman" w:cs="Times New Roman"/>
          <w:sz w:val="24"/>
          <w:szCs w:val="24"/>
        </w:rPr>
        <w:t>, e9065768. https://doi.org/10.1155/2022/9065768</w:t>
      </w:r>
    </w:p>
    <w:p w14:paraId="7E05AF29"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He, H., &amp; Garcia, E. A. (2009). </w:t>
      </w:r>
      <w:r w:rsidRPr="00732A00">
        <w:rPr>
          <w:rFonts w:ascii="Times New Roman" w:eastAsia="Times New Roman" w:hAnsi="Times New Roman" w:cs="Times New Roman"/>
          <w:i/>
          <w:iCs/>
          <w:sz w:val="24"/>
          <w:szCs w:val="24"/>
        </w:rPr>
        <w:t>Learning from Imbalanced Data - IEEE Journals &amp; Magazine</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Ieee.org. https://ieeexplore.ieee.org/document/5128907</w:t>
      </w:r>
    </w:p>
    <w:p w14:paraId="3B1DB94C"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He, K., Zhang, X., Ren, S., &amp; Sun, J. (2016). Deep Residual Learning for Image Recognition. </w:t>
      </w:r>
      <w:r>
        <w:rPr>
          <w:rFonts w:ascii="Times New Roman" w:eastAsia="Times New Roman" w:hAnsi="Times New Roman" w:cs="Times New Roman"/>
          <w:sz w:val="24"/>
          <w:szCs w:val="24"/>
        </w:rPr>
        <w:tab/>
      </w:r>
      <w:r w:rsidRPr="00732A00">
        <w:rPr>
          <w:rFonts w:ascii="Times New Roman" w:eastAsia="Times New Roman" w:hAnsi="Times New Roman" w:cs="Times New Roman"/>
          <w:i/>
          <w:iCs/>
          <w:sz w:val="24"/>
          <w:szCs w:val="24"/>
        </w:rPr>
        <w:t>2016 IEEE Conference on Computer Vision and Pattern Recognition (CVPR)</w:t>
      </w:r>
      <w:r w:rsidRPr="00732A00">
        <w:rPr>
          <w:rFonts w:ascii="Times New Roman" w:eastAsia="Times New Roman" w:hAnsi="Times New Roman" w:cs="Times New Roman"/>
          <w:sz w:val="24"/>
          <w:szCs w:val="24"/>
        </w:rPr>
        <w:t xml:space="preserve">, 770–778.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https://doi.org/10.1109/cvpr.2016.90</w:t>
      </w:r>
    </w:p>
    <w:p w14:paraId="7E5A66C2"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Hinton, G. E., Srivastava, N., </w:t>
      </w:r>
      <w:proofErr w:type="spellStart"/>
      <w:r w:rsidRPr="00732A00">
        <w:rPr>
          <w:rFonts w:ascii="Times New Roman" w:eastAsia="Times New Roman" w:hAnsi="Times New Roman" w:cs="Times New Roman"/>
          <w:sz w:val="24"/>
          <w:szCs w:val="24"/>
        </w:rPr>
        <w:t>Krizhevsky</w:t>
      </w:r>
      <w:proofErr w:type="spellEnd"/>
      <w:r w:rsidRPr="00732A00">
        <w:rPr>
          <w:rFonts w:ascii="Times New Roman" w:eastAsia="Times New Roman" w:hAnsi="Times New Roman" w:cs="Times New Roman"/>
          <w:sz w:val="24"/>
          <w:szCs w:val="24"/>
        </w:rPr>
        <w:t xml:space="preserve">, A., </w:t>
      </w:r>
      <w:proofErr w:type="spellStart"/>
      <w:r w:rsidRPr="00732A00">
        <w:rPr>
          <w:rFonts w:ascii="Times New Roman" w:eastAsia="Times New Roman" w:hAnsi="Times New Roman" w:cs="Times New Roman"/>
          <w:sz w:val="24"/>
          <w:szCs w:val="24"/>
        </w:rPr>
        <w:t>Sutskever</w:t>
      </w:r>
      <w:proofErr w:type="spellEnd"/>
      <w:r w:rsidRPr="00732A00">
        <w:rPr>
          <w:rFonts w:ascii="Times New Roman" w:eastAsia="Times New Roman" w:hAnsi="Times New Roman" w:cs="Times New Roman"/>
          <w:sz w:val="24"/>
          <w:szCs w:val="24"/>
        </w:rPr>
        <w:t xml:space="preserve">, I., &amp; </w:t>
      </w:r>
      <w:proofErr w:type="spellStart"/>
      <w:r w:rsidRPr="00732A00">
        <w:rPr>
          <w:rFonts w:ascii="Times New Roman" w:eastAsia="Times New Roman" w:hAnsi="Times New Roman" w:cs="Times New Roman"/>
          <w:sz w:val="24"/>
          <w:szCs w:val="24"/>
        </w:rPr>
        <w:t>Salakhutdinov</w:t>
      </w:r>
      <w:proofErr w:type="spellEnd"/>
      <w:r w:rsidRPr="00732A00">
        <w:rPr>
          <w:rFonts w:ascii="Times New Roman" w:eastAsia="Times New Roman" w:hAnsi="Times New Roman" w:cs="Times New Roman"/>
          <w:sz w:val="24"/>
          <w:szCs w:val="24"/>
        </w:rPr>
        <w:t xml:space="preserve">, R. R. (2012).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Improving neural networks by preventing co-adaptation of feature detectors. </w:t>
      </w:r>
      <w:r>
        <w:rPr>
          <w:rFonts w:ascii="Times New Roman" w:eastAsia="Times New Roman" w:hAnsi="Times New Roman" w:cs="Times New Roman"/>
          <w:sz w:val="24"/>
          <w:szCs w:val="24"/>
        </w:rPr>
        <w:tab/>
      </w:r>
      <w:r w:rsidRPr="00732A00">
        <w:rPr>
          <w:rFonts w:ascii="Times New Roman" w:eastAsia="Times New Roman" w:hAnsi="Times New Roman" w:cs="Times New Roman"/>
          <w:i/>
          <w:iCs/>
          <w:sz w:val="24"/>
          <w:szCs w:val="24"/>
        </w:rPr>
        <w:t>ArXiv:1207.0580 [Cs]</w:t>
      </w:r>
      <w:r w:rsidRPr="00732A00">
        <w:rPr>
          <w:rFonts w:ascii="Times New Roman" w:eastAsia="Times New Roman" w:hAnsi="Times New Roman" w:cs="Times New Roman"/>
          <w:sz w:val="24"/>
          <w:szCs w:val="24"/>
        </w:rPr>
        <w:t>. https://arxiv.org/abs/1207.0580</w:t>
      </w:r>
    </w:p>
    <w:p w14:paraId="6D250B9F"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Hochreiter, S., &amp; </w:t>
      </w:r>
      <w:proofErr w:type="spellStart"/>
      <w:r w:rsidRPr="00732A00">
        <w:rPr>
          <w:rFonts w:ascii="Times New Roman" w:eastAsia="Times New Roman" w:hAnsi="Times New Roman" w:cs="Times New Roman"/>
          <w:sz w:val="24"/>
          <w:szCs w:val="24"/>
        </w:rPr>
        <w:t>Schmidhuber</w:t>
      </w:r>
      <w:proofErr w:type="spellEnd"/>
      <w:r w:rsidRPr="00732A00">
        <w:rPr>
          <w:rFonts w:ascii="Times New Roman" w:eastAsia="Times New Roman" w:hAnsi="Times New Roman" w:cs="Times New Roman"/>
          <w:sz w:val="24"/>
          <w:szCs w:val="24"/>
        </w:rPr>
        <w:t xml:space="preserve">, J. (1997). </w:t>
      </w:r>
      <w:r w:rsidRPr="00732A00">
        <w:rPr>
          <w:rFonts w:ascii="Times New Roman" w:eastAsia="Times New Roman" w:hAnsi="Times New Roman" w:cs="Times New Roman"/>
          <w:i/>
          <w:iCs/>
          <w:sz w:val="24"/>
          <w:szCs w:val="24"/>
        </w:rPr>
        <w:t>(PDF) Long Short-term Memory</w:t>
      </w:r>
      <w:r w:rsidRPr="00732A00">
        <w:rPr>
          <w:rFonts w:ascii="Times New Roman" w:eastAsia="Times New Roman" w:hAnsi="Times New Roman" w:cs="Times New Roman"/>
          <w:sz w:val="24"/>
          <w:szCs w:val="24"/>
        </w:rPr>
        <w:t xml:space="preserve">. ResearchGate.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https://www.researchgate.net/publication/13853244_Long_Short-term_Memory</w:t>
      </w:r>
    </w:p>
    <w:p w14:paraId="413BC960"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Holland, J. H. (2014). </w:t>
      </w:r>
      <w:r w:rsidRPr="00732A00">
        <w:rPr>
          <w:rFonts w:ascii="Times New Roman" w:eastAsia="Times New Roman" w:hAnsi="Times New Roman" w:cs="Times New Roman"/>
          <w:i/>
          <w:iCs/>
          <w:sz w:val="24"/>
          <w:szCs w:val="24"/>
        </w:rPr>
        <w:t>Complexity: A Very Short Introduction</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https://doi.org/10.1093/actrade/9780199662548.001.0001</w:t>
      </w:r>
    </w:p>
    <w:p w14:paraId="2DA93008"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proofErr w:type="spellStart"/>
      <w:r w:rsidRPr="00732A00">
        <w:rPr>
          <w:rFonts w:ascii="Times New Roman" w:eastAsia="Times New Roman" w:hAnsi="Times New Roman" w:cs="Times New Roman"/>
          <w:sz w:val="24"/>
          <w:szCs w:val="24"/>
        </w:rPr>
        <w:t>Horstemeyer</w:t>
      </w:r>
      <w:proofErr w:type="spellEnd"/>
      <w:r w:rsidRPr="00732A00">
        <w:rPr>
          <w:rFonts w:ascii="Times New Roman" w:eastAsia="Times New Roman" w:hAnsi="Times New Roman" w:cs="Times New Roman"/>
          <w:sz w:val="24"/>
          <w:szCs w:val="24"/>
        </w:rPr>
        <w:t xml:space="preserve">, M. F. (2009). Multiscale Modeling: A Review. </w:t>
      </w:r>
      <w:r w:rsidRPr="00732A00">
        <w:rPr>
          <w:rFonts w:ascii="Times New Roman" w:eastAsia="Times New Roman" w:hAnsi="Times New Roman" w:cs="Times New Roman"/>
          <w:i/>
          <w:iCs/>
          <w:sz w:val="24"/>
          <w:szCs w:val="24"/>
        </w:rPr>
        <w:t xml:space="preserve">Springer </w:t>
      </w:r>
      <w:proofErr w:type="spellStart"/>
      <w:r w:rsidRPr="00732A00">
        <w:rPr>
          <w:rFonts w:ascii="Times New Roman" w:eastAsia="Times New Roman" w:hAnsi="Times New Roman" w:cs="Times New Roman"/>
          <w:i/>
          <w:iCs/>
          <w:sz w:val="24"/>
          <w:szCs w:val="24"/>
        </w:rPr>
        <w:t>EBooks</w:t>
      </w:r>
      <w:proofErr w:type="spellEnd"/>
      <w:r w:rsidRPr="00732A00">
        <w:rPr>
          <w:rFonts w:ascii="Times New Roman" w:eastAsia="Times New Roman" w:hAnsi="Times New Roman" w:cs="Times New Roman"/>
          <w:sz w:val="24"/>
          <w:szCs w:val="24"/>
        </w:rPr>
        <w:t xml:space="preserve">, 87–135.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https://doi.org/10.1007/978-90-481-2687-3_4</w:t>
      </w:r>
    </w:p>
    <w:p w14:paraId="4EA479AC"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proofErr w:type="spellStart"/>
      <w:r w:rsidRPr="00732A00">
        <w:rPr>
          <w:rFonts w:ascii="Times New Roman" w:eastAsia="Times New Roman" w:hAnsi="Times New Roman" w:cs="Times New Roman"/>
          <w:sz w:val="24"/>
          <w:szCs w:val="24"/>
        </w:rPr>
        <w:t>Humayed</w:t>
      </w:r>
      <w:proofErr w:type="spellEnd"/>
      <w:r w:rsidRPr="00732A00">
        <w:rPr>
          <w:rFonts w:ascii="Times New Roman" w:eastAsia="Times New Roman" w:hAnsi="Times New Roman" w:cs="Times New Roman"/>
          <w:sz w:val="24"/>
          <w:szCs w:val="24"/>
        </w:rPr>
        <w:t xml:space="preserve">, A., Lin, J., Li, F., &amp; Luo, B. (2017). Cyber-Physical Systems Security—A Survey. </w:t>
      </w:r>
      <w:r>
        <w:rPr>
          <w:rFonts w:ascii="Times New Roman" w:eastAsia="Times New Roman" w:hAnsi="Times New Roman" w:cs="Times New Roman"/>
          <w:sz w:val="24"/>
          <w:szCs w:val="24"/>
        </w:rPr>
        <w:tab/>
      </w:r>
      <w:r w:rsidRPr="00732A00">
        <w:rPr>
          <w:rFonts w:ascii="Times New Roman" w:eastAsia="Times New Roman" w:hAnsi="Times New Roman" w:cs="Times New Roman"/>
          <w:i/>
          <w:iCs/>
          <w:sz w:val="24"/>
          <w:szCs w:val="24"/>
        </w:rPr>
        <w:t>IEEE Internet of Things Journal</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4</w:t>
      </w:r>
      <w:r w:rsidRPr="00732A00">
        <w:rPr>
          <w:rFonts w:ascii="Times New Roman" w:eastAsia="Times New Roman" w:hAnsi="Times New Roman" w:cs="Times New Roman"/>
          <w:sz w:val="24"/>
          <w:szCs w:val="24"/>
        </w:rPr>
        <w:t xml:space="preserve">(6), 1802–1831.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https://doi.org/10.1109/jiot.2017.2703172</w:t>
      </w:r>
    </w:p>
    <w:p w14:paraId="16DCA25D"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proofErr w:type="spellStart"/>
      <w:r w:rsidRPr="00732A00">
        <w:rPr>
          <w:rFonts w:ascii="Times New Roman" w:eastAsia="Times New Roman" w:hAnsi="Times New Roman" w:cs="Times New Roman"/>
          <w:sz w:val="24"/>
          <w:szCs w:val="24"/>
        </w:rPr>
        <w:t>Jithish</w:t>
      </w:r>
      <w:proofErr w:type="spellEnd"/>
      <w:r w:rsidRPr="00732A00">
        <w:rPr>
          <w:rFonts w:ascii="Times New Roman" w:eastAsia="Times New Roman" w:hAnsi="Times New Roman" w:cs="Times New Roman"/>
          <w:sz w:val="24"/>
          <w:szCs w:val="24"/>
        </w:rPr>
        <w:t xml:space="preserve">, J., </w:t>
      </w:r>
      <w:proofErr w:type="spellStart"/>
      <w:r w:rsidRPr="00732A00">
        <w:rPr>
          <w:rFonts w:ascii="Times New Roman" w:eastAsia="Times New Roman" w:hAnsi="Times New Roman" w:cs="Times New Roman"/>
          <w:sz w:val="24"/>
          <w:szCs w:val="24"/>
        </w:rPr>
        <w:t>Alangot</w:t>
      </w:r>
      <w:proofErr w:type="spellEnd"/>
      <w:r w:rsidRPr="00732A00">
        <w:rPr>
          <w:rFonts w:ascii="Times New Roman" w:eastAsia="Times New Roman" w:hAnsi="Times New Roman" w:cs="Times New Roman"/>
          <w:sz w:val="24"/>
          <w:szCs w:val="24"/>
        </w:rPr>
        <w:t xml:space="preserve">, B., Mahalingam, N., &amp; Yeo, K. S. (2023). Distributed Anomaly Detection in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Smart Grids: A Federated Learning-Based Approach. </w:t>
      </w:r>
      <w:r w:rsidRPr="00732A00">
        <w:rPr>
          <w:rFonts w:ascii="Times New Roman" w:eastAsia="Times New Roman" w:hAnsi="Times New Roman" w:cs="Times New Roman"/>
          <w:i/>
          <w:iCs/>
          <w:sz w:val="24"/>
          <w:szCs w:val="24"/>
        </w:rPr>
        <w:t>IEEE Access</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11</w:t>
      </w:r>
      <w:r w:rsidRPr="00732A00">
        <w:rPr>
          <w:rFonts w:ascii="Times New Roman" w:eastAsia="Times New Roman" w:hAnsi="Times New Roman" w:cs="Times New Roman"/>
          <w:sz w:val="24"/>
          <w:szCs w:val="24"/>
        </w:rPr>
        <w:t xml:space="preserve">, 7157–7179.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https://doi.org/10.1109/access.2023.3237554</w:t>
      </w:r>
    </w:p>
    <w:p w14:paraId="294D8C53"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proofErr w:type="spellStart"/>
      <w:r w:rsidRPr="00732A00">
        <w:rPr>
          <w:rFonts w:ascii="Times New Roman" w:eastAsia="Times New Roman" w:hAnsi="Times New Roman" w:cs="Times New Roman"/>
          <w:sz w:val="24"/>
          <w:szCs w:val="24"/>
        </w:rPr>
        <w:t>Keras</w:t>
      </w:r>
      <w:proofErr w:type="spellEnd"/>
      <w:r w:rsidRPr="00732A00">
        <w:rPr>
          <w:rFonts w:ascii="Times New Roman" w:eastAsia="Times New Roman" w:hAnsi="Times New Roman" w:cs="Times New Roman"/>
          <w:sz w:val="24"/>
          <w:szCs w:val="24"/>
        </w:rPr>
        <w:t xml:space="preserve">. (2019). </w:t>
      </w:r>
      <w:r w:rsidRPr="00732A00">
        <w:rPr>
          <w:rFonts w:ascii="Times New Roman" w:eastAsia="Times New Roman" w:hAnsi="Times New Roman" w:cs="Times New Roman"/>
          <w:i/>
          <w:iCs/>
          <w:sz w:val="24"/>
          <w:szCs w:val="24"/>
        </w:rPr>
        <w:t xml:space="preserve">Home - </w:t>
      </w:r>
      <w:proofErr w:type="spellStart"/>
      <w:r w:rsidRPr="00732A00">
        <w:rPr>
          <w:rFonts w:ascii="Times New Roman" w:eastAsia="Times New Roman" w:hAnsi="Times New Roman" w:cs="Times New Roman"/>
          <w:i/>
          <w:iCs/>
          <w:sz w:val="24"/>
          <w:szCs w:val="24"/>
        </w:rPr>
        <w:t>Keras</w:t>
      </w:r>
      <w:proofErr w:type="spellEnd"/>
      <w:r w:rsidRPr="00732A00">
        <w:rPr>
          <w:rFonts w:ascii="Times New Roman" w:eastAsia="Times New Roman" w:hAnsi="Times New Roman" w:cs="Times New Roman"/>
          <w:i/>
          <w:iCs/>
          <w:sz w:val="24"/>
          <w:szCs w:val="24"/>
        </w:rPr>
        <w:t xml:space="preserve"> Documentation</w:t>
      </w:r>
      <w:r w:rsidRPr="00732A00">
        <w:rPr>
          <w:rFonts w:ascii="Times New Roman" w:eastAsia="Times New Roman" w:hAnsi="Times New Roman" w:cs="Times New Roman"/>
          <w:sz w:val="24"/>
          <w:szCs w:val="24"/>
        </w:rPr>
        <w:t>. Keras.io. https://keras.io/</w:t>
      </w:r>
    </w:p>
    <w:p w14:paraId="1F0D0B05"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Khan, R., McLaughlin, K., Laverty, D., &amp; Sezer, S. (2017). </w:t>
      </w:r>
      <w:r w:rsidRPr="00732A00">
        <w:rPr>
          <w:rFonts w:ascii="Times New Roman" w:eastAsia="Times New Roman" w:hAnsi="Times New Roman" w:cs="Times New Roman"/>
          <w:i/>
          <w:iCs/>
          <w:sz w:val="24"/>
          <w:szCs w:val="24"/>
        </w:rPr>
        <w:t xml:space="preserve">STRIDE-based threat modeling for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cyber-physical systems</w:t>
      </w:r>
      <w:r w:rsidRPr="00732A00">
        <w:rPr>
          <w:rFonts w:ascii="Times New Roman" w:eastAsia="Times New Roman" w:hAnsi="Times New Roman" w:cs="Times New Roman"/>
          <w:sz w:val="24"/>
          <w:szCs w:val="24"/>
        </w:rPr>
        <w:t>. IEEE Xplore. https://doi.org/10.1109/ISGTEurope.2017.8260283</w:t>
      </w:r>
    </w:p>
    <w:p w14:paraId="526C8180"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proofErr w:type="spellStart"/>
      <w:r w:rsidRPr="00732A00">
        <w:rPr>
          <w:rFonts w:ascii="Times New Roman" w:eastAsia="Times New Roman" w:hAnsi="Times New Roman" w:cs="Times New Roman"/>
          <w:sz w:val="24"/>
          <w:szCs w:val="24"/>
        </w:rPr>
        <w:t>Sriniva</w:t>
      </w:r>
      <w:proofErr w:type="spellEnd"/>
      <w:r w:rsidR="000257D0">
        <w:rPr>
          <w:rFonts w:ascii="Times New Roman" w:eastAsia="Times New Roman" w:hAnsi="Times New Roman" w:cs="Times New Roman"/>
          <w:sz w:val="24"/>
          <w:szCs w:val="24"/>
        </w:rPr>
        <w:t xml:space="preserve"> </w:t>
      </w:r>
      <w:r w:rsidR="000257D0" w:rsidRPr="00732A00">
        <w:rPr>
          <w:rFonts w:ascii="Times New Roman" w:eastAsia="Times New Roman" w:hAnsi="Times New Roman" w:cs="Times New Roman"/>
          <w:sz w:val="24"/>
          <w:szCs w:val="24"/>
        </w:rPr>
        <w:t>Krupa</w:t>
      </w:r>
      <w:r w:rsidRPr="00732A00">
        <w:rPr>
          <w:rFonts w:ascii="Times New Roman" w:eastAsia="Times New Roman" w:hAnsi="Times New Roman" w:cs="Times New Roman"/>
          <w:sz w:val="24"/>
          <w:szCs w:val="24"/>
        </w:rPr>
        <w:t xml:space="preserve">, Shinde, S. C., Acharya, P., &amp; Roy, S. (2024). </w:t>
      </w:r>
      <w:r w:rsidRPr="00732A00">
        <w:rPr>
          <w:rFonts w:ascii="Times New Roman" w:eastAsia="Times New Roman" w:hAnsi="Times New Roman" w:cs="Times New Roman"/>
          <w:i/>
          <w:iCs/>
          <w:sz w:val="24"/>
          <w:szCs w:val="24"/>
        </w:rPr>
        <w:t xml:space="preserve">Explainable AI for Energy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Prediction and Anomaly Detection in Solar Energy Systems</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https://doi.org/10.21203/rs.3.rs-4922729/v1</w:t>
      </w:r>
    </w:p>
    <w:p w14:paraId="27B0FEAB"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lastRenderedPageBreak/>
        <w:t xml:space="preserve">Lee, E. A. (2008). Cyber Physical Systems: Design Challenges. </w:t>
      </w:r>
      <w:r w:rsidRPr="00732A00">
        <w:rPr>
          <w:rFonts w:ascii="Times New Roman" w:eastAsia="Times New Roman" w:hAnsi="Times New Roman" w:cs="Times New Roman"/>
          <w:i/>
          <w:iCs/>
          <w:sz w:val="24"/>
          <w:szCs w:val="24"/>
        </w:rPr>
        <w:t xml:space="preserve">2008 11th IEEE International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 xml:space="preserve">Symposium on Object and Component-Oriented Real-Time Distributed Computing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(ISORC)</w:t>
      </w:r>
      <w:r w:rsidRPr="00732A00">
        <w:rPr>
          <w:rFonts w:ascii="Times New Roman" w:eastAsia="Times New Roman" w:hAnsi="Times New Roman" w:cs="Times New Roman"/>
          <w:sz w:val="24"/>
          <w:szCs w:val="24"/>
        </w:rPr>
        <w:t>, 363–369. https://doi.org/10.1109/isorc.2008.25</w:t>
      </w:r>
    </w:p>
    <w:p w14:paraId="4C26A091"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Line, MB, Nordland, O, Røstad, L, &amp; Tøndel, IA. "Safety vs. Security? (PSAM-</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0148)." Proceedings of the Eighth International Conference on Probabilistic Safety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Assessment &amp; Management (PSAM). Ed. </w:t>
      </w:r>
      <w:proofErr w:type="spellStart"/>
      <w:r w:rsidRPr="00732A00">
        <w:rPr>
          <w:rFonts w:ascii="Times New Roman" w:eastAsia="Times New Roman" w:hAnsi="Times New Roman" w:cs="Times New Roman"/>
          <w:sz w:val="24"/>
          <w:szCs w:val="24"/>
        </w:rPr>
        <w:t>Stamatelatos</w:t>
      </w:r>
      <w:proofErr w:type="spellEnd"/>
      <w:r w:rsidRPr="00732A00">
        <w:rPr>
          <w:rFonts w:ascii="Times New Roman" w:eastAsia="Times New Roman" w:hAnsi="Times New Roman" w:cs="Times New Roman"/>
          <w:sz w:val="24"/>
          <w:szCs w:val="24"/>
        </w:rPr>
        <w:t xml:space="preserve">, MG, &amp; Blackman, HS. ASME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Press, 2006. </w:t>
      </w:r>
    </w:p>
    <w:p w14:paraId="00EAA83B"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Madry, A., </w:t>
      </w:r>
      <w:proofErr w:type="spellStart"/>
      <w:r w:rsidRPr="00732A00">
        <w:rPr>
          <w:rFonts w:ascii="Times New Roman" w:eastAsia="Times New Roman" w:hAnsi="Times New Roman" w:cs="Times New Roman"/>
          <w:sz w:val="24"/>
          <w:szCs w:val="24"/>
        </w:rPr>
        <w:t>Makelov</w:t>
      </w:r>
      <w:proofErr w:type="spellEnd"/>
      <w:r w:rsidRPr="00732A00">
        <w:rPr>
          <w:rFonts w:ascii="Times New Roman" w:eastAsia="Times New Roman" w:hAnsi="Times New Roman" w:cs="Times New Roman"/>
          <w:sz w:val="24"/>
          <w:szCs w:val="24"/>
        </w:rPr>
        <w:t xml:space="preserve">, A., Schmidt, L., Tsipras, D., &amp; Vladu, A. (2019). Towards Deep Learning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Models Resistant to Adversarial Attacks. </w:t>
      </w:r>
      <w:r w:rsidRPr="00732A00">
        <w:rPr>
          <w:rFonts w:ascii="Times New Roman" w:eastAsia="Times New Roman" w:hAnsi="Times New Roman" w:cs="Times New Roman"/>
          <w:i/>
          <w:iCs/>
          <w:sz w:val="24"/>
          <w:szCs w:val="24"/>
        </w:rPr>
        <w:t>ArXiv:1706.06083 [Cs, Stat]</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https://arxiv.org/abs/1706.06083</w:t>
      </w:r>
    </w:p>
    <w:p w14:paraId="454492D6"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Michailidis, P., Michailidis, I., &amp; </w:t>
      </w:r>
      <w:proofErr w:type="spellStart"/>
      <w:r w:rsidRPr="00732A00">
        <w:rPr>
          <w:rFonts w:ascii="Times New Roman" w:eastAsia="Times New Roman" w:hAnsi="Times New Roman" w:cs="Times New Roman"/>
          <w:sz w:val="24"/>
          <w:szCs w:val="24"/>
        </w:rPr>
        <w:t>Kosmatopoulos</w:t>
      </w:r>
      <w:proofErr w:type="spellEnd"/>
      <w:r w:rsidRPr="00732A00">
        <w:rPr>
          <w:rFonts w:ascii="Times New Roman" w:eastAsia="Times New Roman" w:hAnsi="Times New Roman" w:cs="Times New Roman"/>
          <w:sz w:val="24"/>
          <w:szCs w:val="24"/>
        </w:rPr>
        <w:t xml:space="preserve">, E. (2025). Reinforcement Learning for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Optimizing Renewable Energy Utilization in Buildings: A Review on Applications and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Innovations. </w:t>
      </w:r>
      <w:r w:rsidRPr="00732A00">
        <w:rPr>
          <w:rFonts w:ascii="Times New Roman" w:eastAsia="Times New Roman" w:hAnsi="Times New Roman" w:cs="Times New Roman"/>
          <w:i/>
          <w:iCs/>
          <w:sz w:val="24"/>
          <w:szCs w:val="24"/>
        </w:rPr>
        <w:t>Energies</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18</w:t>
      </w:r>
      <w:r w:rsidRPr="00732A00">
        <w:rPr>
          <w:rFonts w:ascii="Times New Roman" w:eastAsia="Times New Roman" w:hAnsi="Times New Roman" w:cs="Times New Roman"/>
          <w:sz w:val="24"/>
          <w:szCs w:val="24"/>
        </w:rPr>
        <w:t>(7), 1724. https://doi.org/10.3390/en18071724</w:t>
      </w:r>
    </w:p>
    <w:p w14:paraId="72C1E672"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proofErr w:type="spellStart"/>
      <w:r w:rsidRPr="00732A00">
        <w:rPr>
          <w:rFonts w:ascii="Times New Roman" w:eastAsia="Times New Roman" w:hAnsi="Times New Roman" w:cs="Times New Roman"/>
          <w:sz w:val="24"/>
          <w:szCs w:val="24"/>
        </w:rPr>
        <w:t>Misyris</w:t>
      </w:r>
      <w:proofErr w:type="spellEnd"/>
      <w:r w:rsidRPr="00732A00">
        <w:rPr>
          <w:rFonts w:ascii="Times New Roman" w:eastAsia="Times New Roman" w:hAnsi="Times New Roman" w:cs="Times New Roman"/>
          <w:sz w:val="24"/>
          <w:szCs w:val="24"/>
        </w:rPr>
        <w:t xml:space="preserve">, G. S., Venzke, A., &amp; Spyros </w:t>
      </w:r>
      <w:proofErr w:type="spellStart"/>
      <w:r w:rsidRPr="00732A00">
        <w:rPr>
          <w:rFonts w:ascii="Times New Roman" w:eastAsia="Times New Roman" w:hAnsi="Times New Roman" w:cs="Times New Roman"/>
          <w:sz w:val="24"/>
          <w:szCs w:val="24"/>
        </w:rPr>
        <w:t>Chatzivasileiadis</w:t>
      </w:r>
      <w:proofErr w:type="spellEnd"/>
      <w:r w:rsidRPr="00732A00">
        <w:rPr>
          <w:rFonts w:ascii="Times New Roman" w:eastAsia="Times New Roman" w:hAnsi="Times New Roman" w:cs="Times New Roman"/>
          <w:sz w:val="24"/>
          <w:szCs w:val="24"/>
        </w:rPr>
        <w:t xml:space="preserve">. (2020). Physics-Informed Neural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Networks for Power Systems. </w:t>
      </w:r>
      <w:proofErr w:type="spellStart"/>
      <w:r w:rsidRPr="00732A00">
        <w:rPr>
          <w:rFonts w:ascii="Times New Roman" w:eastAsia="Times New Roman" w:hAnsi="Times New Roman" w:cs="Times New Roman"/>
          <w:i/>
          <w:iCs/>
          <w:sz w:val="24"/>
          <w:szCs w:val="24"/>
        </w:rPr>
        <w:t>ArXiv</w:t>
      </w:r>
      <w:proofErr w:type="spellEnd"/>
      <w:r w:rsidRPr="00732A00">
        <w:rPr>
          <w:rFonts w:ascii="Times New Roman" w:eastAsia="Times New Roman" w:hAnsi="Times New Roman" w:cs="Times New Roman"/>
          <w:i/>
          <w:iCs/>
          <w:sz w:val="24"/>
          <w:szCs w:val="24"/>
        </w:rPr>
        <w:t xml:space="preserve"> (Cornell University)</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https://doi.org/10.1109/pesgm41954.2020.9282004</w:t>
      </w:r>
    </w:p>
    <w:p w14:paraId="13B28C64"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Mohanta, B. K., </w:t>
      </w:r>
      <w:proofErr w:type="spellStart"/>
      <w:r w:rsidRPr="00732A00">
        <w:rPr>
          <w:rFonts w:ascii="Times New Roman" w:eastAsia="Times New Roman" w:hAnsi="Times New Roman" w:cs="Times New Roman"/>
          <w:sz w:val="24"/>
          <w:szCs w:val="24"/>
        </w:rPr>
        <w:t>Dehury</w:t>
      </w:r>
      <w:proofErr w:type="spellEnd"/>
      <w:r w:rsidRPr="00732A00">
        <w:rPr>
          <w:rFonts w:ascii="Times New Roman" w:eastAsia="Times New Roman" w:hAnsi="Times New Roman" w:cs="Times New Roman"/>
          <w:sz w:val="24"/>
          <w:szCs w:val="24"/>
        </w:rPr>
        <w:t xml:space="preserve">, M. K., </w:t>
      </w:r>
      <w:proofErr w:type="spellStart"/>
      <w:r w:rsidRPr="00732A00">
        <w:rPr>
          <w:rFonts w:ascii="Times New Roman" w:eastAsia="Times New Roman" w:hAnsi="Times New Roman" w:cs="Times New Roman"/>
          <w:sz w:val="24"/>
          <w:szCs w:val="24"/>
        </w:rPr>
        <w:t>Sukhni</w:t>
      </w:r>
      <w:proofErr w:type="spellEnd"/>
      <w:r w:rsidRPr="00732A00">
        <w:rPr>
          <w:rFonts w:ascii="Times New Roman" w:eastAsia="Times New Roman" w:hAnsi="Times New Roman" w:cs="Times New Roman"/>
          <w:sz w:val="24"/>
          <w:szCs w:val="24"/>
        </w:rPr>
        <w:t xml:space="preserve">, B. A., &amp; Mohapatra, N. (2022, November 1). </w:t>
      </w:r>
      <w:r w:rsidRPr="00732A00">
        <w:rPr>
          <w:rFonts w:ascii="Times New Roman" w:eastAsia="Times New Roman" w:hAnsi="Times New Roman" w:cs="Times New Roman"/>
          <w:i/>
          <w:iCs/>
          <w:sz w:val="24"/>
          <w:szCs w:val="24"/>
        </w:rPr>
        <w:t xml:space="preserve">Cyber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Physical System: Security Challenges in Internet of Things System</w:t>
      </w:r>
      <w:r w:rsidRPr="00732A00">
        <w:rPr>
          <w:rFonts w:ascii="Times New Roman" w:eastAsia="Times New Roman" w:hAnsi="Times New Roman" w:cs="Times New Roman"/>
          <w:sz w:val="24"/>
          <w:szCs w:val="24"/>
        </w:rPr>
        <w:t xml:space="preserve">. IEEE Xplore.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https://doi.org/10.1109/I-SMAC55078.2022.9987256</w:t>
      </w:r>
    </w:p>
    <w:p w14:paraId="43C09E3C"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Mohit Kumar Maheshwari, Anurag Kumar Gupta, Harsh Kumar Pathak, Khan, H., &amp; Arun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Kumar Maurya. (2023). Cyber Security in Power System: Challenges and Opportunities. </w:t>
      </w:r>
      <w:r>
        <w:rPr>
          <w:rFonts w:ascii="Times New Roman" w:eastAsia="Times New Roman" w:hAnsi="Times New Roman" w:cs="Times New Roman"/>
          <w:sz w:val="24"/>
          <w:szCs w:val="24"/>
        </w:rPr>
        <w:tab/>
      </w:r>
      <w:r w:rsidRPr="00732A00">
        <w:rPr>
          <w:rFonts w:ascii="Times New Roman" w:eastAsia="Times New Roman" w:hAnsi="Times New Roman" w:cs="Times New Roman"/>
          <w:i/>
          <w:iCs/>
          <w:sz w:val="24"/>
          <w:szCs w:val="24"/>
        </w:rPr>
        <w:t>Zenodo (CERN European Organization for Nuclear Research)</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https://doi.org/10.5281/zenodo.8112668</w:t>
      </w:r>
    </w:p>
    <w:p w14:paraId="4F834FB1"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National Institute of Standards and Technology. (2018). Framework for Improving Critical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Infrastructure Cybersecurity, Version 1.1. </w:t>
      </w:r>
      <w:r w:rsidRPr="00732A00">
        <w:rPr>
          <w:rFonts w:ascii="Times New Roman" w:eastAsia="Times New Roman" w:hAnsi="Times New Roman" w:cs="Times New Roman"/>
          <w:i/>
          <w:iCs/>
          <w:sz w:val="24"/>
          <w:szCs w:val="24"/>
        </w:rPr>
        <w:t xml:space="preserve">Framework for Improving Critical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Infrastructure Cybersecurity</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1.1</w:t>
      </w:r>
      <w:r w:rsidRPr="00732A00">
        <w:rPr>
          <w:rFonts w:ascii="Times New Roman" w:eastAsia="Times New Roman" w:hAnsi="Times New Roman" w:cs="Times New Roman"/>
          <w:sz w:val="24"/>
          <w:szCs w:val="24"/>
        </w:rPr>
        <w:t>(1). https://doi.org/10.6028/nist.cswp.04162018</w:t>
      </w:r>
    </w:p>
    <w:p w14:paraId="7B9528B7"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Panthi, M. (2020). </w:t>
      </w:r>
      <w:r w:rsidRPr="00732A00">
        <w:rPr>
          <w:rFonts w:ascii="Times New Roman" w:eastAsia="Times New Roman" w:hAnsi="Times New Roman" w:cs="Times New Roman"/>
          <w:i/>
          <w:iCs/>
          <w:sz w:val="24"/>
          <w:szCs w:val="24"/>
        </w:rPr>
        <w:t>Anomaly Detection in Smart Grids using Machine Learning Techniques</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IEEE Xplore. https://doi.org/10.1109/ICPC2T48082.2020.9071434</w:t>
      </w:r>
    </w:p>
    <w:p w14:paraId="2447F882" w14:textId="77777777" w:rsidR="000257D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Pedregosa, F., </w:t>
      </w:r>
      <w:proofErr w:type="spellStart"/>
      <w:r w:rsidRPr="00732A00">
        <w:rPr>
          <w:rFonts w:ascii="Times New Roman" w:eastAsia="Times New Roman" w:hAnsi="Times New Roman" w:cs="Times New Roman"/>
          <w:sz w:val="24"/>
          <w:szCs w:val="24"/>
        </w:rPr>
        <w:t>Pedregosa@inria</w:t>
      </w:r>
      <w:proofErr w:type="spellEnd"/>
      <w:r w:rsidRPr="00732A00">
        <w:rPr>
          <w:rFonts w:ascii="Times New Roman" w:eastAsia="Times New Roman" w:hAnsi="Times New Roman" w:cs="Times New Roman"/>
          <w:sz w:val="24"/>
          <w:szCs w:val="24"/>
        </w:rPr>
        <w:t xml:space="preserve">, F., Fr, Org, G., Michel, V., Fr, B., Grisel, O., </w:t>
      </w:r>
      <w:proofErr w:type="spellStart"/>
      <w:r w:rsidRPr="00732A00">
        <w:rPr>
          <w:rFonts w:ascii="Times New Roman" w:eastAsia="Times New Roman" w:hAnsi="Times New Roman" w:cs="Times New Roman"/>
          <w:sz w:val="24"/>
          <w:szCs w:val="24"/>
        </w:rPr>
        <w:t>Grisel@ensta</w:t>
      </w:r>
      <w:proofErr w:type="spellEnd"/>
      <w:r w:rsidRPr="00732A00">
        <w:rPr>
          <w:rFonts w:ascii="Times New Roman" w:eastAsia="Times New Roman" w:hAnsi="Times New Roman" w:cs="Times New Roman"/>
          <w:sz w:val="24"/>
          <w:szCs w:val="24"/>
        </w:rPr>
        <w:t xml:space="preserve">, O.,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Blondel, M., </w:t>
      </w:r>
      <w:proofErr w:type="spellStart"/>
      <w:r w:rsidRPr="00732A00">
        <w:rPr>
          <w:rFonts w:ascii="Times New Roman" w:eastAsia="Times New Roman" w:hAnsi="Times New Roman" w:cs="Times New Roman"/>
          <w:sz w:val="24"/>
          <w:szCs w:val="24"/>
        </w:rPr>
        <w:t>Prettenhofer</w:t>
      </w:r>
      <w:proofErr w:type="spellEnd"/>
      <w:r w:rsidRPr="00732A00">
        <w:rPr>
          <w:rFonts w:ascii="Times New Roman" w:eastAsia="Times New Roman" w:hAnsi="Times New Roman" w:cs="Times New Roman"/>
          <w:sz w:val="24"/>
          <w:szCs w:val="24"/>
        </w:rPr>
        <w:t xml:space="preserve">, P., Weiss, R., Com, V., Vanderplas, J., Com, A., </w:t>
      </w:r>
      <w:proofErr w:type="spellStart"/>
      <w:r w:rsidRPr="00732A00">
        <w:rPr>
          <w:rFonts w:ascii="Times New Roman" w:eastAsia="Times New Roman" w:hAnsi="Times New Roman" w:cs="Times New Roman"/>
          <w:sz w:val="24"/>
          <w:szCs w:val="24"/>
        </w:rPr>
        <w:t>Cournapeau</w:t>
      </w:r>
      <w:proofErr w:type="spellEnd"/>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D., </w:t>
      </w:r>
      <w:proofErr w:type="spellStart"/>
      <w:r w:rsidRPr="00732A00">
        <w:rPr>
          <w:rFonts w:ascii="Times New Roman" w:eastAsia="Times New Roman" w:hAnsi="Times New Roman" w:cs="Times New Roman"/>
          <w:sz w:val="24"/>
          <w:szCs w:val="24"/>
        </w:rPr>
        <w:t>Varoquaux</w:t>
      </w:r>
      <w:proofErr w:type="spellEnd"/>
      <w:r w:rsidRPr="00732A00">
        <w:rPr>
          <w:rFonts w:ascii="Times New Roman" w:eastAsia="Times New Roman" w:hAnsi="Times New Roman" w:cs="Times New Roman"/>
          <w:sz w:val="24"/>
          <w:szCs w:val="24"/>
        </w:rPr>
        <w:t xml:space="preserve">, G., </w:t>
      </w:r>
      <w:proofErr w:type="spellStart"/>
      <w:r w:rsidRPr="00732A00">
        <w:rPr>
          <w:rFonts w:ascii="Times New Roman" w:eastAsia="Times New Roman" w:hAnsi="Times New Roman" w:cs="Times New Roman"/>
          <w:sz w:val="24"/>
          <w:szCs w:val="24"/>
        </w:rPr>
        <w:t>Gramfort</w:t>
      </w:r>
      <w:proofErr w:type="spellEnd"/>
      <w:r w:rsidRPr="00732A00">
        <w:rPr>
          <w:rFonts w:ascii="Times New Roman" w:eastAsia="Times New Roman" w:hAnsi="Times New Roman" w:cs="Times New Roman"/>
          <w:sz w:val="24"/>
          <w:szCs w:val="24"/>
        </w:rPr>
        <w:t>, A., Thirion, B., Dubourg, V., &amp; Passos, A. (2011). Scikit-</w:t>
      </w:r>
      <w:r>
        <w:rPr>
          <w:rFonts w:ascii="Times New Roman" w:eastAsia="Times New Roman" w:hAnsi="Times New Roman" w:cs="Times New Roman"/>
          <w:sz w:val="24"/>
          <w:szCs w:val="24"/>
        </w:rPr>
        <w:lastRenderedPageBreak/>
        <w:tab/>
      </w:r>
      <w:r w:rsidRPr="00732A00">
        <w:rPr>
          <w:rFonts w:ascii="Times New Roman" w:eastAsia="Times New Roman" w:hAnsi="Times New Roman" w:cs="Times New Roman"/>
          <w:sz w:val="24"/>
          <w:szCs w:val="24"/>
        </w:rPr>
        <w:t xml:space="preserve">learn: Machine Learning in Python </w:t>
      </w:r>
      <w:proofErr w:type="spellStart"/>
      <w:r w:rsidRPr="00732A00">
        <w:rPr>
          <w:rFonts w:ascii="Times New Roman" w:eastAsia="Times New Roman" w:hAnsi="Times New Roman" w:cs="Times New Roman"/>
          <w:sz w:val="24"/>
          <w:szCs w:val="24"/>
        </w:rPr>
        <w:t>Gaël</w:t>
      </w:r>
      <w:proofErr w:type="spellEnd"/>
      <w:r w:rsidRPr="00732A00">
        <w:rPr>
          <w:rFonts w:ascii="Times New Roman" w:eastAsia="Times New Roman" w:hAnsi="Times New Roman" w:cs="Times New Roman"/>
          <w:sz w:val="24"/>
          <w:szCs w:val="24"/>
        </w:rPr>
        <w:t xml:space="preserve"> </w:t>
      </w:r>
      <w:proofErr w:type="spellStart"/>
      <w:r w:rsidRPr="00732A00">
        <w:rPr>
          <w:rFonts w:ascii="Times New Roman" w:eastAsia="Times New Roman" w:hAnsi="Times New Roman" w:cs="Times New Roman"/>
          <w:sz w:val="24"/>
          <w:szCs w:val="24"/>
        </w:rPr>
        <w:t>Varoquaux</w:t>
      </w:r>
      <w:proofErr w:type="spellEnd"/>
      <w:r w:rsidRPr="00732A00">
        <w:rPr>
          <w:rFonts w:ascii="Times New Roman" w:eastAsia="Times New Roman" w:hAnsi="Times New Roman" w:cs="Times New Roman"/>
          <w:sz w:val="24"/>
          <w:szCs w:val="24"/>
        </w:rPr>
        <w:t xml:space="preserve"> Bertrand </w:t>
      </w:r>
      <w:proofErr w:type="spellStart"/>
      <w:r w:rsidRPr="00732A00">
        <w:rPr>
          <w:rFonts w:ascii="Times New Roman" w:eastAsia="Times New Roman" w:hAnsi="Times New Roman" w:cs="Times New Roman"/>
          <w:sz w:val="24"/>
          <w:szCs w:val="24"/>
        </w:rPr>
        <w:t>Thirion</w:t>
      </w:r>
      <w:proofErr w:type="spellEnd"/>
      <w:r w:rsidRPr="00732A00">
        <w:rPr>
          <w:rFonts w:ascii="Times New Roman" w:eastAsia="Times New Roman" w:hAnsi="Times New Roman" w:cs="Times New Roman"/>
          <w:sz w:val="24"/>
          <w:szCs w:val="24"/>
        </w:rPr>
        <w:t xml:space="preserve"> Vincent Dubourg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Alexandre Passos PEDREGOSA, VAROQUAUX, GRAMFORT ET AL. Matthieu </w:t>
      </w:r>
    </w:p>
    <w:p w14:paraId="781548CC"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Qi, Q., Tao, F., Hu, T., </w:t>
      </w:r>
      <w:proofErr w:type="spellStart"/>
      <w:r w:rsidRPr="00732A00">
        <w:rPr>
          <w:rFonts w:ascii="Times New Roman" w:eastAsia="Times New Roman" w:hAnsi="Times New Roman" w:cs="Times New Roman"/>
          <w:sz w:val="24"/>
          <w:szCs w:val="24"/>
        </w:rPr>
        <w:t>Anwer</w:t>
      </w:r>
      <w:proofErr w:type="spellEnd"/>
      <w:r w:rsidRPr="00732A00">
        <w:rPr>
          <w:rFonts w:ascii="Times New Roman" w:eastAsia="Times New Roman" w:hAnsi="Times New Roman" w:cs="Times New Roman"/>
          <w:sz w:val="24"/>
          <w:szCs w:val="24"/>
        </w:rPr>
        <w:t xml:space="preserve">, N., Liu, A., Wei, Y., Wang, L., &amp; Nee, A. Y. C. (2019). Enabling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technologies and tools for digital twin. </w:t>
      </w:r>
      <w:r w:rsidRPr="00732A00">
        <w:rPr>
          <w:rFonts w:ascii="Times New Roman" w:eastAsia="Times New Roman" w:hAnsi="Times New Roman" w:cs="Times New Roman"/>
          <w:i/>
          <w:iCs/>
          <w:sz w:val="24"/>
          <w:szCs w:val="24"/>
        </w:rPr>
        <w:t>Journal of Manufacturing Systems</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58</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https://doi.org/10.1016/j.jmsy.2019.10.001</w:t>
      </w:r>
    </w:p>
    <w:p w14:paraId="6396B571"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Qian, X., Fu, Y., Jiang, Y.-G., Xiang, T., &amp; Xue, X. (2017). </w:t>
      </w:r>
      <w:r w:rsidRPr="00732A00">
        <w:rPr>
          <w:rFonts w:ascii="Times New Roman" w:eastAsia="Times New Roman" w:hAnsi="Times New Roman" w:cs="Times New Roman"/>
          <w:i/>
          <w:iCs/>
          <w:sz w:val="24"/>
          <w:szCs w:val="24"/>
        </w:rPr>
        <w:t xml:space="preserve">Multi-scale Deep Learning </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Architectures for Person Re-identification</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hyperlink r:id="rId15" w:history="1">
        <w:r w:rsidRPr="00FE54D4">
          <w:rPr>
            <w:rStyle w:val="Hyperlink"/>
            <w:rFonts w:ascii="Times New Roman" w:eastAsia="Times New Roman" w:hAnsi="Times New Roman" w:cs="Times New Roman"/>
            <w:sz w:val="24"/>
            <w:szCs w:val="24"/>
          </w:rPr>
          <w:t>https://openaccess.thecvf.com/content_ICCV_2017/papers/Qian_Multi-</w:t>
        </w:r>
      </w:hyperlink>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Scale_Deep_Learning_ICCV_2017_paper.pdf</w:t>
      </w:r>
    </w:p>
    <w:p w14:paraId="27BB894B"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proofErr w:type="spellStart"/>
      <w:r w:rsidRPr="00732A00">
        <w:rPr>
          <w:rFonts w:ascii="Times New Roman" w:eastAsia="Times New Roman" w:hAnsi="Times New Roman" w:cs="Times New Roman"/>
          <w:sz w:val="24"/>
          <w:szCs w:val="24"/>
        </w:rPr>
        <w:t>Rausand</w:t>
      </w:r>
      <w:proofErr w:type="spellEnd"/>
      <w:r w:rsidRPr="00732A00">
        <w:rPr>
          <w:rFonts w:ascii="Times New Roman" w:eastAsia="Times New Roman" w:hAnsi="Times New Roman" w:cs="Times New Roman"/>
          <w:sz w:val="24"/>
          <w:szCs w:val="24"/>
        </w:rPr>
        <w:t xml:space="preserve">, M., &amp; Haugen, S. (2020). </w:t>
      </w:r>
      <w:r w:rsidRPr="00732A00">
        <w:rPr>
          <w:rFonts w:ascii="Times New Roman" w:eastAsia="Times New Roman" w:hAnsi="Times New Roman" w:cs="Times New Roman"/>
          <w:i/>
          <w:iCs/>
          <w:sz w:val="24"/>
          <w:szCs w:val="24"/>
        </w:rPr>
        <w:t>Risk Assessment</w:t>
      </w:r>
      <w:r w:rsidRPr="00732A00">
        <w:rPr>
          <w:rFonts w:ascii="Times New Roman" w:eastAsia="Times New Roman" w:hAnsi="Times New Roman" w:cs="Times New Roman"/>
          <w:sz w:val="24"/>
          <w:szCs w:val="24"/>
        </w:rPr>
        <w:t>. https://doi.org/10.1002/9781119377351</w:t>
      </w:r>
    </w:p>
    <w:p w14:paraId="608EC288"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REN21. (2022). </w:t>
      </w:r>
      <w:r w:rsidRPr="00732A00">
        <w:rPr>
          <w:rFonts w:ascii="Times New Roman" w:eastAsia="Times New Roman" w:hAnsi="Times New Roman" w:cs="Times New Roman"/>
          <w:i/>
          <w:iCs/>
          <w:sz w:val="24"/>
          <w:szCs w:val="24"/>
        </w:rPr>
        <w:t>RENEWABLES 2022 GLOBAL STATUS REPORT</w:t>
      </w:r>
      <w:r w:rsidRPr="00732A00">
        <w:rPr>
          <w:rFonts w:ascii="Times New Roman" w:eastAsia="Times New Roman" w:hAnsi="Times New Roman" w:cs="Times New Roman"/>
          <w:sz w:val="24"/>
          <w:szCs w:val="24"/>
        </w:rPr>
        <w:t xml:space="preserve">. </w:t>
      </w:r>
      <w:hyperlink r:id="rId16" w:history="1">
        <w:r w:rsidRPr="00FE54D4">
          <w:rPr>
            <w:rStyle w:val="Hyperlink"/>
            <w:rFonts w:ascii="Times New Roman" w:eastAsia="Times New Roman" w:hAnsi="Times New Roman" w:cs="Times New Roman"/>
            <w:sz w:val="24"/>
            <w:szCs w:val="24"/>
          </w:rPr>
          <w:t>Www.ren21.net</w:t>
        </w:r>
      </w:hyperlink>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https://www.ren21.net/gsr-2022/</w:t>
      </w:r>
    </w:p>
    <w:p w14:paraId="5FC9D5C3"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Saito, T., &amp; </w:t>
      </w:r>
      <w:proofErr w:type="spellStart"/>
      <w:r w:rsidRPr="00732A00">
        <w:rPr>
          <w:rFonts w:ascii="Times New Roman" w:eastAsia="Times New Roman" w:hAnsi="Times New Roman" w:cs="Times New Roman"/>
          <w:sz w:val="24"/>
          <w:szCs w:val="24"/>
        </w:rPr>
        <w:t>Rehmsmeier</w:t>
      </w:r>
      <w:proofErr w:type="spellEnd"/>
      <w:r w:rsidRPr="00732A00">
        <w:rPr>
          <w:rFonts w:ascii="Times New Roman" w:eastAsia="Times New Roman" w:hAnsi="Times New Roman" w:cs="Times New Roman"/>
          <w:sz w:val="24"/>
          <w:szCs w:val="24"/>
        </w:rPr>
        <w:t xml:space="preserve">, M. (2015). The Precision-Recall Plot Is More Informative than the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ROC Plot When Evaluating Binary Classifiers on Imbalanced Datasets. </w:t>
      </w:r>
      <w:r w:rsidRPr="00732A00">
        <w:rPr>
          <w:rFonts w:ascii="Times New Roman" w:eastAsia="Times New Roman" w:hAnsi="Times New Roman" w:cs="Times New Roman"/>
          <w:i/>
          <w:iCs/>
          <w:sz w:val="24"/>
          <w:szCs w:val="24"/>
        </w:rPr>
        <w:t>PLOS ONE</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i/>
          <w:iCs/>
          <w:sz w:val="24"/>
          <w:szCs w:val="24"/>
        </w:rPr>
        <w:t>10</w:t>
      </w:r>
      <w:r w:rsidRPr="00732A00">
        <w:rPr>
          <w:rFonts w:ascii="Times New Roman" w:eastAsia="Times New Roman" w:hAnsi="Times New Roman" w:cs="Times New Roman"/>
          <w:sz w:val="24"/>
          <w:szCs w:val="24"/>
        </w:rPr>
        <w:t>(3), e0118432. https://doi.org/10.1371/journal.pone.0118432</w:t>
      </w:r>
    </w:p>
    <w:p w14:paraId="5D1A8B6E"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proofErr w:type="spellStart"/>
      <w:r w:rsidRPr="00732A00">
        <w:rPr>
          <w:rFonts w:ascii="Times New Roman" w:eastAsia="Times New Roman" w:hAnsi="Times New Roman" w:cs="Times New Roman"/>
          <w:sz w:val="24"/>
          <w:szCs w:val="24"/>
        </w:rPr>
        <w:t>Sharafaldin</w:t>
      </w:r>
      <w:proofErr w:type="spellEnd"/>
      <w:r w:rsidRPr="00732A00">
        <w:rPr>
          <w:rFonts w:ascii="Times New Roman" w:eastAsia="Times New Roman" w:hAnsi="Times New Roman" w:cs="Times New Roman"/>
          <w:sz w:val="24"/>
          <w:szCs w:val="24"/>
        </w:rPr>
        <w:t xml:space="preserve">, I., Habibi Lashkari, A., &amp; Ghorbani, A. A. (2018). Toward Generating a New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Intrusion Detection Dataset and Intrusion Traffic Characterization. </w:t>
      </w:r>
      <w:r w:rsidRPr="00732A00">
        <w:rPr>
          <w:rFonts w:ascii="Times New Roman" w:eastAsia="Times New Roman" w:hAnsi="Times New Roman" w:cs="Times New Roman"/>
          <w:i/>
          <w:iCs/>
          <w:sz w:val="24"/>
          <w:szCs w:val="24"/>
        </w:rPr>
        <w:t xml:space="preserve">Proceedings of the 4th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International Conference on Information Systems Security and Privacy</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https://doi.org/10.5220/0006639801080116</w:t>
      </w:r>
    </w:p>
    <w:p w14:paraId="5E63E2E3"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Shi, X., Chen, Z., Wang, H., Yeung, D.-Y., Wong, W.-K., Woo, W.-C., &amp; Kong Observatory, H.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(2015). </w:t>
      </w:r>
      <w:r w:rsidRPr="00732A00">
        <w:rPr>
          <w:rFonts w:ascii="Times New Roman" w:eastAsia="Times New Roman" w:hAnsi="Times New Roman" w:cs="Times New Roman"/>
          <w:i/>
          <w:iCs/>
          <w:sz w:val="24"/>
          <w:szCs w:val="24"/>
        </w:rPr>
        <w:t xml:space="preserve">Convolutional LSTM Network: A Machine Learning Approach for Precipitation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Nowcasting</w:t>
      </w:r>
      <w:r w:rsidRPr="00732A00">
        <w:rPr>
          <w:rFonts w:ascii="Times New Roman" w:eastAsia="Times New Roman" w:hAnsi="Times New Roman" w:cs="Times New Roman"/>
          <w:sz w:val="24"/>
          <w:szCs w:val="24"/>
        </w:rPr>
        <w:t xml:space="preserve">. </w:t>
      </w:r>
      <w:hyperlink r:id="rId17" w:history="1">
        <w:r w:rsidRPr="00FE54D4">
          <w:rPr>
            <w:rStyle w:val="Hyperlink"/>
            <w:rFonts w:ascii="Times New Roman" w:eastAsia="Times New Roman" w:hAnsi="Times New Roman" w:cs="Times New Roman"/>
            <w:sz w:val="24"/>
            <w:szCs w:val="24"/>
          </w:rPr>
          <w:t>https://proceedings.neurips.cc/paper/5955-convolutional-lstm-network-a-</w:t>
        </w:r>
      </w:hyperlink>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machine-learningapproach-for-precipitation-nowcasting.pdf</w:t>
      </w:r>
    </w:p>
    <w:p w14:paraId="3903F5D5"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Srivastava, N., Hinton, G., </w:t>
      </w:r>
      <w:proofErr w:type="spellStart"/>
      <w:r w:rsidRPr="00732A00">
        <w:rPr>
          <w:rFonts w:ascii="Times New Roman" w:eastAsia="Times New Roman" w:hAnsi="Times New Roman" w:cs="Times New Roman"/>
          <w:sz w:val="24"/>
          <w:szCs w:val="24"/>
        </w:rPr>
        <w:t>Krizhevsky</w:t>
      </w:r>
      <w:proofErr w:type="spellEnd"/>
      <w:r w:rsidRPr="00732A00">
        <w:rPr>
          <w:rFonts w:ascii="Times New Roman" w:eastAsia="Times New Roman" w:hAnsi="Times New Roman" w:cs="Times New Roman"/>
          <w:sz w:val="24"/>
          <w:szCs w:val="24"/>
        </w:rPr>
        <w:t xml:space="preserve">, A., </w:t>
      </w:r>
      <w:proofErr w:type="spellStart"/>
      <w:r w:rsidRPr="00732A00">
        <w:rPr>
          <w:rFonts w:ascii="Times New Roman" w:eastAsia="Times New Roman" w:hAnsi="Times New Roman" w:cs="Times New Roman"/>
          <w:sz w:val="24"/>
          <w:szCs w:val="24"/>
        </w:rPr>
        <w:t>Sutskever</w:t>
      </w:r>
      <w:proofErr w:type="spellEnd"/>
      <w:r w:rsidRPr="00732A00">
        <w:rPr>
          <w:rFonts w:ascii="Times New Roman" w:eastAsia="Times New Roman" w:hAnsi="Times New Roman" w:cs="Times New Roman"/>
          <w:sz w:val="24"/>
          <w:szCs w:val="24"/>
        </w:rPr>
        <w:t xml:space="preserve">, I., &amp; </w:t>
      </w:r>
      <w:proofErr w:type="spellStart"/>
      <w:r w:rsidRPr="00732A00">
        <w:rPr>
          <w:rFonts w:ascii="Times New Roman" w:eastAsia="Times New Roman" w:hAnsi="Times New Roman" w:cs="Times New Roman"/>
          <w:sz w:val="24"/>
          <w:szCs w:val="24"/>
        </w:rPr>
        <w:t>Salakhutdinov</w:t>
      </w:r>
      <w:proofErr w:type="spellEnd"/>
      <w:r w:rsidRPr="00732A00">
        <w:rPr>
          <w:rFonts w:ascii="Times New Roman" w:eastAsia="Times New Roman" w:hAnsi="Times New Roman" w:cs="Times New Roman"/>
          <w:sz w:val="24"/>
          <w:szCs w:val="24"/>
        </w:rPr>
        <w:t xml:space="preserve">, R. (2014). Dropout: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A Simple Way to Prevent Neural Networks from Overfitting. </w:t>
      </w:r>
      <w:r w:rsidRPr="00732A00">
        <w:rPr>
          <w:rFonts w:ascii="Times New Roman" w:eastAsia="Times New Roman" w:hAnsi="Times New Roman" w:cs="Times New Roman"/>
          <w:i/>
          <w:iCs/>
          <w:sz w:val="24"/>
          <w:szCs w:val="24"/>
        </w:rPr>
        <w:t xml:space="preserve">Journal of Machine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Learning Research</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15</w:t>
      </w:r>
      <w:r w:rsidRPr="00732A00">
        <w:rPr>
          <w:rFonts w:ascii="Times New Roman" w:eastAsia="Times New Roman" w:hAnsi="Times New Roman" w:cs="Times New Roman"/>
          <w:sz w:val="24"/>
          <w:szCs w:val="24"/>
        </w:rPr>
        <w:t>(56), 1929–1958. https://jmlr.org/papers/v15/srivastava14a.html</w:t>
      </w:r>
    </w:p>
    <w:p w14:paraId="67FABE46"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Terra, J. (2022). </w:t>
      </w:r>
      <w:r w:rsidRPr="00732A00">
        <w:rPr>
          <w:rFonts w:ascii="Times New Roman" w:eastAsia="Times New Roman" w:hAnsi="Times New Roman" w:cs="Times New Roman"/>
          <w:i/>
          <w:iCs/>
          <w:sz w:val="24"/>
          <w:szCs w:val="24"/>
        </w:rPr>
        <w:t xml:space="preserve">What is a ROC Curve, and How Do You Use It in Performance Modeling? |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Simplilearn</w:t>
      </w:r>
      <w:r w:rsidRPr="00732A00">
        <w:rPr>
          <w:rFonts w:ascii="Times New Roman" w:eastAsia="Times New Roman" w:hAnsi="Times New Roman" w:cs="Times New Roman"/>
          <w:sz w:val="24"/>
          <w:szCs w:val="24"/>
        </w:rPr>
        <w:t xml:space="preserve">. Simplilearn.com. </w:t>
      </w:r>
      <w:hyperlink r:id="rId18" w:history="1">
        <w:r w:rsidRPr="00FE54D4">
          <w:rPr>
            <w:rStyle w:val="Hyperlink"/>
            <w:rFonts w:ascii="Times New Roman" w:eastAsia="Times New Roman" w:hAnsi="Times New Roman" w:cs="Times New Roman"/>
            <w:sz w:val="24"/>
            <w:szCs w:val="24"/>
          </w:rPr>
          <w:t>https://www.simplilearn.com/what-is-a-roc-curve-and-</w:t>
        </w:r>
      </w:hyperlink>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how-to-use-it-in-performance-modeling-article</w:t>
      </w:r>
    </w:p>
    <w:p w14:paraId="196271BA"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lastRenderedPageBreak/>
        <w:t>Ti, B., Li, G., Zhou, M., &amp; Wang, J. (2021). Resilience Assessment and Improvement for Cyber-</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Physical Power Systems under Typhoon Disasters. </w:t>
      </w:r>
      <w:r w:rsidRPr="00732A00">
        <w:rPr>
          <w:rFonts w:ascii="Times New Roman" w:eastAsia="Times New Roman" w:hAnsi="Times New Roman" w:cs="Times New Roman"/>
          <w:i/>
          <w:iCs/>
          <w:sz w:val="24"/>
          <w:szCs w:val="24"/>
        </w:rPr>
        <w:t>IEEE Transactions on Smart Grid</w:t>
      </w:r>
      <w:r w:rsidRPr="00732A00">
        <w:rPr>
          <w:rFonts w:ascii="Times New Roman" w:eastAsia="Times New Roman" w:hAnsi="Times New Roman" w:cs="Times New Roman"/>
          <w:sz w:val="24"/>
          <w:szCs w:val="24"/>
        </w:rPr>
        <w:t>, 1–</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1. https://doi.org/10.1109/tsg.2021.3114512</w:t>
      </w:r>
    </w:p>
    <w:p w14:paraId="70B1AE6E"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U.S.-Canada Power System Outage Task Force. (2004). </w:t>
      </w:r>
      <w:r w:rsidRPr="00732A00">
        <w:rPr>
          <w:rFonts w:ascii="Times New Roman" w:eastAsia="Times New Roman" w:hAnsi="Times New Roman" w:cs="Times New Roman"/>
          <w:i/>
          <w:iCs/>
          <w:sz w:val="24"/>
          <w:szCs w:val="24"/>
        </w:rPr>
        <w:t xml:space="preserve">Final Report on the Blackout in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 xml:space="preserve">the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United States and Canada: Causes and Recommendations</w:t>
      </w:r>
      <w:r w:rsidRPr="00732A0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hyperlink r:id="rId19" w:history="1">
        <w:r w:rsidRPr="00FE54D4">
          <w:rPr>
            <w:rStyle w:val="Hyperlink"/>
            <w:rFonts w:ascii="Times New Roman" w:eastAsia="Times New Roman" w:hAnsi="Times New Roman" w:cs="Times New Roman"/>
            <w:sz w:val="24"/>
            <w:szCs w:val="24"/>
          </w:rPr>
          <w:t>https://www.energy.gov/sites/prod/files/oeprod/DocumentsandMedia/BlackoutFinal-</w:t>
        </w:r>
      </w:hyperlink>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Web.pdf</w:t>
      </w:r>
    </w:p>
    <w:p w14:paraId="6B7DA533"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proofErr w:type="spellStart"/>
      <w:r w:rsidRPr="00732A00">
        <w:rPr>
          <w:rFonts w:ascii="Times New Roman" w:eastAsia="Times New Roman" w:hAnsi="Times New Roman" w:cs="Times New Roman"/>
          <w:sz w:val="24"/>
          <w:szCs w:val="24"/>
        </w:rPr>
        <w:t>Vangheluwe</w:t>
      </w:r>
      <w:proofErr w:type="spellEnd"/>
      <w:r w:rsidRPr="00732A00">
        <w:rPr>
          <w:rFonts w:ascii="Times New Roman" w:eastAsia="Times New Roman" w:hAnsi="Times New Roman" w:cs="Times New Roman"/>
          <w:sz w:val="24"/>
          <w:szCs w:val="24"/>
        </w:rPr>
        <w:t xml:space="preserve">, H., Lara, J. de, &amp; </w:t>
      </w:r>
      <w:proofErr w:type="spellStart"/>
      <w:r w:rsidRPr="00732A00">
        <w:rPr>
          <w:rFonts w:ascii="Times New Roman" w:eastAsia="Times New Roman" w:hAnsi="Times New Roman" w:cs="Times New Roman"/>
          <w:sz w:val="24"/>
          <w:szCs w:val="24"/>
        </w:rPr>
        <w:t>Mosterman</w:t>
      </w:r>
      <w:proofErr w:type="spellEnd"/>
      <w:r w:rsidRPr="00732A00">
        <w:rPr>
          <w:rFonts w:ascii="Times New Roman" w:eastAsia="Times New Roman" w:hAnsi="Times New Roman" w:cs="Times New Roman"/>
          <w:sz w:val="24"/>
          <w:szCs w:val="24"/>
        </w:rPr>
        <w:t xml:space="preserve">, P. J. (2002, January 1). </w:t>
      </w:r>
      <w:r w:rsidRPr="00732A00">
        <w:rPr>
          <w:rFonts w:ascii="Times New Roman" w:eastAsia="Times New Roman" w:hAnsi="Times New Roman" w:cs="Times New Roman"/>
          <w:i/>
          <w:iCs/>
          <w:sz w:val="24"/>
          <w:szCs w:val="24"/>
        </w:rPr>
        <w:t>An introduction to multi-</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paradigm modelling and simulation</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hyperlink r:id="rId20" w:history="1">
        <w:r w:rsidRPr="00FE54D4">
          <w:rPr>
            <w:rStyle w:val="Hyperlink"/>
            <w:rFonts w:ascii="Times New Roman" w:eastAsia="Times New Roman" w:hAnsi="Times New Roman" w:cs="Times New Roman"/>
            <w:sz w:val="24"/>
            <w:szCs w:val="24"/>
          </w:rPr>
          <w:t>https://www.researchgate.net/publication/243776266_An_introduction_to_multi-</w:t>
        </w:r>
      </w:hyperlink>
      <w:r>
        <w:rPr>
          <w:rFonts w:ascii="Times New Roman" w:eastAsia="Times New Roman" w:hAnsi="Times New Roman" w:cs="Times New Roman"/>
          <w:sz w:val="24"/>
          <w:szCs w:val="24"/>
        </w:rPr>
        <w:tab/>
      </w:r>
      <w:proofErr w:type="spellStart"/>
      <w:r w:rsidRPr="00732A00">
        <w:rPr>
          <w:rFonts w:ascii="Times New Roman" w:eastAsia="Times New Roman" w:hAnsi="Times New Roman" w:cs="Times New Roman"/>
          <w:sz w:val="24"/>
          <w:szCs w:val="24"/>
        </w:rPr>
        <w:t>paradigm_modelling_and_simulation</w:t>
      </w:r>
      <w:proofErr w:type="spellEnd"/>
    </w:p>
    <w:p w14:paraId="4E377D74"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Wang, F., Zhang, Z., Liu, C., Yu, Y., Pang, S., </w:t>
      </w:r>
      <w:proofErr w:type="spellStart"/>
      <w:r w:rsidRPr="00732A00">
        <w:rPr>
          <w:rFonts w:ascii="Times New Roman" w:eastAsia="Times New Roman" w:hAnsi="Times New Roman" w:cs="Times New Roman"/>
          <w:sz w:val="24"/>
          <w:szCs w:val="24"/>
        </w:rPr>
        <w:t>Duić</w:t>
      </w:r>
      <w:proofErr w:type="spellEnd"/>
      <w:r w:rsidRPr="00732A00">
        <w:rPr>
          <w:rFonts w:ascii="Times New Roman" w:eastAsia="Times New Roman" w:hAnsi="Times New Roman" w:cs="Times New Roman"/>
          <w:sz w:val="24"/>
          <w:szCs w:val="24"/>
        </w:rPr>
        <w:t xml:space="preserve">, N., </w:t>
      </w:r>
      <w:proofErr w:type="spellStart"/>
      <w:r w:rsidRPr="00732A00">
        <w:rPr>
          <w:rFonts w:ascii="Times New Roman" w:eastAsia="Times New Roman" w:hAnsi="Times New Roman" w:cs="Times New Roman"/>
          <w:sz w:val="24"/>
          <w:szCs w:val="24"/>
        </w:rPr>
        <w:t>Shafie-khah</w:t>
      </w:r>
      <w:proofErr w:type="spellEnd"/>
      <w:r w:rsidRPr="00732A00">
        <w:rPr>
          <w:rFonts w:ascii="Times New Roman" w:eastAsia="Times New Roman" w:hAnsi="Times New Roman" w:cs="Times New Roman"/>
          <w:sz w:val="24"/>
          <w:szCs w:val="24"/>
        </w:rPr>
        <w:t xml:space="preserve">, M., &amp; </w:t>
      </w:r>
      <w:proofErr w:type="spellStart"/>
      <w:r w:rsidRPr="00732A00">
        <w:rPr>
          <w:rFonts w:ascii="Times New Roman" w:eastAsia="Times New Roman" w:hAnsi="Times New Roman" w:cs="Times New Roman"/>
          <w:sz w:val="24"/>
          <w:szCs w:val="24"/>
        </w:rPr>
        <w:t>Catalão</w:t>
      </w:r>
      <w:proofErr w:type="spellEnd"/>
      <w:r w:rsidRPr="00732A00">
        <w:rPr>
          <w:rFonts w:ascii="Times New Roman" w:eastAsia="Times New Roman" w:hAnsi="Times New Roman" w:cs="Times New Roman"/>
          <w:sz w:val="24"/>
          <w:szCs w:val="24"/>
        </w:rPr>
        <w:t xml:space="preserve">, J. P. S.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(2019). Generative adversarial networks and convolutional neural </w:t>
      </w:r>
      <w:proofErr w:type="gramStart"/>
      <w:r w:rsidRPr="00732A00">
        <w:rPr>
          <w:rFonts w:ascii="Times New Roman" w:eastAsia="Times New Roman" w:hAnsi="Times New Roman" w:cs="Times New Roman"/>
          <w:sz w:val="24"/>
          <w:szCs w:val="24"/>
        </w:rPr>
        <w:t>networks based</w:t>
      </w:r>
      <w:proofErr w:type="gramEnd"/>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weather classification model for day ahead short-term photovoltaic power forecasting. </w:t>
      </w:r>
      <w:r>
        <w:rPr>
          <w:rFonts w:ascii="Times New Roman" w:eastAsia="Times New Roman" w:hAnsi="Times New Roman" w:cs="Times New Roman"/>
          <w:sz w:val="24"/>
          <w:szCs w:val="24"/>
        </w:rPr>
        <w:tab/>
      </w:r>
      <w:r w:rsidRPr="00732A00">
        <w:rPr>
          <w:rFonts w:ascii="Times New Roman" w:eastAsia="Times New Roman" w:hAnsi="Times New Roman" w:cs="Times New Roman"/>
          <w:i/>
          <w:iCs/>
          <w:sz w:val="24"/>
          <w:szCs w:val="24"/>
        </w:rPr>
        <w:t>Energy Conversion and Management</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181</w:t>
      </w:r>
      <w:r w:rsidRPr="00732A00">
        <w:rPr>
          <w:rFonts w:ascii="Times New Roman" w:eastAsia="Times New Roman" w:hAnsi="Times New Roman" w:cs="Times New Roman"/>
          <w:sz w:val="24"/>
          <w:szCs w:val="24"/>
        </w:rPr>
        <w:t xml:space="preserve">, 443–462.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https://doi.org/10.1016/j.enconman.2018.11.074</w:t>
      </w:r>
    </w:p>
    <w:p w14:paraId="41D4A295"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Wang, S., Zhang, Y., &amp; Zhang, Y. (2018). A Blockchain-Based Framework for Data Sharing </w:t>
      </w:r>
      <w:r>
        <w:rPr>
          <w:rFonts w:ascii="Times New Roman" w:eastAsia="Times New Roman" w:hAnsi="Times New Roman" w:cs="Times New Roman"/>
          <w:sz w:val="24"/>
          <w:szCs w:val="24"/>
        </w:rPr>
        <w:tab/>
      </w:r>
      <w:proofErr w:type="gramStart"/>
      <w:r w:rsidRPr="00732A00">
        <w:rPr>
          <w:rFonts w:ascii="Times New Roman" w:eastAsia="Times New Roman" w:hAnsi="Times New Roman" w:cs="Times New Roman"/>
          <w:sz w:val="24"/>
          <w:szCs w:val="24"/>
        </w:rPr>
        <w:t>With</w:t>
      </w:r>
      <w:proofErr w:type="gramEnd"/>
      <w:r w:rsidRPr="00732A00">
        <w:rPr>
          <w:rFonts w:ascii="Times New Roman" w:eastAsia="Times New Roman" w:hAnsi="Times New Roman" w:cs="Times New Roman"/>
          <w:sz w:val="24"/>
          <w:szCs w:val="24"/>
        </w:rPr>
        <w:t xml:space="preserve"> Fine-Grained Access Control in Decentralized Storage Systems. </w:t>
      </w:r>
      <w:r w:rsidRPr="00732A00">
        <w:rPr>
          <w:rFonts w:ascii="Times New Roman" w:eastAsia="Times New Roman" w:hAnsi="Times New Roman" w:cs="Times New Roman"/>
          <w:i/>
          <w:iCs/>
          <w:sz w:val="24"/>
          <w:szCs w:val="24"/>
        </w:rPr>
        <w:t>IEEE Access</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6</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38437–38450. https://doi.org/10.1109/access.2018.2851611</w:t>
      </w:r>
    </w:p>
    <w:p w14:paraId="156E06FF"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Wang, W., &amp; Lu, Z. (2013). Cyber security in the Smart Grid: Survey and challenges. </w:t>
      </w:r>
      <w:r w:rsidRPr="00732A00">
        <w:rPr>
          <w:rFonts w:ascii="Times New Roman" w:eastAsia="Times New Roman" w:hAnsi="Times New Roman" w:cs="Times New Roman"/>
          <w:i/>
          <w:iCs/>
          <w:sz w:val="24"/>
          <w:szCs w:val="24"/>
        </w:rPr>
        <w:t xml:space="preserve">Computer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Networks</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57</w:t>
      </w:r>
      <w:r w:rsidRPr="00732A00">
        <w:rPr>
          <w:rFonts w:ascii="Times New Roman" w:eastAsia="Times New Roman" w:hAnsi="Times New Roman" w:cs="Times New Roman"/>
          <w:sz w:val="24"/>
          <w:szCs w:val="24"/>
        </w:rPr>
        <w:t>(5), 1344–1371. https://doi.org/10.1016/j.comnet.2012.12.017</w:t>
      </w:r>
    </w:p>
    <w:p w14:paraId="390F2873"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Wang, W., Xu, Y., &amp; Khanna, M. (2011). A survey on the communication architectures in smart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grid. </w:t>
      </w:r>
      <w:r w:rsidRPr="00732A00">
        <w:rPr>
          <w:rFonts w:ascii="Times New Roman" w:eastAsia="Times New Roman" w:hAnsi="Times New Roman" w:cs="Times New Roman"/>
          <w:i/>
          <w:iCs/>
          <w:sz w:val="24"/>
          <w:szCs w:val="24"/>
        </w:rPr>
        <w:t>Computer Networks</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55</w:t>
      </w:r>
      <w:r w:rsidRPr="00732A00">
        <w:rPr>
          <w:rFonts w:ascii="Times New Roman" w:eastAsia="Times New Roman" w:hAnsi="Times New Roman" w:cs="Times New Roman"/>
          <w:sz w:val="24"/>
          <w:szCs w:val="24"/>
        </w:rPr>
        <w:t xml:space="preserve">(15), 3604–3629.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https://doi.org/10.1016/j.comnet.2011.07.010</w:t>
      </w:r>
    </w:p>
    <w:p w14:paraId="158F8604"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Wang, Y., Chen, C., Kong, P.-Y., Li, H., &amp; Wen, Q. (2022). </w:t>
      </w:r>
      <w:r w:rsidRPr="00732A00">
        <w:rPr>
          <w:rFonts w:ascii="Times New Roman" w:eastAsia="Times New Roman" w:hAnsi="Times New Roman" w:cs="Times New Roman"/>
          <w:i/>
          <w:iCs/>
          <w:sz w:val="24"/>
          <w:szCs w:val="24"/>
        </w:rPr>
        <w:t xml:space="preserve">A Cyber–Physical–Social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Perspective on Future Smart Distribution Systems</w:t>
      </w:r>
      <w:r w:rsidRPr="00732A00">
        <w:rPr>
          <w:rFonts w:ascii="Times New Roman" w:eastAsia="Times New Roman" w:hAnsi="Times New Roman" w:cs="Times New Roman"/>
          <w:sz w:val="24"/>
          <w:szCs w:val="24"/>
        </w:rPr>
        <w:t xml:space="preserve">. 1–31.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https://doi.org/10.1109/jproc.2022.3192535</w:t>
      </w:r>
    </w:p>
    <w:p w14:paraId="3E1510CF"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White, T. (2016). </w:t>
      </w:r>
      <w:r w:rsidRPr="00732A00">
        <w:rPr>
          <w:rFonts w:ascii="Times New Roman" w:eastAsia="Times New Roman" w:hAnsi="Times New Roman" w:cs="Times New Roman"/>
          <w:i/>
          <w:iCs/>
          <w:sz w:val="24"/>
          <w:szCs w:val="24"/>
        </w:rPr>
        <w:t xml:space="preserve">NERC | Report Title | Report Date I Analysis of the Cyber Attack on the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Ukrainian Power Grid Defense Use Case</w:t>
      </w:r>
      <w:r w:rsidRPr="00732A00">
        <w:rPr>
          <w:rFonts w:ascii="Times New Roman" w:eastAsia="Times New Roman" w:hAnsi="Times New Roman" w:cs="Times New Roman"/>
          <w:sz w:val="24"/>
          <w:szCs w:val="24"/>
        </w:rPr>
        <w:t xml:space="preserve">. </w:t>
      </w:r>
      <w:r w:rsidR="006A1B2D">
        <w:rPr>
          <w:rFonts w:ascii="Times New Roman" w:eastAsia="Times New Roman" w:hAnsi="Times New Roman" w:cs="Times New Roman"/>
          <w:sz w:val="24"/>
          <w:szCs w:val="24"/>
        </w:rPr>
        <w:tab/>
      </w:r>
      <w:hyperlink r:id="rId21" w:history="1">
        <w:r w:rsidR="006A1B2D" w:rsidRPr="00FE54D4">
          <w:rPr>
            <w:rStyle w:val="Hyperlink"/>
            <w:rFonts w:ascii="Times New Roman" w:eastAsia="Times New Roman" w:hAnsi="Times New Roman" w:cs="Times New Roman"/>
            <w:sz w:val="24"/>
            <w:szCs w:val="24"/>
          </w:rPr>
          <w:t>https://nsarchive.gwu.edu/sites/default/files/documents/3891751/SANS-and-Electricity-</w:t>
        </w:r>
      </w:hyperlink>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Information-Sharing-and.pdf</w:t>
      </w:r>
    </w:p>
    <w:p w14:paraId="4932A85F"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lastRenderedPageBreak/>
        <w:t xml:space="preserve">Wikipedia Contributors. (2019). </w:t>
      </w:r>
      <w:r w:rsidRPr="00732A00">
        <w:rPr>
          <w:rFonts w:ascii="Times New Roman" w:eastAsia="Times New Roman" w:hAnsi="Times New Roman" w:cs="Times New Roman"/>
          <w:i/>
          <w:iCs/>
          <w:sz w:val="24"/>
          <w:szCs w:val="24"/>
        </w:rPr>
        <w:t>Receiver operating characteristic</w:t>
      </w:r>
      <w:r w:rsidRPr="00732A00">
        <w:rPr>
          <w:rFonts w:ascii="Times New Roman" w:eastAsia="Times New Roman" w:hAnsi="Times New Roman" w:cs="Times New Roman"/>
          <w:sz w:val="24"/>
          <w:szCs w:val="24"/>
        </w:rPr>
        <w:t xml:space="preserve">. Wikipedia; Wikimedia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Foundation. https://en.wikipedia.org/wiki/Receiver_operating_characteristic</w:t>
      </w:r>
    </w:p>
    <w:p w14:paraId="37720FD1"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Williams, P., &amp; Woodward, A. (2015). Cybersecurity vulnerabilities in medical devices: a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complex environment and multifaceted problem. </w:t>
      </w:r>
      <w:r w:rsidRPr="00732A00">
        <w:rPr>
          <w:rFonts w:ascii="Times New Roman" w:eastAsia="Times New Roman" w:hAnsi="Times New Roman" w:cs="Times New Roman"/>
          <w:i/>
          <w:iCs/>
          <w:sz w:val="24"/>
          <w:szCs w:val="24"/>
        </w:rPr>
        <w:t xml:space="preserve">Medical Devices: Evidence and </w:t>
      </w:r>
      <w:r w:rsidR="006A1B2D">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Research</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8</w:t>
      </w:r>
      <w:r w:rsidRPr="00732A00">
        <w:rPr>
          <w:rFonts w:ascii="Times New Roman" w:eastAsia="Times New Roman" w:hAnsi="Times New Roman" w:cs="Times New Roman"/>
          <w:sz w:val="24"/>
          <w:szCs w:val="24"/>
        </w:rPr>
        <w:t>, 305–316. https://doi.org/10.2147/mder.s50048</w:t>
      </w:r>
    </w:p>
    <w:p w14:paraId="2DD58D75"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Word Bank. (2020). </w:t>
      </w:r>
      <w:r w:rsidRPr="00732A00">
        <w:rPr>
          <w:rFonts w:ascii="Times New Roman" w:eastAsia="Times New Roman" w:hAnsi="Times New Roman" w:cs="Times New Roman"/>
          <w:i/>
          <w:iCs/>
          <w:sz w:val="24"/>
          <w:szCs w:val="24"/>
        </w:rPr>
        <w:t xml:space="preserve">ENERGY SECTOR MANAGEMENT ASSISTANCE PROGRAM Public </w:t>
      </w:r>
      <w:r w:rsidR="006A1B2D">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 xml:space="preserve">Disclosure Authorized Public Disclosure Authorized Public Disclosure Authorized Public </w:t>
      </w:r>
      <w:r w:rsidR="006A1B2D">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Disclosure Authorized</w:t>
      </w:r>
      <w:r w:rsidRPr="00732A00">
        <w:rPr>
          <w:rFonts w:ascii="Times New Roman" w:eastAsia="Times New Roman" w:hAnsi="Times New Roman" w:cs="Times New Roman"/>
          <w:sz w:val="24"/>
          <w:szCs w:val="24"/>
        </w:rPr>
        <w:t xml:space="preserve">. </w:t>
      </w:r>
      <w:r w:rsidR="006A1B2D">
        <w:rPr>
          <w:rFonts w:ascii="Times New Roman" w:eastAsia="Times New Roman" w:hAnsi="Times New Roman" w:cs="Times New Roman"/>
          <w:sz w:val="24"/>
          <w:szCs w:val="24"/>
        </w:rPr>
        <w:tab/>
      </w:r>
      <w:hyperlink r:id="rId22" w:history="1">
        <w:r w:rsidR="006A1B2D" w:rsidRPr="00FE54D4">
          <w:rPr>
            <w:rStyle w:val="Hyperlink"/>
            <w:rFonts w:ascii="Times New Roman" w:eastAsia="Times New Roman" w:hAnsi="Times New Roman" w:cs="Times New Roman"/>
            <w:sz w:val="24"/>
            <w:szCs w:val="24"/>
          </w:rPr>
          <w:t>https://documents1.worldbank.org/curated/en/712171609756525808/pdf/Main-</w:t>
        </w:r>
      </w:hyperlink>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Report.pdf</w:t>
      </w:r>
    </w:p>
    <w:p w14:paraId="74A094BF"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Xue, F., Yan, W., Wang, T., Huang, H., &amp; Feng, B. (2020). Deep anomaly detection for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industrial systems: a case study. </w:t>
      </w:r>
      <w:r w:rsidRPr="00732A00">
        <w:rPr>
          <w:rFonts w:ascii="Times New Roman" w:eastAsia="Times New Roman" w:hAnsi="Times New Roman" w:cs="Times New Roman"/>
          <w:i/>
          <w:iCs/>
          <w:sz w:val="24"/>
          <w:szCs w:val="24"/>
        </w:rPr>
        <w:t>Annual Conference of the PHM Society</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12</w:t>
      </w:r>
      <w:r w:rsidRPr="00732A00">
        <w:rPr>
          <w:rFonts w:ascii="Times New Roman" w:eastAsia="Times New Roman" w:hAnsi="Times New Roman" w:cs="Times New Roman"/>
          <w:sz w:val="24"/>
          <w:szCs w:val="24"/>
        </w:rPr>
        <w:t xml:space="preserve">(1), 8.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https://doi.org/10.36001/phmconf.2020.v12i1.1186</w:t>
      </w:r>
    </w:p>
    <w:p w14:paraId="4F775C05"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Yan, Y., Qian, Y., Sharif, H., &amp; Tipper, D. (2012). A Survey on Cyber Security for Smart Grid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Communications. </w:t>
      </w:r>
      <w:r w:rsidRPr="00732A00">
        <w:rPr>
          <w:rFonts w:ascii="Times New Roman" w:eastAsia="Times New Roman" w:hAnsi="Times New Roman" w:cs="Times New Roman"/>
          <w:i/>
          <w:iCs/>
          <w:sz w:val="24"/>
          <w:szCs w:val="24"/>
        </w:rPr>
        <w:t>IEEE Communications Surveys &amp; Tutorials</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14</w:t>
      </w:r>
      <w:r w:rsidRPr="00732A00">
        <w:rPr>
          <w:rFonts w:ascii="Times New Roman" w:eastAsia="Times New Roman" w:hAnsi="Times New Roman" w:cs="Times New Roman"/>
          <w:sz w:val="24"/>
          <w:szCs w:val="24"/>
        </w:rPr>
        <w:t xml:space="preserve">(4), 998–1010.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https://doi.org/10.1109/surv.2012.010912.00035</w:t>
      </w:r>
    </w:p>
    <w:p w14:paraId="311216BE"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Zaidan, M. A., Mills, A. R., &amp; Harrison, R. F. (2013). Bayesian framework for aerospace gas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turbine engine prognostics. </w:t>
      </w:r>
      <w:r w:rsidRPr="00732A00">
        <w:rPr>
          <w:rFonts w:ascii="Times New Roman" w:eastAsia="Times New Roman" w:hAnsi="Times New Roman" w:cs="Times New Roman"/>
          <w:i/>
          <w:iCs/>
          <w:sz w:val="24"/>
          <w:szCs w:val="24"/>
        </w:rPr>
        <w:t>IEEE Aerospace Conference Proceedings</w:t>
      </w:r>
      <w:r w:rsidRPr="00732A00">
        <w:rPr>
          <w:rFonts w:ascii="Times New Roman" w:eastAsia="Times New Roman" w:hAnsi="Times New Roman" w:cs="Times New Roman"/>
          <w:sz w:val="24"/>
          <w:szCs w:val="24"/>
        </w:rPr>
        <w:t xml:space="preserve">, 1–8.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https://doi.org/10.1109/AERO.2013.6496856</w:t>
      </w:r>
    </w:p>
    <w:p w14:paraId="1DFF3238"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Zhang, C., Bengio, S., Hardt, M., Recht, B., &amp; </w:t>
      </w:r>
      <w:proofErr w:type="spellStart"/>
      <w:r w:rsidRPr="00732A00">
        <w:rPr>
          <w:rFonts w:ascii="Times New Roman" w:eastAsia="Times New Roman" w:hAnsi="Times New Roman" w:cs="Times New Roman"/>
          <w:sz w:val="24"/>
          <w:szCs w:val="24"/>
        </w:rPr>
        <w:t>Vinyals</w:t>
      </w:r>
      <w:proofErr w:type="spellEnd"/>
      <w:r w:rsidRPr="00732A00">
        <w:rPr>
          <w:rFonts w:ascii="Times New Roman" w:eastAsia="Times New Roman" w:hAnsi="Times New Roman" w:cs="Times New Roman"/>
          <w:sz w:val="24"/>
          <w:szCs w:val="24"/>
        </w:rPr>
        <w:t xml:space="preserve">, O. (2017). Understanding deep learning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requires rethinking generalization. </w:t>
      </w:r>
      <w:r w:rsidRPr="00732A00">
        <w:rPr>
          <w:rFonts w:ascii="Times New Roman" w:eastAsia="Times New Roman" w:hAnsi="Times New Roman" w:cs="Times New Roman"/>
          <w:i/>
          <w:iCs/>
          <w:sz w:val="24"/>
          <w:szCs w:val="24"/>
        </w:rPr>
        <w:t>ArXiv:1611.03530 [Cs]</w:t>
      </w:r>
      <w:r w:rsidRPr="00732A00">
        <w:rPr>
          <w:rFonts w:ascii="Times New Roman" w:eastAsia="Times New Roman" w:hAnsi="Times New Roman" w:cs="Times New Roman"/>
          <w:sz w:val="24"/>
          <w:szCs w:val="24"/>
        </w:rPr>
        <w:t xml:space="preserve">.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https://arxiv.org/abs/1611.03530</w:t>
      </w:r>
    </w:p>
    <w:p w14:paraId="623654D9"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Zhang, H., Liu, B., &amp; Wu, H. (2021). Smart Grid Cyber-Physical Attack and Defense: A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Review. </w:t>
      </w:r>
      <w:r w:rsidRPr="00732A00">
        <w:rPr>
          <w:rFonts w:ascii="Times New Roman" w:eastAsia="Times New Roman" w:hAnsi="Times New Roman" w:cs="Times New Roman"/>
          <w:i/>
          <w:iCs/>
          <w:sz w:val="24"/>
          <w:szCs w:val="24"/>
        </w:rPr>
        <w:t>IEEE Access</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9</w:t>
      </w:r>
      <w:r w:rsidRPr="00732A00">
        <w:rPr>
          <w:rFonts w:ascii="Times New Roman" w:eastAsia="Times New Roman" w:hAnsi="Times New Roman" w:cs="Times New Roman"/>
          <w:sz w:val="24"/>
          <w:szCs w:val="24"/>
        </w:rPr>
        <w:t>, 29641–29659. https://doi.org/10.1109/access.2021.3058628</w:t>
      </w:r>
    </w:p>
    <w:p w14:paraId="5962061C"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Zio, E. (2016). Challenges in the vulnerability and risk analysis of critical infrastructures.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i/>
          <w:iCs/>
          <w:sz w:val="24"/>
          <w:szCs w:val="24"/>
        </w:rPr>
        <w:t>Reliability Engineering &amp; System Safety</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152</w:t>
      </w:r>
      <w:r w:rsidRPr="00732A00">
        <w:rPr>
          <w:rFonts w:ascii="Times New Roman" w:eastAsia="Times New Roman" w:hAnsi="Times New Roman" w:cs="Times New Roman"/>
          <w:sz w:val="24"/>
          <w:szCs w:val="24"/>
        </w:rPr>
        <w:t xml:space="preserve">, 137–150.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https://doi.org/10.1016/j.ress.2016.02.009</w:t>
      </w:r>
    </w:p>
    <w:p w14:paraId="209154FD" w14:textId="77777777" w:rsidR="00732A00" w:rsidRPr="00732A00" w:rsidRDefault="00732A00" w:rsidP="00732A00">
      <w:pPr>
        <w:spacing w:line="360" w:lineRule="auto"/>
        <w:jc w:val="both"/>
        <w:rPr>
          <w:rFonts w:ascii="Times New Roman" w:hAnsi="Times New Roman" w:cs="Times New Roman"/>
          <w:b/>
          <w:color w:val="000000" w:themeColor="text1"/>
          <w:sz w:val="24"/>
          <w:szCs w:val="24"/>
        </w:rPr>
      </w:pPr>
    </w:p>
    <w:sectPr w:rsidR="00732A00" w:rsidRPr="00732A00">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E0ACB" w14:textId="77777777" w:rsidR="00970CFF" w:rsidRDefault="00970CFF" w:rsidP="00444C83">
      <w:pPr>
        <w:spacing w:after="0" w:line="240" w:lineRule="auto"/>
      </w:pPr>
      <w:r>
        <w:separator/>
      </w:r>
    </w:p>
  </w:endnote>
  <w:endnote w:type="continuationSeparator" w:id="0">
    <w:p w14:paraId="6C2816EB" w14:textId="77777777" w:rsidR="00970CFF" w:rsidRDefault="00970CFF" w:rsidP="00444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31221" w14:textId="77777777" w:rsidR="00444C83" w:rsidRDefault="00444C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4F001" w14:textId="77777777" w:rsidR="00444C83" w:rsidRDefault="00444C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EF04D" w14:textId="77777777" w:rsidR="00444C83" w:rsidRDefault="00444C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C99C0" w14:textId="77777777" w:rsidR="00970CFF" w:rsidRDefault="00970CFF" w:rsidP="00444C83">
      <w:pPr>
        <w:spacing w:after="0" w:line="240" w:lineRule="auto"/>
      </w:pPr>
      <w:r>
        <w:separator/>
      </w:r>
    </w:p>
  </w:footnote>
  <w:footnote w:type="continuationSeparator" w:id="0">
    <w:p w14:paraId="0EDE61F8" w14:textId="77777777" w:rsidR="00970CFF" w:rsidRDefault="00970CFF" w:rsidP="00444C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ECABF" w14:textId="6F88D6AB" w:rsidR="00444C83" w:rsidRDefault="00444C83">
    <w:pPr>
      <w:pStyle w:val="Header"/>
    </w:pPr>
    <w:r>
      <w:rPr>
        <w:noProof/>
      </w:rPr>
      <w:pict w14:anchorId="180E16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86632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7288F" w14:textId="467B012D" w:rsidR="00444C83" w:rsidRDefault="00444C83">
    <w:pPr>
      <w:pStyle w:val="Header"/>
    </w:pPr>
    <w:r>
      <w:rPr>
        <w:noProof/>
      </w:rPr>
      <w:pict w14:anchorId="36466A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86633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B9EAA" w14:textId="7FCFC344" w:rsidR="00444C83" w:rsidRDefault="00444C83">
    <w:pPr>
      <w:pStyle w:val="Header"/>
    </w:pPr>
    <w:r>
      <w:rPr>
        <w:noProof/>
      </w:rPr>
      <w:pict w14:anchorId="36D0B5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86632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113F3"/>
    <w:multiLevelType w:val="multilevel"/>
    <w:tmpl w:val="2B9C7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F74E5"/>
    <w:multiLevelType w:val="hybridMultilevel"/>
    <w:tmpl w:val="71121F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9416E"/>
    <w:multiLevelType w:val="multilevel"/>
    <w:tmpl w:val="B2342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7F1279"/>
    <w:multiLevelType w:val="multilevel"/>
    <w:tmpl w:val="AD786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404673"/>
    <w:multiLevelType w:val="multilevel"/>
    <w:tmpl w:val="EC1A3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25765"/>
    <w:multiLevelType w:val="multilevel"/>
    <w:tmpl w:val="EA16E2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4B9161D"/>
    <w:multiLevelType w:val="multilevel"/>
    <w:tmpl w:val="15AEF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C57FDD"/>
    <w:multiLevelType w:val="multilevel"/>
    <w:tmpl w:val="16588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906044"/>
    <w:multiLevelType w:val="multilevel"/>
    <w:tmpl w:val="A3EE5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F619A5"/>
    <w:multiLevelType w:val="hybridMultilevel"/>
    <w:tmpl w:val="1E0E46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5A55E9"/>
    <w:multiLevelType w:val="hybridMultilevel"/>
    <w:tmpl w:val="2012C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E5B6CD0"/>
    <w:multiLevelType w:val="multilevel"/>
    <w:tmpl w:val="7C10F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AD1600"/>
    <w:multiLevelType w:val="multilevel"/>
    <w:tmpl w:val="505E9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C661A3"/>
    <w:multiLevelType w:val="multilevel"/>
    <w:tmpl w:val="D03E5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266081"/>
    <w:multiLevelType w:val="multilevel"/>
    <w:tmpl w:val="FD66E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0B17C5"/>
    <w:multiLevelType w:val="multilevel"/>
    <w:tmpl w:val="07B29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F85320"/>
    <w:multiLevelType w:val="multilevel"/>
    <w:tmpl w:val="6CA8C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D45256"/>
    <w:multiLevelType w:val="hybridMultilevel"/>
    <w:tmpl w:val="11E62A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5AC17A87"/>
    <w:multiLevelType w:val="multilevel"/>
    <w:tmpl w:val="9E162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550683"/>
    <w:multiLevelType w:val="multilevel"/>
    <w:tmpl w:val="B9E061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E15857"/>
    <w:multiLevelType w:val="multilevel"/>
    <w:tmpl w:val="A0B0F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A80112"/>
    <w:multiLevelType w:val="multilevel"/>
    <w:tmpl w:val="6A325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E10D5A"/>
    <w:multiLevelType w:val="hybridMultilevel"/>
    <w:tmpl w:val="E74263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B46826"/>
    <w:multiLevelType w:val="multilevel"/>
    <w:tmpl w:val="A90E2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756E76"/>
    <w:multiLevelType w:val="multilevel"/>
    <w:tmpl w:val="E8689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05482C"/>
    <w:multiLevelType w:val="multilevel"/>
    <w:tmpl w:val="F14E0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B32FF8"/>
    <w:multiLevelType w:val="multilevel"/>
    <w:tmpl w:val="17184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F07ABB"/>
    <w:multiLevelType w:val="hybridMultilevel"/>
    <w:tmpl w:val="33A233BE"/>
    <w:lvl w:ilvl="0" w:tplc="0409000D">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8" w15:restartNumberingAfterBreak="0">
    <w:nsid w:val="7E8A42B0"/>
    <w:multiLevelType w:val="multilevel"/>
    <w:tmpl w:val="1B224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F2A51E8"/>
    <w:multiLevelType w:val="multilevel"/>
    <w:tmpl w:val="EC66B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18"/>
  </w:num>
  <w:num w:numId="5">
    <w:abstractNumId w:val="6"/>
  </w:num>
  <w:num w:numId="6">
    <w:abstractNumId w:val="29"/>
  </w:num>
  <w:num w:numId="7">
    <w:abstractNumId w:val="24"/>
  </w:num>
  <w:num w:numId="8">
    <w:abstractNumId w:val="15"/>
  </w:num>
  <w:num w:numId="9">
    <w:abstractNumId w:val="13"/>
  </w:num>
  <w:num w:numId="10">
    <w:abstractNumId w:val="25"/>
  </w:num>
  <w:num w:numId="11">
    <w:abstractNumId w:val="21"/>
  </w:num>
  <w:num w:numId="12">
    <w:abstractNumId w:val="23"/>
  </w:num>
  <w:num w:numId="13">
    <w:abstractNumId w:val="20"/>
  </w:num>
  <w:num w:numId="14">
    <w:abstractNumId w:val="26"/>
  </w:num>
  <w:num w:numId="15">
    <w:abstractNumId w:val="0"/>
  </w:num>
  <w:num w:numId="16">
    <w:abstractNumId w:val="7"/>
  </w:num>
  <w:num w:numId="17">
    <w:abstractNumId w:val="8"/>
  </w:num>
  <w:num w:numId="18">
    <w:abstractNumId w:val="4"/>
  </w:num>
  <w:num w:numId="19">
    <w:abstractNumId w:val="14"/>
  </w:num>
  <w:num w:numId="20">
    <w:abstractNumId w:val="19"/>
  </w:num>
  <w:num w:numId="21">
    <w:abstractNumId w:val="11"/>
  </w:num>
  <w:num w:numId="22">
    <w:abstractNumId w:val="27"/>
  </w:num>
  <w:num w:numId="23">
    <w:abstractNumId w:val="17"/>
  </w:num>
  <w:num w:numId="24">
    <w:abstractNumId w:val="10"/>
  </w:num>
  <w:num w:numId="25">
    <w:abstractNumId w:val="2"/>
  </w:num>
  <w:num w:numId="26">
    <w:abstractNumId w:val="9"/>
  </w:num>
  <w:num w:numId="27">
    <w:abstractNumId w:val="22"/>
  </w:num>
  <w:num w:numId="28">
    <w:abstractNumId w:val="28"/>
  </w:num>
  <w:num w:numId="29">
    <w:abstractNumId w:val="12"/>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421"/>
    <w:rsid w:val="000257D0"/>
    <w:rsid w:val="000567F3"/>
    <w:rsid w:val="00086BE9"/>
    <w:rsid w:val="000F1664"/>
    <w:rsid w:val="000F6B37"/>
    <w:rsid w:val="0010066D"/>
    <w:rsid w:val="001766C1"/>
    <w:rsid w:val="00192A1C"/>
    <w:rsid w:val="00235D3F"/>
    <w:rsid w:val="002C0CF1"/>
    <w:rsid w:val="002F2A2B"/>
    <w:rsid w:val="00306138"/>
    <w:rsid w:val="00307073"/>
    <w:rsid w:val="00335AF4"/>
    <w:rsid w:val="0035224A"/>
    <w:rsid w:val="003D740E"/>
    <w:rsid w:val="0042340B"/>
    <w:rsid w:val="00430BCB"/>
    <w:rsid w:val="00444C83"/>
    <w:rsid w:val="004E3B91"/>
    <w:rsid w:val="00541421"/>
    <w:rsid w:val="005C4128"/>
    <w:rsid w:val="006275F6"/>
    <w:rsid w:val="0063633E"/>
    <w:rsid w:val="006A1B2D"/>
    <w:rsid w:val="006A2CA0"/>
    <w:rsid w:val="006A3009"/>
    <w:rsid w:val="00732A00"/>
    <w:rsid w:val="007421EA"/>
    <w:rsid w:val="007A2ED6"/>
    <w:rsid w:val="00970CFF"/>
    <w:rsid w:val="009805FA"/>
    <w:rsid w:val="009A0B48"/>
    <w:rsid w:val="009D2085"/>
    <w:rsid w:val="00A35649"/>
    <w:rsid w:val="00AC0E76"/>
    <w:rsid w:val="00B9267C"/>
    <w:rsid w:val="00B953AB"/>
    <w:rsid w:val="00BA1D92"/>
    <w:rsid w:val="00BF4972"/>
    <w:rsid w:val="00C646DD"/>
    <w:rsid w:val="00C842E9"/>
    <w:rsid w:val="00DB6F99"/>
    <w:rsid w:val="00DC6FB5"/>
    <w:rsid w:val="00DD0B3A"/>
    <w:rsid w:val="00E055A7"/>
    <w:rsid w:val="00EB3441"/>
    <w:rsid w:val="00EF00EB"/>
    <w:rsid w:val="00EF6C32"/>
    <w:rsid w:val="00F01D5B"/>
    <w:rsid w:val="00F66E45"/>
    <w:rsid w:val="00F748F7"/>
    <w:rsid w:val="00F90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79E14C"/>
  <w15:chartTrackingRefBased/>
  <w15:docId w15:val="{FB3A1C9A-C8C5-4817-8C67-505A68BE9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21EA"/>
  </w:style>
  <w:style w:type="paragraph" w:styleId="Heading2">
    <w:name w:val="heading 2"/>
    <w:basedOn w:val="Normal"/>
    <w:link w:val="Heading2Char"/>
    <w:uiPriority w:val="9"/>
    <w:qFormat/>
    <w:rsid w:val="00DD0B3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D0B3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ss-1jxf684">
    <w:name w:val="css-1jxf684"/>
    <w:basedOn w:val="DefaultParagraphFont"/>
    <w:rsid w:val="00541421"/>
  </w:style>
  <w:style w:type="paragraph" w:styleId="ListParagraph">
    <w:name w:val="List Paragraph"/>
    <w:basedOn w:val="Normal"/>
    <w:uiPriority w:val="34"/>
    <w:qFormat/>
    <w:rsid w:val="00BF4972"/>
    <w:pPr>
      <w:spacing w:line="256" w:lineRule="auto"/>
      <w:ind w:left="720"/>
      <w:contextualSpacing/>
    </w:pPr>
  </w:style>
  <w:style w:type="paragraph" w:customStyle="1" w:styleId="my-0">
    <w:name w:val="my-0"/>
    <w:basedOn w:val="Normal"/>
    <w:rsid w:val="009D208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D208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D2085"/>
    <w:rPr>
      <w:b/>
      <w:bCs/>
    </w:rPr>
  </w:style>
  <w:style w:type="paragraph" w:styleId="NormalWeb">
    <w:name w:val="Normal (Web)"/>
    <w:basedOn w:val="Normal"/>
    <w:uiPriority w:val="99"/>
    <w:unhideWhenUsed/>
    <w:rsid w:val="00EF6C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D0B3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D0B3A"/>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732A00"/>
    <w:rPr>
      <w:color w:val="0563C1" w:themeColor="hyperlink"/>
      <w:u w:val="single"/>
    </w:rPr>
  </w:style>
  <w:style w:type="character" w:styleId="UnresolvedMention">
    <w:name w:val="Unresolved Mention"/>
    <w:basedOn w:val="DefaultParagraphFont"/>
    <w:uiPriority w:val="99"/>
    <w:semiHidden/>
    <w:unhideWhenUsed/>
    <w:rsid w:val="00732A00"/>
    <w:rPr>
      <w:color w:val="605E5C"/>
      <w:shd w:val="clear" w:color="auto" w:fill="E1DFDD"/>
    </w:rPr>
  </w:style>
  <w:style w:type="paragraph" w:styleId="NoSpacing">
    <w:name w:val="No Spacing"/>
    <w:uiPriority w:val="1"/>
    <w:qFormat/>
    <w:rsid w:val="00B9267C"/>
    <w:pPr>
      <w:spacing w:after="0" w:line="240" w:lineRule="auto"/>
    </w:pPr>
    <w:rPr>
      <w:kern w:val="2"/>
      <w14:ligatures w14:val="standardContextual"/>
    </w:rPr>
  </w:style>
  <w:style w:type="paragraph" w:styleId="Header">
    <w:name w:val="header"/>
    <w:basedOn w:val="Normal"/>
    <w:link w:val="HeaderChar"/>
    <w:uiPriority w:val="99"/>
    <w:unhideWhenUsed/>
    <w:rsid w:val="00444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C83"/>
  </w:style>
  <w:style w:type="paragraph" w:styleId="Footer">
    <w:name w:val="footer"/>
    <w:basedOn w:val="Normal"/>
    <w:link w:val="FooterChar"/>
    <w:uiPriority w:val="99"/>
    <w:unhideWhenUsed/>
    <w:rsid w:val="00444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35033">
      <w:bodyDiv w:val="1"/>
      <w:marLeft w:val="0"/>
      <w:marRight w:val="0"/>
      <w:marTop w:val="0"/>
      <w:marBottom w:val="0"/>
      <w:divBdr>
        <w:top w:val="none" w:sz="0" w:space="0" w:color="auto"/>
        <w:left w:val="none" w:sz="0" w:space="0" w:color="auto"/>
        <w:bottom w:val="none" w:sz="0" w:space="0" w:color="auto"/>
        <w:right w:val="none" w:sz="0" w:space="0" w:color="auto"/>
      </w:divBdr>
    </w:div>
    <w:div w:id="209268204">
      <w:bodyDiv w:val="1"/>
      <w:marLeft w:val="0"/>
      <w:marRight w:val="0"/>
      <w:marTop w:val="0"/>
      <w:marBottom w:val="0"/>
      <w:divBdr>
        <w:top w:val="none" w:sz="0" w:space="0" w:color="auto"/>
        <w:left w:val="none" w:sz="0" w:space="0" w:color="auto"/>
        <w:bottom w:val="none" w:sz="0" w:space="0" w:color="auto"/>
        <w:right w:val="none" w:sz="0" w:space="0" w:color="auto"/>
      </w:divBdr>
    </w:div>
    <w:div w:id="247810541">
      <w:bodyDiv w:val="1"/>
      <w:marLeft w:val="0"/>
      <w:marRight w:val="0"/>
      <w:marTop w:val="0"/>
      <w:marBottom w:val="0"/>
      <w:divBdr>
        <w:top w:val="none" w:sz="0" w:space="0" w:color="auto"/>
        <w:left w:val="none" w:sz="0" w:space="0" w:color="auto"/>
        <w:bottom w:val="none" w:sz="0" w:space="0" w:color="auto"/>
        <w:right w:val="none" w:sz="0" w:space="0" w:color="auto"/>
      </w:divBdr>
    </w:div>
    <w:div w:id="456024450">
      <w:bodyDiv w:val="1"/>
      <w:marLeft w:val="0"/>
      <w:marRight w:val="0"/>
      <w:marTop w:val="0"/>
      <w:marBottom w:val="0"/>
      <w:divBdr>
        <w:top w:val="none" w:sz="0" w:space="0" w:color="auto"/>
        <w:left w:val="none" w:sz="0" w:space="0" w:color="auto"/>
        <w:bottom w:val="none" w:sz="0" w:space="0" w:color="auto"/>
        <w:right w:val="none" w:sz="0" w:space="0" w:color="auto"/>
      </w:divBdr>
    </w:div>
    <w:div w:id="471681164">
      <w:bodyDiv w:val="1"/>
      <w:marLeft w:val="0"/>
      <w:marRight w:val="0"/>
      <w:marTop w:val="0"/>
      <w:marBottom w:val="0"/>
      <w:divBdr>
        <w:top w:val="none" w:sz="0" w:space="0" w:color="auto"/>
        <w:left w:val="none" w:sz="0" w:space="0" w:color="auto"/>
        <w:bottom w:val="none" w:sz="0" w:space="0" w:color="auto"/>
        <w:right w:val="none" w:sz="0" w:space="0" w:color="auto"/>
      </w:divBdr>
      <w:divsChild>
        <w:div w:id="384138176">
          <w:marLeft w:val="-720"/>
          <w:marRight w:val="0"/>
          <w:marTop w:val="0"/>
          <w:marBottom w:val="0"/>
          <w:divBdr>
            <w:top w:val="none" w:sz="0" w:space="0" w:color="auto"/>
            <w:left w:val="none" w:sz="0" w:space="0" w:color="auto"/>
            <w:bottom w:val="none" w:sz="0" w:space="0" w:color="auto"/>
            <w:right w:val="none" w:sz="0" w:space="0" w:color="auto"/>
          </w:divBdr>
        </w:div>
      </w:divsChild>
    </w:div>
    <w:div w:id="546187199">
      <w:bodyDiv w:val="1"/>
      <w:marLeft w:val="0"/>
      <w:marRight w:val="0"/>
      <w:marTop w:val="0"/>
      <w:marBottom w:val="0"/>
      <w:divBdr>
        <w:top w:val="none" w:sz="0" w:space="0" w:color="auto"/>
        <w:left w:val="none" w:sz="0" w:space="0" w:color="auto"/>
        <w:bottom w:val="none" w:sz="0" w:space="0" w:color="auto"/>
        <w:right w:val="none" w:sz="0" w:space="0" w:color="auto"/>
      </w:divBdr>
    </w:div>
    <w:div w:id="619730471">
      <w:bodyDiv w:val="1"/>
      <w:marLeft w:val="0"/>
      <w:marRight w:val="0"/>
      <w:marTop w:val="0"/>
      <w:marBottom w:val="0"/>
      <w:divBdr>
        <w:top w:val="none" w:sz="0" w:space="0" w:color="auto"/>
        <w:left w:val="none" w:sz="0" w:space="0" w:color="auto"/>
        <w:bottom w:val="none" w:sz="0" w:space="0" w:color="auto"/>
        <w:right w:val="none" w:sz="0" w:space="0" w:color="auto"/>
      </w:divBdr>
    </w:div>
    <w:div w:id="927881874">
      <w:bodyDiv w:val="1"/>
      <w:marLeft w:val="0"/>
      <w:marRight w:val="0"/>
      <w:marTop w:val="0"/>
      <w:marBottom w:val="0"/>
      <w:divBdr>
        <w:top w:val="none" w:sz="0" w:space="0" w:color="auto"/>
        <w:left w:val="none" w:sz="0" w:space="0" w:color="auto"/>
        <w:bottom w:val="none" w:sz="0" w:space="0" w:color="auto"/>
        <w:right w:val="none" w:sz="0" w:space="0" w:color="auto"/>
      </w:divBdr>
    </w:div>
    <w:div w:id="969818391">
      <w:bodyDiv w:val="1"/>
      <w:marLeft w:val="0"/>
      <w:marRight w:val="0"/>
      <w:marTop w:val="0"/>
      <w:marBottom w:val="0"/>
      <w:divBdr>
        <w:top w:val="none" w:sz="0" w:space="0" w:color="auto"/>
        <w:left w:val="none" w:sz="0" w:space="0" w:color="auto"/>
        <w:bottom w:val="none" w:sz="0" w:space="0" w:color="auto"/>
        <w:right w:val="none" w:sz="0" w:space="0" w:color="auto"/>
      </w:divBdr>
    </w:div>
    <w:div w:id="1278290873">
      <w:bodyDiv w:val="1"/>
      <w:marLeft w:val="0"/>
      <w:marRight w:val="0"/>
      <w:marTop w:val="0"/>
      <w:marBottom w:val="0"/>
      <w:divBdr>
        <w:top w:val="none" w:sz="0" w:space="0" w:color="auto"/>
        <w:left w:val="none" w:sz="0" w:space="0" w:color="auto"/>
        <w:bottom w:val="none" w:sz="0" w:space="0" w:color="auto"/>
        <w:right w:val="none" w:sz="0" w:space="0" w:color="auto"/>
      </w:divBdr>
    </w:div>
    <w:div w:id="1285574729">
      <w:bodyDiv w:val="1"/>
      <w:marLeft w:val="0"/>
      <w:marRight w:val="0"/>
      <w:marTop w:val="0"/>
      <w:marBottom w:val="0"/>
      <w:divBdr>
        <w:top w:val="none" w:sz="0" w:space="0" w:color="auto"/>
        <w:left w:val="none" w:sz="0" w:space="0" w:color="auto"/>
        <w:bottom w:val="none" w:sz="0" w:space="0" w:color="auto"/>
        <w:right w:val="none" w:sz="0" w:space="0" w:color="auto"/>
      </w:divBdr>
    </w:div>
    <w:div w:id="1398473810">
      <w:bodyDiv w:val="1"/>
      <w:marLeft w:val="0"/>
      <w:marRight w:val="0"/>
      <w:marTop w:val="0"/>
      <w:marBottom w:val="0"/>
      <w:divBdr>
        <w:top w:val="none" w:sz="0" w:space="0" w:color="auto"/>
        <w:left w:val="none" w:sz="0" w:space="0" w:color="auto"/>
        <w:bottom w:val="none" w:sz="0" w:space="0" w:color="auto"/>
        <w:right w:val="none" w:sz="0" w:space="0" w:color="auto"/>
      </w:divBdr>
    </w:div>
    <w:div w:id="1451163715">
      <w:bodyDiv w:val="1"/>
      <w:marLeft w:val="0"/>
      <w:marRight w:val="0"/>
      <w:marTop w:val="0"/>
      <w:marBottom w:val="0"/>
      <w:divBdr>
        <w:top w:val="none" w:sz="0" w:space="0" w:color="auto"/>
        <w:left w:val="none" w:sz="0" w:space="0" w:color="auto"/>
        <w:bottom w:val="none" w:sz="0" w:space="0" w:color="auto"/>
        <w:right w:val="none" w:sz="0" w:space="0" w:color="auto"/>
      </w:divBdr>
    </w:div>
    <w:div w:id="1540818146">
      <w:bodyDiv w:val="1"/>
      <w:marLeft w:val="0"/>
      <w:marRight w:val="0"/>
      <w:marTop w:val="0"/>
      <w:marBottom w:val="0"/>
      <w:divBdr>
        <w:top w:val="none" w:sz="0" w:space="0" w:color="auto"/>
        <w:left w:val="none" w:sz="0" w:space="0" w:color="auto"/>
        <w:bottom w:val="none" w:sz="0" w:space="0" w:color="auto"/>
        <w:right w:val="none" w:sz="0" w:space="0" w:color="auto"/>
      </w:divBdr>
    </w:div>
    <w:div w:id="1564439532">
      <w:bodyDiv w:val="1"/>
      <w:marLeft w:val="0"/>
      <w:marRight w:val="0"/>
      <w:marTop w:val="0"/>
      <w:marBottom w:val="0"/>
      <w:divBdr>
        <w:top w:val="none" w:sz="0" w:space="0" w:color="auto"/>
        <w:left w:val="none" w:sz="0" w:space="0" w:color="auto"/>
        <w:bottom w:val="none" w:sz="0" w:space="0" w:color="auto"/>
        <w:right w:val="none" w:sz="0" w:space="0" w:color="auto"/>
      </w:divBdr>
    </w:div>
    <w:div w:id="1589146212">
      <w:bodyDiv w:val="1"/>
      <w:marLeft w:val="0"/>
      <w:marRight w:val="0"/>
      <w:marTop w:val="0"/>
      <w:marBottom w:val="0"/>
      <w:divBdr>
        <w:top w:val="none" w:sz="0" w:space="0" w:color="auto"/>
        <w:left w:val="none" w:sz="0" w:space="0" w:color="auto"/>
        <w:bottom w:val="none" w:sz="0" w:space="0" w:color="auto"/>
        <w:right w:val="none" w:sz="0" w:space="0" w:color="auto"/>
      </w:divBdr>
    </w:div>
    <w:div w:id="1685475109">
      <w:bodyDiv w:val="1"/>
      <w:marLeft w:val="0"/>
      <w:marRight w:val="0"/>
      <w:marTop w:val="0"/>
      <w:marBottom w:val="0"/>
      <w:divBdr>
        <w:top w:val="none" w:sz="0" w:space="0" w:color="auto"/>
        <w:left w:val="none" w:sz="0" w:space="0" w:color="auto"/>
        <w:bottom w:val="none" w:sz="0" w:space="0" w:color="auto"/>
        <w:right w:val="none" w:sz="0" w:space="0" w:color="auto"/>
      </w:divBdr>
    </w:div>
    <w:div w:id="1803886816">
      <w:bodyDiv w:val="1"/>
      <w:marLeft w:val="0"/>
      <w:marRight w:val="0"/>
      <w:marTop w:val="0"/>
      <w:marBottom w:val="0"/>
      <w:divBdr>
        <w:top w:val="none" w:sz="0" w:space="0" w:color="auto"/>
        <w:left w:val="none" w:sz="0" w:space="0" w:color="auto"/>
        <w:bottom w:val="none" w:sz="0" w:space="0" w:color="auto"/>
        <w:right w:val="none" w:sz="0" w:space="0" w:color="auto"/>
      </w:divBdr>
    </w:div>
    <w:div w:id="1830629022">
      <w:bodyDiv w:val="1"/>
      <w:marLeft w:val="0"/>
      <w:marRight w:val="0"/>
      <w:marTop w:val="0"/>
      <w:marBottom w:val="0"/>
      <w:divBdr>
        <w:top w:val="none" w:sz="0" w:space="0" w:color="auto"/>
        <w:left w:val="none" w:sz="0" w:space="0" w:color="auto"/>
        <w:bottom w:val="none" w:sz="0" w:space="0" w:color="auto"/>
        <w:right w:val="none" w:sz="0" w:space="0" w:color="auto"/>
      </w:divBdr>
      <w:divsChild>
        <w:div w:id="1045832906">
          <w:marLeft w:val="-720"/>
          <w:marRight w:val="0"/>
          <w:marTop w:val="0"/>
          <w:marBottom w:val="0"/>
          <w:divBdr>
            <w:top w:val="none" w:sz="0" w:space="0" w:color="auto"/>
            <w:left w:val="none" w:sz="0" w:space="0" w:color="auto"/>
            <w:bottom w:val="none" w:sz="0" w:space="0" w:color="auto"/>
            <w:right w:val="none" w:sz="0" w:space="0" w:color="auto"/>
          </w:divBdr>
        </w:div>
      </w:divsChild>
    </w:div>
    <w:div w:id="1867668493">
      <w:bodyDiv w:val="1"/>
      <w:marLeft w:val="0"/>
      <w:marRight w:val="0"/>
      <w:marTop w:val="0"/>
      <w:marBottom w:val="0"/>
      <w:divBdr>
        <w:top w:val="none" w:sz="0" w:space="0" w:color="auto"/>
        <w:left w:val="none" w:sz="0" w:space="0" w:color="auto"/>
        <w:bottom w:val="none" w:sz="0" w:space="0" w:color="auto"/>
        <w:right w:val="none" w:sz="0" w:space="0" w:color="auto"/>
      </w:divBdr>
    </w:div>
    <w:div w:id="1993097546">
      <w:bodyDiv w:val="1"/>
      <w:marLeft w:val="0"/>
      <w:marRight w:val="0"/>
      <w:marTop w:val="0"/>
      <w:marBottom w:val="0"/>
      <w:divBdr>
        <w:top w:val="none" w:sz="0" w:space="0" w:color="auto"/>
        <w:left w:val="none" w:sz="0" w:space="0" w:color="auto"/>
        <w:bottom w:val="none" w:sz="0" w:space="0" w:color="auto"/>
        <w:right w:val="none" w:sz="0" w:space="0" w:color="auto"/>
      </w:divBdr>
    </w:div>
    <w:div w:id="2011906515">
      <w:bodyDiv w:val="1"/>
      <w:marLeft w:val="0"/>
      <w:marRight w:val="0"/>
      <w:marTop w:val="0"/>
      <w:marBottom w:val="0"/>
      <w:divBdr>
        <w:top w:val="none" w:sz="0" w:space="0" w:color="auto"/>
        <w:left w:val="none" w:sz="0" w:space="0" w:color="auto"/>
        <w:bottom w:val="none" w:sz="0" w:space="0" w:color="auto"/>
        <w:right w:val="none" w:sz="0" w:space="0" w:color="auto"/>
      </w:divBdr>
    </w:div>
    <w:div w:id="2067603831">
      <w:bodyDiv w:val="1"/>
      <w:marLeft w:val="0"/>
      <w:marRight w:val="0"/>
      <w:marTop w:val="0"/>
      <w:marBottom w:val="0"/>
      <w:divBdr>
        <w:top w:val="none" w:sz="0" w:space="0" w:color="auto"/>
        <w:left w:val="none" w:sz="0" w:space="0" w:color="auto"/>
        <w:bottom w:val="none" w:sz="0" w:space="0" w:color="auto"/>
        <w:right w:val="none" w:sz="0" w:space="0" w:color="auto"/>
      </w:divBdr>
      <w:divsChild>
        <w:div w:id="449587307">
          <w:marLeft w:val="0"/>
          <w:marRight w:val="0"/>
          <w:marTop w:val="0"/>
          <w:marBottom w:val="120"/>
          <w:divBdr>
            <w:top w:val="single" w:sz="2" w:space="0" w:color="000000"/>
            <w:left w:val="single" w:sz="2" w:space="0" w:color="000000"/>
            <w:bottom w:val="single" w:sz="2" w:space="0" w:color="000000"/>
            <w:right w:val="single" w:sz="2" w:space="0" w:color="000000"/>
          </w:divBdr>
        </w:div>
        <w:div w:id="421681816">
          <w:marLeft w:val="0"/>
          <w:marRight w:val="0"/>
          <w:marTop w:val="0"/>
          <w:marBottom w:val="300"/>
          <w:divBdr>
            <w:top w:val="single" w:sz="2" w:space="0" w:color="000000"/>
            <w:left w:val="single" w:sz="2" w:space="0" w:color="000000"/>
            <w:bottom w:val="single" w:sz="2" w:space="0" w:color="000000"/>
            <w:right w:val="single" w:sz="2" w:space="0" w:color="000000"/>
          </w:divBdr>
        </w:div>
        <w:div w:id="714505934">
          <w:marLeft w:val="0"/>
          <w:marRight w:val="0"/>
          <w:marTop w:val="0"/>
          <w:marBottom w:val="300"/>
          <w:divBdr>
            <w:top w:val="single" w:sz="2" w:space="0" w:color="000000"/>
            <w:left w:val="single" w:sz="2" w:space="0" w:color="000000"/>
            <w:bottom w:val="single" w:sz="2" w:space="0" w:color="000000"/>
            <w:right w:val="single" w:sz="2" w:space="0" w:color="000000"/>
          </w:divBdr>
        </w:div>
        <w:div w:id="1544906201">
          <w:marLeft w:val="0"/>
          <w:marRight w:val="0"/>
          <w:marTop w:val="0"/>
          <w:marBottom w:val="300"/>
          <w:divBdr>
            <w:top w:val="single" w:sz="2" w:space="0" w:color="000000"/>
            <w:left w:val="single" w:sz="2" w:space="0" w:color="000000"/>
            <w:bottom w:val="single" w:sz="2" w:space="0" w:color="000000"/>
            <w:right w:val="single" w:sz="2" w:space="0" w:color="000000"/>
          </w:divBdr>
        </w:div>
        <w:div w:id="1393580703">
          <w:marLeft w:val="0"/>
          <w:marRight w:val="0"/>
          <w:marTop w:val="0"/>
          <w:marBottom w:val="300"/>
          <w:divBdr>
            <w:top w:val="single" w:sz="2" w:space="0" w:color="000000"/>
            <w:left w:val="single" w:sz="2" w:space="0" w:color="000000"/>
            <w:bottom w:val="single" w:sz="2" w:space="0" w:color="000000"/>
            <w:right w:val="single" w:sz="2" w:space="0" w:color="000000"/>
          </w:divBdr>
        </w:div>
        <w:div w:id="935862719">
          <w:marLeft w:val="0"/>
          <w:marRight w:val="0"/>
          <w:marTop w:val="0"/>
          <w:marBottom w:val="300"/>
          <w:divBdr>
            <w:top w:val="single" w:sz="2" w:space="0" w:color="000000"/>
            <w:left w:val="single" w:sz="2" w:space="0" w:color="000000"/>
            <w:bottom w:val="single" w:sz="2" w:space="0" w:color="000000"/>
            <w:right w:val="single" w:sz="2" w:space="0" w:color="000000"/>
          </w:divBdr>
        </w:div>
        <w:div w:id="948589443">
          <w:marLeft w:val="0"/>
          <w:marRight w:val="0"/>
          <w:marTop w:val="0"/>
          <w:marBottom w:val="300"/>
          <w:divBdr>
            <w:top w:val="single" w:sz="2" w:space="0" w:color="000000"/>
            <w:left w:val="single" w:sz="2" w:space="0" w:color="000000"/>
            <w:bottom w:val="single" w:sz="2" w:space="0" w:color="000000"/>
            <w:right w:val="single" w:sz="2" w:space="0" w:color="000000"/>
          </w:divBdr>
        </w:div>
        <w:div w:id="1988851044">
          <w:marLeft w:val="0"/>
          <w:marRight w:val="0"/>
          <w:marTop w:val="0"/>
          <w:marBottom w:val="300"/>
          <w:divBdr>
            <w:top w:val="single" w:sz="2" w:space="0" w:color="000000"/>
            <w:left w:val="single" w:sz="2" w:space="0" w:color="000000"/>
            <w:bottom w:val="single" w:sz="2" w:space="0" w:color="000000"/>
            <w:right w:val="single" w:sz="2" w:space="0" w:color="000000"/>
          </w:divBdr>
        </w:div>
        <w:div w:id="636761015">
          <w:marLeft w:val="0"/>
          <w:marRight w:val="0"/>
          <w:marTop w:val="0"/>
          <w:marBottom w:val="300"/>
          <w:divBdr>
            <w:top w:val="single" w:sz="2" w:space="0" w:color="000000"/>
            <w:left w:val="single" w:sz="2" w:space="0" w:color="000000"/>
            <w:bottom w:val="single" w:sz="2" w:space="0" w:color="000000"/>
            <w:right w:val="single" w:sz="2" w:space="0" w:color="000000"/>
          </w:divBdr>
        </w:div>
        <w:div w:id="239677257">
          <w:marLeft w:val="0"/>
          <w:marRight w:val="0"/>
          <w:marTop w:val="0"/>
          <w:marBottom w:val="300"/>
          <w:divBdr>
            <w:top w:val="single" w:sz="2" w:space="0" w:color="000000"/>
            <w:left w:val="single" w:sz="2" w:space="0" w:color="000000"/>
            <w:bottom w:val="single" w:sz="2" w:space="0" w:color="000000"/>
            <w:right w:val="single" w:sz="2" w:space="0" w:color="000000"/>
          </w:divBdr>
        </w:div>
        <w:div w:id="582688681">
          <w:marLeft w:val="0"/>
          <w:marRight w:val="0"/>
          <w:marTop w:val="0"/>
          <w:marBottom w:val="300"/>
          <w:divBdr>
            <w:top w:val="single" w:sz="2" w:space="0" w:color="000000"/>
            <w:left w:val="single" w:sz="2" w:space="0" w:color="000000"/>
            <w:bottom w:val="single" w:sz="2" w:space="0" w:color="000000"/>
            <w:right w:val="single" w:sz="2" w:space="0" w:color="000000"/>
          </w:divBdr>
        </w:div>
        <w:div w:id="766999007">
          <w:marLeft w:val="0"/>
          <w:marRight w:val="0"/>
          <w:marTop w:val="0"/>
          <w:marBottom w:val="300"/>
          <w:divBdr>
            <w:top w:val="single" w:sz="2" w:space="0" w:color="000000"/>
            <w:left w:val="single" w:sz="2" w:space="0" w:color="000000"/>
            <w:bottom w:val="single" w:sz="2" w:space="0" w:color="000000"/>
            <w:right w:val="single" w:sz="2" w:space="0" w:color="000000"/>
          </w:divBdr>
        </w:div>
        <w:div w:id="350422729">
          <w:marLeft w:val="0"/>
          <w:marRight w:val="0"/>
          <w:marTop w:val="0"/>
          <w:marBottom w:val="300"/>
          <w:divBdr>
            <w:top w:val="single" w:sz="2" w:space="0" w:color="000000"/>
            <w:left w:val="single" w:sz="2" w:space="0" w:color="000000"/>
            <w:bottom w:val="single" w:sz="2" w:space="0" w:color="000000"/>
            <w:right w:val="single" w:sz="2" w:space="0" w:color="000000"/>
          </w:divBdr>
        </w:div>
        <w:div w:id="1164660287">
          <w:marLeft w:val="0"/>
          <w:marRight w:val="0"/>
          <w:marTop w:val="0"/>
          <w:marBottom w:val="300"/>
          <w:divBdr>
            <w:top w:val="single" w:sz="2" w:space="0" w:color="000000"/>
            <w:left w:val="single" w:sz="2" w:space="0" w:color="000000"/>
            <w:bottom w:val="single" w:sz="2" w:space="0" w:color="000000"/>
            <w:right w:val="single" w:sz="2" w:space="0" w:color="000000"/>
          </w:divBdr>
        </w:div>
        <w:div w:id="1580600955">
          <w:marLeft w:val="0"/>
          <w:marRight w:val="0"/>
          <w:marTop w:val="312"/>
          <w:marBottom w:val="144"/>
          <w:divBdr>
            <w:top w:val="single" w:sz="2" w:space="0" w:color="000000"/>
            <w:left w:val="single" w:sz="2" w:space="0" w:color="000000"/>
            <w:bottom w:val="single" w:sz="2" w:space="0" w:color="000000"/>
            <w:right w:val="single" w:sz="2" w:space="0" w:color="000000"/>
          </w:divBdr>
        </w:div>
        <w:div w:id="317659015">
          <w:marLeft w:val="0"/>
          <w:marRight w:val="0"/>
          <w:marTop w:val="0"/>
          <w:marBottom w:val="300"/>
          <w:divBdr>
            <w:top w:val="single" w:sz="2" w:space="0" w:color="000000"/>
            <w:left w:val="single" w:sz="2" w:space="0" w:color="000000"/>
            <w:bottom w:val="single" w:sz="2" w:space="0" w:color="000000"/>
            <w:right w:val="single" w:sz="2" w:space="0" w:color="000000"/>
          </w:divBdr>
        </w:div>
        <w:div w:id="701638636">
          <w:marLeft w:val="0"/>
          <w:marRight w:val="0"/>
          <w:marTop w:val="0"/>
          <w:marBottom w:val="300"/>
          <w:divBdr>
            <w:top w:val="single" w:sz="2" w:space="0" w:color="000000"/>
            <w:left w:val="single" w:sz="2" w:space="0" w:color="000000"/>
            <w:bottom w:val="single" w:sz="2" w:space="0" w:color="000000"/>
            <w:right w:val="single" w:sz="2" w:space="0" w:color="000000"/>
          </w:divBdr>
        </w:div>
        <w:div w:id="375392772">
          <w:marLeft w:val="0"/>
          <w:marRight w:val="0"/>
          <w:marTop w:val="0"/>
          <w:marBottom w:val="0"/>
          <w:divBdr>
            <w:top w:val="single" w:sz="2" w:space="0" w:color="000000"/>
            <w:left w:val="single" w:sz="2" w:space="0" w:color="000000"/>
            <w:bottom w:val="single" w:sz="2" w:space="0" w:color="000000"/>
            <w:right w:val="single" w:sz="2" w:space="0" w:color="000000"/>
          </w:divBdr>
        </w:div>
        <w:div w:id="1094669621">
          <w:marLeft w:val="0"/>
          <w:marRight w:val="0"/>
          <w:marTop w:val="0"/>
          <w:marBottom w:val="300"/>
          <w:divBdr>
            <w:top w:val="single" w:sz="2" w:space="0" w:color="000000"/>
            <w:left w:val="single" w:sz="2" w:space="0" w:color="000000"/>
            <w:bottom w:val="single" w:sz="2" w:space="0" w:color="000000"/>
            <w:right w:val="single" w:sz="2" w:space="0" w:color="000000"/>
          </w:divBdr>
        </w:div>
        <w:div w:id="2067141339">
          <w:marLeft w:val="0"/>
          <w:marRight w:val="0"/>
          <w:marTop w:val="0"/>
          <w:marBottom w:val="300"/>
          <w:divBdr>
            <w:top w:val="single" w:sz="2" w:space="0" w:color="000000"/>
            <w:left w:val="single" w:sz="2" w:space="0" w:color="000000"/>
            <w:bottom w:val="single" w:sz="2" w:space="0" w:color="000000"/>
            <w:right w:val="single" w:sz="2" w:space="0" w:color="000000"/>
          </w:divBdr>
        </w:div>
        <w:div w:id="1656226404">
          <w:marLeft w:val="0"/>
          <w:marRight w:val="0"/>
          <w:marTop w:val="0"/>
          <w:marBottom w:val="300"/>
          <w:divBdr>
            <w:top w:val="single" w:sz="2" w:space="0" w:color="000000"/>
            <w:left w:val="single" w:sz="2" w:space="0" w:color="000000"/>
            <w:bottom w:val="single" w:sz="2" w:space="0" w:color="000000"/>
            <w:right w:val="single" w:sz="2" w:space="0" w:color="000000"/>
          </w:divBdr>
        </w:div>
        <w:div w:id="1364818328">
          <w:marLeft w:val="0"/>
          <w:marRight w:val="0"/>
          <w:marTop w:val="0"/>
          <w:marBottom w:val="300"/>
          <w:divBdr>
            <w:top w:val="single" w:sz="2" w:space="0" w:color="000000"/>
            <w:left w:val="single" w:sz="2" w:space="0" w:color="000000"/>
            <w:bottom w:val="single" w:sz="2" w:space="0" w:color="000000"/>
            <w:right w:val="single" w:sz="2" w:space="0" w:color="000000"/>
          </w:divBdr>
        </w:div>
        <w:div w:id="1590583628">
          <w:marLeft w:val="0"/>
          <w:marRight w:val="0"/>
          <w:marTop w:val="0"/>
          <w:marBottom w:val="300"/>
          <w:divBdr>
            <w:top w:val="single" w:sz="2" w:space="0" w:color="000000"/>
            <w:left w:val="single" w:sz="2" w:space="0" w:color="000000"/>
            <w:bottom w:val="single" w:sz="2" w:space="0" w:color="000000"/>
            <w:right w:val="single" w:sz="2" w:space="0" w:color="000000"/>
          </w:divBdr>
        </w:div>
        <w:div w:id="1387027676">
          <w:marLeft w:val="0"/>
          <w:marRight w:val="0"/>
          <w:marTop w:val="0"/>
          <w:marBottom w:val="300"/>
          <w:divBdr>
            <w:top w:val="single" w:sz="2" w:space="0" w:color="000000"/>
            <w:left w:val="single" w:sz="2" w:space="0" w:color="000000"/>
            <w:bottom w:val="single" w:sz="2" w:space="0" w:color="000000"/>
            <w:right w:val="single" w:sz="2" w:space="0" w:color="000000"/>
          </w:divBdr>
        </w:div>
        <w:div w:id="420565292">
          <w:marLeft w:val="0"/>
          <w:marRight w:val="0"/>
          <w:marTop w:val="0"/>
          <w:marBottom w:val="300"/>
          <w:divBdr>
            <w:top w:val="single" w:sz="2" w:space="0" w:color="000000"/>
            <w:left w:val="single" w:sz="2" w:space="0" w:color="000000"/>
            <w:bottom w:val="single" w:sz="2" w:space="0" w:color="000000"/>
            <w:right w:val="single" w:sz="2" w:space="0" w:color="000000"/>
          </w:divBdr>
        </w:div>
        <w:div w:id="471025273">
          <w:marLeft w:val="0"/>
          <w:marRight w:val="0"/>
          <w:marTop w:val="0"/>
          <w:marBottom w:val="300"/>
          <w:divBdr>
            <w:top w:val="single" w:sz="2" w:space="0" w:color="000000"/>
            <w:left w:val="single" w:sz="2" w:space="0" w:color="000000"/>
            <w:bottom w:val="single" w:sz="2" w:space="0" w:color="000000"/>
            <w:right w:val="single" w:sz="2" w:space="0" w:color="000000"/>
          </w:divBdr>
        </w:div>
        <w:div w:id="505366769">
          <w:marLeft w:val="0"/>
          <w:marRight w:val="0"/>
          <w:marTop w:val="0"/>
          <w:marBottom w:val="300"/>
          <w:divBdr>
            <w:top w:val="single" w:sz="2" w:space="0" w:color="000000"/>
            <w:left w:val="single" w:sz="2" w:space="0" w:color="000000"/>
            <w:bottom w:val="single" w:sz="2" w:space="0" w:color="000000"/>
            <w:right w:val="single" w:sz="2" w:space="0" w:color="000000"/>
          </w:divBdr>
        </w:div>
        <w:div w:id="1934971296">
          <w:marLeft w:val="0"/>
          <w:marRight w:val="0"/>
          <w:marTop w:val="0"/>
          <w:marBottom w:val="300"/>
          <w:divBdr>
            <w:top w:val="single" w:sz="2" w:space="0" w:color="000000"/>
            <w:left w:val="single" w:sz="2" w:space="0" w:color="000000"/>
            <w:bottom w:val="single" w:sz="2" w:space="0" w:color="000000"/>
            <w:right w:val="single" w:sz="2" w:space="0" w:color="000000"/>
          </w:divBdr>
        </w:div>
        <w:div w:id="235670347">
          <w:marLeft w:val="0"/>
          <w:marRight w:val="0"/>
          <w:marTop w:val="0"/>
          <w:marBottom w:val="300"/>
          <w:divBdr>
            <w:top w:val="single" w:sz="2" w:space="0" w:color="000000"/>
            <w:left w:val="single" w:sz="2" w:space="0" w:color="000000"/>
            <w:bottom w:val="single" w:sz="2" w:space="0" w:color="000000"/>
            <w:right w:val="single" w:sz="2" w:space="0" w:color="000000"/>
          </w:divBdr>
        </w:div>
        <w:div w:id="1103259660">
          <w:marLeft w:val="0"/>
          <w:marRight w:val="0"/>
          <w:marTop w:val="0"/>
          <w:marBottom w:val="300"/>
          <w:divBdr>
            <w:top w:val="single" w:sz="2" w:space="0" w:color="000000"/>
            <w:left w:val="single" w:sz="2" w:space="0" w:color="000000"/>
            <w:bottom w:val="single" w:sz="2" w:space="0" w:color="000000"/>
            <w:right w:val="single" w:sz="2" w:space="0" w:color="000000"/>
          </w:divBdr>
        </w:div>
        <w:div w:id="745803086">
          <w:marLeft w:val="0"/>
          <w:marRight w:val="0"/>
          <w:marTop w:val="0"/>
          <w:marBottom w:val="300"/>
          <w:divBdr>
            <w:top w:val="single" w:sz="2" w:space="0" w:color="000000"/>
            <w:left w:val="single" w:sz="2" w:space="0" w:color="000000"/>
            <w:bottom w:val="single" w:sz="2" w:space="0" w:color="000000"/>
            <w:right w:val="single" w:sz="2" w:space="0" w:color="000000"/>
          </w:divBdr>
        </w:div>
        <w:div w:id="1922712743">
          <w:marLeft w:val="0"/>
          <w:marRight w:val="0"/>
          <w:marTop w:val="0"/>
          <w:marBottom w:val="300"/>
          <w:divBdr>
            <w:top w:val="single" w:sz="2" w:space="0" w:color="000000"/>
            <w:left w:val="single" w:sz="2" w:space="0" w:color="000000"/>
            <w:bottom w:val="single" w:sz="2" w:space="0" w:color="000000"/>
            <w:right w:val="single" w:sz="2" w:space="0" w:color="000000"/>
          </w:divBdr>
        </w:div>
        <w:div w:id="1505899945">
          <w:marLeft w:val="0"/>
          <w:marRight w:val="0"/>
          <w:marTop w:val="0"/>
          <w:marBottom w:val="300"/>
          <w:divBdr>
            <w:top w:val="single" w:sz="2" w:space="0" w:color="000000"/>
            <w:left w:val="single" w:sz="2" w:space="0" w:color="000000"/>
            <w:bottom w:val="single" w:sz="2" w:space="0" w:color="000000"/>
            <w:right w:val="single" w:sz="2" w:space="0" w:color="000000"/>
          </w:divBdr>
        </w:div>
        <w:div w:id="881676143">
          <w:marLeft w:val="0"/>
          <w:marRight w:val="0"/>
          <w:marTop w:val="0"/>
          <w:marBottom w:val="300"/>
          <w:divBdr>
            <w:top w:val="single" w:sz="2" w:space="0" w:color="000000"/>
            <w:left w:val="single" w:sz="2" w:space="0" w:color="000000"/>
            <w:bottom w:val="single" w:sz="2" w:space="0" w:color="000000"/>
            <w:right w:val="single" w:sz="2" w:space="0" w:color="000000"/>
          </w:divBdr>
        </w:div>
        <w:div w:id="1798529747">
          <w:marLeft w:val="0"/>
          <w:marRight w:val="0"/>
          <w:marTop w:val="0"/>
          <w:marBottom w:val="300"/>
          <w:divBdr>
            <w:top w:val="single" w:sz="2" w:space="0" w:color="000000"/>
            <w:left w:val="single" w:sz="2" w:space="0" w:color="000000"/>
            <w:bottom w:val="single" w:sz="2" w:space="0" w:color="000000"/>
            <w:right w:val="single" w:sz="2" w:space="0" w:color="000000"/>
          </w:divBdr>
        </w:div>
        <w:div w:id="1717123655">
          <w:marLeft w:val="0"/>
          <w:marRight w:val="0"/>
          <w:marTop w:val="0"/>
          <w:marBottom w:val="0"/>
          <w:divBdr>
            <w:top w:val="single" w:sz="2" w:space="0" w:color="000000"/>
            <w:left w:val="single" w:sz="2" w:space="0" w:color="000000"/>
            <w:bottom w:val="single" w:sz="2" w:space="0" w:color="000000"/>
            <w:right w:val="single" w:sz="2" w:space="0" w:color="000000"/>
          </w:divBdr>
        </w:div>
        <w:div w:id="1541285070">
          <w:marLeft w:val="0"/>
          <w:marRight w:val="0"/>
          <w:marTop w:val="0"/>
          <w:marBottom w:val="300"/>
          <w:divBdr>
            <w:top w:val="single" w:sz="2" w:space="0" w:color="000000"/>
            <w:left w:val="single" w:sz="2" w:space="0" w:color="000000"/>
            <w:bottom w:val="single" w:sz="2" w:space="0" w:color="000000"/>
            <w:right w:val="single" w:sz="2" w:space="0" w:color="000000"/>
          </w:divBdr>
        </w:div>
        <w:div w:id="20516386">
          <w:marLeft w:val="0"/>
          <w:marRight w:val="0"/>
          <w:marTop w:val="0"/>
          <w:marBottom w:val="300"/>
          <w:divBdr>
            <w:top w:val="single" w:sz="2" w:space="0" w:color="000000"/>
            <w:left w:val="single" w:sz="2" w:space="0" w:color="000000"/>
            <w:bottom w:val="single" w:sz="2" w:space="0" w:color="000000"/>
            <w:right w:val="single" w:sz="2" w:space="0" w:color="000000"/>
          </w:divBdr>
        </w:div>
        <w:div w:id="1088572725">
          <w:marLeft w:val="0"/>
          <w:marRight w:val="0"/>
          <w:marTop w:val="0"/>
          <w:marBottom w:val="0"/>
          <w:divBdr>
            <w:top w:val="single" w:sz="2" w:space="0" w:color="000000"/>
            <w:left w:val="single" w:sz="2" w:space="0" w:color="000000"/>
            <w:bottom w:val="single" w:sz="2" w:space="0" w:color="000000"/>
            <w:right w:val="single" w:sz="2" w:space="0" w:color="000000"/>
          </w:divBdr>
        </w:div>
        <w:div w:id="25521778">
          <w:marLeft w:val="0"/>
          <w:marRight w:val="0"/>
          <w:marTop w:val="0"/>
          <w:marBottom w:val="300"/>
          <w:divBdr>
            <w:top w:val="single" w:sz="2" w:space="0" w:color="000000"/>
            <w:left w:val="single" w:sz="2" w:space="0" w:color="000000"/>
            <w:bottom w:val="single" w:sz="2" w:space="0" w:color="000000"/>
            <w:right w:val="single" w:sz="2" w:space="0" w:color="000000"/>
          </w:divBdr>
        </w:div>
        <w:div w:id="5577438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21874292">
      <w:bodyDiv w:val="1"/>
      <w:marLeft w:val="0"/>
      <w:marRight w:val="0"/>
      <w:marTop w:val="0"/>
      <w:marBottom w:val="0"/>
      <w:divBdr>
        <w:top w:val="none" w:sz="0" w:space="0" w:color="auto"/>
        <w:left w:val="none" w:sz="0" w:space="0" w:color="auto"/>
        <w:bottom w:val="none" w:sz="0" w:space="0" w:color="auto"/>
        <w:right w:val="none" w:sz="0" w:space="0" w:color="auto"/>
      </w:divBdr>
      <w:divsChild>
        <w:div w:id="355931297">
          <w:marLeft w:val="0"/>
          <w:marRight w:val="0"/>
          <w:marTop w:val="0"/>
          <w:marBottom w:val="120"/>
          <w:divBdr>
            <w:top w:val="single" w:sz="2" w:space="0" w:color="000000"/>
            <w:left w:val="single" w:sz="2" w:space="0" w:color="000000"/>
            <w:bottom w:val="single" w:sz="2" w:space="0" w:color="000000"/>
            <w:right w:val="single" w:sz="2" w:space="0" w:color="000000"/>
          </w:divBdr>
        </w:div>
        <w:div w:id="1850676787">
          <w:marLeft w:val="0"/>
          <w:marRight w:val="0"/>
          <w:marTop w:val="0"/>
          <w:marBottom w:val="300"/>
          <w:divBdr>
            <w:top w:val="single" w:sz="2" w:space="0" w:color="000000"/>
            <w:left w:val="single" w:sz="2" w:space="0" w:color="000000"/>
            <w:bottom w:val="single" w:sz="2" w:space="0" w:color="000000"/>
            <w:right w:val="single" w:sz="2" w:space="0" w:color="000000"/>
          </w:divBdr>
        </w:div>
        <w:div w:id="1122118232">
          <w:marLeft w:val="0"/>
          <w:marRight w:val="0"/>
          <w:marTop w:val="0"/>
          <w:marBottom w:val="300"/>
          <w:divBdr>
            <w:top w:val="single" w:sz="2" w:space="0" w:color="000000"/>
            <w:left w:val="single" w:sz="2" w:space="0" w:color="000000"/>
            <w:bottom w:val="single" w:sz="2" w:space="0" w:color="000000"/>
            <w:right w:val="single" w:sz="2" w:space="0" w:color="000000"/>
          </w:divBdr>
        </w:div>
        <w:div w:id="365251444">
          <w:marLeft w:val="0"/>
          <w:marRight w:val="0"/>
          <w:marTop w:val="0"/>
          <w:marBottom w:val="300"/>
          <w:divBdr>
            <w:top w:val="single" w:sz="2" w:space="0" w:color="000000"/>
            <w:left w:val="single" w:sz="2" w:space="0" w:color="000000"/>
            <w:bottom w:val="single" w:sz="2" w:space="0" w:color="000000"/>
            <w:right w:val="single" w:sz="2" w:space="0" w:color="000000"/>
          </w:divBdr>
        </w:div>
        <w:div w:id="810899910">
          <w:marLeft w:val="0"/>
          <w:marRight w:val="0"/>
          <w:marTop w:val="0"/>
          <w:marBottom w:val="300"/>
          <w:divBdr>
            <w:top w:val="single" w:sz="2" w:space="0" w:color="000000"/>
            <w:left w:val="single" w:sz="2" w:space="0" w:color="000000"/>
            <w:bottom w:val="single" w:sz="2" w:space="0" w:color="000000"/>
            <w:right w:val="single" w:sz="2" w:space="0" w:color="000000"/>
          </w:divBdr>
        </w:div>
        <w:div w:id="747308117">
          <w:marLeft w:val="0"/>
          <w:marRight w:val="0"/>
          <w:marTop w:val="0"/>
          <w:marBottom w:val="300"/>
          <w:divBdr>
            <w:top w:val="single" w:sz="2" w:space="0" w:color="000000"/>
            <w:left w:val="single" w:sz="2" w:space="0" w:color="000000"/>
            <w:bottom w:val="single" w:sz="2" w:space="0" w:color="000000"/>
            <w:right w:val="single" w:sz="2" w:space="0" w:color="000000"/>
          </w:divBdr>
        </w:div>
        <w:div w:id="969897561">
          <w:marLeft w:val="0"/>
          <w:marRight w:val="0"/>
          <w:marTop w:val="0"/>
          <w:marBottom w:val="300"/>
          <w:divBdr>
            <w:top w:val="single" w:sz="2" w:space="0" w:color="000000"/>
            <w:left w:val="single" w:sz="2" w:space="0" w:color="000000"/>
            <w:bottom w:val="single" w:sz="2" w:space="0" w:color="000000"/>
            <w:right w:val="single" w:sz="2" w:space="0" w:color="000000"/>
          </w:divBdr>
        </w:div>
        <w:div w:id="1342121310">
          <w:marLeft w:val="0"/>
          <w:marRight w:val="0"/>
          <w:marTop w:val="0"/>
          <w:marBottom w:val="300"/>
          <w:divBdr>
            <w:top w:val="single" w:sz="2" w:space="0" w:color="000000"/>
            <w:left w:val="single" w:sz="2" w:space="0" w:color="000000"/>
            <w:bottom w:val="single" w:sz="2" w:space="0" w:color="000000"/>
            <w:right w:val="single" w:sz="2" w:space="0" w:color="000000"/>
          </w:divBdr>
        </w:div>
        <w:div w:id="516887357">
          <w:marLeft w:val="0"/>
          <w:marRight w:val="0"/>
          <w:marTop w:val="0"/>
          <w:marBottom w:val="300"/>
          <w:divBdr>
            <w:top w:val="single" w:sz="2" w:space="0" w:color="000000"/>
            <w:left w:val="single" w:sz="2" w:space="0" w:color="000000"/>
            <w:bottom w:val="single" w:sz="2" w:space="0" w:color="000000"/>
            <w:right w:val="single" w:sz="2" w:space="0" w:color="000000"/>
          </w:divBdr>
        </w:div>
        <w:div w:id="684477113">
          <w:marLeft w:val="0"/>
          <w:marRight w:val="0"/>
          <w:marTop w:val="0"/>
          <w:marBottom w:val="300"/>
          <w:divBdr>
            <w:top w:val="single" w:sz="2" w:space="0" w:color="000000"/>
            <w:left w:val="single" w:sz="2" w:space="0" w:color="000000"/>
            <w:bottom w:val="single" w:sz="2" w:space="0" w:color="000000"/>
            <w:right w:val="single" w:sz="2" w:space="0" w:color="000000"/>
          </w:divBdr>
        </w:div>
        <w:div w:id="690760085">
          <w:marLeft w:val="0"/>
          <w:marRight w:val="0"/>
          <w:marTop w:val="312"/>
          <w:marBottom w:val="144"/>
          <w:divBdr>
            <w:top w:val="single" w:sz="2" w:space="0" w:color="000000"/>
            <w:left w:val="single" w:sz="2" w:space="0" w:color="000000"/>
            <w:bottom w:val="single" w:sz="2" w:space="0" w:color="000000"/>
            <w:right w:val="single" w:sz="2" w:space="0" w:color="000000"/>
          </w:divBdr>
        </w:div>
        <w:div w:id="1594168742">
          <w:marLeft w:val="0"/>
          <w:marRight w:val="0"/>
          <w:marTop w:val="0"/>
          <w:marBottom w:val="300"/>
          <w:divBdr>
            <w:top w:val="single" w:sz="2" w:space="0" w:color="000000"/>
            <w:left w:val="single" w:sz="2" w:space="0" w:color="000000"/>
            <w:bottom w:val="single" w:sz="2" w:space="0" w:color="000000"/>
            <w:right w:val="single" w:sz="2" w:space="0" w:color="000000"/>
          </w:divBdr>
        </w:div>
        <w:div w:id="212693382">
          <w:marLeft w:val="0"/>
          <w:marRight w:val="0"/>
          <w:marTop w:val="0"/>
          <w:marBottom w:val="300"/>
          <w:divBdr>
            <w:top w:val="single" w:sz="2" w:space="0" w:color="000000"/>
            <w:left w:val="single" w:sz="2" w:space="0" w:color="000000"/>
            <w:bottom w:val="single" w:sz="2" w:space="0" w:color="000000"/>
            <w:right w:val="single" w:sz="2" w:space="0" w:color="000000"/>
          </w:divBdr>
        </w:div>
        <w:div w:id="1031765583">
          <w:marLeft w:val="0"/>
          <w:marRight w:val="0"/>
          <w:marTop w:val="0"/>
          <w:marBottom w:val="300"/>
          <w:divBdr>
            <w:top w:val="single" w:sz="2" w:space="0" w:color="000000"/>
            <w:left w:val="single" w:sz="2" w:space="0" w:color="000000"/>
            <w:bottom w:val="single" w:sz="2" w:space="0" w:color="000000"/>
            <w:right w:val="single" w:sz="2" w:space="0" w:color="000000"/>
          </w:divBdr>
        </w:div>
        <w:div w:id="1378309956">
          <w:marLeft w:val="0"/>
          <w:marRight w:val="0"/>
          <w:marTop w:val="0"/>
          <w:marBottom w:val="300"/>
          <w:divBdr>
            <w:top w:val="single" w:sz="2" w:space="0" w:color="000000"/>
            <w:left w:val="single" w:sz="2" w:space="0" w:color="000000"/>
            <w:bottom w:val="single" w:sz="2" w:space="0" w:color="000000"/>
            <w:right w:val="single" w:sz="2" w:space="0" w:color="000000"/>
          </w:divBdr>
        </w:div>
        <w:div w:id="2086954160">
          <w:marLeft w:val="0"/>
          <w:marRight w:val="0"/>
          <w:marTop w:val="0"/>
          <w:marBottom w:val="0"/>
          <w:divBdr>
            <w:top w:val="single" w:sz="2" w:space="0" w:color="000000"/>
            <w:left w:val="single" w:sz="2" w:space="0" w:color="000000"/>
            <w:bottom w:val="single" w:sz="2" w:space="0" w:color="000000"/>
            <w:right w:val="single" w:sz="2" w:space="0" w:color="000000"/>
          </w:divBdr>
        </w:div>
        <w:div w:id="1332566634">
          <w:marLeft w:val="0"/>
          <w:marRight w:val="0"/>
          <w:marTop w:val="0"/>
          <w:marBottom w:val="300"/>
          <w:divBdr>
            <w:top w:val="single" w:sz="2" w:space="0" w:color="000000"/>
            <w:left w:val="single" w:sz="2" w:space="0" w:color="000000"/>
            <w:bottom w:val="single" w:sz="2" w:space="0" w:color="000000"/>
            <w:right w:val="single" w:sz="2" w:space="0" w:color="000000"/>
          </w:divBdr>
        </w:div>
        <w:div w:id="854151566">
          <w:marLeft w:val="0"/>
          <w:marRight w:val="0"/>
          <w:marTop w:val="0"/>
          <w:marBottom w:val="300"/>
          <w:divBdr>
            <w:top w:val="single" w:sz="2" w:space="0" w:color="000000"/>
            <w:left w:val="single" w:sz="2" w:space="0" w:color="000000"/>
            <w:bottom w:val="single" w:sz="2" w:space="0" w:color="000000"/>
            <w:right w:val="single" w:sz="2" w:space="0" w:color="000000"/>
          </w:divBdr>
        </w:div>
        <w:div w:id="1455441099">
          <w:marLeft w:val="0"/>
          <w:marRight w:val="0"/>
          <w:marTop w:val="0"/>
          <w:marBottom w:val="300"/>
          <w:divBdr>
            <w:top w:val="single" w:sz="2" w:space="0" w:color="000000"/>
            <w:left w:val="single" w:sz="2" w:space="0" w:color="000000"/>
            <w:bottom w:val="single" w:sz="2" w:space="0" w:color="000000"/>
            <w:right w:val="single" w:sz="2" w:space="0" w:color="000000"/>
          </w:divBdr>
        </w:div>
        <w:div w:id="739402079">
          <w:marLeft w:val="0"/>
          <w:marRight w:val="0"/>
          <w:marTop w:val="0"/>
          <w:marBottom w:val="0"/>
          <w:divBdr>
            <w:top w:val="single" w:sz="2" w:space="0" w:color="000000"/>
            <w:left w:val="single" w:sz="2" w:space="0" w:color="000000"/>
            <w:bottom w:val="single" w:sz="2" w:space="0" w:color="000000"/>
            <w:right w:val="single" w:sz="2" w:space="0" w:color="000000"/>
          </w:divBdr>
        </w:div>
        <w:div w:id="374086492">
          <w:marLeft w:val="0"/>
          <w:marRight w:val="0"/>
          <w:marTop w:val="0"/>
          <w:marBottom w:val="300"/>
          <w:divBdr>
            <w:top w:val="single" w:sz="2" w:space="0" w:color="000000"/>
            <w:left w:val="single" w:sz="2" w:space="0" w:color="000000"/>
            <w:bottom w:val="single" w:sz="2" w:space="0" w:color="000000"/>
            <w:right w:val="single" w:sz="2" w:space="0" w:color="000000"/>
          </w:divBdr>
        </w:div>
        <w:div w:id="953513816">
          <w:marLeft w:val="0"/>
          <w:marRight w:val="0"/>
          <w:marTop w:val="0"/>
          <w:marBottom w:val="300"/>
          <w:divBdr>
            <w:top w:val="single" w:sz="2" w:space="0" w:color="000000"/>
            <w:left w:val="single" w:sz="2" w:space="0" w:color="000000"/>
            <w:bottom w:val="single" w:sz="2" w:space="0" w:color="000000"/>
            <w:right w:val="single" w:sz="2" w:space="0" w:color="000000"/>
          </w:divBdr>
        </w:div>
        <w:div w:id="375357417">
          <w:marLeft w:val="0"/>
          <w:marRight w:val="0"/>
          <w:marTop w:val="0"/>
          <w:marBottom w:val="300"/>
          <w:divBdr>
            <w:top w:val="single" w:sz="2" w:space="0" w:color="000000"/>
            <w:left w:val="single" w:sz="2" w:space="0" w:color="000000"/>
            <w:bottom w:val="single" w:sz="2" w:space="0" w:color="000000"/>
            <w:right w:val="single" w:sz="2" w:space="0" w:color="000000"/>
          </w:divBdr>
        </w:div>
        <w:div w:id="966854403">
          <w:marLeft w:val="0"/>
          <w:marRight w:val="0"/>
          <w:marTop w:val="0"/>
          <w:marBottom w:val="0"/>
          <w:divBdr>
            <w:top w:val="single" w:sz="2" w:space="0" w:color="000000"/>
            <w:left w:val="single" w:sz="2" w:space="0" w:color="000000"/>
            <w:bottom w:val="single" w:sz="2" w:space="0" w:color="000000"/>
            <w:right w:val="single" w:sz="2" w:space="0" w:color="000000"/>
          </w:divBdr>
        </w:div>
        <w:div w:id="2110463367">
          <w:marLeft w:val="0"/>
          <w:marRight w:val="0"/>
          <w:marTop w:val="0"/>
          <w:marBottom w:val="0"/>
          <w:divBdr>
            <w:top w:val="single" w:sz="2" w:space="0" w:color="000000"/>
            <w:left w:val="single" w:sz="2" w:space="0" w:color="000000"/>
            <w:bottom w:val="single" w:sz="2" w:space="0" w:color="000000"/>
            <w:right w:val="single" w:sz="2" w:space="0" w:color="000000"/>
          </w:divBdr>
        </w:div>
        <w:div w:id="1514032005">
          <w:marLeft w:val="0"/>
          <w:marRight w:val="0"/>
          <w:marTop w:val="0"/>
          <w:marBottom w:val="0"/>
          <w:divBdr>
            <w:top w:val="single" w:sz="2" w:space="0" w:color="000000"/>
            <w:left w:val="single" w:sz="2" w:space="0" w:color="000000"/>
            <w:bottom w:val="single" w:sz="2" w:space="0" w:color="000000"/>
            <w:right w:val="single" w:sz="2" w:space="0" w:color="000000"/>
          </w:divBdr>
        </w:div>
        <w:div w:id="1350521669">
          <w:marLeft w:val="0"/>
          <w:marRight w:val="0"/>
          <w:marTop w:val="0"/>
          <w:marBottom w:val="300"/>
          <w:divBdr>
            <w:top w:val="single" w:sz="2" w:space="0" w:color="000000"/>
            <w:left w:val="single" w:sz="2" w:space="0" w:color="000000"/>
            <w:bottom w:val="single" w:sz="2" w:space="0" w:color="000000"/>
            <w:right w:val="single" w:sz="2" w:space="0" w:color="000000"/>
          </w:divBdr>
        </w:div>
        <w:div w:id="661547047">
          <w:marLeft w:val="0"/>
          <w:marRight w:val="0"/>
          <w:marTop w:val="0"/>
          <w:marBottom w:val="0"/>
          <w:divBdr>
            <w:top w:val="single" w:sz="2" w:space="0" w:color="000000"/>
            <w:left w:val="single" w:sz="2" w:space="0" w:color="000000"/>
            <w:bottom w:val="single" w:sz="2" w:space="0" w:color="000000"/>
            <w:right w:val="single" w:sz="2" w:space="0" w:color="000000"/>
          </w:divBdr>
        </w:div>
        <w:div w:id="1379626922">
          <w:marLeft w:val="0"/>
          <w:marRight w:val="0"/>
          <w:marTop w:val="0"/>
          <w:marBottom w:val="300"/>
          <w:divBdr>
            <w:top w:val="single" w:sz="2" w:space="0" w:color="000000"/>
            <w:left w:val="single" w:sz="2" w:space="0" w:color="000000"/>
            <w:bottom w:val="single" w:sz="2" w:space="0" w:color="000000"/>
            <w:right w:val="single" w:sz="2" w:space="0" w:color="000000"/>
          </w:divBdr>
        </w:div>
        <w:div w:id="1723410215">
          <w:marLeft w:val="0"/>
          <w:marRight w:val="0"/>
          <w:marTop w:val="0"/>
          <w:marBottom w:val="300"/>
          <w:divBdr>
            <w:top w:val="single" w:sz="2" w:space="0" w:color="000000"/>
            <w:left w:val="single" w:sz="2" w:space="0" w:color="000000"/>
            <w:bottom w:val="single" w:sz="2" w:space="0" w:color="000000"/>
            <w:right w:val="single" w:sz="2" w:space="0" w:color="000000"/>
          </w:divBdr>
        </w:div>
        <w:div w:id="243300875">
          <w:marLeft w:val="0"/>
          <w:marRight w:val="0"/>
          <w:marTop w:val="0"/>
          <w:marBottom w:val="0"/>
          <w:divBdr>
            <w:top w:val="single" w:sz="2" w:space="0" w:color="000000"/>
            <w:left w:val="single" w:sz="2" w:space="0" w:color="000000"/>
            <w:bottom w:val="single" w:sz="2" w:space="0" w:color="000000"/>
            <w:right w:val="single" w:sz="2" w:space="0" w:color="000000"/>
          </w:divBdr>
        </w:div>
        <w:div w:id="448940136">
          <w:marLeft w:val="0"/>
          <w:marRight w:val="0"/>
          <w:marTop w:val="0"/>
          <w:marBottom w:val="300"/>
          <w:divBdr>
            <w:top w:val="single" w:sz="2" w:space="0" w:color="000000"/>
            <w:left w:val="single" w:sz="2" w:space="0" w:color="000000"/>
            <w:bottom w:val="single" w:sz="2" w:space="0" w:color="000000"/>
            <w:right w:val="single" w:sz="2" w:space="0" w:color="000000"/>
          </w:divBdr>
        </w:div>
        <w:div w:id="1351644863">
          <w:marLeft w:val="0"/>
          <w:marRight w:val="0"/>
          <w:marTop w:val="0"/>
          <w:marBottom w:val="300"/>
          <w:divBdr>
            <w:top w:val="single" w:sz="2" w:space="0" w:color="000000"/>
            <w:left w:val="single" w:sz="2" w:space="0" w:color="000000"/>
            <w:bottom w:val="single" w:sz="2" w:space="0" w:color="000000"/>
            <w:right w:val="single" w:sz="2" w:space="0" w:color="000000"/>
          </w:divBdr>
        </w:div>
        <w:div w:id="8464077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simplilearn.com/what-is-a-roc-curve-and-"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nsarchive.gwu.edu/sites/default/files/documents/3891751/SANS-and-Electricity-"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proceedings.neurips.cc/paper/5955-convolutional-lstm-network-a-"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ren21.net" TargetMode="External"/><Relationship Id="rId20" Type="http://schemas.openxmlformats.org/officeDocument/2006/relationships/hyperlink" Target="https://www.researchgate.net/publication/243776266_An_introduction_to_multi-"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openaccess.thecvf.com/content_ICCV_2017/papers/Qian_Multi-"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www.energy.gov/sites/prod/files/oeprod/DocumentsandMedia/BlackoutFina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researchgate.net/publication/384328983_Machine_Learning_for_Predictive" TargetMode="External"/><Relationship Id="rId22" Type="http://schemas.openxmlformats.org/officeDocument/2006/relationships/hyperlink" Target="https://documents1.worldbank.org/curated/en/712171609756525808/pdf/Main-"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38</Pages>
  <Words>8875</Words>
  <Characters>50593</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12</cp:revision>
  <dcterms:created xsi:type="dcterms:W3CDTF">2025-05-15T15:49:00Z</dcterms:created>
  <dcterms:modified xsi:type="dcterms:W3CDTF">2025-05-17T08:17:00Z</dcterms:modified>
</cp:coreProperties>
</file>