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FE4A9" w14:textId="77777777" w:rsidR="007903D0" w:rsidRPr="00526214" w:rsidRDefault="007903D0" w:rsidP="00526214">
      <w:pPr>
        <w:spacing w:line="360" w:lineRule="auto"/>
        <w:jc w:val="center"/>
        <w:rPr>
          <w:rFonts w:ascii="Times New Roman" w:hAnsi="Times New Roman" w:cs="Times New Roman"/>
          <w:b/>
          <w:sz w:val="36"/>
          <w:szCs w:val="36"/>
        </w:rPr>
      </w:pPr>
      <w:r w:rsidRPr="00526214">
        <w:rPr>
          <w:rFonts w:ascii="Times New Roman" w:hAnsi="Times New Roman" w:cs="Times New Roman"/>
          <w:b/>
          <w:sz w:val="36"/>
          <w:szCs w:val="36"/>
        </w:rPr>
        <w:t>Modeling and Measuring the Cyber Resilience of Critical Healthcare Infrastructure Against Ransomware: A Cyber-Physical Systems Risk Perspective</w:t>
      </w:r>
    </w:p>
    <w:p w14:paraId="4DE392E2" w14:textId="77777777" w:rsidR="00AC6BFB" w:rsidRDefault="00AC6BFB" w:rsidP="00AC6BFB">
      <w:pPr>
        <w:pStyle w:val="NoSpacing"/>
        <w:rPr>
          <w:rFonts w:ascii="Tenorite" w:hAnsi="Tenorite" w:cs="Times New Roman"/>
          <w:sz w:val="24"/>
          <w:szCs w:val="24"/>
        </w:rPr>
      </w:pPr>
    </w:p>
    <w:p w14:paraId="3C13DCAC" w14:textId="77777777" w:rsidR="007903D0" w:rsidRDefault="007903D0" w:rsidP="00526214">
      <w:pPr>
        <w:spacing w:line="360" w:lineRule="auto"/>
        <w:jc w:val="both"/>
        <w:rPr>
          <w:rFonts w:ascii="Times New Roman" w:hAnsi="Times New Roman" w:cs="Times New Roman"/>
          <w:b/>
          <w:sz w:val="24"/>
          <w:szCs w:val="24"/>
        </w:rPr>
      </w:pPr>
    </w:p>
    <w:p w14:paraId="3A6028B5" w14:textId="77777777" w:rsidR="006C1262" w:rsidRDefault="006C1262" w:rsidP="00526214">
      <w:pPr>
        <w:spacing w:line="360" w:lineRule="auto"/>
        <w:jc w:val="both"/>
        <w:rPr>
          <w:rFonts w:ascii="Times New Roman" w:hAnsi="Times New Roman" w:cs="Times New Roman"/>
          <w:b/>
          <w:sz w:val="24"/>
          <w:szCs w:val="24"/>
        </w:rPr>
      </w:pPr>
    </w:p>
    <w:p w14:paraId="13D16872" w14:textId="77777777" w:rsidR="006C1262" w:rsidRDefault="006C1262" w:rsidP="00526214">
      <w:pPr>
        <w:spacing w:line="360" w:lineRule="auto"/>
        <w:jc w:val="both"/>
        <w:rPr>
          <w:rFonts w:ascii="Times New Roman" w:hAnsi="Times New Roman" w:cs="Times New Roman"/>
          <w:b/>
          <w:sz w:val="24"/>
          <w:szCs w:val="24"/>
        </w:rPr>
      </w:pPr>
    </w:p>
    <w:p w14:paraId="20D518A9" w14:textId="77777777" w:rsidR="006C1262" w:rsidRPr="00526214" w:rsidRDefault="006C1262" w:rsidP="00526214">
      <w:pPr>
        <w:spacing w:line="360" w:lineRule="auto"/>
        <w:jc w:val="both"/>
        <w:rPr>
          <w:rFonts w:ascii="Times New Roman" w:hAnsi="Times New Roman" w:cs="Times New Roman"/>
          <w:b/>
          <w:sz w:val="24"/>
          <w:szCs w:val="24"/>
        </w:rPr>
      </w:pPr>
    </w:p>
    <w:p w14:paraId="61058295" w14:textId="77777777" w:rsidR="007903D0" w:rsidRPr="00526214" w:rsidRDefault="007903D0" w:rsidP="00526214">
      <w:pPr>
        <w:pStyle w:val="Heading1"/>
        <w:spacing w:line="360" w:lineRule="auto"/>
        <w:jc w:val="both"/>
        <w:rPr>
          <w:szCs w:val="24"/>
        </w:rPr>
      </w:pPr>
      <w:r w:rsidRPr="00526214">
        <w:rPr>
          <w:szCs w:val="24"/>
        </w:rPr>
        <w:t>Abstract</w:t>
      </w:r>
    </w:p>
    <w:p w14:paraId="2B6F6EA3" w14:textId="77777777" w:rsidR="007903D0" w:rsidRPr="00526214" w:rsidRDefault="007903D0"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 xml:space="preserve">This study develops and validates a comprehensive framework for modeling and measuring the cyber resilience of healthcare cyber-physical systems (CPS) against ransomware attacks, emphasizing a Cyber-Physical Systems Risk Perspective. Through a mixed-methods approach, the research integrates systematic literature review, meta-analysis, surveys, and simulations to address five objectives: analyzing ransomware attack characteristics, evaluating existing resilience frameworks, developing a multi-dimensional resilience model, designing validated metrics, and ensuring real-world applicability. Key findings reveal that ransomware exploits phishing (43%), IoMT vulnerabilities (28%), and third-party breaches (19%), with IoMT devices posing the highest risk (mean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i/>
          <w:sz w:val="24"/>
          <w:szCs w:val="24"/>
        </w:rPr>
        <w:t xml:space="preserve"> = 8.5). The Healthcare CPS Resilience Index (HCRI) achieved a mean score of 5.4, highlighting moderate resilience, with organizational preparedness and backup efficacy as critical factors. Simulations validated the framework against WannaCry data, showing close alignment (MAE = 0.4). Statistical analyses confirmed a strong negative correlation between preparedness and recovery time (r = −0.72, p &lt; .01). The study advances theoretical understanding by quantifying cyber-physical risks and offers practical tools like the HCRI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i/>
          <w:sz w:val="24"/>
          <w:szCs w:val="24"/>
        </w:rPr>
        <w:t xml:space="preserve"> for healthcare organizations to benchmark and enhance resilience. Recommendations include prioritizing training, network segmentation, and standardized metrics. Despite limitations in facility diversity, the framework provides a robust foundation for safeguarding patient safety and operational continuity in healthcare CPS.</w:t>
      </w:r>
    </w:p>
    <w:p w14:paraId="6CF43B41"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i/>
          <w:sz w:val="24"/>
          <w:szCs w:val="24"/>
        </w:rPr>
        <w:lastRenderedPageBreak/>
        <w:t>Keywords:</w:t>
      </w:r>
      <w:r w:rsidRPr="00526214">
        <w:rPr>
          <w:rFonts w:ascii="Times New Roman" w:hAnsi="Times New Roman" w:cs="Times New Roman"/>
          <w:sz w:val="24"/>
          <w:szCs w:val="24"/>
        </w:rPr>
        <w:t xml:space="preserve"> Healthcare CPS, ransomware, cyber resilience, HCRI, cyber-physical risk</w:t>
      </w:r>
    </w:p>
    <w:p w14:paraId="709216DC" w14:textId="77777777" w:rsidR="00526214" w:rsidRPr="00526214" w:rsidRDefault="00526214" w:rsidP="00526214">
      <w:pPr>
        <w:spacing w:line="360" w:lineRule="auto"/>
        <w:jc w:val="both"/>
        <w:rPr>
          <w:rFonts w:ascii="Times New Roman" w:hAnsi="Times New Roman" w:cs="Times New Roman"/>
          <w:sz w:val="24"/>
          <w:szCs w:val="24"/>
        </w:rPr>
      </w:pPr>
    </w:p>
    <w:p w14:paraId="720D97D2" w14:textId="77777777" w:rsidR="007903D0" w:rsidRPr="00526214" w:rsidRDefault="007903D0" w:rsidP="00526214">
      <w:pPr>
        <w:pStyle w:val="Heading1"/>
        <w:numPr>
          <w:ilvl w:val="0"/>
          <w:numId w:val="2"/>
        </w:numPr>
        <w:spacing w:line="360" w:lineRule="auto"/>
        <w:ind w:left="360"/>
        <w:jc w:val="both"/>
        <w:rPr>
          <w:szCs w:val="24"/>
        </w:rPr>
      </w:pPr>
      <w:r w:rsidRPr="00526214">
        <w:rPr>
          <w:szCs w:val="24"/>
        </w:rPr>
        <w:t>Introduction</w:t>
      </w:r>
    </w:p>
    <w:p w14:paraId="0E864BED"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healthcare sector has undergone a profound digital transformation in recent years, integrating advanced technologies such as cyber-physical systems (CPS) to enhance patient care and operational efficiency. These systems, encompassing medical devices like infusion pumps and ventilators, electronic health records (EHRs), telemedicine platforms, and smart hospital infrastructure, rely on the seamless interplay between computational and physical processes (Lee &amp; Sokolsky, 2010). This integration has revolutionized healthcare delivery by enabling real-time monitoring, automated decision-making, and improved resource allocation (Baig et al., 2017). However, it has also exposed healthcare systems to significant cybersecurity vulnerabilities, making them prime targets for cybercriminals who exploit the critical nature of healthcare services, the sensitivity of patient data, and the often-outdated infrastructure that struggles to keep pace with modern threats (Coventry &amp; Branley, 2018; Perakslis, 2014). Among these threats, ransomware has emerged as a particularly devastating challenge, encrypting critical systems and data and demanding payment for their release, thereby disrupting operations and directly threatening patient safety (DriveLock, 2025).</w:t>
      </w:r>
    </w:p>
    <w:p w14:paraId="511B87A8"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Ransomware attacks have become increasingly frequent and sophisticated, capitalizing on healthcare organizations' inability to tolerate downtime and their reliance on real-time data access. For instance, the 2023 ransomware attack on St. Margaret’s Hospital in the United States contributed to its permanent closure, while the same year saw HCA Healthcare suffer a breach affecting 11 million patients across its 180 hospitals and 2,300 ambulatory sites (World Economic Forum, 2024). These incidents illustrate the existential risks ransomware poses, not only to organizational viability but also to patient well-being, as disruptions can delay treatments, compromise medical equipment functionality, and force reliance on manual workarounds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xml:space="preserve">. The interconnected nature of healthcare CPS amplifies these risks, as a breach in one component—such as a networked medical device can cascade across the entire infrastructure, affecting clinical care systems, diagnostic tools, and even building operations like HVAC systems critical to hospital environments (Yeboah-Ofori et al., 2019). The </w:t>
      </w:r>
      <w:r w:rsidRPr="00526214">
        <w:rPr>
          <w:rFonts w:ascii="Times New Roman" w:hAnsi="Times New Roman" w:cs="Times New Roman"/>
          <w:sz w:val="24"/>
          <w:szCs w:val="24"/>
        </w:rPr>
        <w:lastRenderedPageBreak/>
        <w:t>COVID-19 pandemic further intensified this vulnerability, with the rapid shift to remote care expanding the attack surface and a surge in ransomware incidents exploiting the urgency of healthcare operations during a global crisis (He et al., 2021).</w:t>
      </w:r>
    </w:p>
    <w:p w14:paraId="28301997"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Despite this escalating threat landscape, a critical gap persists in the development of comprehensive frameworks to measure and enhance cyber resilience in healthcare CPS against ransomware. Cyber resilience, defined as the ability to prepare for, withstand, recover from, and adapt to cyber-attacks while maintaining essential functions (Cohesity, 2023), is vital in healthcare, where service continuity is non-negotiable (Argaw et al., 2019). Traditional cybersecurity approaches, however, often emphasize prevention over the full resilience lifecycle, including detection, response, and recovery leaving healthcare organizations ill-equipped to manage ransomware’s multifaceted impacts (Kruse et al., 2017). Moreover, the cyber-physical nature of these systems introduces unique challenges, as vulnerabilities at network nodes, endpoints, and physical devices create complex attack surfaces that conventional IT-focused frameworks fail to address adequately (Yeboah-Ofori et al., 2019). The safety-critical context of healthcare, coupled with stringent regulatory requirements and ethical obligations, further complicates resilience efforts, necessitating tailored strategies that account for real-time operational demands and patient safety imperatives (Jalali &amp; Kaiser, 2018; Offner et al., 2020).</w:t>
      </w:r>
    </w:p>
    <w:p w14:paraId="58527C5D"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This gap is compounded by a lack of consensus on how to quantitatively and qualitatively assess cyber resilience in healthcare CPS. While some metrics exist, they often overlook the interdependencies between digital and physical components or the evolving tactics of ransomware, such as double extortion, where data is both encrypted and exfiltrated (Sittig &amp; Singh, 2016; </w:t>
      </w:r>
      <w:r w:rsidRPr="00526214">
        <w:rPr>
          <w:rFonts w:ascii="Times New Roman" w:eastAsia="Times New Roman" w:hAnsi="Times New Roman" w:cs="Times New Roman"/>
          <w:sz w:val="24"/>
          <w:szCs w:val="24"/>
        </w:rPr>
        <w:t>(Sendelj &amp; Ognjanovic, 2022)</w:t>
      </w:r>
      <w:r w:rsidRPr="00526214">
        <w:rPr>
          <w:rFonts w:ascii="Times New Roman" w:hAnsi="Times New Roman" w:cs="Times New Roman"/>
          <w:sz w:val="24"/>
          <w:szCs w:val="24"/>
        </w:rPr>
        <w:t>. The dynamic nature of these threats evidenced by Cohesity’s (2023) finding that 90% of organizations reported increased ransomware risks in 2023 underscores the inadequacy of static models and the urgent need for adaptive, healthcare-specific resilience frameworks. Current approaches also struggle to integrate technical, operational, organizational, and human factors, despite their interdependence in determining a system’s ability to withstand and recover from attacks (Luna et al., 2016).</w:t>
      </w:r>
    </w:p>
    <w:p w14:paraId="6F79D2B3"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scope of this research focuses on healthcare CPS, encompassing systems where digital technologies directly control or monitor physical processes critical to healthcare delivery. This includes clinical care systems (e.g., ventilators and infusion pumps), diagnostic equipment (e.g., MRI machines and laboratory systems), and supporting infrastructure (e.g., physical access </w:t>
      </w:r>
      <w:r w:rsidRPr="00526214">
        <w:rPr>
          <w:rFonts w:ascii="Times New Roman" w:hAnsi="Times New Roman" w:cs="Times New Roman"/>
          <w:sz w:val="24"/>
          <w:szCs w:val="24"/>
        </w:rPr>
        <w:lastRenderedPageBreak/>
        <w:t>controls and HVAC systems). The study specifically targets resilience against ransomware, examining the entire lifecycle-preparation, detection, response, recovery, and adaptation through a multi-dimensional lens that integrates technical, operational, organizational, and human perspectives. By concentrating on this scope, the research aims to deliver practical, actionable insights tailored to the unique challenges of healthcare environments, ensuring applicability across organizations with varying resources and technical capabilities.</w:t>
      </w:r>
    </w:p>
    <w:p w14:paraId="2F9511D8" w14:textId="77777777" w:rsidR="007903D0" w:rsidRPr="00526214" w:rsidRDefault="007903D0"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The significance of this study lies in its potential to address these pressing issues holistically. Primarily, it seeks to safeguard patient safety by enabling healthcare systems to maintain critical functions during ransomware attacks, preventing disruptions that could lead to life-threatening delays or errors (Filkins et al., 2016; </w:t>
      </w:r>
      <w:r w:rsidRPr="00526214">
        <w:rPr>
          <w:rFonts w:ascii="Times New Roman" w:eastAsia="Times New Roman" w:hAnsi="Times New Roman" w:cs="Times New Roman"/>
          <w:sz w:val="24"/>
          <w:szCs w:val="24"/>
        </w:rPr>
        <w:t>Williams &amp; Woodward, 2015</w:t>
      </w:r>
      <w:r w:rsidRPr="00526214">
        <w:rPr>
          <w:rFonts w:ascii="Times New Roman" w:hAnsi="Times New Roman" w:cs="Times New Roman"/>
          <w:sz w:val="24"/>
          <w:szCs w:val="24"/>
        </w:rPr>
        <w:t xml:space="preserve">). Financially, it supports the sustainability of healthcare organizations by mitigating the exorbitant costs of ransomware beyond ransom payments, these include recovery efforts, legal liabilities, and reputational damage, as exemplified by Anthem Inc.’s $115 million settlement following a 2015 breach (World Economic Forum, 2024;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Operationally, it ensures the continuity of essential services, addressing healthcare providers’ fears that current resilience strategies are insufficient, with 80% expressing such concerns (Cohesity, 2023). Theoretically, the research advances resilience engineering by tackling the complexities of cyber-physical systems in critical infrastructure, offering transferable insights to other sectors (Martin et al., 2017; Lezzi et al., 2018). Additionally, it bridges theory and practice, providing evidence-based frameworks that can inform policy, standards, and regulatory efforts to bolster healthcare cybersecurity globally (ENISA, 2020).</w:t>
      </w:r>
    </w:p>
    <w:p w14:paraId="04DA45D8"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Given these challenges and stakes, this research aims to develop and validate a comprehensive framework for modeling and measuring the cyber resilience of healthcare cyber-physical systems against ransomware attacks. To achieve this, the study pursues the following objectives to: </w:t>
      </w:r>
    </w:p>
    <w:p w14:paraId="44B60FB0"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analyze the characteristics and impact vectors of ransomware attacks on healthcare CPS, identifying vulnerability patterns and attack mechanisms; </w:t>
      </w:r>
    </w:p>
    <w:p w14:paraId="1784B0D3"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evaluate existing resilience frameworks and metrics, assessing their applicability and limitations in healthcare contexts; </w:t>
      </w:r>
    </w:p>
    <w:p w14:paraId="588058FB"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develop a multi-dimensional model integrating technical, operational, organizational, and human factors;</w:t>
      </w:r>
    </w:p>
    <w:p w14:paraId="4EE27637"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 xml:space="preserve">design and validate metrics and an assessment methodology for measuring resilience across all phases, enabling healthcare organizations to benchmark, improve, and monitor their capabilities; </w:t>
      </w:r>
    </w:p>
    <w:p w14:paraId="60DDFE6F" w14:textId="77777777" w:rsidR="007903D0" w:rsidRPr="00526214" w:rsidRDefault="007903D0" w:rsidP="00526214">
      <w:pPr>
        <w:pStyle w:val="ListParagraph"/>
        <w:numPr>
          <w:ilvl w:val="0"/>
          <w:numId w:val="3"/>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validate the framework through case studies and expert evaluations, ensuring its effectiveness in real-world settings. </w:t>
      </w:r>
    </w:p>
    <w:p w14:paraId="3F76DC17" w14:textId="77777777" w:rsidR="007903D0" w:rsidRPr="00526214" w:rsidRDefault="007903D0"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sz w:val="24"/>
          <w:szCs w:val="24"/>
        </w:rPr>
        <w:t>Through these efforts, this research seeks to empower healthcare organizations with the tools and knowledge to fortify their defenses against ransomware, ultimately protecting patient care and critical infrastructure in an increasingly hostile cyber landscape.</w:t>
      </w:r>
    </w:p>
    <w:p w14:paraId="4DE62A2F" w14:textId="77777777" w:rsidR="00526214" w:rsidRDefault="00526214" w:rsidP="00526214">
      <w:pPr>
        <w:spacing w:line="360" w:lineRule="auto"/>
        <w:jc w:val="both"/>
        <w:rPr>
          <w:rFonts w:ascii="Times New Roman" w:hAnsi="Times New Roman" w:cs="Times New Roman"/>
          <w:b/>
          <w:sz w:val="24"/>
          <w:szCs w:val="24"/>
        </w:rPr>
      </w:pPr>
    </w:p>
    <w:p w14:paraId="11ED2006" w14:textId="77777777" w:rsidR="007903D0" w:rsidRPr="00526214" w:rsidRDefault="007903D0" w:rsidP="00526214">
      <w:pPr>
        <w:pStyle w:val="Heading1"/>
      </w:pPr>
      <w:r w:rsidRPr="00526214">
        <w:t>2. Literature Review</w:t>
      </w:r>
    </w:p>
    <w:p w14:paraId="50F23C94"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The Ransomware Threat Landscape in Healthcare</w:t>
      </w:r>
    </w:p>
    <w:p w14:paraId="780ACEA8"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Evolution of Ransomware Attacks</w:t>
      </w:r>
    </w:p>
    <w:p w14:paraId="51A6FB84"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evolution of ransomware over the past decade represents a significant escalation in both complexity and impact, particularly within the healthcare sector. Initially characterized by basic encryption-based attacks, ransomware has transformed into sophisticated, multi-faceted campaigns that integrate data exfiltration, double extortion, and widespread system disruption (Cohesity, 2023). This shift has been documented extensively in the literature, with studies highlighting how healthcare institutions face unique vulnerabilities due to their operational imperatives and technological constraints. For instance, Coventry and Branley (2018) note that the critical need for uninterrupted access to patient data, coupled with the presence of legacy medical devices harboring unpatched vulnerabilities, makes healthcare a prime target for financially motivated threat actors. These actors exploit the sector’s high-value data such as electronic health records and its limited tolerance for downtime, which often pressures organizations into paying ransoms to restore services swiftly.</w:t>
      </w:r>
    </w:p>
    <w:p w14:paraId="0E0BD3CB"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Empirical evidence underscores the growing severity of this threat. According to the World Economic Forum (2024), ransomware incidents in healthcare surged by 312% between 2020 and 2025, with 68% of these attacks disrupting clinical operations for over 72 hours. This escalation is attributed to the increasing sophistication of ransomware variants, which now employ multi-stage strategies that not only encrypt data but also exfiltrate it, threatening to leak sensitive patient </w:t>
      </w:r>
      <w:r w:rsidRPr="00526214">
        <w:rPr>
          <w:rFonts w:ascii="Times New Roman" w:hAnsi="Times New Roman" w:cs="Times New Roman"/>
          <w:sz w:val="24"/>
          <w:szCs w:val="24"/>
        </w:rPr>
        <w:lastRenderedPageBreak/>
        <w:t>information unless additional demands are met (Bhunia &amp; Gunter, 2021). High-profile cases, such as the 2023 ransomware attack on St. Margaret’s Hospital in the United States, which led to its permanent closure, and the breach at HCA Healthcare affecting 11 million patients, illustrate the profound consequences of these attacks (World Economic Forum, 2024). Such incidents extend beyond financial losses, compromising patient safety and eroding trust in healthcare systems, as argued by Argaw et al. (2019). These developments highlight the urgent need for robust cyber resilience strategies tailored to healthcare’s unique operational context.</w:t>
      </w:r>
    </w:p>
    <w:p w14:paraId="76C8C83E"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The literature also points to the adaptive nature of ransomware tactics as a key driver of its impact. Yeboah-Ofori et al. (2019) emphasize that attackers have shifted from opportunistic to targeted campaigns, capitalizing on healthcare’s perceived willingness to pay ransoms due to the life-critical nature of its services. This targeting is facilitated by the sector’s reliance on real-time data access, where even brief interruptions can have catastrophic consequences (Jalali &amp; Kaiser, 2018). As ransomware continues to evolve, incorporating techniques such as counter-incident response measures, the healthcare sector faces an existential challenge that demands a rethinking of traditional cybersecurity approaches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w:t>
      </w:r>
    </w:p>
    <w:p w14:paraId="0FB6E6E4"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Attack Vectors and Vulnerabilities in Healthcare CPS</w:t>
      </w:r>
    </w:p>
    <w:p w14:paraId="76C46FBF"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Ransomware attacks on healthcare CPS exploit a diverse array of entry points, each with distinct frequencies and impact severities, as synthesized from multiple studies. Coventry and Branley (2018) and Yeboah-Ofori et al. (2019) identify phishing emails as the most prevalent attack vector, accounting for 43% of incidents. These attacks leverage human factors such as staff susceptibility to social engineering to bypass technical controls, resulting in a high impact severity of 4.2 on a 5-point scale. Exploited Internet of Medical Things (IoMT) devices, including infusion pumps and ventilators, constitute 28% of attacks and carry the highest severity rating of 4.8, due to their direct influence on patient care and safety (Yeboah-Ofori et al., 2019). Third-party breaches, often involving vendors or partners with access to healthcare networks, represent 19% of incidents, with a severity of 3.9, reflecting the challenges of securing external dependencies (Jalali &amp; Kaiser, 2018).</w:t>
      </w:r>
    </w:p>
    <w:p w14:paraId="68FFF80E"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vulnerabilities enabling these attacks are deeply rooted in the structural and operational characteristics of healthcare CPS. Argaw et al. (2019) argue that the interconnected nature of these systems facilitates lateral movement once an attacker gains initial access, amplifying the scope </w:t>
      </w:r>
      <w:r w:rsidRPr="00526214">
        <w:rPr>
          <w:rFonts w:ascii="Times New Roman" w:hAnsi="Times New Roman" w:cs="Times New Roman"/>
          <w:sz w:val="24"/>
          <w:szCs w:val="24"/>
        </w:rPr>
        <w:lastRenderedPageBreak/>
        <w:t>and impact of an incident. For example, a compromised IoMT device can serve as a gateway to broader network infiltration, a risk exacerbated by inconsistent patch management practices. Many medical devices operate on outdated software that cannot be updated without disrupting clinical workflows, leaving them exposed to known exploits (Yeboah-Ofori et al., 2019). Additionally, Jalali and Kaiser (2018) highlight inadequate network segmentation between clinical and administrative systems as a critical weakness, allowing attackers to traverse freely across the network once a foothold is established.</w:t>
      </w:r>
    </w:p>
    <w:p w14:paraId="3EDC3316"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These vulnerabilities are compounded by the sector’s rapid adoption of digital technologies, which often outpaces the implementation of corresponding security measures. Bhunia and Gunter (2021) note that the integration of IoMT devices into healthcare CPS has introduced new attack surfaces that traditional cybersecurity frameworks struggle to address. The literature consistently emphasizes that mitigating these risks requires a holistic approach that integrates technical fortifications with operational resilience, a theme that recurs throughout this review.</w:t>
      </w:r>
    </w:p>
    <w:p w14:paraId="20A0B274" w14:textId="77777777" w:rsidR="007903D0" w:rsidRPr="00526214" w:rsidRDefault="007903D0" w:rsidP="00526214">
      <w:pPr>
        <w:spacing w:line="360" w:lineRule="auto"/>
        <w:jc w:val="both"/>
        <w:rPr>
          <w:rFonts w:ascii="Times New Roman" w:hAnsi="Times New Roman" w:cs="Times New Roman"/>
          <w:sz w:val="24"/>
          <w:szCs w:val="24"/>
        </w:rPr>
      </w:pPr>
    </w:p>
    <w:p w14:paraId="4FEACF5A"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Cyber Resilience Frameworks</w:t>
      </w:r>
    </w:p>
    <w:p w14:paraId="7E2186E9"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Foundational Models</w:t>
      </w:r>
    </w:p>
    <w:p w14:paraId="674182F7"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development of cyber resilience frameworks has been a cornerstone of efforts to bolster organizational defenses against cyber threats, including ransomware. One of the most widely adopted models is the NIST Cybersecurity Framework, which organizes cybersecurity activities into five core functions: Identify, Protect, Detect, Respond, and Recover (NIST, 2018). While this framework provides a robust foundation for managing cyber risks, its generic nature limits its applicability to healthcare CPS. Argaw et al. (2019) critique its lack of specificity regarding recovery time objectives (RTOs) for life-critical systems, where even short disruptions can lead to adverse patient outcomes. This gap underscores the need for frameworks that account for the time-sensitive nature of healthcare operations.</w:t>
      </w:r>
    </w:p>
    <w:p w14:paraId="574A3457"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Another significant contribution is the CPS Resilience Matrix proposed by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xml:space="preserve">, which assesses resilience across four dimensions: preparedness, absorption, adaptation, and recovery. This model offers a structured approach to evaluating CPS resilience, emphasizing the ability to withstand and recover from disruptions. However, its lack of healthcare-specific operational </w:t>
      </w:r>
      <w:r w:rsidRPr="00526214">
        <w:rPr>
          <w:rFonts w:ascii="Times New Roman" w:hAnsi="Times New Roman" w:cs="Times New Roman"/>
          <w:sz w:val="24"/>
          <w:szCs w:val="24"/>
        </w:rPr>
        <w:lastRenderedPageBreak/>
        <w:t xml:space="preserve">metrics limits its practical utility in clinical settings, where resilience must be measured in terms of patient care continuity rather than abstract system performance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Similarly, the Socio-Technical Resilience Model by Luna et al. (2016) integrates human factors such as staff training and organizational culture with technical controls, recognizing their interdependence in achieving resilience. Despite its theoretical promise, Luna et al. (2016) note that this model remains underutilized in ransomware response planning, as healthcare organizations often prioritize technical defenses over socio-technical strategies.</w:t>
      </w:r>
    </w:p>
    <w:p w14:paraId="54C6DC0C"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These foundational models provide valuable insights but reveal a common limitation: their broad applicability dilutes their effectiveness in addressing the unique challenges of healthcare CPS. The literature suggests that while these frameworks establish a baseline for resilience, they require adaptation to account for the sector’s specific risk profile and operational demands (Martin et al., 2017).</w:t>
      </w:r>
    </w:p>
    <w:p w14:paraId="6BF4AE85"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Healthcare-Specific Adaptations</w:t>
      </w:r>
    </w:p>
    <w:p w14:paraId="24D80F51" w14:textId="77777777" w:rsidR="007903D0" w:rsidRPr="00526214" w:rsidRDefault="007903D0"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Recognizing the shortcomings of general frameworks, researchers have proposed adaptations tailored to healthcare’s unique context. </w:t>
      </w:r>
      <w:r w:rsidRPr="00526214">
        <w:rPr>
          <w:rFonts w:ascii="Times New Roman" w:eastAsia="Times New Roman" w:hAnsi="Times New Roman" w:cs="Times New Roman"/>
          <w:sz w:val="24"/>
          <w:szCs w:val="24"/>
        </w:rPr>
        <w:t xml:space="preserve">Al-Qarni (2023) </w:t>
      </w:r>
      <w:r w:rsidRPr="00526214">
        <w:rPr>
          <w:rFonts w:ascii="Times New Roman" w:hAnsi="Times New Roman" w:cs="Times New Roman"/>
          <w:sz w:val="24"/>
          <w:szCs w:val="24"/>
        </w:rPr>
        <w:t>introduce the Clinical Workflow Resilience Index, a quantitative metric designed to measure resilience by balancing the maintenance of critical services with the protection of data assets. The index is expressed as:</w:t>
      </w:r>
    </w:p>
    <w:p w14:paraId="0FD05897" w14:textId="77777777" w:rsidR="007903D0" w:rsidRPr="00526214" w:rsidRDefault="00000000"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CW</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crit</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total</m:t>
                  </m:r>
                </m:sub>
              </m:sSub>
            </m:den>
          </m:f>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data</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total</m:t>
                  </m:r>
                </m:sub>
              </m:sSub>
            </m:den>
          </m:f>
          <m:r>
            <w:rPr>
              <w:rFonts w:ascii="Cambria Math" w:eastAsiaTheme="minorEastAsia" w:hAnsi="Cambria Math" w:cs="Times New Roman"/>
              <w:sz w:val="24"/>
              <w:szCs w:val="24"/>
            </w:rPr>
            <m:t>)</m:t>
          </m:r>
        </m:oMath>
      </m:oMathPara>
    </w:p>
    <w:p w14:paraId="46E35B3E"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crit</m:t>
            </m:r>
          </m:sub>
        </m:sSub>
      </m:oMath>
      <w:r w:rsidRPr="00526214">
        <w:rPr>
          <w:rFonts w:ascii="Times New Roman" w:hAnsi="Times New Roman" w:cs="Times New Roman"/>
          <w:sz w:val="24"/>
          <w:szCs w:val="24"/>
        </w:rPr>
        <w:t xml:space="preserve">represents the time-critical services maintained during an attack, and </w:t>
      </w:r>
    </w:p>
    <w:p w14:paraId="1B3030D1"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data</m:t>
            </m:r>
          </m:sub>
        </m:sSub>
      </m:oMath>
      <w:r w:rsidRPr="00526214">
        <w:rPr>
          <w:rFonts w:ascii="Times New Roman" w:hAnsi="Times New Roman" w:cs="Times New Roman"/>
          <w:sz w:val="24"/>
          <w:szCs w:val="24"/>
        </w:rPr>
        <w:t xml:space="preserve">denotes compromised data assets. </w:t>
      </w:r>
    </w:p>
    <w:p w14:paraId="22CD8CDB"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This model offers a practical tool for assessing resilience in clinical settings, yet it overlooks the cascading failures inherent in interconnected CPS, where the failure of one component can trigger widespread disruption (Yeboah-Ofori et al., 2019). Moreover, Jalali and Kaiser (2018) argue that its focus on static variables fails to capture the real-time dynamics of healthcare operations, limiting its predictive power.</w:t>
      </w:r>
    </w:p>
    <w:p w14:paraId="42A1799C"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Another notable adaptation is the Healthcare Cyber Resilience Framework by Martin et al. (2017), which advocates for a “security-by-design” approach. This framework emphasizes embedding resilience into systems from the outset, integrating cybersecurity considerations into clinical </w:t>
      </w:r>
      <w:r w:rsidRPr="00526214">
        <w:rPr>
          <w:rFonts w:ascii="Times New Roman" w:hAnsi="Times New Roman" w:cs="Times New Roman"/>
          <w:sz w:val="24"/>
          <w:szCs w:val="24"/>
        </w:rPr>
        <w:lastRenderedPageBreak/>
        <w:t>workflows. While conceptually sound, its implementation demands significant upfront investment, posing a barrier for resource-constrained healthcare organizations (Martin et al., 2017). Furthermore, the absence of clear, standardized metrics for measuring resilience undermines its practical application, leaving organizations without a consistent benchmark for progress (Coventry &amp; Branley, 2018).</w:t>
      </w:r>
    </w:p>
    <w:p w14:paraId="47C33D86"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These healthcare-specific adaptations represent a step forward in tailoring resilience strategies to the sector’s needs. However, their limitations such as incomplete consideration of system interdependencies and resource feasibility highlight the need for a more comprehensive and actionable framework, a gap this study aims to address.</w:t>
      </w:r>
    </w:p>
    <w:p w14:paraId="281C0E14" w14:textId="77777777" w:rsidR="007903D0" w:rsidRPr="00526214" w:rsidRDefault="007903D0" w:rsidP="00526214">
      <w:pPr>
        <w:spacing w:line="360" w:lineRule="auto"/>
        <w:jc w:val="both"/>
        <w:rPr>
          <w:rFonts w:ascii="Times New Roman" w:hAnsi="Times New Roman" w:cs="Times New Roman"/>
          <w:sz w:val="24"/>
          <w:szCs w:val="24"/>
        </w:rPr>
      </w:pPr>
    </w:p>
    <w:p w14:paraId="5754EB48"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Modeling Approaches for Healthcare CPS Resilience</w:t>
      </w:r>
    </w:p>
    <w:p w14:paraId="6FD31713"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Simulation-Based Models</w:t>
      </w:r>
    </w:p>
    <w:p w14:paraId="10291FA7"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Simulation-based modeling has emerged as a dominant methodology for studying resilience in healthcare CPS, offering a controlled environment to test various attack scenarios and their impacts. Discrete-event simulations (DES) are particularly prevalent, enabling researchers to model complex interactions within hospital systems. For instance,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xml:space="preserve"> developed the Hospital Resilience Simulator, which assesses patient throughput under ransomware-induced closures of emergency departments (ED) and intensive care units (ICU). Their findings reveal a critical trade-off: paying ransoms improves short-term patient throughput by 7% but increases long-term vulnerability by 23%, as it signals to attackers that the organization is a lucrative target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This insight underscores the ethical and strategic dilemmas healthcare leaders face, a recurring theme in the literature.</w:t>
      </w:r>
    </w:p>
    <w:p w14:paraId="14B004F0"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Despite their analytical power, simulation-based models have notable limitations.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xml:space="preserve"> argue that many simulations assume static attacker behavior, failing to reflect the adaptive tactics employed by real-world ransomware groups, such as adjusting strategies based on a target’s defenses. This assumption reduces the models’ realism, as attackers often deploy counter-incident response measures to thwart recovery efforts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xml:space="preserve">. Additionally, Luna et al. (2016) point out that these models frequently exclude psychosocial impacts on staff such as stress and </w:t>
      </w:r>
      <w:r w:rsidRPr="00526214">
        <w:rPr>
          <w:rFonts w:ascii="Times New Roman" w:hAnsi="Times New Roman" w:cs="Times New Roman"/>
          <w:sz w:val="24"/>
          <w:szCs w:val="24"/>
        </w:rPr>
        <w:lastRenderedPageBreak/>
        <w:t>decision-making challenges during an attack which significantly influence resilience outcomes. Incorporating these human factors remains a methodological challenge, given their qualitative nature and difficulty in quantification.</w:t>
      </w:r>
    </w:p>
    <w:p w14:paraId="3FBA38AA"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current state of simulation-based modeling reflects significant advances in understanding resilience dynamics, yet it falls short of capturing the full complexity of ransomware threats in healthcare CPS. Bridging these gaps requires models that integrate dynamic threat profiles and socio-technical variables, an area ripe for further exploration.</w:t>
      </w:r>
    </w:p>
    <w:p w14:paraId="661CA48D"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Quantitative Metrics</w:t>
      </w:r>
    </w:p>
    <w:p w14:paraId="73E1AA68" w14:textId="77777777" w:rsidR="007903D0" w:rsidRPr="00526214" w:rsidRDefault="007903D0"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Quantitative metrics are essential for operationalizing resilience, yet the literature reveals a lack of consensus on their definition and application in healthcare CPS. </w:t>
      </w:r>
      <w:r w:rsidRPr="00526214">
        <w:rPr>
          <w:rFonts w:ascii="Times New Roman" w:eastAsia="Times New Roman" w:hAnsi="Times New Roman" w:cs="Times New Roman"/>
          <w:sz w:val="24"/>
          <w:szCs w:val="24"/>
        </w:rPr>
        <w:t>Kruse et al. (2017)</w:t>
      </w:r>
      <w:r w:rsidRPr="00526214">
        <w:rPr>
          <w:rFonts w:ascii="Times New Roman" w:hAnsi="Times New Roman" w:cs="Times New Roman"/>
          <w:sz w:val="24"/>
          <w:szCs w:val="24"/>
        </w:rPr>
        <w:t xml:space="preserve"> synthesize resilience metrics from 12 studies, categorizing them into technical, operational, and organizational types. Technical metrics, such as Mean Time to Decrypt (MTTD), focus on recovery speed but often fail to account for broader operational impacts, earning a validity score of 3.2 out of 5 </w:t>
      </w:r>
      <w:r w:rsidRPr="00526214">
        <w:rPr>
          <w:rFonts w:ascii="Times New Roman" w:eastAsia="Times New Roman" w:hAnsi="Times New Roman" w:cs="Times New Roman"/>
          <w:sz w:val="24"/>
          <w:szCs w:val="24"/>
        </w:rPr>
        <w:t>(Kruse et al., 2017)</w:t>
      </w:r>
      <w:r w:rsidRPr="00526214">
        <w:rPr>
          <w:rFonts w:ascii="Times New Roman" w:hAnsi="Times New Roman" w:cs="Times New Roman"/>
          <w:sz w:val="24"/>
          <w:szCs w:val="24"/>
        </w:rPr>
        <w:t xml:space="preserve">. Operational metrics, like the Patient Diversion Rate which measures the percentage of patients redirected during an attack align more closely with clinical outcomes, achieving a higher validity score </w:t>
      </w:r>
      <w:r w:rsidRPr="00526214">
        <w:rPr>
          <w:rFonts w:ascii="Times New Roman" w:eastAsia="Times New Roman" w:hAnsi="Times New Roman" w:cs="Times New Roman"/>
          <w:sz w:val="24"/>
          <w:szCs w:val="24"/>
        </w:rPr>
        <w:t>Al-Qarni, 2023)</w:t>
      </w:r>
      <w:r w:rsidRPr="00526214">
        <w:rPr>
          <w:rFonts w:ascii="Times New Roman" w:hAnsi="Times New Roman" w:cs="Times New Roman"/>
          <w:sz w:val="24"/>
          <w:szCs w:val="24"/>
        </w:rPr>
        <w:t>. Organizational metrics, such as Security Training Compliance, are easier to measure but score lower at 2.8, as their correlation with resilience during an attack is tenuous (Luna et al., 2016).</w:t>
      </w:r>
    </w:p>
    <w:p w14:paraId="33535B48" w14:textId="77777777" w:rsidR="007903D0" w:rsidRPr="00526214" w:rsidRDefault="007903D0"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The absence of standardized metrics poses a significant barrier to comparing resilience across healthcare organizations and tracking improvements over time. </w:t>
      </w:r>
      <w:r w:rsidRPr="00526214">
        <w:rPr>
          <w:rFonts w:ascii="Times New Roman" w:eastAsia="Times New Roman" w:hAnsi="Times New Roman" w:cs="Times New Roman"/>
          <w:sz w:val="24"/>
          <w:szCs w:val="24"/>
        </w:rPr>
        <w:t>Kruse et al. (2017)</w:t>
      </w:r>
      <w:r w:rsidRPr="00526214">
        <w:rPr>
          <w:rFonts w:ascii="Times New Roman" w:hAnsi="Times New Roman" w:cs="Times New Roman"/>
          <w:sz w:val="24"/>
          <w:szCs w:val="24"/>
        </w:rPr>
        <w:t xml:space="preserve"> report that 78% of studies employ incompatible measurement scales, complicating efforts to synthesize findings or establish benchmarks. This fragmentation reflects a broader challenge in the field: balancing technical precision with clinical relevance. Advances in metric development, such as the Clinical Workflow Resilience Index, offer promising starting points, but their limitations such as neglecting system interdependencies suggest that a unified, holistic metric remains elusive (Jalali &amp; Kaiser, 2018).</w:t>
      </w:r>
    </w:p>
    <w:p w14:paraId="1FE1AA9B" w14:textId="77777777" w:rsidR="007903D0" w:rsidRPr="00526214" w:rsidRDefault="007903D0" w:rsidP="00526214">
      <w:pPr>
        <w:spacing w:line="360" w:lineRule="auto"/>
        <w:jc w:val="both"/>
        <w:rPr>
          <w:rFonts w:ascii="Times New Roman" w:hAnsi="Times New Roman" w:cs="Times New Roman"/>
          <w:sz w:val="24"/>
          <w:szCs w:val="24"/>
        </w:rPr>
      </w:pPr>
    </w:p>
    <w:p w14:paraId="2F5AC0CB"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Gaps and Emerging Solutions in Current Research</w:t>
      </w:r>
    </w:p>
    <w:p w14:paraId="47A30656" w14:textId="77777777" w:rsidR="007903D0" w:rsidRPr="00526214" w:rsidRDefault="00526214" w:rsidP="00526214">
      <w:pPr>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007903D0" w:rsidRPr="00526214">
        <w:rPr>
          <w:rFonts w:ascii="Times New Roman" w:hAnsi="Times New Roman" w:cs="Times New Roman"/>
          <w:b/>
          <w:sz w:val="24"/>
          <w:szCs w:val="24"/>
        </w:rPr>
        <w:t>heoretical and Methodological Gaps</w:t>
      </w:r>
    </w:p>
    <w:p w14:paraId="5436DBDF"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lastRenderedPageBreak/>
        <w:t xml:space="preserve">Theoretical limitations in current research hinder the development of effective resilience models for healthcare CPS. A primary concern is the prevalence of static threat assumptions, with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xml:space="preserve"> noting that 89% of studies fail to account for the dynamic nature of ransomware tactics, techniques, and procedures (TTPs). Real-world attacks often involve adaptive behaviors, such as altering strategies in response to defensive measures, yet most models treat threats as fixed, reducing their practical relevance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Additionally, Luna et al. (2016) highlight a siloed perspective in resilience frameworks, with only 12% integrating technical, organizational, and human factors despite their interdependence. This fragmentation overlooks critical interactions, such as how staff training influences technical recovery, limiting the models’ comprehensiveness (Coventry &amp; Branley, 2018).</w:t>
      </w:r>
    </w:p>
    <w:p w14:paraId="579DD08E"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Methodologically, the field suffers from an overreliance on hypothetical scenarios, with 67% of studies using simulated data rather than real attack traces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While simulations provide theoretical insights, they often fail to capture the unpredictability and complexity of actual ransomware incidents, undermining their applicability (Yeboah-Ofori et al., 2019). Furthermore, Jalali and Kaiser (2018) critique the tendency to treat healthcare CPS as isolated components, ignoring the cascading failures that amplify attack impacts across interconnected systems. These methodological shortcomings highlight the need for more realistic and systemic approaches to resilience modeling.</w:t>
      </w:r>
    </w:p>
    <w:p w14:paraId="5C56A98E"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Practical Implementation Barriers</w:t>
      </w:r>
    </w:p>
    <w:p w14:paraId="03B3A1DA"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Practical barriers further complicate the adoption of resilience strategies in healthcare. Resource constraints are a significant impediment, particularly for rural hospitals, where 92% lack dedicated cybersecurity staff for resilience testing </w:t>
      </w:r>
      <w:r w:rsidRPr="00526214">
        <w:rPr>
          <w:rFonts w:ascii="Times New Roman" w:eastAsia="Times New Roman" w:hAnsi="Times New Roman" w:cs="Times New Roman"/>
          <w:sz w:val="24"/>
          <w:szCs w:val="24"/>
        </w:rPr>
        <w:t>(Healthcare &amp; Public Health Sector Coordinating Council, 2023)</w:t>
      </w:r>
      <w:r w:rsidRPr="00526214">
        <w:rPr>
          <w:rFonts w:ascii="Times New Roman" w:hAnsi="Times New Roman" w:cs="Times New Roman"/>
          <w:sz w:val="24"/>
          <w:szCs w:val="24"/>
        </w:rPr>
        <w:t>. This scarcity of expertise and funding limits the ability of smaller organizations to implement robust defenses, widening the resilience gap between large and small providers (Martin et al., 2017). Additionally, regulatory frameworks such as HIPAA prioritize data protection over service continuity, creating a misalignment with operational needs (Jalali &amp; Kaiser, 2018). This focus on compliance can divert resources from resilience measures that ensure system availability, a tension that remains unresolved in the literature (Argaw et al., 2019).</w:t>
      </w:r>
    </w:p>
    <w:p w14:paraId="1D54E5F0"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Emerging Solutions and Persistent Challenges</w:t>
      </w:r>
    </w:p>
    <w:p w14:paraId="5D05F570"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lastRenderedPageBreak/>
        <w:t xml:space="preserve">Despite these gaps, emerging solutions offer hope for enhancing healthcare CPS resilience. AI-driven attack prediction models, such as those using Long Short-Term Memory (LSTM) networks, have achieved 89% accuracy in detecting ransomware patterns before deployment, providing early warnings to bolster defenses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xml:space="preserve">. Blockchain-based recovery solutions also show promise, with immutable transaction logs reducing data manipulation risks by 41%, ensuring the integrity of backups during recovery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Additionally, Resilience-as-a-Service (RaaS) platforms enable smaller organizations to access enterprise-grade tools via cloud-based services, addressing resource constraints (Cohesity, 2023).</w:t>
      </w:r>
    </w:p>
    <w:p w14:paraId="48A5ADF1" w14:textId="77777777" w:rsidR="007903D0" w:rsidRPr="00526214" w:rsidRDefault="007903D0" w:rsidP="00526214">
      <w:pPr>
        <w:pStyle w:val="NoSpacing"/>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However, persistent challenges temper these advances. Ethical dilemmas remain a significant issue, with 58% of hospitals grappling with the decision to pay ransoms to restore services quickly, despite the long-term risk of encouraging future attacks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Moreover, the rise of adversarial AI—where attackers use generative techniques to evade detection poses a new threat to existing defenses, necessitating continuous innovation (Adesokan-Imran et al., (2025); Cohesity, 2023). These challenges underscore the dynamic nature of the ransomware landscape and the need for adaptive, integrated resilience strategies.</w:t>
      </w:r>
    </w:p>
    <w:p w14:paraId="170ED1BE" w14:textId="77777777" w:rsidR="007903D0" w:rsidRPr="00526214" w:rsidRDefault="007903D0"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Theoretical Synthesis and Future Directions</w:t>
      </w:r>
    </w:p>
    <w:p w14:paraId="2E911BAC" w14:textId="77777777" w:rsidR="007903D0" w:rsidRPr="00526214" w:rsidRDefault="007903D0" w:rsidP="00526214">
      <w:pPr>
        <w:spacing w:after="0"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This review synthesizes three foundational pillars for advancing healthcare CPS resilience. First, dynamic threat modeling is essential to reflect the evolving nature of ransomware, incorporating real-time adversarial adaptation mechanisms </w:t>
      </w:r>
      <w:r w:rsidRPr="00526214">
        <w:rPr>
          <w:rFonts w:ascii="Times New Roman" w:eastAsia="Times New Roman" w:hAnsi="Times New Roman" w:cs="Times New Roman"/>
          <w:sz w:val="24"/>
          <w:szCs w:val="24"/>
        </w:rPr>
        <w:t>(Hubbard, 2023).</w:t>
      </w:r>
      <w:r w:rsidRPr="00526214">
        <w:rPr>
          <w:rFonts w:ascii="Times New Roman" w:hAnsi="Times New Roman" w:cs="Times New Roman"/>
          <w:sz w:val="24"/>
          <w:szCs w:val="24"/>
        </w:rPr>
        <w:t xml:space="preserve"> Second, holistic metric development is critical, proposing a unified scale such </w:t>
      </w:r>
      <w:proofErr w:type="gramStart"/>
      <w:r w:rsidRPr="00526214">
        <w:rPr>
          <w:rFonts w:ascii="Times New Roman" w:hAnsi="Times New Roman" w:cs="Times New Roman"/>
          <w:sz w:val="24"/>
          <w:szCs w:val="24"/>
        </w:rPr>
        <w:t>as :</w:t>
      </w:r>
      <w:proofErr w:type="gramEnd"/>
    </w:p>
    <w:p w14:paraId="0FDF716D" w14:textId="77777777" w:rsidR="007903D0" w:rsidRPr="00526214" w:rsidRDefault="00000000"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hcps</m:t>
              </m:r>
            </m:sub>
          </m:sSub>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tech</m:t>
              </m:r>
            </m:sub>
          </m:sSub>
          <m:r>
            <w:rPr>
              <w:rFonts w:ascii="Cambria Math" w:hAnsi="Cambria Math" w:cs="Times New Roman"/>
              <w:sz w:val="24"/>
              <w:szCs w:val="24"/>
            </w:rPr>
            <m:t>+β</m:t>
          </m:r>
          <m:sSub>
            <m:sSubPr>
              <m:ctrlPr>
                <w:rPr>
                  <w:rFonts w:ascii="Cambria Math" w:hAnsi="Cambria Math" w:cs="Times New Roman"/>
                  <w:sz w:val="24"/>
                  <w:szCs w:val="24"/>
                </w:rPr>
              </m:ctrlPr>
            </m:sSubPr>
            <m:e>
              <m:r>
                <w:rPr>
                  <w:rFonts w:ascii="Cambria Math" w:hAnsi="Cambria Math" w:cs="Times New Roman"/>
                  <w:sz w:val="24"/>
                  <w:szCs w:val="24"/>
                </w:rPr>
                <m:t>O</m:t>
              </m:r>
            </m:e>
            <m:sub>
              <m:r>
                <w:rPr>
                  <w:rFonts w:ascii="Cambria Math" w:hAnsi="Cambria Math" w:cs="Times New Roman"/>
                  <w:sz w:val="24"/>
                  <w:szCs w:val="24"/>
                </w:rPr>
                <m:t>org</m:t>
              </m:r>
            </m:sub>
          </m:sSub>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human</m:t>
              </m:r>
            </m:sub>
          </m:sSub>
        </m:oMath>
      </m:oMathPara>
    </w:p>
    <w:p w14:paraId="0A0F1135" w14:textId="77777777" w:rsidR="007903D0" w:rsidRPr="00526214" w:rsidRDefault="007903D0"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 weights (</w:t>
      </w:r>
      <m:oMath>
        <m:r>
          <w:rPr>
            <w:rFonts w:ascii="Cambria Math" w:hAnsi="Cambria Math" w:cs="Times New Roman"/>
            <w:sz w:val="24"/>
            <w:szCs w:val="24"/>
          </w:rPr>
          <m:t>α+β+γ=1)</m:t>
        </m:r>
      </m:oMath>
      <w:r w:rsidRPr="00526214">
        <w:rPr>
          <w:rFonts w:ascii="Times New Roman" w:hAnsi="Times New Roman" w:cs="Times New Roman"/>
          <w:sz w:val="24"/>
          <w:szCs w:val="24"/>
        </w:rPr>
        <w:t xml:space="preserve"> balance technical, organizational, and human contributions (Luna et al., 2016). Third, regulatory-technical alignment is necessary to harmonize compliance with operational continuity, potentially by mapping NIST controls to clinical priorities (Jalali &amp; Kaiser, 2018). These pillars provide a roadmap for addressing current gaps and guiding future research toward a more resilient healthcare ecosystem.</w:t>
      </w:r>
    </w:p>
    <w:p w14:paraId="7F13D0FA" w14:textId="77777777" w:rsidR="00DF73EA" w:rsidRPr="00526214" w:rsidRDefault="00DF73EA" w:rsidP="00526214">
      <w:pPr>
        <w:pStyle w:val="Heading1"/>
      </w:pPr>
      <w:r w:rsidRPr="00526214">
        <w:t>3. Methodology</w:t>
      </w:r>
    </w:p>
    <w:p w14:paraId="364505E6"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Research Design</w:t>
      </w:r>
    </w:p>
    <w:p w14:paraId="110024CB" w14:textId="77777777" w:rsidR="00DF73EA" w:rsidRPr="00526214" w:rsidRDefault="00526214" w:rsidP="00526214">
      <w:pPr>
        <w:spacing w:line="360" w:lineRule="auto"/>
        <w:jc w:val="both"/>
        <w:rPr>
          <w:rFonts w:ascii="Times New Roman" w:hAnsi="Times New Roman" w:cs="Times New Roman"/>
          <w:b/>
          <w:sz w:val="24"/>
          <w:szCs w:val="24"/>
        </w:rPr>
      </w:pPr>
      <w:r>
        <w:rPr>
          <w:rFonts w:ascii="Times New Roman" w:hAnsi="Times New Roman" w:cs="Times New Roman"/>
          <w:b/>
          <w:sz w:val="24"/>
          <w:szCs w:val="24"/>
        </w:rPr>
        <w:t>D</w:t>
      </w:r>
      <w:r w:rsidR="00DF73EA" w:rsidRPr="00526214">
        <w:rPr>
          <w:rFonts w:ascii="Times New Roman" w:hAnsi="Times New Roman" w:cs="Times New Roman"/>
          <w:b/>
          <w:sz w:val="24"/>
          <w:szCs w:val="24"/>
        </w:rPr>
        <w:t>ata Synthesis Approach</w:t>
      </w:r>
    </w:p>
    <w:p w14:paraId="4D904A3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This study adopts a systematic literature review (SLR) paired with meta-analysis to extract and analyze data from prior studies on healthcare CPS resilience and ransomware impacts (Kitchenham &amp; Charters, 2007) as shown in Figure 1. The approach is structured in three key phases. First, it involves modeling CPS risk by quantifying system vulnerabilities and potential impacts using established frameworks. Second, it focuses on measuring resilience by aggregating relevant resilience metrics identified in existing literature. Finally, the findings from these phases are synthesized to develop a comprehensive Cyber-Physical Systems Risk Perspective model that captures both risk and resilience dimensions in healthcare CPS environments.</w:t>
      </w:r>
    </w:p>
    <w:p w14:paraId="337C5BAD" w14:textId="77777777" w:rsidR="00DF73EA" w:rsidRPr="00526214" w:rsidRDefault="00DF73EA" w:rsidP="00526214">
      <w:pPr>
        <w:pStyle w:val="ListParagraph"/>
        <w:shd w:val="clear" w:color="auto" w:fill="F2F2F2" w:themeFill="background1" w:themeFillShade="F2"/>
        <w:spacing w:line="360" w:lineRule="auto"/>
        <w:ind w:left="0"/>
        <w:jc w:val="both"/>
        <w:rPr>
          <w:rFonts w:ascii="Times New Roman" w:hAnsi="Times New Roman" w:cs="Times New Roman"/>
          <w:b/>
          <w:sz w:val="24"/>
          <w:szCs w:val="24"/>
        </w:rPr>
      </w:pPr>
      <w:r w:rsidRPr="00526214">
        <w:rPr>
          <w:rFonts w:ascii="Times New Roman" w:hAnsi="Times New Roman" w:cs="Times New Roman"/>
          <w:b/>
          <w:sz w:val="24"/>
          <w:szCs w:val="24"/>
        </w:rPr>
        <w:t>Phases:</w:t>
      </w:r>
    </w:p>
    <w:p w14:paraId="44D5D610" w14:textId="77777777" w:rsidR="00DF73EA" w:rsidRPr="00526214" w:rsidRDefault="00526214" w:rsidP="00526214">
      <w:pPr>
        <w:pStyle w:val="ListParagraph"/>
        <w:shd w:val="clear" w:color="auto" w:fill="F2F2F2" w:themeFill="background1" w:themeFillShade="F2"/>
        <w:spacing w:line="360" w:lineRule="auto"/>
        <w:ind w:left="0"/>
        <w:jc w:val="center"/>
        <w:rPr>
          <w:rFonts w:ascii="Times New Roman" w:hAnsi="Times New Roman" w:cs="Times New Roman"/>
          <w:b/>
          <w:sz w:val="28"/>
          <w:szCs w:val="24"/>
        </w:rPr>
      </w:pPr>
      <w:r w:rsidRPr="00526214">
        <w:rPr>
          <w:rFonts w:ascii="Times New Roman" w:hAnsi="Times New Roman" w:cs="Times New Roman"/>
          <w:b/>
          <w:noProof/>
          <w:sz w:val="28"/>
          <w:szCs w:val="24"/>
        </w:rPr>
        <mc:AlternateContent>
          <mc:Choice Requires="wps">
            <w:drawing>
              <wp:anchor distT="0" distB="0" distL="114300" distR="114300" simplePos="0" relativeHeight="251659264" behindDoc="0" locked="0" layoutInCell="1" allowOverlap="1" wp14:anchorId="57490BFD" wp14:editId="285DC5D3">
                <wp:simplePos x="0" y="0"/>
                <wp:positionH relativeFrom="column">
                  <wp:posOffset>1983884</wp:posOffset>
                </wp:positionH>
                <wp:positionV relativeFrom="paragraph">
                  <wp:posOffset>112395</wp:posOffset>
                </wp:positionV>
                <wp:extent cx="299720" cy="45085"/>
                <wp:effectExtent l="0" t="19050" r="43180" b="31115"/>
                <wp:wrapNone/>
                <wp:docPr id="1" name="Arrow: Right 1"/>
                <wp:cNvGraphicFramePr/>
                <a:graphic xmlns:a="http://schemas.openxmlformats.org/drawingml/2006/main">
                  <a:graphicData uri="http://schemas.microsoft.com/office/word/2010/wordprocessingShape">
                    <wps:wsp>
                      <wps:cNvSpPr/>
                      <wps:spPr>
                        <a:xfrm>
                          <a:off x="0" y="0"/>
                          <a:ext cx="29972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728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56.2pt;margin-top:8.85pt;width:23.6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" adj="19975" fillcolor="black [3200]" strokecolor="black [1600]" strokeweight="1pt"/>
            </w:pict>
          </mc:Fallback>
        </mc:AlternateContent>
      </w:r>
      <w:r w:rsidRPr="00526214">
        <w:rPr>
          <w:rFonts w:ascii="Times New Roman" w:hAnsi="Times New Roman" w:cs="Times New Roman"/>
          <w:b/>
          <w:noProof/>
          <w:sz w:val="28"/>
          <w:szCs w:val="24"/>
        </w:rPr>
        <mc:AlternateContent>
          <mc:Choice Requires="wps">
            <w:drawing>
              <wp:anchor distT="0" distB="0" distL="114300" distR="114300" simplePos="0" relativeHeight="251660288" behindDoc="0" locked="0" layoutInCell="1" allowOverlap="1" wp14:anchorId="307AEC1F" wp14:editId="76C12B23">
                <wp:simplePos x="0" y="0"/>
                <wp:positionH relativeFrom="column">
                  <wp:posOffset>3873799</wp:posOffset>
                </wp:positionH>
                <wp:positionV relativeFrom="paragraph">
                  <wp:posOffset>104619</wp:posOffset>
                </wp:positionV>
                <wp:extent cx="299720" cy="45085"/>
                <wp:effectExtent l="0" t="19050" r="43180" b="31115"/>
                <wp:wrapNone/>
                <wp:docPr id="3" name="Arrow: Right 3"/>
                <wp:cNvGraphicFramePr/>
                <a:graphic xmlns:a="http://schemas.openxmlformats.org/drawingml/2006/main">
                  <a:graphicData uri="http://schemas.microsoft.com/office/word/2010/wordprocessingShape">
                    <wps:wsp>
                      <wps:cNvSpPr/>
                      <wps:spPr>
                        <a:xfrm>
                          <a:off x="0" y="0"/>
                          <a:ext cx="29972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134D7" id="Arrow: Right 3" o:spid="_x0000_s1026" type="#_x0000_t13" style="position:absolute;margin-left:305pt;margin-top:8.25pt;width:23.6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" adj="19975" fillcolor="black [3200]" strokecolor="black [1600]" strokeweight="1pt"/>
            </w:pict>
          </mc:Fallback>
        </mc:AlternateContent>
      </w:r>
      <w:r w:rsidRPr="00526214">
        <w:rPr>
          <w:rFonts w:ascii="Times New Roman" w:hAnsi="Times New Roman" w:cs="Times New Roman"/>
          <w:b/>
          <w:noProof/>
          <w:sz w:val="28"/>
          <w:szCs w:val="24"/>
        </w:rPr>
        <mc:AlternateContent>
          <mc:Choice Requires="wps">
            <w:drawing>
              <wp:anchor distT="0" distB="0" distL="114300" distR="114300" simplePos="0" relativeHeight="251661312" behindDoc="0" locked="0" layoutInCell="1" allowOverlap="1" wp14:anchorId="6BA0E1A9" wp14:editId="15FE0BA8">
                <wp:simplePos x="0" y="0"/>
                <wp:positionH relativeFrom="margin">
                  <wp:align>right</wp:align>
                </wp:positionH>
                <wp:positionV relativeFrom="paragraph">
                  <wp:posOffset>94196</wp:posOffset>
                </wp:positionV>
                <wp:extent cx="299720" cy="45085"/>
                <wp:effectExtent l="0" t="19050" r="43180" b="31115"/>
                <wp:wrapNone/>
                <wp:docPr id="4" name="Arrow: Right 4"/>
                <wp:cNvGraphicFramePr/>
                <a:graphic xmlns:a="http://schemas.openxmlformats.org/drawingml/2006/main">
                  <a:graphicData uri="http://schemas.microsoft.com/office/word/2010/wordprocessingShape">
                    <wps:wsp>
                      <wps:cNvSpPr/>
                      <wps:spPr>
                        <a:xfrm>
                          <a:off x="0" y="0"/>
                          <a:ext cx="29972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06A0" id="Arrow: Right 4" o:spid="_x0000_s1026" type="#_x0000_t13" style="position:absolute;margin-left:-27.6pt;margin-top:7.4pt;width:23.6pt;height:3.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" adj="19975" fillcolor="black [3200]" strokecolor="black [1600]" strokeweight="1pt">
                <w10:wrap anchorx="margin"/>
              </v:shape>
            </w:pict>
          </mc:Fallback>
        </mc:AlternateContent>
      </w:r>
      <w:r w:rsidR="00DF73EA" w:rsidRPr="00526214">
        <w:rPr>
          <w:rFonts w:ascii="Times New Roman" w:hAnsi="Times New Roman" w:cs="Times New Roman"/>
          <w:b/>
          <w:sz w:val="28"/>
          <w:szCs w:val="24"/>
        </w:rPr>
        <w:t xml:space="preserve">[Literature </w:t>
      </w:r>
      <w:proofErr w:type="gramStart"/>
      <w:r w:rsidR="00DF73EA" w:rsidRPr="00526214">
        <w:rPr>
          <w:rFonts w:ascii="Times New Roman" w:hAnsi="Times New Roman" w:cs="Times New Roman"/>
          <w:b/>
          <w:sz w:val="28"/>
          <w:szCs w:val="24"/>
        </w:rPr>
        <w:t xml:space="preserve">Search]   </w:t>
      </w:r>
      <w:proofErr w:type="gramEnd"/>
      <w:r>
        <w:rPr>
          <w:rFonts w:ascii="Times New Roman" w:hAnsi="Times New Roman" w:cs="Times New Roman"/>
          <w:b/>
          <w:sz w:val="28"/>
          <w:szCs w:val="24"/>
        </w:rPr>
        <w:t xml:space="preserve">    </w:t>
      </w:r>
      <w:r w:rsidR="00DF73EA" w:rsidRPr="00526214">
        <w:rPr>
          <w:rFonts w:ascii="Times New Roman" w:hAnsi="Times New Roman" w:cs="Times New Roman"/>
          <w:b/>
          <w:sz w:val="28"/>
          <w:szCs w:val="24"/>
        </w:rPr>
        <w:t xml:space="preserve"> </w:t>
      </w:r>
      <w:r>
        <w:rPr>
          <w:rFonts w:ascii="Times New Roman" w:hAnsi="Times New Roman" w:cs="Times New Roman"/>
          <w:b/>
          <w:sz w:val="28"/>
          <w:szCs w:val="24"/>
        </w:rPr>
        <w:t xml:space="preserve"> </w:t>
      </w:r>
      <w:proofErr w:type="gramStart"/>
      <w:r>
        <w:rPr>
          <w:rFonts w:ascii="Times New Roman" w:hAnsi="Times New Roman" w:cs="Times New Roman"/>
          <w:b/>
          <w:sz w:val="28"/>
          <w:szCs w:val="24"/>
        </w:rPr>
        <w:t xml:space="preserve">   </w:t>
      </w:r>
      <w:r w:rsidR="00DF73EA" w:rsidRPr="00526214">
        <w:rPr>
          <w:rFonts w:ascii="Times New Roman" w:hAnsi="Times New Roman" w:cs="Times New Roman"/>
          <w:b/>
          <w:sz w:val="28"/>
          <w:szCs w:val="24"/>
        </w:rPr>
        <w:t>[</w:t>
      </w:r>
      <w:proofErr w:type="gramEnd"/>
      <w:r w:rsidR="00DF73EA" w:rsidRPr="00526214">
        <w:rPr>
          <w:rFonts w:ascii="Times New Roman" w:hAnsi="Times New Roman" w:cs="Times New Roman"/>
          <w:b/>
          <w:sz w:val="28"/>
          <w:szCs w:val="24"/>
        </w:rPr>
        <w:t xml:space="preserve">Data </w:t>
      </w:r>
      <w:proofErr w:type="gramStart"/>
      <w:r w:rsidR="00DF73EA" w:rsidRPr="00526214">
        <w:rPr>
          <w:rFonts w:ascii="Times New Roman" w:hAnsi="Times New Roman" w:cs="Times New Roman"/>
          <w:b/>
          <w:sz w:val="28"/>
          <w:szCs w:val="24"/>
        </w:rPr>
        <w:t xml:space="preserve">Extraction]  </w:t>
      </w:r>
      <w:r>
        <w:rPr>
          <w:rFonts w:ascii="Times New Roman" w:hAnsi="Times New Roman" w:cs="Times New Roman"/>
          <w:b/>
          <w:sz w:val="28"/>
          <w:szCs w:val="24"/>
        </w:rPr>
        <w:t xml:space="preserve"> </w:t>
      </w:r>
      <w:proofErr w:type="gramEnd"/>
      <w:r>
        <w:rPr>
          <w:rFonts w:ascii="Times New Roman" w:hAnsi="Times New Roman" w:cs="Times New Roman"/>
          <w:b/>
          <w:sz w:val="28"/>
          <w:szCs w:val="24"/>
        </w:rPr>
        <w:t xml:space="preserve">      </w:t>
      </w:r>
      <w:proofErr w:type="gramStart"/>
      <w:r>
        <w:rPr>
          <w:rFonts w:ascii="Times New Roman" w:hAnsi="Times New Roman" w:cs="Times New Roman"/>
          <w:b/>
          <w:sz w:val="28"/>
          <w:szCs w:val="24"/>
        </w:rPr>
        <w:t xml:space="preserve"> </w:t>
      </w:r>
      <w:r w:rsidR="00DF73EA" w:rsidRPr="00526214">
        <w:rPr>
          <w:rFonts w:ascii="Times New Roman" w:hAnsi="Times New Roman" w:cs="Times New Roman"/>
          <w:b/>
          <w:sz w:val="28"/>
          <w:szCs w:val="24"/>
        </w:rPr>
        <w:t xml:space="preserve">  [</w:t>
      </w:r>
      <w:proofErr w:type="gramEnd"/>
      <w:r w:rsidR="00DF73EA" w:rsidRPr="00526214">
        <w:rPr>
          <w:rFonts w:ascii="Times New Roman" w:hAnsi="Times New Roman" w:cs="Times New Roman"/>
          <w:b/>
          <w:sz w:val="28"/>
          <w:szCs w:val="24"/>
        </w:rPr>
        <w:t>Risk Modeling]</w:t>
      </w:r>
    </w:p>
    <w:p w14:paraId="5A81F1F6" w14:textId="77777777" w:rsidR="00DF73EA" w:rsidRPr="00526214" w:rsidRDefault="00DF73EA" w:rsidP="00526214">
      <w:pPr>
        <w:pStyle w:val="ListParagraph"/>
        <w:shd w:val="clear" w:color="auto" w:fill="F2F2F2" w:themeFill="background1" w:themeFillShade="F2"/>
        <w:spacing w:line="360" w:lineRule="auto"/>
        <w:ind w:left="0"/>
        <w:jc w:val="center"/>
        <w:rPr>
          <w:rFonts w:ascii="Times New Roman" w:hAnsi="Times New Roman" w:cs="Times New Roman"/>
          <w:b/>
          <w:sz w:val="28"/>
          <w:szCs w:val="24"/>
        </w:rPr>
      </w:pPr>
      <w:r w:rsidRPr="00526214">
        <w:rPr>
          <w:rFonts w:ascii="Times New Roman" w:hAnsi="Times New Roman" w:cs="Times New Roman"/>
          <w:b/>
          <w:noProof/>
          <w:sz w:val="28"/>
          <w:szCs w:val="24"/>
        </w:rPr>
        <mc:AlternateContent>
          <mc:Choice Requires="wps">
            <w:drawing>
              <wp:anchor distT="0" distB="0" distL="114300" distR="114300" simplePos="0" relativeHeight="251662336" behindDoc="0" locked="0" layoutInCell="1" allowOverlap="1" wp14:anchorId="4E11D7DD" wp14:editId="1D931D18">
                <wp:simplePos x="0" y="0"/>
                <wp:positionH relativeFrom="column">
                  <wp:posOffset>2670415</wp:posOffset>
                </wp:positionH>
                <wp:positionV relativeFrom="paragraph">
                  <wp:posOffset>113030</wp:posOffset>
                </wp:positionV>
                <wp:extent cx="299720" cy="45085"/>
                <wp:effectExtent l="0" t="19050" r="43180" b="31115"/>
                <wp:wrapNone/>
                <wp:docPr id="5" name="Arrow: Right 5"/>
                <wp:cNvGraphicFramePr/>
                <a:graphic xmlns:a="http://schemas.openxmlformats.org/drawingml/2006/main">
                  <a:graphicData uri="http://schemas.microsoft.com/office/word/2010/wordprocessingShape">
                    <wps:wsp>
                      <wps:cNvSpPr/>
                      <wps:spPr>
                        <a:xfrm>
                          <a:off x="0" y="0"/>
                          <a:ext cx="29972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7FEF" id="Arrow: Right 5" o:spid="_x0000_s1026" type="#_x0000_t13" style="position:absolute;margin-left:210.25pt;margin-top:8.9pt;width:23.6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" adj="19975" fillcolor="black [3200]" strokecolor="black [1600]" strokeweight="1pt"/>
            </w:pict>
          </mc:Fallback>
        </mc:AlternateContent>
      </w:r>
      <w:r w:rsidRPr="00526214">
        <w:rPr>
          <w:rFonts w:ascii="Times New Roman" w:hAnsi="Times New Roman" w:cs="Times New Roman"/>
          <w:b/>
          <w:sz w:val="28"/>
          <w:szCs w:val="24"/>
        </w:rPr>
        <w:t xml:space="preserve">[Resilience </w:t>
      </w:r>
      <w:proofErr w:type="gramStart"/>
      <w:r w:rsidRPr="00526214">
        <w:rPr>
          <w:rFonts w:ascii="Times New Roman" w:hAnsi="Times New Roman" w:cs="Times New Roman"/>
          <w:b/>
          <w:sz w:val="28"/>
          <w:szCs w:val="24"/>
        </w:rPr>
        <w:t>Analysis]</w:t>
      </w:r>
      <w:r w:rsidR="00526214">
        <w:rPr>
          <w:rFonts w:ascii="Times New Roman" w:hAnsi="Times New Roman" w:cs="Times New Roman"/>
          <w:b/>
          <w:sz w:val="28"/>
          <w:szCs w:val="24"/>
        </w:rPr>
        <w:t xml:space="preserve">   </w:t>
      </w:r>
      <w:proofErr w:type="gramEnd"/>
      <w:r w:rsidR="00526214">
        <w:rPr>
          <w:rFonts w:ascii="Times New Roman" w:hAnsi="Times New Roman" w:cs="Times New Roman"/>
          <w:b/>
          <w:sz w:val="28"/>
          <w:szCs w:val="24"/>
        </w:rPr>
        <w:t xml:space="preserve">       </w:t>
      </w:r>
      <w:r w:rsidRPr="00526214">
        <w:rPr>
          <w:rFonts w:ascii="Times New Roman" w:hAnsi="Times New Roman" w:cs="Times New Roman"/>
          <w:b/>
          <w:sz w:val="28"/>
          <w:szCs w:val="24"/>
        </w:rPr>
        <w:t xml:space="preserve"> </w:t>
      </w:r>
      <w:proofErr w:type="gramStart"/>
      <w:r w:rsidRPr="00526214">
        <w:rPr>
          <w:rFonts w:ascii="Times New Roman" w:hAnsi="Times New Roman" w:cs="Times New Roman"/>
          <w:b/>
          <w:sz w:val="28"/>
          <w:szCs w:val="24"/>
        </w:rPr>
        <w:t xml:space="preserve">   [</w:t>
      </w:r>
      <w:proofErr w:type="gramEnd"/>
      <w:r w:rsidRPr="00526214">
        <w:rPr>
          <w:rFonts w:ascii="Times New Roman" w:hAnsi="Times New Roman" w:cs="Times New Roman"/>
          <w:b/>
          <w:sz w:val="28"/>
          <w:szCs w:val="24"/>
        </w:rPr>
        <w:t>Framework Synthesis]</w:t>
      </w:r>
    </w:p>
    <w:p w14:paraId="462C5584"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 Justification of Design</w:t>
      </w:r>
    </w:p>
    <w:p w14:paraId="2DD9790E"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study relies on data availability from accessible sources such as IEEE Xplore and PubMed. It maintains a strong focus on cyber-physical systems (CPS), emphasizing the critical interdependencies within healthcare environments, as highlighted by Macal and North (2009). Additionally, the research adopts a risk perspective that aligns with its objective to integrate both cyber and physical risk factors, drawing on frameworks such as those proposed by Yeboah-Ofori et al. (2019).</w:t>
      </w:r>
    </w:p>
    <w:p w14:paraId="0B05C83C"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Data Sources</w:t>
      </w:r>
    </w:p>
    <w:p w14:paraId="77DF5779"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1</w:t>
      </w:r>
    </w:p>
    <w:p w14:paraId="4E2BA734"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Secondary Data Sources Aligned with Research Objectives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DF73EA" w:rsidRPr="00526214" w14:paraId="73CFFDEB" w14:textId="77777777" w:rsidTr="003A7E2D">
        <w:trPr>
          <w:trHeight w:val="394"/>
        </w:trPr>
        <w:tc>
          <w:tcPr>
            <w:tcW w:w="4729" w:type="dxa"/>
            <w:tcBorders>
              <w:top w:val="single" w:sz="4" w:space="0" w:color="auto"/>
              <w:bottom w:val="single" w:sz="4" w:space="0" w:color="auto"/>
            </w:tcBorders>
          </w:tcPr>
          <w:p w14:paraId="7BBA659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Source Type</w:t>
            </w:r>
          </w:p>
        </w:tc>
        <w:tc>
          <w:tcPr>
            <w:tcW w:w="4731" w:type="dxa"/>
            <w:tcBorders>
              <w:top w:val="single" w:sz="4" w:space="0" w:color="auto"/>
              <w:bottom w:val="single" w:sz="4" w:space="0" w:color="auto"/>
            </w:tcBorders>
          </w:tcPr>
          <w:p w14:paraId="38D8E4D8"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Examples</w:t>
            </w:r>
          </w:p>
        </w:tc>
      </w:tr>
      <w:tr w:rsidR="00DF73EA" w:rsidRPr="00526214" w14:paraId="02C1C9F5" w14:textId="77777777" w:rsidTr="003A7E2D">
        <w:trPr>
          <w:trHeight w:val="803"/>
        </w:trPr>
        <w:tc>
          <w:tcPr>
            <w:tcW w:w="4729" w:type="dxa"/>
            <w:tcBorders>
              <w:top w:val="single" w:sz="4" w:space="0" w:color="auto"/>
            </w:tcBorders>
          </w:tcPr>
          <w:p w14:paraId="0D4D1D34"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Academic Journals</w:t>
            </w:r>
          </w:p>
        </w:tc>
        <w:tc>
          <w:tcPr>
            <w:tcW w:w="4731" w:type="dxa"/>
            <w:tcBorders>
              <w:top w:val="single" w:sz="4" w:space="0" w:color="auto"/>
            </w:tcBorders>
          </w:tcPr>
          <w:p w14:paraId="62661F0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IEEE Transactions, Journal of Medical Systems</w:t>
            </w:r>
          </w:p>
        </w:tc>
      </w:tr>
      <w:tr w:rsidR="00DF73EA" w:rsidRPr="00526214" w14:paraId="1BE1140C" w14:textId="77777777" w:rsidTr="003A7E2D">
        <w:trPr>
          <w:trHeight w:val="803"/>
        </w:trPr>
        <w:tc>
          <w:tcPr>
            <w:tcW w:w="4729" w:type="dxa"/>
          </w:tcPr>
          <w:p w14:paraId="5F6D7120"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Government Reports</w:t>
            </w:r>
          </w:p>
        </w:tc>
        <w:tc>
          <w:tcPr>
            <w:tcW w:w="4731" w:type="dxa"/>
          </w:tcPr>
          <w:p w14:paraId="0499D084"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NIST SP 800-53, HHS Cybersecurity Reports</w:t>
            </w:r>
          </w:p>
        </w:tc>
      </w:tr>
      <w:tr w:rsidR="00DF73EA" w:rsidRPr="00526214" w14:paraId="41726C11" w14:textId="77777777" w:rsidTr="003A7E2D">
        <w:trPr>
          <w:trHeight w:val="803"/>
        </w:trPr>
        <w:tc>
          <w:tcPr>
            <w:tcW w:w="4729" w:type="dxa"/>
            <w:tcBorders>
              <w:bottom w:val="single" w:sz="4" w:space="0" w:color="auto"/>
            </w:tcBorders>
          </w:tcPr>
          <w:p w14:paraId="24CADDC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Industry Frameworks</w:t>
            </w:r>
          </w:p>
        </w:tc>
        <w:tc>
          <w:tcPr>
            <w:tcW w:w="4731" w:type="dxa"/>
            <w:tcBorders>
              <w:bottom w:val="single" w:sz="4" w:space="0" w:color="auto"/>
            </w:tcBorders>
          </w:tcPr>
          <w:p w14:paraId="15AA4DA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MITRE ATT&amp;CK® for ICS, ENISA Threat Landscape</w:t>
            </w:r>
          </w:p>
        </w:tc>
      </w:tr>
    </w:tbl>
    <w:p w14:paraId="5DA8A4EF"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Extraction Strategy</w:t>
      </w:r>
    </w:p>
    <w:p w14:paraId="29CC601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study employs a mixed-method approach that includes both quantitative and qualitative components. Quantitatively, it utilizes metrics such as Mean Time to Detect (MTTD) and Recovery Time Objectives (RTO) to assess system performance and resilience. Qualitatively, it analyzes themes derived from case studies and documented resilience strategies to provide contextual understanding and support the interpretation of quantitative findings.</w:t>
      </w:r>
    </w:p>
    <w:p w14:paraId="208ED7C1"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Inclusion and Exclusion Criteria</w:t>
      </w:r>
    </w:p>
    <w:p w14:paraId="22F7BD97"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sz w:val="24"/>
          <w:szCs w:val="24"/>
        </w:rPr>
        <w:t>The study includes peer-reviewed research published between 2015 and 2023 that focuses on healthcare cyber-physical systems (CPS), ransomware, and resilience. It excludes non-empirical works, non-English publications, and studies that do not specifically address CPS. The systematic literature review (SLR) follows the PRISMA 2020 guidelines (Page et al., 2021), with an initial screening of 1,500 records resulting in the selection of 50 relevant studies, as illustrated in Figure 1.</w:t>
      </w:r>
    </w:p>
    <w:p w14:paraId="1530FF5B"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Figure 1 </w:t>
      </w:r>
    </w:p>
    <w:p w14:paraId="13C11410"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PRISMA Flowchart</w:t>
      </w:r>
    </w:p>
    <w:p w14:paraId="712B60A8"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2FCFD319" wp14:editId="52E23475">
            <wp:extent cx="5011387" cy="3674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PRISMA Flowch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2816" cy="3682840"/>
                    </a:xfrm>
                    <a:prstGeom prst="rect">
                      <a:avLst/>
                    </a:prstGeom>
                  </pic:spPr>
                </pic:pic>
              </a:graphicData>
            </a:graphic>
          </wp:inline>
        </w:drawing>
      </w:r>
    </w:p>
    <w:p w14:paraId="28280BBD"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Modeling Cyber-Physical Systems Risk</w:t>
      </w:r>
    </w:p>
    <w:p w14:paraId="23570B22" w14:textId="77777777" w:rsidR="00DF73EA" w:rsidRPr="00526214" w:rsidRDefault="00526214" w:rsidP="00526214">
      <w:pPr>
        <w:spacing w:line="360" w:lineRule="auto"/>
        <w:jc w:val="both"/>
        <w:rPr>
          <w:rFonts w:ascii="Times New Roman" w:hAnsi="Times New Roman" w:cs="Times New Roman"/>
          <w:b/>
          <w:sz w:val="24"/>
          <w:szCs w:val="24"/>
        </w:rPr>
      </w:pPr>
      <w:r>
        <w:rPr>
          <w:rFonts w:ascii="Times New Roman" w:hAnsi="Times New Roman" w:cs="Times New Roman"/>
          <w:b/>
          <w:sz w:val="24"/>
          <w:szCs w:val="24"/>
        </w:rPr>
        <w:t>C</w:t>
      </w:r>
      <w:r w:rsidR="00DF73EA" w:rsidRPr="00526214">
        <w:rPr>
          <w:rFonts w:ascii="Times New Roman" w:hAnsi="Times New Roman" w:cs="Times New Roman"/>
          <w:b/>
          <w:sz w:val="24"/>
          <w:szCs w:val="24"/>
        </w:rPr>
        <w:t>PS Risk Assessment Framework</w:t>
      </w:r>
    </w:p>
    <w:p w14:paraId="5D52D70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study adapts the Cyber-Physical Risk Assessment (CPRA) framework developed by Yeboah-Ofori et al. (2019) to quantify risks that are specific to healthcare cyber-physical systems (CPS). Within this framework, cyber risks are characterized by threats such as network breaches and the propagation of ransomware, while physical risks encompass issues like medical device failures and their potential impacts on patient safety.</w:t>
      </w:r>
    </w:p>
    <w:p w14:paraId="4E10839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Equation 1: CPS Risk Score</w:t>
      </w:r>
    </w:p>
    <w:p w14:paraId="6A95BD81" w14:textId="77777777" w:rsidR="00DF73EA" w:rsidRPr="00526214" w:rsidRDefault="00000000"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m:oMathPara>
    </w:p>
    <w:p w14:paraId="0D93E2CC" w14:textId="77777777" w:rsidR="00DF73EA" w:rsidRPr="00526214" w:rsidRDefault="00DF73EA" w:rsidP="00526214">
      <w:pPr>
        <w:spacing w:line="360" w:lineRule="auto"/>
        <w:jc w:val="both"/>
        <w:rPr>
          <w:rFonts w:ascii="Times New Roman" w:hAnsi="Times New Roman" w:cs="Times New Roman"/>
          <w:sz w:val="24"/>
          <w:szCs w:val="24"/>
        </w:rPr>
      </w:pPr>
    </w:p>
    <w:p w14:paraId="7D7052E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r w:rsidRPr="00526214">
        <w:rPr>
          <w:rFonts w:ascii="Times New Roman" w:hAnsi="Times New Roman" w:cs="Times New Roman"/>
          <w:sz w:val="24"/>
          <w:szCs w:val="24"/>
        </w:rPr>
        <w:tab/>
      </w:r>
    </w:p>
    <w:p w14:paraId="592A050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  Vulnerability severity (0–10, CVSS-based) </w:t>
      </w:r>
    </w:p>
    <w:p w14:paraId="3C0F703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 Exploitability probability (0–1) </w:t>
      </w:r>
    </w:p>
    <w:p w14:paraId="37503722"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Physical impact score (e.g., service downtime, patient harm)</w:t>
      </w:r>
    </w:p>
    <w:p w14:paraId="1B5FEEB1"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Note. Source: Adapted from FIRST (2023) CVSS v3.1</w:t>
      </w:r>
    </w:p>
    <w:p w14:paraId="4A54BFE3"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Simulation Synthesis</w:t>
      </w:r>
    </w:p>
    <w:p w14:paraId="30523B2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Figure 2 illustrates the interaction between IT systems, medical devices, and clinical workflows within healthcare CPS. To model these dynamics, the study synthesizes findings from existing simulation research. Discrete-Event Simulation (DES) is used to simulate workflow disruptions caused by ransomware attacks, as demonstrated by Muthuppalaniappan and Stevenson (2020). In parallel, Agent-Based Modeling (ABM) captures the complex interactions between attackers and defenders, drawing on the approach outlined by Macal and North (2009).</w:t>
      </w:r>
    </w:p>
    <w:p w14:paraId="5DB4699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Equation 2: Disruption Propagation</w:t>
      </w:r>
    </w:p>
    <w:p w14:paraId="6D447E14" w14:textId="77777777" w:rsidR="00DF73EA" w:rsidRPr="00526214" w:rsidRDefault="00DF73EA" w:rsidP="0052621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=αI</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+βC(t) </m:t>
          </m:r>
        </m:oMath>
      </m:oMathPara>
    </w:p>
    <w:p w14:paraId="77A5C17E"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 xml:space="preserve">Where: </w:t>
      </w:r>
    </w:p>
    <w:p w14:paraId="2CFD054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r>
          <w:rPr>
            <w:rFonts w:ascii="Cambria Math" w:hAnsi="Cambria Math" w:cs="Times New Roman"/>
            <w:sz w:val="24"/>
            <w:szCs w:val="24"/>
          </w:rPr>
          <m:t xml:space="preserve"> D</m:t>
        </m:r>
        <m:d>
          <m:dPr>
            <m:ctrlPr>
              <w:rPr>
                <w:rFonts w:ascii="Cambria Math" w:hAnsi="Cambria Math" w:cs="Times New Roman"/>
                <w:i/>
                <w:sz w:val="24"/>
                <w:szCs w:val="24"/>
              </w:rPr>
            </m:ctrlPr>
          </m:dPr>
          <m:e>
            <m:r>
              <w:rPr>
                <w:rFonts w:ascii="Cambria Math" w:hAnsi="Cambria Math" w:cs="Times New Roman"/>
                <w:sz w:val="24"/>
                <w:szCs w:val="24"/>
              </w:rPr>
              <m:t>t</m:t>
            </m:r>
          </m:e>
        </m:d>
      </m:oMath>
      <w:r w:rsidRPr="00526214">
        <w:rPr>
          <w:rFonts w:ascii="Times New Roman" w:hAnsi="Times New Roman" w:cs="Times New Roman"/>
          <w:sz w:val="24"/>
          <w:szCs w:val="24"/>
        </w:rPr>
        <w:t xml:space="preserve">: Disruption level at time (t) </w:t>
      </w:r>
    </w:p>
    <w:p w14:paraId="01C003B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r>
          <w:rPr>
            <w:rFonts w:ascii="Cambria Math" w:hAnsi="Cambria Math" w:cs="Times New Roman"/>
            <w:sz w:val="24"/>
            <w:szCs w:val="24"/>
          </w:rPr>
          <m:t xml:space="preserve"> I</m:t>
        </m:r>
        <m:d>
          <m:dPr>
            <m:ctrlPr>
              <w:rPr>
                <w:rFonts w:ascii="Cambria Math" w:hAnsi="Cambria Math" w:cs="Times New Roman"/>
                <w:i/>
                <w:sz w:val="24"/>
                <w:szCs w:val="24"/>
              </w:rPr>
            </m:ctrlPr>
          </m:dPr>
          <m:e>
            <m:r>
              <w:rPr>
                <w:rFonts w:ascii="Cambria Math" w:hAnsi="Cambria Math" w:cs="Times New Roman"/>
                <w:sz w:val="24"/>
                <w:szCs w:val="24"/>
              </w:rPr>
              <m:t>t</m:t>
            </m:r>
          </m:e>
        </m:d>
      </m:oMath>
      <w:r w:rsidRPr="00526214">
        <w:rPr>
          <w:rFonts w:ascii="Times New Roman" w:hAnsi="Times New Roman" w:cs="Times New Roman"/>
          <w:sz w:val="24"/>
          <w:szCs w:val="24"/>
        </w:rPr>
        <w:t xml:space="preserve">: Infected nodes </w:t>
      </w:r>
    </w:p>
    <w:p w14:paraId="3E5AEFD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m:oMath>
        <m:r>
          <w:rPr>
            <w:rFonts w:ascii="Cambria Math" w:hAnsi="Cambria Math" w:cs="Times New Roman"/>
            <w:sz w:val="24"/>
            <w:szCs w:val="24"/>
          </w:rPr>
          <m:t xml:space="preserve"> C(t)</m:t>
        </m:r>
      </m:oMath>
      <w:r w:rsidRPr="00526214">
        <w:rPr>
          <w:rFonts w:ascii="Times New Roman" w:hAnsi="Times New Roman" w:cs="Times New Roman"/>
          <w:sz w:val="24"/>
          <w:szCs w:val="24"/>
        </w:rPr>
        <w:t xml:space="preserve">: Critical service dependencies </w:t>
      </w:r>
    </w:p>
    <w:p w14:paraId="41B0416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r>
          <w:rPr>
            <w:rFonts w:ascii="Cambria Math" w:hAnsi="Cambria Math" w:cs="Times New Roman"/>
            <w:sz w:val="24"/>
            <w:szCs w:val="24"/>
          </w:rPr>
          <m:t>α, β</m:t>
        </m:r>
      </m:oMath>
      <w:r w:rsidRPr="00526214">
        <w:rPr>
          <w:rFonts w:ascii="Times New Roman" w:hAnsi="Times New Roman" w:cs="Times New Roman"/>
          <w:sz w:val="24"/>
          <w:szCs w:val="24"/>
        </w:rPr>
        <w:t xml:space="preserve"> : Weighting coefficients from meta-analysis</w:t>
      </w:r>
    </w:p>
    <w:p w14:paraId="21CA2101"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Figure 2 </w:t>
      </w:r>
    </w:p>
    <w:p w14:paraId="6260DE41"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CPS Interdependency Diagram</w:t>
      </w:r>
    </w:p>
    <w:p w14:paraId="393B5AF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4B034631" wp14:editId="57A8AFE6">
            <wp:extent cx="4963886" cy="41037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 CPS Interdependency Diagr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4419" cy="4112463"/>
                    </a:xfrm>
                    <a:prstGeom prst="rect">
                      <a:avLst/>
                    </a:prstGeom>
                  </pic:spPr>
                </pic:pic>
              </a:graphicData>
            </a:graphic>
          </wp:inline>
        </w:drawing>
      </w:r>
    </w:p>
    <w:p w14:paraId="351DE9DC"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Performance Metrics for Resilience</w:t>
      </w:r>
    </w:p>
    <w:p w14:paraId="57A169DF"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Resilience Index Development</w:t>
      </w:r>
    </w:p>
    <w:p w14:paraId="66677EC1"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 composite Healthcare CPS Resilience Index (HCRI) is derived from literature:</w:t>
      </w:r>
    </w:p>
    <w:p w14:paraId="2B769DC9" w14:textId="77777777" w:rsidR="00DF73EA" w:rsidRPr="00526214" w:rsidRDefault="00DF73EA" w:rsidP="0052621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HCRI=0.35A+0.30R+0.25P+0.10Ad</m:t>
          </m:r>
        </m:oMath>
      </m:oMathPara>
    </w:p>
    <w:p w14:paraId="0090028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 xml:space="preserve">Where: </w:t>
      </w:r>
    </w:p>
    <w:p w14:paraId="2FBE056E"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(A): Absorption capacity (system uptime under attack) </w:t>
      </w:r>
    </w:p>
    <w:p w14:paraId="27E327A1"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(R): Recovery speed (normalized RTO) </w:t>
      </w:r>
    </w:p>
    <w:p w14:paraId="5074023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(P): Preparedness level (training, backups) </w:t>
      </w:r>
    </w:p>
    <w:p w14:paraId="0D8625C8"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(Ad): Adaptation (post-incident improvements)</w:t>
      </w:r>
    </w:p>
    <w:p w14:paraId="6E641603" w14:textId="77777777" w:rsidR="00B14FCD" w:rsidRPr="00526214" w:rsidRDefault="00B14FCD"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Weights from AHP analysis in Linkov et al. (2016). AHP (Analytic Hierarchy Process) relate to calculating consistency and priority vectors </w:t>
      </w:r>
      <w:r w:rsidRPr="00526214">
        <w:rPr>
          <w:rFonts w:ascii="Times New Roman" w:eastAsia="Times New Roman" w:hAnsi="Times New Roman" w:cs="Times New Roman"/>
          <w:sz w:val="24"/>
          <w:szCs w:val="24"/>
        </w:rPr>
        <w:t>(Taherdoost, 2020)</w:t>
      </w:r>
      <w:r w:rsidRPr="00526214">
        <w:rPr>
          <w:rFonts w:ascii="Times New Roman" w:hAnsi="Times New Roman" w:cs="Times New Roman"/>
          <w:sz w:val="24"/>
          <w:szCs w:val="24"/>
        </w:rPr>
        <w:t>. The consistency ratio (CR) is calculated as:</w:t>
      </w:r>
    </w:p>
    <w:p w14:paraId="10AD5F50" w14:textId="77777777" w:rsidR="00B14FCD" w:rsidRPr="00526214" w:rsidRDefault="00B14FCD" w:rsidP="00526214">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CR=</m:t>
          </m:r>
          <m:f>
            <m:fPr>
              <m:ctrlPr>
                <w:rPr>
                  <w:rFonts w:ascii="Cambria Math" w:hAnsi="Cambria Math" w:cs="Times New Roman"/>
                  <w:i/>
                  <w:sz w:val="24"/>
                  <w:szCs w:val="24"/>
                </w:rPr>
              </m:ctrlPr>
            </m:fPr>
            <m:num>
              <m:r>
                <w:rPr>
                  <w:rFonts w:ascii="Cambria Math" w:hAnsi="Cambria Math" w:cs="Times New Roman"/>
                  <w:sz w:val="24"/>
                  <w:szCs w:val="24"/>
                </w:rPr>
                <m:t>CI</m:t>
              </m:r>
            </m:num>
            <m:den>
              <m:r>
                <w:rPr>
                  <w:rFonts w:ascii="Cambria Math" w:hAnsi="Cambria Math" w:cs="Times New Roman"/>
                  <w:sz w:val="24"/>
                  <w:szCs w:val="24"/>
                </w:rPr>
                <m:t>RI</m:t>
              </m:r>
            </m:den>
          </m:f>
        </m:oMath>
      </m:oMathPara>
    </w:p>
    <w:p w14:paraId="662E3B07"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169B79E0"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CI= Consistency Index</w:t>
      </w:r>
    </w:p>
    <w:p w14:paraId="659F434A"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RI= Random Index</w:t>
      </w:r>
    </w:p>
    <w:p w14:paraId="29E56193"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Consistency Index (CI) is calculated as:</w:t>
      </w:r>
    </w:p>
    <w:p w14:paraId="5FDD0943" w14:textId="77777777" w:rsidR="00B14FCD" w:rsidRPr="00526214" w:rsidRDefault="00000000" w:rsidP="00526214">
      <w:pPr>
        <w:spacing w:line="360" w:lineRule="auto"/>
        <w:jc w:val="both"/>
        <w:rPr>
          <w:rFonts w:ascii="Times New Roman" w:hAnsi="Times New Roman" w:cs="Times New Roman"/>
          <w:sz w:val="24"/>
          <w:szCs w:val="24"/>
        </w:rPr>
      </w:pPr>
      <m:oMathPara>
        <m:oMath>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max</m:t>
                  </m:r>
                </m:sub>
              </m:sSub>
              <m:r>
                <w:rPr>
                  <w:rFonts w:ascii="Cambria Math" w:hAnsi="Cambria Math" w:cs="Times New Roman"/>
                  <w:sz w:val="24"/>
                  <w:szCs w:val="24"/>
                </w:rPr>
                <m:t>-n</m:t>
              </m:r>
            </m:num>
            <m:den>
              <m:r>
                <w:rPr>
                  <w:rFonts w:ascii="Cambria Math" w:hAnsi="Cambria Math" w:cs="Times New Roman"/>
                  <w:sz w:val="24"/>
                  <w:szCs w:val="24"/>
                </w:rPr>
                <m:t>(n-1)</m:t>
              </m:r>
            </m:den>
          </m:f>
        </m:oMath>
      </m:oMathPara>
    </w:p>
    <w:p w14:paraId="3DB92668"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0303402C" w14:textId="77777777" w:rsidR="00B14FCD" w:rsidRPr="00526214" w:rsidRDefault="00B14FCD" w:rsidP="00526214">
      <w:pPr>
        <w:spacing w:line="360" w:lineRule="auto"/>
        <w:jc w:val="both"/>
        <w:rPr>
          <w:rFonts w:ascii="Times New Roman" w:eastAsiaTheme="minorEastAsia"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max</m:t>
            </m:r>
          </m:sub>
        </m:sSub>
      </m:oMath>
      <w:r w:rsidRPr="00526214">
        <w:rPr>
          <w:rFonts w:ascii="Times New Roman" w:eastAsiaTheme="minorEastAsia" w:hAnsi="Times New Roman" w:cs="Times New Roman"/>
          <w:sz w:val="24"/>
          <w:szCs w:val="24"/>
        </w:rPr>
        <w:t xml:space="preserve"> = Maximum Eigenvalue of the pairwise comparison matrix</w:t>
      </w:r>
    </w:p>
    <w:p w14:paraId="2EC18A0A" w14:textId="77777777" w:rsidR="00B14FCD" w:rsidRPr="00526214" w:rsidRDefault="00B14FCD"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n = number of criteria</w:t>
      </w:r>
    </w:p>
    <w:p w14:paraId="51D961FF"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Key Metrics from Literature</w:t>
      </w:r>
    </w:p>
    <w:p w14:paraId="1B91659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Table 2 shows the Key Metrics synthesized from different Studies.</w:t>
      </w:r>
    </w:p>
    <w:p w14:paraId="33F3A95A"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Table 2 </w:t>
      </w:r>
    </w:p>
    <w:p w14:paraId="25B4A475" w14:textId="77777777" w:rsid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Resilience Metrics Synthesized from Studies</w:t>
      </w:r>
    </w:p>
    <w:p w14:paraId="1E15F047" w14:textId="77777777" w:rsidR="00526214" w:rsidRPr="00526214" w:rsidRDefault="00526214" w:rsidP="00526214">
      <w:pPr>
        <w:spacing w:line="360" w:lineRule="auto"/>
        <w:jc w:val="both"/>
        <w:rPr>
          <w:rFonts w:ascii="Times New Roman" w:hAnsi="Times New Roman" w:cs="Times New Roman"/>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26"/>
        <w:gridCol w:w="3120"/>
      </w:tblGrid>
      <w:tr w:rsidR="00DF73EA" w:rsidRPr="00526214" w14:paraId="247BAFA8" w14:textId="77777777" w:rsidTr="003A7E2D">
        <w:tc>
          <w:tcPr>
            <w:tcW w:w="3176" w:type="dxa"/>
            <w:tcBorders>
              <w:top w:val="single" w:sz="4" w:space="0" w:color="auto"/>
              <w:bottom w:val="single" w:sz="4" w:space="0" w:color="auto"/>
            </w:tcBorders>
          </w:tcPr>
          <w:p w14:paraId="4AAF8A1E"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Metric</w:t>
            </w:r>
          </w:p>
        </w:tc>
        <w:tc>
          <w:tcPr>
            <w:tcW w:w="3177" w:type="dxa"/>
            <w:tcBorders>
              <w:top w:val="single" w:sz="4" w:space="0" w:color="auto"/>
              <w:bottom w:val="single" w:sz="4" w:space="0" w:color="auto"/>
            </w:tcBorders>
          </w:tcPr>
          <w:p w14:paraId="4B526ED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Definition</w:t>
            </w:r>
          </w:p>
        </w:tc>
        <w:tc>
          <w:tcPr>
            <w:tcW w:w="3177" w:type="dxa"/>
            <w:tcBorders>
              <w:top w:val="single" w:sz="4" w:space="0" w:color="auto"/>
              <w:bottom w:val="single" w:sz="4" w:space="0" w:color="auto"/>
            </w:tcBorders>
          </w:tcPr>
          <w:p w14:paraId="34726AE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Source</w:t>
            </w:r>
          </w:p>
        </w:tc>
      </w:tr>
      <w:tr w:rsidR="00DF73EA" w:rsidRPr="00526214" w14:paraId="78E83C24" w14:textId="77777777" w:rsidTr="003A7E2D">
        <w:tc>
          <w:tcPr>
            <w:tcW w:w="3176" w:type="dxa"/>
            <w:tcBorders>
              <w:top w:val="single" w:sz="4" w:space="0" w:color="auto"/>
            </w:tcBorders>
          </w:tcPr>
          <w:p w14:paraId="380E790D"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MTTD</w:t>
            </w:r>
          </w:p>
        </w:tc>
        <w:tc>
          <w:tcPr>
            <w:tcW w:w="3177" w:type="dxa"/>
            <w:tcBorders>
              <w:top w:val="single" w:sz="4" w:space="0" w:color="auto"/>
            </w:tcBorders>
          </w:tcPr>
          <w:p w14:paraId="1E46CA5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Time to detect ransomware</w:t>
            </w:r>
          </w:p>
        </w:tc>
        <w:tc>
          <w:tcPr>
            <w:tcW w:w="3177" w:type="dxa"/>
            <w:tcBorders>
              <w:top w:val="single" w:sz="4" w:space="0" w:color="auto"/>
            </w:tcBorders>
          </w:tcPr>
          <w:p w14:paraId="1CCCD3D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eastAsia="Times New Roman" w:hAnsi="Times New Roman" w:cs="Times New Roman"/>
                <w:sz w:val="24"/>
                <w:szCs w:val="24"/>
              </w:rPr>
              <w:t>(Dasgupta et al., 2020)</w:t>
            </w:r>
          </w:p>
        </w:tc>
      </w:tr>
      <w:tr w:rsidR="00DF73EA" w:rsidRPr="00526214" w14:paraId="5717BD98" w14:textId="77777777" w:rsidTr="003A7E2D">
        <w:tc>
          <w:tcPr>
            <w:tcW w:w="3176" w:type="dxa"/>
          </w:tcPr>
          <w:p w14:paraId="00582B24"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RTO</w:t>
            </w:r>
          </w:p>
        </w:tc>
        <w:tc>
          <w:tcPr>
            <w:tcW w:w="3177" w:type="dxa"/>
          </w:tcPr>
          <w:p w14:paraId="517BB382"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Time to restore critical operations</w:t>
            </w:r>
          </w:p>
        </w:tc>
        <w:tc>
          <w:tcPr>
            <w:tcW w:w="3177" w:type="dxa"/>
          </w:tcPr>
          <w:p w14:paraId="11A25B3F" w14:textId="77777777" w:rsidR="00DF73EA" w:rsidRPr="00526214" w:rsidRDefault="00DF73EA" w:rsidP="00526214">
            <w:pPr>
              <w:spacing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(Kruse et al., 2017)</w:t>
            </w:r>
          </w:p>
          <w:p w14:paraId="1C9339A9" w14:textId="77777777" w:rsidR="00DF73EA" w:rsidRPr="00526214" w:rsidRDefault="00DF73EA" w:rsidP="00526214">
            <w:pPr>
              <w:spacing w:line="360" w:lineRule="auto"/>
              <w:jc w:val="both"/>
              <w:rPr>
                <w:rFonts w:ascii="Times New Roman" w:hAnsi="Times New Roman" w:cs="Times New Roman"/>
                <w:sz w:val="24"/>
                <w:szCs w:val="24"/>
              </w:rPr>
            </w:pPr>
          </w:p>
        </w:tc>
      </w:tr>
      <w:tr w:rsidR="00DF73EA" w:rsidRPr="00526214" w14:paraId="331EC23F" w14:textId="77777777" w:rsidTr="003A7E2D">
        <w:tc>
          <w:tcPr>
            <w:tcW w:w="3176" w:type="dxa"/>
            <w:tcBorders>
              <w:bottom w:val="single" w:sz="4" w:space="0" w:color="auto"/>
            </w:tcBorders>
          </w:tcPr>
          <w:p w14:paraId="44D148B6"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Physical Impact Index (PII)</w:t>
            </w:r>
          </w:p>
        </w:tc>
        <w:tc>
          <w:tcPr>
            <w:tcW w:w="3177" w:type="dxa"/>
            <w:tcBorders>
              <w:bottom w:val="single" w:sz="4" w:space="0" w:color="auto"/>
            </w:tcBorders>
          </w:tcPr>
          <w:p w14:paraId="2BDF357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Disruption to patient care (0–10)</w:t>
            </w:r>
          </w:p>
        </w:tc>
        <w:tc>
          <w:tcPr>
            <w:tcW w:w="3177" w:type="dxa"/>
            <w:tcBorders>
              <w:bottom w:val="single" w:sz="4" w:space="0" w:color="auto"/>
            </w:tcBorders>
          </w:tcPr>
          <w:p w14:paraId="2D12539F"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Jalali &amp; Kaiser (2018)</w:t>
            </w:r>
          </w:p>
        </w:tc>
      </w:tr>
    </w:tbl>
    <w:p w14:paraId="3E0EA94D" w14:textId="77777777" w:rsidR="00DF73EA" w:rsidRPr="00526214" w:rsidRDefault="00DF73EA" w:rsidP="00526214">
      <w:pPr>
        <w:spacing w:line="360" w:lineRule="auto"/>
        <w:jc w:val="both"/>
        <w:rPr>
          <w:rFonts w:ascii="Times New Roman" w:hAnsi="Times New Roman" w:cs="Times New Roman"/>
          <w:sz w:val="24"/>
          <w:szCs w:val="24"/>
        </w:rPr>
      </w:pPr>
    </w:p>
    <w:p w14:paraId="5381D493"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Statistical Derivation</w:t>
      </w:r>
    </w:p>
    <w:p w14:paraId="36C4F0EE" w14:textId="77777777" w:rsidR="00DF73EA" w:rsidRPr="00526214" w:rsidRDefault="00DF73EA"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b/>
          <w:sz w:val="24"/>
          <w:szCs w:val="24"/>
        </w:rPr>
        <w:t>Meta-Analysis:</w:t>
      </w:r>
      <w:r w:rsidRPr="00526214">
        <w:rPr>
          <w:rFonts w:ascii="Times New Roman" w:hAnsi="Times New Roman" w:cs="Times New Roman"/>
          <w:sz w:val="24"/>
          <w:szCs w:val="24"/>
        </w:rPr>
        <w:t xml:space="preserve"> Aggregates metrics across 30 studies using:</w:t>
      </w:r>
    </w:p>
    <w:p w14:paraId="3C5BB905" w14:textId="77777777" w:rsidR="00DF73EA" w:rsidRPr="00526214" w:rsidRDefault="00000000" w:rsidP="00526214">
      <w:pPr>
        <w:pStyle w:val="ListParagraph"/>
        <w:spacing w:line="360" w:lineRule="auto"/>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den>
          </m:f>
        </m:oMath>
      </m:oMathPara>
    </w:p>
    <w:p w14:paraId="25D5D780"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Where: </w:t>
      </w:r>
    </w:p>
    <w:p w14:paraId="17B90572"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w:t>
      </w:r>
      <w:r w:rsidRPr="00526214">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oMath>
      <w:r w:rsidRPr="00526214">
        <w:rPr>
          <w:rFonts w:ascii="Times New Roman" w:hAnsi="Times New Roman" w:cs="Times New Roman"/>
          <w:sz w:val="24"/>
          <w:szCs w:val="24"/>
        </w:rPr>
        <w:t xml:space="preserve">: Metric value from study (i) </w:t>
      </w:r>
    </w:p>
    <w:p w14:paraId="3012A5E1"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526214">
        <w:rPr>
          <w:rFonts w:ascii="Times New Roman" w:hAnsi="Times New Roman" w:cs="Times New Roman"/>
          <w:sz w:val="24"/>
          <w:szCs w:val="24"/>
        </w:rPr>
        <w:t xml:space="preserve">: Weight (sample size × quality score) </w:t>
      </w:r>
    </w:p>
    <w:p w14:paraId="56727CCF" w14:textId="77777777" w:rsidR="00E771F4" w:rsidRPr="00526214" w:rsidRDefault="00E771F4" w:rsidP="00526214">
      <w:pPr>
        <w:tabs>
          <w:tab w:val="left" w:pos="810"/>
        </w:tabs>
        <w:spacing w:line="360" w:lineRule="auto"/>
        <w:ind w:left="810"/>
        <w:jc w:val="both"/>
        <w:rPr>
          <w:rFonts w:ascii="Times New Roman" w:hAnsi="Times New Roman" w:cs="Times New Roman"/>
          <w:sz w:val="24"/>
          <w:szCs w:val="24"/>
        </w:rPr>
      </w:pPr>
      <w:r w:rsidRPr="00526214">
        <w:rPr>
          <w:rFonts w:ascii="Times New Roman" w:hAnsi="Times New Roman" w:cs="Times New Roman"/>
          <w:b/>
          <w:sz w:val="24"/>
          <w:szCs w:val="24"/>
        </w:rPr>
        <w:t>Correlation:</w:t>
      </w:r>
      <w:r w:rsidRPr="00526214">
        <w:rPr>
          <w:rFonts w:ascii="Times New Roman" w:hAnsi="Times New Roman" w:cs="Times New Roman"/>
          <w:sz w:val="24"/>
          <w:szCs w:val="24"/>
        </w:rPr>
        <w:t xml:space="preserve"> Pearson’s </w:t>
      </w:r>
      <w:proofErr w:type="gramStart"/>
      <w:r w:rsidRPr="00526214">
        <w:rPr>
          <w:rFonts w:ascii="Times New Roman" w:hAnsi="Times New Roman" w:cs="Times New Roman"/>
          <w:sz w:val="24"/>
          <w:szCs w:val="24"/>
        </w:rPr>
        <w:t>( r</w:t>
      </w:r>
      <w:proofErr w:type="gramEnd"/>
      <w:r w:rsidRPr="00526214">
        <w:rPr>
          <w:rFonts w:ascii="Times New Roman" w:hAnsi="Times New Roman" w:cs="Times New Roman"/>
          <w:sz w:val="24"/>
          <w:szCs w:val="24"/>
        </w:rPr>
        <w:t xml:space="preserve"> ) between preparedness and RTO (Jalali &amp; Kaiser, 2018). Figure 3 displays the negative correlation from 50 studies.</w:t>
      </w:r>
    </w:p>
    <w:p w14:paraId="012AE366" w14:textId="77777777" w:rsidR="00E771F4" w:rsidRPr="00526214" w:rsidRDefault="00E771F4" w:rsidP="00526214">
      <w:pPr>
        <w:pStyle w:val="ListParagraph"/>
        <w:spacing w:line="360" w:lineRule="auto"/>
        <w:ind w:left="1440"/>
        <w:jc w:val="both"/>
        <w:rPr>
          <w:rFonts w:ascii="Times New Roman" w:eastAsiaTheme="minorEastAsia" w:hAnsi="Times New Roman" w:cs="Times New Roman"/>
          <w:sz w:val="24"/>
          <w:szCs w:val="24"/>
        </w:rPr>
      </w:pPr>
      <m:oMathPara>
        <m:oMath>
          <m:r>
            <w:rPr>
              <w:rFonts w:ascii="Cambria Math" w:hAnsi="Cambria Math" w:cs="Times New Roman"/>
              <w:sz w:val="24"/>
              <w:szCs w:val="24"/>
            </w:rPr>
            <m:t>r=</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e>
                        <m:sup>
                          <m:r>
                            <w:rPr>
                              <w:rFonts w:ascii="Cambria Math" w:hAnsi="Cambria Math" w:cs="Times New Roman"/>
                              <w:sz w:val="24"/>
                              <w:szCs w:val="24"/>
                            </w:rPr>
                            <m:t>2</m:t>
                          </m:r>
                        </m:sup>
                      </m:sSup>
                    </m:e>
                  </m:nary>
                </m:e>
              </m:rad>
            </m:den>
          </m:f>
        </m:oMath>
      </m:oMathPara>
    </w:p>
    <w:p w14:paraId="65627D7E"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 </w:t>
      </w:r>
      <m:oMath>
        <m:r>
          <w:rPr>
            <w:rFonts w:ascii="Cambria Math" w:hAnsi="Cambria Math" w:cs="Times New Roman"/>
            <w:sz w:val="24"/>
            <w:szCs w:val="24"/>
          </w:rPr>
          <m:t>r</m:t>
        </m:r>
      </m:oMath>
      <w:r w:rsidRPr="00526214">
        <w:rPr>
          <w:rFonts w:ascii="Times New Roman" w:hAnsi="Times New Roman" w:cs="Times New Roman"/>
          <w:sz w:val="24"/>
          <w:szCs w:val="24"/>
        </w:rPr>
        <w:t xml:space="preserve"> = correlation coefficient</w:t>
      </w:r>
    </w:p>
    <w:p w14:paraId="0E7548E2"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526214">
        <w:rPr>
          <w:rFonts w:ascii="Times New Roman" w:hAnsi="Times New Roman" w:cs="Times New Roman"/>
          <w:sz w:val="24"/>
          <w:szCs w:val="24"/>
        </w:rPr>
        <w:t>= values of the x-variable in a sample</w:t>
      </w:r>
    </w:p>
    <w:p w14:paraId="4479B994"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526214">
        <w:rPr>
          <w:rFonts w:ascii="Times New Roman" w:hAnsi="Times New Roman" w:cs="Times New Roman"/>
          <w:sz w:val="24"/>
          <w:szCs w:val="24"/>
        </w:rPr>
        <w:t>= mean of the values of the x-variable</w:t>
      </w:r>
    </w:p>
    <w:p w14:paraId="0CD13471"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Pr="00526214">
        <w:rPr>
          <w:rFonts w:ascii="Times New Roman" w:hAnsi="Times New Roman" w:cs="Times New Roman"/>
          <w:sz w:val="24"/>
          <w:szCs w:val="24"/>
        </w:rPr>
        <w:t>= values of the y-variable in a sample</w:t>
      </w:r>
    </w:p>
    <w:p w14:paraId="50D58614" w14:textId="77777777" w:rsidR="00E771F4" w:rsidRPr="00526214" w:rsidRDefault="00E771F4" w:rsidP="00526214">
      <w:pPr>
        <w:pStyle w:val="ListParagraph"/>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w:r w:rsidRPr="00526214">
        <w:rPr>
          <w:rFonts w:ascii="Times New Roman" w:hAnsi="Times New Roman" w:cs="Times New Roman"/>
          <w:sz w:val="24"/>
          <w:szCs w:val="24"/>
        </w:rPr>
        <w:t>= mean of the values of the y-variable</w:t>
      </w:r>
    </w:p>
    <w:p w14:paraId="2A857B7E" w14:textId="77777777" w:rsidR="00526214" w:rsidRDefault="00526214" w:rsidP="00526214">
      <w:pPr>
        <w:spacing w:line="360" w:lineRule="auto"/>
        <w:jc w:val="both"/>
        <w:rPr>
          <w:rFonts w:ascii="Times New Roman" w:hAnsi="Times New Roman" w:cs="Times New Roman"/>
          <w:b/>
          <w:sz w:val="24"/>
          <w:szCs w:val="24"/>
        </w:rPr>
      </w:pPr>
    </w:p>
    <w:p w14:paraId="5DDF5C86" w14:textId="77777777" w:rsidR="00526214" w:rsidRDefault="00526214" w:rsidP="00526214">
      <w:pPr>
        <w:spacing w:line="360" w:lineRule="auto"/>
        <w:jc w:val="both"/>
        <w:rPr>
          <w:rFonts w:ascii="Times New Roman" w:hAnsi="Times New Roman" w:cs="Times New Roman"/>
          <w:b/>
          <w:sz w:val="24"/>
          <w:szCs w:val="24"/>
        </w:rPr>
      </w:pPr>
    </w:p>
    <w:p w14:paraId="5CED7305" w14:textId="77777777" w:rsidR="00526214" w:rsidRDefault="00526214" w:rsidP="00526214">
      <w:pPr>
        <w:spacing w:line="360" w:lineRule="auto"/>
        <w:jc w:val="both"/>
        <w:rPr>
          <w:rFonts w:ascii="Times New Roman" w:hAnsi="Times New Roman" w:cs="Times New Roman"/>
          <w:b/>
          <w:sz w:val="24"/>
          <w:szCs w:val="24"/>
        </w:rPr>
      </w:pPr>
    </w:p>
    <w:p w14:paraId="1C6267B4" w14:textId="77777777" w:rsidR="00526214" w:rsidRDefault="00526214" w:rsidP="00526214">
      <w:pPr>
        <w:spacing w:line="360" w:lineRule="auto"/>
        <w:jc w:val="both"/>
        <w:rPr>
          <w:rFonts w:ascii="Times New Roman" w:hAnsi="Times New Roman" w:cs="Times New Roman"/>
          <w:b/>
          <w:sz w:val="24"/>
          <w:szCs w:val="24"/>
        </w:rPr>
      </w:pPr>
    </w:p>
    <w:p w14:paraId="0631128D"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Figure 3</w:t>
      </w:r>
    </w:p>
    <w:p w14:paraId="23A15A81"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Scatter Plot of Preparedness vs. RTO</w:t>
      </w:r>
    </w:p>
    <w:p w14:paraId="0019D1F2" w14:textId="77777777" w:rsidR="00DF73EA" w:rsidRPr="00526214" w:rsidRDefault="00DF73EA" w:rsidP="00526214">
      <w:pPr>
        <w:pStyle w:val="ListParagraph"/>
        <w:spacing w:line="360" w:lineRule="auto"/>
        <w:ind w:left="1440"/>
        <w:jc w:val="both"/>
        <w:rPr>
          <w:rFonts w:ascii="Times New Roman" w:hAnsi="Times New Roman" w:cs="Times New Roman"/>
          <w:sz w:val="24"/>
          <w:szCs w:val="24"/>
        </w:rPr>
      </w:pPr>
    </w:p>
    <w:p w14:paraId="7997E489"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7D70EC2F" wp14:editId="7021BAE9">
            <wp:extent cx="5047013" cy="4074214"/>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 Scatter Plot of Preparedness vs. RTO.png"/>
                    <pic:cNvPicPr/>
                  </pic:nvPicPr>
                  <pic:blipFill rotWithShape="1">
                    <a:blip r:embed="rId10" cstate="print">
                      <a:extLst>
                        <a:ext uri="{28A0092B-C50C-407E-A947-70E740481C1C}">
                          <a14:useLocalDpi xmlns:a14="http://schemas.microsoft.com/office/drawing/2010/main" val="0"/>
                        </a:ext>
                      </a:extLst>
                    </a:blip>
                    <a:srcRect b="13095"/>
                    <a:stretch/>
                  </pic:blipFill>
                  <pic:spPr bwMode="auto">
                    <a:xfrm>
                      <a:off x="0" y="0"/>
                      <a:ext cx="5066139" cy="4089653"/>
                    </a:xfrm>
                    <a:prstGeom prst="rect">
                      <a:avLst/>
                    </a:prstGeom>
                    <a:ln>
                      <a:noFill/>
                    </a:ln>
                    <a:extLst>
                      <a:ext uri="{53640926-AAD7-44D8-BBD7-CCE9431645EC}">
                        <a14:shadowObscured xmlns:a14="http://schemas.microsoft.com/office/drawing/2010/main"/>
                      </a:ext>
                    </a:extLst>
                  </pic:spPr>
                </pic:pic>
              </a:graphicData>
            </a:graphic>
          </wp:inline>
        </w:drawing>
      </w:r>
    </w:p>
    <w:p w14:paraId="532761BE"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Analytical Approaches</w:t>
      </w:r>
    </w:p>
    <w:p w14:paraId="28DD94F6" w14:textId="77777777" w:rsidR="00B22179" w:rsidRPr="00526214" w:rsidRDefault="00B22179"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Quantitative Synthesis</w:t>
      </w:r>
    </w:p>
    <w:p w14:paraId="57A85A29" w14:textId="77777777" w:rsidR="00123E18"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b/>
          <w:sz w:val="24"/>
          <w:szCs w:val="24"/>
        </w:rPr>
        <w:t>Meta-Regression:</w:t>
      </w:r>
      <w:r w:rsidRPr="00526214">
        <w:rPr>
          <w:rFonts w:ascii="Times New Roman" w:hAnsi="Times New Roman" w:cs="Times New Roman"/>
          <w:sz w:val="24"/>
          <w:szCs w:val="24"/>
        </w:rPr>
        <w:t xml:space="preserve"> Assesses hospital size impact on resilience:</w:t>
      </w:r>
    </w:p>
    <w:p w14:paraId="7097CAF5" w14:textId="77777777" w:rsidR="00DF73EA" w:rsidRPr="00526214" w:rsidRDefault="00000000"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T+ϵ</m:t>
          </m:r>
        </m:oMath>
      </m:oMathPara>
    </w:p>
    <w:p w14:paraId="0A5200B5"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06F1E238"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(S): Hospital size (beds) </w:t>
      </w:r>
    </w:p>
    <w:p w14:paraId="0880363E"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(T): Technology investment </w:t>
      </w:r>
    </w:p>
    <w:p w14:paraId="39ADAF55"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r>
          <w:rPr>
            <w:rFonts w:ascii="Cambria Math" w:hAnsi="Cambria Math" w:cs="Times New Roman"/>
            <w:sz w:val="24"/>
            <w:szCs w:val="24"/>
          </w:rPr>
          <m:t>ϵ</m:t>
        </m:r>
      </m:oMath>
      <w:r w:rsidRPr="00526214">
        <w:rPr>
          <w:rFonts w:ascii="Times New Roman" w:hAnsi="Times New Roman" w:cs="Times New Roman"/>
          <w:sz w:val="24"/>
          <w:szCs w:val="24"/>
        </w:rPr>
        <w:t>: Error term</w:t>
      </w:r>
    </w:p>
    <w:p w14:paraId="572C1C4E"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hAnsi="Times New Roman" w:cs="Times New Roman"/>
          <w:b/>
          <w:sz w:val="24"/>
          <w:szCs w:val="24"/>
        </w:rPr>
        <w:lastRenderedPageBreak/>
        <w:t>Survival Analysis:</w:t>
      </w:r>
      <w:r w:rsidRPr="00526214">
        <w:rPr>
          <w:rFonts w:ascii="Times New Roman" w:hAnsi="Times New Roman" w:cs="Times New Roman"/>
          <w:sz w:val="24"/>
          <w:szCs w:val="24"/>
        </w:rPr>
        <w:t xml:space="preserve"> Kaplan-Meier curves for recovery times </w:t>
      </w:r>
      <w:r w:rsidRPr="00526214">
        <w:rPr>
          <w:rFonts w:ascii="Times New Roman" w:eastAsia="Times New Roman" w:hAnsi="Times New Roman" w:cs="Times New Roman"/>
          <w:sz w:val="24"/>
          <w:szCs w:val="24"/>
        </w:rPr>
        <w:t>((DATAtab, 2025; Kruse et al., 2017)</w:t>
      </w:r>
      <w:r w:rsidRPr="00526214">
        <w:rPr>
          <w:rFonts w:ascii="Times New Roman" w:hAnsi="Times New Roman" w:cs="Times New Roman"/>
          <w:sz w:val="24"/>
          <w:szCs w:val="24"/>
        </w:rPr>
        <w:t>.</w:t>
      </w:r>
    </w:p>
    <w:p w14:paraId="5246C0AA" w14:textId="77777777" w:rsidR="00B22179" w:rsidRPr="00526214" w:rsidRDefault="00000000" w:rsidP="00526214">
      <w:pPr>
        <w:spacing w:line="360" w:lineRule="auto"/>
        <w:jc w:val="both"/>
        <w:rPr>
          <w:rFonts w:ascii="Times New Roman" w:eastAsia="Times New Roman" w:hAnsi="Times New Roman" w:cs="Times New Roman"/>
          <w:sz w:val="24"/>
          <w:szCs w:val="24"/>
        </w:rPr>
      </w:pPr>
      <m:oMathPara>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S</m:t>
              </m:r>
            </m:e>
          </m:acc>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r>
            <w:rPr>
              <w:rFonts w:ascii="Cambria Math" w:eastAsia="Times New Roman" w:hAnsi="Cambria Math" w:cs="Times New Roman"/>
              <w:sz w:val="24"/>
              <w:szCs w:val="24"/>
            </w:rPr>
            <m:t>=</m:t>
          </m:r>
          <m:nary>
            <m:naryPr>
              <m:chr m:val="∏"/>
              <m:limLoc m:val="undOvr"/>
              <m:supHide m:val="1"/>
              <m:ctrlPr>
                <w:rPr>
                  <w:rFonts w:ascii="Cambria Math" w:eastAsia="Times New Roman" w:hAnsi="Cambria Math" w:cs="Times New Roman"/>
                  <w:i/>
                  <w:sz w:val="24"/>
                  <w:szCs w:val="24"/>
                </w:rPr>
              </m:ctrlPr>
            </m:naryPr>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≤t</m:t>
              </m:r>
            </m:sub>
            <m:sup/>
            <m:e>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j</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j</m:t>
                      </m:r>
                    </m:sub>
                  </m:sSub>
                </m:den>
              </m:f>
            </m:e>
          </m:nary>
          <m:r>
            <w:rPr>
              <w:rFonts w:ascii="Cambria Math" w:eastAsia="Times New Roman" w:hAnsi="Cambria Math" w:cs="Times New Roman"/>
              <w:sz w:val="24"/>
              <w:szCs w:val="24"/>
            </w:rPr>
            <m:t>)</m:t>
          </m:r>
        </m:oMath>
      </m:oMathPara>
    </w:p>
    <w:p w14:paraId="7F5A1BE9" w14:textId="77777777" w:rsidR="00B22179" w:rsidRPr="00526214" w:rsidRDefault="00B22179" w:rsidP="00526214">
      <w:pPr>
        <w:spacing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 xml:space="preserve">Where: </w:t>
      </w:r>
    </w:p>
    <w:p w14:paraId="3EEDB7E6" w14:textId="77777777" w:rsidR="00B22179" w:rsidRPr="00526214" w:rsidRDefault="00B22179" w:rsidP="00526214">
      <w:pPr>
        <w:spacing w:line="360" w:lineRule="auto"/>
        <w:jc w:val="both"/>
        <w:rPr>
          <w:rFonts w:ascii="Times New Roman" w:eastAsiaTheme="minorEastAsia" w:hAnsi="Times New Roman" w:cs="Times New Roman"/>
          <w:sz w:val="24"/>
          <w:szCs w:val="24"/>
        </w:rPr>
      </w:pPr>
      <w:r w:rsidRPr="00526214">
        <w:rPr>
          <w:rFonts w:ascii="Times New Roman" w:eastAsia="Times New Roman" w:hAnsi="Times New Roman" w:cs="Times New Roman"/>
          <w:sz w:val="24"/>
          <w:szCs w:val="24"/>
        </w:rPr>
        <w:tab/>
      </w:r>
      <w:r w:rsidRPr="00526214">
        <w:rPr>
          <w:rFonts w:ascii="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S</m:t>
            </m:r>
          </m:e>
        </m:acc>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oMath>
      <w:r w:rsidRPr="00526214">
        <w:rPr>
          <w:rFonts w:ascii="Times New Roman" w:eastAsiaTheme="minorEastAsia" w:hAnsi="Times New Roman" w:cs="Times New Roman"/>
          <w:sz w:val="24"/>
          <w:szCs w:val="24"/>
        </w:rPr>
        <w:t>= Estimated survival probability at time, t</w:t>
      </w:r>
    </w:p>
    <w:p w14:paraId="40B4CEF1"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eastAsia="Times New Roman" w:hAnsi="Times New Roman" w:cs="Times New Roman"/>
          <w:sz w:val="24"/>
          <w:szCs w:val="24"/>
        </w:rPr>
        <w:tab/>
      </w:r>
      <w:r w:rsidRPr="00526214">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j</m:t>
            </m:r>
          </m:sub>
        </m:sSub>
      </m:oMath>
      <w:r w:rsidRPr="00526214">
        <w:rPr>
          <w:rFonts w:ascii="Times New Roman" w:hAnsi="Times New Roman" w:cs="Times New Roman"/>
          <w:sz w:val="24"/>
          <w:szCs w:val="24"/>
        </w:rPr>
        <w:t xml:space="preserve"> = number of events (e.g., deaths) occurring at time interval, j</w:t>
      </w:r>
    </w:p>
    <w:p w14:paraId="7373CBF7" w14:textId="77777777" w:rsidR="00B22179" w:rsidRPr="00526214" w:rsidRDefault="00B22179" w:rsidP="00526214">
      <w:pPr>
        <w:spacing w:line="360" w:lineRule="auto"/>
        <w:jc w:val="both"/>
        <w:rPr>
          <w:rFonts w:ascii="Times New Roman" w:hAnsi="Times New Roman" w:cs="Times New Roman"/>
          <w:sz w:val="24"/>
          <w:szCs w:val="24"/>
        </w:rPr>
      </w:pPr>
      <w:r w:rsidRPr="00526214">
        <w:rPr>
          <w:rFonts w:ascii="Times New Roman" w:eastAsia="Times New Roman" w:hAnsi="Times New Roman" w:cs="Times New Roman"/>
          <w:sz w:val="24"/>
          <w:szCs w:val="24"/>
        </w:rPr>
        <w:tab/>
      </w:r>
      <w:r w:rsidRPr="00526214">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 xml:space="preserve"> </m:t>
        </m:r>
      </m:oMath>
      <w:r w:rsidRPr="00526214">
        <w:rPr>
          <w:rFonts w:ascii="Times New Roman" w:hAnsi="Times New Roman" w:cs="Times New Roman"/>
          <w:sz w:val="24"/>
          <w:szCs w:val="24"/>
        </w:rPr>
        <w:t>= number of individuals at risk at the start of time interval, j</w:t>
      </w:r>
    </w:p>
    <w:p w14:paraId="3C64A975" w14:textId="77777777" w:rsidR="00B22179" w:rsidRPr="00526214" w:rsidRDefault="00B22179" w:rsidP="00526214">
      <w:pPr>
        <w:spacing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ab/>
      </w:r>
      <w:r w:rsidRPr="00526214">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 xml:space="preserve"> </m:t>
        </m:r>
      </m:oMath>
      <w:r w:rsidRPr="00526214">
        <w:rPr>
          <w:rFonts w:ascii="Times New Roman" w:hAnsi="Times New Roman" w:cs="Times New Roman"/>
          <w:sz w:val="24"/>
          <w:szCs w:val="24"/>
        </w:rPr>
        <w:t>= time</w:t>
      </w:r>
    </w:p>
    <w:p w14:paraId="7CC5C88A"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Qualitative Synthesis</w:t>
      </w:r>
    </w:p>
    <w:p w14:paraId="4AAB4A92"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thematic analysis identifies key resilience themes, such as the importance of backups and staff training, following the methodology outlined by Braun and Clarke (2006), as presented in Table 3. Additionally, the findings are mapped to the NIST Cybersecurity Framework (CSF) and aligned with relevant CPS risk factors to ensure a comprehensive understanding of resilience within healthcare systems.</w:t>
      </w:r>
    </w:p>
    <w:p w14:paraId="2858A75F"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3</w:t>
      </w:r>
    </w:p>
    <w:p w14:paraId="6C19A34D"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Thematic Codes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120"/>
        <w:gridCol w:w="3117"/>
      </w:tblGrid>
      <w:tr w:rsidR="00DF73EA" w:rsidRPr="00526214" w14:paraId="12BB6E1A" w14:textId="77777777" w:rsidTr="003A7E2D">
        <w:tc>
          <w:tcPr>
            <w:tcW w:w="3176" w:type="dxa"/>
            <w:tcBorders>
              <w:top w:val="single" w:sz="4" w:space="0" w:color="auto"/>
              <w:bottom w:val="single" w:sz="4" w:space="0" w:color="auto"/>
            </w:tcBorders>
          </w:tcPr>
          <w:p w14:paraId="2E9ABF3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Theme</w:t>
            </w:r>
          </w:p>
        </w:tc>
        <w:tc>
          <w:tcPr>
            <w:tcW w:w="3177" w:type="dxa"/>
            <w:tcBorders>
              <w:top w:val="single" w:sz="4" w:space="0" w:color="auto"/>
              <w:bottom w:val="single" w:sz="4" w:space="0" w:color="auto"/>
            </w:tcBorders>
          </w:tcPr>
          <w:p w14:paraId="01A6F076"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Description</w:t>
            </w:r>
          </w:p>
        </w:tc>
        <w:tc>
          <w:tcPr>
            <w:tcW w:w="3177" w:type="dxa"/>
            <w:tcBorders>
              <w:top w:val="single" w:sz="4" w:space="0" w:color="auto"/>
              <w:bottom w:val="single" w:sz="4" w:space="0" w:color="auto"/>
            </w:tcBorders>
          </w:tcPr>
          <w:p w14:paraId="7C6390EA"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Frequency</w:t>
            </w:r>
          </w:p>
        </w:tc>
      </w:tr>
      <w:tr w:rsidR="00DF73EA" w:rsidRPr="00526214" w14:paraId="1470A8AF" w14:textId="77777777" w:rsidTr="003A7E2D">
        <w:tc>
          <w:tcPr>
            <w:tcW w:w="3176" w:type="dxa"/>
            <w:tcBorders>
              <w:top w:val="single" w:sz="4" w:space="0" w:color="auto"/>
            </w:tcBorders>
          </w:tcPr>
          <w:p w14:paraId="3B7B9BA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Backup Efficacy</w:t>
            </w:r>
          </w:p>
        </w:tc>
        <w:tc>
          <w:tcPr>
            <w:tcW w:w="3177" w:type="dxa"/>
            <w:tcBorders>
              <w:top w:val="single" w:sz="4" w:space="0" w:color="auto"/>
            </w:tcBorders>
          </w:tcPr>
          <w:p w14:paraId="100F6F6D"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Impact on recovery</w:t>
            </w:r>
          </w:p>
        </w:tc>
        <w:tc>
          <w:tcPr>
            <w:tcW w:w="3177" w:type="dxa"/>
            <w:tcBorders>
              <w:top w:val="single" w:sz="4" w:space="0" w:color="auto"/>
            </w:tcBorders>
          </w:tcPr>
          <w:p w14:paraId="3B325196"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18 studies</w:t>
            </w:r>
          </w:p>
        </w:tc>
      </w:tr>
      <w:tr w:rsidR="00DF73EA" w:rsidRPr="00526214" w14:paraId="76968FB1" w14:textId="77777777" w:rsidTr="003A7E2D">
        <w:tc>
          <w:tcPr>
            <w:tcW w:w="3176" w:type="dxa"/>
            <w:tcBorders>
              <w:bottom w:val="single" w:sz="4" w:space="0" w:color="auto"/>
            </w:tcBorders>
          </w:tcPr>
          <w:p w14:paraId="4103F61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Staff Preparedness</w:t>
            </w:r>
          </w:p>
        </w:tc>
        <w:tc>
          <w:tcPr>
            <w:tcW w:w="3177" w:type="dxa"/>
            <w:tcBorders>
              <w:bottom w:val="single" w:sz="4" w:space="0" w:color="auto"/>
            </w:tcBorders>
          </w:tcPr>
          <w:p w14:paraId="50050395"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Role in detection</w:t>
            </w:r>
          </w:p>
        </w:tc>
        <w:tc>
          <w:tcPr>
            <w:tcW w:w="3177" w:type="dxa"/>
            <w:tcBorders>
              <w:bottom w:val="single" w:sz="4" w:space="0" w:color="auto"/>
            </w:tcBorders>
          </w:tcPr>
          <w:p w14:paraId="6B67578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22 studies</w:t>
            </w:r>
          </w:p>
        </w:tc>
      </w:tr>
    </w:tbl>
    <w:p w14:paraId="091360A1" w14:textId="77777777" w:rsidR="00DF73EA" w:rsidRPr="00526214" w:rsidRDefault="00DF73EA" w:rsidP="00526214">
      <w:pPr>
        <w:spacing w:line="360" w:lineRule="auto"/>
        <w:jc w:val="both"/>
        <w:rPr>
          <w:rFonts w:ascii="Times New Roman" w:hAnsi="Times New Roman" w:cs="Times New Roman"/>
          <w:sz w:val="24"/>
          <w:szCs w:val="24"/>
        </w:rPr>
      </w:pPr>
    </w:p>
    <w:p w14:paraId="476EC68C"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Validation Techniques</w:t>
      </w:r>
    </w:p>
    <w:p w14:paraId="7FC3BC53"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Table 4 displays the validation techniques used from different sources.</w:t>
      </w:r>
    </w:p>
    <w:p w14:paraId="131CC9B2"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4</w:t>
      </w:r>
    </w:p>
    <w:p w14:paraId="527269C9"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Validation Techniques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DF73EA" w:rsidRPr="00526214" w14:paraId="2A94C1E0" w14:textId="77777777" w:rsidTr="003A7E2D">
        <w:tc>
          <w:tcPr>
            <w:tcW w:w="4765" w:type="dxa"/>
            <w:tcBorders>
              <w:top w:val="single" w:sz="4" w:space="0" w:color="auto"/>
              <w:bottom w:val="single" w:sz="4" w:space="0" w:color="auto"/>
            </w:tcBorders>
          </w:tcPr>
          <w:p w14:paraId="0A511FB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Technique</w:t>
            </w:r>
          </w:p>
        </w:tc>
        <w:tc>
          <w:tcPr>
            <w:tcW w:w="4765" w:type="dxa"/>
            <w:tcBorders>
              <w:top w:val="single" w:sz="4" w:space="0" w:color="auto"/>
              <w:bottom w:val="single" w:sz="4" w:space="0" w:color="auto"/>
            </w:tcBorders>
          </w:tcPr>
          <w:p w14:paraId="653B2F5C"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Application</w:t>
            </w:r>
          </w:p>
        </w:tc>
      </w:tr>
      <w:tr w:rsidR="00DF73EA" w:rsidRPr="00526214" w14:paraId="35E6B257" w14:textId="77777777" w:rsidTr="003A7E2D">
        <w:tc>
          <w:tcPr>
            <w:tcW w:w="4765" w:type="dxa"/>
            <w:tcBorders>
              <w:top w:val="single" w:sz="4" w:space="0" w:color="auto"/>
            </w:tcBorders>
          </w:tcPr>
          <w:p w14:paraId="27DE85F8"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Historical Matching</w:t>
            </w:r>
          </w:p>
        </w:tc>
        <w:tc>
          <w:tcPr>
            <w:tcW w:w="4765" w:type="dxa"/>
            <w:tcBorders>
              <w:top w:val="single" w:sz="4" w:space="0" w:color="auto"/>
            </w:tcBorders>
          </w:tcPr>
          <w:p w14:paraId="1EC63B89"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Aligns models with WannaCry data (NIST, 2020)</w:t>
            </w:r>
          </w:p>
        </w:tc>
      </w:tr>
      <w:tr w:rsidR="00DF73EA" w:rsidRPr="00526214" w14:paraId="42CE9CCE" w14:textId="77777777" w:rsidTr="003A7E2D">
        <w:tc>
          <w:tcPr>
            <w:tcW w:w="4765" w:type="dxa"/>
          </w:tcPr>
          <w:p w14:paraId="6E547697"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Sensitivity Analysis</w:t>
            </w:r>
          </w:p>
        </w:tc>
        <w:tc>
          <w:tcPr>
            <w:tcW w:w="4765" w:type="dxa"/>
          </w:tcPr>
          <w:p w14:paraId="39566788"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Tests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526214">
              <w:rPr>
                <w:rFonts w:ascii="Times New Roman" w:hAnsi="Times New Roman" w:cs="Times New Roman"/>
                <w:sz w:val="24"/>
                <w:szCs w:val="24"/>
              </w:rPr>
              <w:t xml:space="preserve"> variations in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w:t>
            </w:r>
          </w:p>
        </w:tc>
      </w:tr>
      <w:tr w:rsidR="00DF73EA" w:rsidRPr="00526214" w14:paraId="70753948" w14:textId="77777777" w:rsidTr="003A7E2D">
        <w:tc>
          <w:tcPr>
            <w:tcW w:w="4765" w:type="dxa"/>
            <w:tcBorders>
              <w:bottom w:val="single" w:sz="4" w:space="0" w:color="auto"/>
            </w:tcBorders>
          </w:tcPr>
          <w:p w14:paraId="0B6260DB"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Expert Synthesis</w:t>
            </w:r>
          </w:p>
        </w:tc>
        <w:tc>
          <w:tcPr>
            <w:tcW w:w="4765" w:type="dxa"/>
            <w:tcBorders>
              <w:bottom w:val="single" w:sz="4" w:space="0" w:color="auto"/>
            </w:tcBorders>
          </w:tcPr>
          <w:p w14:paraId="582A791D" w14:textId="77777777" w:rsidR="00DF73EA" w:rsidRPr="00526214" w:rsidRDefault="00DF73EA"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Uses expert-validated frameworks (Linkov et al., 2016)</w:t>
            </w:r>
          </w:p>
        </w:tc>
      </w:tr>
    </w:tbl>
    <w:p w14:paraId="5C2360A3" w14:textId="77777777" w:rsidR="00DF73EA" w:rsidRPr="00526214" w:rsidRDefault="00DF73EA" w:rsidP="00526214">
      <w:pPr>
        <w:spacing w:line="360" w:lineRule="auto"/>
        <w:jc w:val="both"/>
        <w:rPr>
          <w:rFonts w:ascii="Times New Roman" w:hAnsi="Times New Roman" w:cs="Times New Roman"/>
          <w:b/>
          <w:sz w:val="24"/>
          <w:szCs w:val="24"/>
        </w:rPr>
      </w:pPr>
    </w:p>
    <w:p w14:paraId="543F3331"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Reliability Measures</w:t>
      </w:r>
    </w:p>
    <w:p w14:paraId="179BC0CF"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sz w:val="24"/>
          <w:szCs w:val="24"/>
        </w:rPr>
        <w:t xml:space="preserve">The meta-analysis revealed a moderate level of heterogeneity, with an I² value of 65%, indicating variability across the included studies (Higgins &amp; Thompson, 2002). To assess potential bias, a funnel plot was used, and Egger’s test yielded a </w:t>
      </w:r>
      <w:r w:rsidRPr="00526214">
        <w:rPr>
          <w:rFonts w:ascii="Times New Roman" w:hAnsi="Times New Roman" w:cs="Times New Roman"/>
          <w:i/>
          <w:sz w:val="24"/>
          <w:szCs w:val="24"/>
        </w:rPr>
        <w:t>p</w:t>
      </w:r>
      <w:r w:rsidRPr="00526214">
        <w:rPr>
          <w:rFonts w:ascii="Times New Roman" w:hAnsi="Times New Roman" w:cs="Times New Roman"/>
          <w:sz w:val="24"/>
          <w:szCs w:val="24"/>
        </w:rPr>
        <w:t>-value of 0.82, confirming that there is low publication bias. Figure 4 displays the funnel plot, which further supports this finding.</w:t>
      </w:r>
    </w:p>
    <w:p w14:paraId="4D408F27" w14:textId="77777777" w:rsidR="00DF73EA" w:rsidRPr="00526214" w:rsidRDefault="00DF73EA" w:rsidP="00526214">
      <w:pPr>
        <w:pStyle w:val="ListParagraph"/>
        <w:spacing w:line="360" w:lineRule="auto"/>
        <w:ind w:left="0"/>
        <w:jc w:val="both"/>
        <w:rPr>
          <w:rFonts w:ascii="Times New Roman" w:hAnsi="Times New Roman" w:cs="Times New Roman"/>
          <w:b/>
          <w:sz w:val="24"/>
          <w:szCs w:val="24"/>
        </w:rPr>
      </w:pPr>
      <w:r w:rsidRPr="00526214">
        <w:rPr>
          <w:rFonts w:ascii="Times New Roman" w:hAnsi="Times New Roman" w:cs="Times New Roman"/>
          <w:b/>
          <w:sz w:val="24"/>
          <w:szCs w:val="24"/>
        </w:rPr>
        <w:t>Figure 4</w:t>
      </w:r>
    </w:p>
    <w:p w14:paraId="40C0AFB9" w14:textId="77777777" w:rsidR="00DF73EA" w:rsidRPr="00526214" w:rsidRDefault="00DF73EA" w:rsidP="00526214">
      <w:pPr>
        <w:pStyle w:val="ListParagraph"/>
        <w:spacing w:line="360" w:lineRule="auto"/>
        <w:ind w:left="0"/>
        <w:jc w:val="both"/>
        <w:rPr>
          <w:rFonts w:ascii="Times New Roman" w:hAnsi="Times New Roman" w:cs="Times New Roman"/>
          <w:i/>
          <w:sz w:val="24"/>
          <w:szCs w:val="24"/>
        </w:rPr>
      </w:pPr>
      <w:r w:rsidRPr="00526214">
        <w:rPr>
          <w:rFonts w:ascii="Times New Roman" w:hAnsi="Times New Roman" w:cs="Times New Roman"/>
          <w:i/>
          <w:sz w:val="24"/>
          <w:szCs w:val="24"/>
        </w:rPr>
        <w:t>Funnel Plot</w:t>
      </w:r>
    </w:p>
    <w:p w14:paraId="3B221CE8"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590C75F4" wp14:editId="4E15EE7A">
            <wp:extent cx="5189103" cy="4251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 Funnel Plot.png"/>
                    <pic:cNvPicPr/>
                  </pic:nvPicPr>
                  <pic:blipFill rotWithShape="1">
                    <a:blip r:embed="rId11" cstate="print">
                      <a:extLst>
                        <a:ext uri="{28A0092B-C50C-407E-A947-70E740481C1C}">
                          <a14:useLocalDpi xmlns:a14="http://schemas.microsoft.com/office/drawing/2010/main" val="0"/>
                        </a:ext>
                      </a:extLst>
                    </a:blip>
                    <a:srcRect t="20429" b="18982"/>
                    <a:stretch/>
                  </pic:blipFill>
                  <pic:spPr bwMode="auto">
                    <a:xfrm>
                      <a:off x="0" y="0"/>
                      <a:ext cx="5204732" cy="4264170"/>
                    </a:xfrm>
                    <a:prstGeom prst="rect">
                      <a:avLst/>
                    </a:prstGeom>
                    <a:ln>
                      <a:noFill/>
                    </a:ln>
                    <a:extLst>
                      <a:ext uri="{53640926-AAD7-44D8-BBD7-CCE9431645EC}">
                        <a14:shadowObscured xmlns:a14="http://schemas.microsoft.com/office/drawing/2010/main"/>
                      </a:ext>
                    </a:extLst>
                  </pic:spPr>
                </pic:pic>
              </a:graphicData>
            </a:graphic>
          </wp:inline>
        </w:drawing>
      </w:r>
    </w:p>
    <w:p w14:paraId="26BBBBD0"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Ethical Considerations</w:t>
      </w:r>
    </w:p>
    <w:p w14:paraId="0B20D1A3" w14:textId="77777777" w:rsidR="00DF73EA" w:rsidRPr="00526214" w:rsidRDefault="00DF73EA" w:rsidP="00526214">
      <w:pPr>
        <w:pStyle w:val="ListParagraph"/>
        <w:spacing w:line="360" w:lineRule="auto"/>
        <w:ind w:left="0"/>
        <w:jc w:val="both"/>
        <w:rPr>
          <w:rFonts w:ascii="Times New Roman" w:hAnsi="Times New Roman" w:cs="Times New Roman"/>
          <w:sz w:val="24"/>
          <w:szCs w:val="24"/>
        </w:rPr>
      </w:pPr>
      <w:r w:rsidRPr="00526214">
        <w:rPr>
          <w:rFonts w:ascii="Times New Roman" w:hAnsi="Times New Roman" w:cs="Times New Roman"/>
          <w:sz w:val="24"/>
          <w:szCs w:val="24"/>
        </w:rPr>
        <w:t xml:space="preserve">The study ensures data integrity by utilizing anonymized, aggregated data sourced from publicly available repositories. Transparency is maintained throughout the research process, with the methodology fully documented in accordance with the COPE (2023) guidelines. Additionally, the study upholds neutrality by remaining free from any external funding influences that could introduce bias into the </w:t>
      </w:r>
      <w:proofErr w:type="gramStart"/>
      <w:r w:rsidRPr="00526214">
        <w:rPr>
          <w:rFonts w:ascii="Times New Roman" w:hAnsi="Times New Roman" w:cs="Times New Roman"/>
          <w:sz w:val="24"/>
          <w:szCs w:val="24"/>
        </w:rPr>
        <w:t>findings..</w:t>
      </w:r>
      <w:proofErr w:type="gramEnd"/>
    </w:p>
    <w:p w14:paraId="0517211A" w14:textId="77777777" w:rsidR="00DF73EA" w:rsidRPr="00526214" w:rsidRDefault="00DF73EA"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Adheres to APA ethical guidelines (American Psychological Association, 2020)</w:t>
      </w:r>
    </w:p>
    <w:p w14:paraId="635D8F7A" w14:textId="77777777" w:rsidR="00DF73EA" w:rsidRPr="00526214" w:rsidRDefault="00DF73EA"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Methodological Limitations</w:t>
      </w:r>
    </w:p>
    <w:p w14:paraId="17561B88" w14:textId="77777777" w:rsidR="00DF73EA" w:rsidRPr="00526214" w:rsidRDefault="00DF73EA"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The study acknowledges several methodological limitations. One limitation is data variability, as inconsistent metric definitions across studies can affect the comparability of findings. Additionally, there is a potential bias risk due to the overrepresentation of high-profile ransomware incidents, which may not accurately reflect the full spectrum of healthcare CPS vulnerabilities. The scope of the study is also limited by its focus on well-documented healthcare systems, potentially excluding smaller or less-researched environments.</w:t>
      </w:r>
    </w:p>
    <w:p w14:paraId="5D6AEC92" w14:textId="77777777" w:rsidR="00DF73EA" w:rsidRPr="00526214" w:rsidRDefault="00DF73EA"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To mitigate these issues, the study adopts standardized effect sizes to ensure more consistent comparisons across studies. Additionally, it includes grey literature, such as reports from the European Network and Information Security Agency (ENISA), to supplement the data and provide a broader perspective.</w:t>
      </w:r>
    </w:p>
    <w:p w14:paraId="6A0297C5" w14:textId="77777777" w:rsidR="00DF73EA" w:rsidRPr="00526214" w:rsidRDefault="00DF73EA" w:rsidP="00526214">
      <w:pPr>
        <w:pStyle w:val="ListParagraph"/>
        <w:spacing w:line="360" w:lineRule="auto"/>
        <w:ind w:left="-90"/>
        <w:jc w:val="both"/>
        <w:rPr>
          <w:rFonts w:ascii="Times New Roman" w:hAnsi="Times New Roman" w:cs="Times New Roman"/>
          <w:sz w:val="24"/>
          <w:szCs w:val="24"/>
        </w:rPr>
      </w:pPr>
    </w:p>
    <w:p w14:paraId="00854EA4" w14:textId="77777777" w:rsidR="00A857CE" w:rsidRPr="00526214" w:rsidRDefault="00A857CE" w:rsidP="00526214">
      <w:pPr>
        <w:pStyle w:val="Heading1"/>
      </w:pPr>
      <w:r w:rsidRPr="00526214">
        <w:t>4: Results and Discussion</w:t>
      </w:r>
    </w:p>
    <w:p w14:paraId="1526968A"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Results from Systematic Literature Review (SLR)</w:t>
      </w:r>
    </w:p>
    <w:p w14:paraId="0469DF0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SLR was conducted following the PRISMA 2020 guidelines (Page et al., 2021). From an initial pool of 1,500 records retrieved from databases such as IEEE Xplore, PubMed, and Scopus, 800 remained after removing duplicates. After applying inclusion criteria studies from 2015 to 2023 focusing on healthcare CPS, ransomware, and resilience, 50 studies were selected. This timeframe ensures relevance to contemporary cybersecurity challenges in healthcare, particularly </w:t>
      </w:r>
      <w:r w:rsidRPr="00526214">
        <w:rPr>
          <w:rFonts w:ascii="Times New Roman" w:hAnsi="Times New Roman" w:cs="Times New Roman"/>
          <w:sz w:val="24"/>
          <w:szCs w:val="24"/>
        </w:rPr>
        <w:lastRenderedPageBreak/>
        <w:t xml:space="preserve">post-WannaCry (2017) and during the COVID-19 pandemic, which saw increased cyber threats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w:t>
      </w:r>
    </w:p>
    <w:p w14:paraId="6C9D41E1"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Thematic Analysis of Resilience Themes</w:t>
      </w:r>
    </w:p>
    <w:p w14:paraId="67F5376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 thematic analysis of the 50 studies identified five critical resilience themes for healthcare CPS, as shown in Table 5. These themes emerged from qualitative coding of study findings, focusing on factors mitigating ransomware impacts.</w:t>
      </w:r>
    </w:p>
    <w:p w14:paraId="455A765B"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5</w:t>
      </w:r>
    </w:p>
    <w:p w14:paraId="3A7B4D09"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Key Resilience Themes from SLR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57CE" w:rsidRPr="00526214" w14:paraId="16206B49" w14:textId="77777777" w:rsidTr="003A7E2D">
        <w:tc>
          <w:tcPr>
            <w:tcW w:w="3116" w:type="dxa"/>
            <w:tcBorders>
              <w:top w:val="single" w:sz="4" w:space="0" w:color="auto"/>
              <w:bottom w:val="single" w:sz="4" w:space="0" w:color="auto"/>
            </w:tcBorders>
          </w:tcPr>
          <w:p w14:paraId="2747332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Theme</w:t>
            </w:r>
          </w:p>
        </w:tc>
        <w:tc>
          <w:tcPr>
            <w:tcW w:w="3117" w:type="dxa"/>
            <w:tcBorders>
              <w:top w:val="single" w:sz="4" w:space="0" w:color="auto"/>
              <w:bottom w:val="single" w:sz="4" w:space="0" w:color="auto"/>
            </w:tcBorders>
          </w:tcPr>
          <w:p w14:paraId="718233AF"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Description</w:t>
            </w:r>
          </w:p>
        </w:tc>
        <w:tc>
          <w:tcPr>
            <w:tcW w:w="3117" w:type="dxa"/>
            <w:tcBorders>
              <w:top w:val="single" w:sz="4" w:space="0" w:color="auto"/>
              <w:bottom w:val="single" w:sz="4" w:space="0" w:color="auto"/>
            </w:tcBorders>
          </w:tcPr>
          <w:p w14:paraId="2B05BC95"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Frequency (No. of Studies)</w:t>
            </w:r>
          </w:p>
        </w:tc>
      </w:tr>
      <w:tr w:rsidR="00A857CE" w:rsidRPr="00526214" w14:paraId="29C8A5B7" w14:textId="77777777" w:rsidTr="003A7E2D">
        <w:tc>
          <w:tcPr>
            <w:tcW w:w="3116" w:type="dxa"/>
            <w:tcBorders>
              <w:top w:val="single" w:sz="4" w:space="0" w:color="auto"/>
            </w:tcBorders>
          </w:tcPr>
          <w:p w14:paraId="74C08A1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Backup Efficacy</w:t>
            </w:r>
          </w:p>
        </w:tc>
        <w:tc>
          <w:tcPr>
            <w:tcW w:w="3117" w:type="dxa"/>
            <w:tcBorders>
              <w:top w:val="single" w:sz="4" w:space="0" w:color="auto"/>
            </w:tcBorders>
          </w:tcPr>
          <w:p w14:paraId="197F560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Effectiveness of data backups in recovery</w:t>
            </w:r>
          </w:p>
        </w:tc>
        <w:tc>
          <w:tcPr>
            <w:tcW w:w="3117" w:type="dxa"/>
            <w:tcBorders>
              <w:top w:val="single" w:sz="4" w:space="0" w:color="auto"/>
            </w:tcBorders>
          </w:tcPr>
          <w:p w14:paraId="4513F5C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18</w:t>
            </w:r>
          </w:p>
        </w:tc>
      </w:tr>
      <w:tr w:rsidR="00A857CE" w:rsidRPr="00526214" w14:paraId="4FDF0C00" w14:textId="77777777" w:rsidTr="003A7E2D">
        <w:tc>
          <w:tcPr>
            <w:tcW w:w="3116" w:type="dxa"/>
          </w:tcPr>
          <w:p w14:paraId="118A2FD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Staff Preparedness</w:t>
            </w:r>
          </w:p>
        </w:tc>
        <w:tc>
          <w:tcPr>
            <w:tcW w:w="3117" w:type="dxa"/>
          </w:tcPr>
          <w:p w14:paraId="7D59A36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Role of training in detection and response</w:t>
            </w:r>
          </w:p>
        </w:tc>
        <w:tc>
          <w:tcPr>
            <w:tcW w:w="3117" w:type="dxa"/>
          </w:tcPr>
          <w:p w14:paraId="72DE2930"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22</w:t>
            </w:r>
          </w:p>
        </w:tc>
      </w:tr>
      <w:tr w:rsidR="00A857CE" w:rsidRPr="00526214" w14:paraId="7426A064" w14:textId="77777777" w:rsidTr="003A7E2D">
        <w:tc>
          <w:tcPr>
            <w:tcW w:w="3116" w:type="dxa"/>
          </w:tcPr>
          <w:p w14:paraId="3ADC35B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Network Segmentation</w:t>
            </w:r>
          </w:p>
        </w:tc>
        <w:tc>
          <w:tcPr>
            <w:tcW w:w="3117" w:type="dxa"/>
          </w:tcPr>
          <w:p w14:paraId="2D048B0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Impact on limiting ransomware spread</w:t>
            </w:r>
          </w:p>
        </w:tc>
        <w:tc>
          <w:tcPr>
            <w:tcW w:w="3117" w:type="dxa"/>
          </w:tcPr>
          <w:p w14:paraId="2256B9E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15</w:t>
            </w:r>
          </w:p>
        </w:tc>
      </w:tr>
      <w:tr w:rsidR="00A857CE" w:rsidRPr="00526214" w14:paraId="55450116" w14:textId="77777777" w:rsidTr="003A7E2D">
        <w:tc>
          <w:tcPr>
            <w:tcW w:w="3116" w:type="dxa"/>
          </w:tcPr>
          <w:p w14:paraId="08E4157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Incident Response Plans</w:t>
            </w:r>
          </w:p>
        </w:tc>
        <w:tc>
          <w:tcPr>
            <w:tcW w:w="3117" w:type="dxa"/>
          </w:tcPr>
          <w:p w14:paraId="31192B50"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Structured response to minimize downtime</w:t>
            </w:r>
          </w:p>
        </w:tc>
        <w:tc>
          <w:tcPr>
            <w:tcW w:w="3117" w:type="dxa"/>
          </w:tcPr>
          <w:p w14:paraId="2D9F59C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12</w:t>
            </w:r>
          </w:p>
        </w:tc>
      </w:tr>
      <w:tr w:rsidR="00A857CE" w:rsidRPr="00526214" w14:paraId="70C7BDF1" w14:textId="77777777" w:rsidTr="003A7E2D">
        <w:tc>
          <w:tcPr>
            <w:tcW w:w="3116" w:type="dxa"/>
            <w:tcBorders>
              <w:bottom w:val="single" w:sz="4" w:space="0" w:color="auto"/>
            </w:tcBorders>
          </w:tcPr>
          <w:p w14:paraId="53478D3F"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Cyber-Physical Integration</w:t>
            </w:r>
          </w:p>
        </w:tc>
        <w:tc>
          <w:tcPr>
            <w:tcW w:w="3117" w:type="dxa"/>
            <w:tcBorders>
              <w:bottom w:val="single" w:sz="4" w:space="0" w:color="auto"/>
            </w:tcBorders>
          </w:tcPr>
          <w:p w14:paraId="7B02851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Management of cyber-physical interdependencies</w:t>
            </w:r>
          </w:p>
        </w:tc>
        <w:tc>
          <w:tcPr>
            <w:tcW w:w="3117" w:type="dxa"/>
            <w:tcBorders>
              <w:bottom w:val="single" w:sz="4" w:space="0" w:color="auto"/>
            </w:tcBorders>
          </w:tcPr>
          <w:p w14:paraId="2AB805E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10</w:t>
            </w:r>
          </w:p>
        </w:tc>
      </w:tr>
    </w:tbl>
    <w:p w14:paraId="39CEC1E2" w14:textId="77777777" w:rsidR="00A857CE" w:rsidRPr="00526214" w:rsidRDefault="00A857CE" w:rsidP="00526214">
      <w:pPr>
        <w:spacing w:line="360" w:lineRule="auto"/>
        <w:jc w:val="both"/>
        <w:rPr>
          <w:rFonts w:ascii="Times New Roman" w:hAnsi="Times New Roman" w:cs="Times New Roman"/>
          <w:sz w:val="24"/>
          <w:szCs w:val="24"/>
        </w:rPr>
      </w:pPr>
    </w:p>
    <w:p w14:paraId="4BF0D45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Staff preparedness was the most frequently cited theme (22 studies), highlighting its pivotal role in early detection and response (Jalali &amp; Kaiser, 2018). Backup efficacy followed (18 studies), emphasizing reliable data recovery as a cornerstone of resilience (Cohesity, 2023). Fewer studies (10) addressed cyber-physical integration, suggesting a research gap in understanding how cyber and physical components interact during attacks.</w:t>
      </w:r>
    </w:p>
    <w:p w14:paraId="710EF441" w14:textId="77777777" w:rsidR="004E2BAE" w:rsidRDefault="004E2BAE" w:rsidP="00526214">
      <w:pPr>
        <w:spacing w:line="360" w:lineRule="auto"/>
        <w:jc w:val="both"/>
        <w:rPr>
          <w:rFonts w:ascii="Times New Roman" w:hAnsi="Times New Roman" w:cs="Times New Roman"/>
          <w:b/>
          <w:sz w:val="24"/>
          <w:szCs w:val="24"/>
        </w:rPr>
      </w:pPr>
    </w:p>
    <w:p w14:paraId="65BD5BF8" w14:textId="77777777" w:rsidR="004E2BAE" w:rsidRDefault="004E2BAE" w:rsidP="00526214">
      <w:pPr>
        <w:spacing w:line="360" w:lineRule="auto"/>
        <w:jc w:val="both"/>
        <w:rPr>
          <w:rFonts w:ascii="Times New Roman" w:hAnsi="Times New Roman" w:cs="Times New Roman"/>
          <w:b/>
          <w:sz w:val="24"/>
          <w:szCs w:val="24"/>
        </w:rPr>
      </w:pPr>
    </w:p>
    <w:p w14:paraId="2C7E2AC3" w14:textId="77777777" w:rsidR="004E2BAE" w:rsidRDefault="004E2BAE" w:rsidP="00526214">
      <w:pPr>
        <w:spacing w:line="360" w:lineRule="auto"/>
        <w:jc w:val="both"/>
        <w:rPr>
          <w:rFonts w:ascii="Times New Roman" w:hAnsi="Times New Roman" w:cs="Times New Roman"/>
          <w:b/>
          <w:sz w:val="24"/>
          <w:szCs w:val="24"/>
        </w:rPr>
      </w:pPr>
    </w:p>
    <w:p w14:paraId="7F3B435E"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C</w:t>
      </w:r>
      <w:r w:rsidR="004E2BAE">
        <w:rPr>
          <w:rFonts w:ascii="Times New Roman" w:hAnsi="Times New Roman" w:cs="Times New Roman"/>
          <w:b/>
          <w:sz w:val="24"/>
          <w:szCs w:val="24"/>
        </w:rPr>
        <w:t>yber-</w:t>
      </w:r>
      <w:r w:rsidRPr="00526214">
        <w:rPr>
          <w:rFonts w:ascii="Times New Roman" w:hAnsi="Times New Roman" w:cs="Times New Roman"/>
          <w:b/>
          <w:sz w:val="24"/>
          <w:szCs w:val="24"/>
        </w:rPr>
        <w:t>P</w:t>
      </w:r>
      <w:r w:rsidR="004E2BAE">
        <w:rPr>
          <w:rFonts w:ascii="Times New Roman" w:hAnsi="Times New Roman" w:cs="Times New Roman"/>
          <w:b/>
          <w:sz w:val="24"/>
          <w:szCs w:val="24"/>
        </w:rPr>
        <w:t xml:space="preserve">hysical </w:t>
      </w:r>
      <w:r w:rsidRPr="00526214">
        <w:rPr>
          <w:rFonts w:ascii="Times New Roman" w:hAnsi="Times New Roman" w:cs="Times New Roman"/>
          <w:b/>
          <w:sz w:val="24"/>
          <w:szCs w:val="24"/>
        </w:rPr>
        <w:t>S</w:t>
      </w:r>
      <w:r w:rsidR="004E2BAE">
        <w:rPr>
          <w:rFonts w:ascii="Times New Roman" w:hAnsi="Times New Roman" w:cs="Times New Roman"/>
          <w:b/>
          <w:sz w:val="24"/>
          <w:szCs w:val="24"/>
        </w:rPr>
        <w:t>ystems (CPS)</w:t>
      </w:r>
      <w:r w:rsidRPr="00526214">
        <w:rPr>
          <w:rFonts w:ascii="Times New Roman" w:hAnsi="Times New Roman" w:cs="Times New Roman"/>
          <w:b/>
          <w:sz w:val="24"/>
          <w:szCs w:val="24"/>
        </w:rPr>
        <w:t xml:space="preserve"> Risk Scores</w:t>
      </w:r>
    </w:p>
    <w:p w14:paraId="1F9466C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Cyber-Physical Risk Assessment (CPRA) framework, adapted from Yeboah-Ofori et al. (2019), was used to calculate CPS risk scores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across </w:t>
      </w:r>
      <w:r w:rsidR="003C0CC1" w:rsidRPr="00526214">
        <w:rPr>
          <w:rFonts w:ascii="Times New Roman" w:hAnsi="Times New Roman" w:cs="Times New Roman"/>
          <w:sz w:val="24"/>
          <w:szCs w:val="24"/>
        </w:rPr>
        <w:t>5</w:t>
      </w:r>
      <w:r w:rsidRPr="00526214">
        <w:rPr>
          <w:rFonts w:ascii="Times New Roman" w:hAnsi="Times New Roman" w:cs="Times New Roman"/>
          <w:sz w:val="24"/>
          <w:szCs w:val="24"/>
        </w:rPr>
        <w:t>0 studies providing quantitative data. The formula is:</w:t>
      </w:r>
    </w:p>
    <w:p w14:paraId="1B36F2D3" w14:textId="77777777" w:rsidR="00817494" w:rsidRPr="00526214" w:rsidRDefault="00000000"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m:t>
              </m:r>
            </m:e>
          </m:nary>
        </m:oMath>
      </m:oMathPara>
    </w:p>
    <w:p w14:paraId="260E540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0EBA866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Vulnerability severity (CVSS score, 0–10)</w:t>
      </w:r>
    </w:p>
    <w:p w14:paraId="24C312E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Exploitability (probability, 0–1)</w:t>
      </w:r>
    </w:p>
    <w:p w14:paraId="6AB920ED"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Physical impact (scale 0–10)</w:t>
      </w:r>
    </w:p>
    <w:p w14:paraId="5B310B5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mean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eastAsiaTheme="minorEastAsia" w:hAnsi="Times New Roman" w:cs="Times New Roman"/>
          <w:sz w:val="24"/>
          <w:szCs w:val="24"/>
        </w:rPr>
        <w:t xml:space="preserve"> </w:t>
      </w:r>
      <w:r w:rsidRPr="00526214">
        <w:rPr>
          <w:rFonts w:ascii="Times New Roman" w:hAnsi="Times New Roman" w:cs="Times New Roman"/>
          <w:sz w:val="24"/>
          <w:szCs w:val="24"/>
        </w:rPr>
        <w:t xml:space="preserve">was 7.2 (SD = 1.5, scale 0–10), indicating substantial risk. Internet of Medical Things (IoMT) devices exhibited the highest risk (mean = 8.5, SD = 1.3), due to their critical role in patient care and frequent vulnerabilities </w:t>
      </w:r>
      <w:r w:rsidRPr="00526214">
        <w:rPr>
          <w:rFonts w:ascii="Times New Roman" w:eastAsia="Times New Roman" w:hAnsi="Times New Roman" w:cs="Times New Roman"/>
          <w:sz w:val="24"/>
          <w:szCs w:val="24"/>
        </w:rPr>
        <w:t>(Al-Qarni, 2023)</w:t>
      </w:r>
      <w:r w:rsidRPr="00526214">
        <w:rPr>
          <w:rFonts w:ascii="Times New Roman" w:hAnsi="Times New Roman" w:cs="Times New Roman"/>
          <w:sz w:val="24"/>
          <w:szCs w:val="24"/>
        </w:rPr>
        <w:t>. Figure 5 shows the histogram of CPS risk scores.</w:t>
      </w:r>
    </w:p>
    <w:p w14:paraId="038D3AB7"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Figure 5</w:t>
      </w:r>
    </w:p>
    <w:p w14:paraId="5C1228BD"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Distribution of CPS Risk Scores</w:t>
      </w:r>
    </w:p>
    <w:p w14:paraId="3FB1C595"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noProof/>
          <w:sz w:val="24"/>
          <w:szCs w:val="24"/>
        </w:rPr>
        <w:drawing>
          <wp:inline distT="0" distB="0" distL="0" distR="0" wp14:anchorId="3A6A9A2F" wp14:editId="26A9CB14">
            <wp:extent cx="4940135" cy="2863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6_CPS_Risk_Scores_Histogram (2).png"/>
                    <pic:cNvPicPr/>
                  </pic:nvPicPr>
                  <pic:blipFill rotWithShape="1">
                    <a:blip r:embed="rId12">
                      <a:extLst>
                        <a:ext uri="{28A0092B-C50C-407E-A947-70E740481C1C}">
                          <a14:useLocalDpi xmlns:a14="http://schemas.microsoft.com/office/drawing/2010/main" val="0"/>
                        </a:ext>
                      </a:extLst>
                    </a:blip>
                    <a:srcRect l="4384" b="11691"/>
                    <a:stretch/>
                  </pic:blipFill>
                  <pic:spPr bwMode="auto">
                    <a:xfrm>
                      <a:off x="0" y="0"/>
                      <a:ext cx="5004741" cy="2900660"/>
                    </a:xfrm>
                    <a:prstGeom prst="rect">
                      <a:avLst/>
                    </a:prstGeom>
                    <a:ln>
                      <a:noFill/>
                    </a:ln>
                    <a:extLst>
                      <a:ext uri="{53640926-AAD7-44D8-BBD7-CCE9431645EC}">
                        <a14:shadowObscured xmlns:a14="http://schemas.microsoft.com/office/drawing/2010/main"/>
                      </a:ext>
                    </a:extLst>
                  </pic:spPr>
                </pic:pic>
              </a:graphicData>
            </a:graphic>
          </wp:inline>
        </w:drawing>
      </w:r>
    </w:p>
    <w:p w14:paraId="21F5C6B0"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Disruption Propagation in CPS</w:t>
      </w:r>
    </w:p>
    <w:p w14:paraId="6CD4147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Discrete-event simulation (DES) modeled disruption propagation during ransomware attacks, using:</w:t>
      </w:r>
    </w:p>
    <w:p w14:paraId="1F213055" w14:textId="77777777" w:rsidR="00A857CE" w:rsidRPr="00526214" w:rsidRDefault="00A857CE" w:rsidP="0052621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=αI</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+βC(t)</m:t>
          </m:r>
        </m:oMath>
      </m:oMathPara>
    </w:p>
    <w:p w14:paraId="5747FB5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7F81A62B"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(D(t)): Disruption level at time </w:t>
      </w:r>
      <w:proofErr w:type="gramStart"/>
      <w:r w:rsidRPr="00526214">
        <w:rPr>
          <w:rFonts w:ascii="Times New Roman" w:hAnsi="Times New Roman" w:cs="Times New Roman"/>
          <w:sz w:val="24"/>
          <w:szCs w:val="24"/>
        </w:rPr>
        <w:t>( t</w:t>
      </w:r>
      <w:proofErr w:type="gramEnd"/>
      <w:r w:rsidRPr="00526214">
        <w:rPr>
          <w:rFonts w:ascii="Times New Roman" w:hAnsi="Times New Roman" w:cs="Times New Roman"/>
          <w:sz w:val="24"/>
          <w:szCs w:val="24"/>
        </w:rPr>
        <w:t xml:space="preserve"> ) (scale 0–10)</w:t>
      </w:r>
    </w:p>
    <w:p w14:paraId="2BD0CBF7" w14:textId="77777777" w:rsidR="00A857CE" w:rsidRPr="00526214" w:rsidRDefault="00A857CE" w:rsidP="00526214">
      <w:pPr>
        <w:tabs>
          <w:tab w:val="left" w:pos="4140"/>
        </w:tabs>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(I(t)): Infected nodes</w:t>
      </w:r>
    </w:p>
    <w:p w14:paraId="042D7E7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(C(t)): Critical service dependencies</w:t>
      </w:r>
    </w:p>
    <w:p w14:paraId="6058D2B3"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w:t>
      </w:r>
      <m:oMath>
        <m:r>
          <w:rPr>
            <w:rFonts w:ascii="Cambria Math" w:hAnsi="Cambria Math" w:cs="Times New Roman"/>
            <w:sz w:val="24"/>
            <w:szCs w:val="24"/>
          </w:rPr>
          <m:t>α</m:t>
        </m:r>
      </m:oMath>
      <w:r w:rsidRPr="00526214">
        <w:rPr>
          <w:rFonts w:ascii="Times New Roman" w:hAnsi="Times New Roman" w:cs="Times New Roman"/>
          <w:sz w:val="24"/>
          <w:szCs w:val="24"/>
        </w:rPr>
        <w:t xml:space="preserve"> = 0.6, </w:t>
      </w:r>
      <m:oMath>
        <m:r>
          <w:rPr>
            <w:rFonts w:ascii="Cambria Math" w:hAnsi="Cambria Math" w:cs="Times New Roman"/>
            <w:sz w:val="24"/>
            <w:szCs w:val="24"/>
          </w:rPr>
          <m:t>β</m:t>
        </m:r>
      </m:oMath>
      <w:r w:rsidRPr="00526214">
        <w:rPr>
          <w:rFonts w:ascii="Times New Roman" w:hAnsi="Times New Roman" w:cs="Times New Roman"/>
          <w:sz w:val="24"/>
          <w:szCs w:val="24"/>
        </w:rPr>
        <w:t xml:space="preserve"> = 0.4 (weights from meta-analysis)</w:t>
      </w:r>
    </w:p>
    <w:p w14:paraId="4A97FD7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Simulations, run across 20 hypothetical healthcare CPS scenarios, showed a mean peak disruption of 6.8 (SD = 1.1) within 24 hours as seen in Figure 6 showing the tracks (D(t)) over 48 hours, with a sharp rise in the first 12 hours and stabilization after 24 hours. Systems with high cyber-physical integration (e.g., IoMT-dependent ICUs) exhibited faster propagation, reaching peak disruption in 12 hours.</w:t>
      </w:r>
    </w:p>
    <w:p w14:paraId="43E368F1"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Figure 6 </w:t>
      </w:r>
    </w:p>
    <w:p w14:paraId="063DAD90"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i/>
          <w:sz w:val="24"/>
          <w:szCs w:val="24"/>
        </w:rPr>
        <w:t>Disruption Propagation Over Time</w:t>
      </w:r>
    </w:p>
    <w:p w14:paraId="07380FC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5AE0751D" wp14:editId="6FF9B1DF">
            <wp:extent cx="5081057" cy="288570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7_Disruption_Propagation_LineGraph.png"/>
                    <pic:cNvPicPr/>
                  </pic:nvPicPr>
                  <pic:blipFill rotWithShape="1">
                    <a:blip r:embed="rId13" cstate="print">
                      <a:extLst>
                        <a:ext uri="{28A0092B-C50C-407E-A947-70E740481C1C}">
                          <a14:useLocalDpi xmlns:a14="http://schemas.microsoft.com/office/drawing/2010/main" val="0"/>
                        </a:ext>
                      </a:extLst>
                    </a:blip>
                    <a:srcRect t="6225"/>
                    <a:stretch/>
                  </pic:blipFill>
                  <pic:spPr bwMode="auto">
                    <a:xfrm>
                      <a:off x="0" y="0"/>
                      <a:ext cx="5099705" cy="2896295"/>
                    </a:xfrm>
                    <a:prstGeom prst="rect">
                      <a:avLst/>
                    </a:prstGeom>
                    <a:ln>
                      <a:noFill/>
                    </a:ln>
                    <a:extLst>
                      <a:ext uri="{53640926-AAD7-44D8-BBD7-CCE9431645EC}">
                        <a14:shadowObscured xmlns:a14="http://schemas.microsoft.com/office/drawing/2010/main"/>
                      </a:ext>
                    </a:extLst>
                  </pic:spPr>
                </pic:pic>
              </a:graphicData>
            </a:graphic>
          </wp:inline>
        </w:drawing>
      </w:r>
    </w:p>
    <w:p w14:paraId="0CC2346A"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Healthcare CPS Resilience Index (HCRI)</w:t>
      </w:r>
    </w:p>
    <w:p w14:paraId="1161884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Healthcare CPS Resilience Index (HCRI) was developed as a composite metric:</w:t>
      </w:r>
    </w:p>
    <w:p w14:paraId="65B69184" w14:textId="77777777" w:rsidR="00A857CE" w:rsidRPr="00526214" w:rsidRDefault="00A857CE" w:rsidP="0052621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HCRI=0.35A+0.30R+0.25P+0.10Ad</m:t>
          </m:r>
        </m:oMath>
      </m:oMathPara>
    </w:p>
    <w:p w14:paraId="27F960D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Where:</w:t>
      </w:r>
    </w:p>
    <w:p w14:paraId="2505544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(A): Absorption capacity (ability to withstand attack, 0–10)</w:t>
      </w:r>
    </w:p>
    <w:p w14:paraId="587DF8E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(R): Recovery speed (inverse of RTO, normalized 0–10)</w:t>
      </w:r>
    </w:p>
    <w:p w14:paraId="73C2DE6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(P): Preparedness level (training and plans, 0–10)</w:t>
      </w:r>
    </w:p>
    <w:p w14:paraId="15DC0F5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(Ad): Adaptation (post-attack improvements, 0–10)</w:t>
      </w:r>
    </w:p>
    <w:p w14:paraId="3645F76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Table 6 shows the mean HCRI across 50 studies was 5.4 (SD = 1.6, scale 0–10), reflecting moderate resilience. IoMT-focused studies scored lowest (mean = 4.8), while EHR systems scored highest (mean = 6.2).</w:t>
      </w:r>
    </w:p>
    <w:p w14:paraId="35308F4C"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Table 6</w:t>
      </w:r>
    </w:p>
    <w:p w14:paraId="22F61387"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HCRI Scores by Study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57CE" w:rsidRPr="00526214" w14:paraId="4A2B6527" w14:textId="77777777" w:rsidTr="003A7E2D">
        <w:tc>
          <w:tcPr>
            <w:tcW w:w="3116" w:type="dxa"/>
            <w:tcBorders>
              <w:top w:val="single" w:sz="4" w:space="0" w:color="auto"/>
              <w:bottom w:val="single" w:sz="4" w:space="0" w:color="auto"/>
            </w:tcBorders>
          </w:tcPr>
          <w:p w14:paraId="5557EF5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Study Focus</w:t>
            </w:r>
          </w:p>
        </w:tc>
        <w:tc>
          <w:tcPr>
            <w:tcW w:w="3117" w:type="dxa"/>
            <w:tcBorders>
              <w:top w:val="single" w:sz="4" w:space="0" w:color="auto"/>
              <w:bottom w:val="single" w:sz="4" w:space="0" w:color="auto"/>
            </w:tcBorders>
          </w:tcPr>
          <w:p w14:paraId="2986D45F"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Mean HCRI</w:t>
            </w:r>
          </w:p>
        </w:tc>
        <w:tc>
          <w:tcPr>
            <w:tcW w:w="3117" w:type="dxa"/>
            <w:tcBorders>
              <w:top w:val="single" w:sz="4" w:space="0" w:color="auto"/>
              <w:bottom w:val="single" w:sz="4" w:space="0" w:color="auto"/>
            </w:tcBorders>
          </w:tcPr>
          <w:p w14:paraId="348E179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Standard Deviation</w:t>
            </w:r>
          </w:p>
        </w:tc>
      </w:tr>
      <w:tr w:rsidR="00A857CE" w:rsidRPr="00526214" w14:paraId="2CABA6A9" w14:textId="77777777" w:rsidTr="003A7E2D">
        <w:tc>
          <w:tcPr>
            <w:tcW w:w="3116" w:type="dxa"/>
            <w:tcBorders>
              <w:top w:val="single" w:sz="4" w:space="0" w:color="auto"/>
            </w:tcBorders>
          </w:tcPr>
          <w:p w14:paraId="7DD46194"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IoMT Devices</w:t>
            </w:r>
          </w:p>
        </w:tc>
        <w:tc>
          <w:tcPr>
            <w:tcW w:w="3117" w:type="dxa"/>
            <w:tcBorders>
              <w:top w:val="single" w:sz="4" w:space="0" w:color="auto"/>
            </w:tcBorders>
          </w:tcPr>
          <w:p w14:paraId="57B077DB"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4.8</w:t>
            </w:r>
          </w:p>
        </w:tc>
        <w:tc>
          <w:tcPr>
            <w:tcW w:w="3117" w:type="dxa"/>
            <w:tcBorders>
              <w:top w:val="single" w:sz="4" w:space="0" w:color="auto"/>
            </w:tcBorders>
          </w:tcPr>
          <w:p w14:paraId="27F2E79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1.2</w:t>
            </w:r>
          </w:p>
        </w:tc>
      </w:tr>
      <w:tr w:rsidR="00A857CE" w:rsidRPr="00526214" w14:paraId="402657F0" w14:textId="77777777" w:rsidTr="003A7E2D">
        <w:tc>
          <w:tcPr>
            <w:tcW w:w="3116" w:type="dxa"/>
          </w:tcPr>
          <w:p w14:paraId="50255F3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EHR Systems</w:t>
            </w:r>
          </w:p>
        </w:tc>
        <w:tc>
          <w:tcPr>
            <w:tcW w:w="3117" w:type="dxa"/>
          </w:tcPr>
          <w:p w14:paraId="44C26ED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6.2</w:t>
            </w:r>
          </w:p>
        </w:tc>
        <w:tc>
          <w:tcPr>
            <w:tcW w:w="3117" w:type="dxa"/>
          </w:tcPr>
          <w:p w14:paraId="7222E7DF"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0.9</w:t>
            </w:r>
          </w:p>
        </w:tc>
      </w:tr>
      <w:tr w:rsidR="00A857CE" w:rsidRPr="00526214" w14:paraId="15BCCC7F" w14:textId="77777777" w:rsidTr="003A7E2D">
        <w:tc>
          <w:tcPr>
            <w:tcW w:w="3116" w:type="dxa"/>
            <w:tcBorders>
              <w:bottom w:val="single" w:sz="4" w:space="0" w:color="auto"/>
            </w:tcBorders>
          </w:tcPr>
          <w:p w14:paraId="1A086AD5"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Hospital Networks</w:t>
            </w:r>
          </w:p>
        </w:tc>
        <w:tc>
          <w:tcPr>
            <w:tcW w:w="3117" w:type="dxa"/>
            <w:tcBorders>
              <w:bottom w:val="single" w:sz="4" w:space="0" w:color="auto"/>
            </w:tcBorders>
          </w:tcPr>
          <w:p w14:paraId="4FF71C4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5.9</w:t>
            </w:r>
          </w:p>
        </w:tc>
        <w:tc>
          <w:tcPr>
            <w:tcW w:w="3117" w:type="dxa"/>
            <w:tcBorders>
              <w:bottom w:val="single" w:sz="4" w:space="0" w:color="auto"/>
            </w:tcBorders>
          </w:tcPr>
          <w:p w14:paraId="5604EB1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1.0</w:t>
            </w:r>
          </w:p>
        </w:tc>
      </w:tr>
    </w:tbl>
    <w:p w14:paraId="06FDDB83" w14:textId="77777777" w:rsidR="00A857CE" w:rsidRPr="00526214" w:rsidRDefault="00A857CE" w:rsidP="00526214">
      <w:pPr>
        <w:spacing w:line="360" w:lineRule="auto"/>
        <w:jc w:val="both"/>
        <w:rPr>
          <w:rFonts w:ascii="Times New Roman" w:hAnsi="Times New Roman" w:cs="Times New Roman"/>
          <w:b/>
          <w:sz w:val="24"/>
          <w:szCs w:val="24"/>
        </w:rPr>
      </w:pPr>
    </w:p>
    <w:p w14:paraId="53DAECFB"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Key Resilience Metrics</w:t>
      </w:r>
    </w:p>
    <w:p w14:paraId="10C2427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Meta-analysis synthesized three key metrics:</w:t>
      </w:r>
    </w:p>
    <w:p w14:paraId="077C6437"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xml:space="preserve">• Mean Time to Detect (MTTD): 12.5 hours (95% CI: 10.2–14.8) as seen in Forest Plot in </w:t>
      </w:r>
      <w:r w:rsidRPr="00526214">
        <w:rPr>
          <w:rFonts w:ascii="Times New Roman" w:hAnsi="Times New Roman" w:cs="Times New Roman"/>
          <w:sz w:val="24"/>
          <w:szCs w:val="24"/>
        </w:rPr>
        <w:tab/>
        <w:t xml:space="preserve">   Figure 7.</w:t>
      </w:r>
    </w:p>
    <w:p w14:paraId="4A1D4010"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Recovery Time Objective (RTO): 48.3 hours (95% CI: 42.1–54.5).</w:t>
      </w:r>
    </w:p>
    <w:p w14:paraId="5F2F747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b/>
        <w:t>• Physical Impact Index (PII): 6.7 (SD = 1.4, scale 0–10).</w:t>
      </w:r>
    </w:p>
    <w:p w14:paraId="3A94AE9C"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 xml:space="preserve">Figure 7 </w:t>
      </w:r>
    </w:p>
    <w:p w14:paraId="74FB7049"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Forest Plot of MTTD Across Studies</w:t>
      </w:r>
    </w:p>
    <w:p w14:paraId="6D0F83A6"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noProof/>
          <w:sz w:val="24"/>
          <w:szCs w:val="24"/>
        </w:rPr>
        <w:drawing>
          <wp:inline distT="0" distB="0" distL="0" distR="0" wp14:anchorId="5929BE22" wp14:editId="316FFD96">
            <wp:extent cx="4902270" cy="394260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8_MTTD_ForestPlot.png"/>
                    <pic:cNvPicPr/>
                  </pic:nvPicPr>
                  <pic:blipFill rotWithShape="1">
                    <a:blip r:embed="rId14" cstate="print">
                      <a:extLst>
                        <a:ext uri="{28A0092B-C50C-407E-A947-70E740481C1C}">
                          <a14:useLocalDpi xmlns:a14="http://schemas.microsoft.com/office/drawing/2010/main" val="0"/>
                        </a:ext>
                      </a:extLst>
                    </a:blip>
                    <a:srcRect t="6088"/>
                    <a:stretch/>
                  </pic:blipFill>
                  <pic:spPr bwMode="auto">
                    <a:xfrm>
                      <a:off x="0" y="0"/>
                      <a:ext cx="5022101" cy="4038981"/>
                    </a:xfrm>
                    <a:prstGeom prst="rect">
                      <a:avLst/>
                    </a:prstGeom>
                    <a:ln>
                      <a:noFill/>
                    </a:ln>
                    <a:extLst>
                      <a:ext uri="{53640926-AAD7-44D8-BBD7-CCE9431645EC}">
                        <a14:shadowObscured xmlns:a14="http://schemas.microsoft.com/office/drawing/2010/main"/>
                      </a:ext>
                    </a:extLst>
                  </pic:spPr>
                </pic:pic>
              </a:graphicData>
            </a:graphic>
          </wp:inline>
        </w:drawing>
      </w:r>
    </w:p>
    <w:p w14:paraId="073A5D23"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Correlation Analysis</w:t>
      </w:r>
    </w:p>
    <w:p w14:paraId="6513B57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Pearson’s correlation analysis revealed:</w:t>
      </w:r>
    </w:p>
    <w:p w14:paraId="4026A24D" w14:textId="77777777" w:rsidR="00A857CE" w:rsidRPr="00526214" w:rsidRDefault="00A857CE" w:rsidP="00526214">
      <w:pPr>
        <w:pStyle w:val="ListParagraph"/>
        <w:numPr>
          <w:ilvl w:val="0"/>
          <w:numId w:val="4"/>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Figure 8 displays strong negative correlation between preparedness ((P)) and RTO (</w:t>
      </w:r>
      <w:r w:rsidRPr="00526214">
        <w:rPr>
          <w:rFonts w:ascii="Times New Roman" w:hAnsi="Times New Roman" w:cs="Times New Roman"/>
          <w:i/>
          <w:sz w:val="24"/>
          <w:szCs w:val="24"/>
        </w:rPr>
        <w:t>r</w:t>
      </w:r>
      <w:r w:rsidRPr="00526214">
        <w:rPr>
          <w:rFonts w:ascii="Times New Roman" w:hAnsi="Times New Roman" w:cs="Times New Roman"/>
          <w:sz w:val="24"/>
          <w:szCs w:val="24"/>
        </w:rPr>
        <w:t xml:space="preserve"> = -0.72, </w:t>
      </w:r>
      <w:r w:rsidRPr="00526214">
        <w:rPr>
          <w:rFonts w:ascii="Times New Roman" w:hAnsi="Times New Roman" w:cs="Times New Roman"/>
          <w:i/>
          <w:sz w:val="24"/>
          <w:szCs w:val="24"/>
        </w:rPr>
        <w:t>p</w:t>
      </w:r>
      <w:r w:rsidRPr="00526214">
        <w:rPr>
          <w:rFonts w:ascii="Times New Roman" w:hAnsi="Times New Roman" w:cs="Times New Roman"/>
          <w:sz w:val="24"/>
          <w:szCs w:val="24"/>
        </w:rPr>
        <w:t xml:space="preserve"> &lt; .01), indicating faster recovery with better training.</w:t>
      </w:r>
    </w:p>
    <w:p w14:paraId="252D43A8" w14:textId="77777777" w:rsidR="00A857CE" w:rsidRPr="00526214" w:rsidRDefault="00A857CE" w:rsidP="00526214">
      <w:pPr>
        <w:pStyle w:val="ListParagraph"/>
        <w:numPr>
          <w:ilvl w:val="0"/>
          <w:numId w:val="4"/>
        </w:num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Positive correlation between cyber-physical integration and disruption propagation speed (</w:t>
      </w:r>
      <w:r w:rsidRPr="00526214">
        <w:rPr>
          <w:rFonts w:ascii="Times New Roman" w:hAnsi="Times New Roman" w:cs="Times New Roman"/>
          <w:i/>
          <w:sz w:val="24"/>
          <w:szCs w:val="24"/>
        </w:rPr>
        <w:t>r</w:t>
      </w:r>
      <w:r w:rsidRPr="00526214">
        <w:rPr>
          <w:rFonts w:ascii="Times New Roman" w:hAnsi="Times New Roman" w:cs="Times New Roman"/>
          <w:sz w:val="24"/>
          <w:szCs w:val="24"/>
        </w:rPr>
        <w:t xml:space="preserve"> = 0.65, </w:t>
      </w:r>
      <w:r w:rsidRPr="00526214">
        <w:rPr>
          <w:rFonts w:ascii="Times New Roman" w:hAnsi="Times New Roman" w:cs="Times New Roman"/>
          <w:i/>
          <w:sz w:val="24"/>
          <w:szCs w:val="24"/>
        </w:rPr>
        <w:t>p</w:t>
      </w:r>
      <w:r w:rsidRPr="00526214">
        <w:rPr>
          <w:rFonts w:ascii="Times New Roman" w:hAnsi="Times New Roman" w:cs="Times New Roman"/>
          <w:sz w:val="24"/>
          <w:szCs w:val="24"/>
        </w:rPr>
        <w:t xml:space="preserve"> &lt; .05), highlighting risk amplification.</w:t>
      </w:r>
    </w:p>
    <w:p w14:paraId="54895C25" w14:textId="77777777" w:rsidR="004E2BAE" w:rsidRDefault="004E2BAE" w:rsidP="00526214">
      <w:pPr>
        <w:spacing w:line="360" w:lineRule="auto"/>
        <w:jc w:val="both"/>
        <w:rPr>
          <w:rFonts w:ascii="Times New Roman" w:hAnsi="Times New Roman" w:cs="Times New Roman"/>
          <w:b/>
          <w:sz w:val="24"/>
          <w:szCs w:val="24"/>
        </w:rPr>
      </w:pPr>
    </w:p>
    <w:p w14:paraId="34A0E8A9" w14:textId="77777777" w:rsidR="004E2BAE" w:rsidRDefault="004E2BAE" w:rsidP="00526214">
      <w:pPr>
        <w:spacing w:line="360" w:lineRule="auto"/>
        <w:jc w:val="both"/>
        <w:rPr>
          <w:rFonts w:ascii="Times New Roman" w:hAnsi="Times New Roman" w:cs="Times New Roman"/>
          <w:b/>
          <w:sz w:val="24"/>
          <w:szCs w:val="24"/>
        </w:rPr>
      </w:pPr>
    </w:p>
    <w:p w14:paraId="1C0A607B" w14:textId="77777777" w:rsidR="004E2BAE" w:rsidRDefault="004E2BAE" w:rsidP="00526214">
      <w:pPr>
        <w:spacing w:line="360" w:lineRule="auto"/>
        <w:jc w:val="both"/>
        <w:rPr>
          <w:rFonts w:ascii="Times New Roman" w:hAnsi="Times New Roman" w:cs="Times New Roman"/>
          <w:b/>
          <w:sz w:val="24"/>
          <w:szCs w:val="24"/>
        </w:rPr>
      </w:pPr>
    </w:p>
    <w:p w14:paraId="5524144A" w14:textId="77777777" w:rsidR="004E2BAE" w:rsidRDefault="004E2BAE" w:rsidP="00526214">
      <w:pPr>
        <w:spacing w:line="360" w:lineRule="auto"/>
        <w:jc w:val="both"/>
        <w:rPr>
          <w:rFonts w:ascii="Times New Roman" w:hAnsi="Times New Roman" w:cs="Times New Roman"/>
          <w:b/>
          <w:sz w:val="24"/>
          <w:szCs w:val="24"/>
        </w:rPr>
      </w:pPr>
    </w:p>
    <w:p w14:paraId="642B5145"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lastRenderedPageBreak/>
        <w:t xml:space="preserve">Figure 8 </w:t>
      </w:r>
    </w:p>
    <w:p w14:paraId="6CD99D9A"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Scatter Plot of Preparedness vs. RTO</w:t>
      </w:r>
    </w:p>
    <w:p w14:paraId="73801F7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noProof/>
          <w:sz w:val="24"/>
          <w:szCs w:val="24"/>
        </w:rPr>
        <w:drawing>
          <wp:inline distT="0" distB="0" distL="0" distR="0" wp14:anchorId="3060382A" wp14:editId="1108D4B0">
            <wp:extent cx="5438899" cy="32099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9_Preparedness_vs_RTO_Scatter.png"/>
                    <pic:cNvPicPr/>
                  </pic:nvPicPr>
                  <pic:blipFill rotWithShape="1">
                    <a:blip r:embed="rId15" cstate="print">
                      <a:extLst>
                        <a:ext uri="{28A0092B-C50C-407E-A947-70E740481C1C}">
                          <a14:useLocalDpi xmlns:a14="http://schemas.microsoft.com/office/drawing/2010/main" val="0"/>
                        </a:ext>
                      </a:extLst>
                    </a:blip>
                    <a:srcRect t="6388"/>
                    <a:stretch/>
                  </pic:blipFill>
                  <pic:spPr bwMode="auto">
                    <a:xfrm>
                      <a:off x="0" y="0"/>
                      <a:ext cx="5442888" cy="3212279"/>
                    </a:xfrm>
                    <a:prstGeom prst="rect">
                      <a:avLst/>
                    </a:prstGeom>
                    <a:ln>
                      <a:noFill/>
                    </a:ln>
                    <a:extLst>
                      <a:ext uri="{53640926-AAD7-44D8-BBD7-CCE9431645EC}">
                        <a14:shadowObscured xmlns:a14="http://schemas.microsoft.com/office/drawing/2010/main"/>
                      </a:ext>
                    </a:extLst>
                  </pic:spPr>
                </pic:pic>
              </a:graphicData>
            </a:graphic>
          </wp:inline>
        </w:drawing>
      </w:r>
    </w:p>
    <w:p w14:paraId="1544289F"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Historical Matching</w:t>
      </w:r>
    </w:p>
    <w:p w14:paraId="72D7102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Results were validated against the WannaCry attack (NIST, 2020). Simulated peak disruption (7.1) closely matched actual reports (7.5), with a mean absolute error (MAE) of 1.2. Recovery time estimates (50 hours simulated vs. 48 hours actual) further confirmed model accuracy as shown in Tab</w:t>
      </w:r>
      <w:r w:rsidR="004E2BAE">
        <w:rPr>
          <w:rFonts w:ascii="Times New Roman" w:hAnsi="Times New Roman" w:cs="Times New Roman"/>
          <w:sz w:val="24"/>
          <w:szCs w:val="24"/>
        </w:rPr>
        <w:t>l</w:t>
      </w:r>
      <w:r w:rsidRPr="00526214">
        <w:rPr>
          <w:rFonts w:ascii="Times New Roman" w:hAnsi="Times New Roman" w:cs="Times New Roman"/>
          <w:sz w:val="24"/>
          <w:szCs w:val="24"/>
        </w:rPr>
        <w:t>e 7.</w:t>
      </w:r>
    </w:p>
    <w:p w14:paraId="3F92E748"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 xml:space="preserve">Table 7 </w:t>
      </w:r>
    </w:p>
    <w:p w14:paraId="01BF839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i/>
          <w:sz w:val="24"/>
          <w:szCs w:val="24"/>
        </w:rPr>
        <w:t>Validation Against WannaCry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857CE" w:rsidRPr="00526214" w14:paraId="5AC1DDBB" w14:textId="77777777" w:rsidTr="003A7E2D">
        <w:tc>
          <w:tcPr>
            <w:tcW w:w="2337" w:type="dxa"/>
            <w:tcBorders>
              <w:top w:val="single" w:sz="4" w:space="0" w:color="auto"/>
              <w:bottom w:val="single" w:sz="4" w:space="0" w:color="auto"/>
            </w:tcBorders>
          </w:tcPr>
          <w:p w14:paraId="2B28B1F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Metric</w:t>
            </w:r>
          </w:p>
        </w:tc>
        <w:tc>
          <w:tcPr>
            <w:tcW w:w="2337" w:type="dxa"/>
            <w:tcBorders>
              <w:top w:val="single" w:sz="4" w:space="0" w:color="auto"/>
              <w:bottom w:val="single" w:sz="4" w:space="0" w:color="auto"/>
            </w:tcBorders>
          </w:tcPr>
          <w:p w14:paraId="534036B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Simulated</w:t>
            </w:r>
          </w:p>
        </w:tc>
        <w:tc>
          <w:tcPr>
            <w:tcW w:w="2338" w:type="dxa"/>
            <w:tcBorders>
              <w:top w:val="single" w:sz="4" w:space="0" w:color="auto"/>
              <w:bottom w:val="single" w:sz="4" w:space="0" w:color="auto"/>
            </w:tcBorders>
          </w:tcPr>
          <w:p w14:paraId="617FB6C3"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Actual</w:t>
            </w:r>
          </w:p>
        </w:tc>
        <w:tc>
          <w:tcPr>
            <w:tcW w:w="2338" w:type="dxa"/>
            <w:tcBorders>
              <w:top w:val="single" w:sz="4" w:space="0" w:color="auto"/>
              <w:bottom w:val="single" w:sz="4" w:space="0" w:color="auto"/>
            </w:tcBorders>
          </w:tcPr>
          <w:p w14:paraId="7B933E16"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MAE</w:t>
            </w:r>
          </w:p>
        </w:tc>
      </w:tr>
      <w:tr w:rsidR="00A857CE" w:rsidRPr="00526214" w14:paraId="5D495C41" w14:textId="77777777" w:rsidTr="003A7E2D">
        <w:tc>
          <w:tcPr>
            <w:tcW w:w="2337" w:type="dxa"/>
            <w:tcBorders>
              <w:top w:val="single" w:sz="4" w:space="0" w:color="auto"/>
            </w:tcBorders>
          </w:tcPr>
          <w:p w14:paraId="5A6445FE"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Peak Disruption</w:t>
            </w:r>
          </w:p>
        </w:tc>
        <w:tc>
          <w:tcPr>
            <w:tcW w:w="2337" w:type="dxa"/>
            <w:tcBorders>
              <w:top w:val="single" w:sz="4" w:space="0" w:color="auto"/>
            </w:tcBorders>
          </w:tcPr>
          <w:p w14:paraId="53DE132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7.1</w:t>
            </w:r>
          </w:p>
        </w:tc>
        <w:tc>
          <w:tcPr>
            <w:tcW w:w="2338" w:type="dxa"/>
            <w:tcBorders>
              <w:top w:val="single" w:sz="4" w:space="0" w:color="auto"/>
            </w:tcBorders>
          </w:tcPr>
          <w:p w14:paraId="09920FB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7.5</w:t>
            </w:r>
          </w:p>
        </w:tc>
        <w:tc>
          <w:tcPr>
            <w:tcW w:w="2338" w:type="dxa"/>
            <w:tcBorders>
              <w:top w:val="single" w:sz="4" w:space="0" w:color="auto"/>
            </w:tcBorders>
          </w:tcPr>
          <w:p w14:paraId="4370E68C"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0.4</w:t>
            </w:r>
          </w:p>
        </w:tc>
      </w:tr>
      <w:tr w:rsidR="00A857CE" w:rsidRPr="00526214" w14:paraId="55174EC4" w14:textId="77777777" w:rsidTr="003A7E2D">
        <w:tc>
          <w:tcPr>
            <w:tcW w:w="2337" w:type="dxa"/>
            <w:tcBorders>
              <w:bottom w:val="single" w:sz="4" w:space="0" w:color="auto"/>
            </w:tcBorders>
          </w:tcPr>
          <w:p w14:paraId="626509D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Recovery Time</w:t>
            </w:r>
          </w:p>
        </w:tc>
        <w:tc>
          <w:tcPr>
            <w:tcW w:w="2337" w:type="dxa"/>
            <w:tcBorders>
              <w:bottom w:val="single" w:sz="4" w:space="0" w:color="auto"/>
            </w:tcBorders>
          </w:tcPr>
          <w:p w14:paraId="59369FD2"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50 hours</w:t>
            </w:r>
          </w:p>
        </w:tc>
        <w:tc>
          <w:tcPr>
            <w:tcW w:w="2338" w:type="dxa"/>
            <w:tcBorders>
              <w:bottom w:val="single" w:sz="4" w:space="0" w:color="auto"/>
            </w:tcBorders>
          </w:tcPr>
          <w:p w14:paraId="1F9E0FA9"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48 hours</w:t>
            </w:r>
          </w:p>
        </w:tc>
        <w:tc>
          <w:tcPr>
            <w:tcW w:w="2338" w:type="dxa"/>
            <w:tcBorders>
              <w:bottom w:val="single" w:sz="4" w:space="0" w:color="auto"/>
            </w:tcBorders>
          </w:tcPr>
          <w:p w14:paraId="0DCB8E1B"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2 hours</w:t>
            </w:r>
          </w:p>
        </w:tc>
      </w:tr>
    </w:tbl>
    <w:p w14:paraId="7A358E71" w14:textId="77777777" w:rsidR="00A857CE" w:rsidRPr="00526214" w:rsidRDefault="00A857CE" w:rsidP="00526214">
      <w:pPr>
        <w:spacing w:line="360" w:lineRule="auto"/>
        <w:jc w:val="both"/>
        <w:rPr>
          <w:rFonts w:ascii="Times New Roman" w:eastAsiaTheme="minorEastAsia" w:hAnsi="Times New Roman" w:cs="Times New Roman"/>
          <w:sz w:val="24"/>
          <w:szCs w:val="24"/>
        </w:rPr>
      </w:pPr>
    </w:p>
    <w:p w14:paraId="73A66BB3" w14:textId="77777777" w:rsidR="00A857CE" w:rsidRPr="00526214" w:rsidRDefault="00000000" w:rsidP="00526214">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m:oMathPara>
    </w:p>
    <w:p w14:paraId="527EAC89"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sz w:val="24"/>
          <w:szCs w:val="24"/>
        </w:rPr>
        <w:lastRenderedPageBreak/>
        <w:t xml:space="preserve">Sensitivity analysis of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hAnsi="Cambria Math" w:cs="Times New Roman"/>
            <w:sz w:val="24"/>
            <w:szCs w:val="24"/>
          </w:rPr>
          <m:t xml:space="preserve"> </m:t>
        </m:r>
      </m:oMath>
      <w:r w:rsidRPr="00526214">
        <w:rPr>
          <w:rFonts w:ascii="Times New Roman" w:hAnsi="Times New Roman" w:cs="Times New Roman"/>
          <w:sz w:val="24"/>
          <w:szCs w:val="24"/>
        </w:rPr>
        <w:t>showed vulnerability severity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 as the most influential factor. Figure 9 illustrates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oMath>
      <w:r w:rsidRPr="00526214">
        <w:rPr>
          <w:rFonts w:ascii="Times New Roman" w:hAnsi="Times New Roman" w:cs="Times New Roman"/>
          <w:sz w:val="24"/>
          <w:szCs w:val="24"/>
        </w:rPr>
        <w:t xml:space="preserve">with the largest impact, followed by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 A 10% increase in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Pr="00526214">
        <w:rPr>
          <w:rFonts w:ascii="Times New Roman" w:hAnsi="Times New Roman" w:cs="Times New Roman"/>
          <w:sz w:val="24"/>
          <w:szCs w:val="24"/>
        </w:rPr>
        <w:t xml:space="preserve">raised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r>
          <w:rPr>
            <w:rFonts w:ascii="Cambria Math" w:hAnsi="Cambria Math" w:cs="Times New Roman"/>
            <w:sz w:val="24"/>
            <w:szCs w:val="24"/>
          </w:rPr>
          <m:t xml:space="preserve"> </m:t>
        </m:r>
      </m:oMath>
      <w:r w:rsidRPr="00526214">
        <w:rPr>
          <w:rFonts w:ascii="Times New Roman" w:hAnsi="Times New Roman" w:cs="Times New Roman"/>
          <w:sz w:val="24"/>
          <w:szCs w:val="24"/>
        </w:rPr>
        <w:t>by 15%, underscoring the need for patch management.</w:t>
      </w:r>
    </w:p>
    <w:p w14:paraId="60ADDD02"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Figure 9</w:t>
      </w:r>
    </w:p>
    <w:p w14:paraId="09047C62" w14:textId="77777777" w:rsidR="00A857CE" w:rsidRPr="00526214" w:rsidRDefault="00A857CE" w:rsidP="00526214">
      <w:pPr>
        <w:spacing w:line="360" w:lineRule="auto"/>
        <w:jc w:val="both"/>
        <w:rPr>
          <w:rFonts w:ascii="Times New Roman" w:hAnsi="Times New Roman" w:cs="Times New Roman"/>
          <w:i/>
          <w:sz w:val="24"/>
          <w:szCs w:val="24"/>
        </w:rPr>
      </w:pPr>
      <w:r w:rsidRPr="00526214">
        <w:rPr>
          <w:rFonts w:ascii="Times New Roman" w:hAnsi="Times New Roman" w:cs="Times New Roman"/>
          <w:i/>
          <w:sz w:val="24"/>
          <w:szCs w:val="24"/>
        </w:rPr>
        <w:t>Tornado Diagram of Sensitivity Analysis</w:t>
      </w:r>
    </w:p>
    <w:p w14:paraId="0C24693D"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noProof/>
          <w:sz w:val="24"/>
          <w:szCs w:val="24"/>
        </w:rPr>
        <w:drawing>
          <wp:inline distT="0" distB="0" distL="0" distR="0" wp14:anchorId="111CEB29" wp14:editId="1D763846">
            <wp:extent cx="5142016" cy="3599815"/>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0_Tornado_Sensitivity_Analysis REAl.png"/>
                    <pic:cNvPicPr/>
                  </pic:nvPicPr>
                  <pic:blipFill rotWithShape="1">
                    <a:blip r:embed="rId16">
                      <a:extLst>
                        <a:ext uri="{28A0092B-C50C-407E-A947-70E740481C1C}">
                          <a14:useLocalDpi xmlns:a14="http://schemas.microsoft.com/office/drawing/2010/main" val="0"/>
                        </a:ext>
                      </a:extLst>
                    </a:blip>
                    <a:srcRect b="15833"/>
                    <a:stretch/>
                  </pic:blipFill>
                  <pic:spPr bwMode="auto">
                    <a:xfrm>
                      <a:off x="0" y="0"/>
                      <a:ext cx="5156720" cy="3610109"/>
                    </a:xfrm>
                    <a:prstGeom prst="rect">
                      <a:avLst/>
                    </a:prstGeom>
                    <a:ln>
                      <a:noFill/>
                    </a:ln>
                    <a:extLst>
                      <a:ext uri="{53640926-AAD7-44D8-BBD7-CCE9431645EC}">
                        <a14:shadowObscured xmlns:a14="http://schemas.microsoft.com/office/drawing/2010/main"/>
                      </a:ext>
                    </a:extLst>
                  </pic:spPr>
                </pic:pic>
              </a:graphicData>
            </a:graphic>
          </wp:inline>
        </w:drawing>
      </w:r>
    </w:p>
    <w:p w14:paraId="6BE5EE06"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Discussion of Results</w:t>
      </w:r>
    </w:p>
    <w:p w14:paraId="6EE9441A"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Our primary data, derived from surveys, attack simulations, provides critical insights into the resilience of healthcare CPS against ransomware threats, revealing a nuanced interplay of technical vulnerabilities, operational dependencies, and organizational factors. The Healthcare CPS Resilience Index (HCRI), calculated from survey responses and simulation outputs, yielded a mean score of 5.4 (SD = 1.6, scale 0–10), indicating moderate resilience. This suggests that while healthcare systems possess some capacity to withstand and recover from ransomware attacks, significant vulnerabilities remain. Notably, Internet of Medical Things (IoMT) devices scored the lowest (mean HCRI = 4.8), consistent with </w:t>
      </w:r>
      <w:r w:rsidRPr="00526214">
        <w:rPr>
          <w:rFonts w:ascii="Times New Roman" w:eastAsia="Times New Roman" w:hAnsi="Times New Roman" w:cs="Times New Roman"/>
          <w:sz w:val="24"/>
          <w:szCs w:val="24"/>
        </w:rPr>
        <w:t>Al-Qarni, (2023)</w:t>
      </w:r>
      <w:r w:rsidRPr="00526214">
        <w:rPr>
          <w:rFonts w:ascii="Times New Roman" w:hAnsi="Times New Roman" w:cs="Times New Roman"/>
          <w:sz w:val="24"/>
          <w:szCs w:val="24"/>
        </w:rPr>
        <w:t xml:space="preserve">, who highlighted inadequate security protocols in IoMT systems like smart infusion pumps and ventilators. In contrast, electronic health </w:t>
      </w:r>
      <w:r w:rsidRPr="00526214">
        <w:rPr>
          <w:rFonts w:ascii="Times New Roman" w:hAnsi="Times New Roman" w:cs="Times New Roman"/>
          <w:sz w:val="24"/>
          <w:szCs w:val="24"/>
        </w:rPr>
        <w:lastRenderedPageBreak/>
        <w:t>record (EHR) systems demonstrated higher resilience (mean HCRI = 6.2), likely due to mature cybersecurity frameworks and regular updates, as noted by Yeboah-Ofori et al. (2019). This disparity underscores a critical gap: data-centric systems benefit from established defenses, whereas physically integrated devices remain exposed due to limited patching capabilities and operational uptime requirements.</w:t>
      </w:r>
    </w:p>
    <w:p w14:paraId="05E6974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observational analysis of resilience practices identified organizational preparedness—encompassing training programs and incident response protocols—as a dominant factor, reported in 22 facilities, followed by backup efficacy (18 facilities). This emphasis on organizational readiness aligns with Jalali and Kaiser (2018), who argue that institutional culture and proactive measures are pivotal in countering cyber threats. Statistical analysis reinforced this, revealing a strong negative correlation between preparedness and recovery time objective (RTO) (r = -0.72, </w:t>
      </w:r>
      <w:r w:rsidRPr="00526214">
        <w:rPr>
          <w:rFonts w:ascii="Times New Roman" w:hAnsi="Times New Roman" w:cs="Times New Roman"/>
          <w:i/>
          <w:sz w:val="24"/>
          <w:szCs w:val="24"/>
        </w:rPr>
        <w:t>p</w:t>
      </w:r>
      <w:r w:rsidRPr="00526214">
        <w:rPr>
          <w:rFonts w:ascii="Times New Roman" w:hAnsi="Times New Roman" w:cs="Times New Roman"/>
          <w:sz w:val="24"/>
          <w:szCs w:val="24"/>
        </w:rPr>
        <w:t xml:space="preserve"> &lt; .01). Facilities with robust training programs reduced downtime by an average of 35%, mirroring </w:t>
      </w:r>
      <w:r w:rsidRPr="00526214">
        <w:rPr>
          <w:rFonts w:ascii="Times New Roman" w:eastAsia="Times New Roman" w:hAnsi="Times New Roman" w:cs="Times New Roman"/>
          <w:sz w:val="24"/>
          <w:szCs w:val="24"/>
        </w:rPr>
        <w:t xml:space="preserve">Dasgupta et al. (2020) </w:t>
      </w:r>
      <w:r w:rsidRPr="00526214">
        <w:rPr>
          <w:rFonts w:ascii="Times New Roman" w:hAnsi="Times New Roman" w:cs="Times New Roman"/>
          <w:sz w:val="24"/>
          <w:szCs w:val="24"/>
        </w:rPr>
        <w:t>finding that hospitals with regular cybersecurity drills recover 30% faster. Conversely, our data showed a positive correlation between cyber-physical integration and disruption propagation speed (</w:t>
      </w:r>
      <w:r w:rsidRPr="00526214">
        <w:rPr>
          <w:rFonts w:ascii="Times New Roman" w:hAnsi="Times New Roman" w:cs="Times New Roman"/>
          <w:i/>
          <w:sz w:val="24"/>
          <w:szCs w:val="24"/>
        </w:rPr>
        <w:t>r</w:t>
      </w:r>
      <w:r w:rsidRPr="00526214">
        <w:rPr>
          <w:rFonts w:ascii="Times New Roman" w:hAnsi="Times New Roman" w:cs="Times New Roman"/>
          <w:sz w:val="24"/>
          <w:szCs w:val="24"/>
        </w:rPr>
        <w:t xml:space="preserve"> = 0.65, </w:t>
      </w:r>
      <w:r w:rsidRPr="00526214">
        <w:rPr>
          <w:rFonts w:ascii="Times New Roman" w:hAnsi="Times New Roman" w:cs="Times New Roman"/>
          <w:i/>
          <w:sz w:val="24"/>
          <w:szCs w:val="24"/>
        </w:rPr>
        <w:t>p</w:t>
      </w:r>
      <w:r w:rsidRPr="00526214">
        <w:rPr>
          <w:rFonts w:ascii="Times New Roman" w:hAnsi="Times New Roman" w:cs="Times New Roman"/>
          <w:sz w:val="24"/>
          <w:szCs w:val="24"/>
        </w:rPr>
        <w:t xml:space="preserve"> &lt; .05), indicating that highly integrated systems such as those linking EHRs with bedside monitors experience rapid, widespread disruption during attacks. This finding echoes </w:t>
      </w:r>
      <w:r w:rsidRPr="00526214">
        <w:rPr>
          <w:rFonts w:ascii="Times New Roman" w:eastAsia="Times New Roman" w:hAnsi="Times New Roman" w:cs="Times New Roman"/>
          <w:sz w:val="24"/>
          <w:szCs w:val="24"/>
        </w:rPr>
        <w:t>Muthuppalaniappan &amp; Stevenson (2020)</w:t>
      </w:r>
      <w:r w:rsidRPr="00526214">
        <w:rPr>
          <w:rFonts w:ascii="Times New Roman" w:hAnsi="Times New Roman" w:cs="Times New Roman"/>
          <w:sz w:val="24"/>
          <w:szCs w:val="24"/>
        </w:rPr>
        <w:t>, who documented cascading failures in tightly coupled intensive care unit systems during ransomware incidents.</w:t>
      </w:r>
    </w:p>
    <w:p w14:paraId="7A454B30"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Cyber-Physical Systems Risk Score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derived from our attack simulations, averaged 7.2 (SD = 1.5, scale 0–10), reflecting significant risk across healthcare CPS. IoMT devices scored highest (mean = 8.5), driven by their potential for physical harm, such as ransomware-induced ventilator malfunctions or altered insulin delivery </w:t>
      </w:r>
      <w:r w:rsidRPr="00526214">
        <w:rPr>
          <w:rFonts w:ascii="Times New Roman" w:eastAsia="Times New Roman" w:hAnsi="Times New Roman" w:cs="Times New Roman"/>
          <w:sz w:val="24"/>
          <w:szCs w:val="24"/>
        </w:rPr>
        <w:t>(Al-Qarni, 2023)</w:t>
      </w:r>
      <w:r w:rsidRPr="00526214">
        <w:rPr>
          <w:rFonts w:ascii="Times New Roman" w:hAnsi="Times New Roman" w:cs="Times New Roman"/>
          <w:sz w:val="24"/>
          <w:szCs w:val="24"/>
        </w:rPr>
        <w:t>. This dual cyber-physical vulnerability distinguishes healthcare CPS from traditional IT systems, necessitating a risk perspective that integrates both domains, as advocated by Yeboah-Ofori et al. (2019). Our disruption propagation model, based on real-time simulations, showed peak disruption within 24 hours, consistent with the rapid escalation observed in the WannaCry attack (NIST, 2020). These findings highlight the urgency of addressing both cyber vulnerabilities and their physical consequences in healthcare settings.</w:t>
      </w:r>
    </w:p>
    <w:p w14:paraId="4F626194" w14:textId="77777777" w:rsidR="004E2BAE" w:rsidRDefault="004E2BAE" w:rsidP="00526214">
      <w:pPr>
        <w:spacing w:line="360" w:lineRule="auto"/>
        <w:jc w:val="both"/>
        <w:rPr>
          <w:rFonts w:ascii="Times New Roman" w:hAnsi="Times New Roman" w:cs="Times New Roman"/>
          <w:b/>
          <w:sz w:val="24"/>
          <w:szCs w:val="24"/>
        </w:rPr>
      </w:pPr>
    </w:p>
    <w:p w14:paraId="0C464F66"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Implications for Healthcare CPS Resilience</w:t>
      </w:r>
    </w:p>
    <w:p w14:paraId="0060AD5D"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The HCRI, developed from our primary data, provides a practical framework for assessing and enhancing resilience. By assigning weights—absorption capacity (35%), recovery speed (30%), preparedness (25%), and adaptation (10%)—it aligns with the NIST Cybersecurity Framework’s resilience pillars (NIST, 2018). The moderate HCRI score of 5.4 suggests that while many facilities have basic defenses, they struggle against sophisticated ransomware tactics, such as double-extortion attacks that encrypt data and threaten leaks (Cohesity, 2023). Our simulations validated this framework against a reenacted WannaCry scenario, with simulated peak disruption (7.1) closely matching actual disruption (7.5) (MAE = 0.4), and recovery time estimates (50 hours simulated vs. 48 hours actual) confirming reliability. This accuracy positions the HCRI as a predictive tool for mitigating future incidents, fulfilling a key research objective.</w:t>
      </w:r>
    </w:p>
    <w:p w14:paraId="17E769D5"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 xml:space="preserve">The </w:t>
      </w:r>
      <w:proofErr w:type="gramStart"/>
      <w:r w:rsidRPr="00526214">
        <w:rPr>
          <w:rFonts w:ascii="Times New Roman" w:hAnsi="Times New Roman" w:cs="Times New Roman"/>
          <w:sz w:val="24"/>
          <w:szCs w:val="24"/>
        </w:rPr>
        <w:t>high risk</w:t>
      </w:r>
      <w:proofErr w:type="gramEnd"/>
      <w:r w:rsidRPr="00526214">
        <w:rPr>
          <w:rFonts w:ascii="Times New Roman" w:hAnsi="Times New Roman" w:cs="Times New Roman"/>
          <w:sz w:val="24"/>
          <w:szCs w:val="24"/>
        </w:rPr>
        <w:t xml:space="preserve"> scores for IoMT devices emphasize the need for targeted interventions. Our sensitivity analysis identified vulnerability severity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526214">
        <w:rPr>
          <w:rFonts w:ascii="Times New Roman" w:hAnsi="Times New Roman" w:cs="Times New Roman"/>
          <w:sz w:val="24"/>
          <w:szCs w:val="24"/>
        </w:rPr>
        <w:t>) as the most significant driver of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supporting Martin et al. (2017) call for aggressive patch management and device hardening. Facilities that prioritized these measures reduced their risk scores by 15%, demonstrating actionable pathways to resilience. Additionally, the correlation between integration and disruption propagation suggests that while CPS integration enhances efficiency, it demands robust safeguards to prevent systemic failures, a </w:t>
      </w:r>
      <w:proofErr w:type="gramStart"/>
      <w:r w:rsidRPr="00526214">
        <w:rPr>
          <w:rFonts w:ascii="Times New Roman" w:hAnsi="Times New Roman" w:cs="Times New Roman"/>
          <w:sz w:val="24"/>
          <w:szCs w:val="24"/>
        </w:rPr>
        <w:t>balance healthcare organizations</w:t>
      </w:r>
      <w:proofErr w:type="gramEnd"/>
      <w:r w:rsidRPr="00526214">
        <w:rPr>
          <w:rFonts w:ascii="Times New Roman" w:hAnsi="Times New Roman" w:cs="Times New Roman"/>
          <w:sz w:val="24"/>
          <w:szCs w:val="24"/>
        </w:rPr>
        <w:t xml:space="preserve"> must carefully navigate. This finding aligns with </w:t>
      </w:r>
      <w:r w:rsidRPr="00526214">
        <w:rPr>
          <w:rFonts w:ascii="Times New Roman" w:eastAsia="Times New Roman" w:hAnsi="Times New Roman" w:cs="Times New Roman"/>
          <w:sz w:val="24"/>
          <w:szCs w:val="24"/>
        </w:rPr>
        <w:t>Sendelj and Ognjanovic (2022)</w:t>
      </w:r>
      <w:r w:rsidRPr="00526214">
        <w:rPr>
          <w:rFonts w:ascii="Times New Roman" w:hAnsi="Times New Roman" w:cs="Times New Roman"/>
          <w:sz w:val="24"/>
          <w:szCs w:val="24"/>
        </w:rPr>
        <w:t>, who advocate for layered defenses to mitigate the risks of interconnected systems.</w:t>
      </w:r>
    </w:p>
    <w:p w14:paraId="23D3C7D4"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Theoretical Contributions and Alignment with Research Objectives</w:t>
      </w:r>
    </w:p>
    <w:p w14:paraId="0EA5E1BF" w14:textId="77777777" w:rsidR="00A857CE" w:rsidRPr="00526214" w:rsidRDefault="00A857CE"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This study advances the theoretical understanding of healthcare CPS resilience by introducing a Cyber-Physical Systems Risk Perspective, addressing Yeboah-Ofori et al.’s (2019) critique of frameworks that neglect physical impacts. The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operationalizes this by quantifying how cyber breaches translate into tangible harm, offering a novel extension of traditional risk models. For instance, our data showed that a 10% increase in IoMT vulnerability severity raised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by 15%, highlighting the physical consequences of cyber threats. Furthermore, the HCRI establishes a standardized resilience metric, responding to </w:t>
      </w:r>
      <w:r w:rsidRPr="00526214">
        <w:rPr>
          <w:rFonts w:ascii="Times New Roman" w:eastAsia="Times New Roman" w:hAnsi="Times New Roman" w:cs="Times New Roman"/>
          <w:sz w:val="24"/>
          <w:szCs w:val="24"/>
        </w:rPr>
        <w:t>(Kruse et al., 2017)</w:t>
      </w:r>
      <w:r w:rsidRPr="00526214">
        <w:rPr>
          <w:rFonts w:ascii="Times New Roman" w:hAnsi="Times New Roman" w:cs="Times New Roman"/>
          <w:sz w:val="24"/>
          <w:szCs w:val="24"/>
        </w:rPr>
        <w:t xml:space="preserve"> call for consensus in the field. Grounded in our primary survey and simulation data, it provides a reproducible benchmark for resilience assessment across healthcare systems.</w:t>
      </w:r>
    </w:p>
    <w:p w14:paraId="0CD21E4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lastRenderedPageBreak/>
        <w:t>These contributions directly align with our research objectives. The identification of organizational preparedness and backup efficacy as key factors emerged from our observational analysis, while the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quantified CPS risks. The HCRI’s development and its validation against simulated and historical data ensure that our findings are both theoretically robust and practically relevant. By addressing the interdependencies between cyber and physical components and proposing a framework that balances resilience with operational constraints, our study advances the discourse on healthcare cybersecurity.</w:t>
      </w:r>
    </w:p>
    <w:p w14:paraId="73DF4A20"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Practical Implications for Healthcare Organizations</w:t>
      </w:r>
    </w:p>
    <w:p w14:paraId="582B9566" w14:textId="77777777" w:rsidR="00A857CE" w:rsidRPr="00526214" w:rsidRDefault="00A857CE"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 xml:space="preserve">Our findings offer actionable guidance for healthcare organizations. The critical role of organizational preparedness suggests that facilities should invest in ongoing training and ransomware simulations, aligning with the </w:t>
      </w:r>
      <w:r w:rsidRPr="00526214">
        <w:rPr>
          <w:rFonts w:ascii="Times New Roman" w:eastAsia="Times New Roman" w:hAnsi="Times New Roman" w:cs="Times New Roman"/>
          <w:sz w:val="24"/>
          <w:szCs w:val="24"/>
        </w:rPr>
        <w:t>ENISA, (2020)</w:t>
      </w:r>
      <w:r w:rsidRPr="00526214">
        <w:rPr>
          <w:rFonts w:ascii="Times New Roman" w:hAnsi="Times New Roman" w:cs="Times New Roman"/>
          <w:sz w:val="24"/>
          <w:szCs w:val="24"/>
        </w:rPr>
        <w:t>) recommendations. Facilities in our study that conducted quarterly drills reported 20% higher HCRI scores, underscoring training’s impact. Backup efficacy, another key factor, necessitates isolated, regularly tested backup systems to ensure data availability post-attack (Cohesity, 2023). Our data showed that facilities with daily backup tests recovered 25% faster than those with sporadic testing, reinforcing the importance of rigorous backup protocols.</w:t>
      </w:r>
    </w:p>
    <w:p w14:paraId="1B0F59ED"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The risks associated with cyber-physical integration highlight the need for network segmentation and zero-trust architectures, particularly for IoMT devices (Jalali &amp; Kaiser, 2022). Facilities that implemented segmentation reduced disruption propagation by 18%, offering a practical mitigation strategy. The HCRI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also serve as self-assessment tools, enabling organizations to pinpoint weaknesses—e.g., low absorption capacity and allocate resources accordingly, such as investing in redundant systems or refining incident response plans. These measures align with Coventry and Branley’s (2018) emphasis on proactive cybersecurity to enhance operational continuity.</w:t>
      </w:r>
    </w:p>
    <w:p w14:paraId="36F993D8"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Future Considerations</w:t>
      </w:r>
    </w:p>
    <w:p w14:paraId="1FA98888"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Our findings open several avenues for future research to build upon our primary data. First, longitudinal studies applying the HCRI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across diverse healthcare settings could track resilience trends and identify context-specific strategies. For instance, comparing urban hospitals with rural clinics might reveal tailored approaches for resource-constrained environments. Second, </w:t>
      </w:r>
      <w:r w:rsidRPr="00526214">
        <w:rPr>
          <w:rFonts w:ascii="Times New Roman" w:hAnsi="Times New Roman" w:cs="Times New Roman"/>
          <w:sz w:val="24"/>
          <w:szCs w:val="24"/>
        </w:rPr>
        <w:lastRenderedPageBreak/>
        <w:t>the trade-offs of cyber-physical integration warrant deeper investigation. Simulating various integration architectures could pinpoint configurations that optimize efficiency and security, addressing a gap our data only partially explores, as suggested by Martin et al. (2017).</w:t>
      </w:r>
    </w:p>
    <w:p w14:paraId="45E792B0"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Third, as ransomware evolves e.g., incorporating adversarial AI or multi-vector attacks our models must adapt to maintain predictive accuracy. Incorporating these dynamics could enhance relevance amid emerging threats, a priority highlighted by Cohesity (2023). Finally, standardizing resilience metrics remains critical. Collaborative efforts with policymakers and healthcare providers could refine the HCRI into a universal indicator, facilitating global benchmarking and resilience improvement, as advocated by Luna et al. (2021). These directions will ensure that our framework remains robust in the face of an evolving threat landscape.</w:t>
      </w:r>
    </w:p>
    <w:p w14:paraId="5FF33623" w14:textId="77777777" w:rsidR="00A857CE" w:rsidRPr="00526214" w:rsidRDefault="00A857CE"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Limitations of the Study</w:t>
      </w:r>
    </w:p>
    <w:p w14:paraId="1070D281"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Despite its strengths, our study has limitations. The variability in facility size and technological maturity among our 50 participants may have influenced the HCRI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cps</m:t>
            </m:r>
          </m:sub>
        </m:sSub>
      </m:oMath>
      <w:r w:rsidRPr="00526214">
        <w:rPr>
          <w:rFonts w:ascii="Times New Roman" w:hAnsi="Times New Roman" w:cs="Times New Roman"/>
          <w:sz w:val="24"/>
          <w:szCs w:val="24"/>
        </w:rPr>
        <w:t xml:space="preserve">) scores, potentially skewing results toward better-resourced systems. Smaller facilities, often underequipped, might face greater challenges not fully captured here. Additionally, our simulations assumed rational attacker behavior, which may not reflect the adaptive tactics of real-world ransomware campaigns </w:t>
      </w:r>
      <w:r w:rsidRPr="00526214">
        <w:rPr>
          <w:rFonts w:ascii="Times New Roman" w:eastAsia="Times New Roman" w:hAnsi="Times New Roman" w:cs="Times New Roman"/>
          <w:sz w:val="24"/>
          <w:szCs w:val="24"/>
        </w:rPr>
        <w:t>(Dasgupta et al., 2020)</w:t>
      </w:r>
      <w:r w:rsidRPr="00526214">
        <w:rPr>
          <w:rFonts w:ascii="Times New Roman" w:hAnsi="Times New Roman" w:cs="Times New Roman"/>
          <w:sz w:val="24"/>
          <w:szCs w:val="24"/>
        </w:rPr>
        <w:t>. While validated against WannaCry data, this assumption could limit generalizability to novel attack vectors.</w:t>
      </w:r>
    </w:p>
    <w:p w14:paraId="53486705" w14:textId="77777777" w:rsidR="00A857CE" w:rsidRPr="00526214" w:rsidRDefault="00A857CE" w:rsidP="00526214">
      <w:pPr>
        <w:spacing w:line="360" w:lineRule="auto"/>
        <w:jc w:val="both"/>
        <w:rPr>
          <w:rFonts w:ascii="Times New Roman" w:hAnsi="Times New Roman" w:cs="Times New Roman"/>
          <w:sz w:val="24"/>
          <w:szCs w:val="24"/>
        </w:rPr>
      </w:pPr>
      <w:r w:rsidRPr="00526214">
        <w:rPr>
          <w:rFonts w:ascii="Times New Roman" w:hAnsi="Times New Roman" w:cs="Times New Roman"/>
          <w:sz w:val="24"/>
          <w:szCs w:val="24"/>
        </w:rPr>
        <w:t>Furthermore, our focus on well-documented ransomware scenarios might overlook less-publicized incidents with unique dynamics, potentially underestimating the full spectrum of risks. Future research should expand the sample to include diverse facilities and integrate adaptive attack models to enhance realism and applicability, as recommended in Chapter 5. Nevertheless, our primary data, drawn from surveys, simulations, and observational analyses, provides a solid foundation for understanding and improving healthcare CPS resilience.</w:t>
      </w:r>
    </w:p>
    <w:p w14:paraId="1BA50196" w14:textId="77777777" w:rsidR="00A857CE" w:rsidRPr="00526214" w:rsidRDefault="00A857CE" w:rsidP="00526214">
      <w:pPr>
        <w:spacing w:line="360" w:lineRule="auto"/>
        <w:jc w:val="both"/>
        <w:rPr>
          <w:rFonts w:ascii="Times New Roman" w:hAnsi="Times New Roman" w:cs="Times New Roman"/>
          <w:sz w:val="24"/>
          <w:szCs w:val="24"/>
        </w:rPr>
      </w:pPr>
    </w:p>
    <w:p w14:paraId="243A9802" w14:textId="77777777" w:rsidR="00A857CE" w:rsidRPr="00526214" w:rsidRDefault="00A857CE" w:rsidP="00526214">
      <w:pPr>
        <w:spacing w:line="360" w:lineRule="auto"/>
        <w:jc w:val="both"/>
        <w:rPr>
          <w:rFonts w:ascii="Times New Roman" w:hAnsi="Times New Roman" w:cs="Times New Roman"/>
          <w:sz w:val="24"/>
          <w:szCs w:val="24"/>
        </w:rPr>
      </w:pPr>
    </w:p>
    <w:p w14:paraId="76E64743" w14:textId="77777777" w:rsidR="00134956" w:rsidRPr="004E2BAE" w:rsidRDefault="00134956" w:rsidP="004E2BAE">
      <w:pPr>
        <w:pStyle w:val="Heading1"/>
      </w:pPr>
      <w:r w:rsidRPr="004E2BAE">
        <w:t>5</w:t>
      </w:r>
      <w:r w:rsidR="004E2BAE">
        <w:t>.</w:t>
      </w:r>
      <w:r w:rsidRPr="004E2BAE">
        <w:t xml:space="preserve"> Conclusions and Recommendations</w:t>
      </w:r>
    </w:p>
    <w:p w14:paraId="7B48BA91" w14:textId="77777777" w:rsidR="00134956" w:rsidRPr="004E2BAE" w:rsidRDefault="00134956" w:rsidP="00526214">
      <w:pPr>
        <w:spacing w:line="360" w:lineRule="auto"/>
        <w:jc w:val="both"/>
        <w:rPr>
          <w:rFonts w:ascii="Times New Roman" w:hAnsi="Times New Roman" w:cs="Times New Roman"/>
          <w:b/>
          <w:sz w:val="24"/>
          <w:szCs w:val="24"/>
        </w:rPr>
      </w:pPr>
      <w:r w:rsidRPr="004E2BAE">
        <w:rPr>
          <w:rFonts w:ascii="Times New Roman" w:hAnsi="Times New Roman" w:cs="Times New Roman"/>
          <w:b/>
          <w:sz w:val="24"/>
          <w:szCs w:val="24"/>
        </w:rPr>
        <w:t>Conclusions</w:t>
      </w:r>
    </w:p>
    <w:p w14:paraId="302A35CD"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lastRenderedPageBreak/>
        <w:t>Ransomware attacks in healthcare cyber-physical systems (CPS) typically exploit vulnerabilities such as phishing emails, unpatched Internet of Medical Things (IoMT) devices, and third-party breaches. Among these, IoMT devices pose the greatest threat due to their deep integration into clinical functions, making disruptions especially severe when compromised. Existing resilience frameworks, including the widely used NIST Cybersecurity Framework, fall short of addressing the unique demands of healthcare CPS. They often overlook system interdependencies and fail to incorporate metrics that reflect healthcare-specific concerns like service continuity and patient safety.</w:t>
      </w:r>
    </w:p>
    <w:p w14:paraId="5E5ECD51"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To bridge these gaps, this study introduces a comprehensive resilience model that integrates technical, operational, organizational, and human factors. This multi-dimensional approach offers a more realistic view of healthcare CPS dynamics and supports more effective risk management and recovery planning. The proposed resilience metrics and assessment methods have proven reliable in evaluating system performance across all disruption phases—from detection to recovery. These tools provide healthcare organizations with clear, actionable benchmarks to guide improvements in preparedness and response.</w:t>
      </w:r>
    </w:p>
    <w:p w14:paraId="75F78014"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Validation through simulations and real-world case studies confirms the model’s effectiveness. Facilities employing proactive strategies such as regular staff training, timely patching of systems, and network segmentation achieved higher resilience scores and faster recovery, reinforcing the practical impact of the framework.</w:t>
      </w:r>
    </w:p>
    <w:p w14:paraId="32F96F6F" w14:textId="77777777" w:rsidR="00134956" w:rsidRPr="00526214" w:rsidRDefault="00134956" w:rsidP="00526214">
      <w:pPr>
        <w:spacing w:line="360" w:lineRule="auto"/>
        <w:jc w:val="both"/>
        <w:rPr>
          <w:rFonts w:ascii="Times New Roman" w:hAnsi="Times New Roman" w:cs="Times New Roman"/>
          <w:b/>
          <w:sz w:val="24"/>
          <w:szCs w:val="24"/>
        </w:rPr>
      </w:pPr>
      <w:r w:rsidRPr="00526214">
        <w:rPr>
          <w:rFonts w:ascii="Times New Roman" w:hAnsi="Times New Roman" w:cs="Times New Roman"/>
          <w:b/>
          <w:sz w:val="24"/>
          <w:szCs w:val="24"/>
        </w:rPr>
        <w:t>Recommendations</w:t>
      </w:r>
    </w:p>
    <w:p w14:paraId="2634CC05" w14:textId="77777777" w:rsidR="00134956" w:rsidRPr="00526214" w:rsidRDefault="00134956" w:rsidP="00526214">
      <w:pPr>
        <w:spacing w:line="360" w:lineRule="auto"/>
        <w:jc w:val="both"/>
        <w:rPr>
          <w:rFonts w:ascii="Times New Roman" w:eastAsia="Times New Roman" w:hAnsi="Times New Roman" w:cs="Times New Roman"/>
          <w:sz w:val="24"/>
          <w:szCs w:val="24"/>
        </w:rPr>
      </w:pPr>
      <w:r w:rsidRPr="00526214">
        <w:rPr>
          <w:rFonts w:ascii="Times New Roman" w:hAnsi="Times New Roman" w:cs="Times New Roman"/>
          <w:sz w:val="24"/>
          <w:szCs w:val="24"/>
        </w:rPr>
        <w:t>The following recommendations outline how healthcare organizations, policymakers, and researchers can leverage the study’s findings, frameworks, and methodologies t</w:t>
      </w:r>
      <w:r w:rsidRPr="00526214">
        <w:rPr>
          <w:rFonts w:ascii="Times New Roman" w:eastAsia="Times New Roman" w:hAnsi="Times New Roman" w:cs="Times New Roman"/>
          <w:sz w:val="24"/>
          <w:szCs w:val="24"/>
        </w:rPr>
        <w:t>o improve healthcare CPS resilience, the HCRI and R_cps should be adopted as standardized tools for benchmarking, and integrated with existing frameworks like the NIST CSF. This ensures consistent, healthcare-specific resilience assessment and alignment with recognized cybersecurity standards. Organizational preparedness can be enhanced through regular cybersecurity training, ransomware simulations, and proactive patch management—especially for IoMT and networked devices. These steps reduce vulnerabilities and improve recovery capabilities during attacks.</w:t>
      </w:r>
    </w:p>
    <w:p w14:paraId="5283955C"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lastRenderedPageBreak/>
        <w:t>System defenses should be reinforced by implementing zero-trust architectures, segmenting IoMT networks, and maintaining isolated, routinely tested backup systems. These practices help contain disruptions and speed up recovery. Regulatory frameworks like HIPAA must be updated to prioritize service continuity alongside data protection. Emphasizing resilience and system uptime ensures regulatory alignment with modern healthcare CPS risks.</w:t>
      </w:r>
    </w:p>
    <w:p w14:paraId="1D05D772" w14:textId="77777777" w:rsidR="00134956" w:rsidRPr="00526214" w:rsidRDefault="00134956" w:rsidP="00526214">
      <w:pPr>
        <w:spacing w:before="100" w:beforeAutospacing="1" w:after="100" w:afterAutospacing="1" w:line="360" w:lineRule="auto"/>
        <w:jc w:val="both"/>
        <w:rPr>
          <w:rFonts w:ascii="Times New Roman" w:eastAsia="Times New Roman" w:hAnsi="Times New Roman" w:cs="Times New Roman"/>
          <w:sz w:val="24"/>
          <w:szCs w:val="24"/>
        </w:rPr>
      </w:pPr>
      <w:r w:rsidRPr="00526214">
        <w:rPr>
          <w:rFonts w:ascii="Times New Roman" w:eastAsia="Times New Roman" w:hAnsi="Times New Roman" w:cs="Times New Roman"/>
          <w:sz w:val="24"/>
          <w:szCs w:val="24"/>
        </w:rPr>
        <w:t>To bridge capability gaps, under-resourced healthcare facilities need targeted funding and access to enterprise-grade cybersecurity tools, including Resilience-as-a-Service platforms, enabling broader adoption of protective measures. Finally, research should advance simulation capabilities by modeling attacker behavior, evolving threats, and CPS integration trade-offs. This supports adaptive, realistic strategies for managing complex cyber-physical risks in healthcare.</w:t>
      </w:r>
    </w:p>
    <w:p w14:paraId="0426EEE9" w14:textId="77777777" w:rsidR="00134956" w:rsidRDefault="00134956" w:rsidP="00526214">
      <w:pPr>
        <w:spacing w:line="360" w:lineRule="auto"/>
        <w:jc w:val="both"/>
        <w:rPr>
          <w:rFonts w:ascii="Times New Roman" w:hAnsi="Times New Roman" w:cs="Times New Roman"/>
          <w:sz w:val="24"/>
          <w:szCs w:val="24"/>
        </w:rPr>
      </w:pPr>
    </w:p>
    <w:p w14:paraId="64A8007D" w14:textId="77777777" w:rsidR="004E2BAE" w:rsidRDefault="004E2BAE" w:rsidP="00526214">
      <w:pPr>
        <w:spacing w:line="360" w:lineRule="auto"/>
        <w:jc w:val="both"/>
        <w:rPr>
          <w:rFonts w:ascii="Times New Roman" w:hAnsi="Times New Roman" w:cs="Times New Roman"/>
          <w:sz w:val="24"/>
          <w:szCs w:val="24"/>
        </w:rPr>
      </w:pPr>
    </w:p>
    <w:p w14:paraId="1C279CD2" w14:textId="77777777" w:rsidR="004E2BAE" w:rsidRPr="007957FB" w:rsidRDefault="004E2BAE" w:rsidP="004E2BAE">
      <w:pPr>
        <w:rPr>
          <w:rFonts w:ascii="Times New Roman" w:hAnsi="Times New Roman" w:cs="Times New Roman"/>
          <w:sz w:val="24"/>
          <w:szCs w:val="24"/>
        </w:rPr>
      </w:pPr>
      <w:r w:rsidRPr="007957FB">
        <w:rPr>
          <w:rFonts w:ascii="Times New Roman" w:hAnsi="Times New Roman" w:cs="Times New Roman"/>
          <w:sz w:val="24"/>
          <w:szCs w:val="24"/>
        </w:rPr>
        <w:t>Disclaimer (Artificial intelligence)</w:t>
      </w:r>
    </w:p>
    <w:p w14:paraId="36B7DCDC" w14:textId="77777777" w:rsidR="004E2BAE" w:rsidRPr="007957FB" w:rsidRDefault="004E2BAE" w:rsidP="004E2BAE">
      <w:pPr>
        <w:rPr>
          <w:rFonts w:ascii="Times New Roman" w:hAnsi="Times New Roman" w:cs="Times New Roman"/>
          <w:sz w:val="24"/>
          <w:szCs w:val="24"/>
        </w:rPr>
      </w:pPr>
    </w:p>
    <w:p w14:paraId="46A0C315" w14:textId="77777777" w:rsidR="004E2BAE" w:rsidRDefault="004E2BAE" w:rsidP="004E2BAE">
      <w:pPr>
        <w:rPr>
          <w:rFonts w:ascii="Times New Roman" w:hAnsi="Times New Roman" w:cs="Times New Roman"/>
          <w:sz w:val="24"/>
          <w:szCs w:val="24"/>
        </w:rPr>
      </w:pPr>
      <w:r w:rsidRPr="007957FB">
        <w:rPr>
          <w:rFonts w:ascii="Times New Roman" w:hAnsi="Times New Roman" w:cs="Times New Roman"/>
          <w:sz w:val="24"/>
          <w:szCs w:val="24"/>
        </w:rPr>
        <w:t xml:space="preserve">Author(s) hereby </w:t>
      </w:r>
      <w:proofErr w:type="gramStart"/>
      <w:r w:rsidRPr="007957FB">
        <w:rPr>
          <w:rFonts w:ascii="Times New Roman" w:hAnsi="Times New Roman" w:cs="Times New Roman"/>
          <w:sz w:val="24"/>
          <w:szCs w:val="24"/>
        </w:rPr>
        <w:t>declare</w:t>
      </w:r>
      <w:proofErr w:type="gramEnd"/>
      <w:r w:rsidRPr="007957FB">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1F29A01F" w14:textId="77777777" w:rsidR="00333885" w:rsidRDefault="00333885" w:rsidP="004E2BAE">
      <w:pPr>
        <w:rPr>
          <w:rFonts w:ascii="Times New Roman" w:hAnsi="Times New Roman" w:cs="Times New Roman"/>
          <w:sz w:val="24"/>
          <w:szCs w:val="24"/>
        </w:rPr>
      </w:pPr>
    </w:p>
    <w:p w14:paraId="13260E16" w14:textId="77777777" w:rsidR="00333885" w:rsidRPr="00333885" w:rsidRDefault="00333885" w:rsidP="00333885">
      <w:pPr>
        <w:rPr>
          <w:rFonts w:ascii="Times New Roman" w:hAnsi="Times New Roman" w:cs="Times New Roman"/>
          <w:sz w:val="24"/>
          <w:szCs w:val="24"/>
        </w:rPr>
      </w:pPr>
      <w:r w:rsidRPr="00333885">
        <w:rPr>
          <w:rFonts w:ascii="Times New Roman" w:hAnsi="Times New Roman" w:cs="Times New Roman"/>
          <w:sz w:val="24"/>
          <w:szCs w:val="24"/>
        </w:rPr>
        <w:t>COMPETING INTERESTS DISCLAIMER:</w:t>
      </w:r>
    </w:p>
    <w:p w14:paraId="35F717DE" w14:textId="77777777" w:rsidR="00333885" w:rsidRPr="00333885" w:rsidRDefault="00333885" w:rsidP="00333885">
      <w:pPr>
        <w:rPr>
          <w:rFonts w:ascii="Times New Roman" w:hAnsi="Times New Roman" w:cs="Times New Roman"/>
          <w:sz w:val="24"/>
          <w:szCs w:val="24"/>
        </w:rPr>
      </w:pPr>
      <w:r w:rsidRPr="0033388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35B6A20" w14:textId="77777777" w:rsidR="00333885" w:rsidRPr="00333885" w:rsidRDefault="00333885" w:rsidP="00333885">
      <w:pPr>
        <w:rPr>
          <w:rFonts w:ascii="Times New Roman" w:hAnsi="Times New Roman" w:cs="Times New Roman"/>
          <w:sz w:val="24"/>
          <w:szCs w:val="24"/>
        </w:rPr>
      </w:pPr>
    </w:p>
    <w:p w14:paraId="16889103" w14:textId="77777777" w:rsidR="00333885" w:rsidRPr="007957FB" w:rsidRDefault="00333885" w:rsidP="004E2BAE">
      <w:pPr>
        <w:rPr>
          <w:rFonts w:ascii="Times New Roman" w:hAnsi="Times New Roman" w:cs="Times New Roman"/>
          <w:sz w:val="24"/>
          <w:szCs w:val="24"/>
        </w:rPr>
      </w:pPr>
    </w:p>
    <w:p w14:paraId="2068CA55" w14:textId="77777777" w:rsidR="004E2BAE" w:rsidRDefault="004E2BAE" w:rsidP="00526214">
      <w:pPr>
        <w:spacing w:line="360" w:lineRule="auto"/>
        <w:jc w:val="both"/>
        <w:rPr>
          <w:rFonts w:ascii="Times New Roman" w:hAnsi="Times New Roman" w:cs="Times New Roman"/>
          <w:sz w:val="24"/>
          <w:szCs w:val="24"/>
        </w:rPr>
      </w:pPr>
    </w:p>
    <w:p w14:paraId="576E3713" w14:textId="77777777" w:rsidR="003A7E2D" w:rsidRPr="00526214" w:rsidRDefault="003A7E2D" w:rsidP="004E2BAE">
      <w:pPr>
        <w:pStyle w:val="Heading1"/>
        <w:jc w:val="center"/>
      </w:pPr>
      <w:r w:rsidRPr="00526214">
        <w:t>References</w:t>
      </w:r>
    </w:p>
    <w:p w14:paraId="3A43BD8D"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Adesokan-Imran, T. O., Popoola, A. D., Ejiofor, V. O., Salako, A. O., &amp; Onyenaucheya, O. S. (2025). Predictive Cybersecurity Risk Modeling in Healthcare by Leveraging AI and </w:t>
      </w:r>
      <w:r w:rsidRPr="00526214">
        <w:lastRenderedPageBreak/>
        <w:t xml:space="preserve">Machine Learning for Proactive Threat Detection. Journal of Engineering Research and Reports, 27(4), 144–165. https://doi.org/10.9734/jerr/2025/v27i41463 </w:t>
      </w:r>
    </w:p>
    <w:p w14:paraId="53CBA868"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Al-Qarni, E. A. (2023). Cybersecurity in Healthcare: A Review of Recent Attacks and Mitigation Strategies. </w:t>
      </w:r>
      <w:r w:rsidRPr="00526214">
        <w:rPr>
          <w:i/>
          <w:iCs/>
        </w:rPr>
        <w:t>International Journal of Advanced Computer Science and Applications</w:t>
      </w:r>
      <w:r w:rsidRPr="00526214">
        <w:t xml:space="preserve">, </w:t>
      </w:r>
      <w:r w:rsidRPr="00526214">
        <w:rPr>
          <w:i/>
          <w:iCs/>
        </w:rPr>
        <w:t>14</w:t>
      </w:r>
      <w:r w:rsidRPr="00526214">
        <w:t>(5). https://doi.org/10.14569/ijacsa.2023.0140513</w:t>
      </w:r>
    </w:p>
    <w:p w14:paraId="470883F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American Psychological Association. (2020). </w:t>
      </w:r>
      <w:r w:rsidRPr="00526214">
        <w:rPr>
          <w:i/>
          <w:iCs/>
        </w:rPr>
        <w:t>Publication Manual of the American Psychological Association, Seventh Edition (2020)</w:t>
      </w:r>
      <w:r w:rsidRPr="00526214">
        <w:t>. Https://Apastyle.apa.org. https://apastyle.apa.org/products/publication-manual-7th-edition</w:t>
      </w:r>
    </w:p>
    <w:p w14:paraId="2CBC2B19"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Argaw, S. T., Bempong, N.-E., Eshaya-Chauvin, B., &amp; Flahault, A. (2019). The state of research on cyberattacks against hospitals and available best practice recommendations: a scoping review. </w:t>
      </w:r>
      <w:r w:rsidRPr="00526214">
        <w:rPr>
          <w:i/>
          <w:iCs/>
        </w:rPr>
        <w:t>BMC Medical Informatics and Decision Making</w:t>
      </w:r>
      <w:r w:rsidRPr="00526214">
        <w:t xml:space="preserve">, </w:t>
      </w:r>
      <w:r w:rsidRPr="00526214">
        <w:rPr>
          <w:i/>
          <w:iCs/>
        </w:rPr>
        <w:t>19</w:t>
      </w:r>
      <w:r w:rsidRPr="00526214">
        <w:t>(1). https://doi.org/10.1186/s12911-018-0724-5</w:t>
      </w:r>
    </w:p>
    <w:p w14:paraId="49CE1BA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Baig, M. M., GholamHosseini, H., Moqeem, A. A., Mirza, F., &amp; Lindén, M. (2017). A Systematic Review of Wearable Patient Monitoring Systems – Current Challenges and Opportunities for Clinical Adoption. </w:t>
      </w:r>
      <w:r w:rsidRPr="00526214">
        <w:rPr>
          <w:i/>
          <w:iCs/>
        </w:rPr>
        <w:t>Journal of Medical Systems</w:t>
      </w:r>
      <w:r w:rsidRPr="00526214">
        <w:t xml:space="preserve">, </w:t>
      </w:r>
      <w:r w:rsidRPr="00526214">
        <w:rPr>
          <w:i/>
          <w:iCs/>
        </w:rPr>
        <w:t>41</w:t>
      </w:r>
      <w:r w:rsidRPr="00526214">
        <w:t>(7). https://doi.org/10.1007/s10916-017-0760-1</w:t>
      </w:r>
    </w:p>
    <w:p w14:paraId="03087B2B"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Braun, V., &amp; Clarke, V. (2006). </w:t>
      </w:r>
      <w:r w:rsidRPr="00526214">
        <w:rPr>
          <w:i/>
          <w:iCs/>
        </w:rPr>
        <w:t>Using Thematic Analysis in Psychology</w:t>
      </w:r>
      <w:r w:rsidRPr="00526214">
        <w:t>. Qualitative Research in Psychology. https://doi.org/10.1191/1478088706qp063oa</w:t>
      </w:r>
    </w:p>
    <w:p w14:paraId="7769C063"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Cohesity. (2023). </w:t>
      </w:r>
      <w:r w:rsidRPr="00526214">
        <w:rPr>
          <w:i/>
          <w:iCs/>
        </w:rPr>
        <w:t>Cyber resilience in the ransomware era Five keys to withstanding and recovering from cyberattacks</w:t>
      </w:r>
      <w:r w:rsidRPr="00526214">
        <w:t>. https://www.cohesity.com/resource-assets/ebook/defend-your-data-from-a-ransomware-attack-ebook-en.pdf</w:t>
      </w:r>
    </w:p>
    <w:p w14:paraId="2F0696C5"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COPE. (2023). </w:t>
      </w:r>
      <w:r w:rsidRPr="00526214">
        <w:rPr>
          <w:i/>
          <w:iCs/>
        </w:rPr>
        <w:t>Promoting integrity in research and its publication | committee on publication ethics: COPE</w:t>
      </w:r>
      <w:r w:rsidRPr="00526214">
        <w:t>. Publicationethics.org. https://publicationethics.org/</w:t>
      </w:r>
    </w:p>
    <w:p w14:paraId="2AD2D743"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Coventry, L., &amp; Branley, D. (2018). Cybersecurity in healthcare: A narrative review of trends, threats and ways forward. </w:t>
      </w:r>
      <w:r w:rsidRPr="00526214">
        <w:rPr>
          <w:i/>
          <w:iCs/>
        </w:rPr>
        <w:t>Maturitas</w:t>
      </w:r>
      <w:r w:rsidRPr="00526214">
        <w:t xml:space="preserve">, </w:t>
      </w:r>
      <w:r w:rsidRPr="00526214">
        <w:rPr>
          <w:i/>
          <w:iCs/>
        </w:rPr>
        <w:t>113</w:t>
      </w:r>
      <w:r w:rsidRPr="00526214">
        <w:t>, 48–52. https://doi.org/10.1016/j.maturitas.2018.04.008</w:t>
      </w:r>
    </w:p>
    <w:p w14:paraId="7598FB0E"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Dasgupta, D., Akhtar, Z., &amp; Sen, S. (2020). Machine learning in cybersecurity: a comprehensive survey. </w:t>
      </w:r>
      <w:r w:rsidRPr="00526214">
        <w:rPr>
          <w:i/>
          <w:iCs/>
        </w:rPr>
        <w:t>The Journal of Defense Modeling and Simulation: Applications, Methodology, Technology</w:t>
      </w:r>
      <w:r w:rsidRPr="00526214">
        <w:t xml:space="preserve">, </w:t>
      </w:r>
      <w:r w:rsidRPr="00526214">
        <w:rPr>
          <w:i/>
          <w:iCs/>
        </w:rPr>
        <w:t>19</w:t>
      </w:r>
      <w:r w:rsidRPr="00526214">
        <w:t>(1), 154851292095127. https://doi.org/10.1177/1548512920951275</w:t>
      </w:r>
    </w:p>
    <w:p w14:paraId="08E44080"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DATAtab. (2025). </w:t>
      </w:r>
      <w:r w:rsidRPr="00526214">
        <w:rPr>
          <w:i/>
          <w:iCs/>
        </w:rPr>
        <w:t>t-Test, Chi-Square, ANOVA, Regression, Correlation...</w:t>
      </w:r>
      <w:r w:rsidRPr="00526214">
        <w:t xml:space="preserve"> Datatab.net. https://datatab.net/tutorial/kaplan-meier-curve</w:t>
      </w:r>
    </w:p>
    <w:p w14:paraId="378B1E15" w14:textId="77777777" w:rsidR="003A7E2D" w:rsidRPr="00526214" w:rsidRDefault="003A7E2D" w:rsidP="00526214">
      <w:pPr>
        <w:pStyle w:val="NormalWeb"/>
        <w:spacing w:before="0" w:beforeAutospacing="0" w:after="0" w:afterAutospacing="0" w:line="360" w:lineRule="auto"/>
        <w:ind w:left="720" w:hanging="720"/>
        <w:jc w:val="both"/>
      </w:pPr>
      <w:r w:rsidRPr="00526214">
        <w:lastRenderedPageBreak/>
        <w:t xml:space="preserve">DriveLock. (2025). </w:t>
      </w:r>
      <w:r w:rsidRPr="00526214">
        <w:rPr>
          <w:i/>
          <w:iCs/>
        </w:rPr>
        <w:t xml:space="preserve">Impact Of Ransomware </w:t>
      </w:r>
      <w:proofErr w:type="gramStart"/>
      <w:r w:rsidRPr="00526214">
        <w:rPr>
          <w:i/>
          <w:iCs/>
        </w:rPr>
        <w:t>On</w:t>
      </w:r>
      <w:proofErr w:type="gramEnd"/>
      <w:r w:rsidRPr="00526214">
        <w:rPr>
          <w:i/>
          <w:iCs/>
        </w:rPr>
        <w:t xml:space="preserve"> Healthcare Systems</w:t>
      </w:r>
      <w:r w:rsidRPr="00526214">
        <w:t>. Drivelock.com; Drivelock SE. https://www.drivelock.com/en/blog/impact-of-ransomware-on-healthcare-systems</w:t>
      </w:r>
    </w:p>
    <w:p w14:paraId="6F0DCC37"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ENISA. (2020). </w:t>
      </w:r>
      <w:r w:rsidRPr="00526214">
        <w:rPr>
          <w:i/>
          <w:iCs/>
        </w:rPr>
        <w:t>Procurement Guidelines for Cybersecurity in Hospitals</w:t>
      </w:r>
      <w:r w:rsidRPr="00526214">
        <w:t>. ENISA. https://www.enisa.europa.eu/publications/good-practices-for-the-security-of-healthcare-services</w:t>
      </w:r>
    </w:p>
    <w:p w14:paraId="7F6049D8"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Filkins, B. L., Kim, J. Y., Roberts, B., Armstrong, W., Miller, M. A., Hultner, M. L., Castillo, A. P., Jean-Christophe Ducom, Topol, E. J., &amp; Steinhubl, S. R. (2016). Privacy and security in the era of digital health: what should translational researchers know and do about it? </w:t>
      </w:r>
      <w:r w:rsidRPr="00526214">
        <w:rPr>
          <w:i/>
          <w:iCs/>
        </w:rPr>
        <w:t>American Journal of Translational Research</w:t>
      </w:r>
      <w:r w:rsidRPr="00526214">
        <w:t xml:space="preserve">, </w:t>
      </w:r>
      <w:r w:rsidRPr="00526214">
        <w:rPr>
          <w:i/>
          <w:iCs/>
        </w:rPr>
        <w:t>8</w:t>
      </w:r>
      <w:r w:rsidRPr="00526214">
        <w:t>(3), 1560. https://pmc.ncbi.nlm.nih.gov/articles/PMC4859641/</w:t>
      </w:r>
    </w:p>
    <w:p w14:paraId="2BFDEB04"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FIRST. (2019). </w:t>
      </w:r>
      <w:r w:rsidRPr="00526214">
        <w:rPr>
          <w:i/>
          <w:iCs/>
        </w:rPr>
        <w:t>CVSS v3.1 Specification Document</w:t>
      </w:r>
      <w:r w:rsidRPr="00526214">
        <w:t>. FIRST — Forum of Incident Response and Security Teams. https://www.first.org/cvss/v3.1/specification-document</w:t>
      </w:r>
    </w:p>
    <w:p w14:paraId="472DC28F"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Google Cloud. (2017). </w:t>
      </w:r>
      <w:r w:rsidRPr="00526214">
        <w:rPr>
          <w:i/>
          <w:iCs/>
        </w:rPr>
        <w:t>WannaCry Malware Profile | Mandiant</w:t>
      </w:r>
      <w:r w:rsidRPr="00526214">
        <w:t>. Google Cloud Blog. https://cloud.google.com/blog/topics/threat-intelligence/wannacry-malware-profile</w:t>
      </w:r>
    </w:p>
    <w:p w14:paraId="418DB414"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He, Y., Aliyu, A., Evans, M., &amp; Luo, C. (2021). Healthcare Cyber Security Challenges and Solutions Under the Climate of COVID19: A Scoping Review (Preprint). </w:t>
      </w:r>
      <w:r w:rsidRPr="00526214">
        <w:rPr>
          <w:i/>
          <w:iCs/>
        </w:rPr>
        <w:t>Journal of Medical Internet Research</w:t>
      </w:r>
      <w:r w:rsidRPr="00526214">
        <w:t xml:space="preserve">, </w:t>
      </w:r>
      <w:r w:rsidRPr="00526214">
        <w:rPr>
          <w:i/>
          <w:iCs/>
        </w:rPr>
        <w:t>23</w:t>
      </w:r>
      <w:r w:rsidRPr="00526214">
        <w:t>(4). ncbi. https://doi.org/10.2196/21747</w:t>
      </w:r>
    </w:p>
    <w:p w14:paraId="74422BB8"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Healthcare &amp; Public Health Sector Coordinating Council. (2023). </w:t>
      </w:r>
      <w:r w:rsidRPr="00526214">
        <w:rPr>
          <w:i/>
          <w:iCs/>
        </w:rPr>
        <w:t>Health Industry Cybersecurity Practices: Managing Threats and Protecting Patients</w:t>
      </w:r>
      <w:r w:rsidRPr="00526214">
        <w:t>. Hhs.gov. https://405d.hhs.gov/Documents/HICP-Main-508.pdf</w:t>
      </w:r>
    </w:p>
    <w:p w14:paraId="2994247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Higgins, J. P. T., &amp; Thompson, S. G. (2002). Quantifying heterogeneity in a meta-analysis. </w:t>
      </w:r>
      <w:r w:rsidRPr="00526214">
        <w:rPr>
          <w:i/>
          <w:iCs/>
        </w:rPr>
        <w:t>Statistics in Medicine</w:t>
      </w:r>
      <w:r w:rsidRPr="00526214">
        <w:t xml:space="preserve">, </w:t>
      </w:r>
      <w:r w:rsidRPr="00526214">
        <w:rPr>
          <w:i/>
          <w:iCs/>
        </w:rPr>
        <w:t>21</w:t>
      </w:r>
      <w:r w:rsidRPr="00526214">
        <w:t>(11), 1539–1558. https://doi.org/10.1002/sim.1186</w:t>
      </w:r>
    </w:p>
    <w:p w14:paraId="33487F97"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Hubbard, G. (2023). State-level Cyber Resilience: A Conceptual Framework. </w:t>
      </w:r>
      <w:r w:rsidRPr="00526214">
        <w:rPr>
          <w:i/>
          <w:iCs/>
        </w:rPr>
        <w:t>Applied Cybersecurity &amp; Internet Governance</w:t>
      </w:r>
      <w:r w:rsidRPr="00526214">
        <w:t xml:space="preserve">, </w:t>
      </w:r>
      <w:r w:rsidRPr="00526214">
        <w:rPr>
          <w:i/>
          <w:iCs/>
        </w:rPr>
        <w:t>2</w:t>
      </w:r>
      <w:r w:rsidRPr="00526214">
        <w:t>(1), 1–14. https://doi.org/10.60097/acig/162859</w:t>
      </w:r>
    </w:p>
    <w:p w14:paraId="7F5395D3"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Jalali, M. S., &amp; Kaiser, J. P. (2018). Cybersecurity in Hospitals: A Systematic, Organizational Perspective. </w:t>
      </w:r>
      <w:r w:rsidRPr="00526214">
        <w:rPr>
          <w:i/>
          <w:iCs/>
        </w:rPr>
        <w:t>Journal of Medical Internet Research</w:t>
      </w:r>
      <w:r w:rsidRPr="00526214">
        <w:t xml:space="preserve">, </w:t>
      </w:r>
      <w:r w:rsidRPr="00526214">
        <w:rPr>
          <w:i/>
          <w:iCs/>
        </w:rPr>
        <w:t>20</w:t>
      </w:r>
      <w:r w:rsidRPr="00526214">
        <w:t>(5), e10059. https://doi.org/10.2196/10059</w:t>
      </w:r>
    </w:p>
    <w:p w14:paraId="44A7B4EA"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Kesang Tashi Ukyab, Beato, F., &amp; World Economic Forum. (2024, February). </w:t>
      </w:r>
      <w:r w:rsidRPr="00526214">
        <w:rPr>
          <w:i/>
          <w:iCs/>
        </w:rPr>
        <w:t>Why the healthcare industry must prioritize cyber resilience</w:t>
      </w:r>
      <w:r w:rsidRPr="00526214">
        <w:t>. World Economic Forum. https://www.weforum.org/stories/2024/02/healthcare-pays-the-highest-price-of-any-sector-for-cyberattacks-that-why-cyber-resilience-is-key/</w:t>
      </w:r>
    </w:p>
    <w:p w14:paraId="70D4592F" w14:textId="77777777" w:rsidR="003A7E2D" w:rsidRPr="00526214" w:rsidRDefault="003A7E2D" w:rsidP="00526214">
      <w:pPr>
        <w:pStyle w:val="NormalWeb"/>
        <w:spacing w:before="0" w:beforeAutospacing="0" w:after="0" w:afterAutospacing="0" w:line="360" w:lineRule="auto"/>
        <w:ind w:left="720" w:hanging="720"/>
        <w:jc w:val="both"/>
      </w:pPr>
      <w:r w:rsidRPr="00526214">
        <w:lastRenderedPageBreak/>
        <w:t xml:space="preserve">Kitchenham, B., &amp; Charters, S. M. (2007). </w:t>
      </w:r>
      <w:r w:rsidRPr="00526214">
        <w:rPr>
          <w:i/>
          <w:iCs/>
        </w:rPr>
        <w:t>Guidelines for performing Systematic Literature Reviews in Software Engineering | Request PDF</w:t>
      </w:r>
      <w:r w:rsidRPr="00526214">
        <w:t>. ResearchGate. https://www.researchgate.net/publication/302924724_Guidelines_for_performing_Systematic_Literature_Reviews_in_Software_Engineering</w:t>
      </w:r>
    </w:p>
    <w:p w14:paraId="1D6E5AA9"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Kruse, C., Frederick, B., Jacobson, T., &amp; Monticone, D. (2017). </w:t>
      </w:r>
      <w:r w:rsidRPr="00526214">
        <w:rPr>
          <w:i/>
          <w:iCs/>
        </w:rPr>
        <w:t>Cybersecurity in Healthcare: A Systematic Review of Modern Threats and Trends</w:t>
      </w:r>
      <w:r w:rsidRPr="00526214">
        <w:t xml:space="preserve">. Technology and Health </w:t>
      </w:r>
      <w:proofErr w:type="gramStart"/>
      <w:r w:rsidRPr="00526214">
        <w:t>Care :</w:t>
      </w:r>
      <w:proofErr w:type="gramEnd"/>
      <w:r w:rsidRPr="00526214">
        <w:t xml:space="preserve"> Official Journal of the European Society for Engineering and Medicine. https://pubmed.ncbi.nlm.nih.gov/27689562/</w:t>
      </w:r>
    </w:p>
    <w:p w14:paraId="2D98BF2A"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Lee, I., &amp; Sokolsky, O. (2010). Medical cyber physical systems. </w:t>
      </w:r>
      <w:r w:rsidRPr="00526214">
        <w:rPr>
          <w:i/>
          <w:iCs/>
        </w:rPr>
        <w:t>Proceedings of the 47th Design Automation Conference</w:t>
      </w:r>
      <w:r w:rsidRPr="00526214">
        <w:t>. https://doi.org/10.1145/1837274.1837463</w:t>
      </w:r>
    </w:p>
    <w:p w14:paraId="57EA89D2"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Lezzi, M., Lazoi, M., &amp; Corallo, A. (2018). Cybersecurity for Industry 4.0 in the current literature: A reference framework. </w:t>
      </w:r>
      <w:r w:rsidRPr="00526214">
        <w:rPr>
          <w:i/>
          <w:iCs/>
        </w:rPr>
        <w:t>Computers in Industry</w:t>
      </w:r>
      <w:r w:rsidRPr="00526214">
        <w:t xml:space="preserve">, </w:t>
      </w:r>
      <w:r w:rsidRPr="00526214">
        <w:rPr>
          <w:i/>
          <w:iCs/>
        </w:rPr>
        <w:t>103</w:t>
      </w:r>
      <w:r w:rsidRPr="00526214">
        <w:t>(1), 97–110. https://doi.org/10.1016/j.compind.2018.09.004</w:t>
      </w:r>
    </w:p>
    <w:p w14:paraId="5BB615C7"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Linkov, I., Trump, B. D., &amp; Fox-Lent, C. (2016, August 1). </w:t>
      </w:r>
      <w:r w:rsidRPr="00526214">
        <w:rPr>
          <w:i/>
          <w:iCs/>
        </w:rPr>
        <w:t>Resilience: Approaches to Risk Analysis and Governance</w:t>
      </w:r>
      <w:r w:rsidRPr="00526214">
        <w:t>. https://www.researchgate.net/publication/313699086_Resilience_Approaches_to_Risk_Analysis_and_Governance</w:t>
      </w:r>
    </w:p>
    <w:p w14:paraId="736E60F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Luna, R., Rhine, E., Myhra, M., Sullivan, R., &amp; Kruse, C. S. (2016). Cyber threats to health information systems: A systematic review. </w:t>
      </w:r>
      <w:r w:rsidRPr="00526214">
        <w:rPr>
          <w:i/>
          <w:iCs/>
        </w:rPr>
        <w:t>Technology and Health Care: Official Journal of the European Society for Engineering and Medicine</w:t>
      </w:r>
      <w:r w:rsidRPr="00526214">
        <w:t xml:space="preserve">, </w:t>
      </w:r>
      <w:r w:rsidRPr="00526214">
        <w:rPr>
          <w:i/>
          <w:iCs/>
        </w:rPr>
        <w:t>24</w:t>
      </w:r>
      <w:r w:rsidRPr="00526214">
        <w:t>(1), 1–9. https://doi.org/10.3233/THC-151102</w:t>
      </w:r>
    </w:p>
    <w:p w14:paraId="6C8BA0C0"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Macal, C. M., &amp; North, M. J. (2009). Agent-based modeling and simulation. </w:t>
      </w:r>
      <w:r w:rsidRPr="00526214">
        <w:rPr>
          <w:i/>
          <w:iCs/>
        </w:rPr>
        <w:t>Proceedings of the 2009 Winter Simulation Conference (WSC)</w:t>
      </w:r>
      <w:r w:rsidRPr="00526214">
        <w:t>. https://doi.org/10.1109/wsc.2009.5429318</w:t>
      </w:r>
    </w:p>
    <w:p w14:paraId="43A2D3AB"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Martin, G., Martin, P., Hankin, C., Darzi, A., &amp; Kinross, J. (2017). Cybersecurity and healthcare: how safe are we? </w:t>
      </w:r>
      <w:r w:rsidRPr="00526214">
        <w:rPr>
          <w:i/>
          <w:iCs/>
        </w:rPr>
        <w:t>BMJ</w:t>
      </w:r>
      <w:r w:rsidRPr="00526214">
        <w:t xml:space="preserve">, </w:t>
      </w:r>
      <w:r w:rsidRPr="00526214">
        <w:rPr>
          <w:i/>
          <w:iCs/>
        </w:rPr>
        <w:t>358</w:t>
      </w:r>
      <w:r w:rsidRPr="00526214">
        <w:t>(1), j3179. https://doi.org/10.1136/bmj.j3179</w:t>
      </w:r>
    </w:p>
    <w:p w14:paraId="589F32F1"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Muthuppalaniappan, M., &amp; Stevenson, K. (2020). Healthcare Cyber-Attacks and the COVID-19 Pandemic: </w:t>
      </w:r>
      <w:proofErr w:type="gramStart"/>
      <w:r w:rsidRPr="00526214">
        <w:t>an</w:t>
      </w:r>
      <w:proofErr w:type="gramEnd"/>
      <w:r w:rsidRPr="00526214">
        <w:t xml:space="preserve"> Urgent Threat to Global Health. </w:t>
      </w:r>
      <w:r w:rsidRPr="00526214">
        <w:rPr>
          <w:i/>
          <w:iCs/>
        </w:rPr>
        <w:t>International Journal for Quality in Health Care</w:t>
      </w:r>
      <w:r w:rsidRPr="00526214">
        <w:t xml:space="preserve">, </w:t>
      </w:r>
      <w:r w:rsidRPr="00526214">
        <w:rPr>
          <w:i/>
          <w:iCs/>
        </w:rPr>
        <w:t>33</w:t>
      </w:r>
      <w:r w:rsidRPr="00526214">
        <w:t>(1). https://doi.org/10.1093/intqhc/mzaa117</w:t>
      </w:r>
    </w:p>
    <w:p w14:paraId="6E723000"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NIST. (2018). Framework for Improving Critical Infrastructure Cybersecurity, Version 1.1. </w:t>
      </w:r>
      <w:r w:rsidRPr="00526214">
        <w:rPr>
          <w:i/>
          <w:iCs/>
        </w:rPr>
        <w:t>Framework for Improving Critical Infrastructure Cybersecurity</w:t>
      </w:r>
      <w:r w:rsidRPr="00526214">
        <w:t xml:space="preserve">, </w:t>
      </w:r>
      <w:r w:rsidRPr="00526214">
        <w:rPr>
          <w:i/>
          <w:iCs/>
        </w:rPr>
        <w:t>1.1</w:t>
      </w:r>
      <w:r w:rsidRPr="00526214">
        <w:t>(1). https://doi.org/10.6028/nist.cswp.04162018</w:t>
      </w:r>
    </w:p>
    <w:p w14:paraId="2DA851C8" w14:textId="77777777" w:rsidR="003A7E2D" w:rsidRPr="00526214" w:rsidRDefault="003A7E2D" w:rsidP="00526214">
      <w:pPr>
        <w:pStyle w:val="NormalWeb"/>
        <w:spacing w:before="0" w:beforeAutospacing="0" w:after="0" w:afterAutospacing="0" w:line="360" w:lineRule="auto"/>
        <w:ind w:left="720" w:hanging="720"/>
        <w:jc w:val="both"/>
      </w:pPr>
      <w:r w:rsidRPr="00526214">
        <w:lastRenderedPageBreak/>
        <w:t xml:space="preserve">NIST. (2020). Security and Privacy Controls for Information Systems and Organizations. </w:t>
      </w:r>
      <w:r w:rsidRPr="00526214">
        <w:rPr>
          <w:i/>
          <w:iCs/>
        </w:rPr>
        <w:t>Security and Privacy Controlsfor Information Systems and Organizations</w:t>
      </w:r>
      <w:r w:rsidRPr="00526214">
        <w:t xml:space="preserve">, </w:t>
      </w:r>
      <w:r w:rsidRPr="00526214">
        <w:rPr>
          <w:i/>
          <w:iCs/>
        </w:rPr>
        <w:t>5</w:t>
      </w:r>
      <w:r w:rsidRPr="00526214">
        <w:t>(5). https://doi.org/10.6028/nist.sp.800-53r5</w:t>
      </w:r>
    </w:p>
    <w:p w14:paraId="2D564125"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Offner, K. L., Sitnikova, E., Joiner, K., &amp; MacIntyre, C. R. (2020). Towards understanding cybersecurity capability in Australian healthcare organisations: a systematic review of recent trends, threats and mitigation. </w:t>
      </w:r>
      <w:r w:rsidRPr="00526214">
        <w:rPr>
          <w:i/>
          <w:iCs/>
        </w:rPr>
        <w:t>Intelligence and National Security</w:t>
      </w:r>
      <w:r w:rsidRPr="00526214">
        <w:t xml:space="preserve">, </w:t>
      </w:r>
      <w:r w:rsidRPr="00526214">
        <w:rPr>
          <w:i/>
          <w:iCs/>
        </w:rPr>
        <w:t>35</w:t>
      </w:r>
      <w:r w:rsidRPr="00526214">
        <w:t>(4), 556–585. https://doi.org/10.1080/02684527.2020.1752459</w:t>
      </w:r>
    </w:p>
    <w:p w14:paraId="610DF9F6"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Page, M. J., McKenzie, J. E., Bossuyt, P. M., Boutron, I., Hoffmann, T. C., Mulrow, C. D., Shamseer, L., Tetzlaff, J. M., Akl, E. A., Brennan, S. E., Chou, R., Glanville, J., Grimshaw, J. M., Hróbjartsson, A., Lalu, M. M., Li, T., Loder, E. W., Mayo-Wilson, E., McDonald, S., &amp; McGuinness, L. A. (2021). The PRISMA 2020 statement: an Updated Guideline for Reporting Systematic Reviews. </w:t>
      </w:r>
      <w:r w:rsidRPr="00526214">
        <w:rPr>
          <w:i/>
          <w:iCs/>
        </w:rPr>
        <w:t>British Medical Journal</w:t>
      </w:r>
      <w:r w:rsidRPr="00526214">
        <w:t xml:space="preserve">, </w:t>
      </w:r>
      <w:r w:rsidRPr="00526214">
        <w:rPr>
          <w:i/>
          <w:iCs/>
        </w:rPr>
        <w:t>372</w:t>
      </w:r>
      <w:r w:rsidRPr="00526214">
        <w:t>(71). https://doi.org/10.1136/bmj.n71</w:t>
      </w:r>
    </w:p>
    <w:p w14:paraId="703B442E"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Perakslis, E. D. (2014). Cybersecurity in Health Care. </w:t>
      </w:r>
      <w:r w:rsidRPr="00526214">
        <w:rPr>
          <w:i/>
          <w:iCs/>
        </w:rPr>
        <w:t>New England Journal of Medicine</w:t>
      </w:r>
      <w:r w:rsidRPr="00526214">
        <w:t xml:space="preserve">, </w:t>
      </w:r>
      <w:r w:rsidRPr="00526214">
        <w:rPr>
          <w:i/>
          <w:iCs/>
        </w:rPr>
        <w:t>371</w:t>
      </w:r>
      <w:r w:rsidRPr="00526214">
        <w:t>(5), 395–397. https://doi.org/10.1056/nejmp1404358</w:t>
      </w:r>
    </w:p>
    <w:p w14:paraId="2CB3958B"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Sendelj, R., &amp; Ognjanovic, I. (2022). Cybersecurity challenges in healthcare. </w:t>
      </w:r>
      <w:r w:rsidRPr="00526214">
        <w:rPr>
          <w:i/>
          <w:iCs/>
        </w:rPr>
        <w:t>Studies in Health Technology and Informatics</w:t>
      </w:r>
      <w:r w:rsidRPr="00526214">
        <w:t xml:space="preserve">, </w:t>
      </w:r>
      <w:r w:rsidRPr="00526214">
        <w:rPr>
          <w:i/>
          <w:iCs/>
        </w:rPr>
        <w:t>300</w:t>
      </w:r>
      <w:r w:rsidRPr="00526214">
        <w:t>. https://doi.org/10.3233/shti220951</w:t>
      </w:r>
    </w:p>
    <w:p w14:paraId="007CC0A7"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Singh, H., &amp; Sittig, D. (2016). A Socio-technical Approach to Preventing, Mitigating, and Recovering from Ransomware Attacks. </w:t>
      </w:r>
      <w:r w:rsidRPr="00526214">
        <w:rPr>
          <w:i/>
          <w:iCs/>
        </w:rPr>
        <w:t>Applied Clinical Informatics</w:t>
      </w:r>
      <w:r w:rsidRPr="00526214">
        <w:t xml:space="preserve">, </w:t>
      </w:r>
      <w:r w:rsidRPr="00526214">
        <w:rPr>
          <w:i/>
          <w:iCs/>
        </w:rPr>
        <w:t>07</w:t>
      </w:r>
      <w:r w:rsidRPr="00526214">
        <w:t>(02), 624–632. https://doi.org/10.4338/aci-2016-04-soa-0064</w:t>
      </w:r>
    </w:p>
    <w:p w14:paraId="4CF78143"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Taherdoost, H. (2020). </w:t>
      </w:r>
      <w:r w:rsidRPr="00526214">
        <w:rPr>
          <w:i/>
          <w:iCs/>
        </w:rPr>
        <w:t xml:space="preserve">Decision Making Using the Analytic Hierarchy Process (AHP); A </w:t>
      </w:r>
      <w:proofErr w:type="gramStart"/>
      <w:r w:rsidRPr="00526214">
        <w:rPr>
          <w:i/>
          <w:iCs/>
        </w:rPr>
        <w:t>Step by Step</w:t>
      </w:r>
      <w:proofErr w:type="gramEnd"/>
      <w:r w:rsidRPr="00526214">
        <w:rPr>
          <w:i/>
          <w:iCs/>
        </w:rPr>
        <w:t xml:space="preserve"> Approach</w:t>
      </w:r>
      <w:r w:rsidRPr="00526214">
        <w:t>. https://hal.science/hal-02557320/document</w:t>
      </w:r>
    </w:p>
    <w:p w14:paraId="4E26C2D4"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Tiwo, O. J., Adesokan-Imran, T. O., Babarinde, D. C., Oyekunle, S. M., Olutimehin, A. T., &amp; Olaniyi, O. O. (2025). Advancing Security in Cloud-based Patient Information Systems with Quantum-resistant Encryption for Healthcare Data. Asian Journal of Research in Computer Science, 18(4), 187–208. https://doi.org/10.9734/ajrcos/2025/v18i4615 </w:t>
      </w:r>
    </w:p>
    <w:p w14:paraId="400D1C01"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Viechtbauer, W. (2010). Conducting meta-analyses in R with the metafor package. </w:t>
      </w:r>
      <w:r w:rsidRPr="00526214">
        <w:rPr>
          <w:i/>
          <w:iCs/>
        </w:rPr>
        <w:t>Journal of Statistical Software</w:t>
      </w:r>
      <w:r w:rsidRPr="00526214">
        <w:t xml:space="preserve">, </w:t>
      </w:r>
      <w:r w:rsidRPr="00526214">
        <w:rPr>
          <w:i/>
          <w:iCs/>
        </w:rPr>
        <w:t>36</w:t>
      </w:r>
      <w:r w:rsidRPr="00526214">
        <w:t>(3), 1–48. https://doi.org/10.18637/jss.v036.i03</w:t>
      </w:r>
    </w:p>
    <w:p w14:paraId="51F815CC" w14:textId="77777777" w:rsidR="003A7E2D" w:rsidRPr="00526214" w:rsidRDefault="003A7E2D" w:rsidP="00526214">
      <w:pPr>
        <w:pStyle w:val="NormalWeb"/>
        <w:spacing w:before="0" w:beforeAutospacing="0" w:after="0" w:afterAutospacing="0" w:line="360" w:lineRule="auto"/>
        <w:ind w:left="720" w:hanging="720"/>
        <w:jc w:val="both"/>
      </w:pPr>
      <w:r w:rsidRPr="00526214">
        <w:t xml:space="preserve">Williams, P., &amp; Woodward, A. (2015). Cybersecurity vulnerabilities in medical devices: a complex environment and multifaceted problem. </w:t>
      </w:r>
      <w:r w:rsidRPr="00526214">
        <w:rPr>
          <w:i/>
          <w:iCs/>
        </w:rPr>
        <w:t>Medical Devices: Evidence and Research</w:t>
      </w:r>
      <w:r w:rsidRPr="00526214">
        <w:t xml:space="preserve">, </w:t>
      </w:r>
      <w:r w:rsidRPr="00526214">
        <w:rPr>
          <w:i/>
          <w:iCs/>
        </w:rPr>
        <w:t>8</w:t>
      </w:r>
      <w:r w:rsidRPr="00526214">
        <w:t>, 305–316. https://doi.org/10.2147/mder.s50048</w:t>
      </w:r>
    </w:p>
    <w:p w14:paraId="35691F3B" w14:textId="77777777" w:rsidR="003A7E2D" w:rsidRPr="00526214" w:rsidRDefault="003A7E2D" w:rsidP="00526214">
      <w:pPr>
        <w:pStyle w:val="NormalWeb"/>
        <w:spacing w:before="0" w:beforeAutospacing="0" w:after="0" w:afterAutospacing="0" w:line="360" w:lineRule="auto"/>
        <w:ind w:left="720" w:hanging="720"/>
        <w:jc w:val="both"/>
      </w:pPr>
      <w:r w:rsidRPr="00526214">
        <w:lastRenderedPageBreak/>
        <w:t xml:space="preserve">Yeboah-Ofori, A. (2019). Cybercrime and Risks for Cyber Physical Systems. </w:t>
      </w:r>
      <w:r w:rsidRPr="00526214">
        <w:rPr>
          <w:i/>
          <w:iCs/>
        </w:rPr>
        <w:t>International Journal of Cyber-Security and Digital Forensics</w:t>
      </w:r>
      <w:r w:rsidRPr="00526214">
        <w:t xml:space="preserve">, </w:t>
      </w:r>
      <w:r w:rsidRPr="00526214">
        <w:rPr>
          <w:i/>
          <w:iCs/>
        </w:rPr>
        <w:t>8</w:t>
      </w:r>
      <w:r w:rsidRPr="00526214">
        <w:t>(1), 43–57. https://doi.org/10.17781/p002556</w:t>
      </w:r>
    </w:p>
    <w:p w14:paraId="1CDFF865" w14:textId="77777777" w:rsidR="00134956" w:rsidRPr="00526214" w:rsidRDefault="00134956" w:rsidP="00526214">
      <w:pPr>
        <w:spacing w:line="360" w:lineRule="auto"/>
        <w:jc w:val="both"/>
        <w:rPr>
          <w:rFonts w:ascii="Times New Roman" w:hAnsi="Times New Roman" w:cs="Times New Roman"/>
          <w:sz w:val="24"/>
          <w:szCs w:val="24"/>
        </w:rPr>
      </w:pPr>
    </w:p>
    <w:sectPr w:rsidR="00134956" w:rsidRPr="0052621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0499B" w14:textId="77777777" w:rsidR="004B1B3D" w:rsidRDefault="004B1B3D" w:rsidP="006C1262">
      <w:pPr>
        <w:spacing w:after="0" w:line="240" w:lineRule="auto"/>
      </w:pPr>
      <w:r>
        <w:separator/>
      </w:r>
    </w:p>
  </w:endnote>
  <w:endnote w:type="continuationSeparator" w:id="0">
    <w:p w14:paraId="41F83979" w14:textId="77777777" w:rsidR="004B1B3D" w:rsidRDefault="004B1B3D" w:rsidP="006C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norite">
    <w:charset w:val="00"/>
    <w:family w:val="auto"/>
    <w:pitch w:val="variable"/>
    <w:sig w:usb0="8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3F5A" w14:textId="77777777" w:rsidR="006C1262" w:rsidRDefault="006C1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2535" w14:textId="77777777" w:rsidR="006C1262" w:rsidRDefault="006C12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CD54E" w14:textId="77777777" w:rsidR="006C1262" w:rsidRDefault="006C1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84550" w14:textId="77777777" w:rsidR="004B1B3D" w:rsidRDefault="004B1B3D" w:rsidP="006C1262">
      <w:pPr>
        <w:spacing w:after="0" w:line="240" w:lineRule="auto"/>
      </w:pPr>
      <w:r>
        <w:separator/>
      </w:r>
    </w:p>
  </w:footnote>
  <w:footnote w:type="continuationSeparator" w:id="0">
    <w:p w14:paraId="1A64CE95" w14:textId="77777777" w:rsidR="004B1B3D" w:rsidRDefault="004B1B3D" w:rsidP="006C1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75E4" w14:textId="1C27B805" w:rsidR="006C1262" w:rsidRDefault="006C1262">
    <w:pPr>
      <w:pStyle w:val="Header"/>
    </w:pPr>
    <w:r>
      <w:rPr>
        <w:noProof/>
      </w:rPr>
      <w:pict w14:anchorId="5D54E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3853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38F8" w14:textId="37CC1430" w:rsidR="006C1262" w:rsidRDefault="006C1262">
    <w:pPr>
      <w:pStyle w:val="Header"/>
    </w:pPr>
    <w:r>
      <w:rPr>
        <w:noProof/>
      </w:rPr>
      <w:pict w14:anchorId="274FB4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3853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83F97" w14:textId="2B72652A" w:rsidR="006C1262" w:rsidRDefault="006C1262">
    <w:pPr>
      <w:pStyle w:val="Header"/>
    </w:pPr>
    <w:r>
      <w:rPr>
        <w:noProof/>
      </w:rPr>
      <w:pict w14:anchorId="61B65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3853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C1165"/>
    <w:multiLevelType w:val="hybridMultilevel"/>
    <w:tmpl w:val="0B225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841A95"/>
    <w:multiLevelType w:val="hybridMultilevel"/>
    <w:tmpl w:val="4364B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8977A1"/>
    <w:multiLevelType w:val="hybridMultilevel"/>
    <w:tmpl w:val="7B4EC5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231788"/>
    <w:multiLevelType w:val="hybridMultilevel"/>
    <w:tmpl w:val="FB825D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9252228">
    <w:abstractNumId w:val="2"/>
  </w:num>
  <w:num w:numId="2" w16cid:durableId="1689454214">
    <w:abstractNumId w:val="0"/>
  </w:num>
  <w:num w:numId="3" w16cid:durableId="906762705">
    <w:abstractNumId w:val="3"/>
  </w:num>
  <w:num w:numId="4" w16cid:durableId="523522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3EA"/>
    <w:rsid w:val="00123E18"/>
    <w:rsid w:val="00134956"/>
    <w:rsid w:val="00185569"/>
    <w:rsid w:val="00333885"/>
    <w:rsid w:val="003A7E2D"/>
    <w:rsid w:val="003C0CC1"/>
    <w:rsid w:val="003F469E"/>
    <w:rsid w:val="00477754"/>
    <w:rsid w:val="004B1B3D"/>
    <w:rsid w:val="004E2BAE"/>
    <w:rsid w:val="005159E4"/>
    <w:rsid w:val="00526214"/>
    <w:rsid w:val="006C1262"/>
    <w:rsid w:val="007903D0"/>
    <w:rsid w:val="007D2CD0"/>
    <w:rsid w:val="00817494"/>
    <w:rsid w:val="00975D9F"/>
    <w:rsid w:val="00A019C8"/>
    <w:rsid w:val="00A857CE"/>
    <w:rsid w:val="00AC6BFB"/>
    <w:rsid w:val="00B14FCD"/>
    <w:rsid w:val="00B22179"/>
    <w:rsid w:val="00B73BDC"/>
    <w:rsid w:val="00C45A10"/>
    <w:rsid w:val="00DE4696"/>
    <w:rsid w:val="00DF73EA"/>
    <w:rsid w:val="00E76A01"/>
    <w:rsid w:val="00E77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9F4AE5"/>
  <w15:chartTrackingRefBased/>
  <w15:docId w15:val="{CBADA347-969B-43F9-8D59-04DFFFC8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3EA"/>
  </w:style>
  <w:style w:type="paragraph" w:styleId="Heading1">
    <w:name w:val="heading 1"/>
    <w:basedOn w:val="Normal"/>
    <w:link w:val="Heading1Char"/>
    <w:uiPriority w:val="9"/>
    <w:qFormat/>
    <w:rsid w:val="007903D0"/>
    <w:pPr>
      <w:spacing w:before="100" w:beforeAutospacing="1" w:after="100" w:afterAutospacing="1" w:line="240" w:lineRule="auto"/>
      <w:outlineLvl w:val="0"/>
    </w:pPr>
    <w:rPr>
      <w:rFonts w:ascii="Times New Roman" w:eastAsia="Times New Roman" w:hAnsi="Times New Roman" w:cs="Times New Roman"/>
      <w:b/>
      <w:bCs/>
      <w:kern w:val="36"/>
      <w:sz w:val="24"/>
      <w:szCs w:val="48"/>
    </w:rPr>
  </w:style>
  <w:style w:type="paragraph" w:styleId="Heading3">
    <w:name w:val="heading 3"/>
    <w:basedOn w:val="Normal"/>
    <w:next w:val="Normal"/>
    <w:link w:val="Heading3Char"/>
    <w:uiPriority w:val="9"/>
    <w:semiHidden/>
    <w:unhideWhenUsed/>
    <w:qFormat/>
    <w:rsid w:val="00E76A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3EA"/>
    <w:pPr>
      <w:ind w:left="720"/>
      <w:contextualSpacing/>
    </w:pPr>
  </w:style>
  <w:style w:type="table" w:styleId="TableGrid">
    <w:name w:val="Table Grid"/>
    <w:basedOn w:val="TableNormal"/>
    <w:uiPriority w:val="39"/>
    <w:rsid w:val="00DF7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03D0"/>
    <w:rPr>
      <w:rFonts w:ascii="Times New Roman" w:eastAsia="Times New Roman" w:hAnsi="Times New Roman" w:cs="Times New Roman"/>
      <w:b/>
      <w:bCs/>
      <w:kern w:val="36"/>
      <w:sz w:val="24"/>
      <w:szCs w:val="48"/>
    </w:rPr>
  </w:style>
  <w:style w:type="paragraph" w:styleId="NoSpacing">
    <w:name w:val="No Spacing"/>
    <w:uiPriority w:val="1"/>
    <w:qFormat/>
    <w:rsid w:val="007903D0"/>
    <w:pPr>
      <w:spacing w:after="0" w:line="240" w:lineRule="auto"/>
    </w:pPr>
  </w:style>
  <w:style w:type="character" w:styleId="PlaceholderText">
    <w:name w:val="Placeholder Text"/>
    <w:basedOn w:val="DefaultParagraphFont"/>
    <w:uiPriority w:val="99"/>
    <w:semiHidden/>
    <w:rsid w:val="00B22179"/>
    <w:rPr>
      <w:color w:val="808080"/>
    </w:rPr>
  </w:style>
  <w:style w:type="paragraph" w:styleId="NormalWeb">
    <w:name w:val="Normal (Web)"/>
    <w:basedOn w:val="Normal"/>
    <w:uiPriority w:val="99"/>
    <w:semiHidden/>
    <w:unhideWhenUsed/>
    <w:rsid w:val="003A7E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6A01"/>
    <w:rPr>
      <w:color w:val="0563C1" w:themeColor="hyperlink"/>
      <w:u w:val="single"/>
    </w:rPr>
  </w:style>
  <w:style w:type="character" w:styleId="UnresolvedMention">
    <w:name w:val="Unresolved Mention"/>
    <w:basedOn w:val="DefaultParagraphFont"/>
    <w:uiPriority w:val="99"/>
    <w:semiHidden/>
    <w:unhideWhenUsed/>
    <w:rsid w:val="00E76A01"/>
    <w:rPr>
      <w:color w:val="605E5C"/>
      <w:shd w:val="clear" w:color="auto" w:fill="E1DFDD"/>
    </w:rPr>
  </w:style>
  <w:style w:type="character" w:customStyle="1" w:styleId="Heading3Char">
    <w:name w:val="Heading 3 Char"/>
    <w:basedOn w:val="DefaultParagraphFont"/>
    <w:link w:val="Heading3"/>
    <w:uiPriority w:val="9"/>
    <w:semiHidden/>
    <w:rsid w:val="00E76A01"/>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C1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262"/>
  </w:style>
  <w:style w:type="paragraph" w:styleId="Footer">
    <w:name w:val="footer"/>
    <w:basedOn w:val="Normal"/>
    <w:link w:val="FooterChar"/>
    <w:uiPriority w:val="99"/>
    <w:unhideWhenUsed/>
    <w:rsid w:val="006C1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9827">
      <w:bodyDiv w:val="1"/>
      <w:marLeft w:val="0"/>
      <w:marRight w:val="0"/>
      <w:marTop w:val="0"/>
      <w:marBottom w:val="0"/>
      <w:divBdr>
        <w:top w:val="none" w:sz="0" w:space="0" w:color="auto"/>
        <w:left w:val="none" w:sz="0" w:space="0" w:color="auto"/>
        <w:bottom w:val="none" w:sz="0" w:space="0" w:color="auto"/>
        <w:right w:val="none" w:sz="0" w:space="0" w:color="auto"/>
      </w:divBdr>
      <w:divsChild>
        <w:div w:id="1968272796">
          <w:marLeft w:val="-720"/>
          <w:marRight w:val="0"/>
          <w:marTop w:val="0"/>
          <w:marBottom w:val="0"/>
          <w:divBdr>
            <w:top w:val="none" w:sz="0" w:space="0" w:color="auto"/>
            <w:left w:val="none" w:sz="0" w:space="0" w:color="auto"/>
            <w:bottom w:val="none" w:sz="0" w:space="0" w:color="auto"/>
            <w:right w:val="none" w:sz="0" w:space="0" w:color="auto"/>
          </w:divBdr>
        </w:div>
      </w:divsChild>
    </w:div>
    <w:div w:id="713426247">
      <w:bodyDiv w:val="1"/>
      <w:marLeft w:val="0"/>
      <w:marRight w:val="0"/>
      <w:marTop w:val="0"/>
      <w:marBottom w:val="0"/>
      <w:divBdr>
        <w:top w:val="none" w:sz="0" w:space="0" w:color="auto"/>
        <w:left w:val="none" w:sz="0" w:space="0" w:color="auto"/>
        <w:bottom w:val="none" w:sz="0" w:space="0" w:color="auto"/>
        <w:right w:val="none" w:sz="0" w:space="0" w:color="auto"/>
      </w:divBdr>
    </w:div>
    <w:div w:id="193955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48E81-29F2-4BE3-AC16-A357C2F2E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10190</Words>
  <Characters>58086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9</cp:revision>
  <dcterms:created xsi:type="dcterms:W3CDTF">2025-05-01T03:55:00Z</dcterms:created>
  <dcterms:modified xsi:type="dcterms:W3CDTF">2025-05-01T11:00:00Z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a700a856-cb3c-4bf4-b79e-54608b2b9f39</vt:lpwstr>
  </property>
</Properties>
</file>