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41EE5" w14:textId="77777777" w:rsidR="007563B7" w:rsidRDefault="007563B7" w:rsidP="00F1646A">
      <w:pPr>
        <w:spacing w:after="160" w:line="240" w:lineRule="auto"/>
        <w:ind w:left="10" w:right="-15" w:hanging="10"/>
        <w:jc w:val="center"/>
        <w:rPr>
          <w:b/>
          <w:color w:val="auto"/>
          <w:sz w:val="28"/>
          <w:lang w:val="en-CA"/>
        </w:rPr>
      </w:pPr>
      <w:r w:rsidRPr="006F4C9E">
        <w:rPr>
          <w:b/>
          <w:color w:val="auto"/>
          <w:sz w:val="28"/>
          <w:lang w:val="en-CA"/>
        </w:rPr>
        <w:t xml:space="preserve">The Effect of Exchange Rate Regimes on Price Stability in Sub-Saharan Africa (SSA): The Role of Institutions </w:t>
      </w:r>
    </w:p>
    <w:p w14:paraId="02D98681" w14:textId="77777777" w:rsidR="00EC4C15" w:rsidRPr="006F4C9E" w:rsidRDefault="00EC4C15" w:rsidP="00F1646A">
      <w:pPr>
        <w:spacing w:after="160" w:line="240" w:lineRule="auto"/>
        <w:ind w:left="10" w:right="-15" w:hanging="10"/>
        <w:jc w:val="center"/>
        <w:rPr>
          <w:color w:val="auto"/>
          <w:lang w:val="en-CA"/>
        </w:rPr>
      </w:pPr>
    </w:p>
    <w:p w14:paraId="30C6F6C4" w14:textId="77777777" w:rsidR="00532800" w:rsidRPr="006F4C9E" w:rsidRDefault="00532800" w:rsidP="007563B7">
      <w:pPr>
        <w:spacing w:after="138" w:line="240" w:lineRule="auto"/>
        <w:ind w:left="0" w:firstLine="0"/>
        <w:jc w:val="left"/>
        <w:rPr>
          <w:color w:val="auto"/>
          <w:lang w:val="en-CA"/>
        </w:rPr>
      </w:pPr>
    </w:p>
    <w:p w14:paraId="5BF57805" w14:textId="77777777" w:rsidR="007563B7" w:rsidRPr="006F4C9E" w:rsidRDefault="007563B7" w:rsidP="005E5702">
      <w:pPr>
        <w:spacing w:after="135" w:line="240" w:lineRule="auto"/>
        <w:ind w:left="10" w:right="-15" w:hanging="10"/>
        <w:jc w:val="left"/>
        <w:rPr>
          <w:color w:val="auto"/>
          <w:lang w:val="en-CA"/>
        </w:rPr>
      </w:pPr>
      <w:r w:rsidRPr="006F4C9E">
        <w:rPr>
          <w:b/>
          <w:color w:val="auto"/>
          <w:lang w:val="en-CA"/>
        </w:rPr>
        <w:t xml:space="preserve">Abstract </w:t>
      </w:r>
    </w:p>
    <w:p w14:paraId="730A4835" w14:textId="77777777" w:rsidR="007563B7" w:rsidRPr="006F4C9E" w:rsidRDefault="007563B7" w:rsidP="00F1646A">
      <w:pPr>
        <w:spacing w:after="0" w:line="240" w:lineRule="auto"/>
        <w:ind w:right="539" w:firstLine="708"/>
        <w:rPr>
          <w:color w:val="auto"/>
          <w:lang w:val="en-CA"/>
        </w:rPr>
      </w:pPr>
      <w:r w:rsidRPr="006F4C9E">
        <w:rPr>
          <w:color w:val="auto"/>
          <w:lang w:val="en-CA"/>
        </w:rPr>
        <w:t xml:space="preserve">The objective of this paper is to analyze the effect of exchange rate regimes on price stability through the role of institutions in order to draw lessons for SSA countries where this exchange rate policy has multiple financial, economic and social impacts. For this purpose, a panel data estimation using the Generalized Method of Moments in system was adopted and carried out on 35 countries for the period 1987-2017. Overall, the results show that, using the de facto classification of </w:t>
      </w:r>
      <w:proofErr w:type="spellStart"/>
      <w:r w:rsidRPr="006F4C9E">
        <w:rPr>
          <w:color w:val="auto"/>
          <w:lang w:val="en-CA"/>
        </w:rPr>
        <w:t>Ilzetzki</w:t>
      </w:r>
      <w:proofErr w:type="spellEnd"/>
      <w:r w:rsidRPr="006F4C9E">
        <w:rPr>
          <w:color w:val="auto"/>
          <w:lang w:val="en-CA"/>
        </w:rPr>
        <w:t>, Reinhart and Rogoff (2019), under the direct effect on the one hand, membership of fixed exchange rate regimes reinforces the implementation of price stability policies, while flexible and intermediate exchange rate regimes rather disadvantage the extent of this stability. On the other hand, depending on the different combinations of exchange rate regimes with the composite index of political-economic institutions used, fixed and flexible exchange rate regimes reduce price volatility, while the intermediate exchange rate regime always disadvantages. We obtain a positive and significant effect of the composite index of institutions on inflation and also significant and expected effects of the different macroeconomic variables on inflation. For this reason, we recommend that these countries improve their framework of institutional configurations by providing favorable conditions for a monetary arrangement with capital mobility and a well-defined monetary regime, in order to maintain lower inflation in the long run, as well as political and economic stabil</w:t>
      </w:r>
      <w:r w:rsidR="00532800" w:rsidRPr="006F4C9E">
        <w:rPr>
          <w:color w:val="auto"/>
          <w:lang w:val="en-CA"/>
        </w:rPr>
        <w:t>ity in Sub-Saharan African</w:t>
      </w:r>
      <w:r w:rsidRPr="006F4C9E">
        <w:rPr>
          <w:color w:val="auto"/>
          <w:lang w:val="en-CA"/>
        </w:rPr>
        <w:t xml:space="preserve"> countries. </w:t>
      </w:r>
    </w:p>
    <w:p w14:paraId="6C8104C6" w14:textId="77777777" w:rsidR="007563B7" w:rsidRPr="006F4C9E" w:rsidRDefault="007563B7" w:rsidP="00F1646A">
      <w:pPr>
        <w:spacing w:after="0" w:line="240" w:lineRule="auto"/>
        <w:ind w:firstLine="0"/>
        <w:rPr>
          <w:color w:val="auto"/>
          <w:lang w:val="en-CA"/>
        </w:rPr>
      </w:pPr>
      <w:r w:rsidRPr="006F4C9E">
        <w:rPr>
          <w:b/>
          <w:color w:val="auto"/>
          <w:lang w:val="en-CA"/>
        </w:rPr>
        <w:t xml:space="preserve">Keywords: </w:t>
      </w:r>
      <w:r w:rsidR="00F1646A" w:rsidRPr="006F4C9E">
        <w:rPr>
          <w:color w:val="auto"/>
          <w:lang w:val="en-CA"/>
        </w:rPr>
        <w:t>Exchange rate regimes, Price stability, C</w:t>
      </w:r>
      <w:r w:rsidRPr="006F4C9E">
        <w:rPr>
          <w:color w:val="auto"/>
          <w:lang w:val="en-CA"/>
        </w:rPr>
        <w:t>omposite index of institutions, SSA, GMM.</w:t>
      </w:r>
      <w:r w:rsidRPr="006F4C9E">
        <w:rPr>
          <w:b/>
          <w:color w:val="auto"/>
          <w:lang w:val="en-CA"/>
        </w:rPr>
        <w:t xml:space="preserve"> </w:t>
      </w:r>
    </w:p>
    <w:p w14:paraId="2CA112F2" w14:textId="77777777" w:rsidR="007563B7" w:rsidRPr="006F4C9E" w:rsidRDefault="007563B7" w:rsidP="00F1646A">
      <w:pPr>
        <w:spacing w:after="0" w:line="240" w:lineRule="auto"/>
        <w:ind w:left="67" w:right="-15" w:hanging="10"/>
        <w:rPr>
          <w:color w:val="auto"/>
        </w:rPr>
      </w:pPr>
      <w:r w:rsidRPr="006F4C9E">
        <w:rPr>
          <w:b/>
          <w:color w:val="auto"/>
        </w:rPr>
        <w:t xml:space="preserve">JEL, </w:t>
      </w:r>
      <w:proofErr w:type="gramStart"/>
      <w:r w:rsidRPr="006F4C9E">
        <w:rPr>
          <w:b/>
          <w:color w:val="auto"/>
        </w:rPr>
        <w:t>Classification:</w:t>
      </w:r>
      <w:proofErr w:type="gramEnd"/>
      <w:r w:rsidRPr="006F4C9E">
        <w:rPr>
          <w:b/>
          <w:color w:val="auto"/>
        </w:rPr>
        <w:t xml:space="preserve"> E31, F31, F33, F41, O10, C33.  </w:t>
      </w:r>
    </w:p>
    <w:p w14:paraId="3A60A0DC" w14:textId="77777777" w:rsidR="00D67208" w:rsidRPr="006F4C9E" w:rsidRDefault="00D67208">
      <w:pPr>
        <w:rPr>
          <w:color w:val="auto"/>
        </w:rPr>
      </w:pPr>
    </w:p>
    <w:p w14:paraId="2807F4AF" w14:textId="77777777" w:rsidR="007563B7" w:rsidRPr="006F4C9E" w:rsidRDefault="007563B7">
      <w:pPr>
        <w:rPr>
          <w:color w:val="auto"/>
        </w:rPr>
      </w:pPr>
    </w:p>
    <w:p w14:paraId="5442B278" w14:textId="77777777" w:rsidR="007563B7" w:rsidRPr="006F4C9E" w:rsidRDefault="007563B7">
      <w:pPr>
        <w:rPr>
          <w:color w:val="auto"/>
        </w:rPr>
      </w:pPr>
    </w:p>
    <w:p w14:paraId="1DC577B8" w14:textId="77777777" w:rsidR="007563B7" w:rsidRPr="006F4C9E" w:rsidRDefault="007563B7">
      <w:pPr>
        <w:rPr>
          <w:color w:val="auto"/>
        </w:rPr>
      </w:pPr>
    </w:p>
    <w:p w14:paraId="3B8E8451" w14:textId="77777777" w:rsidR="007563B7" w:rsidRPr="006F4C9E" w:rsidRDefault="007563B7">
      <w:pPr>
        <w:rPr>
          <w:color w:val="auto"/>
        </w:rPr>
      </w:pPr>
    </w:p>
    <w:p w14:paraId="6576F349" w14:textId="77777777" w:rsidR="007563B7" w:rsidRPr="006F4C9E" w:rsidRDefault="007563B7">
      <w:pPr>
        <w:rPr>
          <w:color w:val="auto"/>
        </w:rPr>
      </w:pPr>
    </w:p>
    <w:p w14:paraId="1F602BE3" w14:textId="77777777" w:rsidR="007563B7" w:rsidRPr="006F4C9E" w:rsidRDefault="007563B7">
      <w:pPr>
        <w:rPr>
          <w:color w:val="auto"/>
        </w:rPr>
      </w:pPr>
    </w:p>
    <w:p w14:paraId="47805A50" w14:textId="77777777" w:rsidR="007563B7" w:rsidRPr="006F4C9E" w:rsidRDefault="007563B7">
      <w:pPr>
        <w:rPr>
          <w:color w:val="auto"/>
        </w:rPr>
      </w:pPr>
    </w:p>
    <w:p w14:paraId="22158768" w14:textId="77777777" w:rsidR="007563B7" w:rsidRPr="006F4C9E" w:rsidRDefault="007563B7">
      <w:pPr>
        <w:rPr>
          <w:color w:val="auto"/>
        </w:rPr>
      </w:pPr>
    </w:p>
    <w:p w14:paraId="2EF85A2D" w14:textId="77777777" w:rsidR="007563B7" w:rsidRDefault="007563B7">
      <w:pPr>
        <w:rPr>
          <w:color w:val="auto"/>
        </w:rPr>
      </w:pPr>
    </w:p>
    <w:p w14:paraId="0B015ADA" w14:textId="77777777" w:rsidR="00DD4E7B" w:rsidRDefault="00DD4E7B">
      <w:pPr>
        <w:rPr>
          <w:color w:val="auto"/>
        </w:rPr>
      </w:pPr>
    </w:p>
    <w:p w14:paraId="7F0094B3" w14:textId="77777777" w:rsidR="00DD4E7B" w:rsidRPr="006F4C9E" w:rsidRDefault="00DD4E7B">
      <w:pPr>
        <w:rPr>
          <w:color w:val="auto"/>
        </w:rPr>
      </w:pPr>
    </w:p>
    <w:p w14:paraId="08A84F6F" w14:textId="77777777" w:rsidR="007563B7" w:rsidRPr="006F4C9E" w:rsidRDefault="007563B7" w:rsidP="00AC5FFC">
      <w:pPr>
        <w:ind w:left="0" w:firstLine="0"/>
        <w:rPr>
          <w:color w:val="auto"/>
        </w:rPr>
      </w:pPr>
    </w:p>
    <w:p w14:paraId="3BFC1C0F" w14:textId="77777777" w:rsidR="00AC5FFC" w:rsidRPr="006F4C9E" w:rsidRDefault="00AC5FFC" w:rsidP="00AC5FFC">
      <w:pPr>
        <w:ind w:left="0" w:firstLine="0"/>
        <w:rPr>
          <w:color w:val="auto"/>
        </w:rPr>
      </w:pPr>
    </w:p>
    <w:p w14:paraId="51CD30E8" w14:textId="77777777" w:rsidR="00920E05" w:rsidRPr="006F4C9E" w:rsidRDefault="00920E05">
      <w:pPr>
        <w:rPr>
          <w:color w:val="auto"/>
        </w:rPr>
      </w:pPr>
    </w:p>
    <w:p w14:paraId="47DA1CBB" w14:textId="77777777" w:rsidR="00B25466" w:rsidRPr="006F4C9E" w:rsidRDefault="00B25466">
      <w:pPr>
        <w:rPr>
          <w:color w:val="auto"/>
        </w:rPr>
      </w:pPr>
    </w:p>
    <w:p w14:paraId="158D13B8" w14:textId="77777777" w:rsidR="00EA2F35" w:rsidRPr="006F4C9E" w:rsidRDefault="00EA2F35">
      <w:pPr>
        <w:rPr>
          <w:color w:val="auto"/>
        </w:rPr>
      </w:pPr>
    </w:p>
    <w:p w14:paraId="603A2EE4" w14:textId="77777777" w:rsidR="00EA2F35" w:rsidRPr="006F4C9E" w:rsidRDefault="00EA2F35">
      <w:pPr>
        <w:rPr>
          <w:color w:val="auto"/>
        </w:rPr>
      </w:pPr>
    </w:p>
    <w:p w14:paraId="3325D1BF" w14:textId="77777777" w:rsidR="00364E3B" w:rsidRDefault="00364E3B" w:rsidP="00364E3B">
      <w:pPr>
        <w:ind w:left="0" w:firstLine="0"/>
        <w:rPr>
          <w:color w:val="auto"/>
        </w:rPr>
      </w:pPr>
    </w:p>
    <w:p w14:paraId="4CEC5BF6" w14:textId="77777777" w:rsidR="00832E45" w:rsidRDefault="00832E45" w:rsidP="00364E3B">
      <w:pPr>
        <w:ind w:left="0" w:firstLine="0"/>
        <w:rPr>
          <w:color w:val="auto"/>
        </w:rPr>
      </w:pPr>
    </w:p>
    <w:p w14:paraId="2290C276" w14:textId="77777777" w:rsidR="00364E3B" w:rsidRPr="006F4C9E" w:rsidRDefault="00364E3B" w:rsidP="00364E3B">
      <w:pPr>
        <w:ind w:left="0" w:firstLine="0"/>
        <w:rPr>
          <w:color w:val="auto"/>
        </w:rPr>
      </w:pPr>
    </w:p>
    <w:p w14:paraId="2680F765" w14:textId="77777777" w:rsidR="00EA2F35" w:rsidRPr="006F4C9E" w:rsidRDefault="00EA2F35">
      <w:pPr>
        <w:rPr>
          <w:color w:val="auto"/>
        </w:rPr>
      </w:pPr>
    </w:p>
    <w:p w14:paraId="3C9F9EF4" w14:textId="77777777" w:rsidR="007563B7" w:rsidRPr="006F4C9E" w:rsidRDefault="007563B7" w:rsidP="007563B7">
      <w:pPr>
        <w:spacing w:after="35" w:line="246" w:lineRule="auto"/>
        <w:ind w:left="67" w:right="-15" w:hanging="10"/>
        <w:jc w:val="left"/>
        <w:rPr>
          <w:color w:val="auto"/>
          <w:lang w:val="en-CA"/>
        </w:rPr>
      </w:pPr>
      <w:r w:rsidRPr="006F4C9E">
        <w:rPr>
          <w:b/>
          <w:color w:val="auto"/>
          <w:lang w:val="en-CA"/>
        </w:rPr>
        <w:t xml:space="preserve">Introduction </w:t>
      </w:r>
    </w:p>
    <w:p w14:paraId="52A1D87F" w14:textId="77777777" w:rsidR="007563B7" w:rsidRPr="006F4C9E" w:rsidRDefault="007563B7" w:rsidP="007563B7">
      <w:pPr>
        <w:ind w:right="539" w:firstLine="708"/>
        <w:rPr>
          <w:color w:val="auto"/>
          <w:lang w:val="en-CA"/>
        </w:rPr>
      </w:pPr>
      <w:r w:rsidRPr="006F4C9E">
        <w:rPr>
          <w:color w:val="auto"/>
          <w:lang w:val="en-CA"/>
        </w:rPr>
        <w:t>Choosing an exchange rate regime is difficult for a developing country because of its influence on the price structure and its multiple financial, economic and social impacts (</w:t>
      </w:r>
      <w:proofErr w:type="spellStart"/>
      <w:r w:rsidRPr="006F4C9E">
        <w:rPr>
          <w:color w:val="auto"/>
          <w:lang w:val="en-CA"/>
        </w:rPr>
        <w:t>Avom</w:t>
      </w:r>
      <w:proofErr w:type="spellEnd"/>
      <w:r w:rsidRPr="006F4C9E">
        <w:rPr>
          <w:color w:val="auto"/>
          <w:lang w:val="en-CA"/>
        </w:rPr>
        <w:t xml:space="preserve">, 2019; </w:t>
      </w:r>
      <w:proofErr w:type="spellStart"/>
      <w:r w:rsidRPr="006F4C9E">
        <w:rPr>
          <w:color w:val="auto"/>
          <w:lang w:val="en-CA"/>
        </w:rPr>
        <w:t>Bhanumurthy</w:t>
      </w:r>
      <w:proofErr w:type="spellEnd"/>
      <w:r w:rsidRPr="006F4C9E">
        <w:rPr>
          <w:color w:val="auto"/>
          <w:lang w:val="en-CA"/>
        </w:rPr>
        <w:t xml:space="preserve"> &amp; Mohanty, 2014). Following the African Union's strategy of creating a continental central bank as part of the implementation of the common currency planned for 2021 (Bobbo, Amadou, 2016), which should eventually result in the harmonisation of the exchange rate regimes adopted by African countries since 1939. It is in the light of this objective and the crisis of the Bretton Woods system that this paper proposes to analyse the relationship between exchange rate regimes and price stability in Sub-Saharan African (SSA) countries via the composite index of institutions. This paper proposes to analyse the relationship between exchange rate regimes and price stability in SSA through the composite index of institutions, as most of these countries are dependent on international aid, and increasingly, international donors are conditioning the allocation of aid on the implementation of economic and political reforms in these countries. Furthermore, intra-African trade is low (around 10%) compared to the European Union with around 70%, not to mention other regions of the world such as the United States and China.  Since SSA countries export mostly raw materials, the geographical orientation of their trade forces some of these countries to hold reserves in euros/dollars. In order to ensure their economic development, the quality of institutions is fundamental in the management of their currencies through the control of inflation, whose perverse effects on the economy ar</w:t>
      </w:r>
      <w:r w:rsidR="00971A0D" w:rsidRPr="006F4C9E">
        <w:rPr>
          <w:color w:val="auto"/>
          <w:lang w:val="en-CA"/>
        </w:rPr>
        <w:t>e inestimable (</w:t>
      </w:r>
      <w:proofErr w:type="spellStart"/>
      <w:r w:rsidR="00971A0D" w:rsidRPr="006F4C9E">
        <w:rPr>
          <w:color w:val="auto"/>
          <w:lang w:val="en-CA"/>
        </w:rPr>
        <w:t>Ilzetzki</w:t>
      </w:r>
      <w:proofErr w:type="spellEnd"/>
      <w:r w:rsidR="00971A0D" w:rsidRPr="006F4C9E">
        <w:rPr>
          <w:color w:val="auto"/>
          <w:lang w:val="en-CA"/>
        </w:rPr>
        <w:t>, et al.</w:t>
      </w:r>
      <w:r w:rsidRPr="006F4C9E">
        <w:rPr>
          <w:color w:val="auto"/>
          <w:lang w:val="en-CA"/>
        </w:rPr>
        <w:t xml:space="preserve">, 2019; Sall, </w:t>
      </w:r>
      <w:proofErr w:type="spellStart"/>
      <w:r w:rsidRPr="006F4C9E">
        <w:rPr>
          <w:color w:val="auto"/>
          <w:lang w:val="en-CA"/>
        </w:rPr>
        <w:t>Khadry</w:t>
      </w:r>
      <w:proofErr w:type="spellEnd"/>
      <w:r w:rsidRPr="006F4C9E">
        <w:rPr>
          <w:color w:val="auto"/>
          <w:lang w:val="en-CA"/>
        </w:rPr>
        <w:t xml:space="preserve">, 2017; </w:t>
      </w:r>
      <w:proofErr w:type="spellStart"/>
      <w:r w:rsidRPr="006F4C9E">
        <w:rPr>
          <w:color w:val="auto"/>
          <w:lang w:val="en-CA"/>
        </w:rPr>
        <w:t>Lohi</w:t>
      </w:r>
      <w:proofErr w:type="spellEnd"/>
      <w:r w:rsidRPr="006F4C9E">
        <w:rPr>
          <w:color w:val="auto"/>
          <w:lang w:val="en-CA"/>
        </w:rPr>
        <w:t xml:space="preserve">, 2014; Ghosh et al. 2010; </w:t>
      </w:r>
      <w:proofErr w:type="spellStart"/>
      <w:r w:rsidRPr="006F4C9E">
        <w:rPr>
          <w:color w:val="auto"/>
          <w:lang w:val="en-CA"/>
        </w:rPr>
        <w:t>Mijiyawa</w:t>
      </w:r>
      <w:proofErr w:type="spellEnd"/>
      <w:r w:rsidRPr="006F4C9E">
        <w:rPr>
          <w:color w:val="auto"/>
          <w:lang w:val="en-CA"/>
        </w:rPr>
        <w:t>, 2010; Barro, 1995). Therefore, the participation of SSA countries in globalisation, and the possibility that they will benefit from it, requires that these countries control their inflation rates (</w:t>
      </w:r>
      <w:proofErr w:type="spellStart"/>
      <w:r w:rsidRPr="006F4C9E">
        <w:rPr>
          <w:color w:val="auto"/>
          <w:lang w:val="en-CA"/>
        </w:rPr>
        <w:t>Eboue</w:t>
      </w:r>
      <w:proofErr w:type="spellEnd"/>
      <w:r w:rsidRPr="006F4C9E">
        <w:rPr>
          <w:color w:val="auto"/>
          <w:lang w:val="en-CA"/>
        </w:rPr>
        <w:t xml:space="preserve"> 2005; Mishkin, (1997). Inflation targeting is a central concern for macroeconomic stability. Moreover, the logic of economic competitiveness of SSA countries, leads us directly to the analysis of the behaviour of exchange rate regimes, considered as indispensable tools for IMF staff (</w:t>
      </w:r>
      <w:proofErr w:type="spellStart"/>
      <w:r w:rsidRPr="006F4C9E">
        <w:rPr>
          <w:color w:val="auto"/>
          <w:lang w:val="en-CA"/>
        </w:rPr>
        <w:t>Ilzetzki</w:t>
      </w:r>
      <w:proofErr w:type="spellEnd"/>
      <w:r w:rsidRPr="006F4C9E">
        <w:rPr>
          <w:color w:val="auto"/>
          <w:lang w:val="en-CA"/>
        </w:rPr>
        <w:t xml:space="preserve">, et al., 2017).  </w:t>
      </w:r>
    </w:p>
    <w:p w14:paraId="25FB6285" w14:textId="77777777" w:rsidR="007563B7" w:rsidRPr="006F4C9E" w:rsidRDefault="007563B7" w:rsidP="007563B7">
      <w:pPr>
        <w:ind w:right="540" w:firstLine="708"/>
        <w:rPr>
          <w:color w:val="auto"/>
          <w:lang w:val="en-CA"/>
        </w:rPr>
      </w:pPr>
      <w:r w:rsidRPr="006F4C9E">
        <w:rPr>
          <w:color w:val="auto"/>
          <w:lang w:val="en-CA"/>
        </w:rPr>
        <w:t>According to the (IMF, 2020), average inflation in the region is expected to decline from 8.5% in 2018 to 8.4% in 2019 and 8.0% in 2020, but with marked disparities across countries. Inflation is expected to accelerate in countries that have experienced conflict or political unrest, significant currency depreciation (Angola, Liberia), droughts (Kenya, Lesotho, Namibia, Zambia, Zimbabwe), and widening fiscal deficits. In contrast, inflation is expected to remain low in the monetary unions (West African Economic and Monetary Union (WAEMU) and Central African Economic and Monetary Community (CEMAC)). Some WAEMU countries could experience an episode of deflation. However, following the adoption of the second amendment to the IMF's Articles of Agreement, member countries are free to adopt the exchange rate regime of their choice between a fixed or floating regime or an intermediate solution (</w:t>
      </w:r>
      <w:proofErr w:type="spellStart"/>
      <w:r w:rsidRPr="006F4C9E">
        <w:rPr>
          <w:color w:val="auto"/>
          <w:lang w:val="en-CA"/>
        </w:rPr>
        <w:t>Ilzetzki</w:t>
      </w:r>
      <w:proofErr w:type="spellEnd"/>
      <w:r w:rsidRPr="006F4C9E">
        <w:rPr>
          <w:color w:val="auto"/>
          <w:lang w:val="en-CA"/>
        </w:rPr>
        <w:t xml:space="preserve"> et al., 2019).  </w:t>
      </w:r>
    </w:p>
    <w:p w14:paraId="37FF4EC0" w14:textId="77777777" w:rsidR="007563B7" w:rsidRPr="006F4C9E" w:rsidRDefault="007563B7" w:rsidP="007563B7">
      <w:pPr>
        <w:ind w:right="479" w:firstLine="708"/>
        <w:rPr>
          <w:color w:val="auto"/>
          <w:lang w:val="en-CA"/>
        </w:rPr>
      </w:pPr>
      <w:r w:rsidRPr="006F4C9E">
        <w:rPr>
          <w:color w:val="auto"/>
          <w:lang w:val="en-CA"/>
        </w:rPr>
        <w:t xml:space="preserve">The ultimate objective of this study is to analyse macroeconomic stability according to the school of monetarist economists (Friedman, 1953 and Mundell, 1961, 1963) and according to the "populist approach" in terms of the political institutions that contribute to the elimination of uncertainties in the countries in the sample. The exchange rate regime affects the stability and competitiveness of the economy (Coulibaly and Davis, 2013). Thus, the trade-off between a fixed or floating regime is a result of both the economic objectives of these countries and the constraints they face (Ghosh, A, 2014; </w:t>
      </w:r>
      <w:proofErr w:type="spellStart"/>
      <w:r w:rsidRPr="006F4C9E">
        <w:rPr>
          <w:color w:val="auto"/>
          <w:lang w:val="en-CA"/>
        </w:rPr>
        <w:t>Gnimassoun</w:t>
      </w:r>
      <w:proofErr w:type="spellEnd"/>
      <w:r w:rsidRPr="006F4C9E">
        <w:rPr>
          <w:color w:val="auto"/>
          <w:lang w:val="en-CA"/>
        </w:rPr>
        <w:t xml:space="preserve">, 2014).  </w:t>
      </w:r>
    </w:p>
    <w:p w14:paraId="587CEBB3" w14:textId="77777777" w:rsidR="007563B7" w:rsidRPr="006F4C9E" w:rsidRDefault="007563B7" w:rsidP="007563B7">
      <w:pPr>
        <w:ind w:right="539" w:firstLine="708"/>
        <w:rPr>
          <w:color w:val="auto"/>
          <w:lang w:val="en-CA"/>
        </w:rPr>
      </w:pPr>
      <w:r w:rsidRPr="006F4C9E">
        <w:rPr>
          <w:color w:val="auto"/>
          <w:lang w:val="en-CA"/>
        </w:rPr>
        <w:t xml:space="preserve">Against this backdrop of theoretical controversy, the question of the relationship between exchange rate regimes and macroeconomic stability is still unresolved in the literature. For many authors, the result of the recent empirical literature between </w:t>
      </w:r>
      <w:r w:rsidRPr="006F4C9E">
        <w:rPr>
          <w:color w:val="auto"/>
          <w:lang w:val="en-CA"/>
        </w:rPr>
        <w:lastRenderedPageBreak/>
        <w:t>exchange rate regimes and inflation shows that fixed exchange rates provide low and stable inflation (</w:t>
      </w:r>
      <w:proofErr w:type="spellStart"/>
      <w:r w:rsidRPr="006F4C9E">
        <w:rPr>
          <w:color w:val="auto"/>
          <w:lang w:val="en-CA"/>
        </w:rPr>
        <w:t>Lohi</w:t>
      </w:r>
      <w:proofErr w:type="spellEnd"/>
      <w:r w:rsidRPr="006F4C9E">
        <w:rPr>
          <w:color w:val="auto"/>
          <w:lang w:val="en-CA"/>
        </w:rPr>
        <w:t xml:space="preserve"> 2014; Ghosh 2014; Qureshi and </w:t>
      </w:r>
      <w:proofErr w:type="spellStart"/>
      <w:r w:rsidRPr="006F4C9E">
        <w:rPr>
          <w:color w:val="auto"/>
          <w:lang w:val="en-CA"/>
        </w:rPr>
        <w:t>Tsangarides</w:t>
      </w:r>
      <w:proofErr w:type="spellEnd"/>
      <w:r w:rsidRPr="006F4C9E">
        <w:rPr>
          <w:color w:val="auto"/>
          <w:lang w:val="en-CA"/>
        </w:rPr>
        <w:t xml:space="preserve"> 2014; Klein and Shambaugh 2010; Ghosh, 2010; Aloui and Sassi, 2005). In contrast, other studies show the ability of flexible and intermediate exchange rate regimes to provide lower inflation rates than fixed exchange rate regimes (Aghion et al., 2009; De Grauwe and Schnabl 2008). </w:t>
      </w:r>
    </w:p>
    <w:p w14:paraId="4B6B0499" w14:textId="77777777" w:rsidR="007563B7" w:rsidRPr="006F4C9E" w:rsidRDefault="007563B7" w:rsidP="007563B7">
      <w:pPr>
        <w:ind w:right="540" w:firstLine="708"/>
        <w:rPr>
          <w:color w:val="auto"/>
          <w:lang w:val="en-CA"/>
        </w:rPr>
      </w:pPr>
      <w:r w:rsidRPr="006F4C9E">
        <w:rPr>
          <w:color w:val="auto"/>
          <w:lang w:val="en-CA"/>
        </w:rPr>
        <w:t xml:space="preserve">Following on from the work on the determinants and targeting of inflation, and in particular macroeconomic stability, this study aims to highlight the links between price stability in SSA countries and the exchange rate regimes to which they belong, without forgetting the role of institutions. More specifically, it postulates that exchange rate regimes influence the way monetary policies are designed and implemented in SSA countries. To test this hypothesis, we specified in a dynamic panel for a sample of 35 SSA countries over the period 1987- 2017 using the system generalized method of moments (system GMM) as developed by Blundell and Bond (1998). Our results show that under the </w:t>
      </w:r>
      <w:r w:rsidRPr="006F4C9E">
        <w:rPr>
          <w:i/>
          <w:color w:val="auto"/>
          <w:lang w:val="en-CA"/>
        </w:rPr>
        <w:t xml:space="preserve">de facto </w:t>
      </w:r>
      <w:r w:rsidRPr="006F4C9E">
        <w:rPr>
          <w:color w:val="auto"/>
          <w:lang w:val="en-CA"/>
        </w:rPr>
        <w:t xml:space="preserve">classification of Reinhart and Rogoff (2016) and </w:t>
      </w:r>
      <w:proofErr w:type="spellStart"/>
      <w:r w:rsidRPr="006F4C9E">
        <w:rPr>
          <w:color w:val="auto"/>
          <w:lang w:val="en-CA"/>
        </w:rPr>
        <w:t>Ilzetzki</w:t>
      </w:r>
      <w:proofErr w:type="spellEnd"/>
      <w:r w:rsidRPr="006F4C9E">
        <w:rPr>
          <w:color w:val="auto"/>
          <w:lang w:val="en-CA"/>
        </w:rPr>
        <w:t xml:space="preserve"> </w:t>
      </w:r>
      <w:proofErr w:type="gramStart"/>
      <w:r w:rsidRPr="006F4C9E">
        <w:rPr>
          <w:color w:val="auto"/>
          <w:lang w:val="en-CA"/>
        </w:rPr>
        <w:t>et al. ,</w:t>
      </w:r>
      <w:proofErr w:type="gramEnd"/>
      <w:r w:rsidRPr="006F4C9E">
        <w:rPr>
          <w:color w:val="auto"/>
          <w:lang w:val="en-CA"/>
        </w:rPr>
        <w:t xml:space="preserve"> (2017, 2019) membership in flexible and intermediate exchange rate regimes amplifies the general price level, while fixed exchange rate regimes on the other hand weakens this increase (deflation) while creating a condition favourable to price stability. Moreover, we obtain a positive and significant effect of the composite index of institutions on inflation. </w:t>
      </w:r>
    </w:p>
    <w:p w14:paraId="639C41DD" w14:textId="77777777" w:rsidR="007563B7" w:rsidRPr="006F4C9E" w:rsidRDefault="007563B7" w:rsidP="007563B7">
      <w:pPr>
        <w:ind w:right="540" w:firstLine="708"/>
        <w:rPr>
          <w:color w:val="auto"/>
          <w:lang w:val="en-CA"/>
        </w:rPr>
      </w:pPr>
      <w:r w:rsidRPr="006F4C9E">
        <w:rPr>
          <w:color w:val="auto"/>
          <w:lang w:val="en-CA"/>
        </w:rPr>
        <w:t xml:space="preserve">The rest of this paper is organised as follows. The first section provides a synthesis of the literature. The second section presents the methodological approach and the data of the study. The third section discusses the results while the fourth section concludes the paper. </w:t>
      </w:r>
    </w:p>
    <w:p w14:paraId="7C97A4C8" w14:textId="77777777" w:rsidR="007563B7" w:rsidRPr="006F4C9E" w:rsidRDefault="007563B7" w:rsidP="007563B7">
      <w:pPr>
        <w:spacing w:after="44" w:line="240" w:lineRule="auto"/>
        <w:ind w:left="708" w:firstLine="0"/>
        <w:rPr>
          <w:color w:val="auto"/>
          <w:lang w:val="en-CA"/>
        </w:rPr>
      </w:pPr>
      <w:r w:rsidRPr="006F4C9E">
        <w:rPr>
          <w:color w:val="auto"/>
          <w:lang w:val="en-CA"/>
        </w:rPr>
        <w:t xml:space="preserve"> </w:t>
      </w:r>
    </w:p>
    <w:p w14:paraId="60998344" w14:textId="77777777" w:rsidR="007563B7" w:rsidRPr="006F4C9E" w:rsidRDefault="00D11F02" w:rsidP="007563B7">
      <w:pPr>
        <w:numPr>
          <w:ilvl w:val="0"/>
          <w:numId w:val="1"/>
        </w:numPr>
        <w:spacing w:after="35" w:line="246" w:lineRule="auto"/>
        <w:ind w:right="-15" w:hanging="360"/>
        <w:rPr>
          <w:b/>
          <w:color w:val="auto"/>
        </w:rPr>
      </w:pPr>
      <w:r>
        <w:rPr>
          <w:b/>
          <w:color w:val="auto"/>
        </w:rPr>
        <w:t>CRITICAL OF LIT</w:t>
      </w:r>
      <w:r w:rsidR="007563B7" w:rsidRPr="006F4C9E">
        <w:rPr>
          <w:b/>
          <w:color w:val="auto"/>
        </w:rPr>
        <w:t xml:space="preserve">ERATURE </w:t>
      </w:r>
    </w:p>
    <w:p w14:paraId="7C4DB638" w14:textId="77777777" w:rsidR="007563B7" w:rsidRPr="006F4C9E" w:rsidRDefault="007563B7" w:rsidP="003E6FAD">
      <w:pPr>
        <w:spacing w:after="35" w:line="246" w:lineRule="auto"/>
        <w:ind w:right="-15"/>
        <w:rPr>
          <w:color w:val="auto"/>
          <w:lang w:val="en-CA"/>
        </w:rPr>
      </w:pPr>
      <w:r w:rsidRPr="006F4C9E">
        <w:rPr>
          <w:color w:val="auto"/>
          <w:lang w:val="en-CA"/>
        </w:rPr>
        <w:t xml:space="preserve">The economic </w:t>
      </w:r>
      <w:proofErr w:type="spellStart"/>
      <w:r w:rsidRPr="006F4C9E">
        <w:rPr>
          <w:color w:val="auto"/>
          <w:lang w:val="en-CA"/>
        </w:rPr>
        <w:t>litterature</w:t>
      </w:r>
      <w:proofErr w:type="spellEnd"/>
      <w:r w:rsidRPr="006F4C9E">
        <w:rPr>
          <w:color w:val="auto"/>
          <w:lang w:val="en-CA"/>
        </w:rPr>
        <w:t xml:space="preserve"> shows that economists are not unanimous on the effect of exchange rate regimes on price stability. On of the main views in economic </w:t>
      </w:r>
      <w:proofErr w:type="spellStart"/>
      <w:r w:rsidRPr="006F4C9E">
        <w:rPr>
          <w:color w:val="auto"/>
          <w:lang w:val="en-CA"/>
        </w:rPr>
        <w:t>théory</w:t>
      </w:r>
      <w:proofErr w:type="spellEnd"/>
      <w:r w:rsidRPr="006F4C9E">
        <w:rPr>
          <w:color w:val="auto"/>
          <w:lang w:val="en-CA"/>
        </w:rPr>
        <w:t xml:space="preserve"> on the relationship between exchange rate regimes and inflation is the anti-inflationary effect of fixed exchange rate regimes through monetary discipline and the propensity to import the credibility of the anchor monetary authority (Ghosh et al, 1997 and De Grauwe and Schnabl, 2008). The classic result in the literature between exchange rate regimes and inflation is that fixed exchange rates provide low and stable inflation (Ghost et al, 1997; </w:t>
      </w:r>
      <w:proofErr w:type="spellStart"/>
      <w:r w:rsidRPr="006F4C9E">
        <w:rPr>
          <w:color w:val="auto"/>
          <w:lang w:val="en-CA"/>
        </w:rPr>
        <w:t>Bleaney</w:t>
      </w:r>
      <w:proofErr w:type="spellEnd"/>
      <w:r w:rsidRPr="006F4C9E">
        <w:rPr>
          <w:color w:val="auto"/>
          <w:lang w:val="en-CA"/>
        </w:rPr>
        <w:t xml:space="preserve"> and Francisco, 2007; De Grauwe and Schnabl, 2008). Indeed, Chang and </w:t>
      </w:r>
      <w:proofErr w:type="spellStart"/>
      <w:r w:rsidRPr="006F4C9E">
        <w:rPr>
          <w:color w:val="auto"/>
          <w:lang w:val="en-CA"/>
        </w:rPr>
        <w:t>Vellasco</w:t>
      </w:r>
      <w:proofErr w:type="spellEnd"/>
      <w:r w:rsidRPr="006F4C9E">
        <w:rPr>
          <w:color w:val="auto"/>
          <w:lang w:val="en-CA"/>
        </w:rPr>
        <w:t xml:space="preserve"> (2000) argue that a flexible exchange rate regime completely avoids currency and banking crises in a small open economy, whereas under a fixed exchange rate regime this is possible. Therefore, we will present some theoretical and empirical work on the relationship between exchange rate regimes and price stability and we will conclude with the role played by institutions in this relationship.  </w:t>
      </w:r>
    </w:p>
    <w:p w14:paraId="4C547F79" w14:textId="77777777" w:rsidR="007563B7" w:rsidRPr="006F4C9E" w:rsidRDefault="007563B7" w:rsidP="007563B7">
      <w:pPr>
        <w:spacing w:after="35" w:line="246" w:lineRule="auto"/>
        <w:ind w:left="423" w:right="-15" w:hanging="10"/>
        <w:rPr>
          <w:color w:val="auto"/>
          <w:lang w:val="en-CA"/>
        </w:rPr>
      </w:pPr>
      <w:r w:rsidRPr="006F4C9E">
        <w:rPr>
          <w:b/>
          <w:color w:val="auto"/>
          <w:lang w:val="en-CA"/>
        </w:rPr>
        <w:t xml:space="preserve">1.1. Review of theoretical work  </w:t>
      </w:r>
    </w:p>
    <w:p w14:paraId="60AB2BFB" w14:textId="77777777" w:rsidR="007563B7" w:rsidRPr="006F4C9E" w:rsidRDefault="007563B7" w:rsidP="007563B7">
      <w:pPr>
        <w:ind w:right="286" w:firstLine="360"/>
        <w:rPr>
          <w:color w:val="auto"/>
          <w:lang w:val="en-CA"/>
        </w:rPr>
      </w:pPr>
      <w:r w:rsidRPr="006F4C9E">
        <w:rPr>
          <w:color w:val="auto"/>
          <w:lang w:val="en-CA"/>
        </w:rPr>
        <w:t xml:space="preserve">The evolution of the theory on the exchange rate regime started in the 1950s (Friedman, 1953) distinguished between two cases: the case where exchange rates are flexible, and the case where exchange rates are maintained by the state temporarily rigid, but subject to change at the decision of the state. Friedman considered the rigid exchange rate system as the worst case. According to him, the fixed exchange rate system is a generator of speculative crises and instabilities.    </w:t>
      </w:r>
    </w:p>
    <w:p w14:paraId="21C33306" w14:textId="77777777" w:rsidR="007563B7" w:rsidRPr="006F4C9E" w:rsidRDefault="007563B7" w:rsidP="007563B7">
      <w:pPr>
        <w:ind w:right="287" w:firstLine="360"/>
        <w:rPr>
          <w:color w:val="auto"/>
          <w:lang w:val="en-CA"/>
        </w:rPr>
      </w:pPr>
      <w:r w:rsidRPr="006F4C9E">
        <w:rPr>
          <w:color w:val="auto"/>
          <w:lang w:val="en-CA"/>
        </w:rPr>
        <w:t xml:space="preserve">As early as 1960, Robert Mundell (1961) was the first to stress the importance of capital mobility in determining the optimal exchange rate regime. It was Mundell (1961) who noted the insulating capabilities of flexible exchange rates in the presence of capital mobility, he also mentioned for the first time the individual characteristics of countries </w:t>
      </w:r>
      <w:r w:rsidRPr="006F4C9E">
        <w:rPr>
          <w:color w:val="auto"/>
          <w:lang w:val="en-CA"/>
        </w:rPr>
        <w:lastRenderedPageBreak/>
        <w:t xml:space="preserve">and laid the foundations of the theory of optimal currency areas. Within the framework of this perfect capital mobility, Mundell (1962, 1963) and Fleming (1962) showed the crucial role of exchange rate regimes in economic policies and developed further by other economists (Mackinnon, 1963; Kenen, 1969).  </w:t>
      </w:r>
    </w:p>
    <w:p w14:paraId="588923CD" w14:textId="77777777" w:rsidR="007563B7" w:rsidRPr="006F4C9E" w:rsidRDefault="007563B7" w:rsidP="007563B7">
      <w:pPr>
        <w:ind w:right="286" w:firstLine="360"/>
        <w:rPr>
          <w:color w:val="auto"/>
          <w:lang w:val="en-CA"/>
        </w:rPr>
      </w:pPr>
      <w:r w:rsidRPr="006F4C9E">
        <w:rPr>
          <w:color w:val="auto"/>
          <w:lang w:val="en-CA"/>
        </w:rPr>
        <w:t xml:space="preserve">However, the exchange rate crises experienced by the transition countries of Eastern and Central Europe, some Asian countries, Latin America and Africa, show that no exchange rate regime can avoid macroeconomic turbulence. The exchange rate regime put in place may be well or poorly adapted to the institutions and structural characteristics of the economy. However, the introduction of institutions into the relationship between exchange rate regimes and price stability is crucial according to North (1991), who says that institutions should be seen as human restrictions including social, economic and political interactions. In other words, institutions can be defined as a set of socially accepted rules. Thus, institutions are said to be unstable when the application of the rules governing them varies according to individuals or a given situation. </w:t>
      </w:r>
      <w:r w:rsidRPr="006F4C9E">
        <w:rPr>
          <w:b/>
          <w:color w:val="auto"/>
          <w:lang w:val="en-CA"/>
        </w:rPr>
        <w:t xml:space="preserve"> </w:t>
      </w:r>
    </w:p>
    <w:p w14:paraId="202F5946" w14:textId="77777777" w:rsidR="007563B7" w:rsidRPr="006F4C9E" w:rsidRDefault="007563B7" w:rsidP="007563B7">
      <w:pPr>
        <w:ind w:right="286" w:firstLine="360"/>
        <w:rPr>
          <w:color w:val="auto"/>
          <w:lang w:val="en-CA"/>
        </w:rPr>
      </w:pPr>
      <w:r w:rsidRPr="006F4C9E">
        <w:rPr>
          <w:color w:val="auto"/>
          <w:lang w:val="en-CA"/>
        </w:rPr>
        <w:t xml:space="preserve">From the 1990s onwards, under the impetus of the international financial institutions (IMF and WB), many countries embarked on an extensive programme of financial reforms. But in times of crisis, there seems to be a big difference in the effect of these reforms on macroeconomic stability and economic development. This raises the question of why exchange rate and monetary policy reforms are successful in one country and fail in another. In this context, several research studies show that reforms presuppose a sound institutional framework and appropriate institutional reforms (Yahyaoui and Rahmani, 2009; Badi </w:t>
      </w:r>
      <w:proofErr w:type="spellStart"/>
      <w:r w:rsidRPr="006F4C9E">
        <w:rPr>
          <w:color w:val="auto"/>
          <w:lang w:val="en-CA"/>
        </w:rPr>
        <w:t>Baltagi</w:t>
      </w:r>
      <w:proofErr w:type="spellEnd"/>
      <w:r w:rsidRPr="006F4C9E">
        <w:rPr>
          <w:color w:val="auto"/>
          <w:lang w:val="en-CA"/>
        </w:rPr>
        <w:t xml:space="preserve">, </w:t>
      </w:r>
      <w:proofErr w:type="spellStart"/>
      <w:r w:rsidRPr="006F4C9E">
        <w:rPr>
          <w:color w:val="auto"/>
          <w:lang w:val="en-CA"/>
        </w:rPr>
        <w:t>Panicos</w:t>
      </w:r>
      <w:proofErr w:type="spellEnd"/>
      <w:r w:rsidRPr="006F4C9E">
        <w:rPr>
          <w:color w:val="auto"/>
          <w:lang w:val="en-CA"/>
        </w:rPr>
        <w:t xml:space="preserve"> Demetriades, and Law 2007). The latter are responsible for monitoring transparency in markets and government activity and the competitiveness of a country. Financial institutions and markets still pose problems for the reforms that have taken place in developing economies in SSA in particular. </w:t>
      </w:r>
    </w:p>
    <w:p w14:paraId="53809830" w14:textId="77777777" w:rsidR="007563B7" w:rsidRPr="006F4C9E" w:rsidRDefault="007563B7" w:rsidP="007563B7">
      <w:pPr>
        <w:ind w:right="286" w:firstLine="708"/>
        <w:rPr>
          <w:color w:val="auto"/>
          <w:lang w:val="en-CA"/>
        </w:rPr>
      </w:pPr>
      <w:r w:rsidRPr="006F4C9E">
        <w:rPr>
          <w:color w:val="auto"/>
          <w:lang w:val="en-CA"/>
        </w:rPr>
        <w:t>Thus, theoretical arguments in the economic literature on the relationship between exchange rate regimes and price stability via institutions assume that the rich and the poor do not have the same preferences for inflation and that there is a clear difference between the policy preferences of poor and rich citizens according to Acemoglu and Robinson (2006b); Rogoff (2003) and Scheve (2004) based on the median voter (MV) theorem. Such a situation characterises most SSA countries Jayadeva (2006) and (</w:t>
      </w:r>
      <w:proofErr w:type="spellStart"/>
      <w:r w:rsidRPr="006F4C9E">
        <w:rPr>
          <w:color w:val="auto"/>
          <w:lang w:val="en-CA"/>
        </w:rPr>
        <w:t>Mijiyawa</w:t>
      </w:r>
      <w:proofErr w:type="spellEnd"/>
      <w:r w:rsidRPr="006F4C9E">
        <w:rPr>
          <w:color w:val="auto"/>
          <w:lang w:val="en-CA"/>
        </w:rPr>
        <w:t>, 2010) assume that policy makers have three policy instruments "</w:t>
      </w:r>
      <w:r w:rsidRPr="006F4C9E">
        <w:rPr>
          <w:i/>
          <w:color w:val="auto"/>
          <w:lang w:val="en-CA"/>
        </w:rPr>
        <w:t xml:space="preserve">fiscal policy, monetary policy and trade liberalisation policy" to reduce inflation. </w:t>
      </w:r>
      <w:r w:rsidRPr="006F4C9E">
        <w:rPr>
          <w:color w:val="auto"/>
          <w:lang w:val="en-CA"/>
        </w:rPr>
        <w:t xml:space="preserve"> </w:t>
      </w:r>
    </w:p>
    <w:p w14:paraId="075B4767" w14:textId="77777777" w:rsidR="007563B7" w:rsidRPr="006F4C9E" w:rsidRDefault="007563B7" w:rsidP="007563B7">
      <w:pPr>
        <w:spacing w:after="42" w:line="240" w:lineRule="auto"/>
        <w:ind w:left="761" w:firstLine="0"/>
        <w:rPr>
          <w:color w:val="auto"/>
          <w:sz w:val="8"/>
          <w:lang w:val="en-CA"/>
        </w:rPr>
      </w:pPr>
      <w:r w:rsidRPr="006F4C9E">
        <w:rPr>
          <w:color w:val="auto"/>
          <w:lang w:val="en-CA"/>
        </w:rPr>
        <w:t xml:space="preserve"> </w:t>
      </w:r>
    </w:p>
    <w:p w14:paraId="53CEE55A" w14:textId="77777777" w:rsidR="007563B7" w:rsidRPr="006F4C9E" w:rsidRDefault="007563B7" w:rsidP="007563B7">
      <w:pPr>
        <w:spacing w:after="35" w:line="246" w:lineRule="auto"/>
        <w:ind w:left="423" w:right="-15" w:hanging="10"/>
        <w:rPr>
          <w:color w:val="auto"/>
          <w:lang w:val="en-CA"/>
        </w:rPr>
      </w:pPr>
      <w:r w:rsidRPr="006F4C9E">
        <w:rPr>
          <w:b/>
          <w:color w:val="auto"/>
          <w:lang w:val="en-CA"/>
        </w:rPr>
        <w:t xml:space="preserve">1.2. Brief review of the empirical literature  </w:t>
      </w:r>
    </w:p>
    <w:p w14:paraId="43418A9B" w14:textId="77777777" w:rsidR="007563B7" w:rsidRPr="006F4C9E" w:rsidRDefault="007563B7" w:rsidP="007563B7">
      <w:pPr>
        <w:ind w:right="286" w:firstLine="360"/>
        <w:rPr>
          <w:color w:val="auto"/>
          <w:lang w:val="en-CA"/>
        </w:rPr>
      </w:pPr>
      <w:r w:rsidRPr="006F4C9E">
        <w:rPr>
          <w:color w:val="auto"/>
          <w:lang w:val="en-CA"/>
        </w:rPr>
        <w:t>Several studies have been conducted to analyse the effects of exchange rate and monetary policy since the 1950s. Most of these studies focus on industrialised countries (</w:t>
      </w:r>
      <w:proofErr w:type="spellStart"/>
      <w:r w:rsidRPr="006F4C9E">
        <w:rPr>
          <w:color w:val="auto"/>
          <w:lang w:val="en-CA"/>
        </w:rPr>
        <w:t>Ilzetzki</w:t>
      </w:r>
      <w:proofErr w:type="spellEnd"/>
      <w:r w:rsidRPr="006F4C9E">
        <w:rPr>
          <w:color w:val="auto"/>
          <w:lang w:val="en-CA"/>
        </w:rPr>
        <w:t xml:space="preserve"> </w:t>
      </w:r>
      <w:proofErr w:type="gramStart"/>
      <w:r w:rsidRPr="006F4C9E">
        <w:rPr>
          <w:color w:val="auto"/>
          <w:lang w:val="en-CA"/>
        </w:rPr>
        <w:t>et al. ,</w:t>
      </w:r>
      <w:proofErr w:type="gramEnd"/>
      <w:r w:rsidRPr="006F4C9E">
        <w:rPr>
          <w:color w:val="auto"/>
          <w:lang w:val="en-CA"/>
        </w:rPr>
        <w:t xml:space="preserve"> 2019), and given the importance of the consequences this can have on a country's economic development, the appropriateness of exchange rate regimes is one of the key issues in the discussions between researchers and practitioners. In what follows, we present some of this work.  </w:t>
      </w:r>
    </w:p>
    <w:p w14:paraId="446F3F24" w14:textId="77777777" w:rsidR="007563B7" w:rsidRPr="006F4C9E" w:rsidRDefault="007563B7" w:rsidP="007563B7">
      <w:pPr>
        <w:ind w:right="286" w:firstLine="708"/>
        <w:rPr>
          <w:color w:val="auto"/>
          <w:lang w:val="en-CA"/>
        </w:rPr>
      </w:pPr>
      <w:r w:rsidRPr="006F4C9E">
        <w:rPr>
          <w:color w:val="auto"/>
          <w:lang w:val="en-CA"/>
        </w:rPr>
        <w:t xml:space="preserve">However, the study by Coudert and Dubert, (2005) shows that the exchange rate regime is one of the central choices of economic policy. According to </w:t>
      </w:r>
      <w:proofErr w:type="spellStart"/>
      <w:r w:rsidRPr="006F4C9E">
        <w:rPr>
          <w:color w:val="auto"/>
          <w:lang w:val="en-CA"/>
        </w:rPr>
        <w:t>Aizenman</w:t>
      </w:r>
      <w:proofErr w:type="spellEnd"/>
      <w:r w:rsidRPr="006F4C9E">
        <w:rPr>
          <w:color w:val="auto"/>
          <w:lang w:val="en-CA"/>
        </w:rPr>
        <w:t xml:space="preserve"> and Flood (1992), fixed exchange rate regimes favour a monetary equilibrium that leads to labour mobility for efficiency reasons</w:t>
      </w:r>
      <w:r w:rsidRPr="006F4C9E">
        <w:rPr>
          <w:i/>
          <w:color w:val="auto"/>
          <w:lang w:val="en-CA"/>
        </w:rPr>
        <w:t xml:space="preserve">. </w:t>
      </w:r>
      <w:r w:rsidRPr="006F4C9E">
        <w:rPr>
          <w:color w:val="auto"/>
          <w:lang w:val="en-CA"/>
        </w:rPr>
        <w:t xml:space="preserve">This study finds several interesting results using in addition to the currency area criteria and other criteria from recent contributions. In addition, these studies use a very high number of variables in order to identify the real determinants that influence the decision of the choice of the exchange rate regime, following </w:t>
      </w:r>
      <w:proofErr w:type="spellStart"/>
      <w:r w:rsidRPr="006F4C9E">
        <w:rPr>
          <w:color w:val="auto"/>
          <w:lang w:val="en-CA"/>
        </w:rPr>
        <w:t>Eboue's</w:t>
      </w:r>
      <w:proofErr w:type="spellEnd"/>
      <w:r w:rsidRPr="006F4C9E">
        <w:rPr>
          <w:color w:val="auto"/>
          <w:lang w:val="en-CA"/>
        </w:rPr>
        <w:t xml:space="preserve"> (2005) studies.  </w:t>
      </w:r>
    </w:p>
    <w:p w14:paraId="7AD611F4" w14:textId="77777777" w:rsidR="007563B7" w:rsidRPr="006F4C9E" w:rsidRDefault="007563B7" w:rsidP="007563B7">
      <w:pPr>
        <w:ind w:right="286" w:firstLine="708"/>
        <w:rPr>
          <w:color w:val="auto"/>
          <w:lang w:val="en-CA"/>
        </w:rPr>
      </w:pPr>
      <w:r w:rsidRPr="006F4C9E">
        <w:rPr>
          <w:color w:val="auto"/>
          <w:lang w:val="en-CA"/>
        </w:rPr>
        <w:t xml:space="preserve">The study conducted by </w:t>
      </w:r>
      <w:proofErr w:type="spellStart"/>
      <w:r w:rsidRPr="006F4C9E">
        <w:rPr>
          <w:color w:val="auto"/>
          <w:lang w:val="en-CA"/>
        </w:rPr>
        <w:t>Ostfeld</w:t>
      </w:r>
      <w:proofErr w:type="spellEnd"/>
      <w:r w:rsidRPr="006F4C9E">
        <w:rPr>
          <w:color w:val="auto"/>
          <w:lang w:val="en-CA"/>
        </w:rPr>
        <w:t xml:space="preserve"> and Rogoff (1995); Ghosh, et al. (1997), shows that there are indeed significant links between fixed exchange rates and low inflation and their results are consistent with the stylized facts of the 1970s; Rogoff et al. (2003); Levy </w:t>
      </w:r>
      <w:proofErr w:type="spellStart"/>
      <w:r w:rsidRPr="006F4C9E">
        <w:rPr>
          <w:color w:val="auto"/>
          <w:lang w:val="en-CA"/>
        </w:rPr>
        <w:lastRenderedPageBreak/>
        <w:t>Yeyati</w:t>
      </w:r>
      <w:proofErr w:type="spellEnd"/>
      <w:r w:rsidRPr="006F4C9E">
        <w:rPr>
          <w:color w:val="auto"/>
          <w:lang w:val="en-CA"/>
        </w:rPr>
        <w:t xml:space="preserve"> and </w:t>
      </w:r>
      <w:proofErr w:type="spellStart"/>
      <w:r w:rsidRPr="006F4C9E">
        <w:rPr>
          <w:color w:val="auto"/>
          <w:lang w:val="en-CA"/>
        </w:rPr>
        <w:t>Fredirico</w:t>
      </w:r>
      <w:proofErr w:type="spellEnd"/>
      <w:r w:rsidRPr="006F4C9E">
        <w:rPr>
          <w:color w:val="auto"/>
          <w:lang w:val="en-CA"/>
        </w:rPr>
        <w:t xml:space="preserve"> </w:t>
      </w:r>
      <w:proofErr w:type="spellStart"/>
      <w:r w:rsidRPr="006F4C9E">
        <w:rPr>
          <w:color w:val="auto"/>
          <w:lang w:val="en-CA"/>
        </w:rPr>
        <w:t>Stuzenegger</w:t>
      </w:r>
      <w:proofErr w:type="spellEnd"/>
      <w:r w:rsidRPr="006F4C9E">
        <w:rPr>
          <w:color w:val="auto"/>
          <w:lang w:val="en-CA"/>
        </w:rPr>
        <w:t xml:space="preserve"> (2001 and 2005); Ghosh et al. Moreover, according to Andrew &amp; Rose (2011) and </w:t>
      </w:r>
      <w:proofErr w:type="spellStart"/>
      <w:r w:rsidRPr="006F4C9E">
        <w:rPr>
          <w:color w:val="auto"/>
          <w:lang w:val="en-CA"/>
        </w:rPr>
        <w:t>Lohi</w:t>
      </w:r>
      <w:proofErr w:type="spellEnd"/>
      <w:r w:rsidRPr="006F4C9E">
        <w:rPr>
          <w:color w:val="auto"/>
          <w:lang w:val="en-CA"/>
        </w:rPr>
        <w:t xml:space="preserve">, (2014), countries that choose fixed exchange rate regimes with capital mobility and a well-defined monetary regime end up with low inflation rates in the long run.  </w:t>
      </w:r>
    </w:p>
    <w:p w14:paraId="017BC198" w14:textId="77777777" w:rsidR="007563B7" w:rsidRPr="006F4C9E" w:rsidRDefault="007563B7" w:rsidP="007563B7">
      <w:pPr>
        <w:ind w:right="286" w:firstLine="708"/>
        <w:rPr>
          <w:color w:val="auto"/>
          <w:lang w:val="en-CA"/>
        </w:rPr>
      </w:pPr>
      <w:r w:rsidRPr="006F4C9E">
        <w:rPr>
          <w:color w:val="auto"/>
          <w:lang w:val="en-CA"/>
        </w:rPr>
        <w:t xml:space="preserve">However, with respect to African and SSA countries in particular; Coulibaly and Davis, (2013) analyse the performance of the CFA Franc zone in containing inflationary pressures and prove that it is widely accepted. Other authors </w:t>
      </w:r>
      <w:proofErr w:type="spellStart"/>
      <w:r w:rsidRPr="006F4C9E">
        <w:rPr>
          <w:color w:val="auto"/>
          <w:lang w:val="en-CA"/>
        </w:rPr>
        <w:t>Asongu</w:t>
      </w:r>
      <w:proofErr w:type="spellEnd"/>
      <w:r w:rsidRPr="006F4C9E">
        <w:rPr>
          <w:color w:val="auto"/>
          <w:lang w:val="en-CA"/>
        </w:rPr>
        <w:t xml:space="preserve"> et al, (2019) have highlighted the exceptional performance of CFA Franc zone member countries in terms of inflation compared to other SSA countries. However, they do not separate the effects of monetary union from those of anchoring as suggested by </w:t>
      </w:r>
      <w:proofErr w:type="spellStart"/>
      <w:r w:rsidRPr="006F4C9E">
        <w:rPr>
          <w:color w:val="auto"/>
          <w:lang w:val="en-CA"/>
        </w:rPr>
        <w:t>Bleaney</w:t>
      </w:r>
      <w:proofErr w:type="spellEnd"/>
      <w:r w:rsidRPr="006F4C9E">
        <w:rPr>
          <w:color w:val="auto"/>
          <w:lang w:val="en-CA"/>
        </w:rPr>
        <w:t xml:space="preserve"> and Fielding (2002) and Ghosh et al. Using a sample of 80 developing countries, </w:t>
      </w:r>
      <w:proofErr w:type="spellStart"/>
      <w:r w:rsidRPr="006F4C9E">
        <w:rPr>
          <w:color w:val="auto"/>
          <w:lang w:val="en-CA"/>
        </w:rPr>
        <w:t>Bleaney</w:t>
      </w:r>
      <w:proofErr w:type="spellEnd"/>
      <w:r w:rsidRPr="006F4C9E">
        <w:rPr>
          <w:color w:val="auto"/>
          <w:lang w:val="en-CA"/>
        </w:rPr>
        <w:t xml:space="preserve"> and Fielding (2002) find that a fixed exchange rate regime reduces inflation by 13% per year. Similarly, Ghosh et al (2008) show that membership of CEMAC and UEMOA, respectively, is associated with a reduction in inflation of 8% and 10% compared to other </w:t>
      </w:r>
      <w:proofErr w:type="gramStart"/>
      <w:r w:rsidRPr="006F4C9E">
        <w:rPr>
          <w:color w:val="auto"/>
          <w:lang w:val="en-CA"/>
        </w:rPr>
        <w:t>low and middle income</w:t>
      </w:r>
      <w:proofErr w:type="gramEnd"/>
      <w:r w:rsidRPr="006F4C9E">
        <w:rPr>
          <w:color w:val="auto"/>
          <w:lang w:val="en-CA"/>
        </w:rPr>
        <w:t xml:space="preserve"> countries. In contrast to the above work, Klein and </w:t>
      </w:r>
      <w:proofErr w:type="spellStart"/>
      <w:r w:rsidRPr="006F4C9E">
        <w:rPr>
          <w:color w:val="auto"/>
          <w:lang w:val="en-CA"/>
        </w:rPr>
        <w:t>Shamuaugh</w:t>
      </w:r>
      <w:proofErr w:type="spellEnd"/>
      <w:r w:rsidRPr="006F4C9E">
        <w:rPr>
          <w:color w:val="auto"/>
          <w:lang w:val="en-CA"/>
        </w:rPr>
        <w:t xml:space="preserve"> (2010) find instead that the negative effects of a fixed exchange rate regime on inflation reported earlier are relatively minor in a sample of 80 industrialised and developing countries between 1980-1999.  </w:t>
      </w:r>
    </w:p>
    <w:p w14:paraId="03BE92C1" w14:textId="77777777" w:rsidR="007563B7" w:rsidRPr="006F4C9E" w:rsidRDefault="007563B7" w:rsidP="007563B7">
      <w:pPr>
        <w:ind w:right="287" w:firstLine="360"/>
        <w:rPr>
          <w:color w:val="auto"/>
          <w:lang w:val="en-CA"/>
        </w:rPr>
      </w:pPr>
      <w:r w:rsidRPr="006F4C9E">
        <w:rPr>
          <w:color w:val="auto"/>
          <w:lang w:val="en-CA"/>
        </w:rPr>
        <w:t xml:space="preserve">As mentioned above, both a positive and a negative relationship between inflation and institutions can be expected. Empirically, both types of relationships have been found in the literature. </w:t>
      </w:r>
      <w:proofErr w:type="spellStart"/>
      <w:r w:rsidRPr="006F4C9E">
        <w:rPr>
          <w:color w:val="auto"/>
          <w:lang w:val="en-CA"/>
        </w:rPr>
        <w:t>Alesina</w:t>
      </w:r>
      <w:proofErr w:type="spellEnd"/>
      <w:r w:rsidRPr="006F4C9E">
        <w:rPr>
          <w:color w:val="auto"/>
          <w:lang w:val="en-CA"/>
        </w:rPr>
        <w:t xml:space="preserve"> and Drazen (1991) show that countries with a high degree of governmental polarisation, which is a typical feature of democratic political regimes, are likely to have high inflation rates due to the delay in implementing stabilisation policies. Using data from 1960 to 1992, for a sample of 49 DCs, Gasiorowski (2000) shows that the most democratic DCs have higher inflation rates because democracy leads to higher public deficits and accelerated wage growth in these countries. Bates (2005, 2007) argues that the introduction of electoral competition in Africa has not transformed African policy makers into good macroeconomic managers. Indeed, (Brenda and Drazen, 2005; Shi and Svenson, 2000), show that there is a greater magnitude of political-fiscal cycles in DCs than in developed countries. Contrary to the work cited above, other authors establish a negative relationship between inflation and institutions or an absence of relationship between the two variables. Thus, </w:t>
      </w:r>
      <w:proofErr w:type="spellStart"/>
      <w:r w:rsidRPr="006F4C9E">
        <w:rPr>
          <w:color w:val="auto"/>
          <w:lang w:val="en-CA"/>
        </w:rPr>
        <w:t>Satyanath</w:t>
      </w:r>
      <w:proofErr w:type="spellEnd"/>
      <w:r w:rsidRPr="006F4C9E">
        <w:rPr>
          <w:color w:val="auto"/>
          <w:lang w:val="en-CA"/>
        </w:rPr>
        <w:t xml:space="preserve"> and Subramanian (2007) establish a negative relationship between inflation and democratic institutions. As for Aisen and Veiga (2006), they apply the GMM system technique based on annual panel data and establish a negative relationship between inflation and democracy in a sample of 97 developed and developing countries for data dating from the period 1960-1999. Indeed, Levy </w:t>
      </w:r>
      <w:proofErr w:type="spellStart"/>
      <w:r w:rsidRPr="006F4C9E">
        <w:rPr>
          <w:color w:val="auto"/>
          <w:lang w:val="en-CA"/>
        </w:rPr>
        <w:t>Yeyati</w:t>
      </w:r>
      <w:proofErr w:type="spellEnd"/>
      <w:r w:rsidRPr="006F4C9E">
        <w:rPr>
          <w:color w:val="auto"/>
          <w:lang w:val="en-CA"/>
        </w:rPr>
        <w:t xml:space="preserve"> &amp; Sturzenegger (2003) in their second line of research, analyse the consequences of similarity of national institutions on bilateral trade. Thus, weak institutions accentuate the risks inherent in international transactions, such as imperfect contract compliance and predation (theft, corruption). </w:t>
      </w:r>
    </w:p>
    <w:p w14:paraId="4110A1DF" w14:textId="77777777" w:rsidR="007563B7" w:rsidRDefault="007563B7" w:rsidP="007563B7">
      <w:pPr>
        <w:ind w:right="286" w:firstLine="708"/>
        <w:rPr>
          <w:color w:val="auto"/>
          <w:lang w:val="en-CA"/>
        </w:rPr>
      </w:pPr>
      <w:r w:rsidRPr="006F4C9E">
        <w:rPr>
          <w:color w:val="auto"/>
          <w:lang w:val="en-CA"/>
        </w:rPr>
        <w:t xml:space="preserve">Through the above review of the empirical literature, we have used the three exchange rate regimes (Fixed, Flexible and Intermediate) according to Reinhart and Rogoff (2004) and </w:t>
      </w:r>
      <w:proofErr w:type="spellStart"/>
      <w:r w:rsidRPr="006F4C9E">
        <w:rPr>
          <w:color w:val="auto"/>
          <w:lang w:val="en-CA"/>
        </w:rPr>
        <w:t>Ilzetzki</w:t>
      </w:r>
      <w:proofErr w:type="spellEnd"/>
      <w:r w:rsidRPr="006F4C9E">
        <w:rPr>
          <w:color w:val="auto"/>
          <w:lang w:val="en-CA"/>
        </w:rPr>
        <w:t xml:space="preserve">, et al, (2017, 2019). To our knowledge, there is no applied research on this issue in SSA, despite the plurality of exchange rate regimes in this part of the African continent. Thus, our contribution is in line with the analysis of </w:t>
      </w:r>
      <w:proofErr w:type="spellStart"/>
      <w:r w:rsidRPr="006F4C9E">
        <w:rPr>
          <w:color w:val="auto"/>
          <w:lang w:val="en-CA"/>
        </w:rPr>
        <w:t>Mijiyawa</w:t>
      </w:r>
      <w:proofErr w:type="spellEnd"/>
      <w:r w:rsidRPr="006F4C9E">
        <w:rPr>
          <w:color w:val="auto"/>
          <w:lang w:val="en-CA"/>
        </w:rPr>
        <w:t xml:space="preserve"> (2010) who worked on the relationship between inflation and democracy in 62 developing countries (DCs), including 32 African countries for the period 1960 to 2003. But we went beyond his analysis while inspiring the median voter (ME) theorem and the introduction of a variable in this relationship on the one hand and the use of the three composite indices of institutions on the other hand. </w:t>
      </w:r>
    </w:p>
    <w:p w14:paraId="361ED058" w14:textId="77777777" w:rsidR="00364E3B" w:rsidRDefault="00364E3B" w:rsidP="007563B7">
      <w:pPr>
        <w:ind w:right="286" w:firstLine="708"/>
        <w:rPr>
          <w:color w:val="auto"/>
          <w:lang w:val="en-CA"/>
        </w:rPr>
      </w:pPr>
    </w:p>
    <w:p w14:paraId="572BA2DF" w14:textId="77777777" w:rsidR="00364E3B" w:rsidRDefault="00364E3B" w:rsidP="007563B7">
      <w:pPr>
        <w:ind w:right="286" w:firstLine="708"/>
        <w:rPr>
          <w:color w:val="auto"/>
          <w:lang w:val="en-CA"/>
        </w:rPr>
      </w:pPr>
    </w:p>
    <w:p w14:paraId="40143C39" w14:textId="77777777" w:rsidR="00364E3B" w:rsidRPr="006F4C9E" w:rsidRDefault="00364E3B" w:rsidP="007563B7">
      <w:pPr>
        <w:ind w:right="286" w:firstLine="708"/>
        <w:rPr>
          <w:color w:val="auto"/>
          <w:lang w:val="en-CA"/>
        </w:rPr>
      </w:pPr>
    </w:p>
    <w:p w14:paraId="6357302B" w14:textId="77777777" w:rsidR="007563B7" w:rsidRPr="006F4C9E" w:rsidRDefault="007563B7" w:rsidP="007563B7">
      <w:pPr>
        <w:spacing w:after="44" w:line="240" w:lineRule="auto"/>
        <w:ind w:left="53" w:firstLine="0"/>
        <w:rPr>
          <w:color w:val="auto"/>
          <w:lang w:val="en-CA"/>
        </w:rPr>
      </w:pPr>
      <w:r w:rsidRPr="006F4C9E">
        <w:rPr>
          <w:color w:val="auto"/>
          <w:lang w:val="en-CA"/>
        </w:rPr>
        <w:lastRenderedPageBreak/>
        <w:t xml:space="preserve"> </w:t>
      </w:r>
    </w:p>
    <w:p w14:paraId="22DFDD2E" w14:textId="77777777" w:rsidR="007563B7" w:rsidRPr="006F4C9E" w:rsidRDefault="007563B7" w:rsidP="007563B7">
      <w:pPr>
        <w:numPr>
          <w:ilvl w:val="0"/>
          <w:numId w:val="2"/>
        </w:numPr>
        <w:spacing w:after="35" w:line="246" w:lineRule="auto"/>
        <w:ind w:right="-15" w:hanging="240"/>
        <w:rPr>
          <w:color w:val="auto"/>
        </w:rPr>
      </w:pPr>
      <w:r w:rsidRPr="006F4C9E">
        <w:rPr>
          <w:b/>
          <w:color w:val="auto"/>
        </w:rPr>
        <w:t xml:space="preserve">METHODOLOGY OF THE STUDY   </w:t>
      </w:r>
    </w:p>
    <w:p w14:paraId="0134F559" w14:textId="77777777" w:rsidR="00971A0D" w:rsidRPr="006F4C9E" w:rsidRDefault="007563B7" w:rsidP="00C82434">
      <w:pPr>
        <w:ind w:right="286" w:firstLine="708"/>
        <w:rPr>
          <w:color w:val="auto"/>
          <w:lang w:val="en-CA"/>
        </w:rPr>
      </w:pPr>
      <w:r w:rsidRPr="006F4C9E">
        <w:rPr>
          <w:color w:val="auto"/>
          <w:lang w:val="en-CA"/>
        </w:rPr>
        <w:t xml:space="preserve">The data and variables used are presented in turn. The empirical model of price stability to be estimated. The classification of exchange rate regimes and the index of institutions, and the estimation strategy of the empirical model. </w:t>
      </w:r>
    </w:p>
    <w:p w14:paraId="67B4FD52" w14:textId="77777777" w:rsidR="007563B7" w:rsidRPr="006F4C9E" w:rsidRDefault="007563B7" w:rsidP="007563B7">
      <w:pPr>
        <w:numPr>
          <w:ilvl w:val="1"/>
          <w:numId w:val="2"/>
        </w:numPr>
        <w:spacing w:after="35" w:line="246" w:lineRule="auto"/>
        <w:ind w:right="-15" w:hanging="420"/>
        <w:rPr>
          <w:color w:val="auto"/>
        </w:rPr>
      </w:pPr>
      <w:r w:rsidRPr="006F4C9E">
        <w:rPr>
          <w:b/>
          <w:color w:val="auto"/>
        </w:rPr>
        <w:t xml:space="preserve">Data and sources </w:t>
      </w:r>
    </w:p>
    <w:p w14:paraId="25671027" w14:textId="77777777" w:rsidR="007563B7" w:rsidRPr="006F4C9E" w:rsidRDefault="007563B7" w:rsidP="007563B7">
      <w:pPr>
        <w:ind w:right="286" w:firstLine="708"/>
        <w:rPr>
          <w:color w:val="auto"/>
          <w:lang w:val="en-CA"/>
        </w:rPr>
      </w:pPr>
      <w:r w:rsidRPr="006F4C9E">
        <w:rPr>
          <w:color w:val="auto"/>
          <w:lang w:val="en-CA"/>
        </w:rPr>
        <w:t xml:space="preserve">The data collected for this study comes from secondary and constituted sources from SSA countries. They were extracted from the database of specialised institutions such as Policy IV, </w:t>
      </w:r>
      <w:r w:rsidRPr="006F4C9E">
        <w:rPr>
          <w:i/>
          <w:color w:val="auto"/>
          <w:lang w:val="en-CA"/>
        </w:rPr>
        <w:t xml:space="preserve">polity 2 </w:t>
      </w:r>
      <w:r w:rsidRPr="006F4C9E">
        <w:rPr>
          <w:color w:val="auto"/>
          <w:lang w:val="en-CA"/>
        </w:rPr>
        <w:t>data</w:t>
      </w:r>
      <w:r w:rsidRPr="006F4C9E">
        <w:rPr>
          <w:i/>
          <w:color w:val="auto"/>
          <w:lang w:val="en-CA"/>
        </w:rPr>
        <w:t xml:space="preserve">, Fraser institute </w:t>
      </w:r>
      <w:r w:rsidRPr="006F4C9E">
        <w:rPr>
          <w:color w:val="auto"/>
          <w:lang w:val="en-CA"/>
        </w:rPr>
        <w:t>(2019), the World Bank in the "World Development Indicators (WDI, 2019)". Annual activity reports of the International Monetary Fund on exchange rate regimes (</w:t>
      </w:r>
      <w:proofErr w:type="spellStart"/>
      <w:r w:rsidRPr="006F4C9E">
        <w:rPr>
          <w:color w:val="auto"/>
          <w:lang w:val="en-CA"/>
        </w:rPr>
        <w:t>Ilzetzki</w:t>
      </w:r>
      <w:proofErr w:type="spellEnd"/>
      <w:r w:rsidRPr="006F4C9E">
        <w:rPr>
          <w:color w:val="auto"/>
          <w:lang w:val="en-CA"/>
        </w:rPr>
        <w:t xml:space="preserve">, </w:t>
      </w:r>
      <w:proofErr w:type="gramStart"/>
      <w:r w:rsidRPr="006F4C9E">
        <w:rPr>
          <w:color w:val="auto"/>
          <w:lang w:val="en-CA"/>
        </w:rPr>
        <w:t>et al. ,</w:t>
      </w:r>
      <w:proofErr w:type="gramEnd"/>
      <w:r w:rsidRPr="006F4C9E">
        <w:rPr>
          <w:color w:val="auto"/>
          <w:lang w:val="en-CA"/>
        </w:rPr>
        <w:t xml:space="preserve"> 2017, 2019) in which regimes are classified according to exchange rate policy practices. They are quantitative in nature and our study period is from 1987 to 2017. The particularity of this period is that it constitutes a period during which these countries have undergone several reforms, notably those of the early 1980s and the late 1990s.  </w:t>
      </w:r>
    </w:p>
    <w:p w14:paraId="7DE3738B" w14:textId="77777777" w:rsidR="007563B7" w:rsidRPr="006F4C9E" w:rsidRDefault="007563B7" w:rsidP="007563B7">
      <w:pPr>
        <w:numPr>
          <w:ilvl w:val="1"/>
          <w:numId w:val="2"/>
        </w:numPr>
        <w:spacing w:after="35" w:line="246" w:lineRule="auto"/>
        <w:ind w:right="-15" w:hanging="420"/>
        <w:rPr>
          <w:color w:val="auto"/>
        </w:rPr>
      </w:pPr>
      <w:r w:rsidRPr="006F4C9E">
        <w:rPr>
          <w:b/>
          <w:color w:val="auto"/>
        </w:rPr>
        <w:t xml:space="preserve">The variables  </w:t>
      </w:r>
    </w:p>
    <w:p w14:paraId="19D4915C" w14:textId="77777777" w:rsidR="007563B7" w:rsidRPr="006F4C9E" w:rsidRDefault="007563B7" w:rsidP="007563B7">
      <w:pPr>
        <w:ind w:firstLine="0"/>
        <w:rPr>
          <w:color w:val="auto"/>
          <w:lang w:val="en-CA"/>
        </w:rPr>
      </w:pPr>
      <w:r w:rsidRPr="006F4C9E">
        <w:rPr>
          <w:color w:val="auto"/>
          <w:lang w:val="en-CA"/>
        </w:rPr>
        <w:t xml:space="preserve">These are the variables to be explained and the explanatory variables which </w:t>
      </w:r>
      <w:proofErr w:type="gramStart"/>
      <w:r w:rsidRPr="006F4C9E">
        <w:rPr>
          <w:color w:val="auto"/>
          <w:lang w:val="en-CA"/>
        </w:rPr>
        <w:t>are :</w:t>
      </w:r>
      <w:proofErr w:type="gramEnd"/>
      <w:r w:rsidRPr="006F4C9E">
        <w:rPr>
          <w:color w:val="auto"/>
          <w:lang w:val="en-CA"/>
        </w:rPr>
        <w:t xml:space="preserve">  </w:t>
      </w:r>
    </w:p>
    <w:p w14:paraId="0AD945A0" w14:textId="77777777" w:rsidR="007563B7" w:rsidRPr="006F4C9E" w:rsidRDefault="007563B7" w:rsidP="007563B7">
      <w:pPr>
        <w:ind w:right="287" w:firstLine="708"/>
        <w:rPr>
          <w:color w:val="auto"/>
          <w:lang w:val="en-CA"/>
        </w:rPr>
      </w:pPr>
      <w:r w:rsidRPr="006F4C9E">
        <w:rPr>
          <w:b/>
          <w:i/>
          <w:color w:val="auto"/>
          <w:lang w:val="en-CA"/>
        </w:rPr>
        <w:t>Price stability (</w:t>
      </w:r>
      <w:proofErr w:type="spellStart"/>
      <w:r w:rsidRPr="006F4C9E">
        <w:rPr>
          <w:b/>
          <w:i/>
          <w:color w:val="auto"/>
          <w:lang w:val="en-CA"/>
        </w:rPr>
        <w:t>stab_prices</w:t>
      </w:r>
      <w:proofErr w:type="spellEnd"/>
      <w:r w:rsidRPr="006F4C9E">
        <w:rPr>
          <w:b/>
          <w:i/>
          <w:color w:val="auto"/>
          <w:lang w:val="en-CA"/>
        </w:rPr>
        <w:t xml:space="preserve">): </w:t>
      </w:r>
      <w:r w:rsidRPr="006F4C9E">
        <w:rPr>
          <w:color w:val="auto"/>
          <w:lang w:val="en-CA"/>
        </w:rPr>
        <w:t>as we seek to test the effect of exchange rate regimes on price stability in sub-Saharan African countries. Economists use several methods to measure the growth of inflation in the economy but the most common is the consumer price index (CPI). This is because the exchange rate regime is a determinant of price stability (</w:t>
      </w:r>
      <w:proofErr w:type="spellStart"/>
      <w:r w:rsidRPr="006F4C9E">
        <w:rPr>
          <w:color w:val="auto"/>
          <w:lang w:val="en-CA"/>
        </w:rPr>
        <w:t>Bleaney</w:t>
      </w:r>
      <w:proofErr w:type="spellEnd"/>
      <w:r w:rsidRPr="006F4C9E">
        <w:rPr>
          <w:color w:val="auto"/>
          <w:lang w:val="en-CA"/>
        </w:rPr>
        <w:t xml:space="preserve"> and Francisco, 2007). And it has an undetermined influence on economic activity in advance because everything depends on its source and the expectations of economic agents (Fabrizio et al, 2004, Campillo and Miron, 1997). </w:t>
      </w:r>
    </w:p>
    <w:p w14:paraId="4C50BE60" w14:textId="77777777" w:rsidR="007563B7" w:rsidRPr="006F4C9E" w:rsidRDefault="007563B7" w:rsidP="007563B7">
      <w:pPr>
        <w:ind w:right="287" w:firstLine="708"/>
        <w:rPr>
          <w:color w:val="auto"/>
          <w:lang w:val="en-CA"/>
        </w:rPr>
      </w:pPr>
      <w:r w:rsidRPr="006F4C9E">
        <w:rPr>
          <w:b/>
          <w:i/>
          <w:color w:val="auto"/>
          <w:lang w:val="en-CA"/>
        </w:rPr>
        <w:t xml:space="preserve">Exchange rate regime (ER): </w:t>
      </w:r>
      <w:r w:rsidRPr="006F4C9E">
        <w:rPr>
          <w:color w:val="auto"/>
          <w:lang w:val="en-CA"/>
        </w:rPr>
        <w:t xml:space="preserve">represents the set of dummy variables of exchange rate regimes. Existing empirical studies do not always identify a consensus set of determinants of exchange rate regimes (fixed, flexible and intermediate) on price stability (Broda, 2004). Recent literature has revealed substantial disparities between the exchange rate regimes that countries report to the IMF and those that they implement (see </w:t>
      </w:r>
      <w:proofErr w:type="spellStart"/>
      <w:r w:rsidRPr="006F4C9E">
        <w:rPr>
          <w:color w:val="auto"/>
          <w:lang w:val="en-CA"/>
        </w:rPr>
        <w:t>Ilzetzki</w:t>
      </w:r>
      <w:proofErr w:type="spellEnd"/>
      <w:r w:rsidRPr="006F4C9E">
        <w:rPr>
          <w:color w:val="auto"/>
          <w:lang w:val="en-CA"/>
        </w:rPr>
        <w:t xml:space="preserve"> </w:t>
      </w:r>
      <w:proofErr w:type="gramStart"/>
      <w:r w:rsidRPr="006F4C9E">
        <w:rPr>
          <w:color w:val="auto"/>
          <w:lang w:val="en-CA"/>
        </w:rPr>
        <w:t>et al. ,</w:t>
      </w:r>
      <w:proofErr w:type="gramEnd"/>
      <w:r w:rsidRPr="006F4C9E">
        <w:rPr>
          <w:color w:val="auto"/>
          <w:lang w:val="en-CA"/>
        </w:rPr>
        <w:t xml:space="preserve"> 2016 and Ghosh A, 2014).  </w:t>
      </w:r>
    </w:p>
    <w:p w14:paraId="50A44C01" w14:textId="77777777" w:rsidR="007563B7" w:rsidRPr="006F4C9E" w:rsidRDefault="007563B7" w:rsidP="007563B7">
      <w:pPr>
        <w:ind w:right="286" w:firstLine="708"/>
        <w:rPr>
          <w:color w:val="auto"/>
          <w:lang w:val="en-CA"/>
        </w:rPr>
      </w:pPr>
      <w:r w:rsidRPr="006F4C9E">
        <w:rPr>
          <w:b/>
          <w:i/>
          <w:color w:val="auto"/>
          <w:lang w:val="en-CA"/>
        </w:rPr>
        <w:t xml:space="preserve">Composite index of institutions (index): </w:t>
      </w:r>
      <w:r w:rsidRPr="006F4C9E">
        <w:rPr>
          <w:color w:val="auto"/>
          <w:lang w:val="en-CA"/>
        </w:rPr>
        <w:t>the synthetic indicator of institutions composed of democratic institutions (</w:t>
      </w:r>
      <w:proofErr w:type="spellStart"/>
      <w:r w:rsidRPr="006F4C9E">
        <w:rPr>
          <w:color w:val="auto"/>
          <w:lang w:val="en-CA"/>
        </w:rPr>
        <w:t>inst_demo</w:t>
      </w:r>
      <w:proofErr w:type="spellEnd"/>
      <w:r w:rsidRPr="006F4C9E">
        <w:rPr>
          <w:color w:val="auto"/>
          <w:lang w:val="en-CA"/>
        </w:rPr>
        <w:t>), institutions for the protection of private property rights (</w:t>
      </w:r>
      <w:proofErr w:type="spellStart"/>
      <w:r w:rsidRPr="006F4C9E">
        <w:rPr>
          <w:color w:val="auto"/>
          <w:lang w:val="en-CA"/>
        </w:rPr>
        <w:t>inst_pdpp</w:t>
      </w:r>
      <w:proofErr w:type="spellEnd"/>
      <w:r w:rsidRPr="006F4C9E">
        <w:rPr>
          <w:color w:val="auto"/>
          <w:lang w:val="en-CA"/>
        </w:rPr>
        <w:t>) and institutions for the regulation of economic activities (</w:t>
      </w:r>
      <w:proofErr w:type="spellStart"/>
      <w:r w:rsidRPr="006F4C9E">
        <w:rPr>
          <w:color w:val="auto"/>
          <w:lang w:val="en-CA"/>
        </w:rPr>
        <w:t>inst_reg</w:t>
      </w:r>
      <w:proofErr w:type="spellEnd"/>
      <w:r w:rsidRPr="006F4C9E">
        <w:rPr>
          <w:color w:val="auto"/>
          <w:lang w:val="en-CA"/>
        </w:rPr>
        <w:t xml:space="preserve">). The composite index of institutions noted "INDICE" is a measure that is synthesized from the previous three based on studies by Abdelkarim and Atef Rahmani (2009); </w:t>
      </w:r>
      <w:proofErr w:type="spellStart"/>
      <w:r w:rsidRPr="006F4C9E">
        <w:rPr>
          <w:color w:val="auto"/>
          <w:lang w:val="en-CA"/>
        </w:rPr>
        <w:t>Mijiyawa</w:t>
      </w:r>
      <w:proofErr w:type="spellEnd"/>
      <w:r w:rsidRPr="006F4C9E">
        <w:rPr>
          <w:color w:val="auto"/>
          <w:lang w:val="en-CA"/>
        </w:rPr>
        <w:t xml:space="preserve">, 2010 and </w:t>
      </w:r>
      <w:proofErr w:type="spellStart"/>
      <w:r w:rsidRPr="006F4C9E">
        <w:rPr>
          <w:color w:val="auto"/>
          <w:lang w:val="en-CA"/>
        </w:rPr>
        <w:t>Kuipou</w:t>
      </w:r>
      <w:proofErr w:type="spellEnd"/>
      <w:r w:rsidRPr="006F4C9E">
        <w:rPr>
          <w:color w:val="auto"/>
          <w:lang w:val="en-CA"/>
        </w:rPr>
        <w:t xml:space="preserve">, </w:t>
      </w:r>
      <w:proofErr w:type="gramStart"/>
      <w:r w:rsidRPr="006F4C9E">
        <w:rPr>
          <w:color w:val="auto"/>
          <w:lang w:val="en-CA"/>
        </w:rPr>
        <w:t>et al. ,</w:t>
      </w:r>
      <w:proofErr w:type="gramEnd"/>
      <w:r w:rsidRPr="006F4C9E">
        <w:rPr>
          <w:color w:val="auto"/>
          <w:lang w:val="en-CA"/>
        </w:rPr>
        <w:t xml:space="preserve"> (2015). This method overcomes the multicollinearity problems associated with the presence of a large number of potentially collinear indicators. In all cases, higher values reflect better scores, i.e. a better institutional condition. </w:t>
      </w:r>
    </w:p>
    <w:p w14:paraId="4A04A81E" w14:textId="77777777" w:rsidR="007563B7" w:rsidRPr="006F4C9E" w:rsidRDefault="007563B7" w:rsidP="007563B7">
      <w:pPr>
        <w:ind w:firstLine="0"/>
        <w:rPr>
          <w:color w:val="auto"/>
          <w:lang w:val="en-CA"/>
        </w:rPr>
      </w:pPr>
      <w:r w:rsidRPr="006F4C9E">
        <w:rPr>
          <w:color w:val="auto"/>
          <w:lang w:val="en-CA"/>
        </w:rPr>
        <w:t xml:space="preserve">  </w:t>
      </w:r>
      <w:proofErr w:type="spellStart"/>
      <w:r w:rsidRPr="006F4C9E">
        <w:rPr>
          <w:b/>
          <w:i/>
          <w:color w:val="auto"/>
          <w:lang w:val="en-CA"/>
        </w:rPr>
        <w:t>INDICEit</w:t>
      </w:r>
      <w:proofErr w:type="spellEnd"/>
      <w:r w:rsidRPr="006F4C9E">
        <w:rPr>
          <w:b/>
          <w:i/>
          <w:color w:val="auto"/>
          <w:lang w:val="en-CA"/>
        </w:rPr>
        <w:t>*</w:t>
      </w:r>
      <w:proofErr w:type="spellStart"/>
      <w:r w:rsidRPr="006F4C9E">
        <w:rPr>
          <w:b/>
          <w:i/>
          <w:color w:val="auto"/>
          <w:lang w:val="en-CA"/>
        </w:rPr>
        <w:t>RCit</w:t>
      </w:r>
      <w:proofErr w:type="spellEnd"/>
      <w:r w:rsidRPr="006F4C9E">
        <w:rPr>
          <w:b/>
          <w:i/>
          <w:color w:val="auto"/>
          <w:lang w:val="en-CA"/>
        </w:rPr>
        <w:t xml:space="preserve"> (</w:t>
      </w:r>
      <w:proofErr w:type="spellStart"/>
      <w:r w:rsidRPr="006F4C9E">
        <w:rPr>
          <w:b/>
          <w:i/>
          <w:color w:val="auto"/>
          <w:lang w:val="en-CA"/>
        </w:rPr>
        <w:t>ind_fix</w:t>
      </w:r>
      <w:proofErr w:type="spellEnd"/>
      <w:r w:rsidRPr="006F4C9E">
        <w:rPr>
          <w:b/>
          <w:i/>
          <w:color w:val="auto"/>
          <w:lang w:val="en-CA"/>
        </w:rPr>
        <w:t xml:space="preserve">, </w:t>
      </w:r>
      <w:proofErr w:type="spellStart"/>
      <w:r w:rsidRPr="006F4C9E">
        <w:rPr>
          <w:b/>
          <w:i/>
          <w:color w:val="auto"/>
          <w:lang w:val="en-CA"/>
        </w:rPr>
        <w:t>ind_flex</w:t>
      </w:r>
      <w:proofErr w:type="spellEnd"/>
      <w:r w:rsidRPr="006F4C9E">
        <w:rPr>
          <w:b/>
          <w:i/>
          <w:color w:val="auto"/>
          <w:lang w:val="en-CA"/>
        </w:rPr>
        <w:t xml:space="preserve">, </w:t>
      </w:r>
      <w:proofErr w:type="spellStart"/>
      <w:r w:rsidRPr="006F4C9E">
        <w:rPr>
          <w:b/>
          <w:i/>
          <w:color w:val="auto"/>
          <w:lang w:val="en-CA"/>
        </w:rPr>
        <w:t>ind_inter</w:t>
      </w:r>
      <w:proofErr w:type="spellEnd"/>
      <w:r w:rsidRPr="006F4C9E">
        <w:rPr>
          <w:b/>
          <w:i/>
          <w:color w:val="auto"/>
          <w:lang w:val="en-CA"/>
        </w:rPr>
        <w:t xml:space="preserve">): </w:t>
      </w:r>
      <w:r w:rsidRPr="006F4C9E">
        <w:rPr>
          <w:color w:val="auto"/>
          <w:lang w:val="en-CA"/>
        </w:rPr>
        <w:t xml:space="preserve">combined exchange rate regimes of institutions in country </w:t>
      </w:r>
      <w:proofErr w:type="spellStart"/>
      <w:r w:rsidRPr="006F4C9E">
        <w:rPr>
          <w:color w:val="auto"/>
          <w:lang w:val="en-CA"/>
        </w:rPr>
        <w:t>i</w:t>
      </w:r>
      <w:proofErr w:type="spellEnd"/>
      <w:r w:rsidRPr="006F4C9E">
        <w:rPr>
          <w:color w:val="auto"/>
          <w:lang w:val="en-CA"/>
        </w:rPr>
        <w:t xml:space="preserve"> in year t. </w:t>
      </w:r>
    </w:p>
    <w:p w14:paraId="2FB25400" w14:textId="77777777" w:rsidR="007563B7" w:rsidRPr="006F4C9E" w:rsidRDefault="007563B7" w:rsidP="007563B7">
      <w:pPr>
        <w:ind w:firstLine="708"/>
        <w:rPr>
          <w:color w:val="auto"/>
          <w:lang w:val="en-CA"/>
        </w:rPr>
      </w:pPr>
      <w:r w:rsidRPr="006F4C9E">
        <w:rPr>
          <w:b/>
          <w:i/>
          <w:color w:val="auto"/>
          <w:lang w:val="en-CA"/>
        </w:rPr>
        <w:t>Money supply (</w:t>
      </w:r>
      <w:proofErr w:type="spellStart"/>
      <w:r w:rsidRPr="006F4C9E">
        <w:rPr>
          <w:b/>
          <w:i/>
          <w:color w:val="auto"/>
          <w:lang w:val="en-CA"/>
        </w:rPr>
        <w:t>mon</w:t>
      </w:r>
      <w:proofErr w:type="spellEnd"/>
      <w:r w:rsidRPr="006F4C9E">
        <w:rPr>
          <w:b/>
          <w:i/>
          <w:color w:val="auto"/>
          <w:lang w:val="en-CA"/>
        </w:rPr>
        <w:t>)</w:t>
      </w:r>
      <w:r w:rsidRPr="006F4C9E">
        <w:rPr>
          <w:i/>
          <w:color w:val="auto"/>
          <w:lang w:val="en-CA"/>
        </w:rPr>
        <w:t xml:space="preserve">: </w:t>
      </w:r>
      <w:r w:rsidRPr="006F4C9E">
        <w:rPr>
          <w:color w:val="auto"/>
          <w:lang w:val="en-CA"/>
        </w:rPr>
        <w:t xml:space="preserve">represents money and quasi-money. When the supply of money no longer coincides with the demand for money, economic activity is slowed down or there is capital flight. </w:t>
      </w:r>
    </w:p>
    <w:p w14:paraId="674D5A51" w14:textId="77777777" w:rsidR="007563B7" w:rsidRPr="006F4C9E" w:rsidRDefault="007563B7" w:rsidP="007563B7">
      <w:pPr>
        <w:ind w:firstLine="708"/>
        <w:rPr>
          <w:color w:val="auto"/>
          <w:lang w:val="en-CA"/>
        </w:rPr>
      </w:pPr>
      <w:r w:rsidRPr="006F4C9E">
        <w:rPr>
          <w:b/>
          <w:i/>
          <w:color w:val="auto"/>
          <w:lang w:val="en-CA"/>
        </w:rPr>
        <w:t>Gross domestic product per capita (</w:t>
      </w:r>
      <w:proofErr w:type="spellStart"/>
      <w:r w:rsidRPr="006F4C9E">
        <w:rPr>
          <w:b/>
          <w:i/>
          <w:color w:val="auto"/>
          <w:lang w:val="en-CA"/>
        </w:rPr>
        <w:t>gdp_real</w:t>
      </w:r>
      <w:proofErr w:type="spellEnd"/>
      <w:r w:rsidRPr="006F4C9E">
        <w:rPr>
          <w:i/>
          <w:color w:val="auto"/>
          <w:lang w:val="en-CA"/>
        </w:rPr>
        <w:t xml:space="preserve">): </w:t>
      </w:r>
      <w:r w:rsidRPr="006F4C9E">
        <w:rPr>
          <w:color w:val="auto"/>
          <w:lang w:val="en-CA"/>
        </w:rPr>
        <w:t xml:space="preserve">measured by the growth rate of GDP/head. As an indicator of economic growth Klein and Shambaugh, 2010; Husain et al., 2005 and Levy et al., 2010). </w:t>
      </w:r>
    </w:p>
    <w:p w14:paraId="1D8EB8DC" w14:textId="77777777" w:rsidR="007563B7" w:rsidRPr="006F4C9E" w:rsidRDefault="007563B7" w:rsidP="007563B7">
      <w:pPr>
        <w:ind w:left="761" w:firstLine="0"/>
        <w:rPr>
          <w:color w:val="auto"/>
          <w:lang w:val="en-CA"/>
        </w:rPr>
      </w:pPr>
      <w:r w:rsidRPr="006F4C9E">
        <w:rPr>
          <w:b/>
          <w:i/>
          <w:color w:val="auto"/>
          <w:lang w:val="en-CA"/>
        </w:rPr>
        <w:t>Investment (invest)</w:t>
      </w:r>
      <w:r w:rsidRPr="006F4C9E">
        <w:rPr>
          <w:i/>
          <w:color w:val="auto"/>
          <w:lang w:val="en-CA"/>
        </w:rPr>
        <w:t xml:space="preserve">: </w:t>
      </w:r>
      <w:r w:rsidRPr="006F4C9E">
        <w:rPr>
          <w:color w:val="auto"/>
          <w:lang w:val="en-CA"/>
        </w:rPr>
        <w:t>represents Gross Fixed Capital Formation (</w:t>
      </w:r>
      <w:proofErr w:type="spellStart"/>
      <w:r w:rsidRPr="006F4C9E">
        <w:rPr>
          <w:color w:val="auto"/>
          <w:lang w:val="en-CA"/>
        </w:rPr>
        <w:t>Aizenman</w:t>
      </w:r>
      <w:proofErr w:type="spellEnd"/>
      <w:r w:rsidRPr="006F4C9E">
        <w:rPr>
          <w:color w:val="auto"/>
          <w:lang w:val="en-CA"/>
        </w:rPr>
        <w:t xml:space="preserve">, 2000). </w:t>
      </w:r>
    </w:p>
    <w:p w14:paraId="075684D3" w14:textId="77777777" w:rsidR="007563B7" w:rsidRPr="006F4C9E" w:rsidRDefault="007563B7" w:rsidP="007563B7">
      <w:pPr>
        <w:ind w:left="761" w:firstLine="0"/>
        <w:rPr>
          <w:color w:val="auto"/>
          <w:lang w:val="en-CA"/>
        </w:rPr>
      </w:pPr>
      <w:r w:rsidRPr="006F4C9E">
        <w:rPr>
          <w:b/>
          <w:i/>
          <w:color w:val="auto"/>
          <w:lang w:val="en-CA"/>
        </w:rPr>
        <w:t>The interest rate (</w:t>
      </w:r>
      <w:proofErr w:type="spellStart"/>
      <w:r w:rsidRPr="006F4C9E">
        <w:rPr>
          <w:b/>
          <w:i/>
          <w:color w:val="auto"/>
          <w:lang w:val="en-CA"/>
        </w:rPr>
        <w:t>tx_int</w:t>
      </w:r>
      <w:proofErr w:type="spellEnd"/>
      <w:r w:rsidRPr="006F4C9E">
        <w:rPr>
          <w:b/>
          <w:i/>
          <w:color w:val="auto"/>
          <w:lang w:val="en-CA"/>
        </w:rPr>
        <w:t xml:space="preserve">): The </w:t>
      </w:r>
      <w:r w:rsidRPr="006F4C9E">
        <w:rPr>
          <w:color w:val="auto"/>
          <w:lang w:val="en-CA"/>
        </w:rPr>
        <w:t xml:space="preserve">central bank's lending rate in the money market (De Grauwe, 2008). </w:t>
      </w:r>
    </w:p>
    <w:p w14:paraId="1D324F46" w14:textId="77777777" w:rsidR="007563B7" w:rsidRPr="006F4C9E" w:rsidRDefault="007563B7" w:rsidP="007563B7">
      <w:pPr>
        <w:ind w:right="102" w:firstLine="708"/>
        <w:rPr>
          <w:color w:val="auto"/>
          <w:lang w:val="en-CA"/>
        </w:rPr>
      </w:pPr>
      <w:r w:rsidRPr="006F4C9E">
        <w:rPr>
          <w:b/>
          <w:i/>
          <w:color w:val="auto"/>
          <w:lang w:val="en-CA"/>
        </w:rPr>
        <w:lastRenderedPageBreak/>
        <w:t>Trade openness (openness)</w:t>
      </w:r>
      <w:r w:rsidRPr="006F4C9E">
        <w:rPr>
          <w:i/>
          <w:color w:val="auto"/>
          <w:lang w:val="en-CA"/>
        </w:rPr>
        <w:t xml:space="preserve">: </w:t>
      </w:r>
      <w:r w:rsidRPr="006F4C9E">
        <w:rPr>
          <w:color w:val="auto"/>
          <w:lang w:val="en-CA"/>
        </w:rPr>
        <w:t xml:space="preserve">Openness is measured by the ratio of the sum of exports and imports to gross domestic product (Edwards 2006 and </w:t>
      </w:r>
      <w:proofErr w:type="spellStart"/>
      <w:r w:rsidRPr="006F4C9E">
        <w:rPr>
          <w:color w:val="auto"/>
          <w:lang w:val="en-CA"/>
        </w:rPr>
        <w:t>Baillu</w:t>
      </w:r>
      <w:proofErr w:type="spellEnd"/>
      <w:r w:rsidRPr="006F4C9E">
        <w:rPr>
          <w:color w:val="auto"/>
          <w:lang w:val="en-CA"/>
        </w:rPr>
        <w:t xml:space="preserve"> et al., 2003). </w:t>
      </w:r>
    </w:p>
    <w:p w14:paraId="2E17E1E2" w14:textId="77777777" w:rsidR="007563B7" w:rsidRPr="006F4C9E" w:rsidRDefault="007563B7" w:rsidP="007563B7">
      <w:pPr>
        <w:ind w:firstLine="708"/>
        <w:rPr>
          <w:color w:val="auto"/>
          <w:lang w:val="en-CA"/>
        </w:rPr>
      </w:pPr>
      <w:r w:rsidRPr="006F4C9E">
        <w:rPr>
          <w:b/>
          <w:i/>
          <w:color w:val="auto"/>
          <w:lang w:val="en-CA"/>
        </w:rPr>
        <w:t xml:space="preserve">External reserves </w:t>
      </w:r>
      <w:r w:rsidRPr="006F4C9E">
        <w:rPr>
          <w:b/>
          <w:color w:val="auto"/>
          <w:lang w:val="en-CA"/>
        </w:rPr>
        <w:t>(</w:t>
      </w:r>
      <w:proofErr w:type="spellStart"/>
      <w:r w:rsidRPr="006F4C9E">
        <w:rPr>
          <w:b/>
          <w:color w:val="auto"/>
          <w:lang w:val="en-CA"/>
        </w:rPr>
        <w:t>res_ext</w:t>
      </w:r>
      <w:proofErr w:type="spellEnd"/>
      <w:r w:rsidRPr="006F4C9E">
        <w:rPr>
          <w:b/>
          <w:color w:val="auto"/>
          <w:lang w:val="en-CA"/>
        </w:rPr>
        <w:t>)</w:t>
      </w:r>
      <w:r w:rsidRPr="006F4C9E">
        <w:rPr>
          <w:color w:val="auto"/>
          <w:lang w:val="en-CA"/>
        </w:rPr>
        <w:t xml:space="preserve">: is an indicator of the annual growth rate of total reserves (including gold). In addition, reserves allow the Central Bank to guarantee the external stability of the currency. </w:t>
      </w:r>
    </w:p>
    <w:p w14:paraId="65417071" w14:textId="77777777" w:rsidR="007563B7" w:rsidRPr="006F4C9E" w:rsidRDefault="007563B7" w:rsidP="007563B7">
      <w:pPr>
        <w:ind w:firstLine="708"/>
        <w:rPr>
          <w:color w:val="auto"/>
          <w:lang w:val="en-CA"/>
        </w:rPr>
      </w:pPr>
      <w:r w:rsidRPr="006F4C9E">
        <w:rPr>
          <w:b/>
          <w:i/>
          <w:color w:val="auto"/>
          <w:lang w:val="en-CA"/>
        </w:rPr>
        <w:t>Public expenditure (</w:t>
      </w:r>
      <w:proofErr w:type="spellStart"/>
      <w:r w:rsidRPr="006F4C9E">
        <w:rPr>
          <w:b/>
          <w:i/>
          <w:color w:val="auto"/>
          <w:lang w:val="en-CA"/>
        </w:rPr>
        <w:t>dep_pub</w:t>
      </w:r>
      <w:proofErr w:type="spellEnd"/>
      <w:r w:rsidRPr="006F4C9E">
        <w:rPr>
          <w:b/>
          <w:i/>
          <w:color w:val="auto"/>
          <w:lang w:val="en-CA"/>
        </w:rPr>
        <w:t>)</w:t>
      </w:r>
      <w:r w:rsidRPr="006F4C9E">
        <w:rPr>
          <w:b/>
          <w:color w:val="auto"/>
          <w:lang w:val="en-CA"/>
        </w:rPr>
        <w:t xml:space="preserve">: </w:t>
      </w:r>
      <w:r w:rsidRPr="006F4C9E">
        <w:rPr>
          <w:color w:val="auto"/>
          <w:lang w:val="en-CA"/>
        </w:rPr>
        <w:t xml:space="preserve">measures the annual growth rate of government expenditure relative to GDP (Calvo et al., 2003). </w:t>
      </w:r>
    </w:p>
    <w:p w14:paraId="1A839AFC" w14:textId="77777777" w:rsidR="007563B7" w:rsidRPr="006F4C9E" w:rsidRDefault="007563B7" w:rsidP="007563B7">
      <w:pPr>
        <w:ind w:left="761" w:firstLine="0"/>
        <w:rPr>
          <w:color w:val="auto"/>
          <w:lang w:val="en-CA"/>
        </w:rPr>
      </w:pPr>
      <w:r w:rsidRPr="006F4C9E">
        <w:rPr>
          <w:b/>
          <w:i/>
          <w:color w:val="auto"/>
          <w:lang w:val="en-CA"/>
        </w:rPr>
        <w:t>Population growth rate (</w:t>
      </w:r>
      <w:proofErr w:type="spellStart"/>
      <w:r w:rsidRPr="006F4C9E">
        <w:rPr>
          <w:b/>
          <w:i/>
          <w:color w:val="auto"/>
          <w:lang w:val="en-CA"/>
        </w:rPr>
        <w:t>croi_pop</w:t>
      </w:r>
      <w:proofErr w:type="spellEnd"/>
      <w:r w:rsidRPr="006F4C9E">
        <w:rPr>
          <w:b/>
          <w:i/>
          <w:color w:val="auto"/>
          <w:lang w:val="en-CA"/>
        </w:rPr>
        <w:t>)</w:t>
      </w:r>
      <w:r w:rsidRPr="006F4C9E">
        <w:rPr>
          <w:i/>
          <w:color w:val="auto"/>
          <w:lang w:val="en-CA"/>
        </w:rPr>
        <w:t xml:space="preserve">: </w:t>
      </w:r>
      <w:r w:rsidRPr="006F4C9E">
        <w:rPr>
          <w:color w:val="auto"/>
          <w:lang w:val="en-CA"/>
        </w:rPr>
        <w:t xml:space="preserve">This is captured here by the annual population growth rate. </w:t>
      </w:r>
    </w:p>
    <w:p w14:paraId="45DD79A8" w14:textId="77777777" w:rsidR="007563B7" w:rsidRPr="006F4C9E" w:rsidRDefault="007563B7" w:rsidP="007563B7">
      <w:pPr>
        <w:ind w:right="114" w:firstLine="708"/>
        <w:rPr>
          <w:color w:val="auto"/>
          <w:lang w:val="en-CA"/>
        </w:rPr>
      </w:pPr>
      <w:r w:rsidRPr="006F4C9E">
        <w:rPr>
          <w:b/>
          <w:i/>
          <w:color w:val="auto"/>
          <w:lang w:val="en-CA"/>
        </w:rPr>
        <w:t>Financial stability (</w:t>
      </w:r>
      <w:proofErr w:type="spellStart"/>
      <w:r w:rsidRPr="006F4C9E">
        <w:rPr>
          <w:b/>
          <w:i/>
          <w:color w:val="auto"/>
          <w:lang w:val="en-CA"/>
        </w:rPr>
        <w:t>stab_fin</w:t>
      </w:r>
      <w:proofErr w:type="spellEnd"/>
      <w:r w:rsidRPr="006F4C9E">
        <w:rPr>
          <w:b/>
          <w:i/>
          <w:color w:val="auto"/>
          <w:lang w:val="en-CA"/>
        </w:rPr>
        <w:t xml:space="preserve">): </w:t>
      </w:r>
      <w:r w:rsidRPr="006F4C9E">
        <w:rPr>
          <w:color w:val="auto"/>
          <w:lang w:val="en-CA"/>
        </w:rPr>
        <w:t>Measures the ratio of bank credit to domestic private sectors (</w:t>
      </w:r>
      <w:proofErr w:type="spellStart"/>
      <w:r w:rsidRPr="006F4C9E">
        <w:rPr>
          <w:color w:val="auto"/>
          <w:lang w:val="en-CA"/>
        </w:rPr>
        <w:t>Baillu</w:t>
      </w:r>
      <w:proofErr w:type="spellEnd"/>
      <w:r w:rsidRPr="006F4C9E">
        <w:rPr>
          <w:color w:val="auto"/>
          <w:lang w:val="en-CA"/>
        </w:rPr>
        <w:t xml:space="preserve"> et al., 2003).</w:t>
      </w:r>
      <w:r w:rsidRPr="006F4C9E">
        <w:rPr>
          <w:color w:val="auto"/>
          <w:sz w:val="22"/>
          <w:lang w:val="en-CA"/>
        </w:rPr>
        <w:t xml:space="preserve"> </w:t>
      </w:r>
    </w:p>
    <w:p w14:paraId="5C910024" w14:textId="77777777" w:rsidR="007563B7" w:rsidRPr="006F4C9E" w:rsidRDefault="007563B7" w:rsidP="007563B7">
      <w:pPr>
        <w:spacing w:after="35" w:line="246" w:lineRule="auto"/>
        <w:ind w:left="67" w:right="-15" w:hanging="10"/>
        <w:rPr>
          <w:color w:val="auto"/>
          <w:lang w:val="en-CA"/>
        </w:rPr>
      </w:pPr>
      <w:r w:rsidRPr="006F4C9E">
        <w:rPr>
          <w:b/>
          <w:color w:val="auto"/>
          <w:lang w:val="en-CA"/>
        </w:rPr>
        <w:t xml:space="preserve">2.3. The empirical model: justification and specification </w:t>
      </w:r>
    </w:p>
    <w:p w14:paraId="41BF4450" w14:textId="77777777" w:rsidR="007563B7" w:rsidRPr="006F4C9E" w:rsidRDefault="007563B7" w:rsidP="00971A0D">
      <w:pPr>
        <w:spacing w:after="0"/>
        <w:ind w:right="286" w:firstLine="708"/>
        <w:rPr>
          <w:color w:val="auto"/>
          <w:lang w:val="en-CA"/>
        </w:rPr>
      </w:pPr>
      <w:r w:rsidRPr="006F4C9E">
        <w:rPr>
          <w:color w:val="auto"/>
          <w:lang w:val="en-CA"/>
        </w:rPr>
        <w:t xml:space="preserve">The specification below is based on a combination of classical growth theories based on the studies of North (1991), anchored on the work of Hausmann Prichett de Rodrik (2004); Acemoglu et al, 2004, 2008, 2009), de </w:t>
      </w:r>
      <w:proofErr w:type="spellStart"/>
      <w:r w:rsidRPr="006F4C9E">
        <w:rPr>
          <w:color w:val="auto"/>
          <w:lang w:val="en-CA"/>
        </w:rPr>
        <w:t>Mijiyawa</w:t>
      </w:r>
      <w:proofErr w:type="spellEnd"/>
      <w:r w:rsidRPr="006F4C9E">
        <w:rPr>
          <w:color w:val="auto"/>
          <w:lang w:val="en-CA"/>
        </w:rPr>
        <w:t xml:space="preserve"> (2010); </w:t>
      </w:r>
      <w:proofErr w:type="spellStart"/>
      <w:r w:rsidRPr="006F4C9E">
        <w:rPr>
          <w:color w:val="auto"/>
          <w:lang w:val="en-CA"/>
        </w:rPr>
        <w:t>Benetrix</w:t>
      </w:r>
      <w:proofErr w:type="spellEnd"/>
      <w:r w:rsidRPr="006F4C9E">
        <w:rPr>
          <w:color w:val="auto"/>
          <w:lang w:val="en-CA"/>
        </w:rPr>
        <w:t xml:space="preserve"> Lane (2013); </w:t>
      </w:r>
      <w:proofErr w:type="spellStart"/>
      <w:r w:rsidRPr="006F4C9E">
        <w:rPr>
          <w:color w:val="auto"/>
          <w:lang w:val="en-CA"/>
        </w:rPr>
        <w:t>Bhanumurthy</w:t>
      </w:r>
      <w:proofErr w:type="spellEnd"/>
      <w:r w:rsidRPr="006F4C9E">
        <w:rPr>
          <w:color w:val="auto"/>
          <w:lang w:val="en-CA"/>
        </w:rPr>
        <w:t xml:space="preserve"> &amp; Mohanty, 2014 and Bobbo Amadou, (2016) </w:t>
      </w:r>
    </w:p>
    <w:p w14:paraId="61AC85BB" w14:textId="77777777" w:rsidR="007563B7" w:rsidRPr="006F4C9E" w:rsidRDefault="007563B7" w:rsidP="00971A0D">
      <w:pPr>
        <w:spacing w:after="0"/>
        <w:ind w:left="761" w:firstLine="0"/>
        <w:rPr>
          <w:color w:val="auto"/>
          <w:lang w:val="en-CA"/>
        </w:rPr>
      </w:pPr>
      <w:r w:rsidRPr="006F4C9E">
        <w:rPr>
          <w:color w:val="auto"/>
          <w:lang w:val="en-CA"/>
        </w:rPr>
        <w:t xml:space="preserve">Hence the basic model: </w:t>
      </w:r>
    </w:p>
    <w:p w14:paraId="32933A84" w14:textId="77777777" w:rsidR="007563B7" w:rsidRPr="006F4C9E" w:rsidRDefault="007563B7" w:rsidP="007563B7">
      <w:pPr>
        <w:ind w:right="329" w:firstLine="0"/>
        <w:rPr>
          <w:color w:val="auto"/>
          <w:lang w:val="en-CA"/>
        </w:rPr>
      </w:pPr>
      <w:r w:rsidRPr="006F4C9E">
        <w:rPr>
          <w:rFonts w:ascii="Cambria Math" w:eastAsia="Cambria Math" w:hAnsi="Cambria Math" w:cs="Cambria Math"/>
          <w:color w:val="auto"/>
        </w:rPr>
        <w:t>𝑆𝑡𝑎𝑏</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𝑃𝑟𝑖𝑥</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𝑆𝑡𝑎𝑏</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𝑃𝑟𝑖𝑥</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−1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 xml:space="preserve">0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1</w:t>
      </w:r>
      <w:r w:rsidRPr="006F4C9E">
        <w:rPr>
          <w:rFonts w:ascii="Cambria Math" w:eastAsia="Cambria Math" w:hAnsi="Cambria Math" w:cs="Cambria Math"/>
          <w:color w:val="auto"/>
        </w:rPr>
        <w:t>𝑠𝑡𝑎𝑏</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𝑝𝑟𝑖𝑥</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−1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𝛽𝑅𝐶</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𝛿𝐾</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𝜇</w:t>
      </w:r>
      <w:r w:rsidRPr="006F4C9E">
        <w:rPr>
          <w:rFonts w:ascii="Cambria Math" w:eastAsia="Cambria Math" w:hAnsi="Cambria Math" w:cs="Cambria Math"/>
          <w:color w:val="auto"/>
          <w:vertAlign w:val="subscript"/>
        </w:rPr>
        <w:t>𝑖</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𝑣</w:t>
      </w:r>
      <w:r w:rsidRPr="006F4C9E">
        <w:rPr>
          <w:rFonts w:ascii="Cambria Math" w:eastAsia="Cambria Math" w:hAnsi="Cambria Math" w:cs="Cambria Math"/>
          <w:color w:val="auto"/>
          <w:vertAlign w:val="subscript"/>
        </w:rPr>
        <w:t>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𝜂</w:t>
      </w:r>
      <w:r w:rsidRPr="006F4C9E">
        <w:rPr>
          <w:rFonts w:ascii="Cambria Math" w:eastAsia="Cambria Math" w:hAnsi="Cambria Math" w:cs="Cambria Math"/>
          <w:color w:val="auto"/>
          <w:vertAlign w:val="subscript"/>
        </w:rPr>
        <w:t>𝑖𝑡</w:t>
      </w:r>
      <w:r w:rsidRPr="006F4C9E">
        <w:rPr>
          <w:i/>
          <w:color w:val="auto"/>
          <w:lang w:val="en-CA"/>
        </w:rPr>
        <w:t xml:space="preserve">  </w:t>
      </w:r>
      <w:proofErr w:type="gramStart"/>
      <w:r w:rsidRPr="006F4C9E">
        <w:rPr>
          <w:i/>
          <w:color w:val="auto"/>
          <w:lang w:val="en-CA"/>
        </w:rPr>
        <w:t xml:space="preserve">   (</w:t>
      </w:r>
      <w:proofErr w:type="gramEnd"/>
      <w:r w:rsidRPr="006F4C9E">
        <w:rPr>
          <w:i/>
          <w:color w:val="auto"/>
          <w:lang w:val="en-CA"/>
        </w:rPr>
        <w:t xml:space="preserve">1)   </w:t>
      </w:r>
      <w:r w:rsidRPr="006F4C9E">
        <w:rPr>
          <w:color w:val="auto"/>
          <w:lang w:val="en-CA"/>
        </w:rPr>
        <w:t xml:space="preserve"> With t = 1987, 1988, 1989, 1990, .... 2017; </w:t>
      </w:r>
      <w:proofErr w:type="spellStart"/>
      <w:r w:rsidRPr="006F4C9E">
        <w:rPr>
          <w:color w:val="auto"/>
          <w:lang w:val="en-CA"/>
        </w:rPr>
        <w:t>i</w:t>
      </w:r>
      <w:proofErr w:type="spellEnd"/>
      <w:r w:rsidRPr="006F4C9E">
        <w:rPr>
          <w:color w:val="auto"/>
          <w:lang w:val="en-CA"/>
        </w:rPr>
        <w:t xml:space="preserve"> = 1,2, ...40 (SSA countries)  </w:t>
      </w:r>
    </w:p>
    <w:p w14:paraId="55389CCA" w14:textId="77777777" w:rsidR="007563B7" w:rsidRPr="006F4C9E" w:rsidRDefault="007563B7" w:rsidP="007563B7">
      <w:pPr>
        <w:ind w:firstLine="0"/>
        <w:rPr>
          <w:color w:val="auto"/>
          <w:lang w:val="en-CA"/>
        </w:rPr>
      </w:pPr>
      <w:r w:rsidRPr="006F4C9E">
        <w:rPr>
          <w:color w:val="auto"/>
          <w:lang w:val="en-CA"/>
        </w:rPr>
        <w:t xml:space="preserve">With 0 &lt; </w:t>
      </w:r>
      <w:r w:rsidRPr="006F4C9E">
        <w:rPr>
          <w:rFonts w:ascii="Calibri" w:eastAsia="Calibri" w:hAnsi="Calibri" w:cs="Calibri"/>
          <w:noProof/>
          <w:color w:val="auto"/>
          <w:sz w:val="22"/>
        </w:rPr>
        <w:drawing>
          <wp:inline distT="0" distB="0" distL="0" distR="0" wp14:anchorId="0F26717F" wp14:editId="50DCBCD9">
            <wp:extent cx="82550" cy="79375"/>
            <wp:effectExtent l="0" t="0" r="0" b="0"/>
            <wp:docPr id="26419" name="Picture 26419"/>
            <wp:cNvGraphicFramePr/>
            <a:graphic xmlns:a="http://schemas.openxmlformats.org/drawingml/2006/main">
              <a:graphicData uri="http://schemas.openxmlformats.org/drawingml/2006/picture">
                <pic:pic xmlns:pic="http://schemas.openxmlformats.org/drawingml/2006/picture">
                  <pic:nvPicPr>
                    <pic:cNvPr id="26419" name="Picture 26419"/>
                    <pic:cNvPicPr/>
                  </pic:nvPicPr>
                  <pic:blipFill>
                    <a:blip r:embed="rId8"/>
                    <a:stretch>
                      <a:fillRect/>
                    </a:stretch>
                  </pic:blipFill>
                  <pic:spPr>
                    <a:xfrm>
                      <a:off x="0" y="0"/>
                      <a:ext cx="82550" cy="79375"/>
                    </a:xfrm>
                    <a:prstGeom prst="rect">
                      <a:avLst/>
                    </a:prstGeom>
                  </pic:spPr>
                </pic:pic>
              </a:graphicData>
            </a:graphic>
          </wp:inline>
        </w:drawing>
      </w:r>
      <w:r w:rsidRPr="006F4C9E">
        <w:rPr>
          <w:color w:val="auto"/>
          <w:lang w:val="en-CA"/>
        </w:rPr>
        <w:t xml:space="preserve"> &lt; </w:t>
      </w:r>
      <w:proofErr w:type="gramStart"/>
      <w:r w:rsidRPr="006F4C9E">
        <w:rPr>
          <w:rFonts w:ascii="Cambria Math" w:eastAsia="Cambria Math" w:hAnsi="Cambria Math" w:cs="Cambria Math"/>
          <w:color w:val="auto"/>
          <w:lang w:val="en-CA"/>
        </w:rPr>
        <w:t xml:space="preserve">1 </w:t>
      </w:r>
      <w:r w:rsidRPr="006F4C9E">
        <w:rPr>
          <w:color w:val="auto"/>
          <w:lang w:val="en-CA"/>
        </w:rPr>
        <w:t>;</w:t>
      </w:r>
      <w:proofErr w:type="gramEnd"/>
      <w:r w:rsidRPr="006F4C9E">
        <w:rPr>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0</w:t>
      </w:r>
      <w:r w:rsidRPr="006F4C9E">
        <w:rPr>
          <w:rFonts w:ascii="Cambria Math" w:eastAsia="Cambria Math" w:hAnsi="Cambria Math" w:cs="Cambria Math"/>
          <w:color w:val="auto"/>
          <w:lang w:val="en-CA"/>
        </w:rPr>
        <w:t xml:space="preserve"> </w:t>
      </w:r>
      <w:r w:rsidRPr="006F4C9E">
        <w:rPr>
          <w:color w:val="auto"/>
          <w:lang w:val="en-CA"/>
        </w:rPr>
        <w:t xml:space="preserve">is the Constant; it = i.e. individual </w:t>
      </w:r>
      <w:proofErr w:type="spellStart"/>
      <w:r w:rsidRPr="006F4C9E">
        <w:rPr>
          <w:color w:val="auto"/>
          <w:lang w:val="en-CA"/>
        </w:rPr>
        <w:t>i</w:t>
      </w:r>
      <w:proofErr w:type="spellEnd"/>
      <w:r w:rsidRPr="006F4C9E">
        <w:rPr>
          <w:color w:val="auto"/>
          <w:lang w:val="en-CA"/>
        </w:rPr>
        <w:t xml:space="preserve"> at time t and </w:t>
      </w:r>
      <w:r w:rsidRPr="006F4C9E">
        <w:rPr>
          <w:color w:val="auto"/>
        </w:rPr>
        <w:t>α</w:t>
      </w:r>
      <w:r w:rsidRPr="006F4C9E">
        <w:rPr>
          <w:color w:val="auto"/>
          <w:lang w:val="en-CA"/>
        </w:rPr>
        <w:t xml:space="preserve">, </w:t>
      </w:r>
      <w:r w:rsidRPr="006F4C9E">
        <w:rPr>
          <w:color w:val="auto"/>
        </w:rPr>
        <w:t>β</w:t>
      </w:r>
      <w:r w:rsidRPr="006F4C9E">
        <w:rPr>
          <w:color w:val="auto"/>
          <w:lang w:val="en-CA"/>
        </w:rPr>
        <w:t xml:space="preserve">, </w:t>
      </w:r>
      <w:r w:rsidRPr="006F4C9E">
        <w:rPr>
          <w:color w:val="auto"/>
        </w:rPr>
        <w:t>δ</w:t>
      </w:r>
      <w:r w:rsidRPr="006F4C9E">
        <w:rPr>
          <w:color w:val="auto"/>
          <w:lang w:val="en-CA"/>
        </w:rPr>
        <w:t xml:space="preserve">, are parameters to be estimated. where: </w:t>
      </w:r>
    </w:p>
    <w:p w14:paraId="77E3CC1E" w14:textId="77777777" w:rsidR="007563B7" w:rsidRPr="006F4C9E" w:rsidRDefault="007563B7" w:rsidP="007563B7">
      <w:pPr>
        <w:numPr>
          <w:ilvl w:val="0"/>
          <w:numId w:val="3"/>
        </w:numPr>
        <w:ind w:hanging="360"/>
        <w:rPr>
          <w:color w:val="auto"/>
          <w:lang w:val="en-CA"/>
        </w:rPr>
      </w:pPr>
      <w:r w:rsidRPr="006F4C9E">
        <w:rPr>
          <w:rFonts w:ascii="Cambria Math" w:eastAsia="Cambria Math" w:hAnsi="Cambria Math" w:cs="Cambria Math"/>
          <w:color w:val="auto"/>
        </w:rPr>
        <w:t>𝑆𝑡𝑎𝑏</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𝑃𝑟𝑖𝑥</w:t>
      </w:r>
      <w:r w:rsidRPr="006F4C9E">
        <w:rPr>
          <w:rFonts w:ascii="Cambria Math" w:eastAsia="Cambria Math" w:hAnsi="Cambria Math" w:cs="Cambria Math"/>
          <w:color w:val="auto"/>
          <w:vertAlign w:val="subscript"/>
        </w:rPr>
        <w:t>𝑖𝑡</w:t>
      </w:r>
      <w:r w:rsidRPr="006F4C9E">
        <w:rPr>
          <w:color w:val="auto"/>
          <w:lang w:val="en-CA"/>
        </w:rPr>
        <w:t xml:space="preserve"> represents the variable to be explained (price stability "inflation"), </w:t>
      </w:r>
      <w:r w:rsidRPr="006F4C9E">
        <w:rPr>
          <w:rFonts w:ascii="Cambria Math" w:eastAsia="Cambria Math" w:hAnsi="Cambria Math" w:cs="Cambria Math"/>
          <w:color w:val="auto"/>
        </w:rPr>
        <w:t>𝑆𝑡𝑎𝑏</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𝑃𝑟𝑖𝑥</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−1</w:t>
      </w:r>
      <w:r w:rsidRPr="006F4C9E">
        <w:rPr>
          <w:color w:val="auto"/>
          <w:lang w:val="en-CA"/>
        </w:rPr>
        <w:t xml:space="preserve"> the logarithm of the lagged </w:t>
      </w:r>
      <w:proofErr w:type="gramStart"/>
      <w:r w:rsidRPr="006F4C9E">
        <w:rPr>
          <w:color w:val="auto"/>
          <w:lang w:val="en-CA"/>
        </w:rPr>
        <w:t>value;</w:t>
      </w:r>
      <w:proofErr w:type="gramEnd"/>
      <w:r w:rsidRPr="006F4C9E">
        <w:rPr>
          <w:color w:val="auto"/>
          <w:lang w:val="en-CA"/>
        </w:rPr>
        <w:t xml:space="preserve"> </w:t>
      </w:r>
    </w:p>
    <w:p w14:paraId="791A99D3" w14:textId="77777777" w:rsidR="007563B7" w:rsidRPr="006F4C9E" w:rsidRDefault="007563B7" w:rsidP="007563B7">
      <w:pPr>
        <w:numPr>
          <w:ilvl w:val="0"/>
          <w:numId w:val="3"/>
        </w:numPr>
        <w:ind w:hanging="360"/>
        <w:rPr>
          <w:color w:val="auto"/>
          <w:lang w:val="en-CA"/>
        </w:rPr>
      </w:pPr>
      <w:r w:rsidRPr="006F4C9E">
        <w:rPr>
          <w:rFonts w:ascii="Cambria Math" w:eastAsia="Cambria Math" w:hAnsi="Cambria Math" w:cs="Cambria Math"/>
          <w:color w:val="auto"/>
        </w:rPr>
        <w:t>𝑅𝐶</w:t>
      </w:r>
      <w:r w:rsidRPr="006F4C9E">
        <w:rPr>
          <w:rFonts w:ascii="Cambria Math" w:eastAsia="Cambria Math" w:hAnsi="Cambria Math" w:cs="Cambria Math"/>
          <w:color w:val="auto"/>
          <w:vertAlign w:val="subscript"/>
        </w:rPr>
        <w:t>𝑖𝑡</w:t>
      </w:r>
      <w:r w:rsidRPr="006F4C9E">
        <w:rPr>
          <w:color w:val="auto"/>
          <w:lang w:val="en-CA"/>
        </w:rPr>
        <w:t xml:space="preserve"> represents the set of dummy variables of the exchange rate regimes according to their classification in period </w:t>
      </w:r>
      <w:proofErr w:type="gramStart"/>
      <w:r w:rsidRPr="006F4C9E">
        <w:rPr>
          <w:color w:val="auto"/>
          <w:lang w:val="en-CA"/>
        </w:rPr>
        <w:t>t;</w:t>
      </w:r>
      <w:proofErr w:type="gramEnd"/>
      <w:r w:rsidRPr="006F4C9E">
        <w:rPr>
          <w:color w:val="auto"/>
          <w:lang w:val="en-CA"/>
        </w:rPr>
        <w:t xml:space="preserve"> </w:t>
      </w:r>
    </w:p>
    <w:p w14:paraId="0C8C2878" w14:textId="77777777" w:rsidR="007563B7" w:rsidRPr="006F4C9E" w:rsidRDefault="007563B7" w:rsidP="007563B7">
      <w:pPr>
        <w:numPr>
          <w:ilvl w:val="0"/>
          <w:numId w:val="3"/>
        </w:numPr>
        <w:ind w:hanging="360"/>
        <w:rPr>
          <w:color w:val="auto"/>
          <w:lang w:val="en-CA"/>
        </w:rPr>
      </w:pPr>
      <w:proofErr w:type="gramStart"/>
      <w:r w:rsidRPr="006F4C9E">
        <w:rPr>
          <w:rFonts w:ascii="Cambria Math" w:eastAsia="Cambria Math" w:hAnsi="Cambria Math" w:cs="Cambria Math"/>
          <w:color w:val="auto"/>
        </w:rPr>
        <w:t>𝐾</w:t>
      </w:r>
      <w:r w:rsidRPr="006F4C9E">
        <w:rPr>
          <w:rFonts w:ascii="Cambria Math" w:eastAsia="Cambria Math" w:hAnsi="Cambria Math" w:cs="Cambria Math"/>
          <w:color w:val="auto"/>
          <w:vertAlign w:val="subscript"/>
        </w:rPr>
        <w:t>𝑖𝑡</w:t>
      </w:r>
      <w:proofErr w:type="gramEnd"/>
      <w:r w:rsidRPr="006F4C9E">
        <w:rPr>
          <w:color w:val="auto"/>
          <w:lang w:val="en-CA"/>
        </w:rPr>
        <w:t xml:space="preserve"> a vector of conditional information variables associated with the other factors that control our dependent variables.  </w:t>
      </w:r>
    </w:p>
    <w:p w14:paraId="77F93DF6" w14:textId="77777777" w:rsidR="007563B7" w:rsidRPr="006F4C9E" w:rsidRDefault="007563B7" w:rsidP="007563B7">
      <w:pPr>
        <w:ind w:right="287" w:firstLine="708"/>
        <w:rPr>
          <w:color w:val="auto"/>
          <w:lang w:val="en-CA"/>
        </w:rPr>
      </w:pPr>
      <w:r w:rsidRPr="006F4C9E">
        <w:rPr>
          <w:color w:val="auto"/>
          <w:lang w:val="en-CA"/>
        </w:rPr>
        <w:t>This modelling has the advantage and merit of taking into account the effect of unobservable quantities on the variable we are trying to explain (</w:t>
      </w:r>
      <w:proofErr w:type="spellStart"/>
      <w:r w:rsidRPr="006F4C9E">
        <w:rPr>
          <w:color w:val="auto"/>
          <w:lang w:val="en-CA"/>
        </w:rPr>
        <w:t>Sevestre</w:t>
      </w:r>
      <w:proofErr w:type="spellEnd"/>
      <w:r w:rsidRPr="006F4C9E">
        <w:rPr>
          <w:color w:val="auto"/>
          <w:lang w:val="en-CA"/>
        </w:rPr>
        <w:t xml:space="preserve">, 2002), and finally </w:t>
      </w:r>
      <w:r w:rsidRPr="006F4C9E">
        <w:rPr>
          <w:rFonts w:ascii="Cambria Math" w:eastAsia="Cambria Math" w:hAnsi="Cambria Math" w:cs="Cambria Math"/>
          <w:color w:val="auto"/>
          <w:vertAlign w:val="subscript"/>
        </w:rPr>
        <w:t>𝑖𝑡</w:t>
      </w:r>
      <w:r w:rsidRPr="006F4C9E">
        <w:rPr>
          <w:color w:val="auto"/>
          <w:lang w:val="en-CA"/>
        </w:rPr>
        <w:t xml:space="preserve"> is the error term which is white noise. Its bass form is simply </w:t>
      </w:r>
      <w:proofErr w:type="gramStart"/>
      <w:r w:rsidRPr="006F4C9E">
        <w:rPr>
          <w:color w:val="auto"/>
          <w:lang w:val="en-CA"/>
        </w:rPr>
        <w:t>written :</w:t>
      </w:r>
      <w:proofErr w:type="gramEnd"/>
      <w:r w:rsidRPr="006F4C9E">
        <w:rPr>
          <w:color w:val="auto"/>
          <w:lang w:val="en-CA"/>
        </w:rPr>
        <w:t xml:space="preserve"> </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𝜇</w:t>
      </w:r>
      <w:r w:rsidRPr="006F4C9E">
        <w:rPr>
          <w:rFonts w:ascii="Cambria Math" w:eastAsia="Cambria Math" w:hAnsi="Cambria Math" w:cs="Cambria Math"/>
          <w:color w:val="auto"/>
          <w:vertAlign w:val="subscript"/>
        </w:rPr>
        <w:t>𝑖</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𝑣</w:t>
      </w:r>
      <w:r w:rsidRPr="006F4C9E">
        <w:rPr>
          <w:rFonts w:ascii="Cambria Math" w:eastAsia="Cambria Math" w:hAnsi="Cambria Math" w:cs="Cambria Math"/>
          <w:color w:val="auto"/>
          <w:vertAlign w:val="subscript"/>
        </w:rPr>
        <w:t>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𝜂</w:t>
      </w:r>
      <w:r w:rsidRPr="006F4C9E">
        <w:rPr>
          <w:rFonts w:ascii="Cambria Math" w:eastAsia="Cambria Math" w:hAnsi="Cambria Math" w:cs="Cambria Math"/>
          <w:color w:val="auto"/>
          <w:vertAlign w:val="subscript"/>
        </w:rPr>
        <w:t>𝑖𝑡</w:t>
      </w:r>
      <w:r w:rsidRPr="006F4C9E">
        <w:rPr>
          <w:i/>
          <w:color w:val="auto"/>
          <w:lang w:val="en-CA"/>
        </w:rPr>
        <w:t xml:space="preserve">             (2) </w:t>
      </w:r>
      <w:r w:rsidRPr="006F4C9E">
        <w:rPr>
          <w:color w:val="auto"/>
          <w:lang w:val="en-CA"/>
        </w:rPr>
        <w:t xml:space="preserve"> </w:t>
      </w:r>
    </w:p>
    <w:p w14:paraId="2FCAF350" w14:textId="77777777" w:rsidR="007563B7" w:rsidRPr="006F4C9E" w:rsidRDefault="007563B7" w:rsidP="007563B7">
      <w:pPr>
        <w:spacing w:after="204"/>
        <w:ind w:firstLine="0"/>
        <w:rPr>
          <w:color w:val="auto"/>
          <w:lang w:val="en-CA"/>
        </w:rPr>
      </w:pPr>
      <w:r w:rsidRPr="006F4C9E">
        <w:rPr>
          <w:color w:val="auto"/>
          <w:lang w:val="en-CA"/>
        </w:rPr>
        <w:t xml:space="preserve">Where </w:t>
      </w:r>
      <w:r w:rsidRPr="006F4C9E">
        <w:rPr>
          <w:rFonts w:ascii="Cambria Math" w:eastAsia="Cambria Math" w:hAnsi="Cambria Math" w:cs="Cambria Math"/>
          <w:color w:val="auto"/>
        </w:rPr>
        <w:t>𝜇</w:t>
      </w:r>
      <w:r w:rsidRPr="006F4C9E">
        <w:rPr>
          <w:rFonts w:ascii="Cambria Math" w:eastAsia="Cambria Math" w:hAnsi="Cambria Math" w:cs="Cambria Math"/>
          <w:color w:val="auto"/>
          <w:vertAlign w:val="subscript"/>
        </w:rPr>
        <w:t>𝑖</w:t>
      </w:r>
      <w:r w:rsidRPr="006F4C9E">
        <w:rPr>
          <w:color w:val="auto"/>
          <w:lang w:val="en-CA"/>
        </w:rPr>
        <w:t xml:space="preserve"> is a constant term over time, depending only on individual </w:t>
      </w:r>
      <w:proofErr w:type="spellStart"/>
      <w:proofErr w:type="gramStart"/>
      <w:r w:rsidRPr="006F4C9E">
        <w:rPr>
          <w:color w:val="auto"/>
          <w:lang w:val="en-CA"/>
        </w:rPr>
        <w:t>i</w:t>
      </w:r>
      <w:proofErr w:type="spellEnd"/>
      <w:r w:rsidRPr="006F4C9E">
        <w:rPr>
          <w:color w:val="auto"/>
          <w:lang w:val="en-CA"/>
        </w:rPr>
        <w:t xml:space="preserve"> ;</w:t>
      </w:r>
      <w:proofErr w:type="gramEnd"/>
      <w:r w:rsidRPr="006F4C9E">
        <w:rPr>
          <w:color w:val="auto"/>
          <w:lang w:val="en-CA"/>
        </w:rPr>
        <w:t xml:space="preserve"> </w:t>
      </w:r>
      <w:r w:rsidRPr="006F4C9E">
        <w:rPr>
          <w:rFonts w:ascii="Cambria Math" w:eastAsia="Cambria Math" w:hAnsi="Cambria Math" w:cs="Cambria Math"/>
          <w:color w:val="auto"/>
        </w:rPr>
        <w:t>𝑣</w:t>
      </w:r>
      <w:r w:rsidRPr="006F4C9E">
        <w:rPr>
          <w:rFonts w:ascii="Cambria Math" w:eastAsia="Cambria Math" w:hAnsi="Cambria Math" w:cs="Cambria Math"/>
          <w:color w:val="auto"/>
          <w:vertAlign w:val="subscript"/>
        </w:rPr>
        <w:t>𝑡</w:t>
      </w:r>
      <w:r w:rsidRPr="006F4C9E">
        <w:rPr>
          <w:color w:val="auto"/>
          <w:lang w:val="en-CA"/>
        </w:rPr>
        <w:t xml:space="preserve"> a term depending only on the period t and </w:t>
      </w:r>
      <w:r w:rsidRPr="006F4C9E">
        <w:rPr>
          <w:rFonts w:ascii="Cambria Math" w:eastAsia="Cambria Math" w:hAnsi="Cambria Math" w:cs="Cambria Math"/>
          <w:color w:val="auto"/>
        </w:rPr>
        <w:t>𝜂</w:t>
      </w:r>
      <w:r w:rsidRPr="006F4C9E">
        <w:rPr>
          <w:rFonts w:ascii="Cambria Math" w:eastAsia="Cambria Math" w:hAnsi="Cambria Math" w:cs="Cambria Math"/>
          <w:color w:val="auto"/>
          <w:vertAlign w:val="subscript"/>
        </w:rPr>
        <w:t>𝑖𝑡</w:t>
      </w:r>
      <w:r w:rsidRPr="006F4C9E">
        <w:rPr>
          <w:color w:val="auto"/>
          <w:lang w:val="en-CA"/>
        </w:rPr>
        <w:t xml:space="preserve"> a random cross term. </w:t>
      </w:r>
    </w:p>
    <w:p w14:paraId="17E5221A" w14:textId="77777777" w:rsidR="007563B7" w:rsidRPr="006F4C9E" w:rsidRDefault="00920E05" w:rsidP="007563B7">
      <w:pPr>
        <w:spacing w:after="35" w:line="246" w:lineRule="auto"/>
        <w:ind w:left="67" w:right="-15" w:hanging="10"/>
        <w:rPr>
          <w:color w:val="auto"/>
          <w:lang w:val="en-CA"/>
        </w:rPr>
      </w:pPr>
      <w:r w:rsidRPr="006F4C9E">
        <w:rPr>
          <w:b/>
          <w:color w:val="auto"/>
          <w:lang w:val="en-CA"/>
        </w:rPr>
        <w:t>2.4</w:t>
      </w:r>
      <w:r w:rsidR="007563B7" w:rsidRPr="006F4C9E">
        <w:rPr>
          <w:b/>
          <w:color w:val="auto"/>
          <w:lang w:val="en-CA"/>
        </w:rPr>
        <w:t>. Presentation of the basic model involving the interaction of institutional indices and exchange rate regimes</w:t>
      </w:r>
      <w:r w:rsidR="007563B7" w:rsidRPr="006F4C9E">
        <w:rPr>
          <w:i/>
          <w:color w:val="auto"/>
          <w:lang w:val="en-CA"/>
        </w:rPr>
        <w:t xml:space="preserve"> </w:t>
      </w:r>
    </w:p>
    <w:p w14:paraId="4C59F159" w14:textId="77777777" w:rsidR="007563B7" w:rsidRPr="006F4C9E" w:rsidRDefault="007563B7" w:rsidP="007563B7">
      <w:pPr>
        <w:ind w:right="287" w:firstLine="360"/>
        <w:rPr>
          <w:color w:val="auto"/>
          <w:lang w:val="en-CA"/>
        </w:rPr>
      </w:pPr>
      <w:r w:rsidRPr="006F4C9E">
        <w:rPr>
          <w:color w:val="auto"/>
          <w:lang w:val="en-CA"/>
        </w:rPr>
        <w:t>In order to relate the effects of exchange rate regimes and institutions on price stability, we will follow the approach of Mankiw et al (1992), De Gregorio (1992) and Barro and Sala-</w:t>
      </w:r>
      <w:proofErr w:type="spellStart"/>
      <w:r w:rsidRPr="006F4C9E">
        <w:rPr>
          <w:color w:val="auto"/>
          <w:lang w:val="en-CA"/>
        </w:rPr>
        <w:t>i</w:t>
      </w:r>
      <w:proofErr w:type="spellEnd"/>
      <w:r w:rsidRPr="006F4C9E">
        <w:rPr>
          <w:color w:val="auto"/>
          <w:lang w:val="en-CA"/>
        </w:rPr>
        <w:t xml:space="preserve">-Martin (1995). We assume a Cobb-Douglas production function whose output at time (t) is given by: </w:t>
      </w:r>
    </w:p>
    <w:p w14:paraId="318CBC20" w14:textId="77777777" w:rsidR="007563B7" w:rsidRPr="006F4C9E" w:rsidRDefault="007563B7" w:rsidP="007563B7">
      <w:pPr>
        <w:ind w:firstLine="0"/>
        <w:rPr>
          <w:color w:val="auto"/>
          <w:lang w:val="en-CA"/>
        </w:rPr>
      </w:pPr>
      <w:r w:rsidRPr="006F4C9E">
        <w:rPr>
          <w:rFonts w:ascii="Calibri" w:eastAsia="Calibri" w:hAnsi="Calibri" w:cs="Calibri"/>
          <w:noProof/>
          <w:color w:val="auto"/>
          <w:position w:val="-7"/>
          <w:sz w:val="22"/>
        </w:rPr>
        <w:drawing>
          <wp:inline distT="0" distB="0" distL="0" distR="0" wp14:anchorId="3F45B503" wp14:editId="703E084E">
            <wp:extent cx="806450" cy="203200"/>
            <wp:effectExtent l="0" t="0" r="0" b="0"/>
            <wp:docPr id="26420" name="Picture 26420"/>
            <wp:cNvGraphicFramePr/>
            <a:graphic xmlns:a="http://schemas.openxmlformats.org/drawingml/2006/main">
              <a:graphicData uri="http://schemas.openxmlformats.org/drawingml/2006/picture">
                <pic:pic xmlns:pic="http://schemas.openxmlformats.org/drawingml/2006/picture">
                  <pic:nvPicPr>
                    <pic:cNvPr id="26420" name="Picture 26420"/>
                    <pic:cNvPicPr/>
                  </pic:nvPicPr>
                  <pic:blipFill>
                    <a:blip r:embed="rId9"/>
                    <a:stretch>
                      <a:fillRect/>
                    </a:stretch>
                  </pic:blipFill>
                  <pic:spPr>
                    <a:xfrm>
                      <a:off x="0" y="0"/>
                      <a:ext cx="806450" cy="203200"/>
                    </a:xfrm>
                    <a:prstGeom prst="rect">
                      <a:avLst/>
                    </a:prstGeom>
                  </pic:spPr>
                </pic:pic>
              </a:graphicData>
            </a:graphic>
          </wp:inline>
        </w:drawing>
      </w:r>
      <w:r w:rsidRPr="006F4C9E">
        <w:rPr>
          <w:color w:val="auto"/>
          <w:lang w:val="en-CA"/>
        </w:rPr>
        <w:t xml:space="preserve">                                                    (3) </w:t>
      </w:r>
    </w:p>
    <w:p w14:paraId="7F19D477" w14:textId="77777777" w:rsidR="007563B7" w:rsidRPr="006F4C9E" w:rsidRDefault="007563B7" w:rsidP="007563B7">
      <w:pPr>
        <w:ind w:firstLine="0"/>
        <w:rPr>
          <w:color w:val="auto"/>
          <w:lang w:val="en-CA"/>
        </w:rPr>
      </w:pPr>
      <w:r w:rsidRPr="006F4C9E">
        <w:rPr>
          <w:color w:val="auto"/>
          <w:lang w:val="en-CA"/>
        </w:rPr>
        <w:t xml:space="preserve">With 0 &lt; </w:t>
      </w:r>
      <w:r w:rsidRPr="006F4C9E">
        <w:rPr>
          <w:rFonts w:ascii="Calibri" w:eastAsia="Calibri" w:hAnsi="Calibri" w:cs="Calibri"/>
          <w:noProof/>
          <w:color w:val="auto"/>
          <w:position w:val="-2"/>
          <w:sz w:val="22"/>
        </w:rPr>
        <w:drawing>
          <wp:inline distT="0" distB="0" distL="0" distR="0" wp14:anchorId="16D19ED6" wp14:editId="02C72D05">
            <wp:extent cx="85725" cy="79375"/>
            <wp:effectExtent l="0" t="0" r="0" b="0"/>
            <wp:docPr id="26421" name="Picture 26421"/>
            <wp:cNvGraphicFramePr/>
            <a:graphic xmlns:a="http://schemas.openxmlformats.org/drawingml/2006/main">
              <a:graphicData uri="http://schemas.openxmlformats.org/drawingml/2006/picture">
                <pic:pic xmlns:pic="http://schemas.openxmlformats.org/drawingml/2006/picture">
                  <pic:nvPicPr>
                    <pic:cNvPr id="26421" name="Picture 26421"/>
                    <pic:cNvPicPr/>
                  </pic:nvPicPr>
                  <pic:blipFill>
                    <a:blip r:embed="rId10"/>
                    <a:stretch>
                      <a:fillRect/>
                    </a:stretch>
                  </pic:blipFill>
                  <pic:spPr>
                    <a:xfrm>
                      <a:off x="0" y="0"/>
                      <a:ext cx="85725" cy="79375"/>
                    </a:xfrm>
                    <a:prstGeom prst="rect">
                      <a:avLst/>
                    </a:prstGeom>
                  </pic:spPr>
                </pic:pic>
              </a:graphicData>
            </a:graphic>
          </wp:inline>
        </w:drawing>
      </w:r>
      <w:r w:rsidRPr="006F4C9E">
        <w:rPr>
          <w:color w:val="auto"/>
          <w:lang w:val="en-CA"/>
        </w:rPr>
        <w:t xml:space="preserve"> </w:t>
      </w:r>
      <w:r w:rsidRPr="006F4C9E">
        <w:rPr>
          <w:rFonts w:ascii="Cambria Math" w:eastAsia="Cambria Math" w:hAnsi="Cambria Math" w:cs="Cambria Math"/>
          <w:color w:val="auto"/>
          <w:lang w:val="en-CA"/>
        </w:rPr>
        <w:t xml:space="preserve">&lt; </w:t>
      </w:r>
      <w:r w:rsidRPr="006F4C9E">
        <w:rPr>
          <w:color w:val="auto"/>
          <w:lang w:val="en-CA"/>
        </w:rPr>
        <w:t xml:space="preserve">1 and </w:t>
      </w:r>
      <w:proofErr w:type="gramStart"/>
      <w:r w:rsidRPr="006F4C9E">
        <w:rPr>
          <w:color w:val="auto"/>
          <w:lang w:val="en-CA"/>
        </w:rPr>
        <w:t>With</w:t>
      </w:r>
      <w:proofErr w:type="gramEnd"/>
      <w:r w:rsidRPr="006F4C9E">
        <w:rPr>
          <w:color w:val="auto"/>
          <w:lang w:val="en-CA"/>
        </w:rPr>
        <w:t xml:space="preserve"> 0 &lt; </w:t>
      </w:r>
      <w:r w:rsidRPr="006F4C9E">
        <w:rPr>
          <w:rFonts w:ascii="Calibri" w:eastAsia="Calibri" w:hAnsi="Calibri" w:cs="Calibri"/>
          <w:noProof/>
          <w:color w:val="auto"/>
          <w:position w:val="-2"/>
          <w:sz w:val="22"/>
        </w:rPr>
        <w:drawing>
          <wp:inline distT="0" distB="0" distL="0" distR="0" wp14:anchorId="2E16D1EA" wp14:editId="3C7FC139">
            <wp:extent cx="82550" cy="79375"/>
            <wp:effectExtent l="0" t="0" r="0" b="0"/>
            <wp:docPr id="26422" name="Picture 26422"/>
            <wp:cNvGraphicFramePr/>
            <a:graphic xmlns:a="http://schemas.openxmlformats.org/drawingml/2006/main">
              <a:graphicData uri="http://schemas.openxmlformats.org/drawingml/2006/picture">
                <pic:pic xmlns:pic="http://schemas.openxmlformats.org/drawingml/2006/picture">
                  <pic:nvPicPr>
                    <pic:cNvPr id="26422" name="Picture 26422"/>
                    <pic:cNvPicPr/>
                  </pic:nvPicPr>
                  <pic:blipFill>
                    <a:blip r:embed="rId11"/>
                    <a:stretch>
                      <a:fillRect/>
                    </a:stretch>
                  </pic:blipFill>
                  <pic:spPr>
                    <a:xfrm>
                      <a:off x="0" y="0"/>
                      <a:ext cx="82550" cy="79375"/>
                    </a:xfrm>
                    <a:prstGeom prst="rect">
                      <a:avLst/>
                    </a:prstGeom>
                  </pic:spPr>
                </pic:pic>
              </a:graphicData>
            </a:graphic>
          </wp:inline>
        </w:drawing>
      </w:r>
      <w:r w:rsidRPr="006F4C9E">
        <w:rPr>
          <w:color w:val="auto"/>
          <w:lang w:val="en-CA"/>
        </w:rPr>
        <w:t xml:space="preserve"> &lt; 1  </w:t>
      </w:r>
    </w:p>
    <w:p w14:paraId="1CF8C5F4" w14:textId="77777777" w:rsidR="007563B7" w:rsidRPr="006F4C9E" w:rsidRDefault="007563B7" w:rsidP="007563B7">
      <w:pPr>
        <w:ind w:firstLine="0"/>
        <w:rPr>
          <w:color w:val="auto"/>
          <w:lang w:val="en-CA"/>
        </w:rPr>
      </w:pPr>
      <w:r w:rsidRPr="006F4C9E">
        <w:rPr>
          <w:color w:val="auto"/>
          <w:lang w:val="en-CA"/>
        </w:rPr>
        <w:t xml:space="preserve">Y: is the product, K: capital, L: labour and A: the level of technology. L and A are assumed to grow at exogenous rates (n) and (g): </w:t>
      </w:r>
    </w:p>
    <w:p w14:paraId="0ECEEAB3" w14:textId="77777777" w:rsidR="007563B7" w:rsidRPr="006F4C9E" w:rsidRDefault="007563B7" w:rsidP="007563B7">
      <w:pPr>
        <w:spacing w:after="2" w:line="237" w:lineRule="auto"/>
        <w:ind w:left="67" w:hanging="10"/>
        <w:rPr>
          <w:color w:val="auto"/>
          <w:lang w:val="en-CA"/>
        </w:rPr>
      </w:pPr>
      <w:r w:rsidRPr="006F4C9E">
        <w:rPr>
          <w:rFonts w:ascii="Cambria Math" w:eastAsia="Cambria Math" w:hAnsi="Cambria Math" w:cs="Cambria Math"/>
          <w:color w:val="auto"/>
        </w:rPr>
        <w:t>𝐿</w:t>
      </w:r>
      <w:r w:rsidRPr="006F4C9E">
        <w:rPr>
          <w:rFonts w:ascii="Cambria Math" w:eastAsia="Cambria Math" w:hAnsi="Cambria Math" w:cs="Cambria Math"/>
          <w:color w:val="auto"/>
          <w:vertAlign w:val="subscript"/>
        </w:rPr>
        <w:t>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𝐿</w:t>
      </w:r>
      <w:r w:rsidRPr="006F4C9E">
        <w:rPr>
          <w:rFonts w:ascii="Cambria Math" w:eastAsia="Cambria Math" w:hAnsi="Cambria Math" w:cs="Cambria Math"/>
          <w:color w:val="auto"/>
          <w:vertAlign w:val="subscript"/>
          <w:lang w:val="en-CA"/>
        </w:rPr>
        <w:t>0</w:t>
      </w:r>
      <w:r w:rsidRPr="006F4C9E">
        <w:rPr>
          <w:rFonts w:ascii="Cambria Math" w:eastAsia="Cambria Math" w:hAnsi="Cambria Math" w:cs="Cambria Math"/>
          <w:color w:val="auto"/>
        </w:rPr>
        <w:t>𝑒</w:t>
      </w:r>
      <w:r w:rsidRPr="006F4C9E">
        <w:rPr>
          <w:rFonts w:ascii="Cambria Math" w:eastAsia="Cambria Math" w:hAnsi="Cambria Math" w:cs="Cambria Math"/>
          <w:color w:val="auto"/>
          <w:vertAlign w:val="superscript"/>
        </w:rPr>
        <w:t>𝑛𝑡</w:t>
      </w:r>
      <w:r w:rsidRPr="006F4C9E">
        <w:rPr>
          <w:i/>
          <w:color w:val="auto"/>
          <w:lang w:val="en-CA"/>
        </w:rPr>
        <w:t xml:space="preserve">                                                           </w:t>
      </w:r>
      <w:proofErr w:type="gramStart"/>
      <w:r w:rsidRPr="006F4C9E">
        <w:rPr>
          <w:i/>
          <w:color w:val="auto"/>
          <w:lang w:val="en-CA"/>
        </w:rPr>
        <w:t xml:space="preserve">   (</w:t>
      </w:r>
      <w:proofErr w:type="gramEnd"/>
      <w:r w:rsidRPr="006F4C9E">
        <w:rPr>
          <w:i/>
          <w:color w:val="auto"/>
          <w:lang w:val="en-CA"/>
        </w:rPr>
        <w:t>3.1)</w:t>
      </w:r>
      <w:r w:rsidRPr="006F4C9E">
        <w:rPr>
          <w:color w:val="auto"/>
          <w:lang w:val="en-CA"/>
        </w:rPr>
        <w:t xml:space="preserve"> </w:t>
      </w:r>
    </w:p>
    <w:p w14:paraId="330E8C53" w14:textId="77777777" w:rsidR="007563B7" w:rsidRPr="006F4C9E" w:rsidRDefault="007563B7" w:rsidP="007563B7">
      <w:pPr>
        <w:spacing w:after="2" w:line="237" w:lineRule="auto"/>
        <w:ind w:left="67" w:hanging="10"/>
        <w:rPr>
          <w:color w:val="auto"/>
          <w:lang w:val="en-CA"/>
        </w:rPr>
      </w:pPr>
      <w:r w:rsidRPr="006F4C9E">
        <w:rPr>
          <w:rFonts w:ascii="Cambria Math" w:eastAsia="Cambria Math" w:hAnsi="Cambria Math" w:cs="Cambria Math"/>
          <w:color w:val="auto"/>
        </w:rPr>
        <w:t>𝐴</w:t>
      </w:r>
      <w:r w:rsidRPr="006F4C9E">
        <w:rPr>
          <w:rFonts w:ascii="Cambria Math" w:eastAsia="Cambria Math" w:hAnsi="Cambria Math" w:cs="Cambria Math"/>
          <w:color w:val="auto"/>
          <w:vertAlign w:val="subscript"/>
        </w:rPr>
        <w:t>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𝐴</w:t>
      </w:r>
      <w:r w:rsidRPr="006F4C9E">
        <w:rPr>
          <w:rFonts w:ascii="Cambria Math" w:eastAsia="Cambria Math" w:hAnsi="Cambria Math" w:cs="Cambria Math"/>
          <w:color w:val="auto"/>
          <w:vertAlign w:val="subscript"/>
          <w:lang w:val="en-CA"/>
        </w:rPr>
        <w:t>0</w:t>
      </w:r>
      <w:r w:rsidRPr="006F4C9E">
        <w:rPr>
          <w:rFonts w:ascii="Cambria Math" w:eastAsia="Cambria Math" w:hAnsi="Cambria Math" w:cs="Cambria Math"/>
          <w:color w:val="auto"/>
        </w:rPr>
        <w:t>𝑒</w:t>
      </w:r>
      <w:r w:rsidRPr="006F4C9E">
        <w:rPr>
          <w:rFonts w:ascii="Cambria Math" w:eastAsia="Cambria Math" w:hAnsi="Cambria Math" w:cs="Cambria Math"/>
          <w:color w:val="auto"/>
          <w:vertAlign w:val="superscript"/>
        </w:rPr>
        <w:t>𝑔𝑡</w:t>
      </w:r>
      <w:r w:rsidRPr="006F4C9E">
        <w:rPr>
          <w:i/>
          <w:color w:val="auto"/>
          <w:lang w:val="en-CA"/>
        </w:rPr>
        <w:t xml:space="preserve">                                                          </w:t>
      </w:r>
      <w:proofErr w:type="gramStart"/>
      <w:r w:rsidRPr="006F4C9E">
        <w:rPr>
          <w:i/>
          <w:color w:val="auto"/>
          <w:lang w:val="en-CA"/>
        </w:rPr>
        <w:t xml:space="preserve">   (</w:t>
      </w:r>
      <w:proofErr w:type="gramEnd"/>
      <w:r w:rsidRPr="006F4C9E">
        <w:rPr>
          <w:i/>
          <w:color w:val="auto"/>
          <w:lang w:val="en-CA"/>
        </w:rPr>
        <w:t>3.2)</w:t>
      </w:r>
      <w:r w:rsidRPr="006F4C9E">
        <w:rPr>
          <w:color w:val="auto"/>
          <w:lang w:val="en-CA"/>
        </w:rPr>
        <w:t xml:space="preserve"> </w:t>
      </w:r>
    </w:p>
    <w:p w14:paraId="502A27F0" w14:textId="77777777" w:rsidR="007563B7" w:rsidRPr="006F4C9E" w:rsidRDefault="007563B7" w:rsidP="007563B7">
      <w:pPr>
        <w:spacing w:line="350" w:lineRule="auto"/>
        <w:ind w:right="286" w:firstLine="0"/>
        <w:rPr>
          <w:color w:val="auto"/>
          <w:lang w:val="en-CA"/>
        </w:rPr>
      </w:pPr>
      <w:r w:rsidRPr="006F4C9E">
        <w:rPr>
          <w:color w:val="auto"/>
          <w:lang w:val="en-CA"/>
        </w:rPr>
        <w:t>The number of actual work units grows at the rate (</w:t>
      </w:r>
      <w:proofErr w:type="spellStart"/>
      <w:r w:rsidRPr="006F4C9E">
        <w:rPr>
          <w:color w:val="auto"/>
          <w:lang w:val="en-CA"/>
        </w:rPr>
        <w:t>n+g</w:t>
      </w:r>
      <w:proofErr w:type="spellEnd"/>
      <w:r w:rsidRPr="006F4C9E">
        <w:rPr>
          <w:color w:val="auto"/>
          <w:lang w:val="en-CA"/>
        </w:rPr>
        <w:t xml:space="preserve">). The model assumes that a constant fraction (s) of the product is invested. Let (k) be the capital stock per unit of labour </w:t>
      </w:r>
      <w:r w:rsidRPr="006F4C9E">
        <w:rPr>
          <w:rFonts w:ascii="Calibri" w:eastAsia="Calibri" w:hAnsi="Calibri" w:cs="Calibri"/>
          <w:noProof/>
          <w:color w:val="auto"/>
          <w:position w:val="-15"/>
          <w:sz w:val="22"/>
        </w:rPr>
        <w:drawing>
          <wp:inline distT="0" distB="0" distL="0" distR="0" wp14:anchorId="0C246F91" wp14:editId="6CD8C891">
            <wp:extent cx="425450" cy="241300"/>
            <wp:effectExtent l="0" t="0" r="0" b="0"/>
            <wp:docPr id="26423" name="Picture 26423"/>
            <wp:cNvGraphicFramePr/>
            <a:graphic xmlns:a="http://schemas.openxmlformats.org/drawingml/2006/main">
              <a:graphicData uri="http://schemas.openxmlformats.org/drawingml/2006/picture">
                <pic:pic xmlns:pic="http://schemas.openxmlformats.org/drawingml/2006/picture">
                  <pic:nvPicPr>
                    <pic:cNvPr id="26423" name="Picture 26423"/>
                    <pic:cNvPicPr/>
                  </pic:nvPicPr>
                  <pic:blipFill>
                    <a:blip r:embed="rId12"/>
                    <a:stretch>
                      <a:fillRect/>
                    </a:stretch>
                  </pic:blipFill>
                  <pic:spPr>
                    <a:xfrm>
                      <a:off x="0" y="0"/>
                      <a:ext cx="425450" cy="241300"/>
                    </a:xfrm>
                    <a:prstGeom prst="rect">
                      <a:avLst/>
                    </a:prstGeom>
                  </pic:spPr>
                </pic:pic>
              </a:graphicData>
            </a:graphic>
          </wp:inline>
        </w:drawing>
      </w:r>
      <w:r w:rsidRPr="006F4C9E">
        <w:rPr>
          <w:color w:val="auto"/>
          <w:lang w:val="en-CA"/>
        </w:rPr>
        <w:t xml:space="preserve"> and (y) the level of output per unit of labour, it is given by </w:t>
      </w:r>
      <w:r w:rsidRPr="006F4C9E">
        <w:rPr>
          <w:rFonts w:ascii="Calibri" w:eastAsia="Calibri" w:hAnsi="Calibri" w:cs="Calibri"/>
          <w:noProof/>
          <w:color w:val="auto"/>
          <w:position w:val="-15"/>
          <w:sz w:val="22"/>
        </w:rPr>
        <w:drawing>
          <wp:inline distT="0" distB="0" distL="0" distR="0" wp14:anchorId="53935A09" wp14:editId="56F1F2BF">
            <wp:extent cx="431800" cy="241300"/>
            <wp:effectExtent l="0" t="0" r="0" b="0"/>
            <wp:docPr id="26424" name="Picture 26424"/>
            <wp:cNvGraphicFramePr/>
            <a:graphic xmlns:a="http://schemas.openxmlformats.org/drawingml/2006/main">
              <a:graphicData uri="http://schemas.openxmlformats.org/drawingml/2006/picture">
                <pic:pic xmlns:pic="http://schemas.openxmlformats.org/drawingml/2006/picture">
                  <pic:nvPicPr>
                    <pic:cNvPr id="26424" name="Picture 26424"/>
                    <pic:cNvPicPr/>
                  </pic:nvPicPr>
                  <pic:blipFill>
                    <a:blip r:embed="rId13"/>
                    <a:stretch>
                      <a:fillRect/>
                    </a:stretch>
                  </pic:blipFill>
                  <pic:spPr>
                    <a:xfrm>
                      <a:off x="0" y="0"/>
                      <a:ext cx="431800" cy="241300"/>
                    </a:xfrm>
                    <a:prstGeom prst="rect">
                      <a:avLst/>
                    </a:prstGeom>
                  </pic:spPr>
                </pic:pic>
              </a:graphicData>
            </a:graphic>
          </wp:inline>
        </w:drawing>
      </w:r>
      <w:r w:rsidRPr="006F4C9E">
        <w:rPr>
          <w:color w:val="auto"/>
          <w:lang w:val="en-CA"/>
        </w:rPr>
        <w:t xml:space="preserve"> </w:t>
      </w:r>
    </w:p>
    <w:p w14:paraId="7C4B0F94" w14:textId="77777777" w:rsidR="007563B7" w:rsidRPr="006F4C9E" w:rsidRDefault="007563B7" w:rsidP="007563B7">
      <w:pPr>
        <w:ind w:right="286" w:firstLine="0"/>
        <w:rPr>
          <w:color w:val="auto"/>
          <w:lang w:val="en-CA"/>
        </w:rPr>
      </w:pPr>
      <w:r w:rsidRPr="006F4C9E">
        <w:rPr>
          <w:color w:val="auto"/>
          <w:lang w:val="en-CA"/>
        </w:rPr>
        <w:lastRenderedPageBreak/>
        <w:t>In the same vein as De Gregorio, (1992) we make use of these over quoted equations which were later developed by Barro and Sala-</w:t>
      </w:r>
      <w:proofErr w:type="spellStart"/>
      <w:r w:rsidRPr="006F4C9E">
        <w:rPr>
          <w:color w:val="auto"/>
          <w:lang w:val="en-CA"/>
        </w:rPr>
        <w:t>i</w:t>
      </w:r>
      <w:proofErr w:type="spellEnd"/>
      <w:r w:rsidRPr="006F4C9E">
        <w:rPr>
          <w:color w:val="auto"/>
          <w:lang w:val="en-CA"/>
        </w:rPr>
        <w:t xml:space="preserve">-Martin (1995); </w:t>
      </w:r>
      <w:proofErr w:type="spellStart"/>
      <w:r w:rsidRPr="006F4C9E">
        <w:rPr>
          <w:color w:val="auto"/>
          <w:lang w:val="en-CA"/>
        </w:rPr>
        <w:t>Bhanumurthy</w:t>
      </w:r>
      <w:proofErr w:type="spellEnd"/>
      <w:r w:rsidRPr="006F4C9E">
        <w:rPr>
          <w:color w:val="auto"/>
          <w:lang w:val="en-CA"/>
        </w:rPr>
        <w:t xml:space="preserve"> &amp; Mohanty, (2014); </w:t>
      </w:r>
      <w:proofErr w:type="spellStart"/>
      <w:r w:rsidRPr="006F4C9E">
        <w:rPr>
          <w:color w:val="auto"/>
          <w:lang w:val="en-CA"/>
        </w:rPr>
        <w:t>Kuipou</w:t>
      </w:r>
      <w:proofErr w:type="spellEnd"/>
      <w:r w:rsidRPr="006F4C9E">
        <w:rPr>
          <w:color w:val="auto"/>
          <w:lang w:val="en-CA"/>
        </w:rPr>
        <w:t xml:space="preserve"> et al., (2015), showing that </w:t>
      </w:r>
      <w:r w:rsidRPr="006F4C9E">
        <w:rPr>
          <w:rFonts w:ascii="Cambria Math" w:eastAsia="Cambria Math" w:hAnsi="Cambria Math" w:cs="Cambria Math"/>
          <w:color w:val="auto"/>
        </w:rPr>
        <w:t>𝐴</w:t>
      </w:r>
      <w:r w:rsidRPr="006F4C9E">
        <w:rPr>
          <w:rFonts w:ascii="Cambria Math" w:eastAsia="Cambria Math" w:hAnsi="Cambria Math" w:cs="Cambria Math"/>
          <w:color w:val="auto"/>
          <w:vertAlign w:val="subscript"/>
        </w:rPr>
        <w:t>𝑡</w:t>
      </w:r>
      <w:r w:rsidRPr="006F4C9E">
        <w:rPr>
          <w:color w:val="auto"/>
          <w:lang w:val="en-CA"/>
        </w:rPr>
        <w:t xml:space="preserve"> may well be relevant to empirical studies of the link between institutions and economic development. Thus, technological improvements can be the result of a sound exchange rate, monetary policy and institutional framework (North, 1991). Both of these tend to increase the efficiency of the productive sector and improve the productivity of investment, hence macroeconomic stability. </w:t>
      </w:r>
    </w:p>
    <w:p w14:paraId="66A1A875" w14:textId="77777777" w:rsidR="006F4C9E" w:rsidRDefault="007563B7" w:rsidP="006F4C9E">
      <w:pPr>
        <w:ind w:right="287" w:firstLine="708"/>
        <w:rPr>
          <w:color w:val="auto"/>
          <w:lang w:val="en-CA"/>
        </w:rPr>
      </w:pPr>
      <w:r w:rsidRPr="006F4C9E">
        <w:rPr>
          <w:color w:val="auto"/>
          <w:lang w:val="en-CA"/>
        </w:rPr>
        <w:t>Following the above studies, we assume that this equation can be estimated by the ordinary least squares method.  In order to obtain the generalised model, we will incorporate into the basic model all the factors that can affect price stability. As we have already seen in the theoretical study, exchange rate regimes and the institutional level are considered as relevant factors to explain the different level of economic development of</w:t>
      </w:r>
      <w:r w:rsidR="006F4C9E">
        <w:rPr>
          <w:color w:val="auto"/>
          <w:lang w:val="en-CA"/>
        </w:rPr>
        <w:t xml:space="preserve"> the countries in our sample.  </w:t>
      </w:r>
    </w:p>
    <w:p w14:paraId="62C88EE8" w14:textId="77777777" w:rsidR="007563B7" w:rsidRPr="006F4C9E" w:rsidRDefault="007563B7" w:rsidP="006F4C9E">
      <w:pPr>
        <w:ind w:right="287" w:firstLine="708"/>
        <w:rPr>
          <w:color w:val="auto"/>
          <w:lang w:val="en-CA"/>
        </w:rPr>
      </w:pPr>
      <w:r w:rsidRPr="006F4C9E">
        <w:rPr>
          <w:color w:val="auto"/>
          <w:lang w:val="en-CA"/>
        </w:rPr>
        <w:t xml:space="preserve">However, an exchange rate and/or monetary policy does not operate in a vacuum, but rather presupposes a set of institutions. To this end, we will try to test the effects on economic development of </w:t>
      </w:r>
      <w:proofErr w:type="spellStart"/>
      <w:r w:rsidRPr="006F4C9E">
        <w:rPr>
          <w:color w:val="auto"/>
          <w:lang w:val="en-CA"/>
        </w:rPr>
        <w:t>politicaleconomic</w:t>
      </w:r>
      <w:proofErr w:type="spellEnd"/>
      <w:r w:rsidRPr="006F4C9E">
        <w:rPr>
          <w:color w:val="auto"/>
          <w:lang w:val="en-CA"/>
        </w:rPr>
        <w:t xml:space="preserve"> institutions, exchange rate regimes (Fixed, Flexible and Intermediate), as well as their interaction. The latter can be translated empirically by an interaction variable between the two fields of analysis (exchange rate regimes and composite index of institutions). In this case the total productivity of factors A is a complement of the other factors of production and is given </w:t>
      </w:r>
      <w:proofErr w:type="gramStart"/>
      <w:r w:rsidRPr="006F4C9E">
        <w:rPr>
          <w:color w:val="auto"/>
          <w:lang w:val="en-CA"/>
        </w:rPr>
        <w:t>by :</w:t>
      </w:r>
      <w:proofErr w:type="gramEnd"/>
      <w:r w:rsidRPr="006F4C9E">
        <w:rPr>
          <w:color w:val="auto"/>
          <w:lang w:val="en-CA"/>
        </w:rPr>
        <w:t xml:space="preserve"> </w:t>
      </w:r>
    </w:p>
    <w:p w14:paraId="431F4488" w14:textId="77777777" w:rsidR="007563B7" w:rsidRPr="006F4C9E" w:rsidRDefault="007563B7" w:rsidP="007563B7">
      <w:pPr>
        <w:spacing w:after="39" w:line="240" w:lineRule="auto"/>
        <w:ind w:left="10" w:right="-15" w:hanging="10"/>
        <w:rPr>
          <w:color w:val="auto"/>
          <w:lang w:val="en-CA"/>
        </w:rPr>
      </w:pPr>
      <w:r w:rsidRPr="006F4C9E">
        <w:rPr>
          <w:rFonts w:ascii="Calibri" w:eastAsia="Calibri" w:hAnsi="Calibri" w:cs="Calibri"/>
          <w:noProof/>
          <w:color w:val="auto"/>
          <w:position w:val="-7"/>
          <w:sz w:val="22"/>
        </w:rPr>
        <w:drawing>
          <wp:inline distT="0" distB="0" distL="0" distR="0" wp14:anchorId="1AFA5D4F" wp14:editId="11DA63F6">
            <wp:extent cx="2711450" cy="180975"/>
            <wp:effectExtent l="0" t="0" r="0" b="0"/>
            <wp:docPr id="27106" name="Picture 27106"/>
            <wp:cNvGraphicFramePr/>
            <a:graphic xmlns:a="http://schemas.openxmlformats.org/drawingml/2006/main">
              <a:graphicData uri="http://schemas.openxmlformats.org/drawingml/2006/picture">
                <pic:pic xmlns:pic="http://schemas.openxmlformats.org/drawingml/2006/picture">
                  <pic:nvPicPr>
                    <pic:cNvPr id="27106" name="Picture 27106"/>
                    <pic:cNvPicPr/>
                  </pic:nvPicPr>
                  <pic:blipFill>
                    <a:blip r:embed="rId14"/>
                    <a:stretch>
                      <a:fillRect/>
                    </a:stretch>
                  </pic:blipFill>
                  <pic:spPr>
                    <a:xfrm>
                      <a:off x="0" y="0"/>
                      <a:ext cx="2711450" cy="180975"/>
                    </a:xfrm>
                    <a:prstGeom prst="rect">
                      <a:avLst/>
                    </a:prstGeom>
                  </pic:spPr>
                </pic:pic>
              </a:graphicData>
            </a:graphic>
          </wp:inline>
        </w:drawing>
      </w:r>
      <w:r w:rsidRPr="006F4C9E">
        <w:rPr>
          <w:i/>
          <w:color w:val="auto"/>
          <w:lang w:val="en-CA"/>
        </w:rPr>
        <w:t xml:space="preserve">             (4)</w:t>
      </w:r>
      <w:r w:rsidRPr="006F4C9E">
        <w:rPr>
          <w:color w:val="auto"/>
          <w:lang w:val="en-CA"/>
        </w:rPr>
        <w:t xml:space="preserve"> </w:t>
      </w:r>
    </w:p>
    <w:p w14:paraId="2194DE9D" w14:textId="77777777" w:rsidR="007563B7" w:rsidRPr="006F4C9E" w:rsidRDefault="007563B7" w:rsidP="007563B7">
      <w:pPr>
        <w:ind w:left="276" w:firstLine="0"/>
        <w:rPr>
          <w:color w:val="auto"/>
          <w:lang w:val="en-CA"/>
        </w:rPr>
      </w:pPr>
      <w:r w:rsidRPr="006F4C9E">
        <w:rPr>
          <w:color w:val="auto"/>
          <w:lang w:val="en-CA"/>
        </w:rPr>
        <w:t xml:space="preserve">Hence the first equation can be </w:t>
      </w:r>
      <w:proofErr w:type="gramStart"/>
      <w:r w:rsidRPr="006F4C9E">
        <w:rPr>
          <w:color w:val="auto"/>
          <w:lang w:val="en-CA"/>
        </w:rPr>
        <w:t>written :</w:t>
      </w:r>
      <w:proofErr w:type="gramEnd"/>
      <w:r w:rsidRPr="006F4C9E">
        <w:rPr>
          <w:color w:val="auto"/>
          <w:lang w:val="en-CA"/>
        </w:rPr>
        <w:t xml:space="preserve"> </w:t>
      </w:r>
    </w:p>
    <w:p w14:paraId="672CF244" w14:textId="77777777" w:rsidR="007563B7" w:rsidRPr="006F4C9E" w:rsidRDefault="007563B7" w:rsidP="007563B7">
      <w:pPr>
        <w:spacing w:after="39" w:line="240" w:lineRule="auto"/>
        <w:ind w:left="10" w:right="-15" w:hanging="10"/>
        <w:rPr>
          <w:color w:val="auto"/>
          <w:lang w:val="en-CA"/>
        </w:rPr>
      </w:pPr>
      <w:r w:rsidRPr="006F4C9E">
        <w:rPr>
          <w:rFonts w:ascii="Calibri" w:eastAsia="Calibri" w:hAnsi="Calibri" w:cs="Calibri"/>
          <w:noProof/>
          <w:color w:val="auto"/>
          <w:position w:val="-8"/>
          <w:sz w:val="22"/>
        </w:rPr>
        <w:drawing>
          <wp:inline distT="0" distB="0" distL="0" distR="0" wp14:anchorId="02399A0E" wp14:editId="76D7BBB6">
            <wp:extent cx="3057525" cy="203200"/>
            <wp:effectExtent l="0" t="0" r="0" b="0"/>
            <wp:docPr id="27107" name="Picture 27107"/>
            <wp:cNvGraphicFramePr/>
            <a:graphic xmlns:a="http://schemas.openxmlformats.org/drawingml/2006/main">
              <a:graphicData uri="http://schemas.openxmlformats.org/drawingml/2006/picture">
                <pic:pic xmlns:pic="http://schemas.openxmlformats.org/drawingml/2006/picture">
                  <pic:nvPicPr>
                    <pic:cNvPr id="27107" name="Picture 27107"/>
                    <pic:cNvPicPr/>
                  </pic:nvPicPr>
                  <pic:blipFill>
                    <a:blip r:embed="rId15"/>
                    <a:stretch>
                      <a:fillRect/>
                    </a:stretch>
                  </pic:blipFill>
                  <pic:spPr>
                    <a:xfrm>
                      <a:off x="0" y="0"/>
                      <a:ext cx="3057525" cy="203200"/>
                    </a:xfrm>
                    <a:prstGeom prst="rect">
                      <a:avLst/>
                    </a:prstGeom>
                  </pic:spPr>
                </pic:pic>
              </a:graphicData>
            </a:graphic>
          </wp:inline>
        </w:drawing>
      </w:r>
      <w:r w:rsidRPr="006F4C9E">
        <w:rPr>
          <w:i/>
          <w:color w:val="auto"/>
          <w:lang w:val="en-CA"/>
        </w:rPr>
        <w:t xml:space="preserve">             (5)   </w:t>
      </w:r>
      <w:r w:rsidRPr="006F4C9E">
        <w:rPr>
          <w:color w:val="auto"/>
          <w:lang w:val="en-CA"/>
        </w:rPr>
        <w:t xml:space="preserve"> </w:t>
      </w:r>
    </w:p>
    <w:p w14:paraId="4257149D" w14:textId="77777777" w:rsidR="007563B7" w:rsidRPr="006F4C9E" w:rsidRDefault="007563B7" w:rsidP="007563B7">
      <w:pPr>
        <w:spacing w:after="87"/>
        <w:ind w:left="276" w:firstLine="708"/>
        <w:rPr>
          <w:color w:val="auto"/>
          <w:lang w:val="en-CA"/>
        </w:rPr>
      </w:pPr>
      <w:r w:rsidRPr="006F4C9E">
        <w:rPr>
          <w:color w:val="auto"/>
          <w:lang w:val="en-CA"/>
        </w:rPr>
        <w:t xml:space="preserve">By replacing </w:t>
      </w:r>
      <w:r w:rsidRPr="006F4C9E">
        <w:rPr>
          <w:rFonts w:ascii="Cambria Math" w:eastAsia="Cambria Math" w:hAnsi="Cambria Math" w:cs="Cambria Math"/>
          <w:color w:val="auto"/>
        </w:rPr>
        <w:t>𝑌</w:t>
      </w:r>
      <w:r w:rsidRPr="006F4C9E">
        <w:rPr>
          <w:rFonts w:ascii="Cambria Math" w:eastAsia="Cambria Math" w:hAnsi="Cambria Math" w:cs="Cambria Math"/>
          <w:color w:val="auto"/>
          <w:vertAlign w:val="subscript"/>
        </w:rPr>
        <w:t>𝑡</w:t>
      </w:r>
      <w:r w:rsidRPr="006F4C9E">
        <w:rPr>
          <w:color w:val="auto"/>
          <w:lang w:val="en-CA"/>
        </w:rPr>
        <w:t xml:space="preserve"> by </w:t>
      </w:r>
      <w:r w:rsidRPr="006F4C9E">
        <w:rPr>
          <w:rFonts w:ascii="Cambria Math" w:eastAsia="Cambria Math" w:hAnsi="Cambria Math" w:cs="Cambria Math"/>
          <w:color w:val="auto"/>
        </w:rPr>
        <w:t>𝑆𝑡𝑎𝑏</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𝑃𝑟𝑖𝑥</w:t>
      </w:r>
      <w:r w:rsidRPr="006F4C9E">
        <w:rPr>
          <w:rFonts w:ascii="Cambria Math" w:eastAsia="Cambria Math" w:hAnsi="Cambria Math" w:cs="Cambria Math"/>
          <w:color w:val="auto"/>
          <w:vertAlign w:val="subscript"/>
        </w:rPr>
        <w:t>𝑡</w:t>
      </w:r>
      <w:r w:rsidRPr="006F4C9E">
        <w:rPr>
          <w:color w:val="auto"/>
          <w:lang w:val="en-CA"/>
        </w:rPr>
        <w:t xml:space="preserve"> in the context of our work and under the convergence hypothesis, the final dynamic and econometric model to be estimated is </w:t>
      </w:r>
      <w:proofErr w:type="gramStart"/>
      <w:r w:rsidRPr="006F4C9E">
        <w:rPr>
          <w:color w:val="auto"/>
          <w:lang w:val="en-CA"/>
        </w:rPr>
        <w:t>written :</w:t>
      </w:r>
      <w:proofErr w:type="gramEnd"/>
      <w:r w:rsidRPr="006F4C9E">
        <w:rPr>
          <w:color w:val="auto"/>
          <w:lang w:val="en-CA"/>
        </w:rPr>
        <w:t xml:space="preserve"> </w:t>
      </w:r>
    </w:p>
    <w:p w14:paraId="21BE92D2" w14:textId="77777777" w:rsidR="007563B7" w:rsidRPr="006F4C9E" w:rsidRDefault="007563B7" w:rsidP="00B62F44">
      <w:pPr>
        <w:spacing w:after="114" w:line="240" w:lineRule="auto"/>
        <w:ind w:left="271" w:right="-15" w:hanging="10"/>
        <w:rPr>
          <w:color w:val="auto"/>
          <w:lang w:val="en-CA"/>
        </w:rPr>
      </w:pPr>
      <w:r w:rsidRPr="006F4C9E">
        <w:rPr>
          <w:rFonts w:ascii="Cambria Math" w:eastAsia="Cambria Math" w:hAnsi="Cambria Math" w:cs="Cambria Math"/>
          <w:color w:val="auto"/>
        </w:rPr>
        <w:t>Δ𝑠𝑡𝑎𝑏</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𝑝𝑟𝑖𝑥</w:t>
      </w:r>
      <w:r w:rsidRPr="006F4C9E">
        <w:rPr>
          <w:rFonts w:ascii="Cambria Math" w:eastAsia="Cambria Math" w:hAnsi="Cambria Math" w:cs="Cambria Math"/>
          <w:color w:val="auto"/>
          <w:vertAlign w:val="subscript"/>
        </w:rPr>
        <w:t>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𝛽</w:t>
      </w:r>
      <w:r w:rsidRPr="006F4C9E">
        <w:rPr>
          <w:rFonts w:ascii="Cambria Math" w:eastAsia="Cambria Math" w:hAnsi="Cambria Math" w:cs="Cambria Math"/>
          <w:color w:val="auto"/>
          <w:vertAlign w:val="subscript"/>
          <w:lang w:val="en-CA"/>
        </w:rPr>
        <w:t xml:space="preserve">0 </w:t>
      </w:r>
      <w:r w:rsidRPr="006F4C9E">
        <w:rPr>
          <w:rFonts w:ascii="Cambria Math" w:eastAsia="Cambria Math" w:hAnsi="Cambria Math" w:cs="Cambria Math"/>
          <w:color w:val="auto"/>
          <w:lang w:val="en-CA"/>
        </w:rPr>
        <w:t>+ (</w:t>
      </w:r>
      <w:r w:rsidRPr="006F4C9E">
        <w:rPr>
          <w:rFonts w:ascii="Cambria Math" w:eastAsia="Cambria Math" w:hAnsi="Cambria Math" w:cs="Cambria Math"/>
          <w:color w:val="auto"/>
        </w:rPr>
        <w:t>𝛼</w:t>
      </w:r>
      <w:r w:rsidRPr="006F4C9E">
        <w:rPr>
          <w:rFonts w:ascii="Cambria Math" w:eastAsia="Cambria Math" w:hAnsi="Cambria Math" w:cs="Cambria Math"/>
          <w:color w:val="auto"/>
          <w:lang w:val="en-CA"/>
        </w:rPr>
        <w:t xml:space="preserve"> − </w:t>
      </w:r>
      <w:proofErr w:type="gramStart"/>
      <w:r w:rsidRPr="006F4C9E">
        <w:rPr>
          <w:rFonts w:ascii="Cambria Math" w:eastAsia="Cambria Math" w:hAnsi="Cambria Math" w:cs="Cambria Math"/>
          <w:color w:val="auto"/>
          <w:lang w:val="en-CA"/>
        </w:rPr>
        <w:t>1)</w:t>
      </w:r>
      <w:r w:rsidRPr="006F4C9E">
        <w:rPr>
          <w:rFonts w:ascii="Cambria Math" w:eastAsia="Cambria Math" w:hAnsi="Cambria Math" w:cs="Cambria Math"/>
          <w:color w:val="auto"/>
        </w:rPr>
        <w:t>𝑡𝑎𝑏</w:t>
      </w:r>
      <w:r w:rsidRPr="006F4C9E">
        <w:rPr>
          <w:rFonts w:ascii="Cambria Math" w:eastAsia="Cambria Math" w:hAnsi="Cambria Math" w:cs="Cambria Math"/>
          <w:color w:val="auto"/>
          <w:vertAlign w:val="subscript"/>
        </w:rPr>
        <w:t>𝑝𝑟𝑖𝑥𝑡</w:t>
      </w:r>
      <w:proofErr w:type="gramEnd"/>
      <w:r w:rsidRPr="006F4C9E">
        <w:rPr>
          <w:rFonts w:ascii="Cambria Math" w:eastAsia="Cambria Math" w:hAnsi="Cambria Math" w:cs="Cambria Math"/>
          <w:color w:val="auto"/>
          <w:vertAlign w:val="subscript"/>
          <w:lang w:val="en-CA"/>
        </w:rPr>
        <w:t xml:space="preserve">−1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𝛽𝐿</w:t>
      </w:r>
      <w:r w:rsidRPr="006F4C9E">
        <w:rPr>
          <w:rFonts w:ascii="Cambria Math" w:eastAsia="Cambria Math" w:hAnsi="Cambria Math" w:cs="Cambria Math"/>
          <w:color w:val="auto"/>
          <w:vertAlign w:val="subscript"/>
        </w:rPr>
        <w:t>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𝛼𝐾</w:t>
      </w:r>
      <w:r w:rsidRPr="006F4C9E">
        <w:rPr>
          <w:rFonts w:ascii="Cambria Math" w:eastAsia="Cambria Math" w:hAnsi="Cambria Math" w:cs="Cambria Math"/>
          <w:color w:val="auto"/>
          <w:vertAlign w:val="subscript"/>
        </w:rPr>
        <w:t>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𝜃𝑅𝐶</w:t>
      </w:r>
      <w:r w:rsidRPr="006F4C9E">
        <w:rPr>
          <w:rFonts w:ascii="Cambria Math" w:eastAsia="Cambria Math" w:hAnsi="Cambria Math" w:cs="Cambria Math"/>
          <w:color w:val="auto"/>
          <w:vertAlign w:val="subscript"/>
        </w:rPr>
        <w:t>𝑡</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𝜗𝑖𝑛𝑑𝑖𝑐𝑒</w:t>
      </w:r>
      <w:r w:rsidRPr="006F4C9E">
        <w:rPr>
          <w:rFonts w:ascii="Cambria Math" w:eastAsia="Cambria Math" w:hAnsi="Cambria Math" w:cs="Cambria Math"/>
          <w:color w:val="auto"/>
          <w:vertAlign w:val="subscript"/>
        </w:rPr>
        <w:t>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𝛾</w:t>
      </w:r>
      <w:r w:rsidRPr="006F4C9E">
        <w:rPr>
          <w:rFonts w:ascii="Cambria Math" w:eastAsia="Cambria Math" w:hAnsi="Cambria Math" w:cs="Cambria Math"/>
          <w:color w:val="auto"/>
          <w:lang w:val="en-CA"/>
        </w:rPr>
        <w:t>(</w:t>
      </w:r>
      <w:r w:rsidRPr="006F4C9E">
        <w:rPr>
          <w:rFonts w:ascii="Cambria Math" w:eastAsia="Cambria Math" w:hAnsi="Cambria Math" w:cs="Cambria Math"/>
          <w:color w:val="auto"/>
        </w:rPr>
        <w:t>𝑅𝐶</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𝑖𝑛𝑑𝑖𝑐𝑒</w:t>
      </w:r>
      <w:r w:rsidRPr="006F4C9E">
        <w:rPr>
          <w:rFonts w:ascii="Cambria Math" w:eastAsia="Cambria Math" w:hAnsi="Cambria Math" w:cs="Cambria Math"/>
          <w:color w:val="auto"/>
          <w:lang w:val="en-CA"/>
        </w:rPr>
        <w:t>)</w:t>
      </w:r>
      <w:r w:rsidRPr="006F4C9E">
        <w:rPr>
          <w:rFonts w:ascii="Cambria Math" w:eastAsia="Cambria Math" w:hAnsi="Cambria Math" w:cs="Cambria Math"/>
          <w:color w:val="auto"/>
          <w:vertAlign w:val="subscript"/>
        </w:rPr>
        <w:t>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w:t>
      </w:r>
      <w:r w:rsidRPr="006F4C9E">
        <w:rPr>
          <w:rFonts w:ascii="Cambria Math" w:eastAsia="Cambria Math" w:hAnsi="Cambria Math" w:cs="Cambria Math"/>
          <w:color w:val="auto"/>
        </w:rPr>
        <w:t>𝑔𝑡</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𝜇</w:t>
      </w:r>
      <w:r w:rsidRPr="006F4C9E">
        <w:rPr>
          <w:rFonts w:ascii="Cambria Math" w:eastAsia="Cambria Math" w:hAnsi="Cambria Math" w:cs="Cambria Math"/>
          <w:color w:val="auto"/>
          <w:vertAlign w:val="subscript"/>
        </w:rPr>
        <w:t>𝑡</w:t>
      </w:r>
      <w:r w:rsidRPr="006F4C9E">
        <w:rPr>
          <w:rFonts w:ascii="Cambria Math" w:eastAsia="Cambria Math" w:hAnsi="Cambria Math" w:cs="Cambria Math"/>
          <w:color w:val="auto"/>
          <w:lang w:val="en-CA"/>
        </w:rPr>
        <w:t xml:space="preserve"> </w:t>
      </w:r>
      <w:r w:rsidRPr="006F4C9E">
        <w:rPr>
          <w:i/>
          <w:color w:val="auto"/>
          <w:lang w:val="en-CA"/>
        </w:rPr>
        <w:t xml:space="preserve">                      (6)</w:t>
      </w:r>
      <w:r w:rsidRPr="006F4C9E">
        <w:rPr>
          <w:color w:val="auto"/>
          <w:lang w:val="en-CA"/>
        </w:rPr>
        <w:t xml:space="preserve"> </w:t>
      </w:r>
    </w:p>
    <w:p w14:paraId="27133637" w14:textId="77777777" w:rsidR="007563B7" w:rsidRPr="006F4C9E" w:rsidRDefault="007563B7" w:rsidP="007563B7">
      <w:pPr>
        <w:ind w:left="276" w:firstLine="0"/>
        <w:rPr>
          <w:color w:val="auto"/>
          <w:lang w:val="en-CA"/>
        </w:rPr>
      </w:pPr>
      <w:r w:rsidRPr="006F4C9E">
        <w:rPr>
          <w:color w:val="auto"/>
          <w:lang w:val="en-CA"/>
        </w:rPr>
        <w:t xml:space="preserve">With </w:t>
      </w:r>
      <w:r w:rsidRPr="006F4C9E">
        <w:rPr>
          <w:rFonts w:ascii="Cambria Math" w:eastAsia="Cambria Math" w:hAnsi="Cambria Math" w:cs="Cambria Math"/>
          <w:color w:val="auto"/>
        </w:rPr>
        <w:t>𝑖𝑛𝑑𝑖𝑐𝑒</w:t>
      </w:r>
      <w:r w:rsidRPr="006F4C9E">
        <w:rPr>
          <w:color w:val="auto"/>
          <w:lang w:val="en-CA"/>
        </w:rPr>
        <w:t xml:space="preserve"> the institutions indicator, RC the exchange rate regimes. This equation highlights the interaction between exchange rate regimes - institutions and price stability. </w:t>
      </w:r>
    </w:p>
    <w:p w14:paraId="2713B11A" w14:textId="77777777" w:rsidR="007563B7" w:rsidRPr="006F4C9E" w:rsidRDefault="007563B7" w:rsidP="007563B7">
      <w:pPr>
        <w:spacing w:after="39" w:line="240" w:lineRule="auto"/>
        <w:ind w:left="276" w:firstLine="0"/>
        <w:rPr>
          <w:color w:val="auto"/>
          <w:sz w:val="6"/>
          <w:lang w:val="en-CA"/>
        </w:rPr>
      </w:pPr>
      <w:r w:rsidRPr="006F4C9E">
        <w:rPr>
          <w:b/>
          <w:color w:val="auto"/>
          <w:lang w:val="en-CA"/>
        </w:rPr>
        <w:t xml:space="preserve"> </w:t>
      </w:r>
    </w:p>
    <w:p w14:paraId="397DF31C" w14:textId="77777777" w:rsidR="007563B7" w:rsidRPr="006F4C9E" w:rsidRDefault="00920E05" w:rsidP="007563B7">
      <w:pPr>
        <w:spacing w:after="35" w:line="246" w:lineRule="auto"/>
        <w:ind w:left="286" w:right="-15" w:hanging="10"/>
        <w:rPr>
          <w:color w:val="auto"/>
          <w:lang w:val="en-CA"/>
        </w:rPr>
      </w:pPr>
      <w:r w:rsidRPr="006F4C9E">
        <w:rPr>
          <w:b/>
          <w:color w:val="auto"/>
          <w:lang w:val="en-CA"/>
        </w:rPr>
        <w:t>2.5</w:t>
      </w:r>
      <w:r w:rsidR="007563B7" w:rsidRPr="006F4C9E">
        <w:rPr>
          <w:b/>
          <w:color w:val="auto"/>
          <w:lang w:val="en-CA"/>
        </w:rPr>
        <w:t xml:space="preserve">. Estimation technique </w:t>
      </w:r>
    </w:p>
    <w:p w14:paraId="2FE449A5" w14:textId="77777777" w:rsidR="007563B7" w:rsidRPr="006F4C9E" w:rsidRDefault="007563B7" w:rsidP="007563B7">
      <w:pPr>
        <w:spacing w:after="91"/>
        <w:ind w:left="276" w:firstLine="708"/>
        <w:rPr>
          <w:color w:val="auto"/>
          <w:lang w:val="en-CA"/>
        </w:rPr>
      </w:pPr>
      <w:r w:rsidRPr="006F4C9E">
        <w:rPr>
          <w:color w:val="auto"/>
          <w:lang w:val="en-CA"/>
        </w:rPr>
        <w:t xml:space="preserve">To assess the effects of exchange rate regimes and institutions on price stability, we proceed sequentially in two steps. The first step consists in highlighting, in a global way, the price stability of the countries studied thanks to the estimation of the relation (1) drawn from the basic equation. The objective is to show that exchange rate regimes influence monetary policy globally.  Hence the final model of the price stability equation to be estimated becomes:  </w:t>
      </w:r>
    </w:p>
    <w:p w14:paraId="63EA1BED" w14:textId="77777777" w:rsidR="007563B7" w:rsidRPr="006F4C9E" w:rsidRDefault="007563B7" w:rsidP="007563B7">
      <w:pPr>
        <w:spacing w:after="51" w:line="240" w:lineRule="auto"/>
        <w:ind w:left="271" w:right="-15" w:hanging="10"/>
        <w:rPr>
          <w:color w:val="auto"/>
          <w:lang w:val="en-CA"/>
        </w:rPr>
      </w:pPr>
      <w:proofErr w:type="gramStart"/>
      <w:r w:rsidRPr="006F4C9E">
        <w:rPr>
          <w:rFonts w:ascii="Cambria Math" w:eastAsia="Cambria Math" w:hAnsi="Cambria Math" w:cs="Cambria Math"/>
          <w:color w:val="auto"/>
        </w:rPr>
        <w:t>𝑆𝑡𝑎𝑏</w:t>
      </w:r>
      <w:proofErr w:type="gramEnd"/>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𝑃𝑟𝑖𝑥</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 xml:space="preserve">0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1</w:t>
      </w:r>
      <w:r w:rsidRPr="006F4C9E">
        <w:rPr>
          <w:rFonts w:ascii="Cambria Math" w:eastAsia="Cambria Math" w:hAnsi="Cambria Math" w:cs="Cambria Math"/>
          <w:color w:val="auto"/>
        </w:rPr>
        <w:t>𝑠𝑡𝑎𝑏</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𝑝𝑟𝑖𝑥</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−1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2</w:t>
      </w:r>
      <w:r w:rsidRPr="006F4C9E">
        <w:rPr>
          <w:rFonts w:ascii="Cambria Math" w:eastAsia="Cambria Math" w:hAnsi="Cambria Math" w:cs="Cambria Math"/>
          <w:color w:val="auto"/>
        </w:rPr>
        <w:t>𝑟𝑐</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𝑓𝑖𝑥𝑒</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3</w:t>
      </w:r>
      <w:r w:rsidRPr="006F4C9E">
        <w:rPr>
          <w:rFonts w:ascii="Cambria Math" w:eastAsia="Cambria Math" w:hAnsi="Cambria Math" w:cs="Cambria Math"/>
          <w:color w:val="auto"/>
        </w:rPr>
        <w:t>𝑟𝑐</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𝑓𝑙𝑒𝑥</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4</w:t>
      </w:r>
      <w:r w:rsidRPr="006F4C9E">
        <w:rPr>
          <w:rFonts w:ascii="Cambria Math" w:eastAsia="Cambria Math" w:hAnsi="Cambria Math" w:cs="Cambria Math"/>
          <w:color w:val="auto"/>
        </w:rPr>
        <w:t>𝑟𝑐</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𝑖𝑛𝑡𝑒𝑟</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5</w:t>
      </w:r>
      <w:r w:rsidRPr="006F4C9E">
        <w:rPr>
          <w:rFonts w:ascii="Cambria Math" w:eastAsia="Cambria Math" w:hAnsi="Cambria Math" w:cs="Cambria Math"/>
          <w:color w:val="auto"/>
        </w:rPr>
        <w:t>𝑚𝑜𝑛</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w:t>
      </w:r>
    </w:p>
    <w:p w14:paraId="273E3CE6" w14:textId="77777777" w:rsidR="007563B7" w:rsidRPr="006F4C9E" w:rsidRDefault="007563B7" w:rsidP="007563B7">
      <w:pPr>
        <w:spacing w:after="51" w:line="240" w:lineRule="auto"/>
        <w:ind w:left="271" w:right="-15" w:hanging="10"/>
        <w:rPr>
          <w:color w:val="auto"/>
          <w:lang w:val="en-CA"/>
        </w:rPr>
      </w:pPr>
      <w:proofErr w:type="gramStart"/>
      <w:r w:rsidRPr="006F4C9E">
        <w:rPr>
          <w:rFonts w:ascii="Cambria Math" w:eastAsia="Cambria Math" w:hAnsi="Cambria Math" w:cs="Cambria Math"/>
          <w:color w:val="auto"/>
        </w:rPr>
        <w:t>𝛼</w:t>
      </w:r>
      <w:proofErr w:type="gramEnd"/>
      <w:r w:rsidRPr="006F4C9E">
        <w:rPr>
          <w:rFonts w:ascii="Cambria Math" w:eastAsia="Cambria Math" w:hAnsi="Cambria Math" w:cs="Cambria Math"/>
          <w:color w:val="auto"/>
          <w:vertAlign w:val="subscript"/>
          <w:lang w:val="en-CA"/>
        </w:rPr>
        <w:t>6</w:t>
      </w:r>
      <w:r w:rsidRPr="006F4C9E">
        <w:rPr>
          <w:rFonts w:ascii="Cambria Math" w:eastAsia="Cambria Math" w:hAnsi="Cambria Math" w:cs="Cambria Math"/>
          <w:color w:val="auto"/>
        </w:rPr>
        <w:t>𝑑𝑒𝑝</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𝑝𝑢𝑏</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7</w:t>
      </w:r>
      <w:r w:rsidRPr="006F4C9E">
        <w:rPr>
          <w:rFonts w:ascii="Cambria Math" w:eastAsia="Cambria Math" w:hAnsi="Cambria Math" w:cs="Cambria Math"/>
          <w:color w:val="auto"/>
        </w:rPr>
        <w:t>𝑖𝑛𝑣𝑒𝑠𝑡</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8</w:t>
      </w:r>
      <w:r w:rsidRPr="006F4C9E">
        <w:rPr>
          <w:rFonts w:ascii="Cambria Math" w:eastAsia="Cambria Math" w:hAnsi="Cambria Math" w:cs="Cambria Math"/>
          <w:color w:val="auto"/>
        </w:rPr>
        <w:t>𝑡𝑥</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𝑖𝑛𝑡</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9</w:t>
      </w:r>
      <w:r w:rsidRPr="006F4C9E">
        <w:rPr>
          <w:rFonts w:ascii="Cambria Math" w:eastAsia="Cambria Math" w:hAnsi="Cambria Math" w:cs="Cambria Math"/>
          <w:color w:val="auto"/>
        </w:rPr>
        <w:t>𝑜𝑢𝑣</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10</w:t>
      </w:r>
      <w:r w:rsidRPr="006F4C9E">
        <w:rPr>
          <w:rFonts w:ascii="Cambria Math" w:eastAsia="Cambria Math" w:hAnsi="Cambria Math" w:cs="Cambria Math"/>
          <w:color w:val="auto"/>
        </w:rPr>
        <w:t>𝑟𝑒𝑠</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𝑒𝑥𝑡</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11</w:t>
      </w:r>
      <w:r w:rsidRPr="006F4C9E">
        <w:rPr>
          <w:rFonts w:ascii="Cambria Math" w:eastAsia="Cambria Math" w:hAnsi="Cambria Math" w:cs="Cambria Math"/>
          <w:color w:val="auto"/>
        </w:rPr>
        <w:t>𝑐𝑟𝑜𝑖𝑠</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𝑝𝑜𝑝</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w:t>
      </w:r>
    </w:p>
    <w:p w14:paraId="19B30951" w14:textId="77777777" w:rsidR="007563B7" w:rsidRPr="006F4C9E" w:rsidRDefault="007563B7" w:rsidP="007563B7">
      <w:pPr>
        <w:spacing w:after="51" w:line="240" w:lineRule="auto"/>
        <w:ind w:left="271" w:right="-15" w:hanging="10"/>
        <w:rPr>
          <w:color w:val="auto"/>
          <w:lang w:val="en-CA"/>
        </w:rPr>
      </w:pP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12</w:t>
      </w:r>
      <w:r w:rsidRPr="006F4C9E">
        <w:rPr>
          <w:rFonts w:ascii="Cambria Math" w:eastAsia="Cambria Math" w:hAnsi="Cambria Math" w:cs="Cambria Math"/>
          <w:color w:val="auto"/>
        </w:rPr>
        <w:t>𝑝𝑖𝑏</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𝑟𝑒𝑒𝑙</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13</w:t>
      </w:r>
      <w:r w:rsidRPr="006F4C9E">
        <w:rPr>
          <w:rFonts w:ascii="Cambria Math" w:eastAsia="Cambria Math" w:hAnsi="Cambria Math" w:cs="Cambria Math"/>
          <w:color w:val="auto"/>
        </w:rPr>
        <w:t>𝑠𝑡𝑎𝑏</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𝑓𝑖𝑛</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14</w:t>
      </w:r>
      <w:r w:rsidRPr="006F4C9E">
        <w:rPr>
          <w:rFonts w:ascii="Cambria Math" w:eastAsia="Cambria Math" w:hAnsi="Cambria Math" w:cs="Cambria Math"/>
          <w:color w:val="auto"/>
        </w:rPr>
        <w:t>𝑖𝑛𝑑𝑖𝑐𝑒</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w:t>
      </w:r>
      <w:r w:rsidRPr="006F4C9E">
        <w:rPr>
          <w:rFonts w:ascii="Cambria Math" w:eastAsia="Cambria Math" w:hAnsi="Cambria Math" w:cs="Cambria Math"/>
          <w:color w:val="auto"/>
          <w:lang w:val="en-CA"/>
        </w:rPr>
        <w:tab/>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w:t>
      </w:r>
      <w:r w:rsidRPr="006F4C9E">
        <w:rPr>
          <w:i/>
          <w:color w:val="auto"/>
          <w:lang w:val="en-CA"/>
        </w:rPr>
        <w:t xml:space="preserve">             </w:t>
      </w:r>
      <w:proofErr w:type="gramStart"/>
      <w:r w:rsidRPr="006F4C9E">
        <w:rPr>
          <w:i/>
          <w:color w:val="auto"/>
          <w:lang w:val="en-CA"/>
        </w:rPr>
        <w:t xml:space="preserve">   (</w:t>
      </w:r>
      <w:proofErr w:type="gramEnd"/>
      <w:r w:rsidRPr="006F4C9E">
        <w:rPr>
          <w:i/>
          <w:color w:val="auto"/>
          <w:lang w:val="en-CA"/>
        </w:rPr>
        <w:t xml:space="preserve">7) </w:t>
      </w:r>
    </w:p>
    <w:p w14:paraId="04792007" w14:textId="77777777" w:rsidR="007563B7" w:rsidRPr="006F4C9E" w:rsidRDefault="007563B7" w:rsidP="007563B7">
      <w:pPr>
        <w:spacing w:after="88"/>
        <w:ind w:left="276" w:firstLine="0"/>
        <w:rPr>
          <w:color w:val="auto"/>
          <w:lang w:val="en-CA"/>
        </w:rPr>
      </w:pPr>
      <w:r w:rsidRPr="006F4C9E">
        <w:rPr>
          <w:color w:val="auto"/>
          <w:lang w:val="en-CA"/>
        </w:rPr>
        <w:t xml:space="preserve">In the second step, the relationship (8) representing the augmented form of equation (1) and (6) will be estimated. </w:t>
      </w:r>
    </w:p>
    <w:p w14:paraId="35CE577A" w14:textId="77777777" w:rsidR="007563B7" w:rsidRPr="006F4C9E" w:rsidRDefault="007563B7" w:rsidP="007563B7">
      <w:pPr>
        <w:spacing w:after="51" w:line="240" w:lineRule="auto"/>
        <w:ind w:left="271" w:right="-15" w:hanging="10"/>
        <w:rPr>
          <w:color w:val="auto"/>
          <w:lang w:val="en-CA"/>
        </w:rPr>
      </w:pPr>
      <w:r w:rsidRPr="006F4C9E">
        <w:rPr>
          <w:rFonts w:ascii="Cambria Math" w:eastAsia="Cambria Math" w:hAnsi="Cambria Math" w:cs="Cambria Math"/>
          <w:color w:val="auto"/>
        </w:rPr>
        <w:t>𝑆𝑡𝑎𝑏</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𝑃𝑟𝑖𝑥</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 xml:space="preserve">0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1</w:t>
      </w:r>
      <w:r w:rsidRPr="006F4C9E">
        <w:rPr>
          <w:rFonts w:ascii="Cambria Math" w:eastAsia="Cambria Math" w:hAnsi="Cambria Math" w:cs="Cambria Math"/>
          <w:color w:val="auto"/>
        </w:rPr>
        <w:t>𝑠𝑡𝑎𝑏</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𝑝𝑟𝑖𝑥</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−1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2</w:t>
      </w:r>
      <w:r w:rsidRPr="006F4C9E">
        <w:rPr>
          <w:rFonts w:ascii="Cambria Math" w:eastAsia="Cambria Math" w:hAnsi="Cambria Math" w:cs="Cambria Math"/>
          <w:color w:val="auto"/>
        </w:rPr>
        <w:t>𝑅𝐶</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3</w:t>
      </w:r>
      <w:proofErr w:type="gramStart"/>
      <w:r w:rsidRPr="006F4C9E">
        <w:rPr>
          <w:rFonts w:ascii="Cambria Math" w:eastAsia="Cambria Math" w:hAnsi="Cambria Math" w:cs="Cambria Math"/>
          <w:color w:val="auto"/>
        </w:rPr>
        <w:t>𝑖𝑛𝑑𝑖𝑐𝑒</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w:t>
      </w:r>
      <w:proofErr w:type="gramEnd"/>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4</w:t>
      </w:r>
      <w:r w:rsidRPr="006F4C9E">
        <w:rPr>
          <w:rFonts w:ascii="Cambria Math" w:eastAsia="Cambria Math" w:hAnsi="Cambria Math" w:cs="Cambria Math"/>
          <w:color w:val="auto"/>
          <w:lang w:val="en-CA"/>
        </w:rPr>
        <w:t>(</w:t>
      </w:r>
      <w:r w:rsidRPr="006F4C9E">
        <w:rPr>
          <w:rFonts w:ascii="Cambria Math" w:eastAsia="Cambria Math" w:hAnsi="Cambria Math" w:cs="Cambria Math"/>
          <w:color w:val="auto"/>
        </w:rPr>
        <w:t>𝑅𝐶</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𝑖𝑛𝑑𝑖𝑐𝑒</w:t>
      </w:r>
      <w:r w:rsidRPr="006F4C9E">
        <w:rPr>
          <w:rFonts w:ascii="Cambria Math" w:eastAsia="Cambria Math" w:hAnsi="Cambria Math" w:cs="Cambria Math"/>
          <w:color w:val="auto"/>
          <w:lang w:val="en-CA"/>
        </w:rPr>
        <w:t>)</w:t>
      </w:r>
      <w:r w:rsidRPr="006F4C9E">
        <w:rPr>
          <w:rFonts w:ascii="Cambria Math" w:eastAsia="Cambria Math" w:hAnsi="Cambria Math" w:cs="Cambria Math"/>
          <w:color w:val="auto"/>
          <w:vertAlign w:val="subscript"/>
        </w:rPr>
        <w:t>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5</w:t>
      </w:r>
      <w:r w:rsidRPr="006F4C9E">
        <w:rPr>
          <w:rFonts w:ascii="Cambria Math" w:eastAsia="Cambria Math" w:hAnsi="Cambria Math" w:cs="Cambria Math"/>
          <w:color w:val="auto"/>
        </w:rPr>
        <w:t>𝑚𝑜𝑛</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w:t>
      </w:r>
    </w:p>
    <w:p w14:paraId="47FEC03B" w14:textId="77777777" w:rsidR="007563B7" w:rsidRPr="006F4C9E" w:rsidRDefault="007563B7" w:rsidP="007563B7">
      <w:pPr>
        <w:spacing w:after="51" w:line="240" w:lineRule="auto"/>
        <w:ind w:left="271" w:right="-15" w:hanging="10"/>
        <w:rPr>
          <w:color w:val="auto"/>
          <w:lang w:val="en-CA"/>
        </w:rPr>
      </w:pPr>
      <w:proofErr w:type="gramStart"/>
      <w:r w:rsidRPr="006F4C9E">
        <w:rPr>
          <w:rFonts w:ascii="Cambria Math" w:eastAsia="Cambria Math" w:hAnsi="Cambria Math" w:cs="Cambria Math"/>
          <w:color w:val="auto"/>
        </w:rPr>
        <w:t>𝛼</w:t>
      </w:r>
      <w:proofErr w:type="gramEnd"/>
      <w:r w:rsidRPr="006F4C9E">
        <w:rPr>
          <w:rFonts w:ascii="Cambria Math" w:eastAsia="Cambria Math" w:hAnsi="Cambria Math" w:cs="Cambria Math"/>
          <w:color w:val="auto"/>
          <w:vertAlign w:val="subscript"/>
          <w:lang w:val="en-CA"/>
        </w:rPr>
        <w:t>6</w:t>
      </w:r>
      <w:r w:rsidRPr="006F4C9E">
        <w:rPr>
          <w:rFonts w:ascii="Cambria Math" w:eastAsia="Cambria Math" w:hAnsi="Cambria Math" w:cs="Cambria Math"/>
          <w:color w:val="auto"/>
        </w:rPr>
        <w:t>𝑑𝑒𝑝</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𝑝𝑢𝑏</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7</w:t>
      </w:r>
      <w:r w:rsidRPr="006F4C9E">
        <w:rPr>
          <w:rFonts w:ascii="Cambria Math" w:eastAsia="Cambria Math" w:hAnsi="Cambria Math" w:cs="Cambria Math"/>
          <w:color w:val="auto"/>
        </w:rPr>
        <w:t>𝑖𝑛𝑣𝑒𝑠𝑡</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8</w:t>
      </w:r>
      <w:r w:rsidRPr="006F4C9E">
        <w:rPr>
          <w:rFonts w:ascii="Cambria Math" w:eastAsia="Cambria Math" w:hAnsi="Cambria Math" w:cs="Cambria Math"/>
          <w:color w:val="auto"/>
        </w:rPr>
        <w:t>𝑡𝑥</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𝑖𝑛𝑡</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9</w:t>
      </w:r>
      <w:r w:rsidRPr="006F4C9E">
        <w:rPr>
          <w:rFonts w:ascii="Cambria Math" w:eastAsia="Cambria Math" w:hAnsi="Cambria Math" w:cs="Cambria Math"/>
          <w:color w:val="auto"/>
        </w:rPr>
        <w:t>𝑜𝑢𝑣</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10</w:t>
      </w:r>
      <w:r w:rsidRPr="006F4C9E">
        <w:rPr>
          <w:rFonts w:ascii="Cambria Math" w:eastAsia="Cambria Math" w:hAnsi="Cambria Math" w:cs="Cambria Math"/>
          <w:color w:val="auto"/>
        </w:rPr>
        <w:t>𝑟𝑒𝑠</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𝑒𝑥𝑡</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11</w:t>
      </w:r>
      <w:r w:rsidRPr="006F4C9E">
        <w:rPr>
          <w:rFonts w:ascii="Cambria Math" w:eastAsia="Cambria Math" w:hAnsi="Cambria Math" w:cs="Cambria Math"/>
          <w:color w:val="auto"/>
        </w:rPr>
        <w:t>𝑐𝑟𝑜𝑖𝑠</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𝑝𝑜𝑝</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w:t>
      </w:r>
    </w:p>
    <w:p w14:paraId="13217A44" w14:textId="77777777" w:rsidR="007563B7" w:rsidRPr="006F4C9E" w:rsidRDefault="007563B7" w:rsidP="007563B7">
      <w:pPr>
        <w:spacing w:after="51" w:line="240" w:lineRule="auto"/>
        <w:ind w:left="271" w:right="-15" w:hanging="10"/>
        <w:rPr>
          <w:color w:val="auto"/>
          <w:lang w:val="en-CA"/>
        </w:rPr>
      </w:pP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12</w:t>
      </w:r>
      <w:r w:rsidRPr="006F4C9E">
        <w:rPr>
          <w:rFonts w:ascii="Cambria Math" w:eastAsia="Cambria Math" w:hAnsi="Cambria Math" w:cs="Cambria Math"/>
          <w:color w:val="auto"/>
        </w:rPr>
        <w:t>𝑝𝑖𝑏</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𝑟𝑒𝑒𝑙</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13</w:t>
      </w:r>
      <w:r w:rsidRPr="006F4C9E">
        <w:rPr>
          <w:rFonts w:ascii="Cambria Math" w:eastAsia="Cambria Math" w:hAnsi="Cambria Math" w:cs="Cambria Math"/>
          <w:color w:val="auto"/>
        </w:rPr>
        <w:t>𝑠𝑡𝑎𝑏</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𝑓𝑖𝑛</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w:t>
      </w:r>
      <w:r w:rsidRPr="006F4C9E">
        <w:rPr>
          <w:i/>
          <w:color w:val="auto"/>
          <w:lang w:val="en-CA"/>
        </w:rPr>
        <w:t xml:space="preserve">                          </w:t>
      </w:r>
      <w:proofErr w:type="gramStart"/>
      <w:r w:rsidRPr="006F4C9E">
        <w:rPr>
          <w:i/>
          <w:color w:val="auto"/>
          <w:lang w:val="en-CA"/>
        </w:rPr>
        <w:t xml:space="preserve">   (</w:t>
      </w:r>
      <w:proofErr w:type="gramEnd"/>
      <w:r w:rsidRPr="006F4C9E">
        <w:rPr>
          <w:i/>
          <w:color w:val="auto"/>
          <w:lang w:val="en-CA"/>
        </w:rPr>
        <w:t xml:space="preserve">8) </w:t>
      </w:r>
    </w:p>
    <w:p w14:paraId="065C4C96" w14:textId="77777777" w:rsidR="007563B7" w:rsidRPr="006F4C9E" w:rsidRDefault="007563B7" w:rsidP="007563B7">
      <w:pPr>
        <w:ind w:left="276" w:firstLine="708"/>
        <w:rPr>
          <w:color w:val="auto"/>
          <w:lang w:val="en-CA"/>
        </w:rPr>
      </w:pPr>
      <w:r w:rsidRPr="006F4C9E">
        <w:rPr>
          <w:color w:val="auto"/>
          <w:lang w:val="en-CA"/>
        </w:rPr>
        <w:lastRenderedPageBreak/>
        <w:t>It is through this interaction that we will be able to show that membership of an exchange rate regime and the role played by institutions shape the cyclical dynamics of monetary policy, hence the stabilisation of the economy. In particular, the effect of the exchange rate regime and the quality of institutions on price stability will be captured through the sign and magnitude of the coefficients</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w:t>
      </w:r>
      <w:r w:rsidRPr="006F4C9E">
        <w:rPr>
          <w:color w:val="auto"/>
          <w:lang w:val="en-CA"/>
        </w:rPr>
        <w:t xml:space="preserve"> according to the following conditions:  </w:t>
      </w:r>
    </w:p>
    <w:p w14:paraId="1DF2CDB7" w14:textId="77777777" w:rsidR="007563B7" w:rsidRPr="006F4C9E" w:rsidRDefault="007563B7" w:rsidP="007563B7">
      <w:pPr>
        <w:ind w:left="276" w:firstLine="0"/>
        <w:rPr>
          <w:color w:val="auto"/>
          <w:lang w:val="en-CA"/>
        </w:rPr>
      </w:pPr>
      <w:r w:rsidRPr="006F4C9E">
        <w:rPr>
          <w:color w:val="auto"/>
          <w:lang w:val="en-CA"/>
        </w:rPr>
        <w:t xml:space="preserve">If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 xml:space="preserve">2 </w:t>
      </w:r>
      <w:r w:rsidRPr="006F4C9E">
        <w:rPr>
          <w:rFonts w:ascii="Cambria Math" w:eastAsia="Cambria Math" w:hAnsi="Cambria Math" w:cs="Cambria Math"/>
          <w:color w:val="auto"/>
          <w:lang w:val="en-CA"/>
        </w:rPr>
        <w:t xml:space="preserve">&gt; 0 </w:t>
      </w:r>
      <w:r w:rsidRPr="006F4C9E">
        <w:rPr>
          <w:color w:val="auto"/>
          <w:lang w:val="en-CA"/>
        </w:rPr>
        <w:t xml:space="preserve">and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 xml:space="preserve">4 </w:t>
      </w:r>
      <w:r w:rsidRPr="006F4C9E">
        <w:rPr>
          <w:rFonts w:ascii="Cambria Math" w:eastAsia="Cambria Math" w:hAnsi="Cambria Math" w:cs="Cambria Math"/>
          <w:color w:val="auto"/>
          <w:lang w:val="en-CA"/>
        </w:rPr>
        <w:t xml:space="preserve">&gt; 0 </w:t>
      </w:r>
      <w:r w:rsidRPr="006F4C9E">
        <w:rPr>
          <w:color w:val="auto"/>
          <w:lang w:val="en-CA"/>
        </w:rPr>
        <w:t xml:space="preserve">then membership of the exchange rate regime under consideration increases the extent of price stability and the quality of institutions favourably affects (improves) this impact.  If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 xml:space="preserve">2 </w:t>
      </w:r>
      <w:r w:rsidRPr="006F4C9E">
        <w:rPr>
          <w:rFonts w:ascii="Cambria Math" w:eastAsia="Cambria Math" w:hAnsi="Cambria Math" w:cs="Cambria Math"/>
          <w:color w:val="auto"/>
          <w:lang w:val="en-CA"/>
        </w:rPr>
        <w:t xml:space="preserve">&gt; 0 </w:t>
      </w:r>
      <w:r w:rsidRPr="006F4C9E">
        <w:rPr>
          <w:color w:val="auto"/>
          <w:lang w:val="en-CA"/>
        </w:rPr>
        <w:t xml:space="preserve">and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 xml:space="preserve">4 </w:t>
      </w:r>
      <w:r w:rsidRPr="006F4C9E">
        <w:rPr>
          <w:rFonts w:ascii="Cambria Math" w:eastAsia="Cambria Math" w:hAnsi="Cambria Math" w:cs="Cambria Math"/>
          <w:color w:val="auto"/>
          <w:lang w:val="en-CA"/>
        </w:rPr>
        <w:t xml:space="preserve">&lt; 0 </w:t>
      </w:r>
      <w:r w:rsidRPr="006F4C9E">
        <w:rPr>
          <w:color w:val="auto"/>
          <w:lang w:val="en-CA"/>
        </w:rPr>
        <w:t xml:space="preserve">then membership of the exchange rate regime under consideration increases the extent of price stability and the institutional level adversely affects (worsens) this effect.  </w:t>
      </w:r>
    </w:p>
    <w:p w14:paraId="06CABA4E" w14:textId="77777777" w:rsidR="007563B7" w:rsidRPr="006F4C9E" w:rsidRDefault="007563B7" w:rsidP="007563B7">
      <w:pPr>
        <w:ind w:left="276" w:firstLine="0"/>
        <w:rPr>
          <w:color w:val="auto"/>
          <w:lang w:val="en-CA"/>
        </w:rPr>
      </w:pPr>
      <w:r w:rsidRPr="006F4C9E">
        <w:rPr>
          <w:color w:val="auto"/>
          <w:lang w:val="en-CA"/>
        </w:rPr>
        <w:t xml:space="preserve">If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 xml:space="preserve">2 </w:t>
      </w:r>
      <w:r w:rsidR="006F4C9E">
        <w:rPr>
          <w:rFonts w:ascii="Cambria Math" w:eastAsia="Cambria Math" w:hAnsi="Cambria Math" w:cs="Cambria Math"/>
          <w:color w:val="auto"/>
          <w:lang w:val="en-CA"/>
        </w:rPr>
        <w:t xml:space="preserve">&lt; </w:t>
      </w:r>
      <w:r w:rsidRPr="006F4C9E">
        <w:rPr>
          <w:rFonts w:ascii="Cambria Math" w:eastAsia="Cambria Math" w:hAnsi="Cambria Math" w:cs="Cambria Math"/>
          <w:color w:val="auto"/>
          <w:lang w:val="en-CA"/>
        </w:rPr>
        <w:t>0</w:t>
      </w:r>
      <w:r w:rsidRPr="006F4C9E">
        <w:rPr>
          <w:color w:val="auto"/>
          <w:lang w:val="en-CA"/>
        </w:rPr>
        <w:t xml:space="preserve"> and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 xml:space="preserve">4 </w:t>
      </w:r>
      <w:r w:rsidR="006F4C9E">
        <w:rPr>
          <w:rFonts w:ascii="Cambria Math" w:eastAsia="Cambria Math" w:hAnsi="Cambria Math" w:cs="Cambria Math"/>
          <w:color w:val="auto"/>
          <w:lang w:val="en-CA"/>
        </w:rPr>
        <w:t xml:space="preserve">&lt; </w:t>
      </w:r>
      <w:r w:rsidRPr="006F4C9E">
        <w:rPr>
          <w:rFonts w:ascii="Cambria Math" w:eastAsia="Cambria Math" w:hAnsi="Cambria Math" w:cs="Cambria Math"/>
          <w:color w:val="auto"/>
          <w:lang w:val="en-CA"/>
        </w:rPr>
        <w:t>0</w:t>
      </w:r>
      <w:r w:rsidR="006F4C9E">
        <w:rPr>
          <w:color w:val="auto"/>
          <w:lang w:val="en-CA"/>
        </w:rPr>
        <w:t xml:space="preserve"> </w:t>
      </w:r>
      <w:r w:rsidRPr="006F4C9E">
        <w:rPr>
          <w:color w:val="auto"/>
          <w:lang w:val="en-CA"/>
        </w:rPr>
        <w:t xml:space="preserve">membership of this exchange rate regime rather leads to a weakening of monetary cyclicality and the institutional level adversely affects (worsens) this impact.  </w:t>
      </w:r>
    </w:p>
    <w:p w14:paraId="2A59E721" w14:textId="77777777" w:rsidR="007563B7" w:rsidRPr="006F4C9E" w:rsidRDefault="007563B7" w:rsidP="007563B7">
      <w:pPr>
        <w:ind w:left="276" w:firstLine="0"/>
        <w:rPr>
          <w:color w:val="auto"/>
          <w:lang w:val="en-CA"/>
        </w:rPr>
      </w:pPr>
      <w:r w:rsidRPr="006F4C9E">
        <w:rPr>
          <w:color w:val="auto"/>
          <w:lang w:val="en-CA"/>
        </w:rPr>
        <w:t xml:space="preserve">If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 xml:space="preserve">2 </w:t>
      </w:r>
      <w:r w:rsidR="006F4C9E">
        <w:rPr>
          <w:rFonts w:ascii="Cambria Math" w:eastAsia="Cambria Math" w:hAnsi="Cambria Math" w:cs="Cambria Math"/>
          <w:color w:val="auto"/>
          <w:lang w:val="en-CA"/>
        </w:rPr>
        <w:t xml:space="preserve">&lt; </w:t>
      </w:r>
      <w:r w:rsidRPr="006F4C9E">
        <w:rPr>
          <w:rFonts w:ascii="Cambria Math" w:eastAsia="Cambria Math" w:hAnsi="Cambria Math" w:cs="Cambria Math"/>
          <w:color w:val="auto"/>
          <w:lang w:val="en-CA"/>
        </w:rPr>
        <w:t>0</w:t>
      </w:r>
      <w:r w:rsidRPr="006F4C9E">
        <w:rPr>
          <w:color w:val="auto"/>
          <w:lang w:val="en-CA"/>
        </w:rPr>
        <w:t xml:space="preserve"> and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 xml:space="preserve">4 </w:t>
      </w:r>
      <w:r w:rsidR="006F4C9E">
        <w:rPr>
          <w:rFonts w:ascii="Cambria Math" w:eastAsia="Cambria Math" w:hAnsi="Cambria Math" w:cs="Cambria Math"/>
          <w:color w:val="auto"/>
          <w:lang w:val="en-CA"/>
        </w:rPr>
        <w:t xml:space="preserve">&gt; </w:t>
      </w:r>
      <w:r w:rsidRPr="006F4C9E">
        <w:rPr>
          <w:rFonts w:ascii="Cambria Math" w:eastAsia="Cambria Math" w:hAnsi="Cambria Math" w:cs="Cambria Math"/>
          <w:color w:val="auto"/>
          <w:lang w:val="en-CA"/>
        </w:rPr>
        <w:t>0</w:t>
      </w:r>
      <w:r w:rsidRPr="006F4C9E">
        <w:rPr>
          <w:color w:val="auto"/>
          <w:lang w:val="en-CA"/>
        </w:rPr>
        <w:t xml:space="preserve"> membership of an exchange rate regime rather leads to a weakening of price volatility and the institutional level favourably affects (improves) this impact.  </w:t>
      </w:r>
    </w:p>
    <w:p w14:paraId="56049795" w14:textId="77777777" w:rsidR="007563B7" w:rsidRPr="006F4C9E" w:rsidRDefault="007563B7" w:rsidP="007563B7">
      <w:pPr>
        <w:ind w:left="276" w:firstLine="0"/>
        <w:rPr>
          <w:color w:val="auto"/>
          <w:lang w:val="en-CA"/>
        </w:rPr>
      </w:pPr>
      <w:r w:rsidRPr="006F4C9E">
        <w:rPr>
          <w:color w:val="auto"/>
          <w:lang w:val="en-CA"/>
        </w:rPr>
        <w:t xml:space="preserve">If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 xml:space="preserve">2 </w:t>
      </w:r>
      <w:r w:rsid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lang w:val="en-CA"/>
        </w:rPr>
        <w:t>0</w:t>
      </w:r>
      <w:r w:rsidRPr="006F4C9E">
        <w:rPr>
          <w:color w:val="auto"/>
          <w:lang w:val="en-CA"/>
        </w:rPr>
        <w:t xml:space="preserve"> and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 xml:space="preserve">4 </w:t>
      </w:r>
      <w:r w:rsidR="006F4C9E">
        <w:rPr>
          <w:rFonts w:ascii="Cambria Math" w:eastAsia="Cambria Math" w:hAnsi="Cambria Math" w:cs="Cambria Math"/>
          <w:color w:val="auto"/>
          <w:lang w:val="en-CA"/>
        </w:rPr>
        <w:t>=</w:t>
      </w:r>
      <w:r w:rsidRPr="006F4C9E">
        <w:rPr>
          <w:rFonts w:ascii="Cambria Math" w:eastAsia="Cambria Math" w:hAnsi="Cambria Math" w:cs="Cambria Math"/>
          <w:color w:val="auto"/>
          <w:lang w:val="en-CA"/>
        </w:rPr>
        <w:t xml:space="preserve"> 0</w:t>
      </w:r>
      <w:r w:rsidRPr="006F4C9E">
        <w:rPr>
          <w:color w:val="auto"/>
          <w:lang w:val="en-CA"/>
        </w:rPr>
        <w:t xml:space="preserve"> the exchange rate regime and institutions do not influence macroeconomic stability.  </w:t>
      </w:r>
    </w:p>
    <w:p w14:paraId="09380A9F" w14:textId="77777777" w:rsidR="007563B7" w:rsidRPr="006F4C9E" w:rsidRDefault="007563B7" w:rsidP="006F4C9E">
      <w:pPr>
        <w:spacing w:after="40" w:line="269" w:lineRule="auto"/>
        <w:ind w:left="276" w:firstLine="708"/>
        <w:rPr>
          <w:color w:val="auto"/>
          <w:lang w:val="en-CA"/>
        </w:rPr>
      </w:pPr>
      <w:r w:rsidRPr="006F4C9E">
        <w:rPr>
          <w:color w:val="auto"/>
          <w:lang w:val="en-CA"/>
        </w:rPr>
        <w:t xml:space="preserve"> Thus, the specification of equations (6) and (7) poses the problem of endogeneity between the current and lagged values of the consumer price indices, on the one hand, and between this dependent variable and the independent variables on the other. This problem is solved quite satisfactorily by the estimation technique based on the generalized method of moments (</w:t>
      </w:r>
      <w:r w:rsidR="006F4C9E">
        <w:rPr>
          <w:color w:val="auto"/>
          <w:lang w:val="en-CA"/>
        </w:rPr>
        <w:t xml:space="preserve">GMM system) in a dynamic panel </w:t>
      </w:r>
      <w:r w:rsidRPr="006F4C9E">
        <w:rPr>
          <w:color w:val="auto"/>
          <w:lang w:val="en-CA"/>
        </w:rPr>
        <w:t xml:space="preserve">(Blundell and Bond, 1998). To ensure the absence of autocorrelation of the error terms and the validity of the instruments used, Blundell and Bond (1998) propose two essential tests, namely: the </w:t>
      </w:r>
      <w:proofErr w:type="spellStart"/>
      <w:r w:rsidRPr="006F4C9E">
        <w:rPr>
          <w:color w:val="auto"/>
          <w:lang w:val="en-CA"/>
        </w:rPr>
        <w:t>Sargan</w:t>
      </w:r>
      <w:proofErr w:type="spellEnd"/>
      <w:r w:rsidRPr="006F4C9E">
        <w:rPr>
          <w:color w:val="auto"/>
          <w:lang w:val="en-CA"/>
        </w:rPr>
        <w:t xml:space="preserve"> test, which makes it possible to analyse the over-identification of the model and the validity of the instruments used for the estimation, and the usual test for the absence of autocorrelation of the error terms, </w:t>
      </w:r>
      <w:r w:rsidRPr="006F4C9E">
        <w:rPr>
          <w:rFonts w:ascii="Cambria Math" w:eastAsia="Cambria Math" w:hAnsi="Cambria Math" w:cs="Cambria Math"/>
          <w:color w:val="auto"/>
          <w:vertAlign w:val="subscript"/>
        </w:rPr>
        <w:t>𝑖𝑡</w:t>
      </w:r>
      <w:r w:rsidRPr="006F4C9E">
        <w:rPr>
          <w:color w:val="auto"/>
          <w:lang w:val="en-CA"/>
        </w:rPr>
        <w:t xml:space="preserve">. In addition to the above tests, the results of the stationarity and homogeneity tests are presented in the appendix (see Table 1 in the appendix for the stationarity test). </w:t>
      </w:r>
    </w:p>
    <w:p w14:paraId="45FC20EC" w14:textId="77777777" w:rsidR="007563B7" w:rsidRPr="006F4C9E" w:rsidRDefault="007563B7" w:rsidP="006F4C9E">
      <w:pPr>
        <w:spacing w:after="0" w:line="246" w:lineRule="auto"/>
        <w:ind w:left="646" w:right="-15" w:hanging="10"/>
        <w:rPr>
          <w:color w:val="auto"/>
          <w:lang w:val="en-CA"/>
        </w:rPr>
      </w:pPr>
      <w:r w:rsidRPr="006F4C9E">
        <w:rPr>
          <w:b/>
          <w:color w:val="auto"/>
          <w:lang w:val="en-CA"/>
        </w:rPr>
        <w:t>3.</w:t>
      </w:r>
      <w:r w:rsidRPr="006F4C9E">
        <w:rPr>
          <w:rFonts w:ascii="Arial" w:eastAsia="Arial" w:hAnsi="Arial" w:cs="Arial"/>
          <w:b/>
          <w:color w:val="auto"/>
          <w:lang w:val="en-CA"/>
        </w:rPr>
        <w:t xml:space="preserve"> </w:t>
      </w:r>
      <w:r w:rsidRPr="006F4C9E">
        <w:rPr>
          <w:b/>
          <w:color w:val="auto"/>
          <w:lang w:val="en-CA"/>
        </w:rPr>
        <w:t xml:space="preserve">Results and interpretations </w:t>
      </w:r>
    </w:p>
    <w:p w14:paraId="7487C92F" w14:textId="77777777" w:rsidR="007563B7" w:rsidRPr="006F4C9E" w:rsidRDefault="007563B7" w:rsidP="007563B7">
      <w:pPr>
        <w:ind w:left="276" w:firstLine="360"/>
        <w:rPr>
          <w:color w:val="auto"/>
          <w:lang w:val="en-CA"/>
        </w:rPr>
      </w:pPr>
      <w:r w:rsidRPr="006F4C9E">
        <w:rPr>
          <w:color w:val="auto"/>
          <w:lang w:val="en-CA"/>
        </w:rPr>
        <w:t xml:space="preserve">This section presents the estimation results of our models and their interpretation with respect to the macroeconomic, exchange rate and institutional conditions of the 35 SSA countries in our sample over the period 1987-2017. This is represented by equations (6) and (7). In a first step, these results show that a country's membership in a given exchange rate regime globally determines its monetary policy behaviour. In a second step, the interaction variable between the given exchange rate regimes and the synthetic index of institutional quality on price stability is used in the analyses.   </w:t>
      </w:r>
    </w:p>
    <w:p w14:paraId="183E0CE8" w14:textId="77777777" w:rsidR="007563B7" w:rsidRPr="006F4C9E" w:rsidRDefault="007563B7" w:rsidP="007563B7">
      <w:pPr>
        <w:ind w:left="276" w:firstLine="360"/>
        <w:rPr>
          <w:color w:val="auto"/>
          <w:lang w:val="en-CA"/>
        </w:rPr>
      </w:pPr>
      <w:r w:rsidRPr="006F4C9E">
        <w:rPr>
          <w:color w:val="auto"/>
          <w:lang w:val="en-CA"/>
        </w:rPr>
        <w:t xml:space="preserve">The dummy variable used here is the exchange rate regime to which the different countries in the sample belong. For a given year, a country can only belong to one exchange rate regime for a given classification. Technically, the three regimes (fixed, intermediate and flexible) cannot be taken into account simultaneously in the regressions. On the other hand, the estimation alternative consists in retaining a single category of exchange rate regime for each of the regressions so as to estimate three variants of each of equations (6) and (7). This approach avoids any confusion about the effects of the different exchange rate regimes. </w:t>
      </w:r>
    </w:p>
    <w:p w14:paraId="1F81EB70" w14:textId="77777777" w:rsidR="007563B7" w:rsidRPr="006F4C9E" w:rsidRDefault="007563B7" w:rsidP="007563B7">
      <w:pPr>
        <w:ind w:left="276" w:firstLine="360"/>
        <w:rPr>
          <w:color w:val="auto"/>
          <w:lang w:val="en-CA"/>
        </w:rPr>
      </w:pPr>
      <w:r w:rsidRPr="006F4C9E">
        <w:rPr>
          <w:color w:val="auto"/>
          <w:lang w:val="en-CA"/>
        </w:rPr>
        <w:t xml:space="preserve">To achieve this, we reassure ourselves of the stationarity of the variables we use by demonstrating the stationarity test in the sense of </w:t>
      </w:r>
      <w:proofErr w:type="spellStart"/>
      <w:r w:rsidRPr="006F4C9E">
        <w:rPr>
          <w:color w:val="auto"/>
          <w:lang w:val="en-CA"/>
        </w:rPr>
        <w:t>Lévin</w:t>
      </w:r>
      <w:proofErr w:type="spellEnd"/>
      <w:r w:rsidRPr="006F4C9E">
        <w:rPr>
          <w:color w:val="auto"/>
          <w:lang w:val="en-CA"/>
        </w:rPr>
        <w:t xml:space="preserve">-Lin-Chu and </w:t>
      </w:r>
      <w:proofErr w:type="spellStart"/>
      <w:r w:rsidRPr="006F4C9E">
        <w:rPr>
          <w:color w:val="auto"/>
          <w:lang w:val="en-CA"/>
        </w:rPr>
        <w:t>Im</w:t>
      </w:r>
      <w:proofErr w:type="spellEnd"/>
      <w:r w:rsidRPr="006F4C9E">
        <w:rPr>
          <w:color w:val="auto"/>
          <w:lang w:val="en-CA"/>
        </w:rPr>
        <w:t xml:space="preserve"> </w:t>
      </w:r>
      <w:proofErr w:type="spellStart"/>
      <w:r w:rsidRPr="006F4C9E">
        <w:rPr>
          <w:color w:val="auto"/>
          <w:lang w:val="en-CA"/>
        </w:rPr>
        <w:t>Pesaran</w:t>
      </w:r>
      <w:proofErr w:type="spellEnd"/>
      <w:r w:rsidRPr="006F4C9E">
        <w:rPr>
          <w:color w:val="auto"/>
          <w:lang w:val="en-CA"/>
        </w:rPr>
        <w:t xml:space="preserve">-Shin (see Appendix 1). The results of the various estimates are summarised in the table below and can be interpreted in two parts. The first part </w:t>
      </w:r>
      <w:r w:rsidRPr="006F4C9E">
        <w:rPr>
          <w:i/>
          <w:color w:val="auto"/>
          <w:lang w:val="en-CA"/>
        </w:rPr>
        <w:t>starts from the basic model and gathers the results of columns (1a), (2a), and (3a) of equation (6) by considering successively the fixed, flexible and intermediate exchange rate regimes</w:t>
      </w:r>
      <w:r w:rsidRPr="006F4C9E">
        <w:rPr>
          <w:color w:val="auto"/>
          <w:lang w:val="en-CA"/>
        </w:rPr>
        <w:t xml:space="preserve">. The second part of the results is </w:t>
      </w:r>
      <w:r w:rsidRPr="006F4C9E">
        <w:rPr>
          <w:color w:val="auto"/>
          <w:lang w:val="en-CA"/>
        </w:rPr>
        <w:lastRenderedPageBreak/>
        <w:t xml:space="preserve">composed of </w:t>
      </w:r>
      <w:r w:rsidRPr="006F4C9E">
        <w:rPr>
          <w:i/>
          <w:color w:val="auto"/>
          <w:lang w:val="en-CA"/>
        </w:rPr>
        <w:t xml:space="preserve">the model in columns (1b), (2b), (3b) and (4) of equation (7) interacting the composite index of institutions and the exchange rate regimes (fixed, flexible and intermediate) </w:t>
      </w:r>
      <w:r w:rsidRPr="006F4C9E">
        <w:rPr>
          <w:color w:val="auto"/>
          <w:lang w:val="en-CA"/>
        </w:rPr>
        <w:t xml:space="preserve">of SSA countries.  </w:t>
      </w:r>
    </w:p>
    <w:p w14:paraId="5631E248" w14:textId="77777777" w:rsidR="00AC5FFC" w:rsidRPr="006F4C9E" w:rsidRDefault="00AC5FFC" w:rsidP="00AC5FFC">
      <w:pPr>
        <w:spacing w:after="160" w:line="259" w:lineRule="auto"/>
        <w:ind w:left="0" w:firstLine="0"/>
        <w:rPr>
          <w:color w:val="auto"/>
          <w:lang w:val="en-CA"/>
        </w:rPr>
      </w:pPr>
    </w:p>
    <w:p w14:paraId="52C2BFA5" w14:textId="77777777" w:rsidR="0055468F" w:rsidRPr="006F4C9E" w:rsidRDefault="007563B7" w:rsidP="00AC5FFC">
      <w:pPr>
        <w:spacing w:after="0" w:line="240" w:lineRule="auto"/>
        <w:ind w:left="0" w:firstLine="0"/>
        <w:rPr>
          <w:color w:val="auto"/>
          <w:lang w:val="en-CA"/>
        </w:rPr>
      </w:pPr>
      <w:r w:rsidRPr="006F4C9E">
        <w:rPr>
          <w:b/>
          <w:color w:val="auto"/>
          <w:lang w:val="en-CA"/>
        </w:rPr>
        <w:t xml:space="preserve">Table 1: Individual and combined effect of the composite index of exchange rate institutions on price stability in SSA countries </w:t>
      </w:r>
    </w:p>
    <w:tbl>
      <w:tblPr>
        <w:tblW w:w="10490" w:type="dxa"/>
        <w:tblInd w:w="-709" w:type="dxa"/>
        <w:tblCellMar>
          <w:left w:w="70" w:type="dxa"/>
          <w:right w:w="70" w:type="dxa"/>
        </w:tblCellMar>
        <w:tblLook w:val="04A0" w:firstRow="1" w:lastRow="0" w:firstColumn="1" w:lastColumn="0" w:noHBand="0" w:noVBand="1"/>
      </w:tblPr>
      <w:tblGrid>
        <w:gridCol w:w="2055"/>
        <w:gridCol w:w="1168"/>
        <w:gridCol w:w="1030"/>
        <w:gridCol w:w="1134"/>
        <w:gridCol w:w="992"/>
        <w:gridCol w:w="993"/>
        <w:gridCol w:w="850"/>
        <w:gridCol w:w="992"/>
        <w:gridCol w:w="1276"/>
      </w:tblGrid>
      <w:tr w:rsidR="00683654" w:rsidRPr="006F4C9E" w14:paraId="565D783A" w14:textId="77777777" w:rsidTr="007B7FBC">
        <w:trPr>
          <w:trHeight w:val="330"/>
        </w:trPr>
        <w:tc>
          <w:tcPr>
            <w:tcW w:w="2055" w:type="dxa"/>
            <w:tcBorders>
              <w:top w:val="single" w:sz="12" w:space="0" w:color="auto"/>
              <w:left w:val="nil"/>
              <w:bottom w:val="single" w:sz="8" w:space="0" w:color="auto"/>
              <w:right w:val="nil"/>
            </w:tcBorders>
            <w:shd w:val="clear" w:color="auto" w:fill="auto"/>
            <w:noWrap/>
            <w:vAlign w:val="bottom"/>
            <w:hideMark/>
          </w:tcPr>
          <w:p w14:paraId="143EEE77" w14:textId="77777777" w:rsidR="00683654" w:rsidRPr="006F4C9E" w:rsidRDefault="00683654" w:rsidP="00683654">
            <w:pPr>
              <w:spacing w:after="0" w:line="276" w:lineRule="auto"/>
              <w:ind w:left="0" w:firstLine="0"/>
              <w:jc w:val="center"/>
              <w:rPr>
                <w:b/>
                <w:bCs/>
                <w:color w:val="auto"/>
                <w:sz w:val="16"/>
                <w:szCs w:val="16"/>
              </w:rPr>
            </w:pPr>
            <w:r w:rsidRPr="006F4C9E">
              <w:rPr>
                <w:b/>
                <w:bCs/>
                <w:color w:val="auto"/>
                <w:sz w:val="16"/>
                <w:szCs w:val="16"/>
              </w:rPr>
              <w:t>VARIABLES</w:t>
            </w:r>
          </w:p>
        </w:tc>
        <w:tc>
          <w:tcPr>
            <w:tcW w:w="1168" w:type="dxa"/>
            <w:tcBorders>
              <w:top w:val="single" w:sz="12" w:space="0" w:color="auto"/>
              <w:left w:val="nil"/>
              <w:bottom w:val="single" w:sz="8" w:space="0" w:color="auto"/>
              <w:right w:val="nil"/>
            </w:tcBorders>
            <w:shd w:val="clear" w:color="auto" w:fill="auto"/>
            <w:noWrap/>
            <w:vAlign w:val="bottom"/>
            <w:hideMark/>
          </w:tcPr>
          <w:p w14:paraId="4D4F16AF" w14:textId="77777777" w:rsidR="00683654" w:rsidRPr="006F4C9E" w:rsidRDefault="00F22A5F" w:rsidP="00F22A5F">
            <w:pPr>
              <w:spacing w:after="0" w:line="276" w:lineRule="auto"/>
              <w:ind w:left="0" w:firstLine="0"/>
              <w:jc w:val="center"/>
              <w:rPr>
                <w:b/>
                <w:bCs/>
                <w:color w:val="auto"/>
                <w:sz w:val="16"/>
                <w:szCs w:val="16"/>
              </w:rPr>
            </w:pPr>
            <w:r w:rsidRPr="006F4C9E">
              <w:rPr>
                <w:b/>
                <w:bCs/>
                <w:color w:val="auto"/>
                <w:sz w:val="16"/>
                <w:szCs w:val="16"/>
              </w:rPr>
              <w:t>Model</w:t>
            </w:r>
            <w:r w:rsidR="00683654" w:rsidRPr="006F4C9E">
              <w:rPr>
                <w:b/>
                <w:bCs/>
                <w:color w:val="auto"/>
                <w:sz w:val="16"/>
                <w:szCs w:val="16"/>
              </w:rPr>
              <w:t xml:space="preserve"> </w:t>
            </w:r>
            <w:r w:rsidRPr="006F4C9E">
              <w:rPr>
                <w:b/>
                <w:bCs/>
                <w:color w:val="auto"/>
                <w:sz w:val="16"/>
                <w:szCs w:val="16"/>
              </w:rPr>
              <w:t>of</w:t>
            </w:r>
            <w:r w:rsidR="00683654" w:rsidRPr="006F4C9E">
              <w:rPr>
                <w:b/>
                <w:bCs/>
                <w:color w:val="auto"/>
                <w:sz w:val="16"/>
                <w:szCs w:val="16"/>
              </w:rPr>
              <w:t xml:space="preserve"> Base</w:t>
            </w:r>
          </w:p>
        </w:tc>
        <w:tc>
          <w:tcPr>
            <w:tcW w:w="1030" w:type="dxa"/>
            <w:tcBorders>
              <w:top w:val="single" w:sz="12" w:space="0" w:color="auto"/>
              <w:left w:val="nil"/>
              <w:bottom w:val="single" w:sz="8" w:space="0" w:color="auto"/>
              <w:right w:val="nil"/>
            </w:tcBorders>
            <w:shd w:val="clear" w:color="auto" w:fill="auto"/>
            <w:noWrap/>
            <w:vAlign w:val="bottom"/>
            <w:hideMark/>
          </w:tcPr>
          <w:p w14:paraId="6E260E0A" w14:textId="77777777" w:rsidR="00683654" w:rsidRPr="006F4C9E" w:rsidRDefault="00683654" w:rsidP="00F22A5F">
            <w:pPr>
              <w:spacing w:after="0" w:line="276" w:lineRule="auto"/>
              <w:ind w:left="0" w:firstLine="0"/>
              <w:jc w:val="center"/>
              <w:rPr>
                <w:b/>
                <w:bCs/>
                <w:color w:val="auto"/>
                <w:sz w:val="16"/>
                <w:szCs w:val="16"/>
              </w:rPr>
            </w:pPr>
            <w:r w:rsidRPr="006F4C9E">
              <w:rPr>
                <w:b/>
                <w:bCs/>
                <w:color w:val="auto"/>
                <w:sz w:val="16"/>
                <w:szCs w:val="16"/>
              </w:rPr>
              <w:t>Mod</w:t>
            </w:r>
            <w:r w:rsidR="00F22A5F" w:rsidRPr="006F4C9E">
              <w:rPr>
                <w:b/>
                <w:bCs/>
                <w:color w:val="auto"/>
                <w:sz w:val="16"/>
                <w:szCs w:val="16"/>
              </w:rPr>
              <w:t>el</w:t>
            </w:r>
            <w:r w:rsidRPr="006F4C9E">
              <w:rPr>
                <w:b/>
                <w:bCs/>
                <w:color w:val="auto"/>
                <w:sz w:val="16"/>
                <w:szCs w:val="16"/>
              </w:rPr>
              <w:t xml:space="preserve"> 1a</w:t>
            </w:r>
          </w:p>
        </w:tc>
        <w:tc>
          <w:tcPr>
            <w:tcW w:w="1134" w:type="dxa"/>
            <w:tcBorders>
              <w:top w:val="single" w:sz="12" w:space="0" w:color="auto"/>
              <w:left w:val="nil"/>
              <w:bottom w:val="single" w:sz="8" w:space="0" w:color="auto"/>
              <w:right w:val="nil"/>
            </w:tcBorders>
            <w:shd w:val="clear" w:color="auto" w:fill="auto"/>
            <w:noWrap/>
            <w:vAlign w:val="bottom"/>
            <w:hideMark/>
          </w:tcPr>
          <w:p w14:paraId="44F58700" w14:textId="77777777" w:rsidR="00683654" w:rsidRPr="006F4C9E" w:rsidRDefault="00683654" w:rsidP="00F22A5F">
            <w:pPr>
              <w:spacing w:after="0" w:line="276" w:lineRule="auto"/>
              <w:ind w:left="0" w:firstLine="0"/>
              <w:jc w:val="center"/>
              <w:rPr>
                <w:b/>
                <w:bCs/>
                <w:color w:val="auto"/>
                <w:sz w:val="16"/>
                <w:szCs w:val="16"/>
              </w:rPr>
            </w:pPr>
            <w:r w:rsidRPr="006F4C9E">
              <w:rPr>
                <w:b/>
                <w:bCs/>
                <w:color w:val="auto"/>
                <w:sz w:val="16"/>
                <w:szCs w:val="16"/>
              </w:rPr>
              <w:t>Mod</w:t>
            </w:r>
            <w:r w:rsidR="00F22A5F" w:rsidRPr="006F4C9E">
              <w:rPr>
                <w:b/>
                <w:bCs/>
                <w:color w:val="auto"/>
                <w:sz w:val="16"/>
                <w:szCs w:val="16"/>
              </w:rPr>
              <w:t xml:space="preserve">el   </w:t>
            </w:r>
            <w:r w:rsidRPr="006F4C9E">
              <w:rPr>
                <w:b/>
                <w:bCs/>
                <w:color w:val="auto"/>
                <w:sz w:val="16"/>
                <w:szCs w:val="16"/>
              </w:rPr>
              <w:t>1b</w:t>
            </w:r>
          </w:p>
        </w:tc>
        <w:tc>
          <w:tcPr>
            <w:tcW w:w="992" w:type="dxa"/>
            <w:tcBorders>
              <w:top w:val="single" w:sz="12" w:space="0" w:color="auto"/>
              <w:left w:val="nil"/>
              <w:bottom w:val="single" w:sz="8" w:space="0" w:color="auto"/>
              <w:right w:val="nil"/>
            </w:tcBorders>
            <w:shd w:val="clear" w:color="auto" w:fill="auto"/>
            <w:noWrap/>
            <w:vAlign w:val="bottom"/>
            <w:hideMark/>
          </w:tcPr>
          <w:p w14:paraId="1A48DE19" w14:textId="77777777" w:rsidR="00683654" w:rsidRPr="006F4C9E" w:rsidRDefault="00683654" w:rsidP="00F22A5F">
            <w:pPr>
              <w:spacing w:after="0" w:line="276" w:lineRule="auto"/>
              <w:ind w:left="0" w:firstLine="0"/>
              <w:jc w:val="center"/>
              <w:rPr>
                <w:b/>
                <w:bCs/>
                <w:color w:val="auto"/>
                <w:sz w:val="16"/>
                <w:szCs w:val="16"/>
              </w:rPr>
            </w:pPr>
            <w:r w:rsidRPr="006F4C9E">
              <w:rPr>
                <w:b/>
                <w:bCs/>
                <w:color w:val="auto"/>
                <w:sz w:val="16"/>
                <w:szCs w:val="16"/>
              </w:rPr>
              <w:t>Mod</w:t>
            </w:r>
            <w:r w:rsidR="00F22A5F" w:rsidRPr="006F4C9E">
              <w:rPr>
                <w:b/>
                <w:bCs/>
                <w:color w:val="auto"/>
                <w:sz w:val="16"/>
                <w:szCs w:val="16"/>
              </w:rPr>
              <w:t>el</w:t>
            </w:r>
            <w:r w:rsidRPr="006F4C9E">
              <w:rPr>
                <w:b/>
                <w:bCs/>
                <w:color w:val="auto"/>
                <w:sz w:val="16"/>
                <w:szCs w:val="16"/>
              </w:rPr>
              <w:t xml:space="preserve"> 2a</w:t>
            </w:r>
          </w:p>
        </w:tc>
        <w:tc>
          <w:tcPr>
            <w:tcW w:w="993" w:type="dxa"/>
            <w:tcBorders>
              <w:top w:val="single" w:sz="12" w:space="0" w:color="auto"/>
              <w:left w:val="nil"/>
              <w:bottom w:val="single" w:sz="8" w:space="0" w:color="auto"/>
              <w:right w:val="nil"/>
            </w:tcBorders>
            <w:shd w:val="clear" w:color="auto" w:fill="auto"/>
            <w:noWrap/>
            <w:vAlign w:val="bottom"/>
            <w:hideMark/>
          </w:tcPr>
          <w:p w14:paraId="787D296A" w14:textId="77777777" w:rsidR="00683654" w:rsidRPr="006F4C9E" w:rsidRDefault="00683654" w:rsidP="00F22A5F">
            <w:pPr>
              <w:spacing w:after="0" w:line="276" w:lineRule="auto"/>
              <w:ind w:left="0" w:firstLine="0"/>
              <w:jc w:val="center"/>
              <w:rPr>
                <w:b/>
                <w:bCs/>
                <w:color w:val="auto"/>
                <w:sz w:val="16"/>
                <w:szCs w:val="16"/>
              </w:rPr>
            </w:pPr>
            <w:r w:rsidRPr="006F4C9E">
              <w:rPr>
                <w:b/>
                <w:bCs/>
                <w:color w:val="auto"/>
                <w:sz w:val="16"/>
                <w:szCs w:val="16"/>
              </w:rPr>
              <w:t>Mod</w:t>
            </w:r>
            <w:r w:rsidR="00F22A5F" w:rsidRPr="006F4C9E">
              <w:rPr>
                <w:b/>
                <w:bCs/>
                <w:color w:val="auto"/>
                <w:sz w:val="16"/>
                <w:szCs w:val="16"/>
              </w:rPr>
              <w:t>el</w:t>
            </w:r>
            <w:r w:rsidRPr="006F4C9E">
              <w:rPr>
                <w:b/>
                <w:bCs/>
                <w:color w:val="auto"/>
                <w:sz w:val="16"/>
                <w:szCs w:val="16"/>
              </w:rPr>
              <w:t xml:space="preserve"> 2b</w:t>
            </w:r>
          </w:p>
        </w:tc>
        <w:tc>
          <w:tcPr>
            <w:tcW w:w="850" w:type="dxa"/>
            <w:tcBorders>
              <w:top w:val="single" w:sz="12" w:space="0" w:color="auto"/>
              <w:left w:val="nil"/>
              <w:bottom w:val="single" w:sz="8" w:space="0" w:color="auto"/>
              <w:right w:val="nil"/>
            </w:tcBorders>
            <w:shd w:val="clear" w:color="auto" w:fill="auto"/>
            <w:noWrap/>
            <w:vAlign w:val="bottom"/>
            <w:hideMark/>
          </w:tcPr>
          <w:p w14:paraId="74AABA85" w14:textId="77777777" w:rsidR="00683654" w:rsidRPr="006F4C9E" w:rsidRDefault="00683654" w:rsidP="00F22A5F">
            <w:pPr>
              <w:spacing w:after="0" w:line="276" w:lineRule="auto"/>
              <w:ind w:left="0" w:firstLine="0"/>
              <w:jc w:val="center"/>
              <w:rPr>
                <w:b/>
                <w:bCs/>
                <w:color w:val="auto"/>
                <w:sz w:val="16"/>
                <w:szCs w:val="16"/>
              </w:rPr>
            </w:pPr>
            <w:r w:rsidRPr="006F4C9E">
              <w:rPr>
                <w:b/>
                <w:bCs/>
                <w:color w:val="auto"/>
                <w:sz w:val="16"/>
                <w:szCs w:val="16"/>
              </w:rPr>
              <w:t>Mod</w:t>
            </w:r>
            <w:r w:rsidR="00F22A5F" w:rsidRPr="006F4C9E">
              <w:rPr>
                <w:b/>
                <w:bCs/>
                <w:color w:val="auto"/>
                <w:sz w:val="16"/>
                <w:szCs w:val="16"/>
              </w:rPr>
              <w:t>el</w:t>
            </w:r>
            <w:r w:rsidRPr="006F4C9E">
              <w:rPr>
                <w:b/>
                <w:bCs/>
                <w:color w:val="auto"/>
                <w:sz w:val="16"/>
                <w:szCs w:val="16"/>
              </w:rPr>
              <w:t xml:space="preserve"> 3a</w:t>
            </w:r>
          </w:p>
        </w:tc>
        <w:tc>
          <w:tcPr>
            <w:tcW w:w="992" w:type="dxa"/>
            <w:tcBorders>
              <w:top w:val="single" w:sz="12" w:space="0" w:color="auto"/>
              <w:left w:val="nil"/>
              <w:bottom w:val="single" w:sz="8" w:space="0" w:color="auto"/>
              <w:right w:val="nil"/>
            </w:tcBorders>
            <w:shd w:val="clear" w:color="auto" w:fill="auto"/>
            <w:noWrap/>
            <w:vAlign w:val="bottom"/>
            <w:hideMark/>
          </w:tcPr>
          <w:p w14:paraId="54C279A0" w14:textId="77777777" w:rsidR="00683654" w:rsidRPr="006F4C9E" w:rsidRDefault="00683654" w:rsidP="00F22A5F">
            <w:pPr>
              <w:spacing w:after="0" w:line="276" w:lineRule="auto"/>
              <w:ind w:left="0" w:firstLine="0"/>
              <w:jc w:val="center"/>
              <w:rPr>
                <w:b/>
                <w:bCs/>
                <w:color w:val="auto"/>
                <w:sz w:val="16"/>
                <w:szCs w:val="16"/>
              </w:rPr>
            </w:pPr>
            <w:r w:rsidRPr="006F4C9E">
              <w:rPr>
                <w:b/>
                <w:bCs/>
                <w:color w:val="auto"/>
                <w:sz w:val="16"/>
                <w:szCs w:val="16"/>
              </w:rPr>
              <w:t>Mod</w:t>
            </w:r>
            <w:r w:rsidR="00F22A5F" w:rsidRPr="006F4C9E">
              <w:rPr>
                <w:b/>
                <w:bCs/>
                <w:color w:val="auto"/>
                <w:sz w:val="16"/>
                <w:szCs w:val="16"/>
              </w:rPr>
              <w:t>el</w:t>
            </w:r>
            <w:r w:rsidRPr="006F4C9E">
              <w:rPr>
                <w:b/>
                <w:bCs/>
                <w:color w:val="auto"/>
                <w:sz w:val="16"/>
                <w:szCs w:val="16"/>
              </w:rPr>
              <w:t xml:space="preserve"> 3b</w:t>
            </w:r>
          </w:p>
        </w:tc>
        <w:tc>
          <w:tcPr>
            <w:tcW w:w="1276" w:type="dxa"/>
            <w:tcBorders>
              <w:top w:val="single" w:sz="12" w:space="0" w:color="auto"/>
              <w:left w:val="nil"/>
              <w:bottom w:val="single" w:sz="8" w:space="0" w:color="auto"/>
              <w:right w:val="nil"/>
            </w:tcBorders>
            <w:shd w:val="clear" w:color="auto" w:fill="auto"/>
            <w:noWrap/>
            <w:vAlign w:val="bottom"/>
            <w:hideMark/>
          </w:tcPr>
          <w:p w14:paraId="43C0CBF6" w14:textId="77777777" w:rsidR="00683654" w:rsidRPr="006F4C9E" w:rsidRDefault="00683654" w:rsidP="00F22A5F">
            <w:pPr>
              <w:spacing w:after="0" w:line="276" w:lineRule="auto"/>
              <w:ind w:left="0" w:firstLine="0"/>
              <w:jc w:val="center"/>
              <w:rPr>
                <w:b/>
                <w:bCs/>
                <w:color w:val="auto"/>
                <w:sz w:val="16"/>
                <w:szCs w:val="16"/>
              </w:rPr>
            </w:pPr>
            <w:r w:rsidRPr="006F4C9E">
              <w:rPr>
                <w:b/>
                <w:bCs/>
                <w:color w:val="auto"/>
                <w:sz w:val="16"/>
                <w:szCs w:val="16"/>
              </w:rPr>
              <w:t>Mod</w:t>
            </w:r>
            <w:r w:rsidR="00F22A5F" w:rsidRPr="006F4C9E">
              <w:rPr>
                <w:b/>
                <w:bCs/>
                <w:color w:val="auto"/>
                <w:sz w:val="16"/>
                <w:szCs w:val="16"/>
              </w:rPr>
              <w:t>el</w:t>
            </w:r>
            <w:r w:rsidRPr="006F4C9E">
              <w:rPr>
                <w:b/>
                <w:bCs/>
                <w:color w:val="auto"/>
                <w:sz w:val="16"/>
                <w:szCs w:val="16"/>
              </w:rPr>
              <w:t xml:space="preserve"> 4 </w:t>
            </w:r>
            <w:r w:rsidRPr="006F4C9E">
              <w:rPr>
                <w:b/>
                <w:bCs/>
                <w:color w:val="auto"/>
                <w:sz w:val="16"/>
                <w:szCs w:val="16"/>
                <w:vertAlign w:val="superscript"/>
              </w:rPr>
              <w:t>global</w:t>
            </w:r>
          </w:p>
        </w:tc>
      </w:tr>
      <w:tr w:rsidR="00683654" w:rsidRPr="006F4C9E" w14:paraId="7A2D756C" w14:textId="77777777" w:rsidTr="007B7FBC">
        <w:trPr>
          <w:trHeight w:val="300"/>
        </w:trPr>
        <w:tc>
          <w:tcPr>
            <w:tcW w:w="2055" w:type="dxa"/>
            <w:tcBorders>
              <w:top w:val="nil"/>
              <w:left w:val="nil"/>
              <w:bottom w:val="nil"/>
              <w:right w:val="nil"/>
            </w:tcBorders>
            <w:shd w:val="clear" w:color="auto" w:fill="auto"/>
            <w:noWrap/>
            <w:vAlign w:val="bottom"/>
            <w:hideMark/>
          </w:tcPr>
          <w:p w14:paraId="5ADA3D6F" w14:textId="77777777" w:rsidR="00683654" w:rsidRPr="006F4C9E" w:rsidRDefault="00683654" w:rsidP="00683654">
            <w:pPr>
              <w:spacing w:after="0" w:line="276" w:lineRule="auto"/>
              <w:ind w:left="0" w:firstLine="0"/>
              <w:jc w:val="center"/>
              <w:rPr>
                <w:b/>
                <w:bCs/>
                <w:color w:val="auto"/>
                <w:sz w:val="16"/>
                <w:szCs w:val="16"/>
              </w:rPr>
            </w:pPr>
            <w:r w:rsidRPr="006F4C9E">
              <w:rPr>
                <w:b/>
                <w:bCs/>
                <w:color w:val="auto"/>
                <w:sz w:val="16"/>
                <w:szCs w:val="16"/>
              </w:rPr>
              <w:t>L</w:t>
            </w:r>
            <w:proofErr w:type="gramStart"/>
            <w:r w:rsidRPr="006F4C9E">
              <w:rPr>
                <w:b/>
                <w:bCs/>
                <w:color w:val="auto"/>
                <w:sz w:val="16"/>
                <w:szCs w:val="16"/>
              </w:rPr>
              <w:t>1.stab</w:t>
            </w:r>
            <w:proofErr w:type="gramEnd"/>
            <w:r w:rsidRPr="006F4C9E">
              <w:rPr>
                <w:b/>
                <w:bCs/>
                <w:color w:val="auto"/>
                <w:sz w:val="16"/>
                <w:szCs w:val="16"/>
              </w:rPr>
              <w:t>_prix</w:t>
            </w:r>
          </w:p>
        </w:tc>
        <w:tc>
          <w:tcPr>
            <w:tcW w:w="1168" w:type="dxa"/>
            <w:tcBorders>
              <w:top w:val="nil"/>
              <w:left w:val="nil"/>
              <w:bottom w:val="nil"/>
              <w:right w:val="nil"/>
            </w:tcBorders>
            <w:shd w:val="clear" w:color="auto" w:fill="auto"/>
            <w:noWrap/>
            <w:vAlign w:val="bottom"/>
            <w:hideMark/>
          </w:tcPr>
          <w:p w14:paraId="0173A88A"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0.2691***</w:t>
            </w:r>
          </w:p>
        </w:tc>
        <w:tc>
          <w:tcPr>
            <w:tcW w:w="1030" w:type="dxa"/>
            <w:tcBorders>
              <w:top w:val="nil"/>
              <w:left w:val="nil"/>
              <w:bottom w:val="nil"/>
              <w:right w:val="nil"/>
            </w:tcBorders>
            <w:shd w:val="clear" w:color="auto" w:fill="auto"/>
            <w:noWrap/>
            <w:vAlign w:val="bottom"/>
            <w:hideMark/>
          </w:tcPr>
          <w:p w14:paraId="4D15681C"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0.3105***</w:t>
            </w:r>
          </w:p>
        </w:tc>
        <w:tc>
          <w:tcPr>
            <w:tcW w:w="1134" w:type="dxa"/>
            <w:tcBorders>
              <w:top w:val="nil"/>
              <w:left w:val="nil"/>
              <w:bottom w:val="nil"/>
              <w:right w:val="nil"/>
            </w:tcBorders>
            <w:shd w:val="clear" w:color="auto" w:fill="auto"/>
            <w:noWrap/>
            <w:vAlign w:val="bottom"/>
            <w:hideMark/>
          </w:tcPr>
          <w:p w14:paraId="4947D9EE"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0.3074***</w:t>
            </w:r>
          </w:p>
        </w:tc>
        <w:tc>
          <w:tcPr>
            <w:tcW w:w="992" w:type="dxa"/>
            <w:tcBorders>
              <w:top w:val="nil"/>
              <w:left w:val="nil"/>
              <w:bottom w:val="nil"/>
              <w:right w:val="nil"/>
            </w:tcBorders>
            <w:shd w:val="clear" w:color="auto" w:fill="auto"/>
            <w:noWrap/>
            <w:vAlign w:val="bottom"/>
            <w:hideMark/>
          </w:tcPr>
          <w:p w14:paraId="64806A02"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0.2721***</w:t>
            </w:r>
          </w:p>
        </w:tc>
        <w:tc>
          <w:tcPr>
            <w:tcW w:w="993" w:type="dxa"/>
            <w:tcBorders>
              <w:top w:val="nil"/>
              <w:left w:val="nil"/>
              <w:bottom w:val="nil"/>
              <w:right w:val="nil"/>
            </w:tcBorders>
            <w:shd w:val="clear" w:color="auto" w:fill="auto"/>
            <w:noWrap/>
            <w:vAlign w:val="bottom"/>
            <w:hideMark/>
          </w:tcPr>
          <w:p w14:paraId="2D6FB3CE"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0.2696***</w:t>
            </w:r>
          </w:p>
        </w:tc>
        <w:tc>
          <w:tcPr>
            <w:tcW w:w="850" w:type="dxa"/>
            <w:tcBorders>
              <w:top w:val="nil"/>
              <w:left w:val="nil"/>
              <w:bottom w:val="nil"/>
              <w:right w:val="nil"/>
            </w:tcBorders>
            <w:shd w:val="clear" w:color="auto" w:fill="auto"/>
            <w:noWrap/>
            <w:vAlign w:val="bottom"/>
            <w:hideMark/>
          </w:tcPr>
          <w:p w14:paraId="3151C0F3"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0.2794***</w:t>
            </w:r>
          </w:p>
        </w:tc>
        <w:tc>
          <w:tcPr>
            <w:tcW w:w="992" w:type="dxa"/>
            <w:tcBorders>
              <w:top w:val="nil"/>
              <w:left w:val="nil"/>
              <w:bottom w:val="nil"/>
              <w:right w:val="nil"/>
            </w:tcBorders>
            <w:shd w:val="clear" w:color="auto" w:fill="auto"/>
            <w:noWrap/>
            <w:vAlign w:val="bottom"/>
            <w:hideMark/>
          </w:tcPr>
          <w:p w14:paraId="2863FF53"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0.2741***</w:t>
            </w:r>
          </w:p>
        </w:tc>
        <w:tc>
          <w:tcPr>
            <w:tcW w:w="1276" w:type="dxa"/>
            <w:tcBorders>
              <w:top w:val="nil"/>
              <w:left w:val="nil"/>
              <w:bottom w:val="nil"/>
              <w:right w:val="nil"/>
            </w:tcBorders>
            <w:shd w:val="clear" w:color="auto" w:fill="auto"/>
            <w:noWrap/>
            <w:vAlign w:val="bottom"/>
            <w:hideMark/>
          </w:tcPr>
          <w:p w14:paraId="1F46CCD9"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0.2693***</w:t>
            </w:r>
          </w:p>
        </w:tc>
      </w:tr>
      <w:tr w:rsidR="00683654" w:rsidRPr="006F4C9E" w14:paraId="36D188F4" w14:textId="77777777" w:rsidTr="007B7FBC">
        <w:trPr>
          <w:trHeight w:val="300"/>
        </w:trPr>
        <w:tc>
          <w:tcPr>
            <w:tcW w:w="2055" w:type="dxa"/>
            <w:tcBorders>
              <w:top w:val="nil"/>
              <w:left w:val="nil"/>
              <w:bottom w:val="nil"/>
              <w:right w:val="nil"/>
            </w:tcBorders>
            <w:shd w:val="clear" w:color="auto" w:fill="auto"/>
            <w:noWrap/>
            <w:vAlign w:val="bottom"/>
            <w:hideMark/>
          </w:tcPr>
          <w:p w14:paraId="3CFEB336" w14:textId="77777777" w:rsidR="00683654" w:rsidRPr="006F4C9E" w:rsidRDefault="00683654" w:rsidP="00683654">
            <w:pPr>
              <w:spacing w:after="0" w:line="276" w:lineRule="auto"/>
              <w:ind w:left="0" w:firstLine="0"/>
              <w:jc w:val="center"/>
              <w:rPr>
                <w:color w:val="auto"/>
                <w:sz w:val="16"/>
                <w:szCs w:val="16"/>
              </w:rPr>
            </w:pPr>
          </w:p>
        </w:tc>
        <w:tc>
          <w:tcPr>
            <w:tcW w:w="1168" w:type="dxa"/>
            <w:tcBorders>
              <w:top w:val="nil"/>
              <w:left w:val="nil"/>
              <w:bottom w:val="nil"/>
              <w:right w:val="nil"/>
            </w:tcBorders>
            <w:shd w:val="clear" w:color="auto" w:fill="auto"/>
            <w:noWrap/>
            <w:vAlign w:val="bottom"/>
            <w:hideMark/>
          </w:tcPr>
          <w:p w14:paraId="122DE594"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(0.0281)</w:t>
            </w:r>
          </w:p>
        </w:tc>
        <w:tc>
          <w:tcPr>
            <w:tcW w:w="1030" w:type="dxa"/>
            <w:tcBorders>
              <w:top w:val="nil"/>
              <w:left w:val="nil"/>
              <w:bottom w:val="nil"/>
              <w:right w:val="nil"/>
            </w:tcBorders>
            <w:shd w:val="clear" w:color="auto" w:fill="auto"/>
            <w:noWrap/>
            <w:vAlign w:val="bottom"/>
            <w:hideMark/>
          </w:tcPr>
          <w:p w14:paraId="05CD12C5"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(0.0276)</w:t>
            </w:r>
          </w:p>
        </w:tc>
        <w:tc>
          <w:tcPr>
            <w:tcW w:w="1134" w:type="dxa"/>
            <w:tcBorders>
              <w:top w:val="nil"/>
              <w:left w:val="nil"/>
              <w:bottom w:val="nil"/>
              <w:right w:val="nil"/>
            </w:tcBorders>
            <w:shd w:val="clear" w:color="auto" w:fill="auto"/>
            <w:noWrap/>
            <w:vAlign w:val="bottom"/>
            <w:hideMark/>
          </w:tcPr>
          <w:p w14:paraId="2755C54B"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(0.0276)</w:t>
            </w:r>
          </w:p>
        </w:tc>
        <w:tc>
          <w:tcPr>
            <w:tcW w:w="992" w:type="dxa"/>
            <w:tcBorders>
              <w:top w:val="nil"/>
              <w:left w:val="nil"/>
              <w:bottom w:val="nil"/>
              <w:right w:val="nil"/>
            </w:tcBorders>
            <w:shd w:val="clear" w:color="auto" w:fill="auto"/>
            <w:noWrap/>
            <w:vAlign w:val="bottom"/>
            <w:hideMark/>
          </w:tcPr>
          <w:p w14:paraId="207E8ACA"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(0.0279)</w:t>
            </w:r>
          </w:p>
        </w:tc>
        <w:tc>
          <w:tcPr>
            <w:tcW w:w="993" w:type="dxa"/>
            <w:tcBorders>
              <w:top w:val="nil"/>
              <w:left w:val="nil"/>
              <w:bottom w:val="nil"/>
              <w:right w:val="nil"/>
            </w:tcBorders>
            <w:shd w:val="clear" w:color="auto" w:fill="auto"/>
            <w:noWrap/>
            <w:vAlign w:val="bottom"/>
            <w:hideMark/>
          </w:tcPr>
          <w:p w14:paraId="319F383B"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(0.0279)</w:t>
            </w:r>
          </w:p>
        </w:tc>
        <w:tc>
          <w:tcPr>
            <w:tcW w:w="850" w:type="dxa"/>
            <w:tcBorders>
              <w:top w:val="nil"/>
              <w:left w:val="nil"/>
              <w:bottom w:val="nil"/>
              <w:right w:val="nil"/>
            </w:tcBorders>
            <w:shd w:val="clear" w:color="auto" w:fill="auto"/>
            <w:noWrap/>
            <w:vAlign w:val="bottom"/>
            <w:hideMark/>
          </w:tcPr>
          <w:p w14:paraId="443D08E6"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(0.0282)</w:t>
            </w:r>
          </w:p>
        </w:tc>
        <w:tc>
          <w:tcPr>
            <w:tcW w:w="992" w:type="dxa"/>
            <w:tcBorders>
              <w:top w:val="nil"/>
              <w:left w:val="nil"/>
              <w:bottom w:val="nil"/>
              <w:right w:val="nil"/>
            </w:tcBorders>
            <w:shd w:val="clear" w:color="auto" w:fill="auto"/>
            <w:noWrap/>
            <w:vAlign w:val="bottom"/>
            <w:hideMark/>
          </w:tcPr>
          <w:p w14:paraId="748B34BF"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(0.0281)</w:t>
            </w:r>
          </w:p>
        </w:tc>
        <w:tc>
          <w:tcPr>
            <w:tcW w:w="1276" w:type="dxa"/>
            <w:tcBorders>
              <w:top w:val="nil"/>
              <w:left w:val="nil"/>
              <w:bottom w:val="nil"/>
              <w:right w:val="nil"/>
            </w:tcBorders>
            <w:shd w:val="clear" w:color="auto" w:fill="auto"/>
            <w:noWrap/>
            <w:vAlign w:val="bottom"/>
            <w:hideMark/>
          </w:tcPr>
          <w:p w14:paraId="1B737162"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(0.0282)</w:t>
            </w:r>
          </w:p>
        </w:tc>
      </w:tr>
      <w:tr w:rsidR="00683654" w:rsidRPr="006F4C9E" w14:paraId="5464AD14" w14:textId="77777777" w:rsidTr="007B7FBC">
        <w:trPr>
          <w:trHeight w:val="300"/>
        </w:trPr>
        <w:tc>
          <w:tcPr>
            <w:tcW w:w="2055" w:type="dxa"/>
            <w:tcBorders>
              <w:top w:val="nil"/>
              <w:left w:val="nil"/>
              <w:bottom w:val="nil"/>
              <w:right w:val="nil"/>
            </w:tcBorders>
            <w:shd w:val="clear" w:color="auto" w:fill="auto"/>
            <w:noWrap/>
            <w:vAlign w:val="bottom"/>
            <w:hideMark/>
          </w:tcPr>
          <w:p w14:paraId="1F7FD601" w14:textId="77777777" w:rsidR="00683654" w:rsidRPr="006F4C9E" w:rsidRDefault="00683654" w:rsidP="00683654">
            <w:pPr>
              <w:spacing w:after="0" w:line="276" w:lineRule="auto"/>
              <w:ind w:left="0" w:firstLine="0"/>
              <w:jc w:val="center"/>
              <w:rPr>
                <w:b/>
                <w:bCs/>
                <w:color w:val="auto"/>
                <w:sz w:val="16"/>
                <w:szCs w:val="16"/>
              </w:rPr>
            </w:pPr>
            <w:proofErr w:type="spellStart"/>
            <w:proofErr w:type="gramStart"/>
            <w:r w:rsidRPr="006F4C9E">
              <w:rPr>
                <w:b/>
                <w:bCs/>
                <w:color w:val="auto"/>
                <w:sz w:val="16"/>
                <w:szCs w:val="16"/>
              </w:rPr>
              <w:t>rc</w:t>
            </w:r>
            <w:proofErr w:type="gramEnd"/>
            <w:r w:rsidRPr="006F4C9E">
              <w:rPr>
                <w:b/>
                <w:bCs/>
                <w:color w:val="auto"/>
                <w:sz w:val="16"/>
                <w:szCs w:val="16"/>
              </w:rPr>
              <w:t>_fixe</w:t>
            </w:r>
            <w:proofErr w:type="spellEnd"/>
          </w:p>
        </w:tc>
        <w:tc>
          <w:tcPr>
            <w:tcW w:w="1168" w:type="dxa"/>
            <w:tcBorders>
              <w:top w:val="nil"/>
              <w:left w:val="nil"/>
              <w:bottom w:val="nil"/>
              <w:right w:val="nil"/>
            </w:tcBorders>
            <w:shd w:val="clear" w:color="auto" w:fill="auto"/>
            <w:noWrap/>
            <w:vAlign w:val="bottom"/>
            <w:hideMark/>
          </w:tcPr>
          <w:p w14:paraId="0641A448" w14:textId="77777777" w:rsidR="00683654" w:rsidRPr="006F4C9E" w:rsidRDefault="00683654" w:rsidP="00683654">
            <w:pPr>
              <w:spacing w:after="0" w:line="276" w:lineRule="auto"/>
              <w:ind w:left="0" w:firstLine="0"/>
              <w:jc w:val="center"/>
              <w:rPr>
                <w:b/>
                <w:bCs/>
                <w:color w:val="auto"/>
                <w:sz w:val="16"/>
                <w:szCs w:val="16"/>
              </w:rPr>
            </w:pPr>
            <w:r w:rsidRPr="006F4C9E">
              <w:rPr>
                <w:b/>
                <w:bCs/>
                <w:color w:val="auto"/>
                <w:sz w:val="16"/>
                <w:szCs w:val="16"/>
              </w:rPr>
              <w:t xml:space="preserve"> - 0.0760</w:t>
            </w:r>
            <w:r w:rsidRPr="006F4C9E">
              <w:rPr>
                <w:color w:val="auto"/>
                <w:sz w:val="16"/>
                <w:szCs w:val="16"/>
              </w:rPr>
              <w:t>***</w:t>
            </w:r>
          </w:p>
        </w:tc>
        <w:tc>
          <w:tcPr>
            <w:tcW w:w="1030" w:type="dxa"/>
            <w:tcBorders>
              <w:top w:val="nil"/>
              <w:left w:val="nil"/>
              <w:bottom w:val="nil"/>
              <w:right w:val="nil"/>
            </w:tcBorders>
            <w:shd w:val="clear" w:color="auto" w:fill="auto"/>
            <w:noWrap/>
            <w:vAlign w:val="bottom"/>
            <w:hideMark/>
          </w:tcPr>
          <w:p w14:paraId="1F480F50" w14:textId="77777777" w:rsidR="00683654" w:rsidRPr="006F4C9E" w:rsidRDefault="00683654" w:rsidP="00683654">
            <w:pPr>
              <w:spacing w:after="0" w:line="276" w:lineRule="auto"/>
              <w:ind w:left="0" w:firstLine="0"/>
              <w:jc w:val="center"/>
              <w:rPr>
                <w:b/>
                <w:bCs/>
                <w:color w:val="auto"/>
                <w:sz w:val="16"/>
                <w:szCs w:val="16"/>
              </w:rPr>
            </w:pPr>
            <w:r w:rsidRPr="006F4C9E">
              <w:rPr>
                <w:b/>
                <w:bCs/>
                <w:color w:val="auto"/>
                <w:sz w:val="16"/>
                <w:szCs w:val="16"/>
              </w:rPr>
              <w:t xml:space="preserve"> - 1.6090</w:t>
            </w:r>
            <w:r w:rsidRPr="006F4C9E">
              <w:rPr>
                <w:color w:val="auto"/>
                <w:sz w:val="16"/>
                <w:szCs w:val="16"/>
              </w:rPr>
              <w:t>***</w:t>
            </w:r>
          </w:p>
        </w:tc>
        <w:tc>
          <w:tcPr>
            <w:tcW w:w="1134" w:type="dxa"/>
            <w:tcBorders>
              <w:top w:val="nil"/>
              <w:left w:val="nil"/>
              <w:bottom w:val="nil"/>
              <w:right w:val="nil"/>
            </w:tcBorders>
            <w:shd w:val="clear" w:color="auto" w:fill="auto"/>
            <w:noWrap/>
            <w:vAlign w:val="bottom"/>
            <w:hideMark/>
          </w:tcPr>
          <w:p w14:paraId="2A802989"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w:t>
            </w:r>
            <w:r w:rsidRPr="006F4C9E">
              <w:rPr>
                <w:b/>
                <w:color w:val="auto"/>
                <w:sz w:val="16"/>
                <w:szCs w:val="16"/>
              </w:rPr>
              <w:t>1.5981***</w:t>
            </w:r>
          </w:p>
        </w:tc>
        <w:tc>
          <w:tcPr>
            <w:tcW w:w="992" w:type="dxa"/>
            <w:tcBorders>
              <w:top w:val="nil"/>
              <w:left w:val="nil"/>
              <w:bottom w:val="nil"/>
              <w:right w:val="nil"/>
            </w:tcBorders>
            <w:shd w:val="clear" w:color="auto" w:fill="auto"/>
            <w:noWrap/>
            <w:vAlign w:val="bottom"/>
            <w:hideMark/>
          </w:tcPr>
          <w:p w14:paraId="11C62C76" w14:textId="77777777" w:rsidR="00683654" w:rsidRPr="006F4C9E" w:rsidRDefault="00683654" w:rsidP="00683654">
            <w:pPr>
              <w:spacing w:after="0" w:line="276" w:lineRule="auto"/>
              <w:ind w:left="0" w:firstLine="0"/>
              <w:jc w:val="center"/>
              <w:rPr>
                <w:color w:val="auto"/>
                <w:sz w:val="16"/>
                <w:szCs w:val="16"/>
              </w:rPr>
            </w:pPr>
          </w:p>
        </w:tc>
        <w:tc>
          <w:tcPr>
            <w:tcW w:w="993" w:type="dxa"/>
            <w:tcBorders>
              <w:top w:val="nil"/>
              <w:left w:val="nil"/>
              <w:bottom w:val="nil"/>
              <w:right w:val="nil"/>
            </w:tcBorders>
            <w:shd w:val="clear" w:color="auto" w:fill="auto"/>
            <w:noWrap/>
            <w:vAlign w:val="bottom"/>
            <w:hideMark/>
          </w:tcPr>
          <w:p w14:paraId="7AA46D7A" w14:textId="77777777" w:rsidR="00683654" w:rsidRPr="006F4C9E" w:rsidRDefault="00683654" w:rsidP="00683654">
            <w:pPr>
              <w:spacing w:after="0" w:line="276" w:lineRule="auto"/>
              <w:ind w:left="0" w:firstLine="0"/>
              <w:jc w:val="center"/>
              <w:rPr>
                <w:color w:val="auto"/>
                <w:sz w:val="20"/>
                <w:szCs w:val="20"/>
              </w:rPr>
            </w:pPr>
          </w:p>
        </w:tc>
        <w:tc>
          <w:tcPr>
            <w:tcW w:w="850" w:type="dxa"/>
            <w:tcBorders>
              <w:top w:val="nil"/>
              <w:left w:val="nil"/>
              <w:bottom w:val="nil"/>
              <w:right w:val="nil"/>
            </w:tcBorders>
            <w:shd w:val="clear" w:color="auto" w:fill="auto"/>
            <w:noWrap/>
            <w:vAlign w:val="bottom"/>
            <w:hideMark/>
          </w:tcPr>
          <w:p w14:paraId="1108CD85" w14:textId="77777777" w:rsidR="00683654" w:rsidRPr="006F4C9E" w:rsidRDefault="00683654" w:rsidP="00683654">
            <w:pPr>
              <w:spacing w:after="0" w:line="276" w:lineRule="auto"/>
              <w:ind w:left="0" w:firstLine="0"/>
              <w:jc w:val="center"/>
              <w:rPr>
                <w:color w:val="auto"/>
                <w:sz w:val="20"/>
                <w:szCs w:val="20"/>
              </w:rPr>
            </w:pPr>
          </w:p>
        </w:tc>
        <w:tc>
          <w:tcPr>
            <w:tcW w:w="992" w:type="dxa"/>
            <w:tcBorders>
              <w:top w:val="nil"/>
              <w:left w:val="nil"/>
              <w:bottom w:val="nil"/>
              <w:right w:val="nil"/>
            </w:tcBorders>
            <w:shd w:val="clear" w:color="auto" w:fill="auto"/>
            <w:noWrap/>
            <w:vAlign w:val="bottom"/>
            <w:hideMark/>
          </w:tcPr>
          <w:p w14:paraId="19C125E2" w14:textId="77777777" w:rsidR="00683654" w:rsidRPr="006F4C9E" w:rsidRDefault="00683654" w:rsidP="00683654">
            <w:pPr>
              <w:spacing w:after="0" w:line="276" w:lineRule="auto"/>
              <w:ind w:lef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14:paraId="21D71C48" w14:textId="77777777" w:rsidR="00683654" w:rsidRPr="006F4C9E" w:rsidRDefault="00683654" w:rsidP="00683654">
            <w:pPr>
              <w:spacing w:after="0" w:line="276" w:lineRule="auto"/>
              <w:ind w:left="0" w:firstLine="0"/>
              <w:jc w:val="center"/>
              <w:rPr>
                <w:b/>
                <w:color w:val="auto"/>
                <w:sz w:val="16"/>
                <w:szCs w:val="16"/>
              </w:rPr>
            </w:pPr>
            <w:r w:rsidRPr="006F4C9E">
              <w:rPr>
                <w:color w:val="auto"/>
                <w:sz w:val="16"/>
                <w:szCs w:val="16"/>
              </w:rPr>
              <w:t xml:space="preserve"> </w:t>
            </w:r>
            <w:r w:rsidRPr="006F4C9E">
              <w:rPr>
                <w:b/>
                <w:color w:val="auto"/>
                <w:sz w:val="16"/>
                <w:szCs w:val="16"/>
              </w:rPr>
              <w:t>- 0.8899***</w:t>
            </w:r>
          </w:p>
        </w:tc>
      </w:tr>
      <w:tr w:rsidR="00683654" w:rsidRPr="006F4C9E" w14:paraId="1BC6D19D" w14:textId="77777777" w:rsidTr="007B7FBC">
        <w:trPr>
          <w:trHeight w:val="300"/>
        </w:trPr>
        <w:tc>
          <w:tcPr>
            <w:tcW w:w="2055" w:type="dxa"/>
            <w:tcBorders>
              <w:top w:val="nil"/>
              <w:left w:val="nil"/>
              <w:bottom w:val="nil"/>
              <w:right w:val="nil"/>
            </w:tcBorders>
            <w:shd w:val="clear" w:color="auto" w:fill="auto"/>
            <w:noWrap/>
            <w:vAlign w:val="bottom"/>
            <w:hideMark/>
          </w:tcPr>
          <w:p w14:paraId="3550B793" w14:textId="77777777" w:rsidR="00683654" w:rsidRPr="006F4C9E" w:rsidRDefault="00683654" w:rsidP="00683654">
            <w:pPr>
              <w:spacing w:after="0" w:line="276" w:lineRule="auto"/>
              <w:ind w:left="0" w:firstLine="0"/>
              <w:jc w:val="center"/>
              <w:rPr>
                <w:color w:val="auto"/>
                <w:sz w:val="16"/>
                <w:szCs w:val="16"/>
              </w:rPr>
            </w:pPr>
          </w:p>
        </w:tc>
        <w:tc>
          <w:tcPr>
            <w:tcW w:w="1168" w:type="dxa"/>
            <w:tcBorders>
              <w:top w:val="nil"/>
              <w:left w:val="nil"/>
              <w:bottom w:val="nil"/>
              <w:right w:val="nil"/>
            </w:tcBorders>
            <w:shd w:val="clear" w:color="auto" w:fill="auto"/>
            <w:noWrap/>
            <w:vAlign w:val="bottom"/>
            <w:hideMark/>
          </w:tcPr>
          <w:p w14:paraId="749F5E09"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(0.2725)</w:t>
            </w:r>
          </w:p>
        </w:tc>
        <w:tc>
          <w:tcPr>
            <w:tcW w:w="1030" w:type="dxa"/>
            <w:tcBorders>
              <w:top w:val="nil"/>
              <w:left w:val="nil"/>
              <w:bottom w:val="nil"/>
              <w:right w:val="nil"/>
            </w:tcBorders>
            <w:shd w:val="clear" w:color="auto" w:fill="auto"/>
            <w:noWrap/>
            <w:vAlign w:val="bottom"/>
            <w:hideMark/>
          </w:tcPr>
          <w:p w14:paraId="20E78518"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(0.2187)</w:t>
            </w:r>
          </w:p>
        </w:tc>
        <w:tc>
          <w:tcPr>
            <w:tcW w:w="1134" w:type="dxa"/>
            <w:tcBorders>
              <w:top w:val="nil"/>
              <w:left w:val="nil"/>
              <w:bottom w:val="nil"/>
              <w:right w:val="nil"/>
            </w:tcBorders>
            <w:shd w:val="clear" w:color="auto" w:fill="auto"/>
            <w:noWrap/>
            <w:vAlign w:val="bottom"/>
            <w:hideMark/>
          </w:tcPr>
          <w:p w14:paraId="6CE9AD14"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(0.2183)</w:t>
            </w:r>
          </w:p>
        </w:tc>
        <w:tc>
          <w:tcPr>
            <w:tcW w:w="992" w:type="dxa"/>
            <w:tcBorders>
              <w:top w:val="nil"/>
              <w:left w:val="nil"/>
              <w:bottom w:val="nil"/>
              <w:right w:val="nil"/>
            </w:tcBorders>
            <w:shd w:val="clear" w:color="auto" w:fill="auto"/>
            <w:noWrap/>
            <w:vAlign w:val="bottom"/>
            <w:hideMark/>
          </w:tcPr>
          <w:p w14:paraId="5BA1BD6B" w14:textId="77777777" w:rsidR="00683654" w:rsidRPr="006F4C9E" w:rsidRDefault="00683654" w:rsidP="00683654">
            <w:pPr>
              <w:spacing w:after="0" w:line="276" w:lineRule="auto"/>
              <w:ind w:left="0" w:firstLine="0"/>
              <w:jc w:val="center"/>
              <w:rPr>
                <w:color w:val="auto"/>
                <w:sz w:val="16"/>
                <w:szCs w:val="16"/>
              </w:rPr>
            </w:pPr>
          </w:p>
        </w:tc>
        <w:tc>
          <w:tcPr>
            <w:tcW w:w="993" w:type="dxa"/>
            <w:tcBorders>
              <w:top w:val="nil"/>
              <w:left w:val="nil"/>
              <w:bottom w:val="nil"/>
              <w:right w:val="nil"/>
            </w:tcBorders>
            <w:shd w:val="clear" w:color="auto" w:fill="auto"/>
            <w:noWrap/>
            <w:vAlign w:val="bottom"/>
            <w:hideMark/>
          </w:tcPr>
          <w:p w14:paraId="66EC941A" w14:textId="77777777" w:rsidR="00683654" w:rsidRPr="006F4C9E" w:rsidRDefault="00683654" w:rsidP="00683654">
            <w:pPr>
              <w:spacing w:after="0" w:line="276" w:lineRule="auto"/>
              <w:ind w:left="0" w:firstLine="0"/>
              <w:jc w:val="center"/>
              <w:rPr>
                <w:color w:val="auto"/>
                <w:sz w:val="20"/>
                <w:szCs w:val="20"/>
              </w:rPr>
            </w:pPr>
          </w:p>
        </w:tc>
        <w:tc>
          <w:tcPr>
            <w:tcW w:w="850" w:type="dxa"/>
            <w:tcBorders>
              <w:top w:val="nil"/>
              <w:left w:val="nil"/>
              <w:bottom w:val="nil"/>
              <w:right w:val="nil"/>
            </w:tcBorders>
            <w:shd w:val="clear" w:color="auto" w:fill="auto"/>
            <w:noWrap/>
            <w:vAlign w:val="bottom"/>
            <w:hideMark/>
          </w:tcPr>
          <w:p w14:paraId="1CFA884F" w14:textId="77777777" w:rsidR="00683654" w:rsidRPr="006F4C9E" w:rsidRDefault="00683654" w:rsidP="00683654">
            <w:pPr>
              <w:spacing w:after="0" w:line="276" w:lineRule="auto"/>
              <w:ind w:left="0" w:firstLine="0"/>
              <w:jc w:val="center"/>
              <w:rPr>
                <w:color w:val="auto"/>
                <w:sz w:val="20"/>
                <w:szCs w:val="20"/>
              </w:rPr>
            </w:pPr>
          </w:p>
        </w:tc>
        <w:tc>
          <w:tcPr>
            <w:tcW w:w="992" w:type="dxa"/>
            <w:tcBorders>
              <w:top w:val="nil"/>
              <w:left w:val="nil"/>
              <w:bottom w:val="nil"/>
              <w:right w:val="nil"/>
            </w:tcBorders>
            <w:shd w:val="clear" w:color="auto" w:fill="auto"/>
            <w:noWrap/>
            <w:vAlign w:val="bottom"/>
            <w:hideMark/>
          </w:tcPr>
          <w:p w14:paraId="524BF087" w14:textId="77777777" w:rsidR="00683654" w:rsidRPr="006F4C9E" w:rsidRDefault="00683654" w:rsidP="00683654">
            <w:pPr>
              <w:spacing w:after="0" w:line="276" w:lineRule="auto"/>
              <w:ind w:lef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14:paraId="46573CDD"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(0.3063)</w:t>
            </w:r>
          </w:p>
        </w:tc>
      </w:tr>
      <w:tr w:rsidR="00683654" w:rsidRPr="006F4C9E" w14:paraId="507190F0" w14:textId="77777777" w:rsidTr="007B7FBC">
        <w:trPr>
          <w:trHeight w:val="300"/>
        </w:trPr>
        <w:tc>
          <w:tcPr>
            <w:tcW w:w="2055" w:type="dxa"/>
            <w:tcBorders>
              <w:top w:val="nil"/>
              <w:left w:val="nil"/>
              <w:bottom w:val="nil"/>
              <w:right w:val="nil"/>
            </w:tcBorders>
            <w:shd w:val="clear" w:color="auto" w:fill="auto"/>
            <w:noWrap/>
            <w:vAlign w:val="bottom"/>
            <w:hideMark/>
          </w:tcPr>
          <w:p w14:paraId="35643A05" w14:textId="77777777" w:rsidR="00683654" w:rsidRPr="006F4C9E" w:rsidRDefault="00683654" w:rsidP="00683654">
            <w:pPr>
              <w:spacing w:after="0" w:line="276" w:lineRule="auto"/>
              <w:ind w:left="0" w:firstLine="0"/>
              <w:jc w:val="center"/>
              <w:rPr>
                <w:b/>
                <w:bCs/>
                <w:color w:val="auto"/>
                <w:sz w:val="16"/>
                <w:szCs w:val="16"/>
              </w:rPr>
            </w:pPr>
            <w:proofErr w:type="spellStart"/>
            <w:proofErr w:type="gramStart"/>
            <w:r w:rsidRPr="006F4C9E">
              <w:rPr>
                <w:b/>
                <w:bCs/>
                <w:color w:val="auto"/>
                <w:sz w:val="16"/>
                <w:szCs w:val="16"/>
              </w:rPr>
              <w:t>rc</w:t>
            </w:r>
            <w:proofErr w:type="gramEnd"/>
            <w:r w:rsidRPr="006F4C9E">
              <w:rPr>
                <w:b/>
                <w:bCs/>
                <w:color w:val="auto"/>
                <w:sz w:val="16"/>
                <w:szCs w:val="16"/>
              </w:rPr>
              <w:t>_flex</w:t>
            </w:r>
            <w:proofErr w:type="spellEnd"/>
          </w:p>
        </w:tc>
        <w:tc>
          <w:tcPr>
            <w:tcW w:w="1168" w:type="dxa"/>
            <w:tcBorders>
              <w:top w:val="nil"/>
              <w:left w:val="nil"/>
              <w:bottom w:val="nil"/>
              <w:right w:val="nil"/>
            </w:tcBorders>
            <w:shd w:val="clear" w:color="auto" w:fill="auto"/>
            <w:noWrap/>
            <w:vAlign w:val="bottom"/>
            <w:hideMark/>
          </w:tcPr>
          <w:p w14:paraId="61129E51" w14:textId="77777777" w:rsidR="00683654" w:rsidRPr="006F4C9E" w:rsidRDefault="00683654" w:rsidP="00683654">
            <w:pPr>
              <w:spacing w:after="0" w:line="276" w:lineRule="auto"/>
              <w:ind w:left="0" w:firstLine="0"/>
              <w:jc w:val="center"/>
              <w:rPr>
                <w:b/>
                <w:bCs/>
                <w:color w:val="auto"/>
                <w:sz w:val="16"/>
                <w:szCs w:val="16"/>
              </w:rPr>
            </w:pPr>
            <w:r w:rsidRPr="006F4C9E">
              <w:rPr>
                <w:b/>
                <w:bCs/>
                <w:color w:val="auto"/>
                <w:sz w:val="16"/>
                <w:szCs w:val="16"/>
              </w:rPr>
              <w:t>0.0925</w:t>
            </w:r>
            <w:r w:rsidRPr="006F4C9E">
              <w:rPr>
                <w:color w:val="auto"/>
                <w:sz w:val="16"/>
                <w:szCs w:val="16"/>
              </w:rPr>
              <w:t>***</w:t>
            </w:r>
          </w:p>
        </w:tc>
        <w:tc>
          <w:tcPr>
            <w:tcW w:w="1030" w:type="dxa"/>
            <w:tcBorders>
              <w:top w:val="nil"/>
              <w:left w:val="nil"/>
              <w:bottom w:val="nil"/>
              <w:right w:val="nil"/>
            </w:tcBorders>
            <w:shd w:val="clear" w:color="auto" w:fill="auto"/>
            <w:noWrap/>
            <w:vAlign w:val="bottom"/>
            <w:hideMark/>
          </w:tcPr>
          <w:p w14:paraId="225074BA" w14:textId="77777777" w:rsidR="00683654" w:rsidRPr="006F4C9E" w:rsidRDefault="00683654" w:rsidP="00683654">
            <w:pPr>
              <w:spacing w:after="0" w:line="276" w:lineRule="auto"/>
              <w:ind w:left="0" w:firstLine="0"/>
              <w:jc w:val="center"/>
              <w:rPr>
                <w:b/>
                <w:bCs/>
                <w:color w:val="auto"/>
                <w:sz w:val="16"/>
                <w:szCs w:val="16"/>
              </w:rPr>
            </w:pPr>
          </w:p>
        </w:tc>
        <w:tc>
          <w:tcPr>
            <w:tcW w:w="1134" w:type="dxa"/>
            <w:tcBorders>
              <w:top w:val="nil"/>
              <w:left w:val="nil"/>
              <w:bottom w:val="nil"/>
              <w:right w:val="nil"/>
            </w:tcBorders>
            <w:shd w:val="clear" w:color="auto" w:fill="auto"/>
            <w:noWrap/>
            <w:vAlign w:val="bottom"/>
            <w:hideMark/>
          </w:tcPr>
          <w:p w14:paraId="039ABB3F" w14:textId="77777777" w:rsidR="00683654" w:rsidRPr="006F4C9E" w:rsidRDefault="00683654" w:rsidP="00683654">
            <w:pPr>
              <w:spacing w:after="0" w:line="276" w:lineRule="auto"/>
              <w:ind w:lef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14:paraId="620E11CA" w14:textId="77777777" w:rsidR="00683654" w:rsidRPr="006F4C9E" w:rsidRDefault="00683654" w:rsidP="00683654">
            <w:pPr>
              <w:spacing w:after="0" w:line="276" w:lineRule="auto"/>
              <w:ind w:left="0" w:firstLine="0"/>
              <w:jc w:val="center"/>
              <w:rPr>
                <w:b/>
                <w:bCs/>
                <w:color w:val="auto"/>
                <w:sz w:val="16"/>
                <w:szCs w:val="16"/>
              </w:rPr>
            </w:pPr>
            <w:r w:rsidRPr="006F4C9E">
              <w:rPr>
                <w:b/>
                <w:bCs/>
                <w:color w:val="auto"/>
                <w:sz w:val="16"/>
                <w:szCs w:val="16"/>
              </w:rPr>
              <w:t>0.1651</w:t>
            </w:r>
            <w:r w:rsidRPr="006F4C9E">
              <w:rPr>
                <w:color w:val="auto"/>
                <w:sz w:val="16"/>
                <w:szCs w:val="16"/>
              </w:rPr>
              <w:t>***</w:t>
            </w:r>
          </w:p>
        </w:tc>
        <w:tc>
          <w:tcPr>
            <w:tcW w:w="993" w:type="dxa"/>
            <w:tcBorders>
              <w:top w:val="nil"/>
              <w:left w:val="nil"/>
              <w:bottom w:val="nil"/>
              <w:right w:val="nil"/>
            </w:tcBorders>
            <w:shd w:val="clear" w:color="auto" w:fill="auto"/>
            <w:noWrap/>
            <w:vAlign w:val="bottom"/>
            <w:hideMark/>
          </w:tcPr>
          <w:p w14:paraId="50CD4B2C" w14:textId="77777777" w:rsidR="00683654" w:rsidRPr="006F4C9E" w:rsidRDefault="00683654" w:rsidP="00683654">
            <w:pPr>
              <w:spacing w:after="0" w:line="276" w:lineRule="auto"/>
              <w:ind w:left="0" w:firstLine="0"/>
              <w:jc w:val="center"/>
              <w:rPr>
                <w:b/>
                <w:color w:val="auto"/>
                <w:sz w:val="16"/>
                <w:szCs w:val="16"/>
              </w:rPr>
            </w:pPr>
            <w:r w:rsidRPr="006F4C9E">
              <w:rPr>
                <w:b/>
                <w:color w:val="auto"/>
                <w:sz w:val="16"/>
                <w:szCs w:val="16"/>
              </w:rPr>
              <w:t>0.1649***</w:t>
            </w:r>
          </w:p>
        </w:tc>
        <w:tc>
          <w:tcPr>
            <w:tcW w:w="850" w:type="dxa"/>
            <w:tcBorders>
              <w:top w:val="nil"/>
              <w:left w:val="nil"/>
              <w:bottom w:val="nil"/>
              <w:right w:val="nil"/>
            </w:tcBorders>
            <w:shd w:val="clear" w:color="auto" w:fill="auto"/>
            <w:noWrap/>
            <w:vAlign w:val="bottom"/>
            <w:hideMark/>
          </w:tcPr>
          <w:p w14:paraId="6EC9BA30" w14:textId="77777777" w:rsidR="00683654" w:rsidRPr="006F4C9E" w:rsidRDefault="00683654" w:rsidP="00683654">
            <w:pPr>
              <w:spacing w:after="0" w:line="276" w:lineRule="auto"/>
              <w:ind w:left="0" w:firstLine="0"/>
              <w:jc w:val="center"/>
              <w:rPr>
                <w:color w:val="auto"/>
                <w:sz w:val="16"/>
                <w:szCs w:val="16"/>
              </w:rPr>
            </w:pPr>
          </w:p>
        </w:tc>
        <w:tc>
          <w:tcPr>
            <w:tcW w:w="992" w:type="dxa"/>
            <w:tcBorders>
              <w:top w:val="nil"/>
              <w:left w:val="nil"/>
              <w:bottom w:val="nil"/>
              <w:right w:val="nil"/>
            </w:tcBorders>
            <w:shd w:val="clear" w:color="auto" w:fill="auto"/>
            <w:noWrap/>
            <w:vAlign w:val="bottom"/>
            <w:hideMark/>
          </w:tcPr>
          <w:p w14:paraId="4BF8B028" w14:textId="77777777" w:rsidR="00683654" w:rsidRPr="006F4C9E" w:rsidRDefault="00683654" w:rsidP="00683654">
            <w:pPr>
              <w:spacing w:after="0" w:line="276" w:lineRule="auto"/>
              <w:ind w:lef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14:paraId="1E8ADDF4" w14:textId="77777777" w:rsidR="00683654" w:rsidRPr="006F4C9E" w:rsidRDefault="00683654" w:rsidP="00683654">
            <w:pPr>
              <w:spacing w:after="0" w:line="276" w:lineRule="auto"/>
              <w:ind w:left="0" w:firstLine="0"/>
              <w:jc w:val="center"/>
              <w:rPr>
                <w:b/>
                <w:color w:val="auto"/>
                <w:sz w:val="16"/>
                <w:szCs w:val="16"/>
              </w:rPr>
            </w:pPr>
            <w:r w:rsidRPr="006F4C9E">
              <w:rPr>
                <w:b/>
                <w:color w:val="auto"/>
                <w:sz w:val="16"/>
                <w:szCs w:val="16"/>
              </w:rPr>
              <w:t>0.0609</w:t>
            </w:r>
          </w:p>
        </w:tc>
      </w:tr>
      <w:tr w:rsidR="00683654" w:rsidRPr="006F4C9E" w14:paraId="4000E745" w14:textId="77777777" w:rsidTr="007B7FBC">
        <w:trPr>
          <w:trHeight w:val="300"/>
        </w:trPr>
        <w:tc>
          <w:tcPr>
            <w:tcW w:w="2055" w:type="dxa"/>
            <w:tcBorders>
              <w:top w:val="nil"/>
              <w:left w:val="nil"/>
              <w:bottom w:val="nil"/>
              <w:right w:val="nil"/>
            </w:tcBorders>
            <w:shd w:val="clear" w:color="auto" w:fill="auto"/>
            <w:noWrap/>
            <w:vAlign w:val="bottom"/>
            <w:hideMark/>
          </w:tcPr>
          <w:p w14:paraId="2FD222FA" w14:textId="77777777" w:rsidR="00683654" w:rsidRPr="006F4C9E" w:rsidRDefault="00683654" w:rsidP="00683654">
            <w:pPr>
              <w:spacing w:after="0" w:line="276" w:lineRule="auto"/>
              <w:ind w:left="0" w:firstLine="0"/>
              <w:jc w:val="center"/>
              <w:rPr>
                <w:color w:val="auto"/>
                <w:sz w:val="16"/>
                <w:szCs w:val="16"/>
              </w:rPr>
            </w:pPr>
          </w:p>
        </w:tc>
        <w:tc>
          <w:tcPr>
            <w:tcW w:w="1168" w:type="dxa"/>
            <w:tcBorders>
              <w:top w:val="nil"/>
              <w:left w:val="nil"/>
              <w:bottom w:val="nil"/>
              <w:right w:val="nil"/>
            </w:tcBorders>
            <w:shd w:val="clear" w:color="auto" w:fill="auto"/>
            <w:noWrap/>
            <w:vAlign w:val="bottom"/>
            <w:hideMark/>
          </w:tcPr>
          <w:p w14:paraId="2B9497DB"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(0.0322)</w:t>
            </w:r>
          </w:p>
        </w:tc>
        <w:tc>
          <w:tcPr>
            <w:tcW w:w="1030" w:type="dxa"/>
            <w:tcBorders>
              <w:top w:val="nil"/>
              <w:left w:val="nil"/>
              <w:bottom w:val="nil"/>
              <w:right w:val="nil"/>
            </w:tcBorders>
            <w:shd w:val="clear" w:color="auto" w:fill="auto"/>
            <w:noWrap/>
            <w:vAlign w:val="bottom"/>
            <w:hideMark/>
          </w:tcPr>
          <w:p w14:paraId="7E926786" w14:textId="77777777" w:rsidR="00683654" w:rsidRPr="006F4C9E" w:rsidRDefault="00683654" w:rsidP="00683654">
            <w:pPr>
              <w:spacing w:after="0" w:line="276" w:lineRule="auto"/>
              <w:ind w:left="0" w:firstLine="0"/>
              <w:jc w:val="center"/>
              <w:rPr>
                <w:color w:val="auto"/>
                <w:sz w:val="16"/>
                <w:szCs w:val="16"/>
              </w:rPr>
            </w:pPr>
          </w:p>
        </w:tc>
        <w:tc>
          <w:tcPr>
            <w:tcW w:w="1134" w:type="dxa"/>
            <w:tcBorders>
              <w:top w:val="nil"/>
              <w:left w:val="nil"/>
              <w:bottom w:val="nil"/>
              <w:right w:val="nil"/>
            </w:tcBorders>
            <w:shd w:val="clear" w:color="auto" w:fill="auto"/>
            <w:noWrap/>
            <w:vAlign w:val="bottom"/>
            <w:hideMark/>
          </w:tcPr>
          <w:p w14:paraId="519A7E02" w14:textId="77777777" w:rsidR="00683654" w:rsidRPr="006F4C9E" w:rsidRDefault="00683654" w:rsidP="00683654">
            <w:pPr>
              <w:spacing w:after="0" w:line="276" w:lineRule="auto"/>
              <w:ind w:lef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14:paraId="2EE0F628"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(0.0186)</w:t>
            </w:r>
          </w:p>
        </w:tc>
        <w:tc>
          <w:tcPr>
            <w:tcW w:w="993" w:type="dxa"/>
            <w:tcBorders>
              <w:top w:val="nil"/>
              <w:left w:val="nil"/>
              <w:bottom w:val="nil"/>
              <w:right w:val="nil"/>
            </w:tcBorders>
            <w:shd w:val="clear" w:color="auto" w:fill="auto"/>
            <w:noWrap/>
            <w:vAlign w:val="bottom"/>
            <w:hideMark/>
          </w:tcPr>
          <w:p w14:paraId="075037CC"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(0.0185)</w:t>
            </w:r>
          </w:p>
        </w:tc>
        <w:tc>
          <w:tcPr>
            <w:tcW w:w="850" w:type="dxa"/>
            <w:tcBorders>
              <w:top w:val="nil"/>
              <w:left w:val="nil"/>
              <w:bottom w:val="nil"/>
              <w:right w:val="nil"/>
            </w:tcBorders>
            <w:shd w:val="clear" w:color="auto" w:fill="auto"/>
            <w:noWrap/>
            <w:vAlign w:val="bottom"/>
            <w:hideMark/>
          </w:tcPr>
          <w:p w14:paraId="2B7949BA" w14:textId="77777777" w:rsidR="00683654" w:rsidRPr="006F4C9E" w:rsidRDefault="00683654" w:rsidP="00683654">
            <w:pPr>
              <w:spacing w:after="0" w:line="276" w:lineRule="auto"/>
              <w:ind w:left="0" w:firstLine="0"/>
              <w:jc w:val="center"/>
              <w:rPr>
                <w:color w:val="auto"/>
                <w:sz w:val="16"/>
                <w:szCs w:val="16"/>
              </w:rPr>
            </w:pPr>
          </w:p>
        </w:tc>
        <w:tc>
          <w:tcPr>
            <w:tcW w:w="992" w:type="dxa"/>
            <w:tcBorders>
              <w:top w:val="nil"/>
              <w:left w:val="nil"/>
              <w:bottom w:val="nil"/>
              <w:right w:val="nil"/>
            </w:tcBorders>
            <w:shd w:val="clear" w:color="auto" w:fill="auto"/>
            <w:noWrap/>
            <w:vAlign w:val="bottom"/>
            <w:hideMark/>
          </w:tcPr>
          <w:p w14:paraId="670E3C62" w14:textId="77777777" w:rsidR="00683654" w:rsidRPr="006F4C9E" w:rsidRDefault="00683654" w:rsidP="00683654">
            <w:pPr>
              <w:spacing w:after="0" w:line="276" w:lineRule="auto"/>
              <w:ind w:lef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14:paraId="282F774F"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(0.0502)</w:t>
            </w:r>
          </w:p>
        </w:tc>
      </w:tr>
      <w:tr w:rsidR="00683654" w:rsidRPr="006F4C9E" w14:paraId="48B9EA75" w14:textId="77777777" w:rsidTr="007B7FBC">
        <w:trPr>
          <w:trHeight w:val="300"/>
        </w:trPr>
        <w:tc>
          <w:tcPr>
            <w:tcW w:w="2055" w:type="dxa"/>
            <w:tcBorders>
              <w:top w:val="nil"/>
              <w:left w:val="nil"/>
              <w:bottom w:val="nil"/>
              <w:right w:val="nil"/>
            </w:tcBorders>
            <w:shd w:val="clear" w:color="auto" w:fill="auto"/>
            <w:noWrap/>
            <w:vAlign w:val="bottom"/>
            <w:hideMark/>
          </w:tcPr>
          <w:p w14:paraId="7DB5062C" w14:textId="77777777" w:rsidR="00683654" w:rsidRPr="006F4C9E" w:rsidRDefault="00683654" w:rsidP="00683654">
            <w:pPr>
              <w:spacing w:after="0" w:line="276" w:lineRule="auto"/>
              <w:ind w:left="0" w:firstLine="0"/>
              <w:jc w:val="center"/>
              <w:rPr>
                <w:b/>
                <w:bCs/>
                <w:color w:val="auto"/>
                <w:sz w:val="16"/>
                <w:szCs w:val="16"/>
              </w:rPr>
            </w:pPr>
            <w:proofErr w:type="spellStart"/>
            <w:proofErr w:type="gramStart"/>
            <w:r w:rsidRPr="006F4C9E">
              <w:rPr>
                <w:b/>
                <w:bCs/>
                <w:color w:val="auto"/>
                <w:sz w:val="16"/>
                <w:szCs w:val="16"/>
              </w:rPr>
              <w:t>rc</w:t>
            </w:r>
            <w:proofErr w:type="gramEnd"/>
            <w:r w:rsidRPr="006F4C9E">
              <w:rPr>
                <w:b/>
                <w:bCs/>
                <w:color w:val="auto"/>
                <w:sz w:val="16"/>
                <w:szCs w:val="16"/>
              </w:rPr>
              <w:t>_inter</w:t>
            </w:r>
            <w:proofErr w:type="spellEnd"/>
          </w:p>
        </w:tc>
        <w:tc>
          <w:tcPr>
            <w:tcW w:w="1168" w:type="dxa"/>
            <w:tcBorders>
              <w:top w:val="nil"/>
              <w:left w:val="nil"/>
              <w:bottom w:val="nil"/>
              <w:right w:val="nil"/>
            </w:tcBorders>
            <w:shd w:val="clear" w:color="auto" w:fill="auto"/>
            <w:noWrap/>
            <w:vAlign w:val="bottom"/>
            <w:hideMark/>
          </w:tcPr>
          <w:p w14:paraId="24BACA76" w14:textId="77777777" w:rsidR="00683654" w:rsidRPr="006F4C9E" w:rsidRDefault="00683654" w:rsidP="00683654">
            <w:pPr>
              <w:spacing w:after="0" w:line="276" w:lineRule="auto"/>
              <w:ind w:left="0" w:firstLine="0"/>
              <w:jc w:val="center"/>
              <w:rPr>
                <w:b/>
                <w:bCs/>
                <w:color w:val="auto"/>
                <w:sz w:val="16"/>
                <w:szCs w:val="16"/>
              </w:rPr>
            </w:pPr>
            <w:r w:rsidRPr="006F4C9E">
              <w:rPr>
                <w:b/>
                <w:bCs/>
                <w:color w:val="auto"/>
                <w:sz w:val="16"/>
                <w:szCs w:val="16"/>
              </w:rPr>
              <w:t>0.1286</w:t>
            </w:r>
            <w:r w:rsidRPr="006F4C9E">
              <w:rPr>
                <w:color w:val="auto"/>
                <w:sz w:val="16"/>
                <w:szCs w:val="16"/>
              </w:rPr>
              <w:t>*</w:t>
            </w:r>
          </w:p>
        </w:tc>
        <w:tc>
          <w:tcPr>
            <w:tcW w:w="1030" w:type="dxa"/>
            <w:tcBorders>
              <w:top w:val="nil"/>
              <w:left w:val="nil"/>
              <w:bottom w:val="nil"/>
              <w:right w:val="nil"/>
            </w:tcBorders>
            <w:shd w:val="clear" w:color="auto" w:fill="auto"/>
            <w:noWrap/>
            <w:vAlign w:val="bottom"/>
            <w:hideMark/>
          </w:tcPr>
          <w:p w14:paraId="2CF5C9BD" w14:textId="77777777" w:rsidR="00683654" w:rsidRPr="006F4C9E" w:rsidRDefault="00683654" w:rsidP="00683654">
            <w:pPr>
              <w:spacing w:after="0" w:line="276" w:lineRule="auto"/>
              <w:ind w:left="0" w:firstLine="0"/>
              <w:jc w:val="center"/>
              <w:rPr>
                <w:b/>
                <w:bCs/>
                <w:color w:val="auto"/>
                <w:sz w:val="16"/>
                <w:szCs w:val="16"/>
              </w:rPr>
            </w:pPr>
          </w:p>
        </w:tc>
        <w:tc>
          <w:tcPr>
            <w:tcW w:w="1134" w:type="dxa"/>
            <w:tcBorders>
              <w:top w:val="nil"/>
              <w:left w:val="nil"/>
              <w:bottom w:val="nil"/>
              <w:right w:val="nil"/>
            </w:tcBorders>
            <w:shd w:val="clear" w:color="auto" w:fill="auto"/>
            <w:noWrap/>
            <w:vAlign w:val="bottom"/>
            <w:hideMark/>
          </w:tcPr>
          <w:p w14:paraId="6C492C54" w14:textId="77777777" w:rsidR="00683654" w:rsidRPr="006F4C9E" w:rsidRDefault="00683654" w:rsidP="00683654">
            <w:pPr>
              <w:spacing w:after="0" w:line="276" w:lineRule="auto"/>
              <w:ind w:left="0" w:firstLine="0"/>
              <w:jc w:val="center"/>
              <w:rPr>
                <w:color w:val="auto"/>
                <w:sz w:val="20"/>
                <w:szCs w:val="20"/>
              </w:rPr>
            </w:pPr>
          </w:p>
        </w:tc>
        <w:tc>
          <w:tcPr>
            <w:tcW w:w="992" w:type="dxa"/>
            <w:tcBorders>
              <w:top w:val="nil"/>
              <w:left w:val="nil"/>
              <w:bottom w:val="nil"/>
              <w:right w:val="nil"/>
            </w:tcBorders>
            <w:shd w:val="clear" w:color="auto" w:fill="auto"/>
            <w:noWrap/>
            <w:vAlign w:val="bottom"/>
            <w:hideMark/>
          </w:tcPr>
          <w:p w14:paraId="4E367618" w14:textId="77777777" w:rsidR="00683654" w:rsidRPr="006F4C9E" w:rsidRDefault="00683654" w:rsidP="00683654">
            <w:pPr>
              <w:spacing w:after="0" w:line="276" w:lineRule="auto"/>
              <w:ind w:left="0" w:firstLine="0"/>
              <w:jc w:val="center"/>
              <w:rPr>
                <w:color w:val="auto"/>
                <w:sz w:val="20"/>
                <w:szCs w:val="20"/>
              </w:rPr>
            </w:pPr>
          </w:p>
        </w:tc>
        <w:tc>
          <w:tcPr>
            <w:tcW w:w="993" w:type="dxa"/>
            <w:tcBorders>
              <w:top w:val="nil"/>
              <w:left w:val="nil"/>
              <w:bottom w:val="nil"/>
              <w:right w:val="nil"/>
            </w:tcBorders>
            <w:shd w:val="clear" w:color="auto" w:fill="auto"/>
            <w:noWrap/>
            <w:vAlign w:val="bottom"/>
            <w:hideMark/>
          </w:tcPr>
          <w:p w14:paraId="1A5D5FFF" w14:textId="77777777" w:rsidR="00683654" w:rsidRPr="006F4C9E" w:rsidRDefault="00683654" w:rsidP="00683654">
            <w:pPr>
              <w:spacing w:after="0" w:line="276" w:lineRule="auto"/>
              <w:ind w:left="0" w:firstLine="0"/>
              <w:jc w:val="left"/>
              <w:rPr>
                <w:color w:val="auto"/>
                <w:sz w:val="20"/>
                <w:szCs w:val="20"/>
              </w:rPr>
            </w:pPr>
          </w:p>
        </w:tc>
        <w:tc>
          <w:tcPr>
            <w:tcW w:w="850" w:type="dxa"/>
            <w:tcBorders>
              <w:top w:val="nil"/>
              <w:left w:val="nil"/>
              <w:bottom w:val="nil"/>
              <w:right w:val="nil"/>
            </w:tcBorders>
            <w:shd w:val="clear" w:color="auto" w:fill="auto"/>
            <w:noWrap/>
            <w:vAlign w:val="bottom"/>
            <w:hideMark/>
          </w:tcPr>
          <w:p w14:paraId="0B3874FC" w14:textId="77777777" w:rsidR="00683654" w:rsidRPr="006F4C9E" w:rsidRDefault="00683654" w:rsidP="00683654">
            <w:pPr>
              <w:spacing w:after="0" w:line="276" w:lineRule="auto"/>
              <w:ind w:left="0" w:firstLine="0"/>
              <w:jc w:val="center"/>
              <w:rPr>
                <w:b/>
                <w:bCs/>
                <w:color w:val="auto"/>
                <w:sz w:val="16"/>
                <w:szCs w:val="16"/>
              </w:rPr>
            </w:pPr>
            <w:r w:rsidRPr="006F4C9E">
              <w:rPr>
                <w:b/>
                <w:bCs/>
                <w:color w:val="auto"/>
                <w:sz w:val="16"/>
                <w:szCs w:val="16"/>
              </w:rPr>
              <w:t>0.0404</w:t>
            </w:r>
            <w:r w:rsidRPr="006F4C9E">
              <w:rPr>
                <w:color w:val="auto"/>
                <w:sz w:val="16"/>
                <w:szCs w:val="16"/>
              </w:rPr>
              <w:t>***</w:t>
            </w:r>
          </w:p>
        </w:tc>
        <w:tc>
          <w:tcPr>
            <w:tcW w:w="992" w:type="dxa"/>
            <w:tcBorders>
              <w:top w:val="nil"/>
              <w:left w:val="nil"/>
              <w:bottom w:val="nil"/>
              <w:right w:val="nil"/>
            </w:tcBorders>
            <w:shd w:val="clear" w:color="auto" w:fill="auto"/>
            <w:noWrap/>
            <w:vAlign w:val="bottom"/>
            <w:hideMark/>
          </w:tcPr>
          <w:p w14:paraId="0FEC95A2" w14:textId="77777777" w:rsidR="00683654" w:rsidRPr="006F4C9E" w:rsidRDefault="00683654" w:rsidP="00683654">
            <w:pPr>
              <w:spacing w:after="0" w:line="276" w:lineRule="auto"/>
              <w:ind w:left="0" w:firstLine="0"/>
              <w:jc w:val="center"/>
              <w:rPr>
                <w:b/>
                <w:color w:val="auto"/>
                <w:sz w:val="16"/>
                <w:szCs w:val="16"/>
              </w:rPr>
            </w:pPr>
            <w:r w:rsidRPr="006F4C9E">
              <w:rPr>
                <w:b/>
                <w:color w:val="auto"/>
                <w:sz w:val="16"/>
                <w:szCs w:val="16"/>
              </w:rPr>
              <w:t>0.0436***</w:t>
            </w:r>
          </w:p>
        </w:tc>
        <w:tc>
          <w:tcPr>
            <w:tcW w:w="1276" w:type="dxa"/>
            <w:tcBorders>
              <w:top w:val="nil"/>
              <w:left w:val="nil"/>
              <w:bottom w:val="nil"/>
              <w:right w:val="nil"/>
            </w:tcBorders>
            <w:shd w:val="clear" w:color="auto" w:fill="auto"/>
            <w:noWrap/>
            <w:vAlign w:val="bottom"/>
            <w:hideMark/>
          </w:tcPr>
          <w:p w14:paraId="0235102B" w14:textId="77777777" w:rsidR="00683654" w:rsidRPr="006F4C9E" w:rsidRDefault="00683654" w:rsidP="00683654">
            <w:pPr>
              <w:spacing w:after="0" w:line="276" w:lineRule="auto"/>
              <w:ind w:left="0" w:firstLine="0"/>
              <w:jc w:val="center"/>
              <w:rPr>
                <w:b/>
                <w:color w:val="auto"/>
                <w:sz w:val="16"/>
                <w:szCs w:val="16"/>
              </w:rPr>
            </w:pPr>
            <w:r w:rsidRPr="006F4C9E">
              <w:rPr>
                <w:b/>
                <w:color w:val="auto"/>
                <w:sz w:val="16"/>
                <w:szCs w:val="16"/>
              </w:rPr>
              <w:t>0.1984*</w:t>
            </w:r>
          </w:p>
        </w:tc>
      </w:tr>
      <w:tr w:rsidR="00683654" w:rsidRPr="006F4C9E" w14:paraId="19F2224D" w14:textId="77777777" w:rsidTr="007B7FBC">
        <w:trPr>
          <w:trHeight w:val="300"/>
        </w:trPr>
        <w:tc>
          <w:tcPr>
            <w:tcW w:w="2055" w:type="dxa"/>
            <w:tcBorders>
              <w:top w:val="nil"/>
              <w:left w:val="nil"/>
              <w:bottom w:val="nil"/>
              <w:right w:val="nil"/>
            </w:tcBorders>
            <w:shd w:val="clear" w:color="auto" w:fill="auto"/>
            <w:noWrap/>
            <w:vAlign w:val="bottom"/>
            <w:hideMark/>
          </w:tcPr>
          <w:p w14:paraId="1F64641F" w14:textId="77777777" w:rsidR="00683654" w:rsidRPr="006F4C9E" w:rsidRDefault="00683654" w:rsidP="00683654">
            <w:pPr>
              <w:spacing w:after="0" w:line="276" w:lineRule="auto"/>
              <w:ind w:left="0" w:firstLine="0"/>
              <w:jc w:val="center"/>
              <w:rPr>
                <w:color w:val="auto"/>
                <w:sz w:val="16"/>
                <w:szCs w:val="16"/>
              </w:rPr>
            </w:pPr>
          </w:p>
        </w:tc>
        <w:tc>
          <w:tcPr>
            <w:tcW w:w="1168" w:type="dxa"/>
            <w:tcBorders>
              <w:top w:val="nil"/>
              <w:left w:val="nil"/>
              <w:bottom w:val="nil"/>
              <w:right w:val="nil"/>
            </w:tcBorders>
            <w:shd w:val="clear" w:color="auto" w:fill="auto"/>
            <w:noWrap/>
            <w:vAlign w:val="bottom"/>
            <w:hideMark/>
          </w:tcPr>
          <w:p w14:paraId="6961CD08"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(0.0815)</w:t>
            </w:r>
          </w:p>
        </w:tc>
        <w:tc>
          <w:tcPr>
            <w:tcW w:w="1030" w:type="dxa"/>
            <w:tcBorders>
              <w:top w:val="nil"/>
              <w:left w:val="nil"/>
              <w:bottom w:val="nil"/>
              <w:right w:val="nil"/>
            </w:tcBorders>
            <w:shd w:val="clear" w:color="auto" w:fill="auto"/>
            <w:noWrap/>
            <w:vAlign w:val="bottom"/>
            <w:hideMark/>
          </w:tcPr>
          <w:p w14:paraId="68038897" w14:textId="77777777" w:rsidR="00683654" w:rsidRPr="006F4C9E" w:rsidRDefault="00683654" w:rsidP="00683654">
            <w:pPr>
              <w:spacing w:after="0" w:line="276" w:lineRule="auto"/>
              <w:ind w:left="0" w:firstLine="0"/>
              <w:jc w:val="center"/>
              <w:rPr>
                <w:color w:val="auto"/>
                <w:sz w:val="16"/>
                <w:szCs w:val="16"/>
              </w:rPr>
            </w:pPr>
          </w:p>
        </w:tc>
        <w:tc>
          <w:tcPr>
            <w:tcW w:w="1134" w:type="dxa"/>
            <w:tcBorders>
              <w:top w:val="nil"/>
              <w:left w:val="nil"/>
              <w:bottom w:val="nil"/>
              <w:right w:val="nil"/>
            </w:tcBorders>
            <w:shd w:val="clear" w:color="auto" w:fill="auto"/>
            <w:noWrap/>
            <w:vAlign w:val="bottom"/>
            <w:hideMark/>
          </w:tcPr>
          <w:p w14:paraId="6A9BFD24" w14:textId="77777777" w:rsidR="00683654" w:rsidRPr="006F4C9E" w:rsidRDefault="00683654" w:rsidP="00683654">
            <w:pPr>
              <w:spacing w:after="0" w:line="276" w:lineRule="auto"/>
              <w:ind w:left="0" w:firstLine="0"/>
              <w:jc w:val="center"/>
              <w:rPr>
                <w:color w:val="auto"/>
                <w:sz w:val="20"/>
                <w:szCs w:val="20"/>
              </w:rPr>
            </w:pPr>
          </w:p>
        </w:tc>
        <w:tc>
          <w:tcPr>
            <w:tcW w:w="992" w:type="dxa"/>
            <w:tcBorders>
              <w:top w:val="nil"/>
              <w:left w:val="nil"/>
              <w:bottom w:val="nil"/>
              <w:right w:val="nil"/>
            </w:tcBorders>
            <w:shd w:val="clear" w:color="auto" w:fill="auto"/>
            <w:noWrap/>
            <w:vAlign w:val="bottom"/>
            <w:hideMark/>
          </w:tcPr>
          <w:p w14:paraId="7D4B4AAE" w14:textId="77777777" w:rsidR="00683654" w:rsidRPr="006F4C9E" w:rsidRDefault="00683654" w:rsidP="00683654">
            <w:pPr>
              <w:spacing w:after="0" w:line="276" w:lineRule="auto"/>
              <w:ind w:left="0" w:firstLine="0"/>
              <w:jc w:val="center"/>
              <w:rPr>
                <w:color w:val="auto"/>
                <w:sz w:val="20"/>
                <w:szCs w:val="20"/>
              </w:rPr>
            </w:pPr>
          </w:p>
        </w:tc>
        <w:tc>
          <w:tcPr>
            <w:tcW w:w="993" w:type="dxa"/>
            <w:tcBorders>
              <w:top w:val="nil"/>
              <w:left w:val="nil"/>
              <w:bottom w:val="nil"/>
              <w:right w:val="nil"/>
            </w:tcBorders>
            <w:shd w:val="clear" w:color="auto" w:fill="auto"/>
            <w:noWrap/>
            <w:vAlign w:val="bottom"/>
            <w:hideMark/>
          </w:tcPr>
          <w:p w14:paraId="4C7CF809" w14:textId="77777777" w:rsidR="00683654" w:rsidRPr="006F4C9E" w:rsidRDefault="00683654" w:rsidP="00683654">
            <w:pPr>
              <w:spacing w:after="0" w:line="276" w:lineRule="auto"/>
              <w:ind w:left="0" w:firstLine="0"/>
              <w:jc w:val="left"/>
              <w:rPr>
                <w:color w:val="auto"/>
                <w:sz w:val="20"/>
                <w:szCs w:val="20"/>
              </w:rPr>
            </w:pPr>
          </w:p>
        </w:tc>
        <w:tc>
          <w:tcPr>
            <w:tcW w:w="850" w:type="dxa"/>
            <w:tcBorders>
              <w:top w:val="nil"/>
              <w:left w:val="nil"/>
              <w:bottom w:val="nil"/>
              <w:right w:val="nil"/>
            </w:tcBorders>
            <w:shd w:val="clear" w:color="auto" w:fill="auto"/>
            <w:noWrap/>
            <w:vAlign w:val="bottom"/>
            <w:hideMark/>
          </w:tcPr>
          <w:p w14:paraId="714450CD"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(0.0550)</w:t>
            </w:r>
          </w:p>
        </w:tc>
        <w:tc>
          <w:tcPr>
            <w:tcW w:w="992" w:type="dxa"/>
            <w:tcBorders>
              <w:top w:val="nil"/>
              <w:left w:val="nil"/>
              <w:bottom w:val="nil"/>
              <w:right w:val="nil"/>
            </w:tcBorders>
            <w:shd w:val="clear" w:color="auto" w:fill="auto"/>
            <w:noWrap/>
            <w:vAlign w:val="bottom"/>
            <w:hideMark/>
          </w:tcPr>
          <w:p w14:paraId="64DCB903"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(0.0557)</w:t>
            </w:r>
          </w:p>
        </w:tc>
        <w:tc>
          <w:tcPr>
            <w:tcW w:w="1276" w:type="dxa"/>
            <w:tcBorders>
              <w:top w:val="nil"/>
              <w:left w:val="nil"/>
              <w:bottom w:val="nil"/>
              <w:right w:val="nil"/>
            </w:tcBorders>
            <w:shd w:val="clear" w:color="auto" w:fill="auto"/>
            <w:noWrap/>
            <w:vAlign w:val="bottom"/>
            <w:hideMark/>
          </w:tcPr>
          <w:p w14:paraId="02B2A1B4"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(0.1277)</w:t>
            </w:r>
          </w:p>
        </w:tc>
      </w:tr>
      <w:tr w:rsidR="00683654" w:rsidRPr="006F4C9E" w14:paraId="77BF13DE" w14:textId="77777777" w:rsidTr="007B7FBC">
        <w:trPr>
          <w:trHeight w:val="300"/>
        </w:trPr>
        <w:tc>
          <w:tcPr>
            <w:tcW w:w="2055" w:type="dxa"/>
            <w:tcBorders>
              <w:top w:val="nil"/>
              <w:left w:val="nil"/>
              <w:bottom w:val="nil"/>
              <w:right w:val="nil"/>
            </w:tcBorders>
            <w:shd w:val="clear" w:color="auto" w:fill="auto"/>
            <w:noWrap/>
            <w:vAlign w:val="bottom"/>
            <w:hideMark/>
          </w:tcPr>
          <w:p w14:paraId="791AA862" w14:textId="77777777" w:rsidR="00683654" w:rsidRPr="006F4C9E" w:rsidRDefault="00683654" w:rsidP="00683654">
            <w:pPr>
              <w:spacing w:after="0" w:line="276" w:lineRule="auto"/>
              <w:ind w:left="0" w:firstLine="0"/>
              <w:jc w:val="center"/>
              <w:rPr>
                <w:b/>
                <w:bCs/>
                <w:color w:val="auto"/>
                <w:sz w:val="16"/>
                <w:szCs w:val="16"/>
              </w:rPr>
            </w:pPr>
            <w:proofErr w:type="gramStart"/>
            <w:r w:rsidRPr="006F4C9E">
              <w:rPr>
                <w:b/>
                <w:bCs/>
                <w:color w:val="auto"/>
                <w:sz w:val="16"/>
                <w:szCs w:val="16"/>
              </w:rPr>
              <w:t>indice</w:t>
            </w:r>
            <w:proofErr w:type="gramEnd"/>
          </w:p>
        </w:tc>
        <w:tc>
          <w:tcPr>
            <w:tcW w:w="1168" w:type="dxa"/>
            <w:tcBorders>
              <w:top w:val="nil"/>
              <w:left w:val="nil"/>
              <w:bottom w:val="nil"/>
              <w:right w:val="nil"/>
            </w:tcBorders>
            <w:shd w:val="clear" w:color="auto" w:fill="auto"/>
            <w:noWrap/>
            <w:vAlign w:val="bottom"/>
            <w:hideMark/>
          </w:tcPr>
          <w:p w14:paraId="0EBAA23A" w14:textId="77777777" w:rsidR="00683654" w:rsidRPr="006F4C9E" w:rsidRDefault="00683654" w:rsidP="00683654">
            <w:pPr>
              <w:spacing w:after="0" w:line="276" w:lineRule="auto"/>
              <w:ind w:left="0" w:firstLine="0"/>
              <w:jc w:val="center"/>
              <w:rPr>
                <w:b/>
                <w:color w:val="auto"/>
                <w:sz w:val="16"/>
                <w:szCs w:val="16"/>
              </w:rPr>
            </w:pPr>
            <w:r w:rsidRPr="006F4C9E">
              <w:rPr>
                <w:b/>
                <w:color w:val="auto"/>
                <w:sz w:val="16"/>
                <w:szCs w:val="16"/>
              </w:rPr>
              <w:t>0.0003**</w:t>
            </w:r>
          </w:p>
        </w:tc>
        <w:tc>
          <w:tcPr>
            <w:tcW w:w="1030" w:type="dxa"/>
            <w:tcBorders>
              <w:top w:val="nil"/>
              <w:left w:val="nil"/>
              <w:bottom w:val="nil"/>
              <w:right w:val="nil"/>
            </w:tcBorders>
            <w:shd w:val="clear" w:color="auto" w:fill="auto"/>
            <w:noWrap/>
            <w:vAlign w:val="bottom"/>
            <w:hideMark/>
          </w:tcPr>
          <w:p w14:paraId="28EE50D5" w14:textId="77777777" w:rsidR="00683654" w:rsidRPr="006F4C9E" w:rsidRDefault="00683654" w:rsidP="00683654">
            <w:pPr>
              <w:spacing w:after="0" w:line="276" w:lineRule="auto"/>
              <w:ind w:left="0" w:firstLine="0"/>
              <w:jc w:val="center"/>
              <w:rPr>
                <w:b/>
                <w:color w:val="auto"/>
                <w:sz w:val="16"/>
                <w:szCs w:val="16"/>
              </w:rPr>
            </w:pPr>
            <w:r w:rsidRPr="006F4C9E">
              <w:rPr>
                <w:b/>
                <w:color w:val="auto"/>
                <w:sz w:val="16"/>
                <w:szCs w:val="16"/>
              </w:rPr>
              <w:t>0.0001</w:t>
            </w:r>
          </w:p>
        </w:tc>
        <w:tc>
          <w:tcPr>
            <w:tcW w:w="1134" w:type="dxa"/>
            <w:tcBorders>
              <w:top w:val="nil"/>
              <w:left w:val="nil"/>
              <w:bottom w:val="nil"/>
              <w:right w:val="nil"/>
            </w:tcBorders>
            <w:shd w:val="clear" w:color="auto" w:fill="auto"/>
            <w:noWrap/>
            <w:vAlign w:val="bottom"/>
            <w:hideMark/>
          </w:tcPr>
          <w:p w14:paraId="599FB2F9" w14:textId="77777777" w:rsidR="00683654" w:rsidRPr="006F4C9E" w:rsidRDefault="00683654" w:rsidP="00683654">
            <w:pPr>
              <w:spacing w:after="0" w:line="276" w:lineRule="auto"/>
              <w:ind w:left="0" w:firstLine="0"/>
              <w:jc w:val="center"/>
              <w:rPr>
                <w:b/>
                <w:bCs/>
                <w:color w:val="auto"/>
                <w:sz w:val="16"/>
                <w:szCs w:val="16"/>
              </w:rPr>
            </w:pPr>
            <w:r w:rsidRPr="006F4C9E">
              <w:rPr>
                <w:b/>
                <w:bCs/>
                <w:color w:val="auto"/>
                <w:sz w:val="16"/>
                <w:szCs w:val="16"/>
              </w:rPr>
              <w:t>-0.0007</w:t>
            </w:r>
          </w:p>
        </w:tc>
        <w:tc>
          <w:tcPr>
            <w:tcW w:w="992" w:type="dxa"/>
            <w:tcBorders>
              <w:top w:val="nil"/>
              <w:left w:val="nil"/>
              <w:bottom w:val="nil"/>
              <w:right w:val="nil"/>
            </w:tcBorders>
            <w:shd w:val="clear" w:color="auto" w:fill="auto"/>
            <w:noWrap/>
            <w:vAlign w:val="bottom"/>
            <w:hideMark/>
          </w:tcPr>
          <w:p w14:paraId="5EA1F21E" w14:textId="77777777" w:rsidR="00683654" w:rsidRPr="006F4C9E" w:rsidRDefault="00683654" w:rsidP="00683654">
            <w:pPr>
              <w:spacing w:after="0" w:line="276" w:lineRule="auto"/>
              <w:ind w:left="0" w:firstLine="0"/>
              <w:jc w:val="center"/>
              <w:rPr>
                <w:b/>
                <w:color w:val="auto"/>
                <w:sz w:val="16"/>
                <w:szCs w:val="16"/>
              </w:rPr>
            </w:pPr>
            <w:r w:rsidRPr="006F4C9E">
              <w:rPr>
                <w:b/>
                <w:color w:val="auto"/>
                <w:sz w:val="16"/>
                <w:szCs w:val="16"/>
              </w:rPr>
              <w:t>0.0005</w:t>
            </w:r>
          </w:p>
        </w:tc>
        <w:tc>
          <w:tcPr>
            <w:tcW w:w="993" w:type="dxa"/>
            <w:tcBorders>
              <w:top w:val="nil"/>
              <w:left w:val="nil"/>
              <w:bottom w:val="nil"/>
              <w:right w:val="nil"/>
            </w:tcBorders>
            <w:shd w:val="clear" w:color="auto" w:fill="auto"/>
            <w:noWrap/>
            <w:vAlign w:val="bottom"/>
            <w:hideMark/>
          </w:tcPr>
          <w:p w14:paraId="05D245D0" w14:textId="77777777" w:rsidR="00683654" w:rsidRPr="006F4C9E" w:rsidRDefault="00683654" w:rsidP="00683654">
            <w:pPr>
              <w:spacing w:after="0" w:line="276" w:lineRule="auto"/>
              <w:ind w:left="0" w:firstLine="0"/>
              <w:jc w:val="center"/>
              <w:rPr>
                <w:b/>
                <w:bCs/>
                <w:color w:val="auto"/>
                <w:sz w:val="16"/>
                <w:szCs w:val="16"/>
              </w:rPr>
            </w:pPr>
            <w:r w:rsidRPr="006F4C9E">
              <w:rPr>
                <w:b/>
                <w:bCs/>
                <w:color w:val="auto"/>
                <w:sz w:val="16"/>
                <w:szCs w:val="16"/>
              </w:rPr>
              <w:t>0.0020</w:t>
            </w:r>
          </w:p>
        </w:tc>
        <w:tc>
          <w:tcPr>
            <w:tcW w:w="850" w:type="dxa"/>
            <w:tcBorders>
              <w:top w:val="nil"/>
              <w:left w:val="nil"/>
              <w:bottom w:val="nil"/>
              <w:right w:val="nil"/>
            </w:tcBorders>
            <w:shd w:val="clear" w:color="auto" w:fill="auto"/>
            <w:noWrap/>
            <w:vAlign w:val="bottom"/>
            <w:hideMark/>
          </w:tcPr>
          <w:p w14:paraId="6ECCF907" w14:textId="77777777" w:rsidR="00683654" w:rsidRPr="006F4C9E" w:rsidRDefault="00683654" w:rsidP="00683654">
            <w:pPr>
              <w:spacing w:after="0" w:line="276" w:lineRule="auto"/>
              <w:ind w:left="0" w:firstLine="0"/>
              <w:jc w:val="center"/>
              <w:rPr>
                <w:b/>
                <w:color w:val="auto"/>
                <w:sz w:val="16"/>
                <w:szCs w:val="16"/>
              </w:rPr>
            </w:pPr>
            <w:r w:rsidRPr="006F4C9E">
              <w:rPr>
                <w:b/>
                <w:color w:val="auto"/>
                <w:sz w:val="16"/>
                <w:szCs w:val="16"/>
              </w:rPr>
              <w:t>0.0009</w:t>
            </w:r>
          </w:p>
        </w:tc>
        <w:tc>
          <w:tcPr>
            <w:tcW w:w="992" w:type="dxa"/>
            <w:tcBorders>
              <w:top w:val="nil"/>
              <w:left w:val="nil"/>
              <w:bottom w:val="nil"/>
              <w:right w:val="nil"/>
            </w:tcBorders>
            <w:shd w:val="clear" w:color="auto" w:fill="auto"/>
            <w:noWrap/>
            <w:vAlign w:val="bottom"/>
            <w:hideMark/>
          </w:tcPr>
          <w:p w14:paraId="487A71C9" w14:textId="77777777" w:rsidR="00683654" w:rsidRPr="006F4C9E" w:rsidRDefault="00683654" w:rsidP="00683654">
            <w:pPr>
              <w:spacing w:after="0" w:line="276" w:lineRule="auto"/>
              <w:ind w:left="0" w:firstLine="0"/>
              <w:jc w:val="center"/>
              <w:rPr>
                <w:b/>
                <w:bCs/>
                <w:color w:val="auto"/>
                <w:sz w:val="16"/>
                <w:szCs w:val="16"/>
              </w:rPr>
            </w:pPr>
            <w:r w:rsidRPr="006F4C9E">
              <w:rPr>
                <w:b/>
                <w:bCs/>
                <w:color w:val="auto"/>
                <w:sz w:val="16"/>
                <w:szCs w:val="16"/>
              </w:rPr>
              <w:t>0.0044</w:t>
            </w:r>
            <w:r w:rsidRPr="006F4C9E">
              <w:rPr>
                <w:color w:val="auto"/>
                <w:sz w:val="16"/>
                <w:szCs w:val="16"/>
              </w:rPr>
              <w:t>***</w:t>
            </w:r>
          </w:p>
        </w:tc>
        <w:tc>
          <w:tcPr>
            <w:tcW w:w="1276" w:type="dxa"/>
            <w:tcBorders>
              <w:top w:val="nil"/>
              <w:left w:val="nil"/>
              <w:bottom w:val="nil"/>
              <w:right w:val="nil"/>
            </w:tcBorders>
            <w:shd w:val="clear" w:color="auto" w:fill="auto"/>
            <w:noWrap/>
            <w:vAlign w:val="bottom"/>
            <w:hideMark/>
          </w:tcPr>
          <w:p w14:paraId="1C6C09C2" w14:textId="77777777" w:rsidR="00683654" w:rsidRPr="006F4C9E" w:rsidRDefault="00683654" w:rsidP="00683654">
            <w:pPr>
              <w:spacing w:after="0" w:line="276" w:lineRule="auto"/>
              <w:ind w:left="0" w:firstLine="0"/>
              <w:jc w:val="center"/>
              <w:rPr>
                <w:b/>
                <w:bCs/>
                <w:color w:val="auto"/>
                <w:sz w:val="16"/>
                <w:szCs w:val="16"/>
              </w:rPr>
            </w:pPr>
            <w:r w:rsidRPr="006F4C9E">
              <w:rPr>
                <w:b/>
                <w:bCs/>
                <w:color w:val="auto"/>
                <w:sz w:val="16"/>
                <w:szCs w:val="16"/>
              </w:rPr>
              <w:t>-0.0015</w:t>
            </w:r>
          </w:p>
        </w:tc>
      </w:tr>
      <w:tr w:rsidR="00683654" w:rsidRPr="006F4C9E" w14:paraId="3DBD0284" w14:textId="77777777" w:rsidTr="007B7FBC">
        <w:trPr>
          <w:trHeight w:val="300"/>
        </w:trPr>
        <w:tc>
          <w:tcPr>
            <w:tcW w:w="2055" w:type="dxa"/>
            <w:tcBorders>
              <w:top w:val="nil"/>
              <w:left w:val="nil"/>
              <w:bottom w:val="nil"/>
              <w:right w:val="nil"/>
            </w:tcBorders>
            <w:shd w:val="clear" w:color="auto" w:fill="auto"/>
            <w:noWrap/>
            <w:vAlign w:val="bottom"/>
            <w:hideMark/>
          </w:tcPr>
          <w:p w14:paraId="786A14EB" w14:textId="77777777" w:rsidR="00683654" w:rsidRPr="006F4C9E" w:rsidRDefault="00683654" w:rsidP="00683654">
            <w:pPr>
              <w:spacing w:after="0" w:line="276" w:lineRule="auto"/>
              <w:ind w:left="0" w:firstLine="0"/>
              <w:jc w:val="center"/>
              <w:rPr>
                <w:b/>
                <w:bCs/>
                <w:color w:val="auto"/>
                <w:sz w:val="16"/>
                <w:szCs w:val="16"/>
              </w:rPr>
            </w:pPr>
          </w:p>
        </w:tc>
        <w:tc>
          <w:tcPr>
            <w:tcW w:w="1168" w:type="dxa"/>
            <w:tcBorders>
              <w:top w:val="nil"/>
              <w:left w:val="nil"/>
              <w:bottom w:val="nil"/>
              <w:right w:val="nil"/>
            </w:tcBorders>
            <w:shd w:val="clear" w:color="auto" w:fill="auto"/>
            <w:noWrap/>
            <w:vAlign w:val="bottom"/>
            <w:hideMark/>
          </w:tcPr>
          <w:p w14:paraId="18B18385"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(0.0006)</w:t>
            </w:r>
          </w:p>
        </w:tc>
        <w:tc>
          <w:tcPr>
            <w:tcW w:w="1030" w:type="dxa"/>
            <w:tcBorders>
              <w:top w:val="nil"/>
              <w:left w:val="nil"/>
              <w:bottom w:val="nil"/>
              <w:right w:val="nil"/>
            </w:tcBorders>
            <w:shd w:val="clear" w:color="auto" w:fill="auto"/>
            <w:noWrap/>
            <w:vAlign w:val="bottom"/>
            <w:hideMark/>
          </w:tcPr>
          <w:p w14:paraId="6D0F3A70"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(0.0007)</w:t>
            </w:r>
          </w:p>
        </w:tc>
        <w:tc>
          <w:tcPr>
            <w:tcW w:w="1134" w:type="dxa"/>
            <w:tcBorders>
              <w:top w:val="nil"/>
              <w:left w:val="nil"/>
              <w:bottom w:val="nil"/>
              <w:right w:val="nil"/>
            </w:tcBorders>
            <w:shd w:val="clear" w:color="auto" w:fill="auto"/>
            <w:noWrap/>
            <w:vAlign w:val="bottom"/>
            <w:hideMark/>
          </w:tcPr>
          <w:p w14:paraId="7C41D292"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(0.0008)</w:t>
            </w:r>
          </w:p>
        </w:tc>
        <w:tc>
          <w:tcPr>
            <w:tcW w:w="992" w:type="dxa"/>
            <w:tcBorders>
              <w:top w:val="nil"/>
              <w:left w:val="nil"/>
              <w:bottom w:val="nil"/>
              <w:right w:val="nil"/>
            </w:tcBorders>
            <w:shd w:val="clear" w:color="auto" w:fill="auto"/>
            <w:noWrap/>
            <w:vAlign w:val="bottom"/>
            <w:hideMark/>
          </w:tcPr>
          <w:p w14:paraId="04381CDC"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(0.0006)</w:t>
            </w:r>
          </w:p>
        </w:tc>
        <w:tc>
          <w:tcPr>
            <w:tcW w:w="993" w:type="dxa"/>
            <w:tcBorders>
              <w:top w:val="nil"/>
              <w:left w:val="nil"/>
              <w:bottom w:val="nil"/>
              <w:right w:val="nil"/>
            </w:tcBorders>
            <w:shd w:val="clear" w:color="auto" w:fill="auto"/>
            <w:noWrap/>
            <w:vAlign w:val="bottom"/>
            <w:hideMark/>
          </w:tcPr>
          <w:p w14:paraId="77B7D419"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(0.0012)</w:t>
            </w:r>
          </w:p>
        </w:tc>
        <w:tc>
          <w:tcPr>
            <w:tcW w:w="850" w:type="dxa"/>
            <w:tcBorders>
              <w:top w:val="nil"/>
              <w:left w:val="nil"/>
              <w:bottom w:val="nil"/>
              <w:right w:val="nil"/>
            </w:tcBorders>
            <w:shd w:val="clear" w:color="auto" w:fill="auto"/>
            <w:noWrap/>
            <w:vAlign w:val="bottom"/>
            <w:hideMark/>
          </w:tcPr>
          <w:p w14:paraId="6250BB6A"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(0.0006)</w:t>
            </w:r>
          </w:p>
        </w:tc>
        <w:tc>
          <w:tcPr>
            <w:tcW w:w="992" w:type="dxa"/>
            <w:tcBorders>
              <w:top w:val="nil"/>
              <w:left w:val="nil"/>
              <w:bottom w:val="nil"/>
              <w:right w:val="nil"/>
            </w:tcBorders>
            <w:shd w:val="clear" w:color="auto" w:fill="auto"/>
            <w:noWrap/>
            <w:vAlign w:val="bottom"/>
            <w:hideMark/>
          </w:tcPr>
          <w:p w14:paraId="4E32C6EB"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(0.0013)</w:t>
            </w:r>
          </w:p>
        </w:tc>
        <w:tc>
          <w:tcPr>
            <w:tcW w:w="1276" w:type="dxa"/>
            <w:tcBorders>
              <w:top w:val="nil"/>
              <w:left w:val="nil"/>
              <w:bottom w:val="nil"/>
              <w:right w:val="nil"/>
            </w:tcBorders>
            <w:shd w:val="clear" w:color="auto" w:fill="auto"/>
            <w:noWrap/>
            <w:vAlign w:val="bottom"/>
            <w:hideMark/>
          </w:tcPr>
          <w:p w14:paraId="0D06176A"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(0.0003)</w:t>
            </w:r>
          </w:p>
        </w:tc>
      </w:tr>
      <w:tr w:rsidR="00683654" w:rsidRPr="006F4C9E" w14:paraId="1670B1A3" w14:textId="77777777" w:rsidTr="007B7FBC">
        <w:trPr>
          <w:trHeight w:val="300"/>
        </w:trPr>
        <w:tc>
          <w:tcPr>
            <w:tcW w:w="2055" w:type="dxa"/>
            <w:tcBorders>
              <w:top w:val="nil"/>
              <w:left w:val="nil"/>
              <w:bottom w:val="nil"/>
              <w:right w:val="nil"/>
            </w:tcBorders>
            <w:shd w:val="clear" w:color="auto" w:fill="auto"/>
            <w:noWrap/>
            <w:vAlign w:val="bottom"/>
            <w:hideMark/>
          </w:tcPr>
          <w:p w14:paraId="171666F6" w14:textId="77777777" w:rsidR="00683654" w:rsidRPr="006F4C9E" w:rsidRDefault="00683654" w:rsidP="00683654">
            <w:pPr>
              <w:spacing w:after="0" w:line="276" w:lineRule="auto"/>
              <w:ind w:left="0" w:firstLine="0"/>
              <w:jc w:val="center"/>
              <w:rPr>
                <w:b/>
                <w:bCs/>
                <w:color w:val="auto"/>
                <w:sz w:val="16"/>
                <w:szCs w:val="16"/>
              </w:rPr>
            </w:pPr>
            <w:proofErr w:type="spellStart"/>
            <w:proofErr w:type="gramStart"/>
            <w:r w:rsidRPr="006F4C9E">
              <w:rPr>
                <w:b/>
                <w:bCs/>
                <w:color w:val="auto"/>
                <w:sz w:val="16"/>
                <w:szCs w:val="16"/>
              </w:rPr>
              <w:t>ind</w:t>
            </w:r>
            <w:proofErr w:type="gramEnd"/>
            <w:r w:rsidRPr="006F4C9E">
              <w:rPr>
                <w:b/>
                <w:bCs/>
                <w:color w:val="auto"/>
                <w:sz w:val="16"/>
                <w:szCs w:val="16"/>
              </w:rPr>
              <w:t>_fixe</w:t>
            </w:r>
            <w:proofErr w:type="spellEnd"/>
          </w:p>
        </w:tc>
        <w:tc>
          <w:tcPr>
            <w:tcW w:w="1168" w:type="dxa"/>
            <w:tcBorders>
              <w:top w:val="nil"/>
              <w:left w:val="nil"/>
              <w:bottom w:val="nil"/>
              <w:right w:val="nil"/>
            </w:tcBorders>
            <w:shd w:val="clear" w:color="auto" w:fill="auto"/>
            <w:noWrap/>
            <w:vAlign w:val="bottom"/>
            <w:hideMark/>
          </w:tcPr>
          <w:p w14:paraId="51789926" w14:textId="77777777" w:rsidR="00683654" w:rsidRPr="006F4C9E" w:rsidRDefault="00683654" w:rsidP="00683654">
            <w:pPr>
              <w:spacing w:after="0" w:line="276" w:lineRule="auto"/>
              <w:ind w:left="0" w:firstLine="0"/>
              <w:jc w:val="center"/>
              <w:rPr>
                <w:b/>
                <w:bCs/>
                <w:color w:val="auto"/>
                <w:sz w:val="16"/>
                <w:szCs w:val="16"/>
              </w:rPr>
            </w:pPr>
          </w:p>
        </w:tc>
        <w:tc>
          <w:tcPr>
            <w:tcW w:w="1030" w:type="dxa"/>
            <w:tcBorders>
              <w:top w:val="nil"/>
              <w:left w:val="nil"/>
              <w:bottom w:val="nil"/>
              <w:right w:val="nil"/>
            </w:tcBorders>
            <w:shd w:val="clear" w:color="auto" w:fill="auto"/>
            <w:noWrap/>
            <w:vAlign w:val="bottom"/>
            <w:hideMark/>
          </w:tcPr>
          <w:p w14:paraId="1A981FF9" w14:textId="77777777" w:rsidR="00683654" w:rsidRPr="006F4C9E" w:rsidRDefault="00683654" w:rsidP="00683654">
            <w:pPr>
              <w:spacing w:after="0" w:line="276" w:lineRule="auto"/>
              <w:ind w:lef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14:paraId="590F4CC7" w14:textId="77777777" w:rsidR="00683654" w:rsidRPr="006F4C9E" w:rsidRDefault="00683654" w:rsidP="00683654">
            <w:pPr>
              <w:spacing w:after="0" w:line="276" w:lineRule="auto"/>
              <w:ind w:left="0" w:firstLine="0"/>
              <w:jc w:val="center"/>
              <w:rPr>
                <w:b/>
                <w:bCs/>
                <w:color w:val="auto"/>
                <w:sz w:val="16"/>
                <w:szCs w:val="16"/>
              </w:rPr>
            </w:pPr>
            <w:r w:rsidRPr="006F4C9E">
              <w:rPr>
                <w:b/>
                <w:bCs/>
                <w:color w:val="auto"/>
                <w:sz w:val="16"/>
                <w:szCs w:val="16"/>
              </w:rPr>
              <w:t>0.0032**</w:t>
            </w:r>
          </w:p>
        </w:tc>
        <w:tc>
          <w:tcPr>
            <w:tcW w:w="992" w:type="dxa"/>
            <w:tcBorders>
              <w:top w:val="nil"/>
              <w:left w:val="nil"/>
              <w:bottom w:val="nil"/>
              <w:right w:val="nil"/>
            </w:tcBorders>
            <w:shd w:val="clear" w:color="auto" w:fill="auto"/>
            <w:noWrap/>
            <w:vAlign w:val="bottom"/>
            <w:hideMark/>
          </w:tcPr>
          <w:p w14:paraId="3B014669" w14:textId="77777777" w:rsidR="00683654" w:rsidRPr="006F4C9E" w:rsidRDefault="00683654" w:rsidP="00683654">
            <w:pPr>
              <w:spacing w:after="0" w:line="276" w:lineRule="auto"/>
              <w:ind w:left="0" w:firstLine="0"/>
              <w:jc w:val="center"/>
              <w:rPr>
                <w:b/>
                <w:bCs/>
                <w:color w:val="auto"/>
                <w:sz w:val="16"/>
                <w:szCs w:val="16"/>
              </w:rPr>
            </w:pPr>
          </w:p>
        </w:tc>
        <w:tc>
          <w:tcPr>
            <w:tcW w:w="993" w:type="dxa"/>
            <w:tcBorders>
              <w:top w:val="nil"/>
              <w:left w:val="nil"/>
              <w:bottom w:val="nil"/>
              <w:right w:val="nil"/>
            </w:tcBorders>
            <w:shd w:val="clear" w:color="auto" w:fill="auto"/>
            <w:noWrap/>
            <w:vAlign w:val="bottom"/>
            <w:hideMark/>
          </w:tcPr>
          <w:p w14:paraId="3AF6F500" w14:textId="77777777" w:rsidR="00683654" w:rsidRPr="006F4C9E" w:rsidRDefault="00683654" w:rsidP="00683654">
            <w:pPr>
              <w:spacing w:after="0" w:line="276" w:lineRule="auto"/>
              <w:ind w:left="0" w:firstLine="0"/>
              <w:jc w:val="left"/>
              <w:rPr>
                <w:color w:val="auto"/>
                <w:sz w:val="20"/>
                <w:szCs w:val="20"/>
              </w:rPr>
            </w:pPr>
          </w:p>
        </w:tc>
        <w:tc>
          <w:tcPr>
            <w:tcW w:w="850" w:type="dxa"/>
            <w:tcBorders>
              <w:top w:val="nil"/>
              <w:left w:val="nil"/>
              <w:bottom w:val="nil"/>
              <w:right w:val="nil"/>
            </w:tcBorders>
            <w:shd w:val="clear" w:color="auto" w:fill="auto"/>
            <w:noWrap/>
            <w:vAlign w:val="bottom"/>
            <w:hideMark/>
          </w:tcPr>
          <w:p w14:paraId="2F21C616" w14:textId="77777777" w:rsidR="00683654" w:rsidRPr="006F4C9E" w:rsidRDefault="00683654" w:rsidP="00683654">
            <w:pPr>
              <w:spacing w:after="0" w:line="276" w:lineRule="auto"/>
              <w:ind w:lef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14:paraId="3DB8FF9A" w14:textId="77777777" w:rsidR="00683654" w:rsidRPr="006F4C9E" w:rsidRDefault="00683654" w:rsidP="00683654">
            <w:pPr>
              <w:spacing w:after="0" w:line="276" w:lineRule="auto"/>
              <w:ind w:lef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14:paraId="7D3286F7" w14:textId="77777777" w:rsidR="00683654" w:rsidRPr="006F4C9E" w:rsidRDefault="00683654" w:rsidP="00683654">
            <w:pPr>
              <w:spacing w:after="0" w:line="276" w:lineRule="auto"/>
              <w:ind w:left="0" w:firstLine="0"/>
              <w:jc w:val="center"/>
              <w:rPr>
                <w:b/>
                <w:bCs/>
                <w:color w:val="auto"/>
                <w:sz w:val="16"/>
                <w:szCs w:val="16"/>
              </w:rPr>
            </w:pPr>
            <w:r w:rsidRPr="006F4C9E">
              <w:rPr>
                <w:b/>
                <w:bCs/>
                <w:color w:val="auto"/>
                <w:sz w:val="16"/>
                <w:szCs w:val="16"/>
              </w:rPr>
              <w:t>0.0039</w:t>
            </w:r>
          </w:p>
        </w:tc>
      </w:tr>
      <w:tr w:rsidR="00683654" w:rsidRPr="006F4C9E" w14:paraId="25D7E52A" w14:textId="77777777" w:rsidTr="007B7FBC">
        <w:trPr>
          <w:trHeight w:val="300"/>
        </w:trPr>
        <w:tc>
          <w:tcPr>
            <w:tcW w:w="2055" w:type="dxa"/>
            <w:tcBorders>
              <w:top w:val="nil"/>
              <w:left w:val="nil"/>
              <w:bottom w:val="nil"/>
              <w:right w:val="nil"/>
            </w:tcBorders>
            <w:shd w:val="clear" w:color="auto" w:fill="auto"/>
            <w:noWrap/>
            <w:vAlign w:val="bottom"/>
            <w:hideMark/>
          </w:tcPr>
          <w:p w14:paraId="7C5B7016" w14:textId="77777777" w:rsidR="00683654" w:rsidRPr="006F4C9E" w:rsidRDefault="00683654" w:rsidP="00683654">
            <w:pPr>
              <w:spacing w:after="0" w:line="276" w:lineRule="auto"/>
              <w:ind w:left="0" w:firstLine="0"/>
              <w:jc w:val="center"/>
              <w:rPr>
                <w:b/>
                <w:bCs/>
                <w:color w:val="auto"/>
                <w:sz w:val="16"/>
                <w:szCs w:val="16"/>
              </w:rPr>
            </w:pPr>
          </w:p>
        </w:tc>
        <w:tc>
          <w:tcPr>
            <w:tcW w:w="1168" w:type="dxa"/>
            <w:tcBorders>
              <w:top w:val="nil"/>
              <w:left w:val="nil"/>
              <w:bottom w:val="nil"/>
              <w:right w:val="nil"/>
            </w:tcBorders>
            <w:shd w:val="clear" w:color="auto" w:fill="auto"/>
            <w:noWrap/>
            <w:vAlign w:val="bottom"/>
            <w:hideMark/>
          </w:tcPr>
          <w:p w14:paraId="5AE7ECD5" w14:textId="77777777" w:rsidR="00683654" w:rsidRPr="006F4C9E" w:rsidRDefault="00683654" w:rsidP="00683654">
            <w:pPr>
              <w:spacing w:after="0" w:line="276" w:lineRule="auto"/>
              <w:ind w:left="0" w:firstLine="0"/>
              <w:jc w:val="left"/>
              <w:rPr>
                <w:color w:val="auto"/>
                <w:sz w:val="20"/>
                <w:szCs w:val="20"/>
              </w:rPr>
            </w:pPr>
          </w:p>
        </w:tc>
        <w:tc>
          <w:tcPr>
            <w:tcW w:w="1030" w:type="dxa"/>
            <w:tcBorders>
              <w:top w:val="nil"/>
              <w:left w:val="nil"/>
              <w:bottom w:val="nil"/>
              <w:right w:val="nil"/>
            </w:tcBorders>
            <w:shd w:val="clear" w:color="auto" w:fill="auto"/>
            <w:noWrap/>
            <w:vAlign w:val="bottom"/>
            <w:hideMark/>
          </w:tcPr>
          <w:p w14:paraId="0E759680" w14:textId="77777777" w:rsidR="00683654" w:rsidRPr="006F4C9E" w:rsidRDefault="00683654" w:rsidP="00683654">
            <w:pPr>
              <w:spacing w:after="0" w:line="276" w:lineRule="auto"/>
              <w:ind w:lef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14:paraId="501B6E49"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(0.0015)</w:t>
            </w:r>
          </w:p>
        </w:tc>
        <w:tc>
          <w:tcPr>
            <w:tcW w:w="992" w:type="dxa"/>
            <w:tcBorders>
              <w:top w:val="nil"/>
              <w:left w:val="nil"/>
              <w:bottom w:val="nil"/>
              <w:right w:val="nil"/>
            </w:tcBorders>
            <w:shd w:val="clear" w:color="auto" w:fill="auto"/>
            <w:noWrap/>
            <w:vAlign w:val="bottom"/>
            <w:hideMark/>
          </w:tcPr>
          <w:p w14:paraId="4762D2CA" w14:textId="77777777" w:rsidR="00683654" w:rsidRPr="006F4C9E" w:rsidRDefault="00683654" w:rsidP="00683654">
            <w:pPr>
              <w:spacing w:after="0" w:line="276" w:lineRule="auto"/>
              <w:ind w:left="0" w:firstLine="0"/>
              <w:jc w:val="center"/>
              <w:rPr>
                <w:color w:val="auto"/>
                <w:sz w:val="16"/>
                <w:szCs w:val="16"/>
              </w:rPr>
            </w:pPr>
          </w:p>
        </w:tc>
        <w:tc>
          <w:tcPr>
            <w:tcW w:w="993" w:type="dxa"/>
            <w:tcBorders>
              <w:top w:val="nil"/>
              <w:left w:val="nil"/>
              <w:bottom w:val="nil"/>
              <w:right w:val="nil"/>
            </w:tcBorders>
            <w:shd w:val="clear" w:color="auto" w:fill="auto"/>
            <w:noWrap/>
            <w:vAlign w:val="bottom"/>
            <w:hideMark/>
          </w:tcPr>
          <w:p w14:paraId="353D7B48" w14:textId="77777777" w:rsidR="00683654" w:rsidRPr="006F4C9E" w:rsidRDefault="00683654" w:rsidP="00683654">
            <w:pPr>
              <w:spacing w:after="0" w:line="276" w:lineRule="auto"/>
              <w:ind w:left="0" w:firstLine="0"/>
              <w:jc w:val="left"/>
              <w:rPr>
                <w:color w:val="auto"/>
                <w:sz w:val="20"/>
                <w:szCs w:val="20"/>
              </w:rPr>
            </w:pPr>
          </w:p>
        </w:tc>
        <w:tc>
          <w:tcPr>
            <w:tcW w:w="850" w:type="dxa"/>
            <w:tcBorders>
              <w:top w:val="nil"/>
              <w:left w:val="nil"/>
              <w:bottom w:val="nil"/>
              <w:right w:val="nil"/>
            </w:tcBorders>
            <w:shd w:val="clear" w:color="auto" w:fill="auto"/>
            <w:noWrap/>
            <w:vAlign w:val="bottom"/>
            <w:hideMark/>
          </w:tcPr>
          <w:p w14:paraId="12AF4237" w14:textId="77777777" w:rsidR="00683654" w:rsidRPr="006F4C9E" w:rsidRDefault="00683654" w:rsidP="00683654">
            <w:pPr>
              <w:spacing w:after="0" w:line="276" w:lineRule="auto"/>
              <w:ind w:lef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14:paraId="688BEF47" w14:textId="77777777" w:rsidR="00683654" w:rsidRPr="006F4C9E" w:rsidRDefault="00683654" w:rsidP="00683654">
            <w:pPr>
              <w:spacing w:after="0" w:line="276" w:lineRule="auto"/>
              <w:ind w:lef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14:paraId="5B675294"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(0.0030)</w:t>
            </w:r>
          </w:p>
        </w:tc>
      </w:tr>
      <w:tr w:rsidR="00683654" w:rsidRPr="006F4C9E" w14:paraId="76802303" w14:textId="77777777" w:rsidTr="007B7FBC">
        <w:trPr>
          <w:trHeight w:val="300"/>
        </w:trPr>
        <w:tc>
          <w:tcPr>
            <w:tcW w:w="2055" w:type="dxa"/>
            <w:tcBorders>
              <w:top w:val="nil"/>
              <w:left w:val="nil"/>
              <w:bottom w:val="nil"/>
              <w:right w:val="nil"/>
            </w:tcBorders>
            <w:shd w:val="clear" w:color="auto" w:fill="auto"/>
            <w:noWrap/>
            <w:vAlign w:val="bottom"/>
            <w:hideMark/>
          </w:tcPr>
          <w:p w14:paraId="667F3739" w14:textId="77777777" w:rsidR="00683654" w:rsidRPr="006F4C9E" w:rsidRDefault="00683654" w:rsidP="00683654">
            <w:pPr>
              <w:spacing w:after="0" w:line="276" w:lineRule="auto"/>
              <w:ind w:left="0" w:firstLine="0"/>
              <w:jc w:val="center"/>
              <w:rPr>
                <w:b/>
                <w:bCs/>
                <w:color w:val="auto"/>
                <w:sz w:val="16"/>
                <w:szCs w:val="16"/>
              </w:rPr>
            </w:pPr>
            <w:proofErr w:type="spellStart"/>
            <w:proofErr w:type="gramStart"/>
            <w:r w:rsidRPr="006F4C9E">
              <w:rPr>
                <w:b/>
                <w:bCs/>
                <w:color w:val="auto"/>
                <w:sz w:val="16"/>
                <w:szCs w:val="16"/>
              </w:rPr>
              <w:t>ind</w:t>
            </w:r>
            <w:proofErr w:type="gramEnd"/>
            <w:r w:rsidRPr="006F4C9E">
              <w:rPr>
                <w:b/>
                <w:bCs/>
                <w:color w:val="auto"/>
                <w:sz w:val="16"/>
                <w:szCs w:val="16"/>
              </w:rPr>
              <w:t>_flex</w:t>
            </w:r>
            <w:proofErr w:type="spellEnd"/>
          </w:p>
        </w:tc>
        <w:tc>
          <w:tcPr>
            <w:tcW w:w="1168" w:type="dxa"/>
            <w:tcBorders>
              <w:top w:val="nil"/>
              <w:left w:val="nil"/>
              <w:bottom w:val="nil"/>
              <w:right w:val="nil"/>
            </w:tcBorders>
            <w:shd w:val="clear" w:color="auto" w:fill="auto"/>
            <w:noWrap/>
            <w:vAlign w:val="bottom"/>
            <w:hideMark/>
          </w:tcPr>
          <w:p w14:paraId="39768409" w14:textId="77777777" w:rsidR="00683654" w:rsidRPr="006F4C9E" w:rsidRDefault="00683654" w:rsidP="00683654">
            <w:pPr>
              <w:spacing w:after="0" w:line="276" w:lineRule="auto"/>
              <w:ind w:left="0" w:firstLine="0"/>
              <w:jc w:val="center"/>
              <w:rPr>
                <w:b/>
                <w:bCs/>
                <w:color w:val="auto"/>
                <w:sz w:val="16"/>
                <w:szCs w:val="16"/>
              </w:rPr>
            </w:pPr>
          </w:p>
        </w:tc>
        <w:tc>
          <w:tcPr>
            <w:tcW w:w="1030" w:type="dxa"/>
            <w:tcBorders>
              <w:top w:val="nil"/>
              <w:left w:val="nil"/>
              <w:bottom w:val="nil"/>
              <w:right w:val="nil"/>
            </w:tcBorders>
            <w:shd w:val="clear" w:color="auto" w:fill="auto"/>
            <w:noWrap/>
            <w:vAlign w:val="bottom"/>
            <w:hideMark/>
          </w:tcPr>
          <w:p w14:paraId="12B4308D" w14:textId="77777777" w:rsidR="00683654" w:rsidRPr="006F4C9E" w:rsidRDefault="00683654" w:rsidP="00683654">
            <w:pPr>
              <w:spacing w:after="0" w:line="276" w:lineRule="auto"/>
              <w:ind w:lef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14:paraId="25B75E8D" w14:textId="77777777" w:rsidR="00683654" w:rsidRPr="006F4C9E" w:rsidRDefault="00683654" w:rsidP="00683654">
            <w:pPr>
              <w:spacing w:after="0" w:line="276" w:lineRule="auto"/>
              <w:ind w:lef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14:paraId="06B30C16" w14:textId="77777777" w:rsidR="00683654" w:rsidRPr="006F4C9E" w:rsidRDefault="00683654" w:rsidP="00683654">
            <w:pPr>
              <w:spacing w:after="0" w:line="276" w:lineRule="auto"/>
              <w:ind w:left="0" w:firstLine="0"/>
              <w:jc w:val="center"/>
              <w:rPr>
                <w:color w:val="auto"/>
                <w:sz w:val="20"/>
                <w:szCs w:val="20"/>
              </w:rPr>
            </w:pPr>
          </w:p>
        </w:tc>
        <w:tc>
          <w:tcPr>
            <w:tcW w:w="993" w:type="dxa"/>
            <w:tcBorders>
              <w:top w:val="nil"/>
              <w:left w:val="nil"/>
              <w:bottom w:val="nil"/>
              <w:right w:val="nil"/>
            </w:tcBorders>
            <w:shd w:val="clear" w:color="auto" w:fill="auto"/>
            <w:noWrap/>
            <w:vAlign w:val="bottom"/>
            <w:hideMark/>
          </w:tcPr>
          <w:p w14:paraId="1DE358B3" w14:textId="77777777" w:rsidR="00683654" w:rsidRPr="006F4C9E" w:rsidRDefault="00683654" w:rsidP="00683654">
            <w:pPr>
              <w:spacing w:after="0" w:line="276" w:lineRule="auto"/>
              <w:ind w:left="0" w:firstLine="0"/>
              <w:jc w:val="center"/>
              <w:rPr>
                <w:b/>
                <w:bCs/>
                <w:color w:val="auto"/>
                <w:sz w:val="16"/>
                <w:szCs w:val="16"/>
              </w:rPr>
            </w:pPr>
            <w:r w:rsidRPr="006F4C9E">
              <w:rPr>
                <w:b/>
                <w:bCs/>
                <w:color w:val="auto"/>
                <w:sz w:val="16"/>
                <w:szCs w:val="16"/>
              </w:rPr>
              <w:t>0.0021</w:t>
            </w:r>
          </w:p>
        </w:tc>
        <w:tc>
          <w:tcPr>
            <w:tcW w:w="850" w:type="dxa"/>
            <w:tcBorders>
              <w:top w:val="nil"/>
              <w:left w:val="nil"/>
              <w:bottom w:val="nil"/>
              <w:right w:val="nil"/>
            </w:tcBorders>
            <w:shd w:val="clear" w:color="auto" w:fill="auto"/>
            <w:noWrap/>
            <w:vAlign w:val="bottom"/>
            <w:hideMark/>
          </w:tcPr>
          <w:p w14:paraId="35CE810D" w14:textId="77777777" w:rsidR="00683654" w:rsidRPr="006F4C9E" w:rsidRDefault="00683654" w:rsidP="00683654">
            <w:pPr>
              <w:spacing w:after="0" w:line="276" w:lineRule="auto"/>
              <w:ind w:left="0" w:firstLine="0"/>
              <w:jc w:val="center"/>
              <w:rPr>
                <w:b/>
                <w:bCs/>
                <w:color w:val="auto"/>
                <w:sz w:val="16"/>
                <w:szCs w:val="16"/>
              </w:rPr>
            </w:pPr>
          </w:p>
        </w:tc>
        <w:tc>
          <w:tcPr>
            <w:tcW w:w="992" w:type="dxa"/>
            <w:tcBorders>
              <w:top w:val="nil"/>
              <w:left w:val="nil"/>
              <w:bottom w:val="nil"/>
              <w:right w:val="nil"/>
            </w:tcBorders>
            <w:shd w:val="clear" w:color="auto" w:fill="auto"/>
            <w:noWrap/>
            <w:vAlign w:val="bottom"/>
            <w:hideMark/>
          </w:tcPr>
          <w:p w14:paraId="4E39A823" w14:textId="77777777" w:rsidR="00683654" w:rsidRPr="006F4C9E" w:rsidRDefault="00683654" w:rsidP="00683654">
            <w:pPr>
              <w:spacing w:after="0" w:line="276" w:lineRule="auto"/>
              <w:ind w:lef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14:paraId="14F42D72" w14:textId="77777777" w:rsidR="00683654" w:rsidRPr="006F4C9E" w:rsidRDefault="00683654" w:rsidP="00683654">
            <w:pPr>
              <w:spacing w:after="0" w:line="276" w:lineRule="auto"/>
              <w:ind w:left="0" w:firstLine="0"/>
              <w:jc w:val="center"/>
              <w:rPr>
                <w:b/>
                <w:bCs/>
                <w:color w:val="auto"/>
                <w:sz w:val="16"/>
                <w:szCs w:val="16"/>
              </w:rPr>
            </w:pPr>
            <w:r w:rsidRPr="006F4C9E">
              <w:rPr>
                <w:b/>
                <w:bCs/>
                <w:color w:val="auto"/>
                <w:sz w:val="16"/>
                <w:szCs w:val="16"/>
              </w:rPr>
              <w:t>0.0003</w:t>
            </w:r>
          </w:p>
        </w:tc>
      </w:tr>
      <w:tr w:rsidR="00683654" w:rsidRPr="006F4C9E" w14:paraId="171BBA3F" w14:textId="77777777" w:rsidTr="007B7FBC">
        <w:trPr>
          <w:trHeight w:val="300"/>
        </w:trPr>
        <w:tc>
          <w:tcPr>
            <w:tcW w:w="2055" w:type="dxa"/>
            <w:tcBorders>
              <w:top w:val="nil"/>
              <w:left w:val="nil"/>
              <w:bottom w:val="nil"/>
              <w:right w:val="nil"/>
            </w:tcBorders>
            <w:shd w:val="clear" w:color="auto" w:fill="auto"/>
            <w:noWrap/>
            <w:vAlign w:val="bottom"/>
            <w:hideMark/>
          </w:tcPr>
          <w:p w14:paraId="2CCC1790" w14:textId="77777777" w:rsidR="00683654" w:rsidRPr="006F4C9E" w:rsidRDefault="00683654" w:rsidP="00683654">
            <w:pPr>
              <w:spacing w:after="0" w:line="276" w:lineRule="auto"/>
              <w:ind w:left="0" w:firstLine="0"/>
              <w:jc w:val="center"/>
              <w:rPr>
                <w:b/>
                <w:bCs/>
                <w:color w:val="auto"/>
                <w:sz w:val="16"/>
                <w:szCs w:val="16"/>
              </w:rPr>
            </w:pPr>
          </w:p>
        </w:tc>
        <w:tc>
          <w:tcPr>
            <w:tcW w:w="1168" w:type="dxa"/>
            <w:tcBorders>
              <w:top w:val="nil"/>
              <w:left w:val="nil"/>
              <w:bottom w:val="nil"/>
              <w:right w:val="nil"/>
            </w:tcBorders>
            <w:shd w:val="clear" w:color="auto" w:fill="auto"/>
            <w:noWrap/>
            <w:vAlign w:val="bottom"/>
            <w:hideMark/>
          </w:tcPr>
          <w:p w14:paraId="2CB0B153" w14:textId="77777777" w:rsidR="00683654" w:rsidRPr="006F4C9E" w:rsidRDefault="00683654" w:rsidP="00683654">
            <w:pPr>
              <w:spacing w:after="0" w:line="276" w:lineRule="auto"/>
              <w:ind w:left="0" w:firstLine="0"/>
              <w:jc w:val="center"/>
              <w:rPr>
                <w:color w:val="auto"/>
                <w:sz w:val="20"/>
                <w:szCs w:val="20"/>
              </w:rPr>
            </w:pPr>
          </w:p>
        </w:tc>
        <w:tc>
          <w:tcPr>
            <w:tcW w:w="1030" w:type="dxa"/>
            <w:tcBorders>
              <w:top w:val="nil"/>
              <w:left w:val="nil"/>
              <w:bottom w:val="nil"/>
              <w:right w:val="nil"/>
            </w:tcBorders>
            <w:shd w:val="clear" w:color="auto" w:fill="auto"/>
            <w:noWrap/>
            <w:vAlign w:val="bottom"/>
            <w:hideMark/>
          </w:tcPr>
          <w:p w14:paraId="118F97F8" w14:textId="77777777" w:rsidR="00683654" w:rsidRPr="006F4C9E" w:rsidRDefault="00683654" w:rsidP="00683654">
            <w:pPr>
              <w:spacing w:after="0" w:line="276" w:lineRule="auto"/>
              <w:ind w:lef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14:paraId="4CC5BE43" w14:textId="77777777" w:rsidR="00683654" w:rsidRPr="006F4C9E" w:rsidRDefault="00683654" w:rsidP="00683654">
            <w:pPr>
              <w:spacing w:after="0" w:line="276" w:lineRule="auto"/>
              <w:ind w:lef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14:paraId="592100E2" w14:textId="77777777" w:rsidR="00683654" w:rsidRPr="006F4C9E" w:rsidRDefault="00683654" w:rsidP="00683654">
            <w:pPr>
              <w:spacing w:after="0" w:line="276" w:lineRule="auto"/>
              <w:ind w:left="0" w:firstLine="0"/>
              <w:jc w:val="center"/>
              <w:rPr>
                <w:color w:val="auto"/>
                <w:sz w:val="20"/>
                <w:szCs w:val="20"/>
              </w:rPr>
            </w:pPr>
          </w:p>
        </w:tc>
        <w:tc>
          <w:tcPr>
            <w:tcW w:w="993" w:type="dxa"/>
            <w:tcBorders>
              <w:top w:val="nil"/>
              <w:left w:val="nil"/>
              <w:bottom w:val="nil"/>
              <w:right w:val="nil"/>
            </w:tcBorders>
            <w:shd w:val="clear" w:color="auto" w:fill="auto"/>
            <w:noWrap/>
            <w:vAlign w:val="bottom"/>
            <w:hideMark/>
          </w:tcPr>
          <w:p w14:paraId="622BB132"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(0.0001)</w:t>
            </w:r>
          </w:p>
        </w:tc>
        <w:tc>
          <w:tcPr>
            <w:tcW w:w="850" w:type="dxa"/>
            <w:tcBorders>
              <w:top w:val="nil"/>
              <w:left w:val="nil"/>
              <w:bottom w:val="nil"/>
              <w:right w:val="nil"/>
            </w:tcBorders>
            <w:shd w:val="clear" w:color="auto" w:fill="auto"/>
            <w:noWrap/>
            <w:vAlign w:val="bottom"/>
            <w:hideMark/>
          </w:tcPr>
          <w:p w14:paraId="4139B5DD" w14:textId="77777777" w:rsidR="00683654" w:rsidRPr="006F4C9E" w:rsidRDefault="00683654" w:rsidP="00683654">
            <w:pPr>
              <w:spacing w:after="0" w:line="276" w:lineRule="auto"/>
              <w:ind w:left="0" w:firstLine="0"/>
              <w:jc w:val="center"/>
              <w:rPr>
                <w:color w:val="auto"/>
                <w:sz w:val="16"/>
                <w:szCs w:val="16"/>
              </w:rPr>
            </w:pPr>
          </w:p>
        </w:tc>
        <w:tc>
          <w:tcPr>
            <w:tcW w:w="992" w:type="dxa"/>
            <w:tcBorders>
              <w:top w:val="nil"/>
              <w:left w:val="nil"/>
              <w:bottom w:val="nil"/>
              <w:right w:val="nil"/>
            </w:tcBorders>
            <w:shd w:val="clear" w:color="auto" w:fill="auto"/>
            <w:noWrap/>
            <w:vAlign w:val="bottom"/>
            <w:hideMark/>
          </w:tcPr>
          <w:p w14:paraId="5E02ABEF" w14:textId="77777777" w:rsidR="00683654" w:rsidRPr="006F4C9E" w:rsidRDefault="00683654" w:rsidP="00683654">
            <w:pPr>
              <w:spacing w:after="0" w:line="276" w:lineRule="auto"/>
              <w:ind w:lef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14:paraId="278AE90F"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(0.0004)</w:t>
            </w:r>
          </w:p>
        </w:tc>
      </w:tr>
      <w:tr w:rsidR="00683654" w:rsidRPr="006F4C9E" w14:paraId="4D11DECD" w14:textId="77777777" w:rsidTr="007B7FBC">
        <w:trPr>
          <w:trHeight w:val="300"/>
        </w:trPr>
        <w:tc>
          <w:tcPr>
            <w:tcW w:w="2055" w:type="dxa"/>
            <w:tcBorders>
              <w:top w:val="nil"/>
              <w:left w:val="nil"/>
              <w:bottom w:val="nil"/>
              <w:right w:val="nil"/>
            </w:tcBorders>
            <w:shd w:val="clear" w:color="auto" w:fill="auto"/>
            <w:noWrap/>
            <w:vAlign w:val="bottom"/>
            <w:hideMark/>
          </w:tcPr>
          <w:p w14:paraId="1DC4B58A" w14:textId="77777777" w:rsidR="00683654" w:rsidRPr="006F4C9E" w:rsidRDefault="00683654" w:rsidP="00683654">
            <w:pPr>
              <w:spacing w:after="0" w:line="276" w:lineRule="auto"/>
              <w:ind w:left="0" w:firstLine="0"/>
              <w:jc w:val="center"/>
              <w:rPr>
                <w:b/>
                <w:bCs/>
                <w:color w:val="auto"/>
                <w:sz w:val="16"/>
                <w:szCs w:val="16"/>
              </w:rPr>
            </w:pPr>
            <w:proofErr w:type="spellStart"/>
            <w:proofErr w:type="gramStart"/>
            <w:r w:rsidRPr="006F4C9E">
              <w:rPr>
                <w:b/>
                <w:bCs/>
                <w:color w:val="auto"/>
                <w:sz w:val="16"/>
                <w:szCs w:val="16"/>
              </w:rPr>
              <w:t>ind</w:t>
            </w:r>
            <w:proofErr w:type="gramEnd"/>
            <w:r w:rsidRPr="006F4C9E">
              <w:rPr>
                <w:b/>
                <w:bCs/>
                <w:color w:val="auto"/>
                <w:sz w:val="16"/>
                <w:szCs w:val="16"/>
              </w:rPr>
              <w:t>_inter</w:t>
            </w:r>
            <w:proofErr w:type="spellEnd"/>
          </w:p>
        </w:tc>
        <w:tc>
          <w:tcPr>
            <w:tcW w:w="1168" w:type="dxa"/>
            <w:tcBorders>
              <w:top w:val="nil"/>
              <w:left w:val="nil"/>
              <w:bottom w:val="nil"/>
              <w:right w:val="nil"/>
            </w:tcBorders>
            <w:shd w:val="clear" w:color="auto" w:fill="auto"/>
            <w:noWrap/>
            <w:vAlign w:val="bottom"/>
            <w:hideMark/>
          </w:tcPr>
          <w:p w14:paraId="1E7540E2" w14:textId="77777777" w:rsidR="00683654" w:rsidRPr="006F4C9E" w:rsidRDefault="00683654" w:rsidP="00683654">
            <w:pPr>
              <w:spacing w:after="0" w:line="276" w:lineRule="auto"/>
              <w:ind w:left="0" w:firstLine="0"/>
              <w:jc w:val="center"/>
              <w:rPr>
                <w:b/>
                <w:bCs/>
                <w:color w:val="auto"/>
                <w:sz w:val="16"/>
                <w:szCs w:val="16"/>
              </w:rPr>
            </w:pPr>
          </w:p>
        </w:tc>
        <w:tc>
          <w:tcPr>
            <w:tcW w:w="1030" w:type="dxa"/>
            <w:tcBorders>
              <w:top w:val="nil"/>
              <w:left w:val="nil"/>
              <w:bottom w:val="nil"/>
              <w:right w:val="nil"/>
            </w:tcBorders>
            <w:shd w:val="clear" w:color="auto" w:fill="auto"/>
            <w:noWrap/>
            <w:vAlign w:val="bottom"/>
            <w:hideMark/>
          </w:tcPr>
          <w:p w14:paraId="1346D819" w14:textId="77777777" w:rsidR="00683654" w:rsidRPr="006F4C9E" w:rsidRDefault="00683654" w:rsidP="00683654">
            <w:pPr>
              <w:spacing w:after="0" w:line="276" w:lineRule="auto"/>
              <w:ind w:lef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14:paraId="1FDD0130" w14:textId="77777777" w:rsidR="00683654" w:rsidRPr="006F4C9E" w:rsidRDefault="00683654" w:rsidP="00683654">
            <w:pPr>
              <w:spacing w:after="0" w:line="276" w:lineRule="auto"/>
              <w:ind w:lef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14:paraId="7C835A90" w14:textId="77777777" w:rsidR="00683654" w:rsidRPr="006F4C9E" w:rsidRDefault="00683654" w:rsidP="00683654">
            <w:pPr>
              <w:spacing w:after="0" w:line="276" w:lineRule="auto"/>
              <w:ind w:left="0" w:firstLine="0"/>
              <w:jc w:val="center"/>
              <w:rPr>
                <w:color w:val="auto"/>
                <w:sz w:val="20"/>
                <w:szCs w:val="20"/>
              </w:rPr>
            </w:pPr>
          </w:p>
        </w:tc>
        <w:tc>
          <w:tcPr>
            <w:tcW w:w="993" w:type="dxa"/>
            <w:tcBorders>
              <w:top w:val="nil"/>
              <w:left w:val="nil"/>
              <w:bottom w:val="nil"/>
              <w:right w:val="nil"/>
            </w:tcBorders>
            <w:shd w:val="clear" w:color="auto" w:fill="auto"/>
            <w:noWrap/>
            <w:vAlign w:val="bottom"/>
            <w:hideMark/>
          </w:tcPr>
          <w:p w14:paraId="56363521" w14:textId="77777777" w:rsidR="00683654" w:rsidRPr="006F4C9E" w:rsidRDefault="00683654" w:rsidP="00683654">
            <w:pPr>
              <w:spacing w:after="0" w:line="276" w:lineRule="auto"/>
              <w:ind w:left="0" w:firstLine="0"/>
              <w:jc w:val="left"/>
              <w:rPr>
                <w:color w:val="auto"/>
                <w:sz w:val="20"/>
                <w:szCs w:val="20"/>
              </w:rPr>
            </w:pPr>
          </w:p>
        </w:tc>
        <w:tc>
          <w:tcPr>
            <w:tcW w:w="850" w:type="dxa"/>
            <w:tcBorders>
              <w:top w:val="nil"/>
              <w:left w:val="nil"/>
              <w:bottom w:val="nil"/>
              <w:right w:val="nil"/>
            </w:tcBorders>
            <w:shd w:val="clear" w:color="auto" w:fill="auto"/>
            <w:noWrap/>
            <w:vAlign w:val="bottom"/>
            <w:hideMark/>
          </w:tcPr>
          <w:p w14:paraId="78A125B3" w14:textId="77777777" w:rsidR="00683654" w:rsidRPr="006F4C9E" w:rsidRDefault="00683654" w:rsidP="00683654">
            <w:pPr>
              <w:spacing w:after="0" w:line="276" w:lineRule="auto"/>
              <w:ind w:lef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14:paraId="593047C0" w14:textId="77777777" w:rsidR="00683654" w:rsidRPr="006F4C9E" w:rsidRDefault="00683654" w:rsidP="00683654">
            <w:pPr>
              <w:spacing w:after="0" w:line="276" w:lineRule="auto"/>
              <w:ind w:left="0" w:firstLine="0"/>
              <w:jc w:val="center"/>
              <w:rPr>
                <w:color w:val="auto"/>
                <w:sz w:val="16"/>
                <w:szCs w:val="16"/>
              </w:rPr>
            </w:pPr>
            <w:r w:rsidRPr="006F4C9E">
              <w:rPr>
                <w:b/>
                <w:bCs/>
                <w:color w:val="auto"/>
                <w:sz w:val="16"/>
                <w:szCs w:val="16"/>
              </w:rPr>
              <w:t>-0.0016</w:t>
            </w:r>
            <w:r w:rsidRPr="006F4C9E">
              <w:rPr>
                <w:color w:val="auto"/>
                <w:sz w:val="16"/>
                <w:szCs w:val="16"/>
              </w:rPr>
              <w:t>***</w:t>
            </w:r>
          </w:p>
        </w:tc>
        <w:tc>
          <w:tcPr>
            <w:tcW w:w="1276" w:type="dxa"/>
            <w:tcBorders>
              <w:top w:val="nil"/>
              <w:left w:val="nil"/>
              <w:bottom w:val="nil"/>
              <w:right w:val="nil"/>
            </w:tcBorders>
            <w:shd w:val="clear" w:color="auto" w:fill="auto"/>
            <w:noWrap/>
            <w:vAlign w:val="bottom"/>
            <w:hideMark/>
          </w:tcPr>
          <w:p w14:paraId="2C3D772E" w14:textId="77777777" w:rsidR="00683654" w:rsidRPr="006F4C9E" w:rsidRDefault="00683654" w:rsidP="00683654">
            <w:pPr>
              <w:spacing w:after="0" w:line="276" w:lineRule="auto"/>
              <w:ind w:left="0" w:firstLine="0"/>
              <w:jc w:val="center"/>
              <w:rPr>
                <w:b/>
                <w:bCs/>
                <w:color w:val="auto"/>
                <w:sz w:val="16"/>
                <w:szCs w:val="16"/>
              </w:rPr>
            </w:pPr>
            <w:r w:rsidRPr="006F4C9E">
              <w:rPr>
                <w:b/>
                <w:bCs/>
                <w:color w:val="auto"/>
                <w:sz w:val="16"/>
                <w:szCs w:val="16"/>
              </w:rPr>
              <w:t>-0.0005</w:t>
            </w:r>
          </w:p>
        </w:tc>
      </w:tr>
      <w:tr w:rsidR="00683654" w:rsidRPr="006F4C9E" w14:paraId="55005D8D" w14:textId="77777777" w:rsidTr="007B7FBC">
        <w:trPr>
          <w:trHeight w:val="300"/>
        </w:trPr>
        <w:tc>
          <w:tcPr>
            <w:tcW w:w="2055" w:type="dxa"/>
            <w:tcBorders>
              <w:top w:val="nil"/>
              <w:left w:val="nil"/>
              <w:bottom w:val="nil"/>
              <w:right w:val="nil"/>
            </w:tcBorders>
            <w:shd w:val="clear" w:color="auto" w:fill="auto"/>
            <w:noWrap/>
            <w:vAlign w:val="bottom"/>
            <w:hideMark/>
          </w:tcPr>
          <w:p w14:paraId="419D3610" w14:textId="77777777" w:rsidR="00683654" w:rsidRPr="006F4C9E" w:rsidRDefault="00683654" w:rsidP="00683654">
            <w:pPr>
              <w:spacing w:after="0" w:line="276" w:lineRule="auto"/>
              <w:ind w:left="0" w:firstLine="0"/>
              <w:jc w:val="center"/>
              <w:rPr>
                <w:b/>
                <w:bCs/>
                <w:color w:val="auto"/>
                <w:sz w:val="16"/>
                <w:szCs w:val="16"/>
              </w:rPr>
            </w:pPr>
          </w:p>
        </w:tc>
        <w:tc>
          <w:tcPr>
            <w:tcW w:w="1168" w:type="dxa"/>
            <w:tcBorders>
              <w:top w:val="nil"/>
              <w:left w:val="nil"/>
              <w:bottom w:val="nil"/>
              <w:right w:val="nil"/>
            </w:tcBorders>
            <w:shd w:val="clear" w:color="auto" w:fill="auto"/>
            <w:noWrap/>
            <w:vAlign w:val="bottom"/>
            <w:hideMark/>
          </w:tcPr>
          <w:p w14:paraId="472FEA9D" w14:textId="77777777" w:rsidR="00683654" w:rsidRPr="006F4C9E" w:rsidRDefault="00683654" w:rsidP="00683654">
            <w:pPr>
              <w:spacing w:after="0" w:line="276" w:lineRule="auto"/>
              <w:ind w:left="0" w:firstLine="0"/>
              <w:jc w:val="center"/>
              <w:rPr>
                <w:color w:val="auto"/>
                <w:sz w:val="20"/>
                <w:szCs w:val="20"/>
              </w:rPr>
            </w:pPr>
          </w:p>
        </w:tc>
        <w:tc>
          <w:tcPr>
            <w:tcW w:w="1030" w:type="dxa"/>
            <w:tcBorders>
              <w:top w:val="nil"/>
              <w:left w:val="nil"/>
              <w:bottom w:val="nil"/>
              <w:right w:val="nil"/>
            </w:tcBorders>
            <w:shd w:val="clear" w:color="auto" w:fill="auto"/>
            <w:noWrap/>
            <w:vAlign w:val="bottom"/>
            <w:hideMark/>
          </w:tcPr>
          <w:p w14:paraId="14486AF8" w14:textId="77777777" w:rsidR="00683654" w:rsidRPr="006F4C9E" w:rsidRDefault="00683654" w:rsidP="00683654">
            <w:pPr>
              <w:spacing w:after="0" w:line="276" w:lineRule="auto"/>
              <w:ind w:lef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14:paraId="393C6F15" w14:textId="77777777" w:rsidR="00683654" w:rsidRPr="006F4C9E" w:rsidRDefault="00683654" w:rsidP="00683654">
            <w:pPr>
              <w:spacing w:after="0" w:line="276" w:lineRule="auto"/>
              <w:ind w:lef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14:paraId="5E7E3AF0" w14:textId="77777777" w:rsidR="00683654" w:rsidRPr="006F4C9E" w:rsidRDefault="00683654" w:rsidP="00683654">
            <w:pPr>
              <w:spacing w:after="0" w:line="276" w:lineRule="auto"/>
              <w:ind w:left="0" w:firstLine="0"/>
              <w:jc w:val="center"/>
              <w:rPr>
                <w:color w:val="auto"/>
                <w:sz w:val="20"/>
                <w:szCs w:val="20"/>
              </w:rPr>
            </w:pPr>
          </w:p>
        </w:tc>
        <w:tc>
          <w:tcPr>
            <w:tcW w:w="993" w:type="dxa"/>
            <w:tcBorders>
              <w:top w:val="nil"/>
              <w:left w:val="nil"/>
              <w:bottom w:val="nil"/>
              <w:right w:val="nil"/>
            </w:tcBorders>
            <w:shd w:val="clear" w:color="auto" w:fill="auto"/>
            <w:noWrap/>
            <w:vAlign w:val="bottom"/>
            <w:hideMark/>
          </w:tcPr>
          <w:p w14:paraId="2BA7FFE0" w14:textId="77777777" w:rsidR="00683654" w:rsidRPr="006F4C9E" w:rsidRDefault="00683654" w:rsidP="00683654">
            <w:pPr>
              <w:spacing w:after="0" w:line="276" w:lineRule="auto"/>
              <w:ind w:left="0" w:firstLine="0"/>
              <w:jc w:val="left"/>
              <w:rPr>
                <w:color w:val="auto"/>
                <w:sz w:val="20"/>
                <w:szCs w:val="20"/>
              </w:rPr>
            </w:pPr>
          </w:p>
        </w:tc>
        <w:tc>
          <w:tcPr>
            <w:tcW w:w="850" w:type="dxa"/>
            <w:tcBorders>
              <w:top w:val="nil"/>
              <w:left w:val="nil"/>
              <w:bottom w:val="nil"/>
              <w:right w:val="nil"/>
            </w:tcBorders>
            <w:shd w:val="clear" w:color="auto" w:fill="auto"/>
            <w:noWrap/>
            <w:vAlign w:val="bottom"/>
            <w:hideMark/>
          </w:tcPr>
          <w:p w14:paraId="6710036C" w14:textId="77777777" w:rsidR="00683654" w:rsidRPr="006F4C9E" w:rsidRDefault="00683654" w:rsidP="00683654">
            <w:pPr>
              <w:spacing w:after="0" w:line="276" w:lineRule="auto"/>
              <w:ind w:lef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14:paraId="6C603846"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(0.0005)</w:t>
            </w:r>
          </w:p>
        </w:tc>
        <w:tc>
          <w:tcPr>
            <w:tcW w:w="1276" w:type="dxa"/>
            <w:tcBorders>
              <w:top w:val="nil"/>
              <w:left w:val="nil"/>
              <w:bottom w:val="nil"/>
              <w:right w:val="nil"/>
            </w:tcBorders>
            <w:shd w:val="clear" w:color="auto" w:fill="auto"/>
            <w:noWrap/>
            <w:vAlign w:val="bottom"/>
            <w:hideMark/>
          </w:tcPr>
          <w:p w14:paraId="425BC0CD"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(0.0011)</w:t>
            </w:r>
          </w:p>
        </w:tc>
      </w:tr>
      <w:tr w:rsidR="00683654" w:rsidRPr="006F4C9E" w14:paraId="12C974C7" w14:textId="77777777" w:rsidTr="007B7FBC">
        <w:trPr>
          <w:trHeight w:val="300"/>
        </w:trPr>
        <w:tc>
          <w:tcPr>
            <w:tcW w:w="2055" w:type="dxa"/>
            <w:tcBorders>
              <w:top w:val="nil"/>
              <w:left w:val="nil"/>
              <w:bottom w:val="nil"/>
              <w:right w:val="nil"/>
            </w:tcBorders>
            <w:shd w:val="clear" w:color="auto" w:fill="auto"/>
            <w:noWrap/>
            <w:vAlign w:val="bottom"/>
            <w:hideMark/>
          </w:tcPr>
          <w:p w14:paraId="0A11C557" w14:textId="77777777" w:rsidR="00683654" w:rsidRPr="006F4C9E" w:rsidRDefault="00683654" w:rsidP="00683654">
            <w:pPr>
              <w:spacing w:after="0" w:line="276" w:lineRule="auto"/>
              <w:ind w:left="0" w:firstLine="0"/>
              <w:jc w:val="center"/>
              <w:rPr>
                <w:b/>
                <w:bCs/>
                <w:color w:val="auto"/>
                <w:sz w:val="16"/>
                <w:szCs w:val="16"/>
              </w:rPr>
            </w:pPr>
            <w:proofErr w:type="gramStart"/>
            <w:r w:rsidRPr="006F4C9E">
              <w:rPr>
                <w:b/>
                <w:bCs/>
                <w:color w:val="auto"/>
                <w:sz w:val="16"/>
                <w:szCs w:val="16"/>
              </w:rPr>
              <w:t>mon</w:t>
            </w:r>
            <w:proofErr w:type="gramEnd"/>
          </w:p>
        </w:tc>
        <w:tc>
          <w:tcPr>
            <w:tcW w:w="1168" w:type="dxa"/>
            <w:tcBorders>
              <w:top w:val="nil"/>
              <w:left w:val="nil"/>
              <w:bottom w:val="nil"/>
              <w:right w:val="nil"/>
            </w:tcBorders>
            <w:shd w:val="clear" w:color="auto" w:fill="auto"/>
            <w:noWrap/>
            <w:vAlign w:val="bottom"/>
            <w:hideMark/>
          </w:tcPr>
          <w:p w14:paraId="66CC4949"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- 0.0158***</w:t>
            </w:r>
          </w:p>
        </w:tc>
        <w:tc>
          <w:tcPr>
            <w:tcW w:w="1030" w:type="dxa"/>
            <w:tcBorders>
              <w:top w:val="nil"/>
              <w:left w:val="nil"/>
              <w:bottom w:val="nil"/>
              <w:right w:val="nil"/>
            </w:tcBorders>
            <w:shd w:val="clear" w:color="auto" w:fill="auto"/>
            <w:noWrap/>
            <w:vAlign w:val="bottom"/>
            <w:hideMark/>
          </w:tcPr>
          <w:p w14:paraId="46245594"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- 0.0185***</w:t>
            </w:r>
          </w:p>
        </w:tc>
        <w:tc>
          <w:tcPr>
            <w:tcW w:w="1134" w:type="dxa"/>
            <w:tcBorders>
              <w:top w:val="nil"/>
              <w:left w:val="nil"/>
              <w:bottom w:val="nil"/>
              <w:right w:val="nil"/>
            </w:tcBorders>
            <w:shd w:val="clear" w:color="auto" w:fill="auto"/>
            <w:noWrap/>
            <w:vAlign w:val="bottom"/>
            <w:hideMark/>
          </w:tcPr>
          <w:p w14:paraId="7AF3E35B"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- 0.0189***</w:t>
            </w:r>
          </w:p>
        </w:tc>
        <w:tc>
          <w:tcPr>
            <w:tcW w:w="992" w:type="dxa"/>
            <w:tcBorders>
              <w:top w:val="nil"/>
              <w:left w:val="nil"/>
              <w:bottom w:val="nil"/>
              <w:right w:val="nil"/>
            </w:tcBorders>
            <w:shd w:val="clear" w:color="auto" w:fill="auto"/>
            <w:noWrap/>
            <w:vAlign w:val="bottom"/>
            <w:hideMark/>
          </w:tcPr>
          <w:p w14:paraId="79661D08"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- 0.0112***</w:t>
            </w:r>
          </w:p>
        </w:tc>
        <w:tc>
          <w:tcPr>
            <w:tcW w:w="993" w:type="dxa"/>
            <w:tcBorders>
              <w:top w:val="nil"/>
              <w:left w:val="nil"/>
              <w:bottom w:val="nil"/>
              <w:right w:val="nil"/>
            </w:tcBorders>
            <w:shd w:val="clear" w:color="auto" w:fill="auto"/>
            <w:noWrap/>
            <w:vAlign w:val="bottom"/>
            <w:hideMark/>
          </w:tcPr>
          <w:p w14:paraId="5D74A93A"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- 0.0116***</w:t>
            </w:r>
          </w:p>
        </w:tc>
        <w:tc>
          <w:tcPr>
            <w:tcW w:w="850" w:type="dxa"/>
            <w:tcBorders>
              <w:top w:val="nil"/>
              <w:left w:val="nil"/>
              <w:bottom w:val="nil"/>
              <w:right w:val="nil"/>
            </w:tcBorders>
            <w:shd w:val="clear" w:color="auto" w:fill="auto"/>
            <w:noWrap/>
            <w:vAlign w:val="bottom"/>
            <w:hideMark/>
          </w:tcPr>
          <w:p w14:paraId="5F8CF082"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- 0.0094*</w:t>
            </w:r>
          </w:p>
        </w:tc>
        <w:tc>
          <w:tcPr>
            <w:tcW w:w="992" w:type="dxa"/>
            <w:tcBorders>
              <w:top w:val="nil"/>
              <w:left w:val="nil"/>
              <w:bottom w:val="nil"/>
              <w:right w:val="nil"/>
            </w:tcBorders>
            <w:shd w:val="clear" w:color="auto" w:fill="auto"/>
            <w:noWrap/>
            <w:vAlign w:val="bottom"/>
            <w:hideMark/>
          </w:tcPr>
          <w:p w14:paraId="3CF38E48"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- 0.0101*</w:t>
            </w:r>
          </w:p>
        </w:tc>
        <w:tc>
          <w:tcPr>
            <w:tcW w:w="1276" w:type="dxa"/>
            <w:tcBorders>
              <w:top w:val="nil"/>
              <w:left w:val="nil"/>
              <w:bottom w:val="nil"/>
              <w:right w:val="nil"/>
            </w:tcBorders>
            <w:shd w:val="clear" w:color="auto" w:fill="auto"/>
            <w:noWrap/>
            <w:vAlign w:val="bottom"/>
            <w:hideMark/>
          </w:tcPr>
          <w:p w14:paraId="66A63EF0"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- 0.0165***</w:t>
            </w:r>
          </w:p>
        </w:tc>
      </w:tr>
      <w:tr w:rsidR="00683654" w:rsidRPr="006F4C9E" w14:paraId="269CA926" w14:textId="77777777" w:rsidTr="007B7FBC">
        <w:trPr>
          <w:trHeight w:val="300"/>
        </w:trPr>
        <w:tc>
          <w:tcPr>
            <w:tcW w:w="2055" w:type="dxa"/>
            <w:tcBorders>
              <w:top w:val="nil"/>
              <w:left w:val="nil"/>
              <w:bottom w:val="nil"/>
              <w:right w:val="nil"/>
            </w:tcBorders>
            <w:shd w:val="clear" w:color="auto" w:fill="auto"/>
            <w:noWrap/>
            <w:vAlign w:val="bottom"/>
            <w:hideMark/>
          </w:tcPr>
          <w:p w14:paraId="5591A5DF" w14:textId="77777777" w:rsidR="00683654" w:rsidRPr="006F4C9E" w:rsidRDefault="00683654" w:rsidP="00683654">
            <w:pPr>
              <w:spacing w:after="0" w:line="276" w:lineRule="auto"/>
              <w:ind w:left="0" w:firstLine="0"/>
              <w:jc w:val="center"/>
              <w:rPr>
                <w:color w:val="auto"/>
                <w:sz w:val="16"/>
                <w:szCs w:val="16"/>
              </w:rPr>
            </w:pPr>
          </w:p>
        </w:tc>
        <w:tc>
          <w:tcPr>
            <w:tcW w:w="1168" w:type="dxa"/>
            <w:tcBorders>
              <w:top w:val="nil"/>
              <w:left w:val="nil"/>
              <w:bottom w:val="nil"/>
              <w:right w:val="nil"/>
            </w:tcBorders>
            <w:shd w:val="clear" w:color="auto" w:fill="auto"/>
            <w:noWrap/>
            <w:vAlign w:val="bottom"/>
            <w:hideMark/>
          </w:tcPr>
          <w:p w14:paraId="4F9542F6"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(0.0042)</w:t>
            </w:r>
          </w:p>
        </w:tc>
        <w:tc>
          <w:tcPr>
            <w:tcW w:w="1030" w:type="dxa"/>
            <w:tcBorders>
              <w:top w:val="nil"/>
              <w:left w:val="nil"/>
              <w:bottom w:val="nil"/>
              <w:right w:val="nil"/>
            </w:tcBorders>
            <w:shd w:val="clear" w:color="auto" w:fill="auto"/>
            <w:noWrap/>
            <w:vAlign w:val="bottom"/>
            <w:hideMark/>
          </w:tcPr>
          <w:p w14:paraId="2C36C73D"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(0.0042)</w:t>
            </w:r>
          </w:p>
        </w:tc>
        <w:tc>
          <w:tcPr>
            <w:tcW w:w="1134" w:type="dxa"/>
            <w:tcBorders>
              <w:top w:val="nil"/>
              <w:left w:val="nil"/>
              <w:bottom w:val="nil"/>
              <w:right w:val="nil"/>
            </w:tcBorders>
            <w:shd w:val="clear" w:color="auto" w:fill="auto"/>
            <w:noWrap/>
            <w:vAlign w:val="bottom"/>
            <w:hideMark/>
          </w:tcPr>
          <w:p w14:paraId="4C8629E7"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(0.0042)</w:t>
            </w:r>
          </w:p>
        </w:tc>
        <w:tc>
          <w:tcPr>
            <w:tcW w:w="992" w:type="dxa"/>
            <w:tcBorders>
              <w:top w:val="nil"/>
              <w:left w:val="nil"/>
              <w:bottom w:val="nil"/>
              <w:right w:val="nil"/>
            </w:tcBorders>
            <w:shd w:val="clear" w:color="auto" w:fill="auto"/>
            <w:noWrap/>
            <w:vAlign w:val="bottom"/>
            <w:hideMark/>
          </w:tcPr>
          <w:p w14:paraId="52026C57"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(0.0039)</w:t>
            </w:r>
          </w:p>
        </w:tc>
        <w:tc>
          <w:tcPr>
            <w:tcW w:w="993" w:type="dxa"/>
            <w:tcBorders>
              <w:top w:val="nil"/>
              <w:left w:val="nil"/>
              <w:bottom w:val="nil"/>
              <w:right w:val="nil"/>
            </w:tcBorders>
            <w:shd w:val="clear" w:color="auto" w:fill="auto"/>
            <w:noWrap/>
            <w:vAlign w:val="bottom"/>
            <w:hideMark/>
          </w:tcPr>
          <w:p w14:paraId="42033540"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(0.0039)</w:t>
            </w:r>
          </w:p>
        </w:tc>
        <w:tc>
          <w:tcPr>
            <w:tcW w:w="850" w:type="dxa"/>
            <w:tcBorders>
              <w:top w:val="nil"/>
              <w:left w:val="nil"/>
              <w:bottom w:val="nil"/>
              <w:right w:val="nil"/>
            </w:tcBorders>
            <w:shd w:val="clear" w:color="auto" w:fill="auto"/>
            <w:noWrap/>
            <w:vAlign w:val="bottom"/>
            <w:hideMark/>
          </w:tcPr>
          <w:p w14:paraId="101EA475"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(0.0039</w:t>
            </w:r>
          </w:p>
        </w:tc>
        <w:tc>
          <w:tcPr>
            <w:tcW w:w="992" w:type="dxa"/>
            <w:tcBorders>
              <w:top w:val="nil"/>
              <w:left w:val="nil"/>
              <w:bottom w:val="nil"/>
              <w:right w:val="nil"/>
            </w:tcBorders>
            <w:shd w:val="clear" w:color="auto" w:fill="auto"/>
            <w:noWrap/>
            <w:vAlign w:val="bottom"/>
            <w:hideMark/>
          </w:tcPr>
          <w:p w14:paraId="0297C592"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(0.0039)</w:t>
            </w:r>
          </w:p>
        </w:tc>
        <w:tc>
          <w:tcPr>
            <w:tcW w:w="1276" w:type="dxa"/>
            <w:tcBorders>
              <w:top w:val="nil"/>
              <w:left w:val="nil"/>
              <w:bottom w:val="nil"/>
              <w:right w:val="nil"/>
            </w:tcBorders>
            <w:shd w:val="clear" w:color="auto" w:fill="auto"/>
            <w:noWrap/>
            <w:vAlign w:val="bottom"/>
            <w:hideMark/>
          </w:tcPr>
          <w:p w14:paraId="138313D6"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(0.0042)</w:t>
            </w:r>
          </w:p>
        </w:tc>
      </w:tr>
      <w:tr w:rsidR="00683654" w:rsidRPr="006F4C9E" w14:paraId="4988DE49" w14:textId="77777777" w:rsidTr="007B7FBC">
        <w:trPr>
          <w:trHeight w:val="300"/>
        </w:trPr>
        <w:tc>
          <w:tcPr>
            <w:tcW w:w="2055" w:type="dxa"/>
            <w:tcBorders>
              <w:top w:val="nil"/>
              <w:left w:val="nil"/>
              <w:bottom w:val="nil"/>
              <w:right w:val="nil"/>
            </w:tcBorders>
            <w:shd w:val="clear" w:color="auto" w:fill="auto"/>
            <w:noWrap/>
            <w:vAlign w:val="bottom"/>
            <w:hideMark/>
          </w:tcPr>
          <w:p w14:paraId="6311EE52" w14:textId="77777777" w:rsidR="00683654" w:rsidRPr="006F4C9E" w:rsidRDefault="00683654" w:rsidP="00683654">
            <w:pPr>
              <w:spacing w:after="0" w:line="276" w:lineRule="auto"/>
              <w:ind w:left="0" w:firstLine="0"/>
              <w:jc w:val="center"/>
              <w:rPr>
                <w:b/>
                <w:bCs/>
                <w:color w:val="auto"/>
                <w:sz w:val="16"/>
                <w:szCs w:val="16"/>
              </w:rPr>
            </w:pPr>
            <w:proofErr w:type="spellStart"/>
            <w:proofErr w:type="gramStart"/>
            <w:r w:rsidRPr="006F4C9E">
              <w:rPr>
                <w:b/>
                <w:bCs/>
                <w:color w:val="auto"/>
                <w:sz w:val="16"/>
                <w:szCs w:val="16"/>
              </w:rPr>
              <w:t>dep</w:t>
            </w:r>
            <w:proofErr w:type="gramEnd"/>
            <w:r w:rsidRPr="006F4C9E">
              <w:rPr>
                <w:b/>
                <w:bCs/>
                <w:color w:val="auto"/>
                <w:sz w:val="16"/>
                <w:szCs w:val="16"/>
              </w:rPr>
              <w:t>_pub</w:t>
            </w:r>
            <w:proofErr w:type="spellEnd"/>
          </w:p>
        </w:tc>
        <w:tc>
          <w:tcPr>
            <w:tcW w:w="1168" w:type="dxa"/>
            <w:tcBorders>
              <w:top w:val="nil"/>
              <w:left w:val="nil"/>
              <w:bottom w:val="nil"/>
              <w:right w:val="nil"/>
            </w:tcBorders>
            <w:shd w:val="clear" w:color="auto" w:fill="auto"/>
            <w:noWrap/>
            <w:vAlign w:val="bottom"/>
            <w:hideMark/>
          </w:tcPr>
          <w:p w14:paraId="41F09F9F"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- 0.0372***</w:t>
            </w:r>
          </w:p>
        </w:tc>
        <w:tc>
          <w:tcPr>
            <w:tcW w:w="1030" w:type="dxa"/>
            <w:tcBorders>
              <w:top w:val="nil"/>
              <w:left w:val="nil"/>
              <w:bottom w:val="nil"/>
              <w:right w:val="nil"/>
            </w:tcBorders>
            <w:shd w:val="clear" w:color="auto" w:fill="auto"/>
            <w:noWrap/>
            <w:vAlign w:val="bottom"/>
            <w:hideMark/>
          </w:tcPr>
          <w:p w14:paraId="47287CD0"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- 0.0315**</w:t>
            </w:r>
          </w:p>
        </w:tc>
        <w:tc>
          <w:tcPr>
            <w:tcW w:w="1134" w:type="dxa"/>
            <w:tcBorders>
              <w:top w:val="nil"/>
              <w:left w:val="nil"/>
              <w:bottom w:val="nil"/>
              <w:right w:val="nil"/>
            </w:tcBorders>
            <w:shd w:val="clear" w:color="auto" w:fill="auto"/>
            <w:noWrap/>
            <w:vAlign w:val="bottom"/>
            <w:hideMark/>
          </w:tcPr>
          <w:p w14:paraId="77492089"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- 0.0321**</w:t>
            </w:r>
          </w:p>
        </w:tc>
        <w:tc>
          <w:tcPr>
            <w:tcW w:w="992" w:type="dxa"/>
            <w:tcBorders>
              <w:top w:val="nil"/>
              <w:left w:val="nil"/>
              <w:bottom w:val="nil"/>
              <w:right w:val="nil"/>
            </w:tcBorders>
            <w:shd w:val="clear" w:color="auto" w:fill="auto"/>
            <w:noWrap/>
            <w:vAlign w:val="bottom"/>
            <w:hideMark/>
          </w:tcPr>
          <w:p w14:paraId="4B7213F7"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- 0.0315**</w:t>
            </w:r>
          </w:p>
        </w:tc>
        <w:tc>
          <w:tcPr>
            <w:tcW w:w="993" w:type="dxa"/>
            <w:tcBorders>
              <w:top w:val="nil"/>
              <w:left w:val="nil"/>
              <w:bottom w:val="nil"/>
              <w:right w:val="nil"/>
            </w:tcBorders>
            <w:shd w:val="clear" w:color="auto" w:fill="auto"/>
            <w:noWrap/>
            <w:vAlign w:val="bottom"/>
            <w:hideMark/>
          </w:tcPr>
          <w:p w14:paraId="7274CFA8"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- 0.0316**</w:t>
            </w:r>
          </w:p>
        </w:tc>
        <w:tc>
          <w:tcPr>
            <w:tcW w:w="850" w:type="dxa"/>
            <w:tcBorders>
              <w:top w:val="nil"/>
              <w:left w:val="nil"/>
              <w:bottom w:val="nil"/>
              <w:right w:val="nil"/>
            </w:tcBorders>
            <w:shd w:val="clear" w:color="auto" w:fill="auto"/>
            <w:noWrap/>
            <w:vAlign w:val="bottom"/>
            <w:hideMark/>
          </w:tcPr>
          <w:p w14:paraId="064F5393"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- 0.0253*</w:t>
            </w:r>
          </w:p>
        </w:tc>
        <w:tc>
          <w:tcPr>
            <w:tcW w:w="992" w:type="dxa"/>
            <w:tcBorders>
              <w:top w:val="nil"/>
              <w:left w:val="nil"/>
              <w:bottom w:val="nil"/>
              <w:right w:val="nil"/>
            </w:tcBorders>
            <w:shd w:val="clear" w:color="auto" w:fill="auto"/>
            <w:noWrap/>
            <w:vAlign w:val="bottom"/>
            <w:hideMark/>
          </w:tcPr>
          <w:p w14:paraId="2C45E57A"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- 0.0248*</w:t>
            </w:r>
          </w:p>
        </w:tc>
        <w:tc>
          <w:tcPr>
            <w:tcW w:w="1276" w:type="dxa"/>
            <w:tcBorders>
              <w:top w:val="nil"/>
              <w:left w:val="nil"/>
              <w:bottom w:val="nil"/>
              <w:right w:val="nil"/>
            </w:tcBorders>
            <w:shd w:val="clear" w:color="auto" w:fill="auto"/>
            <w:noWrap/>
            <w:vAlign w:val="bottom"/>
            <w:hideMark/>
          </w:tcPr>
          <w:p w14:paraId="10814035"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- 0.0373***</w:t>
            </w:r>
          </w:p>
        </w:tc>
      </w:tr>
      <w:tr w:rsidR="00683654" w:rsidRPr="006F4C9E" w14:paraId="47AEB602" w14:textId="77777777" w:rsidTr="007B7FBC">
        <w:trPr>
          <w:trHeight w:val="300"/>
        </w:trPr>
        <w:tc>
          <w:tcPr>
            <w:tcW w:w="2055" w:type="dxa"/>
            <w:tcBorders>
              <w:top w:val="nil"/>
              <w:left w:val="nil"/>
              <w:bottom w:val="nil"/>
              <w:right w:val="nil"/>
            </w:tcBorders>
            <w:shd w:val="clear" w:color="auto" w:fill="auto"/>
            <w:noWrap/>
            <w:vAlign w:val="bottom"/>
            <w:hideMark/>
          </w:tcPr>
          <w:p w14:paraId="22C476BB" w14:textId="77777777" w:rsidR="00683654" w:rsidRPr="006F4C9E" w:rsidRDefault="00683654" w:rsidP="00683654">
            <w:pPr>
              <w:spacing w:after="0" w:line="276" w:lineRule="auto"/>
              <w:ind w:left="0" w:firstLine="0"/>
              <w:jc w:val="center"/>
              <w:rPr>
                <w:color w:val="auto"/>
                <w:sz w:val="16"/>
                <w:szCs w:val="16"/>
              </w:rPr>
            </w:pPr>
          </w:p>
        </w:tc>
        <w:tc>
          <w:tcPr>
            <w:tcW w:w="1168" w:type="dxa"/>
            <w:tcBorders>
              <w:top w:val="nil"/>
              <w:left w:val="nil"/>
              <w:bottom w:val="nil"/>
              <w:right w:val="nil"/>
            </w:tcBorders>
            <w:shd w:val="clear" w:color="auto" w:fill="auto"/>
            <w:noWrap/>
            <w:vAlign w:val="bottom"/>
            <w:hideMark/>
          </w:tcPr>
          <w:p w14:paraId="660BA019"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(0.0139)</w:t>
            </w:r>
          </w:p>
        </w:tc>
        <w:tc>
          <w:tcPr>
            <w:tcW w:w="1030" w:type="dxa"/>
            <w:tcBorders>
              <w:top w:val="nil"/>
              <w:left w:val="nil"/>
              <w:bottom w:val="nil"/>
              <w:right w:val="nil"/>
            </w:tcBorders>
            <w:shd w:val="clear" w:color="auto" w:fill="auto"/>
            <w:noWrap/>
            <w:vAlign w:val="bottom"/>
            <w:hideMark/>
          </w:tcPr>
          <w:p w14:paraId="6709D9D0"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(0.0142)</w:t>
            </w:r>
          </w:p>
        </w:tc>
        <w:tc>
          <w:tcPr>
            <w:tcW w:w="1134" w:type="dxa"/>
            <w:tcBorders>
              <w:top w:val="nil"/>
              <w:left w:val="nil"/>
              <w:bottom w:val="nil"/>
              <w:right w:val="nil"/>
            </w:tcBorders>
            <w:shd w:val="clear" w:color="auto" w:fill="auto"/>
            <w:noWrap/>
            <w:vAlign w:val="bottom"/>
            <w:hideMark/>
          </w:tcPr>
          <w:p w14:paraId="7FF5EEA1"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(0.0142)</w:t>
            </w:r>
          </w:p>
        </w:tc>
        <w:tc>
          <w:tcPr>
            <w:tcW w:w="992" w:type="dxa"/>
            <w:tcBorders>
              <w:top w:val="nil"/>
              <w:left w:val="nil"/>
              <w:bottom w:val="nil"/>
              <w:right w:val="nil"/>
            </w:tcBorders>
            <w:shd w:val="clear" w:color="auto" w:fill="auto"/>
            <w:noWrap/>
            <w:vAlign w:val="bottom"/>
            <w:hideMark/>
          </w:tcPr>
          <w:p w14:paraId="18D0902D"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(0.0138)</w:t>
            </w:r>
          </w:p>
        </w:tc>
        <w:tc>
          <w:tcPr>
            <w:tcW w:w="993" w:type="dxa"/>
            <w:tcBorders>
              <w:top w:val="nil"/>
              <w:left w:val="nil"/>
              <w:bottom w:val="nil"/>
              <w:right w:val="nil"/>
            </w:tcBorders>
            <w:shd w:val="clear" w:color="auto" w:fill="auto"/>
            <w:noWrap/>
            <w:vAlign w:val="bottom"/>
            <w:hideMark/>
          </w:tcPr>
          <w:p w14:paraId="1437C13A"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(0.0138)</w:t>
            </w:r>
          </w:p>
        </w:tc>
        <w:tc>
          <w:tcPr>
            <w:tcW w:w="850" w:type="dxa"/>
            <w:tcBorders>
              <w:top w:val="nil"/>
              <w:left w:val="nil"/>
              <w:bottom w:val="nil"/>
              <w:right w:val="nil"/>
            </w:tcBorders>
            <w:shd w:val="clear" w:color="auto" w:fill="auto"/>
            <w:noWrap/>
            <w:vAlign w:val="bottom"/>
            <w:hideMark/>
          </w:tcPr>
          <w:p w14:paraId="39FC8E5C"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(0.0138)</w:t>
            </w:r>
          </w:p>
        </w:tc>
        <w:tc>
          <w:tcPr>
            <w:tcW w:w="992" w:type="dxa"/>
            <w:tcBorders>
              <w:top w:val="nil"/>
              <w:left w:val="nil"/>
              <w:bottom w:val="nil"/>
              <w:right w:val="nil"/>
            </w:tcBorders>
            <w:shd w:val="clear" w:color="auto" w:fill="auto"/>
            <w:noWrap/>
            <w:vAlign w:val="bottom"/>
            <w:hideMark/>
          </w:tcPr>
          <w:p w14:paraId="28EE336B"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(0.0138)</w:t>
            </w:r>
          </w:p>
        </w:tc>
        <w:tc>
          <w:tcPr>
            <w:tcW w:w="1276" w:type="dxa"/>
            <w:tcBorders>
              <w:top w:val="nil"/>
              <w:left w:val="nil"/>
              <w:bottom w:val="nil"/>
              <w:right w:val="nil"/>
            </w:tcBorders>
            <w:shd w:val="clear" w:color="auto" w:fill="auto"/>
            <w:noWrap/>
            <w:vAlign w:val="bottom"/>
            <w:hideMark/>
          </w:tcPr>
          <w:p w14:paraId="55375B19"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(0.0140)</w:t>
            </w:r>
          </w:p>
        </w:tc>
      </w:tr>
      <w:tr w:rsidR="00683654" w:rsidRPr="006F4C9E" w14:paraId="3E80A2CB" w14:textId="77777777" w:rsidTr="007B7FBC">
        <w:trPr>
          <w:trHeight w:val="300"/>
        </w:trPr>
        <w:tc>
          <w:tcPr>
            <w:tcW w:w="2055" w:type="dxa"/>
            <w:tcBorders>
              <w:top w:val="nil"/>
              <w:left w:val="nil"/>
              <w:bottom w:val="nil"/>
              <w:right w:val="nil"/>
            </w:tcBorders>
            <w:shd w:val="clear" w:color="auto" w:fill="auto"/>
            <w:noWrap/>
            <w:vAlign w:val="bottom"/>
            <w:hideMark/>
          </w:tcPr>
          <w:p w14:paraId="14894219" w14:textId="77777777" w:rsidR="00683654" w:rsidRPr="006F4C9E" w:rsidRDefault="00683654" w:rsidP="00683654">
            <w:pPr>
              <w:spacing w:after="0" w:line="276" w:lineRule="auto"/>
              <w:ind w:left="0" w:firstLine="0"/>
              <w:jc w:val="center"/>
              <w:rPr>
                <w:b/>
                <w:bCs/>
                <w:color w:val="auto"/>
                <w:sz w:val="16"/>
                <w:szCs w:val="16"/>
              </w:rPr>
            </w:pPr>
            <w:proofErr w:type="spellStart"/>
            <w:proofErr w:type="gramStart"/>
            <w:r w:rsidRPr="006F4C9E">
              <w:rPr>
                <w:b/>
                <w:bCs/>
                <w:color w:val="auto"/>
                <w:sz w:val="16"/>
                <w:szCs w:val="16"/>
              </w:rPr>
              <w:t>invest</w:t>
            </w:r>
            <w:proofErr w:type="spellEnd"/>
            <w:proofErr w:type="gramEnd"/>
          </w:p>
        </w:tc>
        <w:tc>
          <w:tcPr>
            <w:tcW w:w="1168" w:type="dxa"/>
            <w:tcBorders>
              <w:top w:val="nil"/>
              <w:left w:val="nil"/>
              <w:bottom w:val="nil"/>
              <w:right w:val="nil"/>
            </w:tcBorders>
            <w:shd w:val="clear" w:color="auto" w:fill="auto"/>
            <w:noWrap/>
            <w:vAlign w:val="bottom"/>
            <w:hideMark/>
          </w:tcPr>
          <w:p w14:paraId="70B9649D"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- 0.0131**</w:t>
            </w:r>
          </w:p>
        </w:tc>
        <w:tc>
          <w:tcPr>
            <w:tcW w:w="1030" w:type="dxa"/>
            <w:tcBorders>
              <w:top w:val="nil"/>
              <w:left w:val="nil"/>
              <w:bottom w:val="nil"/>
              <w:right w:val="nil"/>
            </w:tcBorders>
            <w:shd w:val="clear" w:color="auto" w:fill="auto"/>
            <w:noWrap/>
            <w:vAlign w:val="bottom"/>
            <w:hideMark/>
          </w:tcPr>
          <w:p w14:paraId="1355C955"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- 0.0188***</w:t>
            </w:r>
          </w:p>
        </w:tc>
        <w:tc>
          <w:tcPr>
            <w:tcW w:w="1134" w:type="dxa"/>
            <w:tcBorders>
              <w:top w:val="nil"/>
              <w:left w:val="nil"/>
              <w:bottom w:val="nil"/>
              <w:right w:val="nil"/>
            </w:tcBorders>
            <w:shd w:val="clear" w:color="auto" w:fill="auto"/>
            <w:noWrap/>
            <w:vAlign w:val="bottom"/>
            <w:hideMark/>
          </w:tcPr>
          <w:p w14:paraId="5D1983BD"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- 0.0208***</w:t>
            </w:r>
          </w:p>
        </w:tc>
        <w:tc>
          <w:tcPr>
            <w:tcW w:w="992" w:type="dxa"/>
            <w:tcBorders>
              <w:top w:val="nil"/>
              <w:left w:val="nil"/>
              <w:bottom w:val="nil"/>
              <w:right w:val="nil"/>
            </w:tcBorders>
            <w:shd w:val="clear" w:color="auto" w:fill="auto"/>
            <w:noWrap/>
            <w:vAlign w:val="bottom"/>
            <w:hideMark/>
          </w:tcPr>
          <w:p w14:paraId="36DFDCE7"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- 0.0138***</w:t>
            </w:r>
          </w:p>
        </w:tc>
        <w:tc>
          <w:tcPr>
            <w:tcW w:w="993" w:type="dxa"/>
            <w:tcBorders>
              <w:top w:val="nil"/>
              <w:left w:val="nil"/>
              <w:bottom w:val="nil"/>
              <w:right w:val="nil"/>
            </w:tcBorders>
            <w:shd w:val="clear" w:color="auto" w:fill="auto"/>
            <w:noWrap/>
            <w:vAlign w:val="bottom"/>
            <w:hideMark/>
          </w:tcPr>
          <w:p w14:paraId="452A4B55"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- 0.0150**</w:t>
            </w:r>
          </w:p>
        </w:tc>
        <w:tc>
          <w:tcPr>
            <w:tcW w:w="850" w:type="dxa"/>
            <w:tcBorders>
              <w:top w:val="nil"/>
              <w:left w:val="nil"/>
              <w:bottom w:val="nil"/>
              <w:right w:val="nil"/>
            </w:tcBorders>
            <w:shd w:val="clear" w:color="auto" w:fill="auto"/>
            <w:noWrap/>
            <w:vAlign w:val="bottom"/>
            <w:hideMark/>
          </w:tcPr>
          <w:p w14:paraId="0298C550"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- 0.0141*</w:t>
            </w:r>
          </w:p>
        </w:tc>
        <w:tc>
          <w:tcPr>
            <w:tcW w:w="992" w:type="dxa"/>
            <w:tcBorders>
              <w:top w:val="nil"/>
              <w:left w:val="nil"/>
              <w:bottom w:val="nil"/>
              <w:right w:val="nil"/>
            </w:tcBorders>
            <w:shd w:val="clear" w:color="auto" w:fill="auto"/>
            <w:noWrap/>
            <w:vAlign w:val="bottom"/>
            <w:hideMark/>
          </w:tcPr>
          <w:p w14:paraId="39D641D7"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- 0.0151*</w:t>
            </w:r>
          </w:p>
        </w:tc>
        <w:tc>
          <w:tcPr>
            <w:tcW w:w="1276" w:type="dxa"/>
            <w:tcBorders>
              <w:top w:val="nil"/>
              <w:left w:val="nil"/>
              <w:bottom w:val="nil"/>
              <w:right w:val="nil"/>
            </w:tcBorders>
            <w:shd w:val="clear" w:color="auto" w:fill="auto"/>
            <w:noWrap/>
            <w:vAlign w:val="bottom"/>
            <w:hideMark/>
          </w:tcPr>
          <w:p w14:paraId="6BA89C4A"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- 0.0145**</w:t>
            </w:r>
          </w:p>
        </w:tc>
      </w:tr>
      <w:tr w:rsidR="00683654" w:rsidRPr="006F4C9E" w14:paraId="483E5736" w14:textId="77777777" w:rsidTr="007B7FBC">
        <w:trPr>
          <w:trHeight w:val="300"/>
        </w:trPr>
        <w:tc>
          <w:tcPr>
            <w:tcW w:w="2055" w:type="dxa"/>
            <w:tcBorders>
              <w:top w:val="nil"/>
              <w:left w:val="nil"/>
              <w:bottom w:val="nil"/>
              <w:right w:val="nil"/>
            </w:tcBorders>
            <w:shd w:val="clear" w:color="auto" w:fill="auto"/>
            <w:noWrap/>
            <w:vAlign w:val="bottom"/>
            <w:hideMark/>
          </w:tcPr>
          <w:p w14:paraId="67F20C67" w14:textId="77777777" w:rsidR="00683654" w:rsidRPr="006F4C9E" w:rsidRDefault="00683654" w:rsidP="00683654">
            <w:pPr>
              <w:spacing w:after="0" w:line="276" w:lineRule="auto"/>
              <w:ind w:left="0" w:firstLine="0"/>
              <w:jc w:val="center"/>
              <w:rPr>
                <w:color w:val="auto"/>
                <w:sz w:val="16"/>
                <w:szCs w:val="16"/>
              </w:rPr>
            </w:pPr>
          </w:p>
        </w:tc>
        <w:tc>
          <w:tcPr>
            <w:tcW w:w="1168" w:type="dxa"/>
            <w:tcBorders>
              <w:top w:val="nil"/>
              <w:left w:val="nil"/>
              <w:bottom w:val="nil"/>
              <w:right w:val="nil"/>
            </w:tcBorders>
            <w:shd w:val="clear" w:color="auto" w:fill="auto"/>
            <w:noWrap/>
            <w:vAlign w:val="bottom"/>
            <w:hideMark/>
          </w:tcPr>
          <w:p w14:paraId="4BD2B045"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(0.0061)</w:t>
            </w:r>
          </w:p>
        </w:tc>
        <w:tc>
          <w:tcPr>
            <w:tcW w:w="1030" w:type="dxa"/>
            <w:tcBorders>
              <w:top w:val="nil"/>
              <w:left w:val="nil"/>
              <w:bottom w:val="nil"/>
              <w:right w:val="nil"/>
            </w:tcBorders>
            <w:shd w:val="clear" w:color="auto" w:fill="auto"/>
            <w:noWrap/>
            <w:vAlign w:val="bottom"/>
            <w:hideMark/>
          </w:tcPr>
          <w:p w14:paraId="6CC133A3"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(0.0062)</w:t>
            </w:r>
          </w:p>
        </w:tc>
        <w:tc>
          <w:tcPr>
            <w:tcW w:w="1134" w:type="dxa"/>
            <w:tcBorders>
              <w:top w:val="nil"/>
              <w:left w:val="nil"/>
              <w:bottom w:val="nil"/>
              <w:right w:val="nil"/>
            </w:tcBorders>
            <w:shd w:val="clear" w:color="auto" w:fill="auto"/>
            <w:noWrap/>
            <w:vAlign w:val="bottom"/>
            <w:hideMark/>
          </w:tcPr>
          <w:p w14:paraId="4AE6D59F"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(0.0062)</w:t>
            </w:r>
          </w:p>
        </w:tc>
        <w:tc>
          <w:tcPr>
            <w:tcW w:w="992" w:type="dxa"/>
            <w:tcBorders>
              <w:top w:val="nil"/>
              <w:left w:val="nil"/>
              <w:bottom w:val="nil"/>
              <w:right w:val="nil"/>
            </w:tcBorders>
            <w:shd w:val="clear" w:color="auto" w:fill="auto"/>
            <w:noWrap/>
            <w:vAlign w:val="bottom"/>
            <w:hideMark/>
          </w:tcPr>
          <w:p w14:paraId="149E13B3"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(0.0061)</w:t>
            </w:r>
          </w:p>
        </w:tc>
        <w:tc>
          <w:tcPr>
            <w:tcW w:w="993" w:type="dxa"/>
            <w:tcBorders>
              <w:top w:val="nil"/>
              <w:left w:val="nil"/>
              <w:bottom w:val="nil"/>
              <w:right w:val="nil"/>
            </w:tcBorders>
            <w:shd w:val="clear" w:color="auto" w:fill="auto"/>
            <w:noWrap/>
            <w:vAlign w:val="bottom"/>
            <w:hideMark/>
          </w:tcPr>
          <w:p w14:paraId="0F6672D4"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(0.0061)</w:t>
            </w:r>
          </w:p>
        </w:tc>
        <w:tc>
          <w:tcPr>
            <w:tcW w:w="850" w:type="dxa"/>
            <w:tcBorders>
              <w:top w:val="nil"/>
              <w:left w:val="nil"/>
              <w:bottom w:val="nil"/>
              <w:right w:val="nil"/>
            </w:tcBorders>
            <w:shd w:val="clear" w:color="auto" w:fill="auto"/>
            <w:noWrap/>
            <w:vAlign w:val="bottom"/>
            <w:hideMark/>
          </w:tcPr>
          <w:p w14:paraId="684FD65A"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(0.0062)</w:t>
            </w:r>
          </w:p>
        </w:tc>
        <w:tc>
          <w:tcPr>
            <w:tcW w:w="992" w:type="dxa"/>
            <w:tcBorders>
              <w:top w:val="nil"/>
              <w:left w:val="nil"/>
              <w:bottom w:val="nil"/>
              <w:right w:val="nil"/>
            </w:tcBorders>
            <w:shd w:val="clear" w:color="auto" w:fill="auto"/>
            <w:noWrap/>
            <w:vAlign w:val="bottom"/>
            <w:hideMark/>
          </w:tcPr>
          <w:p w14:paraId="59DF2265"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(0.0061)</w:t>
            </w:r>
          </w:p>
        </w:tc>
        <w:tc>
          <w:tcPr>
            <w:tcW w:w="1276" w:type="dxa"/>
            <w:tcBorders>
              <w:top w:val="nil"/>
              <w:left w:val="nil"/>
              <w:bottom w:val="nil"/>
              <w:right w:val="nil"/>
            </w:tcBorders>
            <w:shd w:val="clear" w:color="auto" w:fill="auto"/>
            <w:noWrap/>
            <w:vAlign w:val="bottom"/>
            <w:hideMark/>
          </w:tcPr>
          <w:p w14:paraId="60376584"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(0.0062)</w:t>
            </w:r>
          </w:p>
        </w:tc>
      </w:tr>
      <w:tr w:rsidR="00683654" w:rsidRPr="006F4C9E" w14:paraId="100749F1" w14:textId="77777777" w:rsidTr="007B7FBC">
        <w:trPr>
          <w:trHeight w:val="300"/>
        </w:trPr>
        <w:tc>
          <w:tcPr>
            <w:tcW w:w="2055" w:type="dxa"/>
            <w:tcBorders>
              <w:top w:val="nil"/>
              <w:left w:val="nil"/>
              <w:bottom w:val="nil"/>
              <w:right w:val="nil"/>
            </w:tcBorders>
            <w:shd w:val="clear" w:color="auto" w:fill="auto"/>
            <w:noWrap/>
            <w:vAlign w:val="bottom"/>
            <w:hideMark/>
          </w:tcPr>
          <w:p w14:paraId="1AA49FCA" w14:textId="77777777" w:rsidR="00683654" w:rsidRPr="006F4C9E" w:rsidRDefault="00683654" w:rsidP="00683654">
            <w:pPr>
              <w:spacing w:after="0" w:line="276" w:lineRule="auto"/>
              <w:ind w:left="0" w:firstLine="0"/>
              <w:jc w:val="center"/>
              <w:rPr>
                <w:b/>
                <w:bCs/>
                <w:color w:val="auto"/>
                <w:sz w:val="16"/>
                <w:szCs w:val="16"/>
              </w:rPr>
            </w:pPr>
            <w:proofErr w:type="spellStart"/>
            <w:proofErr w:type="gramStart"/>
            <w:r w:rsidRPr="006F4C9E">
              <w:rPr>
                <w:b/>
                <w:bCs/>
                <w:color w:val="auto"/>
                <w:sz w:val="16"/>
                <w:szCs w:val="16"/>
              </w:rPr>
              <w:t>tx</w:t>
            </w:r>
            <w:proofErr w:type="gramEnd"/>
            <w:r w:rsidRPr="006F4C9E">
              <w:rPr>
                <w:b/>
                <w:bCs/>
                <w:color w:val="auto"/>
                <w:sz w:val="16"/>
                <w:szCs w:val="16"/>
              </w:rPr>
              <w:t>_int</w:t>
            </w:r>
            <w:proofErr w:type="spellEnd"/>
          </w:p>
        </w:tc>
        <w:tc>
          <w:tcPr>
            <w:tcW w:w="1168" w:type="dxa"/>
            <w:tcBorders>
              <w:top w:val="nil"/>
              <w:left w:val="nil"/>
              <w:bottom w:val="nil"/>
              <w:right w:val="nil"/>
            </w:tcBorders>
            <w:shd w:val="clear" w:color="auto" w:fill="auto"/>
            <w:noWrap/>
            <w:vAlign w:val="bottom"/>
            <w:hideMark/>
          </w:tcPr>
          <w:p w14:paraId="3892D4CF"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- 0.0117***</w:t>
            </w:r>
          </w:p>
        </w:tc>
        <w:tc>
          <w:tcPr>
            <w:tcW w:w="1030" w:type="dxa"/>
            <w:tcBorders>
              <w:top w:val="nil"/>
              <w:left w:val="nil"/>
              <w:bottom w:val="nil"/>
              <w:right w:val="nil"/>
            </w:tcBorders>
            <w:shd w:val="clear" w:color="auto" w:fill="auto"/>
            <w:noWrap/>
            <w:vAlign w:val="bottom"/>
            <w:hideMark/>
          </w:tcPr>
          <w:p w14:paraId="73FAED86"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- 0.0129***</w:t>
            </w:r>
          </w:p>
        </w:tc>
        <w:tc>
          <w:tcPr>
            <w:tcW w:w="1134" w:type="dxa"/>
            <w:tcBorders>
              <w:top w:val="nil"/>
              <w:left w:val="nil"/>
              <w:bottom w:val="nil"/>
              <w:right w:val="nil"/>
            </w:tcBorders>
            <w:shd w:val="clear" w:color="auto" w:fill="auto"/>
            <w:noWrap/>
            <w:vAlign w:val="bottom"/>
            <w:hideMark/>
          </w:tcPr>
          <w:p w14:paraId="7C773632"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- 0.0129***</w:t>
            </w:r>
          </w:p>
        </w:tc>
        <w:tc>
          <w:tcPr>
            <w:tcW w:w="992" w:type="dxa"/>
            <w:tcBorders>
              <w:top w:val="nil"/>
              <w:left w:val="nil"/>
              <w:bottom w:val="nil"/>
              <w:right w:val="nil"/>
            </w:tcBorders>
            <w:shd w:val="clear" w:color="auto" w:fill="auto"/>
            <w:noWrap/>
            <w:vAlign w:val="bottom"/>
            <w:hideMark/>
          </w:tcPr>
          <w:p w14:paraId="04671A92"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- 0.0168***</w:t>
            </w:r>
          </w:p>
        </w:tc>
        <w:tc>
          <w:tcPr>
            <w:tcW w:w="993" w:type="dxa"/>
            <w:tcBorders>
              <w:top w:val="nil"/>
              <w:left w:val="nil"/>
              <w:bottom w:val="nil"/>
              <w:right w:val="nil"/>
            </w:tcBorders>
            <w:shd w:val="clear" w:color="auto" w:fill="auto"/>
            <w:noWrap/>
            <w:vAlign w:val="bottom"/>
            <w:hideMark/>
          </w:tcPr>
          <w:p w14:paraId="02731701"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- 0.0116***</w:t>
            </w:r>
          </w:p>
        </w:tc>
        <w:tc>
          <w:tcPr>
            <w:tcW w:w="850" w:type="dxa"/>
            <w:tcBorders>
              <w:top w:val="nil"/>
              <w:left w:val="nil"/>
              <w:bottom w:val="nil"/>
              <w:right w:val="nil"/>
            </w:tcBorders>
            <w:shd w:val="clear" w:color="auto" w:fill="auto"/>
            <w:noWrap/>
            <w:vAlign w:val="bottom"/>
            <w:hideMark/>
          </w:tcPr>
          <w:p w14:paraId="14462B2D"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- 0.0100***</w:t>
            </w:r>
          </w:p>
        </w:tc>
        <w:tc>
          <w:tcPr>
            <w:tcW w:w="992" w:type="dxa"/>
            <w:tcBorders>
              <w:top w:val="nil"/>
              <w:left w:val="nil"/>
              <w:bottom w:val="nil"/>
              <w:right w:val="nil"/>
            </w:tcBorders>
            <w:shd w:val="clear" w:color="auto" w:fill="auto"/>
            <w:noWrap/>
            <w:vAlign w:val="bottom"/>
            <w:hideMark/>
          </w:tcPr>
          <w:p w14:paraId="62F31E76"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- 0.0101***</w:t>
            </w:r>
          </w:p>
        </w:tc>
        <w:tc>
          <w:tcPr>
            <w:tcW w:w="1276" w:type="dxa"/>
            <w:tcBorders>
              <w:top w:val="nil"/>
              <w:left w:val="nil"/>
              <w:bottom w:val="nil"/>
              <w:right w:val="nil"/>
            </w:tcBorders>
            <w:shd w:val="clear" w:color="auto" w:fill="auto"/>
            <w:noWrap/>
            <w:vAlign w:val="bottom"/>
            <w:hideMark/>
          </w:tcPr>
          <w:p w14:paraId="23E47FCB"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- 0.0116***</w:t>
            </w:r>
          </w:p>
        </w:tc>
      </w:tr>
      <w:tr w:rsidR="00683654" w:rsidRPr="006F4C9E" w14:paraId="43DCCE44" w14:textId="77777777" w:rsidTr="007B7FBC">
        <w:trPr>
          <w:trHeight w:val="300"/>
        </w:trPr>
        <w:tc>
          <w:tcPr>
            <w:tcW w:w="2055" w:type="dxa"/>
            <w:tcBorders>
              <w:top w:val="nil"/>
              <w:left w:val="nil"/>
              <w:bottom w:val="nil"/>
              <w:right w:val="nil"/>
            </w:tcBorders>
            <w:shd w:val="clear" w:color="auto" w:fill="auto"/>
            <w:noWrap/>
            <w:vAlign w:val="bottom"/>
            <w:hideMark/>
          </w:tcPr>
          <w:p w14:paraId="02AC6910" w14:textId="77777777" w:rsidR="00683654" w:rsidRPr="006F4C9E" w:rsidRDefault="00683654" w:rsidP="00683654">
            <w:pPr>
              <w:spacing w:after="0" w:line="276" w:lineRule="auto"/>
              <w:ind w:left="0" w:firstLine="0"/>
              <w:jc w:val="center"/>
              <w:rPr>
                <w:color w:val="auto"/>
                <w:sz w:val="16"/>
                <w:szCs w:val="16"/>
              </w:rPr>
            </w:pPr>
          </w:p>
        </w:tc>
        <w:tc>
          <w:tcPr>
            <w:tcW w:w="1168" w:type="dxa"/>
            <w:tcBorders>
              <w:top w:val="nil"/>
              <w:left w:val="nil"/>
              <w:bottom w:val="nil"/>
              <w:right w:val="nil"/>
            </w:tcBorders>
            <w:shd w:val="clear" w:color="auto" w:fill="auto"/>
            <w:noWrap/>
            <w:vAlign w:val="bottom"/>
            <w:hideMark/>
          </w:tcPr>
          <w:p w14:paraId="2B473B5E"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(0.0030)</w:t>
            </w:r>
          </w:p>
        </w:tc>
        <w:tc>
          <w:tcPr>
            <w:tcW w:w="1030" w:type="dxa"/>
            <w:tcBorders>
              <w:top w:val="nil"/>
              <w:left w:val="nil"/>
              <w:bottom w:val="nil"/>
              <w:right w:val="nil"/>
            </w:tcBorders>
            <w:shd w:val="clear" w:color="auto" w:fill="auto"/>
            <w:noWrap/>
            <w:vAlign w:val="bottom"/>
            <w:hideMark/>
          </w:tcPr>
          <w:p w14:paraId="66BD5399"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(0.0031)</w:t>
            </w:r>
          </w:p>
        </w:tc>
        <w:tc>
          <w:tcPr>
            <w:tcW w:w="1134" w:type="dxa"/>
            <w:tcBorders>
              <w:top w:val="nil"/>
              <w:left w:val="nil"/>
              <w:bottom w:val="nil"/>
              <w:right w:val="nil"/>
            </w:tcBorders>
            <w:shd w:val="clear" w:color="auto" w:fill="auto"/>
            <w:noWrap/>
            <w:vAlign w:val="bottom"/>
            <w:hideMark/>
          </w:tcPr>
          <w:p w14:paraId="083D0C3F"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(0.0030)</w:t>
            </w:r>
          </w:p>
        </w:tc>
        <w:tc>
          <w:tcPr>
            <w:tcW w:w="992" w:type="dxa"/>
            <w:tcBorders>
              <w:top w:val="nil"/>
              <w:left w:val="nil"/>
              <w:bottom w:val="nil"/>
              <w:right w:val="nil"/>
            </w:tcBorders>
            <w:shd w:val="clear" w:color="auto" w:fill="auto"/>
            <w:noWrap/>
            <w:vAlign w:val="bottom"/>
            <w:hideMark/>
          </w:tcPr>
          <w:p w14:paraId="290B8370"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(0.0030)</w:t>
            </w:r>
          </w:p>
        </w:tc>
        <w:tc>
          <w:tcPr>
            <w:tcW w:w="993" w:type="dxa"/>
            <w:tcBorders>
              <w:top w:val="nil"/>
              <w:left w:val="nil"/>
              <w:bottom w:val="nil"/>
              <w:right w:val="nil"/>
            </w:tcBorders>
            <w:shd w:val="clear" w:color="auto" w:fill="auto"/>
            <w:noWrap/>
            <w:vAlign w:val="bottom"/>
            <w:hideMark/>
          </w:tcPr>
          <w:p w14:paraId="39BE1C28"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(0.0030)</w:t>
            </w:r>
          </w:p>
        </w:tc>
        <w:tc>
          <w:tcPr>
            <w:tcW w:w="850" w:type="dxa"/>
            <w:tcBorders>
              <w:top w:val="nil"/>
              <w:left w:val="nil"/>
              <w:bottom w:val="nil"/>
              <w:right w:val="nil"/>
            </w:tcBorders>
            <w:shd w:val="clear" w:color="auto" w:fill="auto"/>
            <w:noWrap/>
            <w:vAlign w:val="bottom"/>
            <w:hideMark/>
          </w:tcPr>
          <w:p w14:paraId="4D4AF469"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(0.0030)</w:t>
            </w:r>
          </w:p>
        </w:tc>
        <w:tc>
          <w:tcPr>
            <w:tcW w:w="992" w:type="dxa"/>
            <w:tcBorders>
              <w:top w:val="nil"/>
              <w:left w:val="nil"/>
              <w:bottom w:val="nil"/>
              <w:right w:val="nil"/>
            </w:tcBorders>
            <w:shd w:val="clear" w:color="auto" w:fill="auto"/>
            <w:noWrap/>
            <w:vAlign w:val="bottom"/>
            <w:hideMark/>
          </w:tcPr>
          <w:p w14:paraId="4F8F3DBB"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(0.0030)</w:t>
            </w:r>
          </w:p>
        </w:tc>
        <w:tc>
          <w:tcPr>
            <w:tcW w:w="1276" w:type="dxa"/>
            <w:tcBorders>
              <w:top w:val="nil"/>
              <w:left w:val="nil"/>
              <w:bottom w:val="nil"/>
              <w:right w:val="nil"/>
            </w:tcBorders>
            <w:shd w:val="clear" w:color="auto" w:fill="auto"/>
            <w:noWrap/>
            <w:vAlign w:val="bottom"/>
            <w:hideMark/>
          </w:tcPr>
          <w:p w14:paraId="454003C1"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(0.0030)</w:t>
            </w:r>
          </w:p>
        </w:tc>
      </w:tr>
      <w:tr w:rsidR="00683654" w:rsidRPr="006F4C9E" w14:paraId="718561B5" w14:textId="77777777" w:rsidTr="007B7FBC">
        <w:trPr>
          <w:trHeight w:val="300"/>
        </w:trPr>
        <w:tc>
          <w:tcPr>
            <w:tcW w:w="2055" w:type="dxa"/>
            <w:tcBorders>
              <w:top w:val="nil"/>
              <w:left w:val="nil"/>
              <w:bottom w:val="nil"/>
              <w:right w:val="nil"/>
            </w:tcBorders>
            <w:shd w:val="clear" w:color="auto" w:fill="auto"/>
            <w:noWrap/>
            <w:vAlign w:val="bottom"/>
            <w:hideMark/>
          </w:tcPr>
          <w:p w14:paraId="08E1E7AA" w14:textId="77777777" w:rsidR="00683654" w:rsidRPr="006F4C9E" w:rsidRDefault="00683654" w:rsidP="00683654">
            <w:pPr>
              <w:spacing w:after="0" w:line="276" w:lineRule="auto"/>
              <w:ind w:left="0" w:firstLine="0"/>
              <w:jc w:val="center"/>
              <w:rPr>
                <w:b/>
                <w:bCs/>
                <w:color w:val="auto"/>
                <w:sz w:val="16"/>
                <w:szCs w:val="16"/>
              </w:rPr>
            </w:pPr>
            <w:proofErr w:type="spellStart"/>
            <w:proofErr w:type="gramStart"/>
            <w:r w:rsidRPr="006F4C9E">
              <w:rPr>
                <w:b/>
                <w:bCs/>
                <w:color w:val="auto"/>
                <w:sz w:val="16"/>
                <w:szCs w:val="16"/>
              </w:rPr>
              <w:t>ouv</w:t>
            </w:r>
            <w:proofErr w:type="spellEnd"/>
            <w:proofErr w:type="gramEnd"/>
          </w:p>
        </w:tc>
        <w:tc>
          <w:tcPr>
            <w:tcW w:w="1168" w:type="dxa"/>
            <w:tcBorders>
              <w:top w:val="nil"/>
              <w:left w:val="nil"/>
              <w:bottom w:val="nil"/>
              <w:right w:val="nil"/>
            </w:tcBorders>
            <w:shd w:val="clear" w:color="auto" w:fill="auto"/>
            <w:noWrap/>
            <w:vAlign w:val="bottom"/>
            <w:hideMark/>
          </w:tcPr>
          <w:p w14:paraId="5D8119E1"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0.0075***</w:t>
            </w:r>
          </w:p>
        </w:tc>
        <w:tc>
          <w:tcPr>
            <w:tcW w:w="1030" w:type="dxa"/>
            <w:tcBorders>
              <w:top w:val="nil"/>
              <w:left w:val="nil"/>
              <w:bottom w:val="nil"/>
              <w:right w:val="nil"/>
            </w:tcBorders>
            <w:shd w:val="clear" w:color="auto" w:fill="auto"/>
            <w:noWrap/>
            <w:vAlign w:val="bottom"/>
            <w:hideMark/>
          </w:tcPr>
          <w:p w14:paraId="3CCAC4A0"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0.0066**</w:t>
            </w:r>
          </w:p>
        </w:tc>
        <w:tc>
          <w:tcPr>
            <w:tcW w:w="1134" w:type="dxa"/>
            <w:tcBorders>
              <w:top w:val="nil"/>
              <w:left w:val="nil"/>
              <w:bottom w:val="nil"/>
              <w:right w:val="nil"/>
            </w:tcBorders>
            <w:shd w:val="clear" w:color="auto" w:fill="auto"/>
            <w:noWrap/>
            <w:vAlign w:val="bottom"/>
            <w:hideMark/>
          </w:tcPr>
          <w:p w14:paraId="49E5F994"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0.0072***</w:t>
            </w:r>
          </w:p>
        </w:tc>
        <w:tc>
          <w:tcPr>
            <w:tcW w:w="992" w:type="dxa"/>
            <w:tcBorders>
              <w:top w:val="nil"/>
              <w:left w:val="nil"/>
              <w:bottom w:val="nil"/>
              <w:right w:val="nil"/>
            </w:tcBorders>
            <w:shd w:val="clear" w:color="auto" w:fill="auto"/>
            <w:noWrap/>
            <w:vAlign w:val="bottom"/>
            <w:hideMark/>
          </w:tcPr>
          <w:p w14:paraId="16A4793C"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0.0080***</w:t>
            </w:r>
          </w:p>
        </w:tc>
        <w:tc>
          <w:tcPr>
            <w:tcW w:w="993" w:type="dxa"/>
            <w:tcBorders>
              <w:top w:val="nil"/>
              <w:left w:val="nil"/>
              <w:bottom w:val="nil"/>
              <w:right w:val="nil"/>
            </w:tcBorders>
            <w:shd w:val="clear" w:color="auto" w:fill="auto"/>
            <w:noWrap/>
            <w:vAlign w:val="bottom"/>
            <w:hideMark/>
          </w:tcPr>
          <w:p w14:paraId="3ECBBDCD"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0.0083***</w:t>
            </w:r>
          </w:p>
        </w:tc>
        <w:tc>
          <w:tcPr>
            <w:tcW w:w="850" w:type="dxa"/>
            <w:tcBorders>
              <w:top w:val="nil"/>
              <w:left w:val="nil"/>
              <w:bottom w:val="nil"/>
              <w:right w:val="nil"/>
            </w:tcBorders>
            <w:shd w:val="clear" w:color="auto" w:fill="auto"/>
            <w:noWrap/>
            <w:vAlign w:val="bottom"/>
            <w:hideMark/>
          </w:tcPr>
          <w:p w14:paraId="293D347F"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0,0082***</w:t>
            </w:r>
          </w:p>
        </w:tc>
        <w:tc>
          <w:tcPr>
            <w:tcW w:w="992" w:type="dxa"/>
            <w:tcBorders>
              <w:top w:val="nil"/>
              <w:left w:val="nil"/>
              <w:bottom w:val="nil"/>
              <w:right w:val="nil"/>
            </w:tcBorders>
            <w:shd w:val="clear" w:color="auto" w:fill="auto"/>
            <w:noWrap/>
            <w:vAlign w:val="bottom"/>
            <w:hideMark/>
          </w:tcPr>
          <w:p w14:paraId="2C13A981"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0,0086***</w:t>
            </w:r>
          </w:p>
        </w:tc>
        <w:tc>
          <w:tcPr>
            <w:tcW w:w="1276" w:type="dxa"/>
            <w:tcBorders>
              <w:top w:val="nil"/>
              <w:left w:val="nil"/>
              <w:bottom w:val="nil"/>
              <w:right w:val="nil"/>
            </w:tcBorders>
            <w:shd w:val="clear" w:color="auto" w:fill="auto"/>
            <w:noWrap/>
            <w:vAlign w:val="bottom"/>
            <w:hideMark/>
          </w:tcPr>
          <w:p w14:paraId="095A8AA4"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0.0078***</w:t>
            </w:r>
          </w:p>
        </w:tc>
      </w:tr>
      <w:tr w:rsidR="00683654" w:rsidRPr="006F4C9E" w14:paraId="6FBB98F9" w14:textId="77777777" w:rsidTr="007B7FBC">
        <w:trPr>
          <w:trHeight w:val="300"/>
        </w:trPr>
        <w:tc>
          <w:tcPr>
            <w:tcW w:w="2055" w:type="dxa"/>
            <w:tcBorders>
              <w:top w:val="nil"/>
              <w:left w:val="nil"/>
              <w:bottom w:val="nil"/>
              <w:right w:val="nil"/>
            </w:tcBorders>
            <w:shd w:val="clear" w:color="auto" w:fill="auto"/>
            <w:noWrap/>
            <w:vAlign w:val="bottom"/>
            <w:hideMark/>
          </w:tcPr>
          <w:p w14:paraId="25025C6F" w14:textId="77777777" w:rsidR="00683654" w:rsidRPr="006F4C9E" w:rsidRDefault="00683654" w:rsidP="00683654">
            <w:pPr>
              <w:spacing w:after="0" w:line="276" w:lineRule="auto"/>
              <w:ind w:left="0" w:firstLine="0"/>
              <w:jc w:val="center"/>
              <w:rPr>
                <w:color w:val="auto"/>
                <w:sz w:val="16"/>
                <w:szCs w:val="16"/>
              </w:rPr>
            </w:pPr>
          </w:p>
        </w:tc>
        <w:tc>
          <w:tcPr>
            <w:tcW w:w="1168" w:type="dxa"/>
            <w:tcBorders>
              <w:top w:val="nil"/>
              <w:left w:val="nil"/>
              <w:bottom w:val="nil"/>
              <w:right w:val="nil"/>
            </w:tcBorders>
            <w:shd w:val="clear" w:color="auto" w:fill="auto"/>
            <w:noWrap/>
            <w:vAlign w:val="bottom"/>
            <w:hideMark/>
          </w:tcPr>
          <w:p w14:paraId="66A0D594"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(0.0027)</w:t>
            </w:r>
          </w:p>
        </w:tc>
        <w:tc>
          <w:tcPr>
            <w:tcW w:w="1030" w:type="dxa"/>
            <w:tcBorders>
              <w:top w:val="nil"/>
              <w:left w:val="nil"/>
              <w:bottom w:val="nil"/>
              <w:right w:val="nil"/>
            </w:tcBorders>
            <w:shd w:val="clear" w:color="auto" w:fill="auto"/>
            <w:noWrap/>
            <w:vAlign w:val="bottom"/>
            <w:hideMark/>
          </w:tcPr>
          <w:p w14:paraId="432E8501"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(0.0027)</w:t>
            </w:r>
          </w:p>
        </w:tc>
        <w:tc>
          <w:tcPr>
            <w:tcW w:w="1134" w:type="dxa"/>
            <w:tcBorders>
              <w:top w:val="nil"/>
              <w:left w:val="nil"/>
              <w:bottom w:val="nil"/>
              <w:right w:val="nil"/>
            </w:tcBorders>
            <w:shd w:val="clear" w:color="auto" w:fill="auto"/>
            <w:noWrap/>
            <w:vAlign w:val="bottom"/>
            <w:hideMark/>
          </w:tcPr>
          <w:p w14:paraId="6AB142F7"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(0.0027)</w:t>
            </w:r>
          </w:p>
        </w:tc>
        <w:tc>
          <w:tcPr>
            <w:tcW w:w="992" w:type="dxa"/>
            <w:tcBorders>
              <w:top w:val="nil"/>
              <w:left w:val="nil"/>
              <w:bottom w:val="nil"/>
              <w:right w:val="nil"/>
            </w:tcBorders>
            <w:shd w:val="clear" w:color="auto" w:fill="auto"/>
            <w:noWrap/>
            <w:vAlign w:val="bottom"/>
            <w:hideMark/>
          </w:tcPr>
          <w:p w14:paraId="2D62E223"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(0.0027)</w:t>
            </w:r>
          </w:p>
        </w:tc>
        <w:tc>
          <w:tcPr>
            <w:tcW w:w="993" w:type="dxa"/>
            <w:tcBorders>
              <w:top w:val="nil"/>
              <w:left w:val="nil"/>
              <w:bottom w:val="nil"/>
              <w:right w:val="nil"/>
            </w:tcBorders>
            <w:shd w:val="clear" w:color="auto" w:fill="auto"/>
            <w:noWrap/>
            <w:vAlign w:val="bottom"/>
            <w:hideMark/>
          </w:tcPr>
          <w:p w14:paraId="458A1B7A"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(0.0027)</w:t>
            </w:r>
          </w:p>
        </w:tc>
        <w:tc>
          <w:tcPr>
            <w:tcW w:w="850" w:type="dxa"/>
            <w:tcBorders>
              <w:top w:val="nil"/>
              <w:left w:val="nil"/>
              <w:bottom w:val="nil"/>
              <w:right w:val="nil"/>
            </w:tcBorders>
            <w:shd w:val="clear" w:color="auto" w:fill="auto"/>
            <w:noWrap/>
            <w:vAlign w:val="bottom"/>
            <w:hideMark/>
          </w:tcPr>
          <w:p w14:paraId="5E4CEB17"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(0.0027)</w:t>
            </w:r>
          </w:p>
        </w:tc>
        <w:tc>
          <w:tcPr>
            <w:tcW w:w="992" w:type="dxa"/>
            <w:tcBorders>
              <w:top w:val="nil"/>
              <w:left w:val="nil"/>
              <w:bottom w:val="nil"/>
              <w:right w:val="nil"/>
            </w:tcBorders>
            <w:shd w:val="clear" w:color="auto" w:fill="auto"/>
            <w:noWrap/>
            <w:vAlign w:val="bottom"/>
            <w:hideMark/>
          </w:tcPr>
          <w:p w14:paraId="47E3AE0B"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(0.0027)</w:t>
            </w:r>
          </w:p>
        </w:tc>
        <w:tc>
          <w:tcPr>
            <w:tcW w:w="1276" w:type="dxa"/>
            <w:tcBorders>
              <w:top w:val="nil"/>
              <w:left w:val="nil"/>
              <w:bottom w:val="nil"/>
              <w:right w:val="nil"/>
            </w:tcBorders>
            <w:shd w:val="clear" w:color="auto" w:fill="auto"/>
            <w:noWrap/>
            <w:vAlign w:val="bottom"/>
            <w:hideMark/>
          </w:tcPr>
          <w:p w14:paraId="0498A9ED"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(0.0027)</w:t>
            </w:r>
          </w:p>
        </w:tc>
      </w:tr>
      <w:tr w:rsidR="00683654" w:rsidRPr="006F4C9E" w14:paraId="0623FB37" w14:textId="77777777" w:rsidTr="007B7FBC">
        <w:trPr>
          <w:trHeight w:val="300"/>
        </w:trPr>
        <w:tc>
          <w:tcPr>
            <w:tcW w:w="2055" w:type="dxa"/>
            <w:tcBorders>
              <w:top w:val="nil"/>
              <w:left w:val="nil"/>
              <w:bottom w:val="nil"/>
              <w:right w:val="nil"/>
            </w:tcBorders>
            <w:shd w:val="clear" w:color="auto" w:fill="auto"/>
            <w:noWrap/>
            <w:vAlign w:val="bottom"/>
            <w:hideMark/>
          </w:tcPr>
          <w:p w14:paraId="0AE88B49" w14:textId="77777777" w:rsidR="00683654" w:rsidRPr="006F4C9E" w:rsidRDefault="00683654" w:rsidP="00683654">
            <w:pPr>
              <w:spacing w:after="0" w:line="276" w:lineRule="auto"/>
              <w:ind w:left="0" w:firstLine="0"/>
              <w:jc w:val="center"/>
              <w:rPr>
                <w:b/>
                <w:bCs/>
                <w:color w:val="auto"/>
                <w:sz w:val="16"/>
                <w:szCs w:val="16"/>
              </w:rPr>
            </w:pPr>
            <w:proofErr w:type="spellStart"/>
            <w:proofErr w:type="gramStart"/>
            <w:r w:rsidRPr="006F4C9E">
              <w:rPr>
                <w:b/>
                <w:bCs/>
                <w:color w:val="auto"/>
                <w:sz w:val="16"/>
                <w:szCs w:val="16"/>
              </w:rPr>
              <w:t>res</w:t>
            </w:r>
            <w:proofErr w:type="gramEnd"/>
            <w:r w:rsidRPr="006F4C9E">
              <w:rPr>
                <w:b/>
                <w:bCs/>
                <w:color w:val="auto"/>
                <w:sz w:val="16"/>
                <w:szCs w:val="16"/>
              </w:rPr>
              <w:t>_ext</w:t>
            </w:r>
            <w:proofErr w:type="spellEnd"/>
          </w:p>
        </w:tc>
        <w:tc>
          <w:tcPr>
            <w:tcW w:w="1168" w:type="dxa"/>
            <w:tcBorders>
              <w:top w:val="nil"/>
              <w:left w:val="nil"/>
              <w:bottom w:val="nil"/>
              <w:right w:val="nil"/>
            </w:tcBorders>
            <w:shd w:val="clear" w:color="auto" w:fill="auto"/>
            <w:noWrap/>
            <w:vAlign w:val="bottom"/>
            <w:hideMark/>
          </w:tcPr>
          <w:p w14:paraId="163428B1"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- 0.0003*</w:t>
            </w:r>
          </w:p>
        </w:tc>
        <w:tc>
          <w:tcPr>
            <w:tcW w:w="1030" w:type="dxa"/>
            <w:tcBorders>
              <w:top w:val="nil"/>
              <w:left w:val="nil"/>
              <w:bottom w:val="nil"/>
              <w:right w:val="nil"/>
            </w:tcBorders>
            <w:shd w:val="clear" w:color="auto" w:fill="auto"/>
            <w:noWrap/>
            <w:vAlign w:val="bottom"/>
            <w:hideMark/>
          </w:tcPr>
          <w:p w14:paraId="6A09D87A"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- 0.0004*</w:t>
            </w:r>
          </w:p>
        </w:tc>
        <w:tc>
          <w:tcPr>
            <w:tcW w:w="1134" w:type="dxa"/>
            <w:tcBorders>
              <w:top w:val="nil"/>
              <w:left w:val="nil"/>
              <w:bottom w:val="nil"/>
              <w:right w:val="nil"/>
            </w:tcBorders>
            <w:shd w:val="clear" w:color="auto" w:fill="auto"/>
            <w:noWrap/>
            <w:vAlign w:val="bottom"/>
            <w:hideMark/>
          </w:tcPr>
          <w:p w14:paraId="16C2B9C8"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- 0.0003</w:t>
            </w:r>
          </w:p>
        </w:tc>
        <w:tc>
          <w:tcPr>
            <w:tcW w:w="992" w:type="dxa"/>
            <w:tcBorders>
              <w:top w:val="nil"/>
              <w:left w:val="nil"/>
              <w:bottom w:val="nil"/>
              <w:right w:val="nil"/>
            </w:tcBorders>
            <w:shd w:val="clear" w:color="auto" w:fill="auto"/>
            <w:noWrap/>
            <w:vAlign w:val="bottom"/>
            <w:hideMark/>
          </w:tcPr>
          <w:p w14:paraId="475DF1FE"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- 0.0007</w:t>
            </w:r>
          </w:p>
        </w:tc>
        <w:tc>
          <w:tcPr>
            <w:tcW w:w="993" w:type="dxa"/>
            <w:tcBorders>
              <w:top w:val="nil"/>
              <w:left w:val="nil"/>
              <w:bottom w:val="nil"/>
              <w:right w:val="nil"/>
            </w:tcBorders>
            <w:shd w:val="clear" w:color="auto" w:fill="auto"/>
            <w:noWrap/>
            <w:vAlign w:val="bottom"/>
            <w:hideMark/>
          </w:tcPr>
          <w:p w14:paraId="7A1969EC"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- 0.0003</w:t>
            </w:r>
          </w:p>
        </w:tc>
        <w:tc>
          <w:tcPr>
            <w:tcW w:w="850" w:type="dxa"/>
            <w:tcBorders>
              <w:top w:val="nil"/>
              <w:left w:val="nil"/>
              <w:bottom w:val="nil"/>
              <w:right w:val="nil"/>
            </w:tcBorders>
            <w:shd w:val="clear" w:color="auto" w:fill="auto"/>
            <w:noWrap/>
            <w:vAlign w:val="bottom"/>
            <w:hideMark/>
          </w:tcPr>
          <w:p w14:paraId="3C017BF8"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- 0.0020</w:t>
            </w:r>
          </w:p>
        </w:tc>
        <w:tc>
          <w:tcPr>
            <w:tcW w:w="992" w:type="dxa"/>
            <w:tcBorders>
              <w:top w:val="nil"/>
              <w:left w:val="nil"/>
              <w:bottom w:val="nil"/>
              <w:right w:val="nil"/>
            </w:tcBorders>
            <w:shd w:val="clear" w:color="auto" w:fill="auto"/>
            <w:noWrap/>
            <w:vAlign w:val="bottom"/>
            <w:hideMark/>
          </w:tcPr>
          <w:p w14:paraId="1FFDAF0A"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- 0.0013</w:t>
            </w:r>
          </w:p>
        </w:tc>
        <w:tc>
          <w:tcPr>
            <w:tcW w:w="1276" w:type="dxa"/>
            <w:tcBorders>
              <w:top w:val="nil"/>
              <w:left w:val="nil"/>
              <w:bottom w:val="nil"/>
              <w:right w:val="nil"/>
            </w:tcBorders>
            <w:shd w:val="clear" w:color="auto" w:fill="auto"/>
            <w:noWrap/>
            <w:vAlign w:val="bottom"/>
            <w:hideMark/>
          </w:tcPr>
          <w:p w14:paraId="6230D338"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- 0.0001</w:t>
            </w:r>
          </w:p>
        </w:tc>
      </w:tr>
      <w:tr w:rsidR="00683654" w:rsidRPr="006F4C9E" w14:paraId="25C81FEC" w14:textId="77777777" w:rsidTr="007B7FBC">
        <w:trPr>
          <w:trHeight w:val="300"/>
        </w:trPr>
        <w:tc>
          <w:tcPr>
            <w:tcW w:w="2055" w:type="dxa"/>
            <w:tcBorders>
              <w:top w:val="nil"/>
              <w:left w:val="nil"/>
              <w:bottom w:val="nil"/>
              <w:right w:val="nil"/>
            </w:tcBorders>
            <w:shd w:val="clear" w:color="auto" w:fill="auto"/>
            <w:noWrap/>
            <w:vAlign w:val="bottom"/>
            <w:hideMark/>
          </w:tcPr>
          <w:p w14:paraId="2D6927BA" w14:textId="77777777" w:rsidR="00683654" w:rsidRPr="006F4C9E" w:rsidRDefault="00683654" w:rsidP="00683654">
            <w:pPr>
              <w:spacing w:after="0" w:line="276" w:lineRule="auto"/>
              <w:ind w:left="0" w:firstLine="0"/>
              <w:jc w:val="center"/>
              <w:rPr>
                <w:color w:val="auto"/>
                <w:sz w:val="16"/>
                <w:szCs w:val="16"/>
              </w:rPr>
            </w:pPr>
          </w:p>
        </w:tc>
        <w:tc>
          <w:tcPr>
            <w:tcW w:w="1168" w:type="dxa"/>
            <w:tcBorders>
              <w:top w:val="nil"/>
              <w:left w:val="nil"/>
              <w:bottom w:val="nil"/>
              <w:right w:val="nil"/>
            </w:tcBorders>
            <w:shd w:val="clear" w:color="auto" w:fill="auto"/>
            <w:noWrap/>
            <w:vAlign w:val="bottom"/>
            <w:hideMark/>
          </w:tcPr>
          <w:p w14:paraId="3625CDA2"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(0.0020)</w:t>
            </w:r>
          </w:p>
        </w:tc>
        <w:tc>
          <w:tcPr>
            <w:tcW w:w="1030" w:type="dxa"/>
            <w:tcBorders>
              <w:top w:val="nil"/>
              <w:left w:val="nil"/>
              <w:bottom w:val="nil"/>
              <w:right w:val="nil"/>
            </w:tcBorders>
            <w:shd w:val="clear" w:color="auto" w:fill="auto"/>
            <w:noWrap/>
            <w:vAlign w:val="bottom"/>
            <w:hideMark/>
          </w:tcPr>
          <w:p w14:paraId="634E8921"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(0.0020)</w:t>
            </w:r>
          </w:p>
        </w:tc>
        <w:tc>
          <w:tcPr>
            <w:tcW w:w="1134" w:type="dxa"/>
            <w:tcBorders>
              <w:top w:val="nil"/>
              <w:left w:val="nil"/>
              <w:bottom w:val="nil"/>
              <w:right w:val="nil"/>
            </w:tcBorders>
            <w:shd w:val="clear" w:color="auto" w:fill="auto"/>
            <w:noWrap/>
            <w:vAlign w:val="bottom"/>
            <w:hideMark/>
          </w:tcPr>
          <w:p w14:paraId="56EFA98D"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(0.0020)</w:t>
            </w:r>
          </w:p>
        </w:tc>
        <w:tc>
          <w:tcPr>
            <w:tcW w:w="992" w:type="dxa"/>
            <w:tcBorders>
              <w:top w:val="nil"/>
              <w:left w:val="nil"/>
              <w:bottom w:val="nil"/>
              <w:right w:val="nil"/>
            </w:tcBorders>
            <w:shd w:val="clear" w:color="auto" w:fill="auto"/>
            <w:noWrap/>
            <w:vAlign w:val="bottom"/>
            <w:hideMark/>
          </w:tcPr>
          <w:p w14:paraId="43487C03"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(0.0020)</w:t>
            </w:r>
          </w:p>
        </w:tc>
        <w:tc>
          <w:tcPr>
            <w:tcW w:w="993" w:type="dxa"/>
            <w:tcBorders>
              <w:top w:val="nil"/>
              <w:left w:val="nil"/>
              <w:bottom w:val="nil"/>
              <w:right w:val="nil"/>
            </w:tcBorders>
            <w:shd w:val="clear" w:color="auto" w:fill="auto"/>
            <w:noWrap/>
            <w:vAlign w:val="bottom"/>
            <w:hideMark/>
          </w:tcPr>
          <w:p w14:paraId="4ECA473F"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(0.0020)</w:t>
            </w:r>
          </w:p>
        </w:tc>
        <w:tc>
          <w:tcPr>
            <w:tcW w:w="850" w:type="dxa"/>
            <w:tcBorders>
              <w:top w:val="nil"/>
              <w:left w:val="nil"/>
              <w:bottom w:val="nil"/>
              <w:right w:val="nil"/>
            </w:tcBorders>
            <w:shd w:val="clear" w:color="auto" w:fill="auto"/>
            <w:noWrap/>
            <w:vAlign w:val="bottom"/>
            <w:hideMark/>
          </w:tcPr>
          <w:p w14:paraId="411C12A7"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(0.0020)</w:t>
            </w:r>
          </w:p>
        </w:tc>
        <w:tc>
          <w:tcPr>
            <w:tcW w:w="992" w:type="dxa"/>
            <w:tcBorders>
              <w:top w:val="nil"/>
              <w:left w:val="nil"/>
              <w:bottom w:val="nil"/>
              <w:right w:val="nil"/>
            </w:tcBorders>
            <w:shd w:val="clear" w:color="auto" w:fill="auto"/>
            <w:noWrap/>
            <w:vAlign w:val="bottom"/>
            <w:hideMark/>
          </w:tcPr>
          <w:p w14:paraId="6D04778B"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(0.0020)</w:t>
            </w:r>
          </w:p>
        </w:tc>
        <w:tc>
          <w:tcPr>
            <w:tcW w:w="1276" w:type="dxa"/>
            <w:tcBorders>
              <w:top w:val="nil"/>
              <w:left w:val="nil"/>
              <w:bottom w:val="nil"/>
              <w:right w:val="nil"/>
            </w:tcBorders>
            <w:shd w:val="clear" w:color="auto" w:fill="auto"/>
            <w:noWrap/>
            <w:vAlign w:val="bottom"/>
            <w:hideMark/>
          </w:tcPr>
          <w:p w14:paraId="5F6AF865"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(0.0020)</w:t>
            </w:r>
          </w:p>
        </w:tc>
      </w:tr>
      <w:tr w:rsidR="00683654" w:rsidRPr="006F4C9E" w14:paraId="03AF564B" w14:textId="77777777" w:rsidTr="007B7FBC">
        <w:trPr>
          <w:trHeight w:val="300"/>
        </w:trPr>
        <w:tc>
          <w:tcPr>
            <w:tcW w:w="2055" w:type="dxa"/>
            <w:tcBorders>
              <w:top w:val="nil"/>
              <w:left w:val="nil"/>
              <w:bottom w:val="nil"/>
              <w:right w:val="nil"/>
            </w:tcBorders>
            <w:shd w:val="clear" w:color="auto" w:fill="auto"/>
            <w:noWrap/>
            <w:vAlign w:val="bottom"/>
            <w:hideMark/>
          </w:tcPr>
          <w:p w14:paraId="097D636D" w14:textId="77777777" w:rsidR="00683654" w:rsidRPr="006F4C9E" w:rsidRDefault="00683654" w:rsidP="00683654">
            <w:pPr>
              <w:spacing w:after="0" w:line="276" w:lineRule="auto"/>
              <w:ind w:left="0" w:firstLine="0"/>
              <w:jc w:val="center"/>
              <w:rPr>
                <w:b/>
                <w:bCs/>
                <w:color w:val="auto"/>
                <w:sz w:val="16"/>
                <w:szCs w:val="16"/>
              </w:rPr>
            </w:pPr>
            <w:proofErr w:type="spellStart"/>
            <w:proofErr w:type="gramStart"/>
            <w:r w:rsidRPr="006F4C9E">
              <w:rPr>
                <w:b/>
                <w:bCs/>
                <w:color w:val="auto"/>
                <w:sz w:val="16"/>
                <w:szCs w:val="16"/>
              </w:rPr>
              <w:t>crois</w:t>
            </w:r>
            <w:proofErr w:type="gramEnd"/>
            <w:r w:rsidRPr="006F4C9E">
              <w:rPr>
                <w:b/>
                <w:bCs/>
                <w:color w:val="auto"/>
                <w:sz w:val="16"/>
                <w:szCs w:val="16"/>
              </w:rPr>
              <w:t>_pop</w:t>
            </w:r>
            <w:proofErr w:type="spellEnd"/>
          </w:p>
        </w:tc>
        <w:tc>
          <w:tcPr>
            <w:tcW w:w="1168" w:type="dxa"/>
            <w:tcBorders>
              <w:top w:val="nil"/>
              <w:left w:val="nil"/>
              <w:bottom w:val="nil"/>
              <w:right w:val="nil"/>
            </w:tcBorders>
            <w:shd w:val="clear" w:color="auto" w:fill="auto"/>
            <w:noWrap/>
            <w:vAlign w:val="bottom"/>
            <w:hideMark/>
          </w:tcPr>
          <w:p w14:paraId="2A5BF30A"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- 0.0131*</w:t>
            </w:r>
          </w:p>
        </w:tc>
        <w:tc>
          <w:tcPr>
            <w:tcW w:w="1030" w:type="dxa"/>
            <w:tcBorders>
              <w:top w:val="nil"/>
              <w:left w:val="nil"/>
              <w:bottom w:val="nil"/>
              <w:right w:val="nil"/>
            </w:tcBorders>
            <w:shd w:val="clear" w:color="auto" w:fill="auto"/>
            <w:noWrap/>
            <w:vAlign w:val="bottom"/>
            <w:hideMark/>
          </w:tcPr>
          <w:p w14:paraId="24878114"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0.0033</w:t>
            </w:r>
          </w:p>
        </w:tc>
        <w:tc>
          <w:tcPr>
            <w:tcW w:w="1134" w:type="dxa"/>
            <w:tcBorders>
              <w:top w:val="nil"/>
              <w:left w:val="nil"/>
              <w:bottom w:val="nil"/>
              <w:right w:val="nil"/>
            </w:tcBorders>
            <w:shd w:val="clear" w:color="auto" w:fill="auto"/>
            <w:noWrap/>
            <w:vAlign w:val="bottom"/>
            <w:hideMark/>
          </w:tcPr>
          <w:p w14:paraId="7D6FA9D0"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0.0030</w:t>
            </w:r>
          </w:p>
        </w:tc>
        <w:tc>
          <w:tcPr>
            <w:tcW w:w="992" w:type="dxa"/>
            <w:tcBorders>
              <w:top w:val="nil"/>
              <w:left w:val="nil"/>
              <w:bottom w:val="nil"/>
              <w:right w:val="nil"/>
            </w:tcBorders>
            <w:shd w:val="clear" w:color="auto" w:fill="auto"/>
            <w:noWrap/>
            <w:vAlign w:val="bottom"/>
            <w:hideMark/>
          </w:tcPr>
          <w:p w14:paraId="3FD290B1"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0.0025</w:t>
            </w:r>
          </w:p>
        </w:tc>
        <w:tc>
          <w:tcPr>
            <w:tcW w:w="993" w:type="dxa"/>
            <w:tcBorders>
              <w:top w:val="nil"/>
              <w:left w:val="nil"/>
              <w:bottom w:val="nil"/>
              <w:right w:val="nil"/>
            </w:tcBorders>
            <w:shd w:val="clear" w:color="auto" w:fill="auto"/>
            <w:noWrap/>
            <w:vAlign w:val="bottom"/>
            <w:hideMark/>
          </w:tcPr>
          <w:p w14:paraId="0C05A128"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0.0235</w:t>
            </w:r>
          </w:p>
        </w:tc>
        <w:tc>
          <w:tcPr>
            <w:tcW w:w="850" w:type="dxa"/>
            <w:tcBorders>
              <w:top w:val="nil"/>
              <w:left w:val="nil"/>
              <w:bottom w:val="nil"/>
              <w:right w:val="nil"/>
            </w:tcBorders>
            <w:shd w:val="clear" w:color="auto" w:fill="auto"/>
            <w:noWrap/>
            <w:vAlign w:val="bottom"/>
            <w:hideMark/>
          </w:tcPr>
          <w:p w14:paraId="4F04409D"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- 0.0597</w:t>
            </w:r>
          </w:p>
        </w:tc>
        <w:tc>
          <w:tcPr>
            <w:tcW w:w="992" w:type="dxa"/>
            <w:tcBorders>
              <w:top w:val="nil"/>
              <w:left w:val="nil"/>
              <w:bottom w:val="nil"/>
              <w:right w:val="nil"/>
            </w:tcBorders>
            <w:shd w:val="clear" w:color="auto" w:fill="auto"/>
            <w:noWrap/>
            <w:vAlign w:val="bottom"/>
            <w:hideMark/>
          </w:tcPr>
          <w:p w14:paraId="712FB301"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- 0.0538</w:t>
            </w:r>
          </w:p>
        </w:tc>
        <w:tc>
          <w:tcPr>
            <w:tcW w:w="1276" w:type="dxa"/>
            <w:tcBorders>
              <w:top w:val="nil"/>
              <w:left w:val="nil"/>
              <w:bottom w:val="nil"/>
              <w:right w:val="nil"/>
            </w:tcBorders>
            <w:shd w:val="clear" w:color="auto" w:fill="auto"/>
            <w:noWrap/>
            <w:vAlign w:val="bottom"/>
            <w:hideMark/>
          </w:tcPr>
          <w:p w14:paraId="4DF323C0"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- 0.0149</w:t>
            </w:r>
          </w:p>
        </w:tc>
      </w:tr>
      <w:tr w:rsidR="00683654" w:rsidRPr="006F4C9E" w14:paraId="2A4BA919" w14:textId="77777777" w:rsidTr="007B7FBC">
        <w:trPr>
          <w:trHeight w:val="300"/>
        </w:trPr>
        <w:tc>
          <w:tcPr>
            <w:tcW w:w="2055" w:type="dxa"/>
            <w:tcBorders>
              <w:top w:val="nil"/>
              <w:left w:val="nil"/>
              <w:bottom w:val="nil"/>
              <w:right w:val="nil"/>
            </w:tcBorders>
            <w:shd w:val="clear" w:color="auto" w:fill="auto"/>
            <w:noWrap/>
            <w:vAlign w:val="bottom"/>
            <w:hideMark/>
          </w:tcPr>
          <w:p w14:paraId="788E310B" w14:textId="77777777" w:rsidR="00683654" w:rsidRPr="006F4C9E" w:rsidRDefault="00683654" w:rsidP="00683654">
            <w:pPr>
              <w:spacing w:after="0" w:line="276" w:lineRule="auto"/>
              <w:ind w:left="0" w:firstLine="0"/>
              <w:jc w:val="center"/>
              <w:rPr>
                <w:color w:val="auto"/>
                <w:sz w:val="16"/>
                <w:szCs w:val="16"/>
              </w:rPr>
            </w:pPr>
          </w:p>
        </w:tc>
        <w:tc>
          <w:tcPr>
            <w:tcW w:w="1168" w:type="dxa"/>
            <w:tcBorders>
              <w:top w:val="nil"/>
              <w:left w:val="nil"/>
              <w:bottom w:val="nil"/>
              <w:right w:val="nil"/>
            </w:tcBorders>
            <w:shd w:val="clear" w:color="auto" w:fill="auto"/>
            <w:noWrap/>
            <w:vAlign w:val="bottom"/>
            <w:hideMark/>
          </w:tcPr>
          <w:p w14:paraId="01FC5CE0"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(0.4102)</w:t>
            </w:r>
          </w:p>
        </w:tc>
        <w:tc>
          <w:tcPr>
            <w:tcW w:w="1030" w:type="dxa"/>
            <w:tcBorders>
              <w:top w:val="nil"/>
              <w:left w:val="nil"/>
              <w:bottom w:val="nil"/>
              <w:right w:val="nil"/>
            </w:tcBorders>
            <w:shd w:val="clear" w:color="auto" w:fill="auto"/>
            <w:noWrap/>
            <w:vAlign w:val="bottom"/>
            <w:hideMark/>
          </w:tcPr>
          <w:p w14:paraId="4983A3D0"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(0.0416)</w:t>
            </w:r>
          </w:p>
        </w:tc>
        <w:tc>
          <w:tcPr>
            <w:tcW w:w="1134" w:type="dxa"/>
            <w:tcBorders>
              <w:top w:val="nil"/>
              <w:left w:val="nil"/>
              <w:bottom w:val="nil"/>
              <w:right w:val="nil"/>
            </w:tcBorders>
            <w:shd w:val="clear" w:color="auto" w:fill="auto"/>
            <w:noWrap/>
            <w:vAlign w:val="bottom"/>
            <w:hideMark/>
          </w:tcPr>
          <w:p w14:paraId="5A30435F"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(0.0415)</w:t>
            </w:r>
          </w:p>
        </w:tc>
        <w:tc>
          <w:tcPr>
            <w:tcW w:w="992" w:type="dxa"/>
            <w:tcBorders>
              <w:top w:val="nil"/>
              <w:left w:val="nil"/>
              <w:bottom w:val="nil"/>
              <w:right w:val="nil"/>
            </w:tcBorders>
            <w:shd w:val="clear" w:color="auto" w:fill="auto"/>
            <w:noWrap/>
            <w:vAlign w:val="bottom"/>
            <w:hideMark/>
          </w:tcPr>
          <w:p w14:paraId="08957812"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(0.0401)</w:t>
            </w:r>
          </w:p>
        </w:tc>
        <w:tc>
          <w:tcPr>
            <w:tcW w:w="993" w:type="dxa"/>
            <w:tcBorders>
              <w:top w:val="nil"/>
              <w:left w:val="nil"/>
              <w:bottom w:val="nil"/>
              <w:right w:val="nil"/>
            </w:tcBorders>
            <w:shd w:val="clear" w:color="auto" w:fill="auto"/>
            <w:noWrap/>
            <w:vAlign w:val="bottom"/>
            <w:hideMark/>
          </w:tcPr>
          <w:p w14:paraId="692BF4DF"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(0.0400)</w:t>
            </w:r>
          </w:p>
        </w:tc>
        <w:tc>
          <w:tcPr>
            <w:tcW w:w="850" w:type="dxa"/>
            <w:tcBorders>
              <w:top w:val="nil"/>
              <w:left w:val="nil"/>
              <w:bottom w:val="nil"/>
              <w:right w:val="nil"/>
            </w:tcBorders>
            <w:shd w:val="clear" w:color="auto" w:fill="auto"/>
            <w:noWrap/>
            <w:vAlign w:val="bottom"/>
            <w:hideMark/>
          </w:tcPr>
          <w:p w14:paraId="565E00E7"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(0.0403)</w:t>
            </w:r>
          </w:p>
        </w:tc>
        <w:tc>
          <w:tcPr>
            <w:tcW w:w="992" w:type="dxa"/>
            <w:tcBorders>
              <w:top w:val="nil"/>
              <w:left w:val="nil"/>
              <w:bottom w:val="nil"/>
              <w:right w:val="nil"/>
            </w:tcBorders>
            <w:shd w:val="clear" w:color="auto" w:fill="auto"/>
            <w:noWrap/>
            <w:vAlign w:val="bottom"/>
            <w:hideMark/>
          </w:tcPr>
          <w:p w14:paraId="6F557B5A"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(0.0401)</w:t>
            </w:r>
          </w:p>
        </w:tc>
        <w:tc>
          <w:tcPr>
            <w:tcW w:w="1276" w:type="dxa"/>
            <w:tcBorders>
              <w:top w:val="nil"/>
              <w:left w:val="nil"/>
              <w:bottom w:val="nil"/>
              <w:right w:val="nil"/>
            </w:tcBorders>
            <w:shd w:val="clear" w:color="auto" w:fill="auto"/>
            <w:noWrap/>
            <w:vAlign w:val="bottom"/>
            <w:hideMark/>
          </w:tcPr>
          <w:p w14:paraId="3D6A18F1"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(0.4111)</w:t>
            </w:r>
          </w:p>
        </w:tc>
      </w:tr>
      <w:tr w:rsidR="00683654" w:rsidRPr="006F4C9E" w14:paraId="22045CE4" w14:textId="77777777" w:rsidTr="007B7FBC">
        <w:trPr>
          <w:trHeight w:val="300"/>
        </w:trPr>
        <w:tc>
          <w:tcPr>
            <w:tcW w:w="2055" w:type="dxa"/>
            <w:tcBorders>
              <w:top w:val="nil"/>
              <w:left w:val="nil"/>
              <w:bottom w:val="nil"/>
              <w:right w:val="nil"/>
            </w:tcBorders>
            <w:shd w:val="clear" w:color="auto" w:fill="auto"/>
            <w:noWrap/>
            <w:vAlign w:val="bottom"/>
            <w:hideMark/>
          </w:tcPr>
          <w:p w14:paraId="33A2EBDD" w14:textId="77777777" w:rsidR="00683654" w:rsidRPr="006F4C9E" w:rsidRDefault="00683654" w:rsidP="00683654">
            <w:pPr>
              <w:spacing w:after="0" w:line="276" w:lineRule="auto"/>
              <w:ind w:left="0" w:firstLine="0"/>
              <w:jc w:val="center"/>
              <w:rPr>
                <w:b/>
                <w:bCs/>
                <w:color w:val="auto"/>
                <w:sz w:val="16"/>
                <w:szCs w:val="16"/>
              </w:rPr>
            </w:pPr>
            <w:proofErr w:type="spellStart"/>
            <w:proofErr w:type="gramStart"/>
            <w:r w:rsidRPr="006F4C9E">
              <w:rPr>
                <w:b/>
                <w:bCs/>
                <w:color w:val="auto"/>
                <w:sz w:val="16"/>
                <w:szCs w:val="16"/>
              </w:rPr>
              <w:t>pib</w:t>
            </w:r>
            <w:proofErr w:type="gramEnd"/>
            <w:r w:rsidRPr="006F4C9E">
              <w:rPr>
                <w:b/>
                <w:bCs/>
                <w:color w:val="auto"/>
                <w:sz w:val="16"/>
                <w:szCs w:val="16"/>
              </w:rPr>
              <w:t>_reel</w:t>
            </w:r>
            <w:proofErr w:type="spellEnd"/>
          </w:p>
        </w:tc>
        <w:tc>
          <w:tcPr>
            <w:tcW w:w="1168" w:type="dxa"/>
            <w:tcBorders>
              <w:top w:val="nil"/>
              <w:left w:val="nil"/>
              <w:bottom w:val="nil"/>
              <w:right w:val="nil"/>
            </w:tcBorders>
            <w:shd w:val="clear" w:color="auto" w:fill="auto"/>
            <w:noWrap/>
            <w:vAlign w:val="bottom"/>
            <w:hideMark/>
          </w:tcPr>
          <w:p w14:paraId="0C3F5794"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- 0.0030*</w:t>
            </w:r>
          </w:p>
        </w:tc>
        <w:tc>
          <w:tcPr>
            <w:tcW w:w="1030" w:type="dxa"/>
            <w:tcBorders>
              <w:top w:val="nil"/>
              <w:left w:val="nil"/>
              <w:bottom w:val="nil"/>
              <w:right w:val="nil"/>
            </w:tcBorders>
            <w:shd w:val="clear" w:color="auto" w:fill="auto"/>
            <w:noWrap/>
            <w:vAlign w:val="bottom"/>
            <w:hideMark/>
          </w:tcPr>
          <w:p w14:paraId="750F7785"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- 0.0117*</w:t>
            </w:r>
          </w:p>
        </w:tc>
        <w:tc>
          <w:tcPr>
            <w:tcW w:w="1134" w:type="dxa"/>
            <w:tcBorders>
              <w:top w:val="nil"/>
              <w:left w:val="nil"/>
              <w:bottom w:val="nil"/>
              <w:right w:val="nil"/>
            </w:tcBorders>
            <w:shd w:val="clear" w:color="auto" w:fill="auto"/>
            <w:noWrap/>
            <w:vAlign w:val="bottom"/>
            <w:hideMark/>
          </w:tcPr>
          <w:p w14:paraId="6D691057"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- 0.0129*</w:t>
            </w:r>
          </w:p>
        </w:tc>
        <w:tc>
          <w:tcPr>
            <w:tcW w:w="992" w:type="dxa"/>
            <w:tcBorders>
              <w:top w:val="nil"/>
              <w:left w:val="nil"/>
              <w:bottom w:val="nil"/>
              <w:right w:val="nil"/>
            </w:tcBorders>
            <w:shd w:val="clear" w:color="auto" w:fill="auto"/>
            <w:noWrap/>
            <w:vAlign w:val="bottom"/>
            <w:hideMark/>
          </w:tcPr>
          <w:p w14:paraId="72A4D084"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- 0.0002</w:t>
            </w:r>
          </w:p>
        </w:tc>
        <w:tc>
          <w:tcPr>
            <w:tcW w:w="993" w:type="dxa"/>
            <w:tcBorders>
              <w:top w:val="nil"/>
              <w:left w:val="nil"/>
              <w:bottom w:val="nil"/>
              <w:right w:val="nil"/>
            </w:tcBorders>
            <w:shd w:val="clear" w:color="auto" w:fill="auto"/>
            <w:noWrap/>
            <w:vAlign w:val="bottom"/>
            <w:hideMark/>
          </w:tcPr>
          <w:p w14:paraId="37E03BFC"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- 0.0005</w:t>
            </w:r>
          </w:p>
        </w:tc>
        <w:tc>
          <w:tcPr>
            <w:tcW w:w="850" w:type="dxa"/>
            <w:tcBorders>
              <w:top w:val="nil"/>
              <w:left w:val="nil"/>
              <w:bottom w:val="nil"/>
              <w:right w:val="nil"/>
            </w:tcBorders>
            <w:shd w:val="clear" w:color="auto" w:fill="auto"/>
            <w:noWrap/>
            <w:vAlign w:val="bottom"/>
            <w:hideMark/>
          </w:tcPr>
          <w:p w14:paraId="3069F8E8"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- 0.0017</w:t>
            </w:r>
          </w:p>
        </w:tc>
        <w:tc>
          <w:tcPr>
            <w:tcW w:w="992" w:type="dxa"/>
            <w:tcBorders>
              <w:top w:val="nil"/>
              <w:left w:val="nil"/>
              <w:bottom w:val="nil"/>
              <w:right w:val="nil"/>
            </w:tcBorders>
            <w:shd w:val="clear" w:color="auto" w:fill="auto"/>
            <w:noWrap/>
            <w:vAlign w:val="bottom"/>
            <w:hideMark/>
          </w:tcPr>
          <w:p w14:paraId="6C7EA542"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- 0.0024</w:t>
            </w:r>
          </w:p>
        </w:tc>
        <w:tc>
          <w:tcPr>
            <w:tcW w:w="1276" w:type="dxa"/>
            <w:tcBorders>
              <w:top w:val="nil"/>
              <w:left w:val="nil"/>
              <w:bottom w:val="nil"/>
              <w:right w:val="nil"/>
            </w:tcBorders>
            <w:shd w:val="clear" w:color="auto" w:fill="auto"/>
            <w:noWrap/>
            <w:vAlign w:val="bottom"/>
            <w:hideMark/>
          </w:tcPr>
          <w:p w14:paraId="5196D208"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 xml:space="preserve"> - 0.0049</w:t>
            </w:r>
          </w:p>
        </w:tc>
      </w:tr>
      <w:tr w:rsidR="00683654" w:rsidRPr="006F4C9E" w14:paraId="079F8E8E" w14:textId="77777777" w:rsidTr="007B7FBC">
        <w:trPr>
          <w:trHeight w:val="300"/>
        </w:trPr>
        <w:tc>
          <w:tcPr>
            <w:tcW w:w="2055" w:type="dxa"/>
            <w:tcBorders>
              <w:top w:val="nil"/>
              <w:left w:val="nil"/>
              <w:bottom w:val="nil"/>
              <w:right w:val="nil"/>
            </w:tcBorders>
            <w:shd w:val="clear" w:color="auto" w:fill="auto"/>
            <w:noWrap/>
            <w:vAlign w:val="bottom"/>
            <w:hideMark/>
          </w:tcPr>
          <w:p w14:paraId="1C6C6475" w14:textId="77777777" w:rsidR="00683654" w:rsidRPr="006F4C9E" w:rsidRDefault="00683654" w:rsidP="00683654">
            <w:pPr>
              <w:spacing w:after="0" w:line="276" w:lineRule="auto"/>
              <w:ind w:left="0" w:firstLine="0"/>
              <w:jc w:val="center"/>
              <w:rPr>
                <w:color w:val="auto"/>
                <w:sz w:val="16"/>
                <w:szCs w:val="16"/>
              </w:rPr>
            </w:pPr>
          </w:p>
        </w:tc>
        <w:tc>
          <w:tcPr>
            <w:tcW w:w="1168" w:type="dxa"/>
            <w:tcBorders>
              <w:top w:val="nil"/>
              <w:left w:val="nil"/>
              <w:bottom w:val="nil"/>
              <w:right w:val="nil"/>
            </w:tcBorders>
            <w:shd w:val="clear" w:color="auto" w:fill="auto"/>
            <w:noWrap/>
            <w:vAlign w:val="bottom"/>
            <w:hideMark/>
          </w:tcPr>
          <w:p w14:paraId="055696E1"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(0.0066)</w:t>
            </w:r>
          </w:p>
        </w:tc>
        <w:tc>
          <w:tcPr>
            <w:tcW w:w="1030" w:type="dxa"/>
            <w:tcBorders>
              <w:top w:val="nil"/>
              <w:left w:val="nil"/>
              <w:bottom w:val="nil"/>
              <w:right w:val="nil"/>
            </w:tcBorders>
            <w:shd w:val="clear" w:color="auto" w:fill="auto"/>
            <w:noWrap/>
            <w:vAlign w:val="bottom"/>
            <w:hideMark/>
          </w:tcPr>
          <w:p w14:paraId="65E6D5F5"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(0.0065)</w:t>
            </w:r>
          </w:p>
        </w:tc>
        <w:tc>
          <w:tcPr>
            <w:tcW w:w="1134" w:type="dxa"/>
            <w:tcBorders>
              <w:top w:val="nil"/>
              <w:left w:val="nil"/>
              <w:bottom w:val="nil"/>
              <w:right w:val="nil"/>
            </w:tcBorders>
            <w:shd w:val="clear" w:color="auto" w:fill="auto"/>
            <w:noWrap/>
            <w:vAlign w:val="bottom"/>
            <w:hideMark/>
          </w:tcPr>
          <w:p w14:paraId="63AAF5E3"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(0.0065)</w:t>
            </w:r>
          </w:p>
        </w:tc>
        <w:tc>
          <w:tcPr>
            <w:tcW w:w="992" w:type="dxa"/>
            <w:tcBorders>
              <w:top w:val="nil"/>
              <w:left w:val="nil"/>
              <w:bottom w:val="nil"/>
              <w:right w:val="nil"/>
            </w:tcBorders>
            <w:shd w:val="clear" w:color="auto" w:fill="auto"/>
            <w:noWrap/>
            <w:vAlign w:val="bottom"/>
            <w:hideMark/>
          </w:tcPr>
          <w:p w14:paraId="30A7F629"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(0.0065)</w:t>
            </w:r>
          </w:p>
        </w:tc>
        <w:tc>
          <w:tcPr>
            <w:tcW w:w="993" w:type="dxa"/>
            <w:tcBorders>
              <w:top w:val="nil"/>
              <w:left w:val="nil"/>
              <w:bottom w:val="nil"/>
              <w:right w:val="nil"/>
            </w:tcBorders>
            <w:shd w:val="clear" w:color="auto" w:fill="auto"/>
            <w:noWrap/>
            <w:vAlign w:val="bottom"/>
            <w:hideMark/>
          </w:tcPr>
          <w:p w14:paraId="369B3D90"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(0.0006)</w:t>
            </w:r>
          </w:p>
        </w:tc>
        <w:tc>
          <w:tcPr>
            <w:tcW w:w="850" w:type="dxa"/>
            <w:tcBorders>
              <w:top w:val="nil"/>
              <w:left w:val="nil"/>
              <w:bottom w:val="nil"/>
              <w:right w:val="nil"/>
            </w:tcBorders>
            <w:shd w:val="clear" w:color="auto" w:fill="auto"/>
            <w:noWrap/>
            <w:vAlign w:val="bottom"/>
            <w:hideMark/>
          </w:tcPr>
          <w:p w14:paraId="7C959FC4"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(0.0065)</w:t>
            </w:r>
          </w:p>
        </w:tc>
        <w:tc>
          <w:tcPr>
            <w:tcW w:w="992" w:type="dxa"/>
            <w:tcBorders>
              <w:top w:val="nil"/>
              <w:left w:val="nil"/>
              <w:bottom w:val="nil"/>
              <w:right w:val="nil"/>
            </w:tcBorders>
            <w:shd w:val="clear" w:color="auto" w:fill="auto"/>
            <w:noWrap/>
            <w:vAlign w:val="bottom"/>
            <w:hideMark/>
          </w:tcPr>
          <w:p w14:paraId="131F15F8"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(0.0065)</w:t>
            </w:r>
          </w:p>
        </w:tc>
        <w:tc>
          <w:tcPr>
            <w:tcW w:w="1276" w:type="dxa"/>
            <w:tcBorders>
              <w:top w:val="nil"/>
              <w:left w:val="nil"/>
              <w:bottom w:val="nil"/>
              <w:right w:val="nil"/>
            </w:tcBorders>
            <w:shd w:val="clear" w:color="auto" w:fill="auto"/>
            <w:noWrap/>
            <w:vAlign w:val="bottom"/>
            <w:hideMark/>
          </w:tcPr>
          <w:p w14:paraId="2A9A96FF"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(0.0066)</w:t>
            </w:r>
          </w:p>
        </w:tc>
      </w:tr>
      <w:tr w:rsidR="00683654" w:rsidRPr="006F4C9E" w14:paraId="66F5E1E1" w14:textId="77777777" w:rsidTr="007B7FBC">
        <w:trPr>
          <w:trHeight w:val="300"/>
        </w:trPr>
        <w:tc>
          <w:tcPr>
            <w:tcW w:w="2055" w:type="dxa"/>
            <w:tcBorders>
              <w:top w:val="nil"/>
              <w:left w:val="nil"/>
              <w:bottom w:val="nil"/>
              <w:right w:val="nil"/>
            </w:tcBorders>
            <w:shd w:val="clear" w:color="auto" w:fill="auto"/>
            <w:noWrap/>
            <w:vAlign w:val="bottom"/>
            <w:hideMark/>
          </w:tcPr>
          <w:p w14:paraId="0F2C8FDE" w14:textId="77777777" w:rsidR="00683654" w:rsidRPr="006F4C9E" w:rsidRDefault="00683654" w:rsidP="00683654">
            <w:pPr>
              <w:spacing w:after="0" w:line="276" w:lineRule="auto"/>
              <w:ind w:left="0" w:firstLine="0"/>
              <w:jc w:val="center"/>
              <w:rPr>
                <w:b/>
                <w:bCs/>
                <w:color w:val="auto"/>
                <w:sz w:val="16"/>
                <w:szCs w:val="16"/>
              </w:rPr>
            </w:pPr>
            <w:proofErr w:type="spellStart"/>
            <w:proofErr w:type="gramStart"/>
            <w:r w:rsidRPr="006F4C9E">
              <w:rPr>
                <w:b/>
                <w:bCs/>
                <w:color w:val="auto"/>
                <w:sz w:val="16"/>
                <w:szCs w:val="16"/>
              </w:rPr>
              <w:t>stab</w:t>
            </w:r>
            <w:proofErr w:type="gramEnd"/>
            <w:r w:rsidRPr="006F4C9E">
              <w:rPr>
                <w:b/>
                <w:bCs/>
                <w:color w:val="auto"/>
                <w:sz w:val="16"/>
                <w:szCs w:val="16"/>
              </w:rPr>
              <w:t>_fin</w:t>
            </w:r>
            <w:proofErr w:type="spellEnd"/>
          </w:p>
        </w:tc>
        <w:tc>
          <w:tcPr>
            <w:tcW w:w="1168" w:type="dxa"/>
            <w:tcBorders>
              <w:top w:val="nil"/>
              <w:left w:val="nil"/>
              <w:bottom w:val="nil"/>
              <w:right w:val="nil"/>
            </w:tcBorders>
            <w:shd w:val="clear" w:color="auto" w:fill="auto"/>
            <w:noWrap/>
            <w:vAlign w:val="bottom"/>
            <w:hideMark/>
          </w:tcPr>
          <w:p w14:paraId="3B97E68E"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0.0013***</w:t>
            </w:r>
          </w:p>
        </w:tc>
        <w:tc>
          <w:tcPr>
            <w:tcW w:w="1030" w:type="dxa"/>
            <w:tcBorders>
              <w:top w:val="nil"/>
              <w:left w:val="nil"/>
              <w:bottom w:val="nil"/>
              <w:right w:val="nil"/>
            </w:tcBorders>
            <w:shd w:val="clear" w:color="auto" w:fill="auto"/>
            <w:noWrap/>
            <w:vAlign w:val="bottom"/>
            <w:hideMark/>
          </w:tcPr>
          <w:p w14:paraId="4D74A42F"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0.0051***</w:t>
            </w:r>
          </w:p>
        </w:tc>
        <w:tc>
          <w:tcPr>
            <w:tcW w:w="1134" w:type="dxa"/>
            <w:tcBorders>
              <w:top w:val="nil"/>
              <w:left w:val="nil"/>
              <w:bottom w:val="nil"/>
              <w:right w:val="nil"/>
            </w:tcBorders>
            <w:shd w:val="clear" w:color="auto" w:fill="auto"/>
            <w:noWrap/>
            <w:vAlign w:val="bottom"/>
            <w:hideMark/>
          </w:tcPr>
          <w:p w14:paraId="0ECB8DAC"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0.0051***</w:t>
            </w:r>
          </w:p>
        </w:tc>
        <w:tc>
          <w:tcPr>
            <w:tcW w:w="992" w:type="dxa"/>
            <w:tcBorders>
              <w:top w:val="nil"/>
              <w:left w:val="nil"/>
              <w:bottom w:val="nil"/>
              <w:right w:val="nil"/>
            </w:tcBorders>
            <w:shd w:val="clear" w:color="auto" w:fill="auto"/>
            <w:noWrap/>
            <w:vAlign w:val="bottom"/>
            <w:hideMark/>
          </w:tcPr>
          <w:p w14:paraId="3206B6DC"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0.0038***</w:t>
            </w:r>
          </w:p>
        </w:tc>
        <w:tc>
          <w:tcPr>
            <w:tcW w:w="993" w:type="dxa"/>
            <w:tcBorders>
              <w:top w:val="nil"/>
              <w:left w:val="nil"/>
              <w:bottom w:val="nil"/>
              <w:right w:val="nil"/>
            </w:tcBorders>
            <w:shd w:val="clear" w:color="auto" w:fill="auto"/>
            <w:noWrap/>
            <w:vAlign w:val="bottom"/>
            <w:hideMark/>
          </w:tcPr>
          <w:p w14:paraId="46A1D250"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0.0038***</w:t>
            </w:r>
          </w:p>
        </w:tc>
        <w:tc>
          <w:tcPr>
            <w:tcW w:w="850" w:type="dxa"/>
            <w:tcBorders>
              <w:top w:val="nil"/>
              <w:left w:val="nil"/>
              <w:bottom w:val="nil"/>
              <w:right w:val="nil"/>
            </w:tcBorders>
            <w:shd w:val="clear" w:color="auto" w:fill="auto"/>
            <w:noWrap/>
            <w:vAlign w:val="bottom"/>
            <w:hideMark/>
          </w:tcPr>
          <w:p w14:paraId="490E3056"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0.0036***</w:t>
            </w:r>
          </w:p>
        </w:tc>
        <w:tc>
          <w:tcPr>
            <w:tcW w:w="992" w:type="dxa"/>
            <w:tcBorders>
              <w:top w:val="nil"/>
              <w:left w:val="nil"/>
              <w:bottom w:val="nil"/>
              <w:right w:val="nil"/>
            </w:tcBorders>
            <w:shd w:val="clear" w:color="auto" w:fill="auto"/>
            <w:noWrap/>
            <w:vAlign w:val="bottom"/>
            <w:hideMark/>
          </w:tcPr>
          <w:p w14:paraId="406134F3"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0.0035***</w:t>
            </w:r>
          </w:p>
        </w:tc>
        <w:tc>
          <w:tcPr>
            <w:tcW w:w="1276" w:type="dxa"/>
            <w:tcBorders>
              <w:top w:val="nil"/>
              <w:left w:val="nil"/>
              <w:bottom w:val="nil"/>
              <w:right w:val="nil"/>
            </w:tcBorders>
            <w:shd w:val="clear" w:color="auto" w:fill="auto"/>
            <w:noWrap/>
            <w:vAlign w:val="bottom"/>
            <w:hideMark/>
          </w:tcPr>
          <w:p w14:paraId="6C3922B8"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0.0039***</w:t>
            </w:r>
          </w:p>
        </w:tc>
      </w:tr>
      <w:tr w:rsidR="00683654" w:rsidRPr="006F4C9E" w14:paraId="6B5B2336" w14:textId="77777777" w:rsidTr="007B7FBC">
        <w:trPr>
          <w:trHeight w:val="300"/>
        </w:trPr>
        <w:tc>
          <w:tcPr>
            <w:tcW w:w="2055" w:type="dxa"/>
            <w:tcBorders>
              <w:top w:val="nil"/>
              <w:left w:val="nil"/>
              <w:bottom w:val="nil"/>
              <w:right w:val="nil"/>
            </w:tcBorders>
            <w:shd w:val="clear" w:color="auto" w:fill="auto"/>
            <w:noWrap/>
            <w:vAlign w:val="bottom"/>
            <w:hideMark/>
          </w:tcPr>
          <w:p w14:paraId="01E76A74" w14:textId="77777777" w:rsidR="00683654" w:rsidRPr="006F4C9E" w:rsidRDefault="00683654" w:rsidP="00683654">
            <w:pPr>
              <w:spacing w:after="0" w:line="276" w:lineRule="auto"/>
              <w:ind w:left="0" w:firstLine="0"/>
              <w:jc w:val="center"/>
              <w:rPr>
                <w:color w:val="auto"/>
                <w:sz w:val="10"/>
                <w:szCs w:val="16"/>
              </w:rPr>
            </w:pPr>
          </w:p>
        </w:tc>
        <w:tc>
          <w:tcPr>
            <w:tcW w:w="1168" w:type="dxa"/>
            <w:tcBorders>
              <w:top w:val="nil"/>
              <w:left w:val="nil"/>
              <w:bottom w:val="nil"/>
              <w:right w:val="nil"/>
            </w:tcBorders>
            <w:shd w:val="clear" w:color="auto" w:fill="auto"/>
            <w:noWrap/>
            <w:vAlign w:val="bottom"/>
            <w:hideMark/>
          </w:tcPr>
          <w:p w14:paraId="25EBA555"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(0.0018)</w:t>
            </w:r>
          </w:p>
        </w:tc>
        <w:tc>
          <w:tcPr>
            <w:tcW w:w="1030" w:type="dxa"/>
            <w:tcBorders>
              <w:top w:val="nil"/>
              <w:left w:val="nil"/>
              <w:bottom w:val="nil"/>
              <w:right w:val="nil"/>
            </w:tcBorders>
            <w:shd w:val="clear" w:color="auto" w:fill="auto"/>
            <w:noWrap/>
            <w:vAlign w:val="bottom"/>
            <w:hideMark/>
          </w:tcPr>
          <w:p w14:paraId="5C326268"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(0.0013)</w:t>
            </w:r>
          </w:p>
        </w:tc>
        <w:tc>
          <w:tcPr>
            <w:tcW w:w="1134" w:type="dxa"/>
            <w:tcBorders>
              <w:top w:val="nil"/>
              <w:left w:val="nil"/>
              <w:bottom w:val="nil"/>
              <w:right w:val="nil"/>
            </w:tcBorders>
            <w:shd w:val="clear" w:color="auto" w:fill="auto"/>
            <w:noWrap/>
            <w:vAlign w:val="bottom"/>
            <w:hideMark/>
          </w:tcPr>
          <w:p w14:paraId="13F606ED"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(0.0013)</w:t>
            </w:r>
          </w:p>
        </w:tc>
        <w:tc>
          <w:tcPr>
            <w:tcW w:w="992" w:type="dxa"/>
            <w:tcBorders>
              <w:top w:val="nil"/>
              <w:left w:val="nil"/>
              <w:bottom w:val="nil"/>
              <w:right w:val="nil"/>
            </w:tcBorders>
            <w:shd w:val="clear" w:color="auto" w:fill="auto"/>
            <w:noWrap/>
            <w:vAlign w:val="bottom"/>
            <w:hideMark/>
          </w:tcPr>
          <w:p w14:paraId="60746F16"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(0.0013)</w:t>
            </w:r>
          </w:p>
        </w:tc>
        <w:tc>
          <w:tcPr>
            <w:tcW w:w="993" w:type="dxa"/>
            <w:tcBorders>
              <w:top w:val="nil"/>
              <w:left w:val="nil"/>
              <w:bottom w:val="nil"/>
              <w:right w:val="nil"/>
            </w:tcBorders>
            <w:shd w:val="clear" w:color="auto" w:fill="auto"/>
            <w:noWrap/>
            <w:vAlign w:val="bottom"/>
            <w:hideMark/>
          </w:tcPr>
          <w:p w14:paraId="6DD699A6"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(0.0013)</w:t>
            </w:r>
          </w:p>
        </w:tc>
        <w:tc>
          <w:tcPr>
            <w:tcW w:w="850" w:type="dxa"/>
            <w:tcBorders>
              <w:top w:val="nil"/>
              <w:left w:val="nil"/>
              <w:bottom w:val="nil"/>
              <w:right w:val="nil"/>
            </w:tcBorders>
            <w:shd w:val="clear" w:color="auto" w:fill="auto"/>
            <w:noWrap/>
            <w:vAlign w:val="bottom"/>
            <w:hideMark/>
          </w:tcPr>
          <w:p w14:paraId="5CD15C68"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(0.0013)</w:t>
            </w:r>
          </w:p>
        </w:tc>
        <w:tc>
          <w:tcPr>
            <w:tcW w:w="992" w:type="dxa"/>
            <w:tcBorders>
              <w:top w:val="nil"/>
              <w:left w:val="nil"/>
              <w:bottom w:val="nil"/>
              <w:right w:val="nil"/>
            </w:tcBorders>
            <w:shd w:val="clear" w:color="auto" w:fill="auto"/>
            <w:noWrap/>
            <w:vAlign w:val="bottom"/>
            <w:hideMark/>
          </w:tcPr>
          <w:p w14:paraId="66D2D938"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(0.0013)</w:t>
            </w:r>
          </w:p>
        </w:tc>
        <w:tc>
          <w:tcPr>
            <w:tcW w:w="1276" w:type="dxa"/>
            <w:tcBorders>
              <w:top w:val="nil"/>
              <w:left w:val="nil"/>
              <w:bottom w:val="nil"/>
              <w:right w:val="nil"/>
            </w:tcBorders>
            <w:shd w:val="clear" w:color="auto" w:fill="auto"/>
            <w:noWrap/>
            <w:vAlign w:val="bottom"/>
            <w:hideMark/>
          </w:tcPr>
          <w:p w14:paraId="41E43892"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(0.0013)</w:t>
            </w:r>
          </w:p>
        </w:tc>
      </w:tr>
      <w:tr w:rsidR="00683654" w:rsidRPr="006F4C9E" w14:paraId="3EDCEE4F" w14:textId="77777777" w:rsidTr="007B7FBC">
        <w:trPr>
          <w:trHeight w:val="300"/>
        </w:trPr>
        <w:tc>
          <w:tcPr>
            <w:tcW w:w="2055" w:type="dxa"/>
            <w:tcBorders>
              <w:top w:val="nil"/>
              <w:left w:val="nil"/>
              <w:bottom w:val="nil"/>
              <w:right w:val="nil"/>
            </w:tcBorders>
            <w:shd w:val="clear" w:color="auto" w:fill="auto"/>
            <w:noWrap/>
            <w:vAlign w:val="bottom"/>
            <w:hideMark/>
          </w:tcPr>
          <w:p w14:paraId="2262B738" w14:textId="77777777" w:rsidR="00683654" w:rsidRPr="006F4C9E" w:rsidRDefault="00683654" w:rsidP="00683654">
            <w:pPr>
              <w:spacing w:after="0" w:line="276" w:lineRule="auto"/>
              <w:ind w:left="0" w:firstLine="0"/>
              <w:jc w:val="center"/>
              <w:rPr>
                <w:b/>
                <w:bCs/>
                <w:color w:val="auto"/>
                <w:sz w:val="16"/>
                <w:szCs w:val="16"/>
              </w:rPr>
            </w:pPr>
            <w:r w:rsidRPr="006F4C9E">
              <w:rPr>
                <w:b/>
                <w:bCs/>
                <w:color w:val="auto"/>
                <w:sz w:val="16"/>
                <w:szCs w:val="16"/>
              </w:rPr>
              <w:t>Constant</w:t>
            </w:r>
          </w:p>
        </w:tc>
        <w:tc>
          <w:tcPr>
            <w:tcW w:w="1168" w:type="dxa"/>
            <w:tcBorders>
              <w:top w:val="nil"/>
              <w:left w:val="nil"/>
              <w:bottom w:val="nil"/>
              <w:right w:val="nil"/>
            </w:tcBorders>
            <w:shd w:val="clear" w:color="auto" w:fill="auto"/>
            <w:noWrap/>
            <w:vAlign w:val="bottom"/>
            <w:hideMark/>
          </w:tcPr>
          <w:p w14:paraId="401BA8B3"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1.5038***</w:t>
            </w:r>
          </w:p>
        </w:tc>
        <w:tc>
          <w:tcPr>
            <w:tcW w:w="1030" w:type="dxa"/>
            <w:tcBorders>
              <w:top w:val="nil"/>
              <w:left w:val="nil"/>
              <w:bottom w:val="nil"/>
              <w:right w:val="nil"/>
            </w:tcBorders>
            <w:shd w:val="clear" w:color="auto" w:fill="auto"/>
            <w:noWrap/>
            <w:vAlign w:val="bottom"/>
            <w:hideMark/>
          </w:tcPr>
          <w:p w14:paraId="0023AE34"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2.6562</w:t>
            </w:r>
          </w:p>
        </w:tc>
        <w:tc>
          <w:tcPr>
            <w:tcW w:w="1134" w:type="dxa"/>
            <w:tcBorders>
              <w:top w:val="nil"/>
              <w:left w:val="nil"/>
              <w:bottom w:val="nil"/>
              <w:right w:val="nil"/>
            </w:tcBorders>
            <w:shd w:val="clear" w:color="auto" w:fill="auto"/>
            <w:noWrap/>
            <w:vAlign w:val="bottom"/>
            <w:hideMark/>
          </w:tcPr>
          <w:p w14:paraId="73DEA5D4"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2.7016***</w:t>
            </w:r>
          </w:p>
        </w:tc>
        <w:tc>
          <w:tcPr>
            <w:tcW w:w="992" w:type="dxa"/>
            <w:tcBorders>
              <w:top w:val="nil"/>
              <w:left w:val="nil"/>
              <w:bottom w:val="nil"/>
              <w:right w:val="nil"/>
            </w:tcBorders>
            <w:shd w:val="clear" w:color="auto" w:fill="auto"/>
            <w:noWrap/>
            <w:vAlign w:val="bottom"/>
            <w:hideMark/>
          </w:tcPr>
          <w:p w14:paraId="3F8CA4E9"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0.8683***</w:t>
            </w:r>
          </w:p>
        </w:tc>
        <w:tc>
          <w:tcPr>
            <w:tcW w:w="993" w:type="dxa"/>
            <w:tcBorders>
              <w:top w:val="nil"/>
              <w:left w:val="nil"/>
              <w:bottom w:val="nil"/>
              <w:right w:val="nil"/>
            </w:tcBorders>
            <w:shd w:val="clear" w:color="auto" w:fill="auto"/>
            <w:noWrap/>
            <w:vAlign w:val="bottom"/>
            <w:hideMark/>
          </w:tcPr>
          <w:p w14:paraId="119F6047"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0.8849***</w:t>
            </w:r>
          </w:p>
        </w:tc>
        <w:tc>
          <w:tcPr>
            <w:tcW w:w="850" w:type="dxa"/>
            <w:tcBorders>
              <w:top w:val="nil"/>
              <w:left w:val="nil"/>
              <w:bottom w:val="nil"/>
              <w:right w:val="nil"/>
            </w:tcBorders>
            <w:shd w:val="clear" w:color="auto" w:fill="auto"/>
            <w:noWrap/>
            <w:vAlign w:val="bottom"/>
            <w:hideMark/>
          </w:tcPr>
          <w:p w14:paraId="2A3D5145"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0.9754***</w:t>
            </w:r>
          </w:p>
        </w:tc>
        <w:tc>
          <w:tcPr>
            <w:tcW w:w="992" w:type="dxa"/>
            <w:tcBorders>
              <w:top w:val="nil"/>
              <w:left w:val="nil"/>
              <w:bottom w:val="nil"/>
              <w:right w:val="nil"/>
            </w:tcBorders>
            <w:shd w:val="clear" w:color="auto" w:fill="auto"/>
            <w:noWrap/>
            <w:vAlign w:val="bottom"/>
            <w:hideMark/>
          </w:tcPr>
          <w:p w14:paraId="0D6396DE"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0.9084***</w:t>
            </w:r>
          </w:p>
        </w:tc>
        <w:tc>
          <w:tcPr>
            <w:tcW w:w="1276" w:type="dxa"/>
            <w:tcBorders>
              <w:top w:val="nil"/>
              <w:left w:val="nil"/>
              <w:bottom w:val="nil"/>
              <w:right w:val="nil"/>
            </w:tcBorders>
            <w:shd w:val="clear" w:color="auto" w:fill="auto"/>
            <w:noWrap/>
            <w:vAlign w:val="bottom"/>
            <w:hideMark/>
          </w:tcPr>
          <w:p w14:paraId="409F6B1C"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1.6588***</w:t>
            </w:r>
          </w:p>
        </w:tc>
      </w:tr>
      <w:tr w:rsidR="00683654" w:rsidRPr="006F4C9E" w14:paraId="43EED456" w14:textId="77777777" w:rsidTr="007B7FBC">
        <w:trPr>
          <w:trHeight w:val="315"/>
        </w:trPr>
        <w:tc>
          <w:tcPr>
            <w:tcW w:w="2055" w:type="dxa"/>
            <w:tcBorders>
              <w:top w:val="nil"/>
              <w:left w:val="nil"/>
              <w:bottom w:val="single" w:sz="8" w:space="0" w:color="auto"/>
              <w:right w:val="nil"/>
            </w:tcBorders>
            <w:shd w:val="clear" w:color="auto" w:fill="auto"/>
            <w:noWrap/>
            <w:vAlign w:val="bottom"/>
            <w:hideMark/>
          </w:tcPr>
          <w:p w14:paraId="3CAF1E12" w14:textId="77777777" w:rsidR="00683654" w:rsidRPr="006F4C9E" w:rsidRDefault="00683654" w:rsidP="00683654">
            <w:pPr>
              <w:spacing w:after="0" w:line="276" w:lineRule="auto"/>
              <w:ind w:left="0" w:firstLine="0"/>
              <w:jc w:val="center"/>
              <w:rPr>
                <w:b/>
                <w:bCs/>
                <w:color w:val="auto"/>
                <w:sz w:val="16"/>
                <w:szCs w:val="16"/>
              </w:rPr>
            </w:pPr>
            <w:r w:rsidRPr="006F4C9E">
              <w:rPr>
                <w:b/>
                <w:bCs/>
                <w:color w:val="auto"/>
                <w:sz w:val="16"/>
                <w:szCs w:val="16"/>
              </w:rPr>
              <w:t> </w:t>
            </w:r>
          </w:p>
        </w:tc>
        <w:tc>
          <w:tcPr>
            <w:tcW w:w="1168" w:type="dxa"/>
            <w:tcBorders>
              <w:top w:val="nil"/>
              <w:left w:val="nil"/>
              <w:bottom w:val="single" w:sz="8" w:space="0" w:color="auto"/>
              <w:right w:val="nil"/>
            </w:tcBorders>
            <w:shd w:val="clear" w:color="auto" w:fill="auto"/>
            <w:noWrap/>
            <w:vAlign w:val="bottom"/>
            <w:hideMark/>
          </w:tcPr>
          <w:p w14:paraId="25217C6C"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(38.3803)</w:t>
            </w:r>
          </w:p>
        </w:tc>
        <w:tc>
          <w:tcPr>
            <w:tcW w:w="1030" w:type="dxa"/>
            <w:tcBorders>
              <w:top w:val="nil"/>
              <w:left w:val="nil"/>
              <w:bottom w:val="single" w:sz="8" w:space="0" w:color="auto"/>
              <w:right w:val="nil"/>
            </w:tcBorders>
            <w:shd w:val="clear" w:color="auto" w:fill="auto"/>
            <w:noWrap/>
            <w:vAlign w:val="bottom"/>
            <w:hideMark/>
          </w:tcPr>
          <w:p w14:paraId="10AEF395"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(0.3227)</w:t>
            </w:r>
          </w:p>
        </w:tc>
        <w:tc>
          <w:tcPr>
            <w:tcW w:w="1134" w:type="dxa"/>
            <w:tcBorders>
              <w:top w:val="nil"/>
              <w:left w:val="nil"/>
              <w:bottom w:val="single" w:sz="8" w:space="0" w:color="auto"/>
              <w:right w:val="nil"/>
            </w:tcBorders>
            <w:shd w:val="clear" w:color="auto" w:fill="auto"/>
            <w:noWrap/>
            <w:vAlign w:val="bottom"/>
            <w:hideMark/>
          </w:tcPr>
          <w:p w14:paraId="22C36563"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(0.3227)</w:t>
            </w:r>
          </w:p>
        </w:tc>
        <w:tc>
          <w:tcPr>
            <w:tcW w:w="992" w:type="dxa"/>
            <w:tcBorders>
              <w:top w:val="nil"/>
              <w:left w:val="nil"/>
              <w:bottom w:val="single" w:sz="8" w:space="0" w:color="auto"/>
              <w:right w:val="nil"/>
            </w:tcBorders>
            <w:shd w:val="clear" w:color="auto" w:fill="auto"/>
            <w:noWrap/>
            <w:vAlign w:val="bottom"/>
            <w:hideMark/>
          </w:tcPr>
          <w:p w14:paraId="3D153AAA"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(0.2925)</w:t>
            </w:r>
          </w:p>
        </w:tc>
        <w:tc>
          <w:tcPr>
            <w:tcW w:w="993" w:type="dxa"/>
            <w:tcBorders>
              <w:top w:val="nil"/>
              <w:left w:val="nil"/>
              <w:bottom w:val="single" w:sz="8" w:space="0" w:color="auto"/>
              <w:right w:val="nil"/>
            </w:tcBorders>
            <w:shd w:val="clear" w:color="auto" w:fill="auto"/>
            <w:noWrap/>
            <w:vAlign w:val="bottom"/>
            <w:hideMark/>
          </w:tcPr>
          <w:p w14:paraId="72787255"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(0.2922)</w:t>
            </w:r>
          </w:p>
        </w:tc>
        <w:tc>
          <w:tcPr>
            <w:tcW w:w="850" w:type="dxa"/>
            <w:tcBorders>
              <w:top w:val="nil"/>
              <w:left w:val="nil"/>
              <w:bottom w:val="single" w:sz="8" w:space="0" w:color="auto"/>
              <w:right w:val="nil"/>
            </w:tcBorders>
            <w:shd w:val="clear" w:color="auto" w:fill="auto"/>
            <w:noWrap/>
            <w:vAlign w:val="bottom"/>
            <w:hideMark/>
          </w:tcPr>
          <w:p w14:paraId="11C71A46"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(0.2953)</w:t>
            </w:r>
          </w:p>
        </w:tc>
        <w:tc>
          <w:tcPr>
            <w:tcW w:w="992" w:type="dxa"/>
            <w:tcBorders>
              <w:top w:val="nil"/>
              <w:left w:val="nil"/>
              <w:bottom w:val="single" w:sz="8" w:space="0" w:color="auto"/>
              <w:right w:val="nil"/>
            </w:tcBorders>
            <w:shd w:val="clear" w:color="auto" w:fill="auto"/>
            <w:noWrap/>
            <w:vAlign w:val="bottom"/>
            <w:hideMark/>
          </w:tcPr>
          <w:p w14:paraId="1E47986B"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(0.2941)</w:t>
            </w:r>
          </w:p>
        </w:tc>
        <w:tc>
          <w:tcPr>
            <w:tcW w:w="1276" w:type="dxa"/>
            <w:tcBorders>
              <w:top w:val="nil"/>
              <w:left w:val="nil"/>
              <w:bottom w:val="single" w:sz="8" w:space="0" w:color="auto"/>
              <w:right w:val="nil"/>
            </w:tcBorders>
            <w:shd w:val="clear" w:color="auto" w:fill="auto"/>
            <w:noWrap/>
            <w:vAlign w:val="bottom"/>
            <w:hideMark/>
          </w:tcPr>
          <w:p w14:paraId="3BAF020F"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(0.4025)</w:t>
            </w:r>
          </w:p>
        </w:tc>
      </w:tr>
      <w:tr w:rsidR="00683654" w:rsidRPr="006F4C9E" w14:paraId="52FB598B" w14:textId="77777777" w:rsidTr="007B7FBC">
        <w:trPr>
          <w:trHeight w:val="300"/>
        </w:trPr>
        <w:tc>
          <w:tcPr>
            <w:tcW w:w="2055" w:type="dxa"/>
            <w:tcBorders>
              <w:top w:val="nil"/>
              <w:left w:val="nil"/>
              <w:bottom w:val="nil"/>
              <w:right w:val="nil"/>
            </w:tcBorders>
            <w:shd w:val="clear" w:color="auto" w:fill="auto"/>
            <w:noWrap/>
            <w:vAlign w:val="bottom"/>
            <w:hideMark/>
          </w:tcPr>
          <w:p w14:paraId="3C54CDBF" w14:textId="77777777" w:rsidR="00683654" w:rsidRPr="006F4C9E" w:rsidRDefault="007B7FBC" w:rsidP="00683654">
            <w:pPr>
              <w:spacing w:after="0" w:line="276" w:lineRule="auto"/>
              <w:ind w:left="0" w:firstLine="0"/>
              <w:jc w:val="center"/>
              <w:rPr>
                <w:b/>
                <w:bCs/>
                <w:color w:val="auto"/>
                <w:sz w:val="16"/>
                <w:szCs w:val="16"/>
              </w:rPr>
            </w:pPr>
            <w:proofErr w:type="spellStart"/>
            <w:r w:rsidRPr="006F4C9E">
              <w:rPr>
                <w:b/>
                <w:bCs/>
                <w:color w:val="auto"/>
                <w:sz w:val="16"/>
                <w:szCs w:val="16"/>
              </w:rPr>
              <w:t>Number</w:t>
            </w:r>
            <w:proofErr w:type="spellEnd"/>
            <w:r w:rsidRPr="006F4C9E">
              <w:rPr>
                <w:b/>
                <w:bCs/>
                <w:color w:val="auto"/>
                <w:sz w:val="16"/>
                <w:szCs w:val="16"/>
              </w:rPr>
              <w:t xml:space="preserve"> of observations</w:t>
            </w:r>
          </w:p>
        </w:tc>
        <w:tc>
          <w:tcPr>
            <w:tcW w:w="1168" w:type="dxa"/>
            <w:tcBorders>
              <w:top w:val="nil"/>
              <w:left w:val="nil"/>
              <w:bottom w:val="nil"/>
              <w:right w:val="nil"/>
            </w:tcBorders>
            <w:shd w:val="clear" w:color="auto" w:fill="auto"/>
            <w:noWrap/>
            <w:vAlign w:val="bottom"/>
            <w:hideMark/>
          </w:tcPr>
          <w:p w14:paraId="1C65DE72"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949</w:t>
            </w:r>
          </w:p>
        </w:tc>
        <w:tc>
          <w:tcPr>
            <w:tcW w:w="1030" w:type="dxa"/>
            <w:tcBorders>
              <w:top w:val="nil"/>
              <w:left w:val="nil"/>
              <w:bottom w:val="nil"/>
              <w:right w:val="nil"/>
            </w:tcBorders>
            <w:shd w:val="clear" w:color="auto" w:fill="auto"/>
            <w:noWrap/>
            <w:vAlign w:val="bottom"/>
            <w:hideMark/>
          </w:tcPr>
          <w:p w14:paraId="0B138EE3"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949</w:t>
            </w:r>
          </w:p>
        </w:tc>
        <w:tc>
          <w:tcPr>
            <w:tcW w:w="1134" w:type="dxa"/>
            <w:tcBorders>
              <w:top w:val="nil"/>
              <w:left w:val="nil"/>
              <w:bottom w:val="nil"/>
              <w:right w:val="nil"/>
            </w:tcBorders>
            <w:shd w:val="clear" w:color="auto" w:fill="auto"/>
            <w:noWrap/>
            <w:vAlign w:val="bottom"/>
            <w:hideMark/>
          </w:tcPr>
          <w:p w14:paraId="085D5B48"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949</w:t>
            </w:r>
          </w:p>
        </w:tc>
        <w:tc>
          <w:tcPr>
            <w:tcW w:w="992" w:type="dxa"/>
            <w:tcBorders>
              <w:top w:val="nil"/>
              <w:left w:val="nil"/>
              <w:bottom w:val="nil"/>
              <w:right w:val="nil"/>
            </w:tcBorders>
            <w:shd w:val="clear" w:color="auto" w:fill="auto"/>
            <w:noWrap/>
            <w:vAlign w:val="bottom"/>
            <w:hideMark/>
          </w:tcPr>
          <w:p w14:paraId="00839135"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952</w:t>
            </w:r>
          </w:p>
        </w:tc>
        <w:tc>
          <w:tcPr>
            <w:tcW w:w="993" w:type="dxa"/>
            <w:tcBorders>
              <w:top w:val="nil"/>
              <w:left w:val="nil"/>
              <w:bottom w:val="nil"/>
              <w:right w:val="nil"/>
            </w:tcBorders>
            <w:shd w:val="clear" w:color="auto" w:fill="auto"/>
            <w:noWrap/>
            <w:vAlign w:val="bottom"/>
            <w:hideMark/>
          </w:tcPr>
          <w:p w14:paraId="52664CA2"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952</w:t>
            </w:r>
          </w:p>
        </w:tc>
        <w:tc>
          <w:tcPr>
            <w:tcW w:w="850" w:type="dxa"/>
            <w:tcBorders>
              <w:top w:val="nil"/>
              <w:left w:val="nil"/>
              <w:bottom w:val="nil"/>
              <w:right w:val="nil"/>
            </w:tcBorders>
            <w:shd w:val="clear" w:color="auto" w:fill="auto"/>
            <w:noWrap/>
            <w:vAlign w:val="bottom"/>
            <w:hideMark/>
          </w:tcPr>
          <w:p w14:paraId="3996CD67"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952</w:t>
            </w:r>
          </w:p>
        </w:tc>
        <w:tc>
          <w:tcPr>
            <w:tcW w:w="992" w:type="dxa"/>
            <w:tcBorders>
              <w:top w:val="nil"/>
              <w:left w:val="nil"/>
              <w:bottom w:val="nil"/>
              <w:right w:val="nil"/>
            </w:tcBorders>
            <w:shd w:val="clear" w:color="auto" w:fill="auto"/>
            <w:noWrap/>
            <w:vAlign w:val="bottom"/>
            <w:hideMark/>
          </w:tcPr>
          <w:p w14:paraId="6952B298"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952</w:t>
            </w:r>
          </w:p>
        </w:tc>
        <w:tc>
          <w:tcPr>
            <w:tcW w:w="1276" w:type="dxa"/>
            <w:tcBorders>
              <w:top w:val="nil"/>
              <w:left w:val="nil"/>
              <w:bottom w:val="nil"/>
              <w:right w:val="nil"/>
            </w:tcBorders>
            <w:shd w:val="clear" w:color="auto" w:fill="auto"/>
            <w:noWrap/>
            <w:vAlign w:val="bottom"/>
            <w:hideMark/>
          </w:tcPr>
          <w:p w14:paraId="249A6AAE"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949</w:t>
            </w:r>
          </w:p>
        </w:tc>
      </w:tr>
      <w:tr w:rsidR="00683654" w:rsidRPr="006F4C9E" w14:paraId="5EED05CF" w14:textId="77777777" w:rsidTr="007B7FBC">
        <w:trPr>
          <w:trHeight w:val="300"/>
        </w:trPr>
        <w:tc>
          <w:tcPr>
            <w:tcW w:w="2055" w:type="dxa"/>
            <w:tcBorders>
              <w:top w:val="nil"/>
              <w:left w:val="nil"/>
              <w:bottom w:val="nil"/>
              <w:right w:val="nil"/>
            </w:tcBorders>
            <w:shd w:val="clear" w:color="auto" w:fill="auto"/>
            <w:noWrap/>
            <w:vAlign w:val="bottom"/>
            <w:hideMark/>
          </w:tcPr>
          <w:p w14:paraId="0FA71C84" w14:textId="77777777" w:rsidR="00683654" w:rsidRPr="006F4C9E" w:rsidRDefault="00683654" w:rsidP="007B7FBC">
            <w:pPr>
              <w:spacing w:after="0" w:line="276" w:lineRule="auto"/>
              <w:ind w:left="0" w:firstLine="0"/>
              <w:jc w:val="center"/>
              <w:rPr>
                <w:b/>
                <w:bCs/>
                <w:color w:val="auto"/>
                <w:sz w:val="16"/>
                <w:szCs w:val="16"/>
              </w:rPr>
            </w:pPr>
            <w:proofErr w:type="spellStart"/>
            <w:r w:rsidRPr="006F4C9E">
              <w:rPr>
                <w:b/>
                <w:bCs/>
                <w:color w:val="auto"/>
                <w:sz w:val="16"/>
                <w:szCs w:val="16"/>
              </w:rPr>
              <w:t>Number</w:t>
            </w:r>
            <w:proofErr w:type="spellEnd"/>
            <w:r w:rsidRPr="006F4C9E">
              <w:rPr>
                <w:b/>
                <w:bCs/>
                <w:color w:val="auto"/>
                <w:sz w:val="16"/>
                <w:szCs w:val="16"/>
              </w:rPr>
              <w:t xml:space="preserve"> </w:t>
            </w:r>
            <w:proofErr w:type="gramStart"/>
            <w:r w:rsidR="007B7FBC" w:rsidRPr="006F4C9E">
              <w:rPr>
                <w:b/>
                <w:bCs/>
                <w:color w:val="auto"/>
                <w:sz w:val="16"/>
                <w:szCs w:val="16"/>
              </w:rPr>
              <w:t xml:space="preserve">of </w:t>
            </w:r>
            <w:r w:rsidRPr="006F4C9E">
              <w:rPr>
                <w:b/>
                <w:bCs/>
                <w:color w:val="auto"/>
                <w:sz w:val="16"/>
                <w:szCs w:val="16"/>
              </w:rPr>
              <w:t xml:space="preserve"> </w:t>
            </w:r>
            <w:r w:rsidR="007B7FBC" w:rsidRPr="006F4C9E">
              <w:rPr>
                <w:b/>
                <w:bCs/>
                <w:color w:val="auto"/>
                <w:sz w:val="16"/>
                <w:szCs w:val="16"/>
              </w:rPr>
              <w:t>countries</w:t>
            </w:r>
            <w:proofErr w:type="gramEnd"/>
          </w:p>
        </w:tc>
        <w:tc>
          <w:tcPr>
            <w:tcW w:w="1168" w:type="dxa"/>
            <w:tcBorders>
              <w:top w:val="nil"/>
              <w:left w:val="nil"/>
              <w:bottom w:val="nil"/>
              <w:right w:val="nil"/>
            </w:tcBorders>
            <w:shd w:val="clear" w:color="auto" w:fill="auto"/>
            <w:noWrap/>
            <w:vAlign w:val="bottom"/>
            <w:hideMark/>
          </w:tcPr>
          <w:p w14:paraId="18FDA077"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35</w:t>
            </w:r>
          </w:p>
        </w:tc>
        <w:tc>
          <w:tcPr>
            <w:tcW w:w="1030" w:type="dxa"/>
            <w:tcBorders>
              <w:top w:val="nil"/>
              <w:left w:val="nil"/>
              <w:bottom w:val="nil"/>
              <w:right w:val="nil"/>
            </w:tcBorders>
            <w:shd w:val="clear" w:color="auto" w:fill="auto"/>
            <w:noWrap/>
            <w:vAlign w:val="bottom"/>
            <w:hideMark/>
          </w:tcPr>
          <w:p w14:paraId="5501A4A9"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35</w:t>
            </w:r>
          </w:p>
        </w:tc>
        <w:tc>
          <w:tcPr>
            <w:tcW w:w="1134" w:type="dxa"/>
            <w:tcBorders>
              <w:top w:val="nil"/>
              <w:left w:val="nil"/>
              <w:bottom w:val="nil"/>
              <w:right w:val="nil"/>
            </w:tcBorders>
            <w:shd w:val="clear" w:color="auto" w:fill="auto"/>
            <w:noWrap/>
            <w:vAlign w:val="bottom"/>
            <w:hideMark/>
          </w:tcPr>
          <w:p w14:paraId="3B16C069"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35</w:t>
            </w:r>
          </w:p>
        </w:tc>
        <w:tc>
          <w:tcPr>
            <w:tcW w:w="992" w:type="dxa"/>
            <w:tcBorders>
              <w:top w:val="nil"/>
              <w:left w:val="nil"/>
              <w:bottom w:val="nil"/>
              <w:right w:val="nil"/>
            </w:tcBorders>
            <w:shd w:val="clear" w:color="auto" w:fill="auto"/>
            <w:noWrap/>
            <w:vAlign w:val="bottom"/>
            <w:hideMark/>
          </w:tcPr>
          <w:p w14:paraId="72E04DE3"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35</w:t>
            </w:r>
          </w:p>
        </w:tc>
        <w:tc>
          <w:tcPr>
            <w:tcW w:w="993" w:type="dxa"/>
            <w:tcBorders>
              <w:top w:val="nil"/>
              <w:left w:val="nil"/>
              <w:bottom w:val="nil"/>
              <w:right w:val="nil"/>
            </w:tcBorders>
            <w:shd w:val="clear" w:color="auto" w:fill="auto"/>
            <w:noWrap/>
            <w:vAlign w:val="bottom"/>
            <w:hideMark/>
          </w:tcPr>
          <w:p w14:paraId="22190430"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35</w:t>
            </w:r>
          </w:p>
        </w:tc>
        <w:tc>
          <w:tcPr>
            <w:tcW w:w="850" w:type="dxa"/>
            <w:tcBorders>
              <w:top w:val="nil"/>
              <w:left w:val="nil"/>
              <w:bottom w:val="nil"/>
              <w:right w:val="nil"/>
            </w:tcBorders>
            <w:shd w:val="clear" w:color="auto" w:fill="auto"/>
            <w:noWrap/>
            <w:vAlign w:val="bottom"/>
            <w:hideMark/>
          </w:tcPr>
          <w:p w14:paraId="34C26FB1"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35</w:t>
            </w:r>
          </w:p>
        </w:tc>
        <w:tc>
          <w:tcPr>
            <w:tcW w:w="992" w:type="dxa"/>
            <w:tcBorders>
              <w:top w:val="nil"/>
              <w:left w:val="nil"/>
              <w:bottom w:val="nil"/>
              <w:right w:val="nil"/>
            </w:tcBorders>
            <w:shd w:val="clear" w:color="auto" w:fill="auto"/>
            <w:noWrap/>
            <w:vAlign w:val="bottom"/>
            <w:hideMark/>
          </w:tcPr>
          <w:p w14:paraId="2243B35E"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35</w:t>
            </w:r>
          </w:p>
        </w:tc>
        <w:tc>
          <w:tcPr>
            <w:tcW w:w="1276" w:type="dxa"/>
            <w:tcBorders>
              <w:top w:val="nil"/>
              <w:left w:val="nil"/>
              <w:bottom w:val="nil"/>
              <w:right w:val="nil"/>
            </w:tcBorders>
            <w:shd w:val="clear" w:color="auto" w:fill="auto"/>
            <w:noWrap/>
            <w:vAlign w:val="bottom"/>
            <w:hideMark/>
          </w:tcPr>
          <w:p w14:paraId="1A44DD5D"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35</w:t>
            </w:r>
          </w:p>
        </w:tc>
      </w:tr>
      <w:tr w:rsidR="00683654" w:rsidRPr="006F4C9E" w14:paraId="14415A6A" w14:textId="77777777" w:rsidTr="007B7FBC">
        <w:trPr>
          <w:trHeight w:val="300"/>
        </w:trPr>
        <w:tc>
          <w:tcPr>
            <w:tcW w:w="2055" w:type="dxa"/>
            <w:tcBorders>
              <w:top w:val="nil"/>
              <w:left w:val="nil"/>
              <w:bottom w:val="nil"/>
              <w:right w:val="nil"/>
            </w:tcBorders>
            <w:shd w:val="clear" w:color="auto" w:fill="auto"/>
            <w:noWrap/>
            <w:vAlign w:val="bottom"/>
            <w:hideMark/>
          </w:tcPr>
          <w:p w14:paraId="4604CBE9" w14:textId="77777777" w:rsidR="00683654" w:rsidRPr="006F4C9E" w:rsidRDefault="00683654" w:rsidP="00683654">
            <w:pPr>
              <w:spacing w:after="0" w:line="276" w:lineRule="auto"/>
              <w:ind w:left="0" w:firstLine="0"/>
              <w:jc w:val="center"/>
              <w:rPr>
                <w:b/>
                <w:bCs/>
                <w:color w:val="auto"/>
                <w:sz w:val="16"/>
                <w:szCs w:val="16"/>
              </w:rPr>
            </w:pPr>
            <w:r w:rsidRPr="006F4C9E">
              <w:rPr>
                <w:b/>
                <w:bCs/>
                <w:color w:val="auto"/>
                <w:sz w:val="16"/>
                <w:szCs w:val="16"/>
              </w:rPr>
              <w:lastRenderedPageBreak/>
              <w:t>Test de Wald</w:t>
            </w:r>
          </w:p>
        </w:tc>
        <w:tc>
          <w:tcPr>
            <w:tcW w:w="1168" w:type="dxa"/>
            <w:tcBorders>
              <w:top w:val="nil"/>
              <w:left w:val="nil"/>
              <w:bottom w:val="nil"/>
              <w:right w:val="nil"/>
            </w:tcBorders>
            <w:shd w:val="clear" w:color="auto" w:fill="auto"/>
            <w:noWrap/>
            <w:vAlign w:val="bottom"/>
            <w:hideMark/>
          </w:tcPr>
          <w:p w14:paraId="410F9132"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0.0000</w:t>
            </w:r>
          </w:p>
        </w:tc>
        <w:tc>
          <w:tcPr>
            <w:tcW w:w="1030" w:type="dxa"/>
            <w:tcBorders>
              <w:top w:val="nil"/>
              <w:left w:val="nil"/>
              <w:bottom w:val="nil"/>
              <w:right w:val="nil"/>
            </w:tcBorders>
            <w:shd w:val="clear" w:color="auto" w:fill="auto"/>
            <w:noWrap/>
            <w:vAlign w:val="bottom"/>
            <w:hideMark/>
          </w:tcPr>
          <w:p w14:paraId="0D42060E"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0.0000</w:t>
            </w:r>
          </w:p>
        </w:tc>
        <w:tc>
          <w:tcPr>
            <w:tcW w:w="1134" w:type="dxa"/>
            <w:tcBorders>
              <w:top w:val="nil"/>
              <w:left w:val="nil"/>
              <w:bottom w:val="nil"/>
              <w:right w:val="nil"/>
            </w:tcBorders>
            <w:shd w:val="clear" w:color="auto" w:fill="auto"/>
            <w:noWrap/>
            <w:vAlign w:val="bottom"/>
            <w:hideMark/>
          </w:tcPr>
          <w:p w14:paraId="38EF073A"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0.0000</w:t>
            </w:r>
          </w:p>
        </w:tc>
        <w:tc>
          <w:tcPr>
            <w:tcW w:w="992" w:type="dxa"/>
            <w:tcBorders>
              <w:top w:val="nil"/>
              <w:left w:val="nil"/>
              <w:bottom w:val="nil"/>
              <w:right w:val="nil"/>
            </w:tcBorders>
            <w:shd w:val="clear" w:color="auto" w:fill="auto"/>
            <w:noWrap/>
            <w:vAlign w:val="bottom"/>
            <w:hideMark/>
          </w:tcPr>
          <w:p w14:paraId="44F50221"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0.0000</w:t>
            </w:r>
          </w:p>
        </w:tc>
        <w:tc>
          <w:tcPr>
            <w:tcW w:w="993" w:type="dxa"/>
            <w:tcBorders>
              <w:top w:val="nil"/>
              <w:left w:val="nil"/>
              <w:bottom w:val="nil"/>
              <w:right w:val="nil"/>
            </w:tcBorders>
            <w:shd w:val="clear" w:color="auto" w:fill="auto"/>
            <w:noWrap/>
            <w:vAlign w:val="bottom"/>
            <w:hideMark/>
          </w:tcPr>
          <w:p w14:paraId="065F7F76"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0.0000</w:t>
            </w:r>
          </w:p>
        </w:tc>
        <w:tc>
          <w:tcPr>
            <w:tcW w:w="850" w:type="dxa"/>
            <w:tcBorders>
              <w:top w:val="nil"/>
              <w:left w:val="nil"/>
              <w:bottom w:val="nil"/>
              <w:right w:val="nil"/>
            </w:tcBorders>
            <w:shd w:val="clear" w:color="auto" w:fill="auto"/>
            <w:noWrap/>
            <w:vAlign w:val="bottom"/>
            <w:hideMark/>
          </w:tcPr>
          <w:p w14:paraId="18A992AF"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0.0000</w:t>
            </w:r>
          </w:p>
        </w:tc>
        <w:tc>
          <w:tcPr>
            <w:tcW w:w="992" w:type="dxa"/>
            <w:tcBorders>
              <w:top w:val="nil"/>
              <w:left w:val="nil"/>
              <w:bottom w:val="nil"/>
              <w:right w:val="nil"/>
            </w:tcBorders>
            <w:shd w:val="clear" w:color="auto" w:fill="auto"/>
            <w:noWrap/>
            <w:vAlign w:val="bottom"/>
            <w:hideMark/>
          </w:tcPr>
          <w:p w14:paraId="3C6CFB9F"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0.0000</w:t>
            </w:r>
          </w:p>
        </w:tc>
        <w:tc>
          <w:tcPr>
            <w:tcW w:w="1276" w:type="dxa"/>
            <w:tcBorders>
              <w:top w:val="nil"/>
              <w:left w:val="nil"/>
              <w:bottom w:val="nil"/>
              <w:right w:val="nil"/>
            </w:tcBorders>
            <w:shd w:val="clear" w:color="auto" w:fill="auto"/>
            <w:noWrap/>
            <w:vAlign w:val="bottom"/>
            <w:hideMark/>
          </w:tcPr>
          <w:p w14:paraId="3BFDD782"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0.0000</w:t>
            </w:r>
          </w:p>
        </w:tc>
      </w:tr>
      <w:tr w:rsidR="00683654" w:rsidRPr="006F4C9E" w14:paraId="016536ED" w14:textId="77777777" w:rsidTr="007B7FBC">
        <w:trPr>
          <w:trHeight w:val="300"/>
        </w:trPr>
        <w:tc>
          <w:tcPr>
            <w:tcW w:w="2055" w:type="dxa"/>
            <w:tcBorders>
              <w:top w:val="nil"/>
              <w:left w:val="nil"/>
              <w:bottom w:val="nil"/>
              <w:right w:val="nil"/>
            </w:tcBorders>
            <w:shd w:val="clear" w:color="auto" w:fill="auto"/>
            <w:noWrap/>
            <w:vAlign w:val="bottom"/>
            <w:hideMark/>
          </w:tcPr>
          <w:p w14:paraId="2A365339" w14:textId="77777777" w:rsidR="00683654" w:rsidRPr="006F4C9E" w:rsidRDefault="00683654" w:rsidP="00683654">
            <w:pPr>
              <w:spacing w:after="0" w:line="276" w:lineRule="auto"/>
              <w:ind w:left="0" w:firstLine="0"/>
              <w:jc w:val="center"/>
              <w:rPr>
                <w:b/>
                <w:bCs/>
                <w:color w:val="auto"/>
                <w:sz w:val="16"/>
                <w:szCs w:val="16"/>
              </w:rPr>
            </w:pPr>
            <w:r w:rsidRPr="006F4C9E">
              <w:rPr>
                <w:b/>
                <w:bCs/>
                <w:color w:val="auto"/>
                <w:sz w:val="16"/>
                <w:szCs w:val="16"/>
              </w:rPr>
              <w:t>Test d’AR (1)</w:t>
            </w:r>
          </w:p>
        </w:tc>
        <w:tc>
          <w:tcPr>
            <w:tcW w:w="1168" w:type="dxa"/>
            <w:tcBorders>
              <w:top w:val="nil"/>
              <w:left w:val="nil"/>
              <w:bottom w:val="nil"/>
              <w:right w:val="nil"/>
            </w:tcBorders>
            <w:shd w:val="clear" w:color="auto" w:fill="auto"/>
            <w:noWrap/>
            <w:vAlign w:val="bottom"/>
            <w:hideMark/>
          </w:tcPr>
          <w:p w14:paraId="01238CD3"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0.0002</w:t>
            </w:r>
          </w:p>
        </w:tc>
        <w:tc>
          <w:tcPr>
            <w:tcW w:w="1030" w:type="dxa"/>
            <w:tcBorders>
              <w:top w:val="nil"/>
              <w:left w:val="nil"/>
              <w:bottom w:val="nil"/>
              <w:right w:val="nil"/>
            </w:tcBorders>
            <w:shd w:val="clear" w:color="auto" w:fill="auto"/>
            <w:noWrap/>
            <w:vAlign w:val="bottom"/>
            <w:hideMark/>
          </w:tcPr>
          <w:p w14:paraId="4BDE2955"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0.0001</w:t>
            </w:r>
          </w:p>
        </w:tc>
        <w:tc>
          <w:tcPr>
            <w:tcW w:w="1134" w:type="dxa"/>
            <w:tcBorders>
              <w:top w:val="nil"/>
              <w:left w:val="nil"/>
              <w:bottom w:val="nil"/>
              <w:right w:val="nil"/>
            </w:tcBorders>
            <w:shd w:val="clear" w:color="auto" w:fill="auto"/>
            <w:noWrap/>
            <w:vAlign w:val="bottom"/>
            <w:hideMark/>
          </w:tcPr>
          <w:p w14:paraId="24E481F1"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0.0003</w:t>
            </w:r>
          </w:p>
        </w:tc>
        <w:tc>
          <w:tcPr>
            <w:tcW w:w="992" w:type="dxa"/>
            <w:tcBorders>
              <w:top w:val="nil"/>
              <w:left w:val="nil"/>
              <w:bottom w:val="nil"/>
              <w:right w:val="nil"/>
            </w:tcBorders>
            <w:shd w:val="clear" w:color="auto" w:fill="auto"/>
            <w:noWrap/>
            <w:vAlign w:val="bottom"/>
            <w:hideMark/>
          </w:tcPr>
          <w:p w14:paraId="6D59B43E"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0.0001</w:t>
            </w:r>
          </w:p>
        </w:tc>
        <w:tc>
          <w:tcPr>
            <w:tcW w:w="993" w:type="dxa"/>
            <w:tcBorders>
              <w:top w:val="nil"/>
              <w:left w:val="nil"/>
              <w:bottom w:val="nil"/>
              <w:right w:val="nil"/>
            </w:tcBorders>
            <w:shd w:val="clear" w:color="auto" w:fill="auto"/>
            <w:noWrap/>
            <w:vAlign w:val="bottom"/>
            <w:hideMark/>
          </w:tcPr>
          <w:p w14:paraId="2564A97C"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0.0002</w:t>
            </w:r>
          </w:p>
        </w:tc>
        <w:tc>
          <w:tcPr>
            <w:tcW w:w="850" w:type="dxa"/>
            <w:tcBorders>
              <w:top w:val="nil"/>
              <w:left w:val="nil"/>
              <w:bottom w:val="nil"/>
              <w:right w:val="nil"/>
            </w:tcBorders>
            <w:shd w:val="clear" w:color="auto" w:fill="auto"/>
            <w:noWrap/>
            <w:vAlign w:val="bottom"/>
            <w:hideMark/>
          </w:tcPr>
          <w:p w14:paraId="21C6B05F"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0.0002</w:t>
            </w:r>
          </w:p>
        </w:tc>
        <w:tc>
          <w:tcPr>
            <w:tcW w:w="992" w:type="dxa"/>
            <w:tcBorders>
              <w:top w:val="nil"/>
              <w:left w:val="nil"/>
              <w:bottom w:val="nil"/>
              <w:right w:val="nil"/>
            </w:tcBorders>
            <w:shd w:val="clear" w:color="auto" w:fill="auto"/>
            <w:noWrap/>
            <w:vAlign w:val="bottom"/>
            <w:hideMark/>
          </w:tcPr>
          <w:p w14:paraId="5E68FA70"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0.0001</w:t>
            </w:r>
          </w:p>
        </w:tc>
        <w:tc>
          <w:tcPr>
            <w:tcW w:w="1276" w:type="dxa"/>
            <w:tcBorders>
              <w:top w:val="nil"/>
              <w:left w:val="nil"/>
              <w:bottom w:val="nil"/>
              <w:right w:val="nil"/>
            </w:tcBorders>
            <w:shd w:val="clear" w:color="auto" w:fill="auto"/>
            <w:noWrap/>
            <w:vAlign w:val="bottom"/>
            <w:hideMark/>
          </w:tcPr>
          <w:p w14:paraId="7C5C70ED"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0.0002</w:t>
            </w:r>
          </w:p>
        </w:tc>
      </w:tr>
      <w:tr w:rsidR="00683654" w:rsidRPr="006F4C9E" w14:paraId="3BB0295C" w14:textId="77777777" w:rsidTr="007B7FBC">
        <w:trPr>
          <w:trHeight w:val="300"/>
        </w:trPr>
        <w:tc>
          <w:tcPr>
            <w:tcW w:w="2055" w:type="dxa"/>
            <w:tcBorders>
              <w:top w:val="nil"/>
              <w:left w:val="nil"/>
              <w:right w:val="nil"/>
            </w:tcBorders>
            <w:shd w:val="clear" w:color="auto" w:fill="auto"/>
            <w:noWrap/>
            <w:vAlign w:val="bottom"/>
            <w:hideMark/>
          </w:tcPr>
          <w:p w14:paraId="22F8DB45" w14:textId="77777777" w:rsidR="00683654" w:rsidRPr="006F4C9E" w:rsidRDefault="00683654" w:rsidP="00683654">
            <w:pPr>
              <w:spacing w:after="0" w:line="276" w:lineRule="auto"/>
              <w:ind w:left="0" w:firstLine="0"/>
              <w:jc w:val="center"/>
              <w:rPr>
                <w:b/>
                <w:bCs/>
                <w:color w:val="auto"/>
                <w:sz w:val="16"/>
                <w:szCs w:val="16"/>
              </w:rPr>
            </w:pPr>
            <w:r w:rsidRPr="006F4C9E">
              <w:rPr>
                <w:b/>
                <w:bCs/>
                <w:color w:val="auto"/>
                <w:sz w:val="16"/>
                <w:szCs w:val="16"/>
              </w:rPr>
              <w:t>Test d’AR (2)</w:t>
            </w:r>
          </w:p>
        </w:tc>
        <w:tc>
          <w:tcPr>
            <w:tcW w:w="1168" w:type="dxa"/>
            <w:tcBorders>
              <w:top w:val="nil"/>
              <w:left w:val="nil"/>
              <w:right w:val="nil"/>
            </w:tcBorders>
            <w:shd w:val="clear" w:color="auto" w:fill="auto"/>
            <w:noWrap/>
            <w:vAlign w:val="bottom"/>
            <w:hideMark/>
          </w:tcPr>
          <w:p w14:paraId="4000B03F"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0.9988</w:t>
            </w:r>
          </w:p>
        </w:tc>
        <w:tc>
          <w:tcPr>
            <w:tcW w:w="1030" w:type="dxa"/>
            <w:tcBorders>
              <w:top w:val="nil"/>
              <w:left w:val="nil"/>
              <w:right w:val="nil"/>
            </w:tcBorders>
            <w:shd w:val="clear" w:color="auto" w:fill="auto"/>
            <w:noWrap/>
            <w:vAlign w:val="bottom"/>
            <w:hideMark/>
          </w:tcPr>
          <w:p w14:paraId="75763F7B"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0.3890</w:t>
            </w:r>
          </w:p>
        </w:tc>
        <w:tc>
          <w:tcPr>
            <w:tcW w:w="1134" w:type="dxa"/>
            <w:tcBorders>
              <w:top w:val="nil"/>
              <w:left w:val="nil"/>
              <w:right w:val="nil"/>
            </w:tcBorders>
            <w:shd w:val="clear" w:color="auto" w:fill="auto"/>
            <w:noWrap/>
            <w:vAlign w:val="bottom"/>
            <w:hideMark/>
          </w:tcPr>
          <w:p w14:paraId="546E4B11"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0.5631</w:t>
            </w:r>
          </w:p>
        </w:tc>
        <w:tc>
          <w:tcPr>
            <w:tcW w:w="992" w:type="dxa"/>
            <w:tcBorders>
              <w:top w:val="nil"/>
              <w:left w:val="nil"/>
              <w:right w:val="nil"/>
            </w:tcBorders>
            <w:shd w:val="clear" w:color="auto" w:fill="auto"/>
            <w:noWrap/>
            <w:vAlign w:val="bottom"/>
            <w:hideMark/>
          </w:tcPr>
          <w:p w14:paraId="2642AEE8"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0.5468</w:t>
            </w:r>
          </w:p>
        </w:tc>
        <w:tc>
          <w:tcPr>
            <w:tcW w:w="993" w:type="dxa"/>
            <w:tcBorders>
              <w:top w:val="nil"/>
              <w:left w:val="nil"/>
              <w:right w:val="nil"/>
            </w:tcBorders>
            <w:shd w:val="clear" w:color="auto" w:fill="auto"/>
            <w:noWrap/>
            <w:vAlign w:val="bottom"/>
            <w:hideMark/>
          </w:tcPr>
          <w:p w14:paraId="673CCB0D"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0.3267</w:t>
            </w:r>
          </w:p>
        </w:tc>
        <w:tc>
          <w:tcPr>
            <w:tcW w:w="850" w:type="dxa"/>
            <w:tcBorders>
              <w:top w:val="nil"/>
              <w:left w:val="nil"/>
              <w:right w:val="nil"/>
            </w:tcBorders>
            <w:shd w:val="clear" w:color="auto" w:fill="auto"/>
            <w:noWrap/>
            <w:vAlign w:val="bottom"/>
            <w:hideMark/>
          </w:tcPr>
          <w:p w14:paraId="2246AA96"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0.4392</w:t>
            </w:r>
          </w:p>
        </w:tc>
        <w:tc>
          <w:tcPr>
            <w:tcW w:w="992" w:type="dxa"/>
            <w:tcBorders>
              <w:top w:val="nil"/>
              <w:left w:val="nil"/>
              <w:right w:val="nil"/>
            </w:tcBorders>
            <w:shd w:val="clear" w:color="auto" w:fill="auto"/>
            <w:noWrap/>
            <w:vAlign w:val="bottom"/>
            <w:hideMark/>
          </w:tcPr>
          <w:p w14:paraId="0C0AEF72"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0.3638</w:t>
            </w:r>
          </w:p>
        </w:tc>
        <w:tc>
          <w:tcPr>
            <w:tcW w:w="1276" w:type="dxa"/>
            <w:tcBorders>
              <w:top w:val="nil"/>
              <w:left w:val="nil"/>
              <w:right w:val="nil"/>
            </w:tcBorders>
            <w:shd w:val="clear" w:color="auto" w:fill="auto"/>
            <w:noWrap/>
            <w:vAlign w:val="bottom"/>
            <w:hideMark/>
          </w:tcPr>
          <w:p w14:paraId="1A90AFAC"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0.5542</w:t>
            </w:r>
          </w:p>
        </w:tc>
      </w:tr>
      <w:tr w:rsidR="00683654" w:rsidRPr="006F4C9E" w14:paraId="093AE311" w14:textId="77777777" w:rsidTr="007B7FBC">
        <w:trPr>
          <w:trHeight w:val="300"/>
        </w:trPr>
        <w:tc>
          <w:tcPr>
            <w:tcW w:w="2055" w:type="dxa"/>
            <w:tcBorders>
              <w:top w:val="nil"/>
              <w:left w:val="nil"/>
              <w:bottom w:val="single" w:sz="4" w:space="0" w:color="auto"/>
              <w:right w:val="nil"/>
            </w:tcBorders>
            <w:shd w:val="clear" w:color="auto" w:fill="auto"/>
            <w:noWrap/>
            <w:vAlign w:val="bottom"/>
            <w:hideMark/>
          </w:tcPr>
          <w:p w14:paraId="702F7A06" w14:textId="77777777" w:rsidR="00683654" w:rsidRPr="006F4C9E" w:rsidRDefault="00683654" w:rsidP="00683654">
            <w:pPr>
              <w:spacing w:after="0" w:line="276" w:lineRule="auto"/>
              <w:ind w:left="0" w:firstLine="0"/>
              <w:jc w:val="center"/>
              <w:rPr>
                <w:bCs/>
                <w:color w:val="auto"/>
                <w:sz w:val="16"/>
                <w:szCs w:val="16"/>
              </w:rPr>
            </w:pPr>
            <w:r w:rsidRPr="006F4C9E">
              <w:rPr>
                <w:bCs/>
                <w:color w:val="auto"/>
                <w:sz w:val="16"/>
                <w:szCs w:val="16"/>
              </w:rPr>
              <w:t xml:space="preserve">Test de </w:t>
            </w:r>
            <w:proofErr w:type="spellStart"/>
            <w:r w:rsidRPr="006F4C9E">
              <w:rPr>
                <w:bCs/>
                <w:color w:val="auto"/>
                <w:sz w:val="16"/>
                <w:szCs w:val="16"/>
              </w:rPr>
              <w:t>sargan</w:t>
            </w:r>
            <w:proofErr w:type="spellEnd"/>
          </w:p>
        </w:tc>
        <w:tc>
          <w:tcPr>
            <w:tcW w:w="1168" w:type="dxa"/>
            <w:tcBorders>
              <w:top w:val="nil"/>
              <w:left w:val="nil"/>
              <w:bottom w:val="single" w:sz="4" w:space="0" w:color="auto"/>
              <w:right w:val="nil"/>
            </w:tcBorders>
            <w:shd w:val="clear" w:color="auto" w:fill="auto"/>
            <w:noWrap/>
            <w:vAlign w:val="bottom"/>
            <w:hideMark/>
          </w:tcPr>
          <w:p w14:paraId="68691C95"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0.9875</w:t>
            </w:r>
          </w:p>
        </w:tc>
        <w:tc>
          <w:tcPr>
            <w:tcW w:w="1030" w:type="dxa"/>
            <w:tcBorders>
              <w:top w:val="nil"/>
              <w:left w:val="nil"/>
              <w:bottom w:val="single" w:sz="4" w:space="0" w:color="auto"/>
              <w:right w:val="nil"/>
            </w:tcBorders>
            <w:shd w:val="clear" w:color="auto" w:fill="auto"/>
            <w:noWrap/>
            <w:vAlign w:val="bottom"/>
            <w:hideMark/>
          </w:tcPr>
          <w:p w14:paraId="237A6941"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0.9867</w:t>
            </w:r>
          </w:p>
        </w:tc>
        <w:tc>
          <w:tcPr>
            <w:tcW w:w="1134" w:type="dxa"/>
            <w:tcBorders>
              <w:top w:val="nil"/>
              <w:left w:val="nil"/>
              <w:bottom w:val="single" w:sz="4" w:space="0" w:color="auto"/>
              <w:right w:val="nil"/>
            </w:tcBorders>
            <w:shd w:val="clear" w:color="auto" w:fill="auto"/>
            <w:noWrap/>
            <w:vAlign w:val="bottom"/>
            <w:hideMark/>
          </w:tcPr>
          <w:p w14:paraId="2A24B663"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0.9867</w:t>
            </w:r>
          </w:p>
        </w:tc>
        <w:tc>
          <w:tcPr>
            <w:tcW w:w="992" w:type="dxa"/>
            <w:tcBorders>
              <w:top w:val="nil"/>
              <w:left w:val="nil"/>
              <w:bottom w:val="single" w:sz="4" w:space="0" w:color="auto"/>
              <w:right w:val="nil"/>
            </w:tcBorders>
            <w:shd w:val="clear" w:color="auto" w:fill="auto"/>
            <w:noWrap/>
            <w:vAlign w:val="bottom"/>
            <w:hideMark/>
          </w:tcPr>
          <w:p w14:paraId="5D75AA49"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0.9675</w:t>
            </w:r>
          </w:p>
        </w:tc>
        <w:tc>
          <w:tcPr>
            <w:tcW w:w="993" w:type="dxa"/>
            <w:tcBorders>
              <w:top w:val="nil"/>
              <w:left w:val="nil"/>
              <w:bottom w:val="single" w:sz="4" w:space="0" w:color="auto"/>
              <w:right w:val="nil"/>
            </w:tcBorders>
            <w:shd w:val="clear" w:color="auto" w:fill="auto"/>
            <w:noWrap/>
            <w:vAlign w:val="bottom"/>
            <w:hideMark/>
          </w:tcPr>
          <w:p w14:paraId="0612A6D0"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0.9884</w:t>
            </w:r>
          </w:p>
        </w:tc>
        <w:tc>
          <w:tcPr>
            <w:tcW w:w="850" w:type="dxa"/>
            <w:tcBorders>
              <w:top w:val="nil"/>
              <w:left w:val="nil"/>
              <w:bottom w:val="single" w:sz="4" w:space="0" w:color="auto"/>
              <w:right w:val="nil"/>
            </w:tcBorders>
            <w:shd w:val="clear" w:color="auto" w:fill="auto"/>
            <w:noWrap/>
            <w:vAlign w:val="bottom"/>
            <w:hideMark/>
          </w:tcPr>
          <w:p w14:paraId="14962972"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0.9765</w:t>
            </w:r>
          </w:p>
        </w:tc>
        <w:tc>
          <w:tcPr>
            <w:tcW w:w="992" w:type="dxa"/>
            <w:tcBorders>
              <w:top w:val="nil"/>
              <w:left w:val="nil"/>
              <w:bottom w:val="single" w:sz="4" w:space="0" w:color="auto"/>
              <w:right w:val="nil"/>
            </w:tcBorders>
            <w:shd w:val="clear" w:color="auto" w:fill="auto"/>
            <w:noWrap/>
            <w:vAlign w:val="bottom"/>
            <w:hideMark/>
          </w:tcPr>
          <w:p w14:paraId="5FC0B083"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0.9876</w:t>
            </w:r>
          </w:p>
        </w:tc>
        <w:tc>
          <w:tcPr>
            <w:tcW w:w="1276" w:type="dxa"/>
            <w:tcBorders>
              <w:top w:val="nil"/>
              <w:left w:val="nil"/>
              <w:bottom w:val="single" w:sz="4" w:space="0" w:color="auto"/>
              <w:right w:val="nil"/>
            </w:tcBorders>
            <w:shd w:val="clear" w:color="auto" w:fill="auto"/>
            <w:noWrap/>
            <w:vAlign w:val="bottom"/>
            <w:hideMark/>
          </w:tcPr>
          <w:p w14:paraId="7E4070F8" w14:textId="77777777" w:rsidR="00683654" w:rsidRPr="006F4C9E" w:rsidRDefault="00683654" w:rsidP="00683654">
            <w:pPr>
              <w:spacing w:after="0" w:line="276" w:lineRule="auto"/>
              <w:ind w:left="0" w:firstLine="0"/>
              <w:jc w:val="center"/>
              <w:rPr>
                <w:color w:val="auto"/>
                <w:sz w:val="16"/>
                <w:szCs w:val="16"/>
              </w:rPr>
            </w:pPr>
            <w:r w:rsidRPr="006F4C9E">
              <w:rPr>
                <w:color w:val="auto"/>
                <w:sz w:val="16"/>
                <w:szCs w:val="16"/>
              </w:rPr>
              <w:t>0.9965</w:t>
            </w:r>
          </w:p>
        </w:tc>
      </w:tr>
    </w:tbl>
    <w:p w14:paraId="3325B827" w14:textId="77777777" w:rsidR="0055468F" w:rsidRPr="006F4C9E" w:rsidRDefault="0055468F" w:rsidP="00AC5FFC">
      <w:pPr>
        <w:spacing w:after="0" w:line="240" w:lineRule="auto"/>
        <w:ind w:left="286" w:hanging="10"/>
        <w:jc w:val="left"/>
        <w:rPr>
          <w:color w:val="auto"/>
          <w:lang w:val="en-CA"/>
        </w:rPr>
      </w:pPr>
      <w:r w:rsidRPr="006F4C9E">
        <w:rPr>
          <w:color w:val="auto"/>
          <w:lang w:val="en-CA"/>
        </w:rPr>
        <w:t xml:space="preserve">NB: </w:t>
      </w:r>
      <w:r w:rsidRPr="006F4C9E">
        <w:rPr>
          <w:i/>
          <w:color w:val="auto"/>
          <w:lang w:val="en-CA"/>
        </w:rPr>
        <w:t xml:space="preserve">Signs*, **, ***, represent significance at the 10%, 5% and 1% threshold respectively. The figures in brackets represent the standard error. </w:t>
      </w:r>
    </w:p>
    <w:p w14:paraId="491673C1" w14:textId="77777777" w:rsidR="0055468F" w:rsidRPr="006F4C9E" w:rsidRDefault="0055468F" w:rsidP="0055468F">
      <w:pPr>
        <w:spacing w:after="35" w:line="246" w:lineRule="auto"/>
        <w:ind w:left="286" w:right="-15" w:hanging="10"/>
        <w:jc w:val="left"/>
        <w:rPr>
          <w:color w:val="auto"/>
          <w:lang w:val="en-CA"/>
        </w:rPr>
      </w:pPr>
      <w:r w:rsidRPr="006F4C9E">
        <w:rPr>
          <w:b/>
          <w:color w:val="auto"/>
          <w:lang w:val="en-CA"/>
        </w:rPr>
        <w:t xml:space="preserve">Source: Authors based on our estimates. </w:t>
      </w:r>
    </w:p>
    <w:p w14:paraId="7D6386CE" w14:textId="77777777" w:rsidR="007563B7" w:rsidRPr="006F4C9E" w:rsidRDefault="007563B7" w:rsidP="007563B7">
      <w:pPr>
        <w:spacing w:after="0"/>
        <w:ind w:left="276" w:firstLine="708"/>
        <w:rPr>
          <w:color w:val="auto"/>
          <w:lang w:val="en-CA"/>
        </w:rPr>
      </w:pPr>
      <w:r w:rsidRPr="006F4C9E">
        <w:rPr>
          <w:color w:val="auto"/>
          <w:lang w:val="en-CA"/>
        </w:rPr>
        <w:t xml:space="preserve">The estimates shown in the table above are based on a sample of SSA countries. The probability associated with the Wald statistics (p = 0.0000 &lt; 0.01 respectively for all models) is below the 1% threshold suggesting that the models are globally significant; the Wald statistics provide the same information on the global significances of the models. The table shows that all the estimated coefficients are statistically and globally significant while affecting price stability to varying degrees. Moreover, our estimates suggest through the tests of autocorrelation of the errors of </w:t>
      </w:r>
      <w:proofErr w:type="spellStart"/>
      <w:r w:rsidRPr="006F4C9E">
        <w:rPr>
          <w:color w:val="auto"/>
          <w:lang w:val="en-CA"/>
        </w:rPr>
        <w:t>Arrelano</w:t>
      </w:r>
      <w:proofErr w:type="spellEnd"/>
      <w:r w:rsidRPr="006F4C9E">
        <w:rPr>
          <w:color w:val="auto"/>
          <w:lang w:val="en-CA"/>
        </w:rPr>
        <w:t xml:space="preserve">-Bond (1991), respectively of the first order and second order with the P-value AR (1) and AR (2) and also through the tests of overidentification of the instruments of </w:t>
      </w:r>
      <w:proofErr w:type="spellStart"/>
      <w:r w:rsidRPr="006F4C9E">
        <w:rPr>
          <w:color w:val="auto"/>
          <w:lang w:val="en-CA"/>
        </w:rPr>
        <w:t>Sargan</w:t>
      </w:r>
      <w:proofErr w:type="spellEnd"/>
      <w:r w:rsidRPr="006F4C9E">
        <w:rPr>
          <w:color w:val="auto"/>
          <w:lang w:val="en-CA"/>
        </w:rPr>
        <w:t xml:space="preserve"> that the instruments which we used to estimate the relations (6) and (7) are valid, because the probability associated with these tests is higher than the threshold of </w:t>
      </w:r>
      <w:proofErr w:type="spellStart"/>
      <w:r w:rsidRPr="006F4C9E">
        <w:rPr>
          <w:color w:val="auto"/>
          <w:lang w:val="en-CA"/>
        </w:rPr>
        <w:t>significativeness</w:t>
      </w:r>
      <w:proofErr w:type="spellEnd"/>
      <w:r w:rsidRPr="006F4C9E">
        <w:rPr>
          <w:color w:val="auto"/>
          <w:lang w:val="en-CA"/>
        </w:rPr>
        <w:t xml:space="preserve"> which can be of 1%, 5%, 10%. All these elements lead us to validate the results of the estimations. </w:t>
      </w:r>
    </w:p>
    <w:p w14:paraId="6E3788EA" w14:textId="77777777" w:rsidR="007563B7" w:rsidRPr="006F4C9E" w:rsidRDefault="007563B7" w:rsidP="007563B7">
      <w:pPr>
        <w:spacing w:after="0"/>
        <w:ind w:left="276" w:firstLine="708"/>
        <w:rPr>
          <w:color w:val="auto"/>
          <w:lang w:val="en-CA"/>
        </w:rPr>
      </w:pPr>
      <w:r w:rsidRPr="006F4C9E">
        <w:rPr>
          <w:color w:val="auto"/>
          <w:lang w:val="en-CA"/>
        </w:rPr>
        <w:t xml:space="preserve">However, the coefficients assigned to the three groups of exchange rate regimes are all highly significant at the 1% and 10% level. These coefficients show that the three exchange rate regimes manage to influence the increase in the general price level of the countries in our sample. The most interesting information revealed by these coefficients is related to the signs assigned to them. In this perspective, the positive sign of the coefficients assigned to the flexible and intermediate exchange rate regimes in the basic model (0.0925 and 0.1286 respectively) reflects the fact that membership of these two regimes amplifies and creates monetary imbalances. Thus, an increase in these two exchange rate regimes leads to an increase in the inflation rate according to the result of model (2a) and (3a) and corroborates the result of Sall </w:t>
      </w:r>
      <w:proofErr w:type="spellStart"/>
      <w:r w:rsidRPr="006F4C9E">
        <w:rPr>
          <w:color w:val="auto"/>
          <w:lang w:val="en-CA"/>
        </w:rPr>
        <w:t>Khadry</w:t>
      </w:r>
      <w:proofErr w:type="spellEnd"/>
      <w:r w:rsidRPr="006F4C9E">
        <w:rPr>
          <w:color w:val="auto"/>
          <w:lang w:val="en-CA"/>
        </w:rPr>
        <w:t xml:space="preserve"> (2017) for the floating exchange rate regime. As for the negative sign of the coefficient assigned to the fixed regime (- 0.0760), it shows that belonging to this regime weakens the inflationary magnitude, hence the stability of prices. The fixed exchange rate regime result is consistent with the conclusion of Ghosh et al. (1997, 2008 and 2010); </w:t>
      </w:r>
      <w:proofErr w:type="spellStart"/>
      <w:r w:rsidRPr="006F4C9E">
        <w:rPr>
          <w:color w:val="auto"/>
          <w:lang w:val="en-CA"/>
        </w:rPr>
        <w:t>Bleaney</w:t>
      </w:r>
      <w:proofErr w:type="spellEnd"/>
      <w:r w:rsidRPr="006F4C9E">
        <w:rPr>
          <w:color w:val="auto"/>
          <w:lang w:val="en-CA"/>
        </w:rPr>
        <w:t xml:space="preserve"> &amp; Fielding, (2000) and Coulibaly &amp; Devis, (2013) that the anti-inflationary benefit of fixed exchange rate regimes accrues relatively more to countries that keep their </w:t>
      </w:r>
      <w:r w:rsidRPr="006F4C9E">
        <w:rPr>
          <w:color w:val="auto"/>
          <w:sz w:val="22"/>
          <w:lang w:val="en-CA"/>
        </w:rPr>
        <w:t xml:space="preserve">adopted Monetary Policy </w:t>
      </w:r>
      <w:r w:rsidRPr="006F4C9E">
        <w:rPr>
          <w:color w:val="auto"/>
          <w:lang w:val="en-CA"/>
        </w:rPr>
        <w:t xml:space="preserve">Commitments. Moreover, the macroeconomic indicators </w:t>
      </w:r>
      <w:proofErr w:type="spellStart"/>
      <w:r w:rsidRPr="006F4C9E">
        <w:rPr>
          <w:i/>
          <w:color w:val="auto"/>
          <w:lang w:val="en-CA"/>
        </w:rPr>
        <w:t>mon</w:t>
      </w:r>
      <w:proofErr w:type="spellEnd"/>
      <w:r w:rsidRPr="006F4C9E">
        <w:rPr>
          <w:i/>
          <w:color w:val="auto"/>
          <w:lang w:val="en-CA"/>
        </w:rPr>
        <w:t xml:space="preserve">, </w:t>
      </w:r>
      <w:proofErr w:type="spellStart"/>
      <w:r w:rsidRPr="006F4C9E">
        <w:rPr>
          <w:i/>
          <w:color w:val="auto"/>
          <w:lang w:val="en-CA"/>
        </w:rPr>
        <w:t>dep_pub</w:t>
      </w:r>
      <w:proofErr w:type="spellEnd"/>
      <w:r w:rsidRPr="006F4C9E">
        <w:rPr>
          <w:i/>
          <w:color w:val="auto"/>
          <w:lang w:val="en-CA"/>
        </w:rPr>
        <w:t xml:space="preserve">, invest, </w:t>
      </w:r>
      <w:proofErr w:type="spellStart"/>
      <w:r w:rsidRPr="006F4C9E">
        <w:rPr>
          <w:i/>
          <w:color w:val="auto"/>
          <w:lang w:val="en-CA"/>
        </w:rPr>
        <w:t>tx_int</w:t>
      </w:r>
      <w:proofErr w:type="spellEnd"/>
      <w:r w:rsidRPr="006F4C9E">
        <w:rPr>
          <w:i/>
          <w:color w:val="auto"/>
          <w:lang w:val="en-CA"/>
        </w:rPr>
        <w:t xml:space="preserve">, </w:t>
      </w:r>
      <w:proofErr w:type="spellStart"/>
      <w:r w:rsidRPr="006F4C9E">
        <w:rPr>
          <w:i/>
          <w:color w:val="auto"/>
          <w:lang w:val="en-CA"/>
        </w:rPr>
        <w:t>res_ext</w:t>
      </w:r>
      <w:proofErr w:type="spellEnd"/>
      <w:r w:rsidRPr="006F4C9E">
        <w:rPr>
          <w:i/>
          <w:color w:val="auto"/>
          <w:lang w:val="en-CA"/>
        </w:rPr>
        <w:t xml:space="preserve">, </w:t>
      </w:r>
      <w:proofErr w:type="spellStart"/>
      <w:r w:rsidRPr="006F4C9E">
        <w:rPr>
          <w:i/>
          <w:color w:val="auto"/>
          <w:lang w:val="en-CA"/>
        </w:rPr>
        <w:t>crois_pop</w:t>
      </w:r>
      <w:proofErr w:type="spellEnd"/>
      <w:r w:rsidRPr="006F4C9E">
        <w:rPr>
          <w:i/>
          <w:color w:val="auto"/>
          <w:lang w:val="en-CA"/>
        </w:rPr>
        <w:t xml:space="preserve">, </w:t>
      </w:r>
      <w:proofErr w:type="spellStart"/>
      <w:r w:rsidRPr="006F4C9E">
        <w:rPr>
          <w:i/>
          <w:color w:val="auto"/>
          <w:lang w:val="en-CA"/>
        </w:rPr>
        <w:t>pib_reel</w:t>
      </w:r>
      <w:proofErr w:type="spellEnd"/>
      <w:r w:rsidRPr="006F4C9E">
        <w:rPr>
          <w:i/>
          <w:color w:val="auto"/>
          <w:lang w:val="en-CA"/>
        </w:rPr>
        <w:t xml:space="preserve"> </w:t>
      </w:r>
      <w:r w:rsidRPr="006F4C9E">
        <w:rPr>
          <w:color w:val="auto"/>
          <w:lang w:val="en-CA"/>
        </w:rPr>
        <w:t xml:space="preserve">have a negative and significant influence on the inflation rate for the GMM estimator in system. On the other hand, the variable </w:t>
      </w:r>
      <w:proofErr w:type="spellStart"/>
      <w:r w:rsidRPr="006F4C9E">
        <w:rPr>
          <w:color w:val="auto"/>
          <w:lang w:val="en-CA"/>
        </w:rPr>
        <w:t>ouv</w:t>
      </w:r>
      <w:proofErr w:type="spellEnd"/>
      <w:r w:rsidRPr="006F4C9E">
        <w:rPr>
          <w:color w:val="auto"/>
          <w:lang w:val="en-CA"/>
        </w:rPr>
        <w:t xml:space="preserve">, </w:t>
      </w:r>
      <w:proofErr w:type="spellStart"/>
      <w:r w:rsidRPr="006F4C9E">
        <w:rPr>
          <w:color w:val="auto"/>
          <w:lang w:val="en-CA"/>
        </w:rPr>
        <w:t>stab_fin</w:t>
      </w:r>
      <w:proofErr w:type="spellEnd"/>
      <w:r w:rsidRPr="006F4C9E">
        <w:rPr>
          <w:color w:val="auto"/>
          <w:lang w:val="en-CA"/>
        </w:rPr>
        <w:t xml:space="preserve"> and index have a positive and significant influence on the price stability of SSA countries.  </w:t>
      </w:r>
    </w:p>
    <w:p w14:paraId="638C716A" w14:textId="77777777" w:rsidR="007563B7" w:rsidRPr="006F4C9E" w:rsidRDefault="007563B7" w:rsidP="007563B7">
      <w:pPr>
        <w:spacing w:after="0"/>
        <w:ind w:left="276" w:firstLine="708"/>
        <w:rPr>
          <w:color w:val="auto"/>
          <w:lang w:val="en-CA"/>
        </w:rPr>
      </w:pPr>
      <w:r w:rsidRPr="006F4C9E">
        <w:rPr>
          <w:color w:val="auto"/>
          <w:lang w:val="en-CA"/>
        </w:rPr>
        <w:t xml:space="preserve">There is a negative and significant link between price stability and the money supply. Government spending has a negative and insignificant impact on the inflation rate. Investment has a negative and significant effect on the inflation rate. A decrease in the share of investment by one unit leads to a decrease in the latter by (-0.0131) times this unit. The interest rate has a negative influence on inflation, which is in line with our expectations. Indeed, an increase of the interest rate by one unit leads to a decrease of the inflation rate. This significant result confirms the economic theory. A 1% increase in the growth rate increases the inflation rate by 0.3%, so it can be said that the growth rate is not a real source of inflation in SSA countries (Husain et al., 2005). The external openness variable also has a positive and significant effect. Indeed, any unit increase in external openness leads to an increase in the inflation rate. Following the increase in trade openness resulting from trade liberalisation, authors such as Edwards, (2006) and Klein and </w:t>
      </w:r>
      <w:r w:rsidRPr="006F4C9E">
        <w:rPr>
          <w:color w:val="auto"/>
          <w:lang w:val="en-CA"/>
        </w:rPr>
        <w:lastRenderedPageBreak/>
        <w:t xml:space="preserve">Shambaugh, (2010) say that this is likely to depreciate the equilibrium real exchange rate. This explains that the source of inflation in SSA countries is external, this has been confirmed by financial stability which also has a positive and significant effect. Finally, the variable </w:t>
      </w:r>
      <w:proofErr w:type="spellStart"/>
      <w:r w:rsidRPr="006F4C9E">
        <w:rPr>
          <w:color w:val="auto"/>
          <w:lang w:val="en-CA"/>
        </w:rPr>
        <w:t>crois_pop</w:t>
      </w:r>
      <w:proofErr w:type="spellEnd"/>
      <w:r w:rsidRPr="006F4C9E">
        <w:rPr>
          <w:color w:val="auto"/>
          <w:lang w:val="en-CA"/>
        </w:rPr>
        <w:t xml:space="preserve"> also has a negative and significant effect on the inflation rate. In addition, external reserves have a negative and significant effect on the inflation rate, which proves that there are reserves that allow the Central Banks of SSA countries to guarantee the external stability of their currencies. Thus, the empirical results of the first part are robust, as the signs of the coefficients are statistically significant at the 1% level for all models. </w:t>
      </w:r>
    </w:p>
    <w:p w14:paraId="1DE7EBD1" w14:textId="77777777" w:rsidR="006F4C9E" w:rsidRDefault="007563B7" w:rsidP="006F4C9E">
      <w:pPr>
        <w:spacing w:after="0"/>
        <w:ind w:left="276" w:firstLine="708"/>
        <w:rPr>
          <w:color w:val="auto"/>
          <w:lang w:val="en-CA"/>
        </w:rPr>
      </w:pPr>
      <w:r w:rsidRPr="006F4C9E">
        <w:rPr>
          <w:color w:val="auto"/>
          <w:lang w:val="en-CA"/>
        </w:rPr>
        <w:t xml:space="preserve">The results of the second model confirm the initial intuition by realizing the interaction between the three categories of exchange rate regimes and the composite index of institutions. The propositions in which the three exchange rate regimes and index impact price stability are given by the different estimated values of the coefficient. That is, (0.0032) and (0.0021) respectively for the fixed and flexible exchange rate regimes for the reduction of price volatility induced by the quality of the level of institutions on the one hand and (-0.0016) for the worsening of the general </w:t>
      </w:r>
      <w:r w:rsidR="006F4C9E">
        <w:rPr>
          <w:color w:val="auto"/>
          <w:lang w:val="en-CA"/>
        </w:rPr>
        <w:t xml:space="preserve">price level on the other hand. </w:t>
      </w:r>
    </w:p>
    <w:p w14:paraId="654E7183" w14:textId="77777777" w:rsidR="006F4C9E" w:rsidRDefault="007563B7" w:rsidP="006F4C9E">
      <w:pPr>
        <w:spacing w:after="0"/>
        <w:ind w:left="276" w:firstLine="708"/>
        <w:rPr>
          <w:color w:val="auto"/>
          <w:lang w:val="en-CA"/>
        </w:rPr>
      </w:pPr>
      <w:r w:rsidRPr="006F4C9E">
        <w:rPr>
          <w:color w:val="auto"/>
          <w:lang w:val="en-CA"/>
        </w:rPr>
        <w:t xml:space="preserve">These results are consistent with our expectations for the interaction with both regimes (fixed and flexible) and corroborate with institutional theory (Acemoglu et al, (2009, 2014); </w:t>
      </w:r>
      <w:proofErr w:type="spellStart"/>
      <w:r w:rsidRPr="006F4C9E">
        <w:rPr>
          <w:color w:val="auto"/>
          <w:lang w:val="en-CA"/>
        </w:rPr>
        <w:t>Satyanath</w:t>
      </w:r>
      <w:proofErr w:type="spellEnd"/>
      <w:r w:rsidRPr="006F4C9E">
        <w:rPr>
          <w:color w:val="auto"/>
          <w:lang w:val="en-CA"/>
        </w:rPr>
        <w:t xml:space="preserve"> and Subramanian (2007); </w:t>
      </w:r>
      <w:proofErr w:type="spellStart"/>
      <w:r w:rsidRPr="006F4C9E">
        <w:rPr>
          <w:color w:val="auto"/>
          <w:lang w:val="en-CA"/>
        </w:rPr>
        <w:t>Kuipou</w:t>
      </w:r>
      <w:proofErr w:type="spellEnd"/>
      <w:r w:rsidRPr="006F4C9E">
        <w:rPr>
          <w:color w:val="auto"/>
          <w:lang w:val="en-CA"/>
        </w:rPr>
        <w:t xml:space="preserve"> et al (2015)). The fixed exchange rate regime dummy variable has a negative and significantly robust effect, as it would limit the opportunities of policy makers for macroeconomic manipulations for electoral purposes and corroborates with the results of </w:t>
      </w:r>
      <w:proofErr w:type="spellStart"/>
      <w:r w:rsidRPr="006F4C9E">
        <w:rPr>
          <w:color w:val="auto"/>
          <w:lang w:val="en-CA"/>
        </w:rPr>
        <w:t>Mijiyawa</w:t>
      </w:r>
      <w:proofErr w:type="spellEnd"/>
      <w:r w:rsidRPr="006F4C9E">
        <w:rPr>
          <w:color w:val="auto"/>
          <w:lang w:val="en-CA"/>
        </w:rPr>
        <w:t xml:space="preserve"> (2010) for the relationship between democratic institutions and inflation. Indeed, in an environment characterised by the existence of "good" institutions, private investors can trust each other and cooperate with each other more easily, which would improve the efficiency of their investments, future investment opportunities and, consequently, the stabilisation of the economy. This cooperation can, for example, take the form of trade credits between private investors not residing in the same localities (countries) and not necessarily in the same monetary union. It is not certain that such cooperation can exist in an environment characterised by the existence of low quality institutions, an environment where mistrust, informational asymmetry, resulting in commercial relations based on geographical proximity or kin</w:t>
      </w:r>
      <w:r w:rsidR="006F4C9E">
        <w:rPr>
          <w:color w:val="auto"/>
          <w:lang w:val="en-CA"/>
        </w:rPr>
        <w:t xml:space="preserve">ship relations prevail (North, </w:t>
      </w:r>
      <w:r w:rsidRPr="006F4C9E">
        <w:rPr>
          <w:color w:val="auto"/>
          <w:lang w:val="en-CA"/>
        </w:rPr>
        <w:t>1991</w:t>
      </w:r>
      <w:proofErr w:type="gramStart"/>
      <w:r w:rsidRPr="006F4C9E">
        <w:rPr>
          <w:color w:val="auto"/>
          <w:lang w:val="en-CA"/>
        </w:rPr>
        <w:t>).</w:t>
      </w:r>
      <w:r w:rsidR="006F4C9E">
        <w:rPr>
          <w:color w:val="auto"/>
          <w:lang w:val="en-CA"/>
        </w:rPr>
        <w:t>.</w:t>
      </w:r>
      <w:proofErr w:type="gramEnd"/>
      <w:r w:rsidR="006F4C9E">
        <w:rPr>
          <w:color w:val="auto"/>
          <w:lang w:val="en-CA"/>
        </w:rPr>
        <w:t xml:space="preserve"> </w:t>
      </w:r>
    </w:p>
    <w:p w14:paraId="0D659E76" w14:textId="77777777" w:rsidR="006F4C9E" w:rsidRDefault="007563B7" w:rsidP="006F4C9E">
      <w:pPr>
        <w:spacing w:after="0"/>
        <w:ind w:firstLine="0"/>
        <w:rPr>
          <w:color w:val="auto"/>
          <w:lang w:val="en-CA"/>
        </w:rPr>
      </w:pPr>
      <w:r w:rsidRPr="006F4C9E">
        <w:rPr>
          <w:color w:val="auto"/>
          <w:lang w:val="en-CA"/>
        </w:rPr>
        <w:t xml:space="preserve">For countries with fixed exchange rate regimes, our results are not in line with Friedman's (1953) theory of the exchange rate regime. According to him, the fixed exchange rate system is a generator of speculative crisis and instability. The same argument could also be made by </w:t>
      </w:r>
      <w:proofErr w:type="spellStart"/>
      <w:r w:rsidRPr="006F4C9E">
        <w:rPr>
          <w:color w:val="auto"/>
          <w:lang w:val="en-CA"/>
        </w:rPr>
        <w:t>Bénétrix</w:t>
      </w:r>
      <w:proofErr w:type="spellEnd"/>
      <w:r w:rsidRPr="006F4C9E">
        <w:rPr>
          <w:color w:val="auto"/>
          <w:lang w:val="en-CA"/>
        </w:rPr>
        <w:t xml:space="preserve"> and Lane (2013); Bobbo, Amadou. (2016), who rather succeeded in highlighting the existence of a correlation between exchange rate regimes and fiscal discipline respectively of the European Union member countries, African countries and Latin America just within the framework of a common currency area. </w:t>
      </w:r>
    </w:p>
    <w:p w14:paraId="0E7CCF9D" w14:textId="77777777" w:rsidR="006F4C9E" w:rsidRDefault="007563B7" w:rsidP="006F4C9E">
      <w:pPr>
        <w:spacing w:after="0"/>
        <w:ind w:firstLine="0"/>
        <w:rPr>
          <w:color w:val="auto"/>
          <w:lang w:val="en-CA"/>
        </w:rPr>
      </w:pPr>
      <w:r w:rsidRPr="006F4C9E">
        <w:rPr>
          <w:color w:val="auto"/>
          <w:lang w:val="en-CA"/>
        </w:rPr>
        <w:t>Based on our results, we can say that high and volatile inflation is detrimental to economic performance while low and stable inflation improves economic efficiency and performance by reducing the "</w:t>
      </w:r>
      <w:r w:rsidRPr="006F4C9E">
        <w:rPr>
          <w:i/>
          <w:color w:val="auto"/>
          <w:lang w:val="en-CA"/>
        </w:rPr>
        <w:t>deadweight</w:t>
      </w:r>
      <w:r w:rsidRPr="006F4C9E">
        <w:rPr>
          <w:color w:val="auto"/>
          <w:lang w:val="en-CA"/>
        </w:rPr>
        <w:t>"</w:t>
      </w:r>
      <w:r w:rsidRPr="006F4C9E">
        <w:rPr>
          <w:i/>
          <w:color w:val="auto"/>
          <w:lang w:val="en-CA"/>
        </w:rPr>
        <w:t xml:space="preserve"> of </w:t>
      </w:r>
      <w:r w:rsidRPr="006F4C9E">
        <w:rPr>
          <w:color w:val="auto"/>
          <w:lang w:val="en-CA"/>
        </w:rPr>
        <w:t>welfare and establishing a more stable macroeconomic environment that reduces the oscillation cycles of aggregate demand (</w:t>
      </w:r>
      <w:proofErr w:type="spellStart"/>
      <w:r w:rsidRPr="006F4C9E">
        <w:rPr>
          <w:color w:val="auto"/>
          <w:lang w:val="en-CA"/>
        </w:rPr>
        <w:t>Aizenman</w:t>
      </w:r>
      <w:proofErr w:type="spellEnd"/>
      <w:r w:rsidRPr="006F4C9E">
        <w:rPr>
          <w:color w:val="auto"/>
          <w:lang w:val="en-CA"/>
        </w:rPr>
        <w:t xml:space="preserve"> and Flood, 1992; Andrew and Rose, 2011; </w:t>
      </w:r>
      <w:proofErr w:type="spellStart"/>
      <w:r w:rsidRPr="006F4C9E">
        <w:rPr>
          <w:color w:val="auto"/>
          <w:lang w:val="en-CA"/>
        </w:rPr>
        <w:t>Lohi</w:t>
      </w:r>
      <w:proofErr w:type="spellEnd"/>
      <w:r w:rsidRPr="006F4C9E">
        <w:rPr>
          <w:color w:val="auto"/>
          <w:lang w:val="en-CA"/>
        </w:rPr>
        <w:t xml:space="preserve">, 2014). This suggests again, that the policy variables we analyse are potentially good channels for transmitting the effect of exchange rate regimes via institutions on monetary stability. Such a result is consistent with Husain et al, (2005) and </w:t>
      </w:r>
      <w:proofErr w:type="spellStart"/>
      <w:r w:rsidRPr="006F4C9E">
        <w:rPr>
          <w:color w:val="auto"/>
          <w:lang w:val="en-CA"/>
        </w:rPr>
        <w:t>Allegret</w:t>
      </w:r>
      <w:proofErr w:type="spellEnd"/>
      <w:r w:rsidRPr="006F4C9E">
        <w:rPr>
          <w:color w:val="auto"/>
          <w:lang w:val="en-CA"/>
        </w:rPr>
        <w:t xml:space="preserve">, et al, (2011), who highlight the persistence of inflation in a group of DCs. It also appears that the macroeconomic variables still have the expected signs regardless of the specification considered. Thus, our results confirm and corroborate with Sall, </w:t>
      </w:r>
      <w:proofErr w:type="spellStart"/>
      <w:r w:rsidRPr="006F4C9E">
        <w:rPr>
          <w:color w:val="auto"/>
          <w:lang w:val="en-CA"/>
        </w:rPr>
        <w:t>Khadry</w:t>
      </w:r>
      <w:proofErr w:type="spellEnd"/>
      <w:r w:rsidRPr="006F4C9E">
        <w:rPr>
          <w:color w:val="auto"/>
          <w:lang w:val="en-CA"/>
        </w:rPr>
        <w:t xml:space="preserve"> (2017), who show that the fixed exchange rate regime is better than the flexible and intermediate exchange rate regimes at keeping inflation rates low and stable through a discipline </w:t>
      </w:r>
      <w:proofErr w:type="spellStart"/>
      <w:r w:rsidRPr="006F4C9E">
        <w:rPr>
          <w:color w:val="auto"/>
          <w:lang w:val="en-CA"/>
        </w:rPr>
        <w:t>effet</w:t>
      </w:r>
      <w:proofErr w:type="spellEnd"/>
      <w:r w:rsidRPr="006F4C9E">
        <w:rPr>
          <w:color w:val="auto"/>
          <w:lang w:val="en-CA"/>
        </w:rPr>
        <w:t xml:space="preserve"> rather than a credibility </w:t>
      </w:r>
      <w:proofErr w:type="spellStart"/>
      <w:r w:rsidRPr="006F4C9E">
        <w:rPr>
          <w:color w:val="auto"/>
          <w:lang w:val="en-CA"/>
        </w:rPr>
        <w:t>effet</w:t>
      </w:r>
      <w:proofErr w:type="spellEnd"/>
      <w:r w:rsidRPr="006F4C9E">
        <w:rPr>
          <w:color w:val="auto"/>
          <w:lang w:val="en-CA"/>
        </w:rPr>
        <w:t xml:space="preserve">. </w:t>
      </w:r>
    </w:p>
    <w:p w14:paraId="65357D18" w14:textId="77777777" w:rsidR="00FD57E1" w:rsidRDefault="00FD57E1" w:rsidP="006F4C9E">
      <w:pPr>
        <w:spacing w:after="0"/>
        <w:ind w:firstLine="0"/>
        <w:rPr>
          <w:color w:val="auto"/>
          <w:lang w:val="en-CA"/>
        </w:rPr>
      </w:pPr>
    </w:p>
    <w:p w14:paraId="500CF15C" w14:textId="77777777" w:rsidR="00FD57E1" w:rsidRDefault="00FD57E1" w:rsidP="006F4C9E">
      <w:pPr>
        <w:spacing w:after="0"/>
        <w:ind w:firstLine="0"/>
        <w:rPr>
          <w:color w:val="auto"/>
          <w:lang w:val="en-CA"/>
        </w:rPr>
      </w:pPr>
    </w:p>
    <w:p w14:paraId="1B9448FD" w14:textId="77777777" w:rsidR="006F4C9E" w:rsidRDefault="007563B7" w:rsidP="006F4C9E">
      <w:pPr>
        <w:spacing w:after="0"/>
        <w:ind w:firstLine="0"/>
        <w:rPr>
          <w:color w:val="auto"/>
          <w:lang w:val="en-CA"/>
        </w:rPr>
      </w:pPr>
      <w:r w:rsidRPr="006F4C9E">
        <w:rPr>
          <w:b/>
          <w:color w:val="auto"/>
          <w:lang w:val="en-CA"/>
        </w:rPr>
        <w:t>4.</w:t>
      </w:r>
      <w:r w:rsidRPr="006F4C9E">
        <w:rPr>
          <w:rFonts w:ascii="Arial" w:eastAsia="Arial" w:hAnsi="Arial" w:cs="Arial"/>
          <w:b/>
          <w:color w:val="auto"/>
          <w:lang w:val="en-CA"/>
        </w:rPr>
        <w:t xml:space="preserve"> </w:t>
      </w:r>
      <w:r w:rsidRPr="006F4C9E">
        <w:rPr>
          <w:b/>
          <w:color w:val="auto"/>
          <w:lang w:val="en-CA"/>
        </w:rPr>
        <w:t xml:space="preserve">Conclusion and recommendations </w:t>
      </w:r>
    </w:p>
    <w:p w14:paraId="22C0E156" w14:textId="77777777" w:rsidR="006F4C9E" w:rsidRDefault="007563B7" w:rsidP="006F4C9E">
      <w:pPr>
        <w:spacing w:after="0"/>
        <w:ind w:firstLine="0"/>
        <w:rPr>
          <w:color w:val="auto"/>
          <w:lang w:val="en-CA"/>
        </w:rPr>
      </w:pPr>
      <w:r w:rsidRPr="006F4C9E">
        <w:rPr>
          <w:color w:val="auto"/>
          <w:lang w:val="en-CA"/>
        </w:rPr>
        <w:t xml:space="preserve">The objective of this paper was to analyse the effect of exchange rate regimes on price stability in SSA countries while analysing the role of institutions. To do so, we used the method of generalized moments in system (GMM-system) developed by Blundell and Bond (1998) and applied to 35 SSA countries over the period 1987 to 2017. Overall, using the de facto classification of </w:t>
      </w:r>
      <w:proofErr w:type="spellStart"/>
      <w:r w:rsidRPr="006F4C9E">
        <w:rPr>
          <w:color w:val="auto"/>
          <w:lang w:val="en-CA"/>
        </w:rPr>
        <w:t>Ilzetzki</w:t>
      </w:r>
      <w:proofErr w:type="spellEnd"/>
      <w:r w:rsidRPr="006F4C9E">
        <w:rPr>
          <w:color w:val="auto"/>
          <w:lang w:val="en-CA"/>
        </w:rPr>
        <w:t xml:space="preserve">, et al, (2019), under the direct effect on the one hand, membership of fixed exchange rate regimes strengthens and improves the implementation of economic stabilisation policies, flexible and intermediate exchange rate regimes rather disadvantage this policy. On the other hand, depending on the different combinations of exchange rate regimes (fixed, flexible and intermediate respectively) with the composite index of institutions used, the fixed and flexible exchange rate regimes reduce price volatility, while the intermediate exchange rate regime increases it. We obtain a positive and significant effect of the composite index of institutions on inflation, which disappears after the introduction of the interaction variables. We also obtain significant and expected effects of the different macroeconomic variables on price stability. </w:t>
      </w:r>
    </w:p>
    <w:p w14:paraId="5C916866" w14:textId="77777777" w:rsidR="00B62F44" w:rsidRPr="006F4C9E" w:rsidRDefault="007563B7" w:rsidP="006F4C9E">
      <w:pPr>
        <w:spacing w:after="0"/>
        <w:ind w:firstLine="0"/>
        <w:rPr>
          <w:color w:val="auto"/>
          <w:lang w:val="en-CA"/>
        </w:rPr>
      </w:pPr>
      <w:r w:rsidRPr="006F4C9E">
        <w:rPr>
          <w:color w:val="auto"/>
          <w:lang w:val="en-CA"/>
        </w:rPr>
        <w:t xml:space="preserve">Thus, the policy implication of our results is not a challenge to the composite index of institutions in SSA countries, as no one can deny the values of exchange rate policy and the quality of institutions in running a country. However, this paper adds to this literature by highlighting another determinant of price stability: a country's membership in a given exchange rate regime and its interaction with the composite institution index. Ultimately, our results point to the need to find specific solutions to the various challenges that country membership in a given exchange rate regime and institutions may pose to monetary stability in </w:t>
      </w:r>
      <w:r w:rsidR="00920E05" w:rsidRPr="006F4C9E">
        <w:rPr>
          <w:color w:val="auto"/>
          <w:lang w:val="en-CA"/>
        </w:rPr>
        <w:t xml:space="preserve">Sub-Saharan African countries. </w:t>
      </w:r>
    </w:p>
    <w:p w14:paraId="515EE7D2" w14:textId="77777777" w:rsidR="00971A0D" w:rsidRPr="006F4C9E" w:rsidRDefault="00971A0D" w:rsidP="00971A0D">
      <w:pPr>
        <w:spacing w:after="0"/>
        <w:ind w:right="261" w:firstLine="708"/>
        <w:rPr>
          <w:color w:val="auto"/>
          <w:lang w:val="en-CA"/>
        </w:rPr>
      </w:pPr>
    </w:p>
    <w:p w14:paraId="40F04A2A" w14:textId="28C58BEF" w:rsidR="007563B7" w:rsidRPr="006F4C9E" w:rsidRDefault="007563B7" w:rsidP="007563B7">
      <w:pPr>
        <w:spacing w:after="0" w:line="246" w:lineRule="auto"/>
        <w:ind w:left="802" w:right="-15" w:hanging="10"/>
        <w:rPr>
          <w:color w:val="auto"/>
          <w:lang w:val="en-CA"/>
        </w:rPr>
      </w:pPr>
      <w:r w:rsidRPr="006F4C9E">
        <w:rPr>
          <w:b/>
          <w:color w:val="auto"/>
          <w:lang w:val="en-CA"/>
        </w:rPr>
        <w:t xml:space="preserve">REFERENCES  </w:t>
      </w:r>
    </w:p>
    <w:p w14:paraId="5D5A1628"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 xml:space="preserve">Abdelkarim Y. and Atef R. (2009), </w:t>
      </w:r>
      <w:r w:rsidRPr="00574F0F">
        <w:rPr>
          <w:color w:val="auto"/>
          <w:lang w:val="en-CA"/>
        </w:rPr>
        <w:t xml:space="preserve">"Financial Development and Economic Growth: The Role of Institutional Quality", </w:t>
      </w:r>
      <w:proofErr w:type="spellStart"/>
      <w:r w:rsidRPr="00574F0F">
        <w:rPr>
          <w:color w:val="auto"/>
          <w:lang w:val="en-CA"/>
        </w:rPr>
        <w:t>Panoeconomicus</w:t>
      </w:r>
      <w:proofErr w:type="spellEnd"/>
      <w:r w:rsidRPr="00574F0F">
        <w:rPr>
          <w:color w:val="auto"/>
          <w:lang w:val="en-CA"/>
        </w:rPr>
        <w:t xml:space="preserve">, 2009, 3, pp. 327-357. </w:t>
      </w:r>
    </w:p>
    <w:p w14:paraId="6410E1C2"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 xml:space="preserve">Acemoglu, D., Johnson S., Robinson J. and Yared P. (2009), </w:t>
      </w:r>
      <w:r w:rsidRPr="00574F0F">
        <w:rPr>
          <w:color w:val="auto"/>
          <w:lang w:val="en-CA"/>
        </w:rPr>
        <w:t xml:space="preserve">"Reevaluating the Modernization Hypothesis", Journal of Monetary Economics, Vol. 56, N°8 pp.1043-1058.   </w:t>
      </w:r>
    </w:p>
    <w:p w14:paraId="76B1B886"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 xml:space="preserve">Acemoglu, D., Johnson S., Robinson J. and Yared P. (2008), </w:t>
      </w:r>
      <w:r w:rsidRPr="00574F0F">
        <w:rPr>
          <w:color w:val="auto"/>
          <w:lang w:val="en-CA"/>
        </w:rPr>
        <w:t xml:space="preserve">"Income and Democracy". American Economic Review, Vol.98, N°3, pp. 808-842.   </w:t>
      </w:r>
    </w:p>
    <w:p w14:paraId="1B00DFD9" w14:textId="77777777" w:rsidR="007563B7" w:rsidRPr="00574F0F" w:rsidRDefault="007563B7" w:rsidP="00574F0F">
      <w:pPr>
        <w:pStyle w:val="ListParagraph"/>
        <w:numPr>
          <w:ilvl w:val="0"/>
          <w:numId w:val="4"/>
        </w:numPr>
        <w:spacing w:after="0"/>
        <w:ind w:right="262"/>
        <w:rPr>
          <w:color w:val="auto"/>
          <w:lang w:val="en-CA"/>
        </w:rPr>
      </w:pPr>
      <w:r w:rsidRPr="00574F0F">
        <w:rPr>
          <w:b/>
          <w:color w:val="auto"/>
          <w:lang w:val="en-CA"/>
        </w:rPr>
        <w:t xml:space="preserve">Acemoglu, D., Johnson, S., Robinson, J. and </w:t>
      </w:r>
      <w:proofErr w:type="spellStart"/>
      <w:r w:rsidRPr="00574F0F">
        <w:rPr>
          <w:b/>
          <w:color w:val="auto"/>
          <w:lang w:val="en-CA"/>
        </w:rPr>
        <w:t>Thaicharoen</w:t>
      </w:r>
      <w:proofErr w:type="spellEnd"/>
      <w:r w:rsidRPr="00574F0F">
        <w:rPr>
          <w:b/>
          <w:color w:val="auto"/>
          <w:lang w:val="en-CA"/>
        </w:rPr>
        <w:t xml:space="preserve">, Y. (2004), </w:t>
      </w:r>
      <w:r w:rsidRPr="00574F0F">
        <w:rPr>
          <w:color w:val="auto"/>
          <w:lang w:val="en-CA"/>
        </w:rPr>
        <w:t xml:space="preserve">"Institutional Causes, Macroeconomic Symptoms: Volatility, Crises and Growth", Journal of Monetary Economics, Vol. 50, N°1, pp. 49-123. </w:t>
      </w:r>
    </w:p>
    <w:p w14:paraId="0B98425B"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 xml:space="preserve">Aisen, A., and Veiga, F. J. (2006) </w:t>
      </w:r>
      <w:r w:rsidRPr="00574F0F">
        <w:rPr>
          <w:color w:val="auto"/>
          <w:lang w:val="en-CA"/>
        </w:rPr>
        <w:t xml:space="preserve">"Does Political Instability lead to Higher Inflation? A Panel Data Analysis." Journal of Money, Credit and Banking 38 (5): 1379-89. </w:t>
      </w:r>
    </w:p>
    <w:p w14:paraId="6B364B36" w14:textId="77777777" w:rsidR="007563B7" w:rsidRPr="00574F0F" w:rsidRDefault="007563B7" w:rsidP="00574F0F">
      <w:pPr>
        <w:pStyle w:val="ListParagraph"/>
        <w:numPr>
          <w:ilvl w:val="0"/>
          <w:numId w:val="4"/>
        </w:numPr>
        <w:spacing w:after="0"/>
        <w:rPr>
          <w:color w:val="auto"/>
          <w:lang w:val="en-CA"/>
        </w:rPr>
      </w:pPr>
      <w:proofErr w:type="spellStart"/>
      <w:r w:rsidRPr="00574F0F">
        <w:rPr>
          <w:b/>
          <w:color w:val="auto"/>
          <w:lang w:val="en-CA"/>
        </w:rPr>
        <w:t>Aizenman</w:t>
      </w:r>
      <w:proofErr w:type="spellEnd"/>
      <w:r w:rsidRPr="00574F0F">
        <w:rPr>
          <w:b/>
          <w:color w:val="auto"/>
          <w:lang w:val="en-CA"/>
        </w:rPr>
        <w:t>, J., &amp; Haussman, R. (2000), "</w:t>
      </w:r>
      <w:r w:rsidRPr="00574F0F">
        <w:rPr>
          <w:color w:val="auto"/>
          <w:lang w:val="en-CA"/>
        </w:rPr>
        <w:t xml:space="preserve">Exchange Rate Regime and Financial-Market Imperfections". NBER Working Paper (7738).  </w:t>
      </w:r>
    </w:p>
    <w:p w14:paraId="1CF052A0" w14:textId="77777777" w:rsidR="007563B7" w:rsidRPr="00574F0F" w:rsidRDefault="007563B7" w:rsidP="00574F0F">
      <w:pPr>
        <w:pStyle w:val="ListParagraph"/>
        <w:numPr>
          <w:ilvl w:val="0"/>
          <w:numId w:val="4"/>
        </w:numPr>
        <w:spacing w:after="0"/>
        <w:rPr>
          <w:color w:val="auto"/>
          <w:lang w:val="en-CA"/>
        </w:rPr>
      </w:pPr>
      <w:proofErr w:type="spellStart"/>
      <w:r w:rsidRPr="00574F0F">
        <w:rPr>
          <w:b/>
          <w:color w:val="auto"/>
          <w:lang w:val="en-CA"/>
        </w:rPr>
        <w:t>Aizenman</w:t>
      </w:r>
      <w:proofErr w:type="spellEnd"/>
      <w:r w:rsidRPr="00574F0F">
        <w:rPr>
          <w:b/>
          <w:color w:val="auto"/>
          <w:lang w:val="en-CA"/>
        </w:rPr>
        <w:t xml:space="preserve"> J. &amp; Flood R. P. (1992), "</w:t>
      </w:r>
      <w:r w:rsidRPr="00574F0F">
        <w:rPr>
          <w:color w:val="auto"/>
          <w:lang w:val="en-CA"/>
        </w:rPr>
        <w:t xml:space="preserve">A theory of optimal currency areas: revisited", International Monetary Fund Working Paper No. 92: 39.  </w:t>
      </w:r>
    </w:p>
    <w:p w14:paraId="4A9E8F47" w14:textId="77777777" w:rsidR="007563B7" w:rsidRPr="00574F0F" w:rsidRDefault="007563B7" w:rsidP="00574F0F">
      <w:pPr>
        <w:pStyle w:val="ListParagraph"/>
        <w:numPr>
          <w:ilvl w:val="0"/>
          <w:numId w:val="4"/>
        </w:numPr>
        <w:spacing w:after="0"/>
        <w:rPr>
          <w:color w:val="auto"/>
          <w:lang w:val="en-CA"/>
        </w:rPr>
      </w:pPr>
      <w:proofErr w:type="spellStart"/>
      <w:r w:rsidRPr="00574F0F">
        <w:rPr>
          <w:b/>
          <w:color w:val="auto"/>
          <w:lang w:val="en-CA"/>
        </w:rPr>
        <w:t>Alesina</w:t>
      </w:r>
      <w:proofErr w:type="spellEnd"/>
      <w:r w:rsidRPr="00574F0F">
        <w:rPr>
          <w:b/>
          <w:color w:val="auto"/>
          <w:lang w:val="en-CA"/>
        </w:rPr>
        <w:t xml:space="preserve">, A. and Perotti R. (1996), </w:t>
      </w:r>
      <w:r w:rsidRPr="00574F0F">
        <w:rPr>
          <w:color w:val="auto"/>
          <w:lang w:val="en-CA"/>
        </w:rPr>
        <w:t xml:space="preserve">"Income Distribution, Political Instability, and Investment". </w:t>
      </w:r>
      <w:r w:rsidRPr="00574F0F">
        <w:rPr>
          <w:i/>
          <w:color w:val="auto"/>
          <w:lang w:val="en-CA"/>
        </w:rPr>
        <w:t xml:space="preserve">European Economic Review </w:t>
      </w:r>
      <w:r w:rsidRPr="00574F0F">
        <w:rPr>
          <w:color w:val="auto"/>
          <w:lang w:val="en-CA"/>
        </w:rPr>
        <w:t xml:space="preserve">40 (6): 1203-28. </w:t>
      </w:r>
      <w:r w:rsidRPr="00574F0F">
        <w:rPr>
          <w:i/>
          <w:color w:val="auto"/>
          <w:lang w:val="en-CA"/>
        </w:rPr>
        <w:t>Of Minnesota</w:t>
      </w:r>
      <w:r w:rsidRPr="00574F0F">
        <w:rPr>
          <w:color w:val="auto"/>
          <w:lang w:val="en-CA"/>
        </w:rPr>
        <w:t xml:space="preserve">. </w:t>
      </w:r>
    </w:p>
    <w:p w14:paraId="3FEB77C0" w14:textId="77777777" w:rsidR="007563B7" w:rsidRPr="00574F0F" w:rsidRDefault="007563B7" w:rsidP="00574F0F">
      <w:pPr>
        <w:pStyle w:val="ListParagraph"/>
        <w:numPr>
          <w:ilvl w:val="0"/>
          <w:numId w:val="4"/>
        </w:numPr>
        <w:spacing w:after="0"/>
        <w:rPr>
          <w:color w:val="auto"/>
          <w:lang w:val="en-CA"/>
        </w:rPr>
      </w:pPr>
      <w:proofErr w:type="spellStart"/>
      <w:r w:rsidRPr="00574F0F">
        <w:rPr>
          <w:b/>
          <w:color w:val="auto"/>
          <w:lang w:val="en-CA"/>
        </w:rPr>
        <w:t>Alesina</w:t>
      </w:r>
      <w:proofErr w:type="spellEnd"/>
      <w:r w:rsidRPr="00574F0F">
        <w:rPr>
          <w:b/>
          <w:color w:val="auto"/>
          <w:lang w:val="en-CA"/>
        </w:rPr>
        <w:t xml:space="preserve"> A, Drazen A. (1991), </w:t>
      </w:r>
      <w:r w:rsidRPr="00574F0F">
        <w:rPr>
          <w:color w:val="auto"/>
          <w:lang w:val="en-CA"/>
        </w:rPr>
        <w:t xml:space="preserve">"Why are stabilizations delayed". American Economic Review 81(5): 1170-1188. Atlas </w:t>
      </w:r>
      <w:proofErr w:type="spellStart"/>
      <w:r w:rsidRPr="00574F0F">
        <w:rPr>
          <w:color w:val="auto"/>
          <w:lang w:val="en-CA"/>
        </w:rPr>
        <w:t>Universel</w:t>
      </w:r>
      <w:proofErr w:type="spellEnd"/>
      <w:r w:rsidRPr="00574F0F">
        <w:rPr>
          <w:color w:val="auto"/>
          <w:lang w:val="en-CA"/>
        </w:rPr>
        <w:t xml:space="preserve"> Larousse. 2003. Diffusion by Vivendi Universal Games. </w:t>
      </w:r>
    </w:p>
    <w:p w14:paraId="475DDC3D" w14:textId="77777777" w:rsidR="007563B7" w:rsidRPr="00574F0F" w:rsidRDefault="007563B7" w:rsidP="00574F0F">
      <w:pPr>
        <w:pStyle w:val="ListParagraph"/>
        <w:numPr>
          <w:ilvl w:val="0"/>
          <w:numId w:val="4"/>
        </w:numPr>
        <w:spacing w:after="0"/>
        <w:ind w:right="260"/>
        <w:rPr>
          <w:color w:val="auto"/>
          <w:lang w:val="en-CA"/>
        </w:rPr>
      </w:pPr>
      <w:proofErr w:type="spellStart"/>
      <w:r w:rsidRPr="00574F0F">
        <w:rPr>
          <w:b/>
          <w:color w:val="auto"/>
          <w:lang w:val="en-CA"/>
        </w:rPr>
        <w:t>Allegret</w:t>
      </w:r>
      <w:proofErr w:type="spellEnd"/>
      <w:r w:rsidRPr="00574F0F">
        <w:rPr>
          <w:b/>
          <w:color w:val="auto"/>
          <w:lang w:val="en-CA"/>
        </w:rPr>
        <w:t xml:space="preserve">, J-P., et al, (2011), </w:t>
      </w:r>
      <w:r w:rsidRPr="00574F0F">
        <w:rPr>
          <w:color w:val="auto"/>
          <w:lang w:val="en-CA"/>
        </w:rPr>
        <w:t xml:space="preserve">"Can the choice of an exchange rate regime in emerging and developing countries be optimal apart from bipolar solutions?  ", Economic Review /2 (Vol. 62), pp. 133-162.DOI 10.3917/reco.622.0133 </w:t>
      </w:r>
    </w:p>
    <w:p w14:paraId="76D6E1AE"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lastRenderedPageBreak/>
        <w:t xml:space="preserve">Andrew and Rose. (2011), </w:t>
      </w:r>
      <w:r w:rsidRPr="00574F0F">
        <w:rPr>
          <w:color w:val="auto"/>
          <w:lang w:val="en-CA"/>
        </w:rPr>
        <w:t xml:space="preserve">"Exchange rate regimes in the modern fixed, floating and floccular era", Journal of Economic Literature, 49(3), pp. 652-672. </w:t>
      </w:r>
    </w:p>
    <w:p w14:paraId="2C9CC207"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 xml:space="preserve">Arellano M. and Bond S. (1991), </w:t>
      </w:r>
      <w:r w:rsidRPr="00574F0F">
        <w:rPr>
          <w:color w:val="auto"/>
          <w:lang w:val="en-CA"/>
        </w:rPr>
        <w:t xml:space="preserve">"Some tests of specification for panel data: Monte-Carlo evidence and application to employment equations", Review of economic studies, vol. 58, n°2 pp. 277-297. </w:t>
      </w:r>
    </w:p>
    <w:p w14:paraId="14CC5D17"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 xml:space="preserve">Arellano M. and Bover O. (1995), </w:t>
      </w:r>
      <w:r w:rsidRPr="00574F0F">
        <w:rPr>
          <w:color w:val="auto"/>
          <w:lang w:val="en-CA"/>
        </w:rPr>
        <w:t xml:space="preserve">"Another look at the instrumental variable estimation of </w:t>
      </w:r>
      <w:proofErr w:type="spellStart"/>
      <w:r w:rsidRPr="00574F0F">
        <w:rPr>
          <w:color w:val="auto"/>
          <w:lang w:val="en-CA"/>
        </w:rPr>
        <w:t>errorcompnents</w:t>
      </w:r>
      <w:proofErr w:type="spellEnd"/>
      <w:r w:rsidRPr="00574F0F">
        <w:rPr>
          <w:color w:val="auto"/>
          <w:lang w:val="en-CA"/>
        </w:rPr>
        <w:t xml:space="preserve"> models", Journal of </w:t>
      </w:r>
      <w:proofErr w:type="spellStart"/>
      <w:r w:rsidRPr="00574F0F">
        <w:rPr>
          <w:color w:val="auto"/>
          <w:lang w:val="en-CA"/>
        </w:rPr>
        <w:t>Economtrics</w:t>
      </w:r>
      <w:proofErr w:type="spellEnd"/>
      <w:r w:rsidRPr="00574F0F">
        <w:rPr>
          <w:color w:val="auto"/>
          <w:lang w:val="en-CA"/>
        </w:rPr>
        <w:t xml:space="preserve">, vol. 68, issue1, </w:t>
      </w:r>
      <w:proofErr w:type="spellStart"/>
      <w:r w:rsidRPr="00574F0F">
        <w:rPr>
          <w:color w:val="auto"/>
          <w:lang w:val="en-CA"/>
        </w:rPr>
        <w:t>july</w:t>
      </w:r>
      <w:proofErr w:type="spellEnd"/>
      <w:r w:rsidRPr="00574F0F">
        <w:rPr>
          <w:color w:val="auto"/>
          <w:lang w:val="en-CA"/>
        </w:rPr>
        <w:t xml:space="preserve">, pp. 29-51. </w:t>
      </w:r>
    </w:p>
    <w:p w14:paraId="7F1BE6F6" w14:textId="77777777" w:rsidR="007563B7" w:rsidRPr="00574F0F" w:rsidRDefault="007563B7" w:rsidP="00574F0F">
      <w:pPr>
        <w:pStyle w:val="ListParagraph"/>
        <w:numPr>
          <w:ilvl w:val="0"/>
          <w:numId w:val="4"/>
        </w:numPr>
        <w:spacing w:after="0" w:line="234" w:lineRule="auto"/>
        <w:rPr>
          <w:color w:val="auto"/>
          <w:lang w:val="en-CA"/>
        </w:rPr>
      </w:pPr>
      <w:proofErr w:type="spellStart"/>
      <w:r w:rsidRPr="00574F0F">
        <w:rPr>
          <w:b/>
          <w:color w:val="auto"/>
          <w:lang w:val="en-CA"/>
        </w:rPr>
        <w:t>Asongu</w:t>
      </w:r>
      <w:proofErr w:type="spellEnd"/>
      <w:r w:rsidRPr="00574F0F">
        <w:rPr>
          <w:b/>
          <w:color w:val="auto"/>
          <w:lang w:val="en-CA"/>
        </w:rPr>
        <w:t xml:space="preserve">, S. A., Folarin, O. E., &amp; </w:t>
      </w:r>
      <w:proofErr w:type="spellStart"/>
      <w:r w:rsidRPr="00574F0F">
        <w:rPr>
          <w:b/>
          <w:color w:val="auto"/>
          <w:lang w:val="en-CA"/>
        </w:rPr>
        <w:t>Biekpe</w:t>
      </w:r>
      <w:proofErr w:type="spellEnd"/>
      <w:r w:rsidRPr="00574F0F">
        <w:rPr>
          <w:b/>
          <w:color w:val="auto"/>
          <w:lang w:val="en-CA"/>
        </w:rPr>
        <w:t xml:space="preserve">, N. (2019), The </w:t>
      </w:r>
      <w:r w:rsidRPr="00574F0F">
        <w:rPr>
          <w:color w:val="auto"/>
          <w:lang w:val="en-CA"/>
        </w:rPr>
        <w:t xml:space="preserve">long run stability of money demand in the proposed West African monetary union. </w:t>
      </w:r>
      <w:r w:rsidRPr="00574F0F">
        <w:rPr>
          <w:i/>
          <w:color w:val="auto"/>
          <w:lang w:val="en-CA"/>
        </w:rPr>
        <w:t>Research in International Business and Finance</w:t>
      </w:r>
      <w:r w:rsidRPr="00574F0F">
        <w:rPr>
          <w:color w:val="auto"/>
          <w:lang w:val="en-CA"/>
        </w:rPr>
        <w:t xml:space="preserve">, </w:t>
      </w:r>
      <w:r w:rsidRPr="00574F0F">
        <w:rPr>
          <w:i/>
          <w:color w:val="auto"/>
          <w:lang w:val="en-CA"/>
        </w:rPr>
        <w:t>48</w:t>
      </w:r>
      <w:r w:rsidRPr="00574F0F">
        <w:rPr>
          <w:color w:val="auto"/>
          <w:lang w:val="en-CA"/>
        </w:rPr>
        <w:t xml:space="preserve">, 483-495. </w:t>
      </w:r>
    </w:p>
    <w:p w14:paraId="6C7860A1" w14:textId="77777777" w:rsidR="007563B7" w:rsidRPr="00574F0F" w:rsidRDefault="007563B7" w:rsidP="00574F0F">
      <w:pPr>
        <w:pStyle w:val="ListParagraph"/>
        <w:numPr>
          <w:ilvl w:val="0"/>
          <w:numId w:val="4"/>
        </w:numPr>
        <w:spacing w:after="0"/>
        <w:rPr>
          <w:color w:val="auto"/>
          <w:lang w:val="en-CA"/>
        </w:rPr>
      </w:pPr>
      <w:proofErr w:type="spellStart"/>
      <w:r w:rsidRPr="00574F0F">
        <w:rPr>
          <w:b/>
          <w:color w:val="auto"/>
          <w:lang w:val="en-CA"/>
        </w:rPr>
        <w:t>Avom</w:t>
      </w:r>
      <w:proofErr w:type="spellEnd"/>
      <w:r w:rsidRPr="00574F0F">
        <w:rPr>
          <w:b/>
          <w:color w:val="auto"/>
          <w:lang w:val="en-CA"/>
        </w:rPr>
        <w:t xml:space="preserve">, D. (2019), </w:t>
      </w:r>
      <w:r w:rsidRPr="00574F0F">
        <w:rPr>
          <w:color w:val="auto"/>
          <w:lang w:val="en-CA"/>
        </w:rPr>
        <w:t xml:space="preserve">'Making a success of African franc zone reform', December 2019. </w:t>
      </w:r>
    </w:p>
    <w:p w14:paraId="611FE4AA" w14:textId="77777777" w:rsidR="007563B7" w:rsidRPr="00574F0F" w:rsidRDefault="007563B7" w:rsidP="00574F0F">
      <w:pPr>
        <w:pStyle w:val="ListParagraph"/>
        <w:numPr>
          <w:ilvl w:val="0"/>
          <w:numId w:val="4"/>
        </w:numPr>
        <w:spacing w:after="0"/>
        <w:ind w:right="95"/>
        <w:rPr>
          <w:color w:val="auto"/>
        </w:rPr>
      </w:pPr>
      <w:proofErr w:type="spellStart"/>
      <w:r w:rsidRPr="00574F0F">
        <w:rPr>
          <w:b/>
          <w:color w:val="auto"/>
        </w:rPr>
        <w:t>Avom</w:t>
      </w:r>
      <w:proofErr w:type="spellEnd"/>
      <w:r w:rsidRPr="00574F0F">
        <w:rPr>
          <w:b/>
          <w:color w:val="auto"/>
        </w:rPr>
        <w:t xml:space="preserve">, D. (2017), </w:t>
      </w:r>
      <w:r w:rsidRPr="00574F0F">
        <w:rPr>
          <w:color w:val="auto"/>
        </w:rPr>
        <w:t xml:space="preserve">"Mécanisme de fonctionnement de la Zone Franc", Grande </w:t>
      </w:r>
      <w:proofErr w:type="gramStart"/>
      <w:r w:rsidRPr="00574F0F">
        <w:rPr>
          <w:color w:val="auto"/>
        </w:rPr>
        <w:t>conférence:</w:t>
      </w:r>
      <w:proofErr w:type="gramEnd"/>
      <w:r w:rsidRPr="00574F0F">
        <w:rPr>
          <w:color w:val="auto"/>
        </w:rPr>
        <w:t xml:space="preserve"> Zone franc et développement, Université de Dschang (FSEG) 21 March 2017. </w:t>
      </w:r>
    </w:p>
    <w:p w14:paraId="1F94486B" w14:textId="77777777" w:rsidR="007563B7" w:rsidRPr="00574F0F" w:rsidRDefault="007563B7" w:rsidP="00574F0F">
      <w:pPr>
        <w:pStyle w:val="ListParagraph"/>
        <w:numPr>
          <w:ilvl w:val="0"/>
          <w:numId w:val="4"/>
        </w:numPr>
        <w:spacing w:after="0"/>
        <w:rPr>
          <w:color w:val="auto"/>
          <w:lang w:val="en-CA"/>
        </w:rPr>
      </w:pPr>
      <w:proofErr w:type="spellStart"/>
      <w:r w:rsidRPr="00574F0F">
        <w:rPr>
          <w:b/>
          <w:color w:val="auto"/>
          <w:lang w:val="en-CA"/>
        </w:rPr>
        <w:t>Bailliu</w:t>
      </w:r>
      <w:proofErr w:type="spellEnd"/>
      <w:r w:rsidRPr="00574F0F">
        <w:rPr>
          <w:b/>
          <w:color w:val="auto"/>
          <w:lang w:val="en-CA"/>
        </w:rPr>
        <w:t>, J.; R. Lafrance and J.-F. Perrault (2003).</w:t>
      </w:r>
      <w:r w:rsidRPr="00574F0F">
        <w:rPr>
          <w:color w:val="auto"/>
          <w:lang w:val="en-CA"/>
        </w:rPr>
        <w:t xml:space="preserve"> "Does exchange rate policy matter for growth?", International Finance 6 (3), pp. 381-414. </w:t>
      </w:r>
    </w:p>
    <w:p w14:paraId="16AAF19D"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 xml:space="preserve">Barro R. (1995), </w:t>
      </w:r>
      <w:r w:rsidRPr="00574F0F">
        <w:rPr>
          <w:color w:val="auto"/>
          <w:lang w:val="en-CA"/>
        </w:rPr>
        <w:t xml:space="preserve">"Inflation and growth". </w:t>
      </w:r>
      <w:r w:rsidRPr="00574F0F">
        <w:rPr>
          <w:i/>
          <w:color w:val="auto"/>
          <w:lang w:val="en-CA"/>
        </w:rPr>
        <w:t xml:space="preserve">NBER Working Paper, </w:t>
      </w:r>
      <w:r w:rsidRPr="00574F0F">
        <w:rPr>
          <w:color w:val="auto"/>
          <w:lang w:val="en-CA"/>
        </w:rPr>
        <w:t xml:space="preserve">No. 5326.  </w:t>
      </w:r>
    </w:p>
    <w:p w14:paraId="3703C51D" w14:textId="77777777" w:rsidR="007563B7" w:rsidRPr="00574F0F" w:rsidRDefault="007563B7" w:rsidP="00574F0F">
      <w:pPr>
        <w:pStyle w:val="ListParagraph"/>
        <w:numPr>
          <w:ilvl w:val="0"/>
          <w:numId w:val="4"/>
        </w:numPr>
        <w:spacing w:after="0"/>
        <w:ind w:right="265"/>
        <w:rPr>
          <w:color w:val="auto"/>
          <w:lang w:val="en-CA"/>
        </w:rPr>
      </w:pPr>
      <w:r w:rsidRPr="00574F0F">
        <w:rPr>
          <w:b/>
          <w:color w:val="auto"/>
          <w:lang w:val="en-CA"/>
        </w:rPr>
        <w:t xml:space="preserve">Bates RH. (2007), </w:t>
      </w:r>
      <w:r w:rsidRPr="00574F0F">
        <w:rPr>
          <w:color w:val="auto"/>
          <w:lang w:val="en-CA"/>
        </w:rPr>
        <w:t xml:space="preserve">"Political reform". In The Political Economy of Economic Growth in Africa, 19602000: An Analytic Survey", Ndulu B, O' Connell SA, Bates RH, Collier P, Soludo CC, Azam JP, Fosu AK, Gunning JW (eds). Cambridge University Press: Cambridge. </w:t>
      </w:r>
    </w:p>
    <w:p w14:paraId="26ADC267" w14:textId="77777777" w:rsidR="007563B7" w:rsidRPr="00574F0F" w:rsidRDefault="007563B7" w:rsidP="00574F0F">
      <w:pPr>
        <w:pStyle w:val="ListParagraph"/>
        <w:numPr>
          <w:ilvl w:val="0"/>
          <w:numId w:val="4"/>
        </w:numPr>
        <w:spacing w:after="0"/>
        <w:rPr>
          <w:color w:val="auto"/>
          <w:lang w:val="en-CA"/>
        </w:rPr>
      </w:pPr>
      <w:proofErr w:type="spellStart"/>
      <w:r w:rsidRPr="00574F0F">
        <w:rPr>
          <w:b/>
          <w:color w:val="auto"/>
          <w:lang w:val="en-CA"/>
        </w:rPr>
        <w:t>Bénétrix</w:t>
      </w:r>
      <w:proofErr w:type="spellEnd"/>
      <w:r w:rsidRPr="00574F0F">
        <w:rPr>
          <w:b/>
          <w:color w:val="auto"/>
          <w:lang w:val="en-CA"/>
        </w:rPr>
        <w:t xml:space="preserve">, A. and Lane (2013), </w:t>
      </w:r>
      <w:r w:rsidRPr="00574F0F">
        <w:rPr>
          <w:color w:val="auto"/>
          <w:lang w:val="en-CA"/>
        </w:rPr>
        <w:t xml:space="preserve">"Fiscal Cyclicality and EMU", Journal of International Money and Finance, 34: 164-176.  </w:t>
      </w:r>
    </w:p>
    <w:p w14:paraId="7307AD3A" w14:textId="77777777" w:rsidR="007563B7" w:rsidRPr="00574F0F" w:rsidRDefault="007563B7" w:rsidP="00574F0F">
      <w:pPr>
        <w:pStyle w:val="ListParagraph"/>
        <w:numPr>
          <w:ilvl w:val="0"/>
          <w:numId w:val="4"/>
        </w:numPr>
        <w:spacing w:after="0"/>
        <w:rPr>
          <w:color w:val="auto"/>
          <w:lang w:val="en-CA"/>
        </w:rPr>
      </w:pPr>
      <w:proofErr w:type="spellStart"/>
      <w:r w:rsidRPr="00574F0F">
        <w:rPr>
          <w:b/>
          <w:color w:val="auto"/>
          <w:lang w:val="en-CA"/>
        </w:rPr>
        <w:t>Bhanumurthy</w:t>
      </w:r>
      <w:proofErr w:type="spellEnd"/>
      <w:r w:rsidRPr="00574F0F">
        <w:rPr>
          <w:b/>
          <w:color w:val="auto"/>
          <w:lang w:val="en-CA"/>
        </w:rPr>
        <w:t xml:space="preserve">, N.R. and Mohanty, B., (2014), </w:t>
      </w:r>
      <w:r w:rsidRPr="00574F0F">
        <w:rPr>
          <w:color w:val="auto"/>
          <w:lang w:val="en-CA"/>
        </w:rPr>
        <w:t xml:space="preserve">"Exchange rate regimes and inflation: Evidence from </w:t>
      </w:r>
      <w:proofErr w:type="spellStart"/>
      <w:r w:rsidRPr="00574F0F">
        <w:rPr>
          <w:color w:val="auto"/>
          <w:lang w:val="en-CA"/>
        </w:rPr>
        <w:t>india</w:t>
      </w:r>
      <w:proofErr w:type="spellEnd"/>
      <w:r w:rsidRPr="00574F0F">
        <w:rPr>
          <w:color w:val="auto"/>
          <w:lang w:val="en-CA"/>
        </w:rPr>
        <w:t xml:space="preserve"> National Institute of Public Finance and Policy." Working Paper, No. 130. </w:t>
      </w:r>
    </w:p>
    <w:p w14:paraId="088D72AD" w14:textId="77777777" w:rsidR="007563B7" w:rsidRPr="00574F0F" w:rsidRDefault="007563B7" w:rsidP="00574F0F">
      <w:pPr>
        <w:pStyle w:val="ListParagraph"/>
        <w:numPr>
          <w:ilvl w:val="0"/>
          <w:numId w:val="4"/>
        </w:numPr>
        <w:spacing w:after="0"/>
        <w:rPr>
          <w:color w:val="auto"/>
          <w:lang w:val="en-CA"/>
        </w:rPr>
      </w:pPr>
      <w:proofErr w:type="spellStart"/>
      <w:r w:rsidRPr="00574F0F">
        <w:rPr>
          <w:b/>
          <w:color w:val="auto"/>
          <w:lang w:val="en-CA"/>
        </w:rPr>
        <w:t>Bleaney</w:t>
      </w:r>
      <w:proofErr w:type="spellEnd"/>
      <w:r w:rsidRPr="00574F0F">
        <w:rPr>
          <w:b/>
          <w:color w:val="auto"/>
          <w:lang w:val="en-CA"/>
        </w:rPr>
        <w:t>, M., &amp; Fielding, D. (2002).</w:t>
      </w:r>
      <w:r w:rsidRPr="00574F0F">
        <w:rPr>
          <w:color w:val="auto"/>
          <w:lang w:val="en-CA"/>
        </w:rPr>
        <w:t xml:space="preserve"> Exchange rate regimes, inflation and output volatility in developing countries. </w:t>
      </w:r>
      <w:r w:rsidRPr="00574F0F">
        <w:rPr>
          <w:i/>
          <w:color w:val="auto"/>
          <w:lang w:val="en-CA"/>
        </w:rPr>
        <w:t>Journal of development economics</w:t>
      </w:r>
      <w:r w:rsidRPr="00574F0F">
        <w:rPr>
          <w:color w:val="auto"/>
          <w:lang w:val="en-CA"/>
        </w:rPr>
        <w:t xml:space="preserve">, </w:t>
      </w:r>
      <w:r w:rsidRPr="00574F0F">
        <w:rPr>
          <w:i/>
          <w:color w:val="auto"/>
          <w:lang w:val="en-CA"/>
        </w:rPr>
        <w:t>68</w:t>
      </w:r>
      <w:r w:rsidRPr="00574F0F">
        <w:rPr>
          <w:color w:val="auto"/>
          <w:lang w:val="en-CA"/>
        </w:rPr>
        <w:t xml:space="preserve">(1), 233-245. </w:t>
      </w:r>
    </w:p>
    <w:p w14:paraId="3574F9D7" w14:textId="77777777" w:rsidR="007563B7" w:rsidRPr="00574F0F" w:rsidRDefault="007563B7" w:rsidP="00574F0F">
      <w:pPr>
        <w:pStyle w:val="ListParagraph"/>
        <w:numPr>
          <w:ilvl w:val="0"/>
          <w:numId w:val="4"/>
        </w:numPr>
        <w:spacing w:after="0"/>
        <w:ind w:right="264"/>
        <w:rPr>
          <w:color w:val="auto"/>
          <w:lang w:val="en-CA"/>
        </w:rPr>
      </w:pPr>
      <w:proofErr w:type="spellStart"/>
      <w:r w:rsidRPr="00574F0F">
        <w:rPr>
          <w:b/>
          <w:color w:val="auto"/>
          <w:lang w:val="en-CA"/>
        </w:rPr>
        <w:t>Bleaney</w:t>
      </w:r>
      <w:proofErr w:type="spellEnd"/>
      <w:r w:rsidRPr="00574F0F">
        <w:rPr>
          <w:b/>
          <w:color w:val="auto"/>
          <w:lang w:val="en-CA"/>
        </w:rPr>
        <w:t xml:space="preserve">, M. and Francisco, M. (2007), </w:t>
      </w:r>
      <w:r w:rsidRPr="00574F0F">
        <w:rPr>
          <w:color w:val="auto"/>
          <w:lang w:val="en-CA"/>
        </w:rPr>
        <w:t xml:space="preserve">"Exchange Rate Regimes, Inflation and Growth in Developing Countries-An Assessment", The B.E. Journal of Macroeconomics, Vol. 7: </w:t>
      </w:r>
      <w:proofErr w:type="spellStart"/>
      <w:r w:rsidRPr="00574F0F">
        <w:rPr>
          <w:color w:val="auto"/>
          <w:lang w:val="en-CA"/>
        </w:rPr>
        <w:t>Iss</w:t>
      </w:r>
      <w:proofErr w:type="spellEnd"/>
      <w:r w:rsidRPr="00574F0F">
        <w:rPr>
          <w:color w:val="auto"/>
          <w:lang w:val="en-CA"/>
        </w:rPr>
        <w:t xml:space="preserve">. 1 (Topics), Article pp. 118.  </w:t>
      </w:r>
    </w:p>
    <w:p w14:paraId="63A18046"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 xml:space="preserve">Blundell R. and Bond S.  (1998), </w:t>
      </w:r>
      <w:r w:rsidRPr="00574F0F">
        <w:rPr>
          <w:color w:val="auto"/>
          <w:lang w:val="en-CA"/>
        </w:rPr>
        <w:t xml:space="preserve">"Initial Conditions and Moment Restrictions in Dynamic Panel Data Models", Journal of Econometrics, Vol. 87, No. 1, pp. 115-143. </w:t>
      </w:r>
    </w:p>
    <w:p w14:paraId="45C2EF19" w14:textId="77777777" w:rsidR="007563B7" w:rsidRPr="00574F0F" w:rsidRDefault="007563B7" w:rsidP="00574F0F">
      <w:pPr>
        <w:pStyle w:val="ListParagraph"/>
        <w:numPr>
          <w:ilvl w:val="0"/>
          <w:numId w:val="4"/>
        </w:numPr>
        <w:spacing w:after="0"/>
        <w:rPr>
          <w:color w:val="auto"/>
        </w:rPr>
      </w:pPr>
      <w:proofErr w:type="spellStart"/>
      <w:r w:rsidRPr="00574F0F">
        <w:rPr>
          <w:b/>
          <w:color w:val="auto"/>
        </w:rPr>
        <w:t>Bobbo</w:t>
      </w:r>
      <w:proofErr w:type="spellEnd"/>
      <w:r w:rsidRPr="00574F0F">
        <w:rPr>
          <w:b/>
          <w:color w:val="auto"/>
        </w:rPr>
        <w:t xml:space="preserve">, Amadou. (2016), </w:t>
      </w:r>
      <w:r w:rsidRPr="00574F0F">
        <w:rPr>
          <w:color w:val="auto"/>
        </w:rPr>
        <w:t xml:space="preserve">"Régime de change et cyclicité budgétaire dans les pays africains", l'actualité économique, revue d'analyse économique, vol. n°3. </w:t>
      </w:r>
    </w:p>
    <w:p w14:paraId="625B5A9C"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Brender, A., and Drazen, A.  (2005) "</w:t>
      </w:r>
      <w:r w:rsidRPr="00574F0F">
        <w:rPr>
          <w:color w:val="auto"/>
          <w:lang w:val="en-CA"/>
        </w:rPr>
        <w:t xml:space="preserve">Political Budget Cycles in New Versus Established Democracies." Journal of Monetary Economics 52 (7): 1271-95. </w:t>
      </w:r>
    </w:p>
    <w:p w14:paraId="65B00C47"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Broda, C.  (2004).</w:t>
      </w:r>
      <w:r w:rsidRPr="00574F0F">
        <w:rPr>
          <w:color w:val="auto"/>
          <w:lang w:val="en-CA"/>
        </w:rPr>
        <w:t xml:space="preserve"> "Terms of trade and exchange rate regimes in developing countries", Journal of International Economics 63 (1), pp. 31-58. </w:t>
      </w:r>
    </w:p>
    <w:p w14:paraId="2DD3F86E"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 xml:space="preserve">Coudert, V., Dubert, M., (2005), </w:t>
      </w:r>
      <w:r w:rsidRPr="00574F0F">
        <w:rPr>
          <w:color w:val="auto"/>
          <w:lang w:val="en-CA"/>
        </w:rPr>
        <w:t xml:space="preserve">"Does Exchange Rate Regime Explain Differences in Economic Results for Asian Countries? "Journal of Asian Economics, no. 16, pp. 874-895. </w:t>
      </w:r>
    </w:p>
    <w:p w14:paraId="37EE585F"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 xml:space="preserve">Coulibaly I. and Davis J. (2013), </w:t>
      </w:r>
      <w:r w:rsidRPr="00574F0F">
        <w:rPr>
          <w:color w:val="auto"/>
          <w:lang w:val="en-CA"/>
        </w:rPr>
        <w:t xml:space="preserve">"Exchange rate regimes and economic performance: Does CFA Zone membership benefit their economies?" University Library of Munich, Germany.  </w:t>
      </w:r>
    </w:p>
    <w:p w14:paraId="4DC10822"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Calvo, G.; A. Izquierdo and E. Talvi (2003).</w:t>
      </w:r>
      <w:r w:rsidRPr="00574F0F">
        <w:rPr>
          <w:color w:val="auto"/>
          <w:lang w:val="en-CA"/>
        </w:rPr>
        <w:t xml:space="preserve"> Sudden stops, the real exchange rate and fiscal sustainability: Argentina's lessons. Working Paper 9828, National Bureau of Economic Research. </w:t>
      </w:r>
    </w:p>
    <w:p w14:paraId="0161CF1B" w14:textId="77777777" w:rsidR="007563B7" w:rsidRPr="00574F0F" w:rsidRDefault="007563B7" w:rsidP="00574F0F">
      <w:pPr>
        <w:pStyle w:val="ListParagraph"/>
        <w:numPr>
          <w:ilvl w:val="0"/>
          <w:numId w:val="4"/>
        </w:numPr>
        <w:spacing w:after="0"/>
        <w:rPr>
          <w:color w:val="auto"/>
          <w:lang w:val="en-CA"/>
        </w:rPr>
      </w:pPr>
      <w:r w:rsidRPr="00DD4E7B">
        <w:rPr>
          <w:b/>
          <w:color w:val="auto"/>
          <w:lang w:val="de-DE"/>
        </w:rPr>
        <w:t>De Grauwe, P., &amp; Schnabl, G. (2008).</w:t>
      </w:r>
      <w:r w:rsidRPr="00DD4E7B">
        <w:rPr>
          <w:color w:val="auto"/>
          <w:lang w:val="de-DE"/>
        </w:rPr>
        <w:t xml:space="preserve"> </w:t>
      </w:r>
      <w:r w:rsidRPr="00574F0F">
        <w:rPr>
          <w:color w:val="auto"/>
          <w:lang w:val="en-CA"/>
        </w:rPr>
        <w:t xml:space="preserve">Exchange rate stability, inflation, and growth in (South) Eastern and Central Europe. </w:t>
      </w:r>
      <w:r w:rsidRPr="00574F0F">
        <w:rPr>
          <w:i/>
          <w:color w:val="auto"/>
          <w:lang w:val="en-CA"/>
        </w:rPr>
        <w:t>Review of Development Economics</w:t>
      </w:r>
      <w:r w:rsidRPr="00574F0F">
        <w:rPr>
          <w:color w:val="auto"/>
          <w:lang w:val="en-CA"/>
        </w:rPr>
        <w:t xml:space="preserve">, </w:t>
      </w:r>
      <w:r w:rsidRPr="00574F0F">
        <w:rPr>
          <w:i/>
          <w:color w:val="auto"/>
          <w:lang w:val="en-CA"/>
        </w:rPr>
        <w:t>12</w:t>
      </w:r>
      <w:r w:rsidRPr="00574F0F">
        <w:rPr>
          <w:color w:val="auto"/>
          <w:lang w:val="en-CA"/>
        </w:rPr>
        <w:t xml:space="preserve">(3), 530-549. </w:t>
      </w:r>
    </w:p>
    <w:p w14:paraId="2052EE9D"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lastRenderedPageBreak/>
        <w:t xml:space="preserve">De Gregorio, </w:t>
      </w:r>
      <w:proofErr w:type="gramStart"/>
      <w:r w:rsidRPr="00574F0F">
        <w:rPr>
          <w:b/>
          <w:color w:val="auto"/>
          <w:lang w:val="en-CA"/>
        </w:rPr>
        <w:t>J.(</w:t>
      </w:r>
      <w:proofErr w:type="gramEnd"/>
      <w:r w:rsidRPr="00574F0F">
        <w:rPr>
          <w:b/>
          <w:color w:val="auto"/>
          <w:lang w:val="en-CA"/>
        </w:rPr>
        <w:t>1992), "</w:t>
      </w:r>
      <w:r w:rsidRPr="00574F0F">
        <w:rPr>
          <w:color w:val="auto"/>
          <w:lang w:val="en-CA"/>
        </w:rPr>
        <w:t xml:space="preserve">The Effects of </w:t>
      </w:r>
      <w:proofErr w:type="spellStart"/>
      <w:r w:rsidRPr="00574F0F">
        <w:rPr>
          <w:color w:val="auto"/>
          <w:lang w:val="en-CA"/>
        </w:rPr>
        <w:t>Inflationon</w:t>
      </w:r>
      <w:proofErr w:type="spellEnd"/>
      <w:r w:rsidRPr="00574F0F">
        <w:rPr>
          <w:color w:val="auto"/>
          <w:lang w:val="en-CA"/>
        </w:rPr>
        <w:t xml:space="preserve"> Economic Growth, Lessons from Latin America", European Economic Review, Vol. 36, No. 2/3, April. </w:t>
      </w:r>
    </w:p>
    <w:p w14:paraId="2898D288"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Edwards, S.  (2006). "</w:t>
      </w:r>
      <w:r w:rsidRPr="00574F0F">
        <w:rPr>
          <w:color w:val="auto"/>
          <w:lang w:val="en-CA"/>
        </w:rPr>
        <w:t xml:space="preserve">Monetary unions, external shocks and economic performance: A Latin American perspective", International Economics and Economic Policy 3 (3-4), pp. 225-247. </w:t>
      </w:r>
    </w:p>
    <w:p w14:paraId="09D1740E"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 xml:space="preserve">Edwards S. (1992), </w:t>
      </w:r>
      <w:r w:rsidRPr="00574F0F">
        <w:rPr>
          <w:color w:val="auto"/>
          <w:lang w:val="en-CA"/>
        </w:rPr>
        <w:t xml:space="preserve">"Exchange rates as nominal anchors". </w:t>
      </w:r>
      <w:r w:rsidRPr="00574F0F">
        <w:rPr>
          <w:i/>
          <w:color w:val="auto"/>
          <w:lang w:val="en-CA"/>
        </w:rPr>
        <w:t xml:space="preserve">NBER Working Paper; </w:t>
      </w:r>
      <w:r w:rsidRPr="00574F0F">
        <w:rPr>
          <w:color w:val="auto"/>
          <w:lang w:val="en-CA"/>
        </w:rPr>
        <w:t xml:space="preserve">No. 4246, December.  </w:t>
      </w:r>
    </w:p>
    <w:p w14:paraId="435DE13D" w14:textId="77777777" w:rsidR="007563B7" w:rsidRPr="00574F0F" w:rsidRDefault="007563B7" w:rsidP="00574F0F">
      <w:pPr>
        <w:pStyle w:val="ListParagraph"/>
        <w:numPr>
          <w:ilvl w:val="0"/>
          <w:numId w:val="4"/>
        </w:numPr>
        <w:spacing w:after="0" w:line="237" w:lineRule="auto"/>
        <w:rPr>
          <w:color w:val="auto"/>
          <w:lang w:val="en-CA"/>
        </w:rPr>
      </w:pPr>
      <w:r w:rsidRPr="00574F0F">
        <w:rPr>
          <w:b/>
          <w:color w:val="auto"/>
          <w:lang w:val="en-CA"/>
        </w:rPr>
        <w:t xml:space="preserve">IMF (2020), </w:t>
      </w:r>
      <w:r w:rsidRPr="00574F0F">
        <w:rPr>
          <w:i/>
          <w:color w:val="auto"/>
          <w:lang w:val="en-CA"/>
        </w:rPr>
        <w:t>Regional Economic Outlook for Sub-Saharan Africa</w:t>
      </w:r>
      <w:r w:rsidRPr="00574F0F">
        <w:rPr>
          <w:color w:val="auto"/>
          <w:lang w:val="en-CA"/>
        </w:rPr>
        <w:t xml:space="preserve">.  </w:t>
      </w:r>
    </w:p>
    <w:p w14:paraId="0396C06F"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 xml:space="preserve">Friedman, M. (1953) </w:t>
      </w:r>
      <w:r w:rsidRPr="00574F0F">
        <w:rPr>
          <w:color w:val="auto"/>
          <w:lang w:val="en-CA"/>
        </w:rPr>
        <w:t xml:space="preserve">"The case for flexible exchange rates". In: Friedman, M. Ed, Essays in Positive Economics. University of Chicago Press, Chicago, pp. 157-203.  </w:t>
      </w:r>
    </w:p>
    <w:p w14:paraId="49612742"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 xml:space="preserve">Gasiorowski, M. J. (2000) </w:t>
      </w:r>
      <w:r w:rsidRPr="00574F0F">
        <w:rPr>
          <w:color w:val="auto"/>
          <w:lang w:val="en-CA"/>
        </w:rPr>
        <w:t xml:space="preserve">"Democracy and Macroeconomic Performance in Underdeveloped Countries: An Empirical Analysis." Comparative Political Studies 33 (3): 319-49. </w:t>
      </w:r>
    </w:p>
    <w:p w14:paraId="2F2BED03"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 xml:space="preserve">Ghosh A., (2014), </w:t>
      </w:r>
      <w:r w:rsidRPr="00574F0F">
        <w:rPr>
          <w:color w:val="auto"/>
          <w:lang w:val="en-CA"/>
        </w:rPr>
        <w:t>"How do openness and Exchange-rate regimes affect inflation? ». International Review of Economic and Finance</w:t>
      </w:r>
      <w:r w:rsidRPr="00574F0F">
        <w:rPr>
          <w:i/>
          <w:color w:val="auto"/>
          <w:lang w:val="en-CA"/>
        </w:rPr>
        <w:t xml:space="preserve">; </w:t>
      </w:r>
      <w:r w:rsidRPr="00574F0F">
        <w:rPr>
          <w:color w:val="auto"/>
          <w:lang w:val="en-CA"/>
        </w:rPr>
        <w:t xml:space="preserve">No. 34, pp. 190-202.  </w:t>
      </w:r>
    </w:p>
    <w:p w14:paraId="4330645B"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 xml:space="preserve">Ghosh A., Ostry D. and </w:t>
      </w:r>
      <w:proofErr w:type="spellStart"/>
      <w:r w:rsidRPr="00574F0F">
        <w:rPr>
          <w:b/>
          <w:color w:val="auto"/>
          <w:lang w:val="en-CA"/>
        </w:rPr>
        <w:t>Sangarides</w:t>
      </w:r>
      <w:proofErr w:type="spellEnd"/>
      <w:r w:rsidRPr="00574F0F">
        <w:rPr>
          <w:b/>
          <w:color w:val="auto"/>
          <w:lang w:val="en-CA"/>
        </w:rPr>
        <w:t xml:space="preserve"> H. (2010), </w:t>
      </w:r>
      <w:r w:rsidRPr="00574F0F">
        <w:rPr>
          <w:color w:val="auto"/>
          <w:lang w:val="en-CA"/>
        </w:rPr>
        <w:t xml:space="preserve">"Exchange rate regimes and the stability of the international monetary system". </w:t>
      </w:r>
      <w:r w:rsidRPr="00574F0F">
        <w:rPr>
          <w:i/>
          <w:color w:val="auto"/>
          <w:lang w:val="en-CA"/>
        </w:rPr>
        <w:t xml:space="preserve">IMF Occasional Paper; </w:t>
      </w:r>
      <w:r w:rsidRPr="00574F0F">
        <w:rPr>
          <w:color w:val="auto"/>
          <w:lang w:val="en-CA"/>
        </w:rPr>
        <w:t xml:space="preserve">No. 270.  </w:t>
      </w:r>
    </w:p>
    <w:p w14:paraId="3286CFDA"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 xml:space="preserve">Ghosh A., Gulde M. and Wolf H. (2008), </w:t>
      </w:r>
      <w:r w:rsidRPr="00574F0F">
        <w:rPr>
          <w:color w:val="auto"/>
          <w:lang w:val="en-CA"/>
        </w:rPr>
        <w:t xml:space="preserve">"Monetary Union in Central and Western Africa". </w:t>
      </w:r>
      <w:r w:rsidRPr="00574F0F">
        <w:rPr>
          <w:i/>
          <w:color w:val="auto"/>
          <w:lang w:val="en-CA"/>
        </w:rPr>
        <w:t>Journal of Financial Transformation</w:t>
      </w:r>
      <w:r w:rsidRPr="00574F0F">
        <w:rPr>
          <w:color w:val="auto"/>
          <w:lang w:val="en-CA"/>
        </w:rPr>
        <w:t xml:space="preserve">, n°20, pp.175-189. </w:t>
      </w:r>
    </w:p>
    <w:p w14:paraId="78E09B09" w14:textId="77777777" w:rsidR="007563B7" w:rsidRPr="00574F0F" w:rsidRDefault="007563B7" w:rsidP="00574F0F">
      <w:pPr>
        <w:pStyle w:val="ListParagraph"/>
        <w:numPr>
          <w:ilvl w:val="0"/>
          <w:numId w:val="4"/>
        </w:numPr>
        <w:spacing w:after="0"/>
        <w:ind w:right="261"/>
        <w:rPr>
          <w:color w:val="auto"/>
        </w:rPr>
      </w:pPr>
      <w:proofErr w:type="spellStart"/>
      <w:r w:rsidRPr="00574F0F">
        <w:rPr>
          <w:b/>
          <w:color w:val="auto"/>
          <w:lang w:val="en-CA"/>
        </w:rPr>
        <w:t>Gnimassoun</w:t>
      </w:r>
      <w:proofErr w:type="spellEnd"/>
      <w:r w:rsidRPr="00574F0F">
        <w:rPr>
          <w:b/>
          <w:color w:val="auto"/>
          <w:lang w:val="en-CA"/>
        </w:rPr>
        <w:t xml:space="preserve">, </w:t>
      </w:r>
      <w:proofErr w:type="gramStart"/>
      <w:r w:rsidRPr="00574F0F">
        <w:rPr>
          <w:b/>
          <w:color w:val="auto"/>
          <w:lang w:val="en-CA"/>
        </w:rPr>
        <w:t>B. ,</w:t>
      </w:r>
      <w:proofErr w:type="gramEnd"/>
      <w:r w:rsidRPr="00574F0F">
        <w:rPr>
          <w:b/>
          <w:color w:val="auto"/>
          <w:lang w:val="en-CA"/>
        </w:rPr>
        <w:t xml:space="preserve"> (2014), </w:t>
      </w:r>
      <w:r w:rsidRPr="00574F0F">
        <w:rPr>
          <w:color w:val="auto"/>
          <w:lang w:val="en-CA"/>
        </w:rPr>
        <w:t xml:space="preserve">"The importance of the exchange rate regime in limiting current account imbalances in sub-Saharan African countries". </w:t>
      </w:r>
      <w:proofErr w:type="spellStart"/>
      <w:r w:rsidRPr="00574F0F">
        <w:rPr>
          <w:color w:val="auto"/>
        </w:rPr>
        <w:t>Working</w:t>
      </w:r>
      <w:proofErr w:type="spellEnd"/>
      <w:r w:rsidRPr="00574F0F">
        <w:rPr>
          <w:color w:val="auto"/>
        </w:rPr>
        <w:t xml:space="preserve"> Paper, </w:t>
      </w:r>
      <w:proofErr w:type="spellStart"/>
      <w:r w:rsidRPr="00574F0F">
        <w:rPr>
          <w:color w:val="auto"/>
        </w:rPr>
        <w:t>yEconomiX</w:t>
      </w:r>
      <w:proofErr w:type="spellEnd"/>
      <w:r w:rsidRPr="00574F0F">
        <w:rPr>
          <w:color w:val="auto"/>
        </w:rPr>
        <w:t xml:space="preserve">-CNRS, Université de Paris Ouest Nanterre La Défense. </w:t>
      </w:r>
    </w:p>
    <w:p w14:paraId="5BA894FD"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 xml:space="preserve">Husain, A.M.; A.  Mody and K.S. Rogoff (2005). </w:t>
      </w:r>
      <w:r w:rsidRPr="00574F0F">
        <w:rPr>
          <w:color w:val="auto"/>
          <w:lang w:val="en-CA"/>
        </w:rPr>
        <w:t xml:space="preserve">"Exchange rate regime durability and performance in developing versus advanced economies", Journal of Monetary Economics 52, pp.35-64. </w:t>
      </w:r>
    </w:p>
    <w:p w14:paraId="6D689D53" w14:textId="77777777" w:rsidR="007563B7" w:rsidRPr="00574F0F" w:rsidRDefault="007563B7" w:rsidP="00574F0F">
      <w:pPr>
        <w:pStyle w:val="ListParagraph"/>
        <w:numPr>
          <w:ilvl w:val="0"/>
          <w:numId w:val="4"/>
        </w:numPr>
        <w:spacing w:after="0"/>
        <w:rPr>
          <w:color w:val="auto"/>
          <w:lang w:val="en-CA"/>
        </w:rPr>
      </w:pPr>
      <w:proofErr w:type="spellStart"/>
      <w:r w:rsidRPr="00574F0F">
        <w:rPr>
          <w:b/>
          <w:color w:val="auto"/>
          <w:lang w:val="en-CA"/>
        </w:rPr>
        <w:t>Ilzetzki</w:t>
      </w:r>
      <w:proofErr w:type="spellEnd"/>
      <w:r w:rsidRPr="00574F0F">
        <w:rPr>
          <w:b/>
          <w:color w:val="auto"/>
          <w:lang w:val="en-CA"/>
        </w:rPr>
        <w:t xml:space="preserve">, E., Reinhart, C. and Rogoff, K. (2019), </w:t>
      </w:r>
      <w:r w:rsidRPr="00574F0F">
        <w:rPr>
          <w:color w:val="auto"/>
          <w:lang w:val="en-CA"/>
        </w:rPr>
        <w:t xml:space="preserve">'Exchange arrangements entering the </w:t>
      </w:r>
      <w:proofErr w:type="spellStart"/>
      <w:r w:rsidRPr="00574F0F">
        <w:rPr>
          <w:color w:val="auto"/>
          <w:lang w:val="en-CA"/>
        </w:rPr>
        <w:t>bwenty</w:t>
      </w:r>
      <w:proofErr w:type="spellEnd"/>
      <w:r w:rsidRPr="00574F0F">
        <w:rPr>
          <w:color w:val="auto"/>
          <w:lang w:val="en-CA"/>
        </w:rPr>
        <w:t xml:space="preserve">- first century: which anchor hold? ». The Quarterly journal of Economics, Oxford University Press, Vol 134, </w:t>
      </w:r>
    </w:p>
    <w:p w14:paraId="61687D2D" w14:textId="77777777" w:rsidR="007563B7" w:rsidRPr="00574F0F" w:rsidRDefault="007563B7" w:rsidP="00574F0F">
      <w:pPr>
        <w:pStyle w:val="ListParagraph"/>
        <w:numPr>
          <w:ilvl w:val="0"/>
          <w:numId w:val="4"/>
        </w:numPr>
        <w:spacing w:after="0"/>
        <w:rPr>
          <w:color w:val="auto"/>
          <w:lang w:val="en-CA"/>
        </w:rPr>
      </w:pPr>
      <w:r w:rsidRPr="00574F0F">
        <w:rPr>
          <w:color w:val="auto"/>
          <w:lang w:val="en-CA"/>
        </w:rPr>
        <w:t xml:space="preserve">Issue 2, May 2019, pp. 599-646. Working Paper 23/134.                                                                                          </w:t>
      </w:r>
    </w:p>
    <w:p w14:paraId="0097034A" w14:textId="77777777" w:rsidR="007563B7" w:rsidRPr="00574F0F" w:rsidRDefault="007563B7" w:rsidP="00574F0F">
      <w:pPr>
        <w:pStyle w:val="ListParagraph"/>
        <w:numPr>
          <w:ilvl w:val="0"/>
          <w:numId w:val="4"/>
        </w:numPr>
        <w:spacing w:after="0"/>
        <w:rPr>
          <w:color w:val="auto"/>
          <w:lang w:val="en-CA"/>
        </w:rPr>
      </w:pPr>
      <w:proofErr w:type="spellStart"/>
      <w:r w:rsidRPr="00574F0F">
        <w:rPr>
          <w:b/>
          <w:color w:val="auto"/>
          <w:lang w:val="en-CA"/>
        </w:rPr>
        <w:t>Ilzetzki</w:t>
      </w:r>
      <w:proofErr w:type="spellEnd"/>
      <w:r w:rsidRPr="00574F0F">
        <w:rPr>
          <w:b/>
          <w:color w:val="auto"/>
          <w:lang w:val="en-CA"/>
        </w:rPr>
        <w:t xml:space="preserve">, E., Reinhart, C. and Rogoff, K. (2017), </w:t>
      </w:r>
      <w:r w:rsidRPr="00574F0F">
        <w:rPr>
          <w:color w:val="auto"/>
          <w:lang w:val="en-CA"/>
        </w:rPr>
        <w:t xml:space="preserve">"Exchange rate arrangements entering the 21St century: which anchor hold? ». The Quarterly journal of Economics, NBER. Working Paper 23/134.                   </w:t>
      </w:r>
    </w:p>
    <w:p w14:paraId="3C65DC7D" w14:textId="77777777" w:rsidR="007563B7" w:rsidRPr="00574F0F" w:rsidRDefault="007563B7" w:rsidP="00574F0F">
      <w:pPr>
        <w:pStyle w:val="ListParagraph"/>
        <w:numPr>
          <w:ilvl w:val="0"/>
          <w:numId w:val="4"/>
        </w:numPr>
        <w:spacing w:after="0"/>
        <w:rPr>
          <w:color w:val="auto"/>
          <w:lang w:val="en-CA"/>
        </w:rPr>
      </w:pPr>
      <w:proofErr w:type="spellStart"/>
      <w:r w:rsidRPr="00574F0F">
        <w:rPr>
          <w:b/>
          <w:color w:val="auto"/>
          <w:lang w:val="en-CA"/>
        </w:rPr>
        <w:t>Ilzetzki</w:t>
      </w:r>
      <w:proofErr w:type="spellEnd"/>
      <w:r w:rsidRPr="00574F0F">
        <w:rPr>
          <w:b/>
          <w:color w:val="auto"/>
          <w:lang w:val="en-CA"/>
        </w:rPr>
        <w:t xml:space="preserve">, E., Reinhart, C. and Rogoff, K. (2016), </w:t>
      </w:r>
      <w:r w:rsidRPr="00574F0F">
        <w:rPr>
          <w:color w:val="auto"/>
          <w:lang w:val="en-CA"/>
        </w:rPr>
        <w:t xml:space="preserve">"Country chronologies and back ground material to </w:t>
      </w:r>
    </w:p>
    <w:p w14:paraId="2AC88081" w14:textId="77777777" w:rsidR="007563B7" w:rsidRPr="00574F0F" w:rsidRDefault="007563B7" w:rsidP="00574F0F">
      <w:pPr>
        <w:pStyle w:val="ListParagraph"/>
        <w:numPr>
          <w:ilvl w:val="0"/>
          <w:numId w:val="4"/>
        </w:numPr>
        <w:spacing w:after="0"/>
        <w:rPr>
          <w:color w:val="auto"/>
          <w:lang w:val="en-CA"/>
        </w:rPr>
      </w:pPr>
      <w:r w:rsidRPr="00574F0F">
        <w:rPr>
          <w:color w:val="auto"/>
          <w:lang w:val="en-CA"/>
        </w:rPr>
        <w:t>Exchange rate arrangements into the 21St century: Will the anchor currency hold</w:t>
      </w:r>
      <w:proofErr w:type="gramStart"/>
      <w:r w:rsidRPr="00574F0F">
        <w:rPr>
          <w:color w:val="auto"/>
          <w:lang w:val="en-CA"/>
        </w:rPr>
        <w:t>?  »</w:t>
      </w:r>
      <w:proofErr w:type="gramEnd"/>
      <w:r w:rsidRPr="00574F0F">
        <w:rPr>
          <w:color w:val="auto"/>
          <w:lang w:val="en-CA"/>
        </w:rPr>
        <w:t xml:space="preserve">. Memo.                               </w:t>
      </w:r>
    </w:p>
    <w:p w14:paraId="68F692AD" w14:textId="77777777" w:rsidR="007563B7" w:rsidRPr="00574F0F" w:rsidRDefault="007563B7" w:rsidP="00574F0F">
      <w:pPr>
        <w:pStyle w:val="ListParagraph"/>
        <w:numPr>
          <w:ilvl w:val="0"/>
          <w:numId w:val="4"/>
        </w:numPr>
        <w:spacing w:after="0"/>
        <w:ind w:right="263"/>
        <w:rPr>
          <w:color w:val="auto"/>
          <w:lang w:val="en-CA"/>
        </w:rPr>
      </w:pPr>
      <w:r w:rsidRPr="00574F0F">
        <w:rPr>
          <w:b/>
          <w:color w:val="auto"/>
          <w:lang w:val="en-CA"/>
        </w:rPr>
        <w:t>Kenen, P. (1969), "</w:t>
      </w:r>
      <w:r w:rsidRPr="00574F0F">
        <w:rPr>
          <w:color w:val="auto"/>
          <w:lang w:val="en-CA"/>
        </w:rPr>
        <w:t xml:space="preserve">The Theory of </w:t>
      </w:r>
      <w:proofErr w:type="spellStart"/>
      <w:r w:rsidRPr="00574F0F">
        <w:rPr>
          <w:color w:val="auto"/>
          <w:lang w:val="en-CA"/>
        </w:rPr>
        <w:t>Optimun</w:t>
      </w:r>
      <w:proofErr w:type="spellEnd"/>
      <w:r w:rsidRPr="00574F0F">
        <w:rPr>
          <w:color w:val="auto"/>
          <w:lang w:val="en-CA"/>
        </w:rPr>
        <w:t xml:space="preserve"> Currency Areas: An Eclectic </w:t>
      </w:r>
      <w:proofErr w:type="spellStart"/>
      <w:r w:rsidRPr="00574F0F">
        <w:rPr>
          <w:color w:val="auto"/>
          <w:lang w:val="en-CA"/>
        </w:rPr>
        <w:t>Vieew</w:t>
      </w:r>
      <w:proofErr w:type="spellEnd"/>
      <w:r w:rsidRPr="00574F0F">
        <w:rPr>
          <w:color w:val="auto"/>
          <w:lang w:val="en-CA"/>
        </w:rPr>
        <w:t xml:space="preserve">. In R. </w:t>
      </w:r>
      <w:proofErr w:type="spellStart"/>
      <w:r w:rsidRPr="00574F0F">
        <w:rPr>
          <w:color w:val="auto"/>
          <w:lang w:val="en-CA"/>
        </w:rPr>
        <w:t>Mudell</w:t>
      </w:r>
      <w:proofErr w:type="spellEnd"/>
      <w:r w:rsidRPr="00574F0F">
        <w:rPr>
          <w:color w:val="auto"/>
          <w:lang w:val="en-CA"/>
        </w:rPr>
        <w:t xml:space="preserve">, &amp; A. Swoboda", </w:t>
      </w:r>
      <w:r w:rsidRPr="00574F0F">
        <w:rPr>
          <w:i/>
          <w:color w:val="auto"/>
          <w:lang w:val="en-CA"/>
        </w:rPr>
        <w:t xml:space="preserve">Monetary Problems of the International Economy </w:t>
      </w:r>
      <w:r w:rsidRPr="00574F0F">
        <w:rPr>
          <w:color w:val="auto"/>
          <w:lang w:val="en-CA"/>
        </w:rPr>
        <w:t xml:space="preserve">(pp. 41- 60). Chicago: University of Chicago Press.  </w:t>
      </w:r>
    </w:p>
    <w:p w14:paraId="5665F16E"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 xml:space="preserve">Klein M. W. and J. C. Shambaugh (2010), </w:t>
      </w:r>
      <w:r w:rsidRPr="00574F0F">
        <w:rPr>
          <w:color w:val="auto"/>
          <w:lang w:val="en-CA"/>
        </w:rPr>
        <w:t xml:space="preserve">"Exchange Rate Regimes in the Modern Era" The MIT Press Cambridge, Massachusetts London, England </w:t>
      </w:r>
    </w:p>
    <w:p w14:paraId="1FEBE919" w14:textId="77777777" w:rsidR="007563B7" w:rsidRPr="00574F0F" w:rsidRDefault="007563B7" w:rsidP="00574F0F">
      <w:pPr>
        <w:pStyle w:val="ListParagraph"/>
        <w:numPr>
          <w:ilvl w:val="0"/>
          <w:numId w:val="4"/>
        </w:numPr>
        <w:spacing w:after="0"/>
        <w:ind w:right="261"/>
        <w:rPr>
          <w:color w:val="auto"/>
          <w:lang w:val="en-CA"/>
        </w:rPr>
      </w:pPr>
      <w:proofErr w:type="spellStart"/>
      <w:r w:rsidRPr="00574F0F">
        <w:rPr>
          <w:b/>
          <w:color w:val="auto"/>
          <w:lang w:val="en-CA"/>
        </w:rPr>
        <w:t>Kuipou</w:t>
      </w:r>
      <w:proofErr w:type="spellEnd"/>
      <w:r w:rsidRPr="00574F0F">
        <w:rPr>
          <w:b/>
          <w:color w:val="auto"/>
          <w:lang w:val="en-CA"/>
        </w:rPr>
        <w:t xml:space="preserve">, T, C., Nembot N, L., </w:t>
      </w:r>
      <w:proofErr w:type="spellStart"/>
      <w:r w:rsidRPr="00574F0F">
        <w:rPr>
          <w:b/>
          <w:color w:val="auto"/>
          <w:lang w:val="en-CA"/>
        </w:rPr>
        <w:t>Tafah</w:t>
      </w:r>
      <w:proofErr w:type="spellEnd"/>
      <w:r w:rsidRPr="00574F0F">
        <w:rPr>
          <w:b/>
          <w:color w:val="auto"/>
          <w:lang w:val="en-CA"/>
        </w:rPr>
        <w:t xml:space="preserve"> O, E., (2015), </w:t>
      </w:r>
      <w:r w:rsidRPr="00574F0F">
        <w:rPr>
          <w:color w:val="auto"/>
          <w:lang w:val="en-CA"/>
        </w:rPr>
        <w:t xml:space="preserve">"Financial development and economic growth in African franc zone countries: the role of governance", European Scientific Journal, February 2015, Edition Vol.11, N°4 ISSN: 1857-7881, pp.131-159. </w:t>
      </w:r>
    </w:p>
    <w:p w14:paraId="385A1948"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 xml:space="preserve">Lane P, R. (1997), </w:t>
      </w:r>
      <w:r w:rsidRPr="00574F0F">
        <w:rPr>
          <w:color w:val="auto"/>
          <w:lang w:val="en-CA"/>
        </w:rPr>
        <w:t xml:space="preserve">"Inflation in open economies. Journal of International Economics 42(3):327-347. </w:t>
      </w:r>
    </w:p>
    <w:p w14:paraId="7388B7A5"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Levy-Yeyati, E., &amp; Sturzenegger, F. (2001), "</w:t>
      </w:r>
      <w:r w:rsidRPr="00574F0F">
        <w:rPr>
          <w:color w:val="auto"/>
          <w:lang w:val="en-CA"/>
        </w:rPr>
        <w:t xml:space="preserve">Exchange rate regimes and economic performance". IMF Staff Papers, 47(Special issue), 62-98.  </w:t>
      </w:r>
    </w:p>
    <w:p w14:paraId="5EFA22A3"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 xml:space="preserve">Levy-Yeyati E., Sturzenegger F. (2005), </w:t>
      </w:r>
      <w:r w:rsidRPr="00574F0F">
        <w:rPr>
          <w:color w:val="auto"/>
          <w:lang w:val="en-CA"/>
        </w:rPr>
        <w:t xml:space="preserve">"Classifying exchange rate regimes: </w:t>
      </w:r>
      <w:proofErr w:type="spellStart"/>
      <w:r w:rsidRPr="00574F0F">
        <w:rPr>
          <w:color w:val="auto"/>
          <w:lang w:val="en-CA"/>
        </w:rPr>
        <w:t>Deedsvs</w:t>
      </w:r>
      <w:proofErr w:type="spellEnd"/>
      <w:r w:rsidRPr="00574F0F">
        <w:rPr>
          <w:color w:val="auto"/>
          <w:lang w:val="en-CA"/>
        </w:rPr>
        <w:t xml:space="preserve">. Words", </w:t>
      </w:r>
      <w:r w:rsidRPr="00574F0F">
        <w:rPr>
          <w:i/>
          <w:color w:val="auto"/>
          <w:lang w:val="en-CA"/>
        </w:rPr>
        <w:t>European Economic Review</w:t>
      </w:r>
      <w:r w:rsidRPr="00574F0F">
        <w:rPr>
          <w:color w:val="auto"/>
          <w:lang w:val="en-CA"/>
        </w:rPr>
        <w:t>, 49, 6, pp. 1603-1635</w:t>
      </w:r>
      <w:r w:rsidRPr="00574F0F">
        <w:rPr>
          <w:b/>
          <w:color w:val="auto"/>
          <w:lang w:val="en-CA"/>
        </w:rPr>
        <w:t>-</w:t>
      </w:r>
      <w:r w:rsidRPr="00574F0F">
        <w:rPr>
          <w:color w:val="auto"/>
          <w:lang w:val="en-CA"/>
        </w:rPr>
        <w:t xml:space="preserve">. </w:t>
      </w:r>
    </w:p>
    <w:p w14:paraId="3D0F9E0F"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lastRenderedPageBreak/>
        <w:t>Levy-Yeyati, E.; F. Sturzenegger and I. Reggio (2010).</w:t>
      </w:r>
      <w:r w:rsidRPr="00574F0F">
        <w:rPr>
          <w:color w:val="auto"/>
          <w:lang w:val="en-CA"/>
        </w:rPr>
        <w:t xml:space="preserve"> "On the endogeneity of exchange rate regimes", European Economic Review 54 (5), pp. 659-677. </w:t>
      </w:r>
    </w:p>
    <w:p w14:paraId="1B2F6CEF" w14:textId="77777777" w:rsidR="007563B7" w:rsidRPr="00574F0F" w:rsidRDefault="007563B7" w:rsidP="00574F0F">
      <w:pPr>
        <w:pStyle w:val="ListParagraph"/>
        <w:numPr>
          <w:ilvl w:val="0"/>
          <w:numId w:val="4"/>
        </w:numPr>
        <w:spacing w:after="0"/>
        <w:rPr>
          <w:color w:val="auto"/>
          <w:lang w:val="en-CA"/>
        </w:rPr>
      </w:pPr>
      <w:proofErr w:type="spellStart"/>
      <w:r w:rsidRPr="00574F0F">
        <w:rPr>
          <w:b/>
          <w:color w:val="auto"/>
          <w:lang w:val="en-CA"/>
        </w:rPr>
        <w:t>Lohi</w:t>
      </w:r>
      <w:proofErr w:type="spellEnd"/>
      <w:r w:rsidRPr="00574F0F">
        <w:rPr>
          <w:b/>
          <w:color w:val="auto"/>
          <w:lang w:val="en-CA"/>
        </w:rPr>
        <w:t xml:space="preserve">, J., (2014), </w:t>
      </w:r>
      <w:r w:rsidRPr="00574F0F">
        <w:rPr>
          <w:color w:val="auto"/>
          <w:lang w:val="en-CA"/>
        </w:rPr>
        <w:t xml:space="preserve">"Exchange rate regimes and inflation in Sub-Saharan Africa", Journal of Economic and International Finance, Vol 6(8), pp. 173 </w:t>
      </w:r>
      <w:r w:rsidRPr="00574F0F">
        <w:rPr>
          <w:b/>
          <w:color w:val="auto"/>
          <w:lang w:val="en-CA"/>
        </w:rPr>
        <w:t>-</w:t>
      </w:r>
      <w:r w:rsidRPr="00574F0F">
        <w:rPr>
          <w:color w:val="auto"/>
          <w:lang w:val="en-CA"/>
        </w:rPr>
        <w:t xml:space="preserve">189. </w:t>
      </w:r>
    </w:p>
    <w:p w14:paraId="0572CB3E"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 xml:space="preserve">Mankiw G., Romer D. and Weil N. (1992), </w:t>
      </w:r>
      <w:r w:rsidRPr="00574F0F">
        <w:rPr>
          <w:color w:val="auto"/>
          <w:lang w:val="en-CA"/>
        </w:rPr>
        <w:t xml:space="preserve">"A contribution to the empirics of economic growth". </w:t>
      </w:r>
      <w:r w:rsidRPr="00574F0F">
        <w:rPr>
          <w:i/>
          <w:color w:val="auto"/>
          <w:lang w:val="en-CA"/>
        </w:rPr>
        <w:t>Quarterly Journal of Economics</w:t>
      </w:r>
      <w:r w:rsidRPr="00574F0F">
        <w:rPr>
          <w:color w:val="auto"/>
          <w:lang w:val="en-CA"/>
        </w:rPr>
        <w:t xml:space="preserve">. Vol. 107, Issue n°2, pp.407-437. </w:t>
      </w:r>
    </w:p>
    <w:p w14:paraId="1FEBC8C4" w14:textId="77777777" w:rsidR="007563B7" w:rsidRPr="00574F0F" w:rsidRDefault="007563B7" w:rsidP="00574F0F">
      <w:pPr>
        <w:pStyle w:val="ListParagraph"/>
        <w:numPr>
          <w:ilvl w:val="0"/>
          <w:numId w:val="4"/>
        </w:numPr>
        <w:spacing w:after="0"/>
        <w:ind w:right="261"/>
        <w:rPr>
          <w:color w:val="auto"/>
          <w:lang w:val="en-CA"/>
        </w:rPr>
      </w:pPr>
      <w:proofErr w:type="spellStart"/>
      <w:r w:rsidRPr="00574F0F">
        <w:rPr>
          <w:b/>
          <w:color w:val="auto"/>
          <w:lang w:val="en-CA"/>
        </w:rPr>
        <w:t>Mijiyawa</w:t>
      </w:r>
      <w:proofErr w:type="spellEnd"/>
      <w:r w:rsidRPr="00574F0F">
        <w:rPr>
          <w:b/>
          <w:color w:val="auto"/>
          <w:lang w:val="en-CA"/>
        </w:rPr>
        <w:t xml:space="preserve"> </w:t>
      </w:r>
      <w:proofErr w:type="spellStart"/>
      <w:r w:rsidRPr="00574F0F">
        <w:rPr>
          <w:b/>
          <w:color w:val="auto"/>
          <w:lang w:val="en-CA"/>
        </w:rPr>
        <w:t>Ganiou</w:t>
      </w:r>
      <w:proofErr w:type="spellEnd"/>
      <w:r w:rsidRPr="00574F0F">
        <w:rPr>
          <w:b/>
          <w:color w:val="auto"/>
          <w:lang w:val="en-CA"/>
        </w:rPr>
        <w:t xml:space="preserve">, A. (2010), </w:t>
      </w:r>
      <w:r w:rsidRPr="00574F0F">
        <w:rPr>
          <w:color w:val="auto"/>
          <w:lang w:val="en-CA"/>
        </w:rPr>
        <w:t xml:space="preserve">"Fighting inflation in developing countries: Does democracy help? an empirical investigation". Journal of international development, </w:t>
      </w:r>
      <w:proofErr w:type="spellStart"/>
      <w:r w:rsidRPr="00574F0F">
        <w:rPr>
          <w:color w:val="auto"/>
          <w:lang w:val="en-CA"/>
        </w:rPr>
        <w:t>J.Int</w:t>
      </w:r>
      <w:proofErr w:type="spellEnd"/>
      <w:r w:rsidRPr="00574F0F">
        <w:rPr>
          <w:color w:val="auto"/>
          <w:lang w:val="en-CA"/>
        </w:rPr>
        <w:t xml:space="preserve">. Dev? 23, 656-696 (2011), Université D'auvergne-Clermont I  </w:t>
      </w:r>
    </w:p>
    <w:p w14:paraId="3381C65E"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 xml:space="preserve">Mishkin S. (1997), </w:t>
      </w:r>
      <w:r w:rsidRPr="00574F0F">
        <w:rPr>
          <w:color w:val="auto"/>
          <w:lang w:val="en-CA"/>
        </w:rPr>
        <w:t xml:space="preserve">"Strategies for controlling inflation". </w:t>
      </w:r>
      <w:proofErr w:type="spellStart"/>
      <w:r w:rsidRPr="00574F0F">
        <w:rPr>
          <w:i/>
          <w:color w:val="auto"/>
          <w:lang w:val="en-CA"/>
        </w:rPr>
        <w:t>Nber</w:t>
      </w:r>
      <w:proofErr w:type="spellEnd"/>
      <w:r w:rsidRPr="00574F0F">
        <w:rPr>
          <w:i/>
          <w:color w:val="auto"/>
          <w:lang w:val="en-CA"/>
        </w:rPr>
        <w:t xml:space="preserve"> Working Paper</w:t>
      </w:r>
      <w:r w:rsidRPr="00574F0F">
        <w:rPr>
          <w:color w:val="auto"/>
          <w:lang w:val="en-CA"/>
        </w:rPr>
        <w:t xml:space="preserve">, pp.61-22, August.  </w:t>
      </w:r>
    </w:p>
    <w:p w14:paraId="14A3E2B6"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 xml:space="preserve">North D. (1990), </w:t>
      </w:r>
      <w:r w:rsidRPr="00574F0F">
        <w:rPr>
          <w:color w:val="auto"/>
          <w:lang w:val="en-CA"/>
        </w:rPr>
        <w:t xml:space="preserve">"Institutions, Institutional Change, and Economic Performance". Cambridge: University Press. </w:t>
      </w:r>
    </w:p>
    <w:p w14:paraId="6E3D1C6F"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 xml:space="preserve">North, D. (2005), </w:t>
      </w:r>
      <w:r w:rsidRPr="00574F0F">
        <w:rPr>
          <w:color w:val="auto"/>
          <w:lang w:val="en-CA"/>
        </w:rPr>
        <w:t xml:space="preserve">"The Economic Development Process", translated from English by LE SEAC'H M, Ed </w:t>
      </w:r>
      <w:proofErr w:type="spellStart"/>
      <w:r w:rsidRPr="00574F0F">
        <w:rPr>
          <w:color w:val="auto"/>
          <w:lang w:val="en-CA"/>
        </w:rPr>
        <w:t>D'Organisation</w:t>
      </w:r>
      <w:proofErr w:type="spellEnd"/>
      <w:r w:rsidRPr="00574F0F">
        <w:rPr>
          <w:color w:val="auto"/>
          <w:lang w:val="en-CA"/>
        </w:rPr>
        <w:t xml:space="preserve"> Paris. Woking Paper. Washington </w:t>
      </w:r>
      <w:proofErr w:type="spellStart"/>
      <w:r w:rsidRPr="00574F0F">
        <w:rPr>
          <w:color w:val="auto"/>
          <w:lang w:val="en-CA"/>
        </w:rPr>
        <w:t>Univesity</w:t>
      </w:r>
      <w:proofErr w:type="spellEnd"/>
      <w:r w:rsidRPr="00574F0F">
        <w:rPr>
          <w:color w:val="auto"/>
          <w:lang w:val="en-CA"/>
        </w:rPr>
        <w:t xml:space="preserve">, St. Louis.  </w:t>
      </w:r>
    </w:p>
    <w:p w14:paraId="3978B0A2"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 xml:space="preserve">UNDP-ICBE et al (2017), </w:t>
      </w:r>
      <w:r w:rsidRPr="00574F0F">
        <w:rPr>
          <w:color w:val="auto"/>
          <w:lang w:val="en-CA"/>
        </w:rPr>
        <w:t xml:space="preserve">"Implementing Emergence Plans in Africa" jointly organised by UNDP, in collaboration with WB, AfDB... 2017 edition. </w:t>
      </w:r>
    </w:p>
    <w:p w14:paraId="661CF650"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 xml:space="preserve">Polity IV (2019), </w:t>
      </w:r>
      <w:r w:rsidRPr="00574F0F">
        <w:rPr>
          <w:color w:val="auto"/>
          <w:lang w:val="en-CA"/>
        </w:rPr>
        <w:t xml:space="preserve">http://www.systemicpeace.org/inscr/inscr.htm.  </w:t>
      </w:r>
    </w:p>
    <w:p w14:paraId="00225580"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 xml:space="preserve">Reinhart C.M., Rogoff K. (2004), </w:t>
      </w:r>
      <w:r w:rsidRPr="00574F0F">
        <w:rPr>
          <w:color w:val="auto"/>
          <w:lang w:val="en-CA"/>
        </w:rPr>
        <w:t xml:space="preserve">"The modern history of exchange rate arrangements: A reinterpretation", </w:t>
      </w:r>
      <w:r w:rsidRPr="00574F0F">
        <w:rPr>
          <w:i/>
          <w:color w:val="auto"/>
          <w:lang w:val="en-CA"/>
        </w:rPr>
        <w:t>The Quarterly Journal of Economics</w:t>
      </w:r>
      <w:r w:rsidRPr="00574F0F">
        <w:rPr>
          <w:color w:val="auto"/>
          <w:lang w:val="en-CA"/>
        </w:rPr>
        <w:t xml:space="preserve">, 119(1), February, pp. 1-48.  </w:t>
      </w:r>
    </w:p>
    <w:p w14:paraId="4036BB55"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 xml:space="preserve">Rogoff K. (2003), </w:t>
      </w:r>
      <w:r w:rsidRPr="00574F0F">
        <w:rPr>
          <w:color w:val="auto"/>
          <w:lang w:val="en-CA"/>
        </w:rPr>
        <w:t xml:space="preserve">"Globalization and global disinflation. Paper prepared for the Federal Reserve Bank of Kansas City Conference on Monetary Policy and Uncertainty: Adapting to a Changing Economy. </w:t>
      </w:r>
    </w:p>
    <w:p w14:paraId="0EBD8FB0" w14:textId="77777777" w:rsidR="007563B7" w:rsidRPr="00574F0F" w:rsidRDefault="007563B7" w:rsidP="00574F0F">
      <w:pPr>
        <w:pStyle w:val="ListParagraph"/>
        <w:numPr>
          <w:ilvl w:val="0"/>
          <w:numId w:val="4"/>
        </w:numPr>
        <w:spacing w:after="0"/>
        <w:ind w:right="261"/>
        <w:rPr>
          <w:color w:val="auto"/>
        </w:rPr>
      </w:pPr>
      <w:r w:rsidRPr="00574F0F">
        <w:rPr>
          <w:b/>
          <w:color w:val="auto"/>
          <w:lang w:val="en-CA"/>
        </w:rPr>
        <w:t xml:space="preserve">Sall, </w:t>
      </w:r>
      <w:proofErr w:type="spellStart"/>
      <w:r w:rsidRPr="00574F0F">
        <w:rPr>
          <w:b/>
          <w:color w:val="auto"/>
          <w:lang w:val="en-CA"/>
        </w:rPr>
        <w:t>Khadry</w:t>
      </w:r>
      <w:proofErr w:type="spellEnd"/>
      <w:r w:rsidRPr="00574F0F">
        <w:rPr>
          <w:b/>
          <w:color w:val="auto"/>
          <w:lang w:val="en-CA"/>
        </w:rPr>
        <w:t xml:space="preserve">, A. (2017), </w:t>
      </w:r>
      <w:r w:rsidRPr="00574F0F">
        <w:rPr>
          <w:color w:val="auto"/>
          <w:lang w:val="en-CA"/>
        </w:rPr>
        <w:t xml:space="preserve">"Exchange rate regimes and economic performance in Africa: what lessons for WAEMU countries? </w:t>
      </w:r>
      <w:r w:rsidRPr="00574F0F">
        <w:rPr>
          <w:color w:val="auto"/>
        </w:rPr>
        <w:t>", Revue Internationale des Economiste de Langue Française, Laboratoire de Recherche en Economie de Saint-Louis (LARES/</w:t>
      </w:r>
      <w:proofErr w:type="spellStart"/>
      <w:r w:rsidRPr="00574F0F">
        <w:rPr>
          <w:color w:val="auto"/>
        </w:rPr>
        <w:t>Senegal</w:t>
      </w:r>
      <w:proofErr w:type="spellEnd"/>
      <w:r w:rsidRPr="00574F0F">
        <w:rPr>
          <w:color w:val="auto"/>
        </w:rPr>
        <w:t xml:space="preserve">) and Laboratoire d'Economie d'Orléans (LEO/France), Vol 2, N°1. </w:t>
      </w:r>
    </w:p>
    <w:p w14:paraId="193E12B4" w14:textId="77777777" w:rsidR="007563B7" w:rsidRPr="00574F0F" w:rsidRDefault="007563B7" w:rsidP="00574F0F">
      <w:pPr>
        <w:pStyle w:val="ListParagraph"/>
        <w:numPr>
          <w:ilvl w:val="0"/>
          <w:numId w:val="4"/>
        </w:numPr>
        <w:spacing w:after="0"/>
        <w:rPr>
          <w:color w:val="auto"/>
          <w:lang w:val="en-CA"/>
        </w:rPr>
      </w:pPr>
      <w:proofErr w:type="spellStart"/>
      <w:r w:rsidRPr="00574F0F">
        <w:rPr>
          <w:b/>
          <w:color w:val="auto"/>
          <w:lang w:val="en-CA"/>
        </w:rPr>
        <w:t>Satyanath</w:t>
      </w:r>
      <w:proofErr w:type="spellEnd"/>
      <w:r w:rsidRPr="00574F0F">
        <w:rPr>
          <w:b/>
          <w:color w:val="auto"/>
          <w:lang w:val="en-CA"/>
        </w:rPr>
        <w:t xml:space="preserve"> S, Subramanian A. (2004), </w:t>
      </w:r>
      <w:r w:rsidRPr="00574F0F">
        <w:rPr>
          <w:color w:val="auto"/>
          <w:lang w:val="en-CA"/>
        </w:rPr>
        <w:t xml:space="preserve">"What determines long-run macroeconomic stability Democratic institutions. IMF Working Paper No. 215, International Monetary </w:t>
      </w:r>
      <w:proofErr w:type="spellStart"/>
      <w:proofErr w:type="gramStart"/>
      <w:r w:rsidRPr="00574F0F">
        <w:rPr>
          <w:color w:val="auto"/>
          <w:lang w:val="en-CA"/>
        </w:rPr>
        <w:t>Fund:Washington</w:t>
      </w:r>
      <w:proofErr w:type="spellEnd"/>
      <w:proofErr w:type="gramEnd"/>
      <w:r w:rsidRPr="00574F0F">
        <w:rPr>
          <w:color w:val="auto"/>
          <w:lang w:val="en-CA"/>
        </w:rPr>
        <w:t xml:space="preserve">, DC. </w:t>
      </w:r>
    </w:p>
    <w:p w14:paraId="7D604CF7" w14:textId="77777777" w:rsidR="007563B7" w:rsidRPr="00574F0F" w:rsidRDefault="007563B7" w:rsidP="00574F0F">
      <w:pPr>
        <w:pStyle w:val="ListParagraph"/>
        <w:numPr>
          <w:ilvl w:val="0"/>
          <w:numId w:val="4"/>
        </w:numPr>
        <w:spacing w:after="0"/>
        <w:rPr>
          <w:color w:val="auto"/>
          <w:lang w:val="en-CA"/>
        </w:rPr>
      </w:pPr>
      <w:proofErr w:type="spellStart"/>
      <w:r w:rsidRPr="00574F0F">
        <w:rPr>
          <w:b/>
          <w:color w:val="auto"/>
          <w:lang w:val="en-CA"/>
        </w:rPr>
        <w:t>Satyanath</w:t>
      </w:r>
      <w:proofErr w:type="spellEnd"/>
      <w:r w:rsidRPr="00574F0F">
        <w:rPr>
          <w:b/>
          <w:color w:val="auto"/>
          <w:lang w:val="en-CA"/>
        </w:rPr>
        <w:t xml:space="preserve"> S, Subramanian A. (2007), </w:t>
      </w:r>
      <w:r w:rsidRPr="00574F0F">
        <w:rPr>
          <w:color w:val="auto"/>
          <w:lang w:val="en-CA"/>
        </w:rPr>
        <w:t xml:space="preserve">"The political economy of nominal macroeconomic pathologies. Staff papers: International Monetary Fund 54(3): 419-453.  </w:t>
      </w:r>
    </w:p>
    <w:p w14:paraId="7275AE2B" w14:textId="77777777" w:rsidR="007563B7" w:rsidRPr="00574F0F" w:rsidRDefault="007563B7" w:rsidP="00574F0F">
      <w:pPr>
        <w:pStyle w:val="ListParagraph"/>
        <w:numPr>
          <w:ilvl w:val="0"/>
          <w:numId w:val="4"/>
        </w:numPr>
        <w:spacing w:after="0"/>
        <w:rPr>
          <w:color w:val="auto"/>
        </w:rPr>
      </w:pPr>
      <w:r w:rsidRPr="00574F0F">
        <w:rPr>
          <w:b/>
          <w:color w:val="auto"/>
          <w:lang w:val="en-CA"/>
        </w:rPr>
        <w:t xml:space="preserve">Scheve K. (2004), </w:t>
      </w:r>
      <w:r w:rsidRPr="00574F0F">
        <w:rPr>
          <w:color w:val="auto"/>
          <w:lang w:val="en-CA"/>
        </w:rPr>
        <w:t xml:space="preserve">"Public inflation aversion and the political economy of macroeconomic policymaking. </w:t>
      </w:r>
      <w:r w:rsidRPr="00574F0F">
        <w:rPr>
          <w:color w:val="auto"/>
        </w:rPr>
        <w:t xml:space="preserve">International </w:t>
      </w:r>
      <w:proofErr w:type="spellStart"/>
      <w:r w:rsidRPr="00574F0F">
        <w:rPr>
          <w:color w:val="auto"/>
        </w:rPr>
        <w:t>Organization</w:t>
      </w:r>
      <w:proofErr w:type="spellEnd"/>
      <w:r w:rsidRPr="00574F0F">
        <w:rPr>
          <w:color w:val="auto"/>
        </w:rPr>
        <w:t xml:space="preserve"> 58(1</w:t>
      </w:r>
      <w:proofErr w:type="gramStart"/>
      <w:r w:rsidRPr="00574F0F">
        <w:rPr>
          <w:color w:val="auto"/>
        </w:rPr>
        <w:t>):</w:t>
      </w:r>
      <w:proofErr w:type="gramEnd"/>
      <w:r w:rsidRPr="00574F0F">
        <w:rPr>
          <w:color w:val="auto"/>
        </w:rPr>
        <w:t xml:space="preserve"> 1-34. </w:t>
      </w:r>
    </w:p>
    <w:p w14:paraId="27A78D00" w14:textId="77777777" w:rsidR="007563B7" w:rsidRPr="00574F0F" w:rsidRDefault="007563B7" w:rsidP="00574F0F">
      <w:pPr>
        <w:pStyle w:val="ListParagraph"/>
        <w:numPr>
          <w:ilvl w:val="0"/>
          <w:numId w:val="4"/>
        </w:numPr>
        <w:spacing w:after="0"/>
        <w:rPr>
          <w:color w:val="auto"/>
        </w:rPr>
      </w:pPr>
      <w:r w:rsidRPr="00574F0F">
        <w:rPr>
          <w:b/>
          <w:color w:val="auto"/>
        </w:rPr>
        <w:t xml:space="preserve">Sevestre P. (2002), </w:t>
      </w:r>
      <w:r w:rsidRPr="00574F0F">
        <w:rPr>
          <w:color w:val="auto"/>
        </w:rPr>
        <w:t xml:space="preserve">"Econométrie des Données de Panel". Paris Dunod.  </w:t>
      </w:r>
    </w:p>
    <w:p w14:paraId="61D909B2"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 xml:space="preserve">Shambaugh, J. (2004), </w:t>
      </w:r>
      <w:r w:rsidRPr="00574F0F">
        <w:rPr>
          <w:color w:val="auto"/>
          <w:lang w:val="en-CA"/>
        </w:rPr>
        <w:t xml:space="preserve">"the effect of fixed exchange rates on monetary policy", Quarterly Journal of Economics 119, 301.  </w:t>
      </w:r>
    </w:p>
    <w:p w14:paraId="5E55E38E"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Shi, M., and Svensson, J.  (2000) "</w:t>
      </w:r>
      <w:r w:rsidRPr="00574F0F">
        <w:rPr>
          <w:color w:val="auto"/>
          <w:lang w:val="en-CA"/>
        </w:rPr>
        <w:t xml:space="preserve">Conditional Political Business Cycles: Theory and Evidence." Typescript, Development Research Group, World Bank. </w:t>
      </w:r>
    </w:p>
    <w:p w14:paraId="20079C06" w14:textId="77777777" w:rsidR="007563B7" w:rsidRPr="00574F0F" w:rsidRDefault="007563B7" w:rsidP="00574F0F">
      <w:pPr>
        <w:pStyle w:val="ListParagraph"/>
        <w:numPr>
          <w:ilvl w:val="0"/>
          <w:numId w:val="4"/>
        </w:numPr>
        <w:spacing w:after="0"/>
        <w:rPr>
          <w:color w:val="auto"/>
          <w:lang w:val="en-CA"/>
        </w:rPr>
      </w:pPr>
      <w:r w:rsidRPr="00574F0F">
        <w:rPr>
          <w:b/>
          <w:color w:val="auto"/>
          <w:lang w:val="en-CA"/>
        </w:rPr>
        <w:t xml:space="preserve">Solow R.M. (1956), </w:t>
      </w:r>
      <w:r w:rsidRPr="00574F0F">
        <w:rPr>
          <w:color w:val="auto"/>
          <w:lang w:val="en-CA"/>
        </w:rPr>
        <w:t xml:space="preserve">"A contribution to the theory of economic growth". </w:t>
      </w:r>
      <w:r w:rsidRPr="00574F0F">
        <w:rPr>
          <w:i/>
          <w:color w:val="auto"/>
          <w:lang w:val="en-CA"/>
        </w:rPr>
        <w:t xml:space="preserve">Quarterly </w:t>
      </w:r>
      <w:proofErr w:type="spellStart"/>
      <w:r w:rsidRPr="00574F0F">
        <w:rPr>
          <w:i/>
          <w:color w:val="auto"/>
          <w:lang w:val="en-CA"/>
        </w:rPr>
        <w:t>Journalof</w:t>
      </w:r>
      <w:proofErr w:type="spellEnd"/>
      <w:r w:rsidRPr="00574F0F">
        <w:rPr>
          <w:i/>
          <w:color w:val="auto"/>
          <w:lang w:val="en-CA"/>
        </w:rPr>
        <w:t xml:space="preserve"> Economics</w:t>
      </w:r>
      <w:r w:rsidRPr="00574F0F">
        <w:rPr>
          <w:color w:val="auto"/>
          <w:lang w:val="en-CA"/>
        </w:rPr>
        <w:t xml:space="preserve">. No. 70, pp. 65-94. </w:t>
      </w:r>
    </w:p>
    <w:p w14:paraId="5EF9590F" w14:textId="77777777" w:rsidR="00B62F44" w:rsidRPr="00574F0F" w:rsidRDefault="007563B7" w:rsidP="00574F0F">
      <w:pPr>
        <w:pStyle w:val="ListParagraph"/>
        <w:numPr>
          <w:ilvl w:val="0"/>
          <w:numId w:val="4"/>
        </w:numPr>
        <w:spacing w:after="0" w:line="246" w:lineRule="auto"/>
        <w:ind w:right="-15"/>
        <w:rPr>
          <w:color w:val="auto"/>
          <w:lang w:val="en-CA"/>
        </w:rPr>
      </w:pPr>
      <w:r w:rsidRPr="00574F0F">
        <w:rPr>
          <w:b/>
          <w:color w:val="auto"/>
          <w:lang w:val="en-CA"/>
        </w:rPr>
        <w:t xml:space="preserve">World Development Indicators (2019), </w:t>
      </w:r>
      <w:r w:rsidRPr="00574F0F">
        <w:rPr>
          <w:color w:val="auto"/>
          <w:lang w:val="en-CA"/>
        </w:rPr>
        <w:t xml:space="preserve">"World Bank database". </w:t>
      </w:r>
    </w:p>
    <w:p w14:paraId="1EDA8E36" w14:textId="77777777" w:rsidR="006B2409" w:rsidRDefault="006B2409" w:rsidP="006B2409">
      <w:pPr>
        <w:spacing w:after="0" w:line="246" w:lineRule="auto"/>
        <w:ind w:left="366" w:right="-15" w:hanging="10"/>
        <w:rPr>
          <w:color w:val="auto"/>
          <w:lang w:val="en-CA"/>
        </w:rPr>
      </w:pPr>
    </w:p>
    <w:p w14:paraId="418E6776" w14:textId="77777777" w:rsidR="006B2409" w:rsidRDefault="006B2409" w:rsidP="006B2409">
      <w:pPr>
        <w:spacing w:after="0" w:line="246" w:lineRule="auto"/>
        <w:ind w:left="366" w:right="-15" w:hanging="10"/>
        <w:rPr>
          <w:color w:val="auto"/>
          <w:lang w:val="en-CA"/>
        </w:rPr>
      </w:pPr>
    </w:p>
    <w:p w14:paraId="0F23FC67" w14:textId="77777777" w:rsidR="006B2409" w:rsidRDefault="006B2409" w:rsidP="006B2409">
      <w:pPr>
        <w:spacing w:after="0" w:line="246" w:lineRule="auto"/>
        <w:ind w:left="366" w:right="-15" w:hanging="10"/>
        <w:rPr>
          <w:color w:val="auto"/>
          <w:lang w:val="en-CA"/>
        </w:rPr>
      </w:pPr>
    </w:p>
    <w:p w14:paraId="7296A96C" w14:textId="77777777" w:rsidR="006B2409" w:rsidRDefault="006B2409" w:rsidP="006B2409">
      <w:pPr>
        <w:spacing w:after="0" w:line="246" w:lineRule="auto"/>
        <w:ind w:left="366" w:right="-15" w:hanging="10"/>
        <w:rPr>
          <w:color w:val="auto"/>
          <w:lang w:val="en-CA"/>
        </w:rPr>
      </w:pPr>
    </w:p>
    <w:p w14:paraId="18EE824F" w14:textId="77777777" w:rsidR="006B2409" w:rsidRDefault="006B2409" w:rsidP="006B2409">
      <w:pPr>
        <w:spacing w:after="0" w:line="246" w:lineRule="auto"/>
        <w:ind w:left="366" w:right="-15" w:hanging="10"/>
        <w:rPr>
          <w:color w:val="auto"/>
          <w:lang w:val="en-CA"/>
        </w:rPr>
      </w:pPr>
    </w:p>
    <w:p w14:paraId="1109BDBC" w14:textId="77777777" w:rsidR="006B2409" w:rsidRDefault="006B2409" w:rsidP="006B2409">
      <w:pPr>
        <w:spacing w:after="0" w:line="246" w:lineRule="auto"/>
        <w:ind w:left="366" w:right="-15" w:hanging="10"/>
        <w:rPr>
          <w:color w:val="auto"/>
          <w:lang w:val="en-CA"/>
        </w:rPr>
      </w:pPr>
    </w:p>
    <w:p w14:paraId="3DC08F24" w14:textId="77777777" w:rsidR="006B2409" w:rsidRDefault="006B2409" w:rsidP="006B2409">
      <w:pPr>
        <w:spacing w:after="0" w:line="246" w:lineRule="auto"/>
        <w:ind w:left="366" w:right="-15" w:hanging="10"/>
        <w:rPr>
          <w:color w:val="auto"/>
          <w:lang w:val="en-CA"/>
        </w:rPr>
      </w:pPr>
    </w:p>
    <w:p w14:paraId="1F403A9C" w14:textId="77777777" w:rsidR="006B2409" w:rsidRDefault="006B2409" w:rsidP="006B2409">
      <w:pPr>
        <w:spacing w:after="0" w:line="246" w:lineRule="auto"/>
        <w:ind w:left="366" w:right="-15" w:hanging="10"/>
        <w:rPr>
          <w:color w:val="auto"/>
          <w:lang w:val="en-CA"/>
        </w:rPr>
      </w:pPr>
    </w:p>
    <w:p w14:paraId="7E15470A" w14:textId="77777777" w:rsidR="006B2409" w:rsidRDefault="006B2409" w:rsidP="006B2409">
      <w:pPr>
        <w:spacing w:after="0" w:line="246" w:lineRule="auto"/>
        <w:ind w:left="366" w:right="-15" w:hanging="10"/>
        <w:rPr>
          <w:color w:val="auto"/>
          <w:lang w:val="en-CA"/>
        </w:rPr>
      </w:pPr>
    </w:p>
    <w:p w14:paraId="115338B5" w14:textId="77777777" w:rsidR="006B2409" w:rsidRDefault="006B2409" w:rsidP="006B2409">
      <w:pPr>
        <w:spacing w:after="0" w:line="246" w:lineRule="auto"/>
        <w:ind w:left="366" w:right="-15" w:hanging="10"/>
        <w:rPr>
          <w:color w:val="auto"/>
          <w:lang w:val="en-CA"/>
        </w:rPr>
      </w:pPr>
    </w:p>
    <w:p w14:paraId="40B324C9" w14:textId="77777777" w:rsidR="006B2409" w:rsidRDefault="006B2409" w:rsidP="006B2409">
      <w:pPr>
        <w:spacing w:after="0" w:line="246" w:lineRule="auto"/>
        <w:ind w:left="366" w:right="-15" w:hanging="10"/>
        <w:rPr>
          <w:color w:val="auto"/>
          <w:lang w:val="en-CA"/>
        </w:rPr>
      </w:pPr>
    </w:p>
    <w:p w14:paraId="3397133B" w14:textId="77777777" w:rsidR="006B2409" w:rsidRDefault="006B2409" w:rsidP="006B2409">
      <w:pPr>
        <w:spacing w:after="0" w:line="246" w:lineRule="auto"/>
        <w:ind w:left="366" w:right="-15" w:hanging="10"/>
        <w:rPr>
          <w:color w:val="auto"/>
          <w:lang w:val="en-CA"/>
        </w:rPr>
      </w:pPr>
    </w:p>
    <w:p w14:paraId="45C97A9A" w14:textId="77777777" w:rsidR="006B2409" w:rsidRDefault="006B2409" w:rsidP="006B2409">
      <w:pPr>
        <w:spacing w:after="0" w:line="246" w:lineRule="auto"/>
        <w:ind w:left="366" w:right="-15" w:hanging="10"/>
        <w:rPr>
          <w:color w:val="auto"/>
          <w:lang w:val="en-CA"/>
        </w:rPr>
      </w:pPr>
    </w:p>
    <w:p w14:paraId="5D713A50" w14:textId="77777777" w:rsidR="006B2409" w:rsidRDefault="006B2409" w:rsidP="006B2409">
      <w:pPr>
        <w:spacing w:after="0" w:line="246" w:lineRule="auto"/>
        <w:ind w:left="366" w:right="-15" w:hanging="10"/>
        <w:rPr>
          <w:color w:val="auto"/>
          <w:lang w:val="en-CA"/>
        </w:rPr>
      </w:pPr>
    </w:p>
    <w:p w14:paraId="5BD6FD21" w14:textId="77777777" w:rsidR="006B2409" w:rsidRPr="006F4C9E" w:rsidRDefault="006B2409" w:rsidP="006B2409">
      <w:pPr>
        <w:spacing w:after="0" w:line="246" w:lineRule="auto"/>
        <w:ind w:left="366" w:right="-15" w:hanging="10"/>
        <w:rPr>
          <w:color w:val="auto"/>
          <w:lang w:val="en-CA"/>
        </w:rPr>
      </w:pPr>
    </w:p>
    <w:p w14:paraId="61B9D4AC" w14:textId="7274EB27" w:rsidR="007563B7" w:rsidRPr="006F4C9E" w:rsidRDefault="00B62F44" w:rsidP="007563B7">
      <w:pPr>
        <w:spacing w:after="210" w:line="246" w:lineRule="auto"/>
        <w:ind w:left="67" w:right="-15" w:hanging="10"/>
        <w:jc w:val="left"/>
        <w:rPr>
          <w:color w:val="auto"/>
          <w:lang w:val="en-CA"/>
        </w:rPr>
      </w:pPr>
      <w:r w:rsidRPr="006F4C9E">
        <w:rPr>
          <w:b/>
          <w:color w:val="auto"/>
          <w:lang w:val="en-CA"/>
        </w:rPr>
        <w:t>Appendix</w:t>
      </w:r>
      <w:r w:rsidR="00EB536B">
        <w:rPr>
          <w:b/>
          <w:color w:val="auto"/>
          <w:lang w:val="en-CA"/>
        </w:rPr>
        <w:t xml:space="preserve"> </w:t>
      </w:r>
      <w:proofErr w:type="gramStart"/>
      <w:r w:rsidR="008B6BEC">
        <w:rPr>
          <w:b/>
          <w:color w:val="auto"/>
          <w:lang w:val="en-CA"/>
        </w:rPr>
        <w:t>1</w:t>
      </w:r>
      <w:r w:rsidR="005222F3" w:rsidRPr="006F4C9E">
        <w:rPr>
          <w:b/>
          <w:color w:val="auto"/>
          <w:lang w:val="en-CA"/>
        </w:rPr>
        <w:t xml:space="preserve"> </w:t>
      </w:r>
      <w:r w:rsidR="007563B7" w:rsidRPr="006F4C9E">
        <w:rPr>
          <w:b/>
          <w:color w:val="auto"/>
          <w:lang w:val="en-CA"/>
        </w:rPr>
        <w:t>:</w:t>
      </w:r>
      <w:proofErr w:type="gramEnd"/>
      <w:r w:rsidR="007563B7" w:rsidRPr="006F4C9E">
        <w:rPr>
          <w:b/>
          <w:color w:val="auto"/>
          <w:lang w:val="en-CA"/>
        </w:rPr>
        <w:t xml:space="preserve"> Summary of the results of the unit root test</w:t>
      </w:r>
      <w:r w:rsidR="007563B7" w:rsidRPr="006F4C9E">
        <w:rPr>
          <w:color w:val="auto"/>
          <w:lang w:val="en-CA"/>
        </w:rPr>
        <w:t xml:space="preserve"> </w:t>
      </w:r>
    </w:p>
    <w:tbl>
      <w:tblPr>
        <w:tblStyle w:val="TableGrid"/>
        <w:tblW w:w="9926" w:type="dxa"/>
        <w:tblInd w:w="356" w:type="dxa"/>
        <w:tblCellMar>
          <w:left w:w="108" w:type="dxa"/>
          <w:right w:w="115" w:type="dxa"/>
        </w:tblCellMar>
        <w:tblLook w:val="04A0" w:firstRow="1" w:lastRow="0" w:firstColumn="1" w:lastColumn="0" w:noHBand="0" w:noVBand="1"/>
      </w:tblPr>
      <w:tblGrid>
        <w:gridCol w:w="1418"/>
        <w:gridCol w:w="2127"/>
        <w:gridCol w:w="1275"/>
        <w:gridCol w:w="2129"/>
        <w:gridCol w:w="1133"/>
        <w:gridCol w:w="1844"/>
      </w:tblGrid>
      <w:tr w:rsidR="007563B7" w:rsidRPr="006F4C9E" w14:paraId="24F12082" w14:textId="77777777" w:rsidTr="007563B7">
        <w:trPr>
          <w:trHeight w:val="274"/>
        </w:trPr>
        <w:tc>
          <w:tcPr>
            <w:tcW w:w="1418" w:type="dxa"/>
            <w:vMerge w:val="restart"/>
            <w:tcBorders>
              <w:top w:val="single" w:sz="4" w:space="0" w:color="000000"/>
              <w:left w:val="single" w:sz="4" w:space="0" w:color="000000"/>
              <w:bottom w:val="single" w:sz="4" w:space="0" w:color="000000"/>
              <w:right w:val="single" w:sz="4" w:space="0" w:color="000000"/>
            </w:tcBorders>
          </w:tcPr>
          <w:p w14:paraId="3120A3BA" w14:textId="77777777" w:rsidR="007563B7" w:rsidRPr="006F4C9E" w:rsidRDefault="007563B7" w:rsidP="007563B7">
            <w:pPr>
              <w:spacing w:after="0" w:line="276" w:lineRule="auto"/>
              <w:ind w:left="2" w:firstLine="0"/>
              <w:jc w:val="left"/>
              <w:rPr>
                <w:color w:val="auto"/>
              </w:rPr>
            </w:pPr>
            <w:r w:rsidRPr="006F4C9E">
              <w:rPr>
                <w:color w:val="auto"/>
                <w:sz w:val="20"/>
              </w:rPr>
              <w:t xml:space="preserve">Variables </w:t>
            </w:r>
          </w:p>
        </w:tc>
        <w:tc>
          <w:tcPr>
            <w:tcW w:w="3402" w:type="dxa"/>
            <w:gridSpan w:val="2"/>
            <w:tcBorders>
              <w:top w:val="single" w:sz="4" w:space="0" w:color="000000"/>
              <w:left w:val="single" w:sz="4" w:space="0" w:color="000000"/>
              <w:bottom w:val="single" w:sz="4" w:space="0" w:color="000000"/>
              <w:right w:val="single" w:sz="4" w:space="0" w:color="000000"/>
            </w:tcBorders>
          </w:tcPr>
          <w:p w14:paraId="4C35D6DC" w14:textId="77777777" w:rsidR="007563B7" w:rsidRPr="006F4C9E" w:rsidRDefault="007563B7" w:rsidP="007563B7">
            <w:pPr>
              <w:spacing w:after="0" w:line="276" w:lineRule="auto"/>
              <w:ind w:left="0" w:firstLine="0"/>
              <w:jc w:val="left"/>
              <w:rPr>
                <w:color w:val="auto"/>
              </w:rPr>
            </w:pPr>
            <w:r w:rsidRPr="006F4C9E">
              <w:rPr>
                <w:b/>
                <w:color w:val="auto"/>
                <w:sz w:val="20"/>
              </w:rPr>
              <w:t>Levin - Lin - Chu (LLC, 2002)</w:t>
            </w:r>
            <w:r w:rsidRPr="006F4C9E">
              <w:rPr>
                <w:color w:val="auto"/>
                <w:sz w:val="20"/>
              </w:rPr>
              <w:t xml:space="preserve"> </w:t>
            </w:r>
          </w:p>
        </w:tc>
        <w:tc>
          <w:tcPr>
            <w:tcW w:w="3262" w:type="dxa"/>
            <w:gridSpan w:val="2"/>
            <w:tcBorders>
              <w:top w:val="single" w:sz="4" w:space="0" w:color="000000"/>
              <w:left w:val="single" w:sz="4" w:space="0" w:color="000000"/>
              <w:bottom w:val="single" w:sz="4" w:space="0" w:color="000000"/>
              <w:right w:val="single" w:sz="4" w:space="0" w:color="000000"/>
            </w:tcBorders>
          </w:tcPr>
          <w:p w14:paraId="488089EB" w14:textId="77777777" w:rsidR="007563B7" w:rsidRPr="006F4C9E" w:rsidRDefault="007563B7" w:rsidP="007563B7">
            <w:pPr>
              <w:spacing w:after="0" w:line="276" w:lineRule="auto"/>
              <w:ind w:left="2" w:firstLine="0"/>
              <w:jc w:val="left"/>
              <w:rPr>
                <w:color w:val="auto"/>
              </w:rPr>
            </w:pPr>
            <w:r w:rsidRPr="006F4C9E">
              <w:rPr>
                <w:b/>
                <w:color w:val="auto"/>
                <w:sz w:val="20"/>
              </w:rPr>
              <w:t>Im-</w:t>
            </w:r>
            <w:proofErr w:type="spellStart"/>
            <w:r w:rsidRPr="006F4C9E">
              <w:rPr>
                <w:b/>
                <w:color w:val="auto"/>
                <w:sz w:val="20"/>
              </w:rPr>
              <w:t>Pesaran</w:t>
            </w:r>
            <w:proofErr w:type="spellEnd"/>
            <w:r w:rsidRPr="006F4C9E">
              <w:rPr>
                <w:b/>
                <w:color w:val="auto"/>
                <w:sz w:val="20"/>
              </w:rPr>
              <w:t>-Shin (IPS, 2003)</w:t>
            </w:r>
            <w:r w:rsidRPr="006F4C9E">
              <w:rPr>
                <w:color w:val="auto"/>
                <w:sz w:val="20"/>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0637C79A" w14:textId="77777777" w:rsidR="007563B7" w:rsidRPr="006F4C9E" w:rsidRDefault="007563B7" w:rsidP="007563B7">
            <w:pPr>
              <w:spacing w:after="0" w:line="276" w:lineRule="auto"/>
              <w:ind w:left="0" w:firstLine="0"/>
              <w:jc w:val="left"/>
              <w:rPr>
                <w:color w:val="auto"/>
              </w:rPr>
            </w:pPr>
            <w:proofErr w:type="spellStart"/>
            <w:r w:rsidRPr="006F4C9E">
              <w:rPr>
                <w:color w:val="auto"/>
                <w:sz w:val="20"/>
              </w:rPr>
              <w:t>Order</w:t>
            </w:r>
            <w:proofErr w:type="spellEnd"/>
            <w:r w:rsidRPr="006F4C9E">
              <w:rPr>
                <w:color w:val="auto"/>
                <w:sz w:val="20"/>
              </w:rPr>
              <w:t xml:space="preserve"> of </w:t>
            </w:r>
            <w:proofErr w:type="spellStart"/>
            <w:r w:rsidRPr="006F4C9E">
              <w:rPr>
                <w:color w:val="auto"/>
                <w:sz w:val="20"/>
              </w:rPr>
              <w:t>integration</w:t>
            </w:r>
            <w:proofErr w:type="spellEnd"/>
            <w:r w:rsidRPr="006F4C9E">
              <w:rPr>
                <w:color w:val="auto"/>
                <w:sz w:val="20"/>
              </w:rPr>
              <w:t xml:space="preserve"> </w:t>
            </w:r>
          </w:p>
        </w:tc>
      </w:tr>
      <w:tr w:rsidR="007563B7" w:rsidRPr="006F4C9E" w14:paraId="67E901CE" w14:textId="77777777" w:rsidTr="007563B7">
        <w:trPr>
          <w:trHeight w:val="274"/>
        </w:trPr>
        <w:tc>
          <w:tcPr>
            <w:tcW w:w="0" w:type="auto"/>
            <w:vMerge/>
            <w:tcBorders>
              <w:top w:val="nil"/>
              <w:left w:val="single" w:sz="4" w:space="0" w:color="000000"/>
              <w:bottom w:val="single" w:sz="4" w:space="0" w:color="000000"/>
              <w:right w:val="single" w:sz="4" w:space="0" w:color="000000"/>
            </w:tcBorders>
          </w:tcPr>
          <w:p w14:paraId="5178F298" w14:textId="77777777" w:rsidR="007563B7" w:rsidRPr="006F4C9E" w:rsidRDefault="007563B7" w:rsidP="007563B7">
            <w:pPr>
              <w:spacing w:after="0" w:line="276" w:lineRule="auto"/>
              <w:ind w:left="0" w:firstLine="0"/>
              <w:jc w:val="left"/>
              <w:rPr>
                <w:color w:val="auto"/>
              </w:rPr>
            </w:pPr>
          </w:p>
        </w:tc>
        <w:tc>
          <w:tcPr>
            <w:tcW w:w="2127" w:type="dxa"/>
            <w:tcBorders>
              <w:top w:val="single" w:sz="4" w:space="0" w:color="000000"/>
              <w:left w:val="single" w:sz="4" w:space="0" w:color="000000"/>
              <w:bottom w:val="single" w:sz="4" w:space="0" w:color="000000"/>
              <w:right w:val="single" w:sz="4" w:space="0" w:color="000000"/>
            </w:tcBorders>
          </w:tcPr>
          <w:p w14:paraId="27FF831E" w14:textId="77777777" w:rsidR="007563B7" w:rsidRPr="006F4C9E" w:rsidRDefault="007563B7" w:rsidP="007563B7">
            <w:pPr>
              <w:spacing w:after="0" w:line="276" w:lineRule="auto"/>
              <w:ind w:left="0" w:firstLine="0"/>
              <w:jc w:val="left"/>
              <w:rPr>
                <w:color w:val="auto"/>
              </w:rPr>
            </w:pPr>
            <w:r w:rsidRPr="006F4C9E">
              <w:rPr>
                <w:color w:val="auto"/>
                <w:sz w:val="20"/>
              </w:rPr>
              <w:t xml:space="preserve">Value of the </w:t>
            </w:r>
            <w:proofErr w:type="spellStart"/>
            <w:r w:rsidRPr="006F4C9E">
              <w:rPr>
                <w:color w:val="auto"/>
                <w:sz w:val="20"/>
              </w:rPr>
              <w:t>statistic</w:t>
            </w:r>
            <w:proofErr w:type="spellEnd"/>
            <w:r w:rsidRPr="006F4C9E">
              <w:rPr>
                <w:color w:val="auto"/>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1055DDD5" w14:textId="77777777" w:rsidR="007563B7" w:rsidRPr="006F4C9E" w:rsidRDefault="007563B7" w:rsidP="007563B7">
            <w:pPr>
              <w:spacing w:after="0" w:line="276" w:lineRule="auto"/>
              <w:ind w:left="0" w:firstLine="0"/>
              <w:jc w:val="left"/>
              <w:rPr>
                <w:color w:val="auto"/>
              </w:rPr>
            </w:pPr>
            <w:proofErr w:type="spellStart"/>
            <w:r w:rsidRPr="006F4C9E">
              <w:rPr>
                <w:color w:val="auto"/>
                <w:sz w:val="20"/>
              </w:rPr>
              <w:t>Probability</w:t>
            </w:r>
            <w:proofErr w:type="spellEnd"/>
            <w:r w:rsidRPr="006F4C9E">
              <w:rPr>
                <w:color w:val="auto"/>
                <w:sz w:val="20"/>
              </w:rP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492BF63E" w14:textId="77777777" w:rsidR="007563B7" w:rsidRPr="006F4C9E" w:rsidRDefault="007563B7" w:rsidP="007563B7">
            <w:pPr>
              <w:spacing w:after="0" w:line="276" w:lineRule="auto"/>
              <w:ind w:left="2" w:firstLine="0"/>
              <w:jc w:val="left"/>
              <w:rPr>
                <w:color w:val="auto"/>
              </w:rPr>
            </w:pPr>
            <w:r w:rsidRPr="006F4C9E">
              <w:rPr>
                <w:color w:val="auto"/>
                <w:sz w:val="20"/>
              </w:rPr>
              <w:t xml:space="preserve">Value of the </w:t>
            </w:r>
            <w:proofErr w:type="spellStart"/>
            <w:r w:rsidRPr="006F4C9E">
              <w:rPr>
                <w:color w:val="auto"/>
                <w:sz w:val="20"/>
              </w:rPr>
              <w:t>statistic</w:t>
            </w:r>
            <w:proofErr w:type="spellEnd"/>
            <w:r w:rsidRPr="006F4C9E">
              <w:rPr>
                <w:color w:val="auto"/>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6927567" w14:textId="77777777" w:rsidR="007563B7" w:rsidRPr="006F4C9E" w:rsidRDefault="007563B7" w:rsidP="007563B7">
            <w:pPr>
              <w:spacing w:after="0" w:line="276" w:lineRule="auto"/>
              <w:ind w:left="0" w:firstLine="0"/>
              <w:jc w:val="left"/>
              <w:rPr>
                <w:color w:val="auto"/>
              </w:rPr>
            </w:pPr>
            <w:proofErr w:type="spellStart"/>
            <w:r w:rsidRPr="006F4C9E">
              <w:rPr>
                <w:color w:val="auto"/>
                <w:sz w:val="20"/>
              </w:rPr>
              <w:t>Probability</w:t>
            </w:r>
            <w:proofErr w:type="spellEnd"/>
            <w:r w:rsidRPr="006F4C9E">
              <w:rPr>
                <w:color w:val="auto"/>
                <w:sz w:val="20"/>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2BAEB1D5" w14:textId="77777777" w:rsidR="007563B7" w:rsidRPr="006F4C9E" w:rsidRDefault="007563B7" w:rsidP="007563B7">
            <w:pPr>
              <w:spacing w:after="0" w:line="276" w:lineRule="auto"/>
              <w:ind w:left="0" w:firstLine="0"/>
              <w:jc w:val="left"/>
              <w:rPr>
                <w:color w:val="auto"/>
              </w:rPr>
            </w:pPr>
            <w:r w:rsidRPr="006F4C9E">
              <w:rPr>
                <w:color w:val="auto"/>
                <w:sz w:val="20"/>
              </w:rPr>
              <w:t xml:space="preserve"> </w:t>
            </w:r>
          </w:p>
        </w:tc>
      </w:tr>
      <w:tr w:rsidR="007563B7" w:rsidRPr="006F4C9E" w14:paraId="3786B494" w14:textId="77777777" w:rsidTr="007563B7">
        <w:trPr>
          <w:trHeight w:val="276"/>
        </w:trPr>
        <w:tc>
          <w:tcPr>
            <w:tcW w:w="1418" w:type="dxa"/>
            <w:tcBorders>
              <w:top w:val="single" w:sz="4" w:space="0" w:color="000000"/>
              <w:left w:val="single" w:sz="4" w:space="0" w:color="000000"/>
              <w:bottom w:val="single" w:sz="4" w:space="0" w:color="000000"/>
              <w:right w:val="single" w:sz="4" w:space="0" w:color="000000"/>
            </w:tcBorders>
          </w:tcPr>
          <w:p w14:paraId="70F73C56" w14:textId="77777777" w:rsidR="007563B7" w:rsidRPr="006F4C9E" w:rsidRDefault="007563B7" w:rsidP="007563B7">
            <w:pPr>
              <w:spacing w:after="0" w:line="276" w:lineRule="auto"/>
              <w:ind w:left="2" w:firstLine="0"/>
              <w:jc w:val="left"/>
              <w:rPr>
                <w:color w:val="auto"/>
              </w:rPr>
            </w:pPr>
            <w:r w:rsidRPr="006F4C9E">
              <w:rPr>
                <w:color w:val="auto"/>
                <w:sz w:val="20"/>
              </w:rPr>
              <w:t xml:space="preserve"> </w:t>
            </w:r>
            <w:proofErr w:type="spellStart"/>
            <w:r w:rsidRPr="006F4C9E">
              <w:rPr>
                <w:color w:val="auto"/>
                <w:sz w:val="20"/>
              </w:rPr>
              <w:t>Real_GDP</w:t>
            </w:r>
            <w:proofErr w:type="spellEnd"/>
            <w:r w:rsidRPr="006F4C9E">
              <w:rPr>
                <w:color w:val="auto"/>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7D29CC9" w14:textId="77777777" w:rsidR="007563B7" w:rsidRPr="006F4C9E" w:rsidRDefault="007563B7" w:rsidP="007563B7">
            <w:pPr>
              <w:spacing w:after="0" w:line="276" w:lineRule="auto"/>
              <w:ind w:left="0" w:firstLine="0"/>
              <w:jc w:val="left"/>
              <w:rPr>
                <w:color w:val="auto"/>
              </w:rPr>
            </w:pPr>
            <w:r w:rsidRPr="006F4C9E">
              <w:rPr>
                <w:color w:val="auto"/>
                <w:sz w:val="20"/>
              </w:rPr>
              <w:t xml:space="preserve">-7.7787 </w:t>
            </w:r>
          </w:p>
        </w:tc>
        <w:tc>
          <w:tcPr>
            <w:tcW w:w="1275" w:type="dxa"/>
            <w:tcBorders>
              <w:top w:val="single" w:sz="4" w:space="0" w:color="000000"/>
              <w:left w:val="single" w:sz="4" w:space="0" w:color="000000"/>
              <w:bottom w:val="single" w:sz="4" w:space="0" w:color="000000"/>
              <w:right w:val="single" w:sz="4" w:space="0" w:color="000000"/>
            </w:tcBorders>
          </w:tcPr>
          <w:p w14:paraId="45D5BA70" w14:textId="77777777" w:rsidR="007563B7" w:rsidRPr="006F4C9E" w:rsidRDefault="007563B7" w:rsidP="007563B7">
            <w:pPr>
              <w:spacing w:after="0" w:line="276" w:lineRule="auto"/>
              <w:ind w:left="0" w:firstLine="0"/>
              <w:jc w:val="left"/>
              <w:rPr>
                <w:color w:val="auto"/>
              </w:rPr>
            </w:pPr>
            <w:r w:rsidRPr="006F4C9E">
              <w:rPr>
                <w:color w:val="auto"/>
                <w:sz w:val="20"/>
              </w:rPr>
              <w:t xml:space="preserve">0.0000 </w:t>
            </w:r>
          </w:p>
        </w:tc>
        <w:tc>
          <w:tcPr>
            <w:tcW w:w="2129" w:type="dxa"/>
            <w:tcBorders>
              <w:top w:val="single" w:sz="4" w:space="0" w:color="000000"/>
              <w:left w:val="single" w:sz="4" w:space="0" w:color="000000"/>
              <w:bottom w:val="single" w:sz="4" w:space="0" w:color="000000"/>
              <w:right w:val="single" w:sz="4" w:space="0" w:color="000000"/>
            </w:tcBorders>
          </w:tcPr>
          <w:p w14:paraId="335E3859" w14:textId="77777777" w:rsidR="007563B7" w:rsidRPr="006F4C9E" w:rsidRDefault="007563B7" w:rsidP="007563B7">
            <w:pPr>
              <w:spacing w:after="0" w:line="276" w:lineRule="auto"/>
              <w:ind w:left="2" w:firstLine="0"/>
              <w:jc w:val="left"/>
              <w:rPr>
                <w:color w:val="auto"/>
              </w:rPr>
            </w:pPr>
            <w:r w:rsidRPr="006F4C9E">
              <w:rPr>
                <w:color w:val="auto"/>
                <w:sz w:val="20"/>
              </w:rPr>
              <w:t xml:space="preserve">-15.3391 </w:t>
            </w:r>
          </w:p>
        </w:tc>
        <w:tc>
          <w:tcPr>
            <w:tcW w:w="1133" w:type="dxa"/>
            <w:tcBorders>
              <w:top w:val="single" w:sz="4" w:space="0" w:color="000000"/>
              <w:left w:val="single" w:sz="4" w:space="0" w:color="000000"/>
              <w:bottom w:val="single" w:sz="4" w:space="0" w:color="000000"/>
              <w:right w:val="single" w:sz="4" w:space="0" w:color="000000"/>
            </w:tcBorders>
          </w:tcPr>
          <w:p w14:paraId="40A48A1F" w14:textId="77777777" w:rsidR="007563B7" w:rsidRPr="006F4C9E" w:rsidRDefault="007563B7" w:rsidP="007563B7">
            <w:pPr>
              <w:spacing w:after="0" w:line="276" w:lineRule="auto"/>
              <w:ind w:left="0" w:firstLine="0"/>
              <w:jc w:val="left"/>
              <w:rPr>
                <w:color w:val="auto"/>
              </w:rPr>
            </w:pPr>
            <w:r w:rsidRPr="006F4C9E">
              <w:rPr>
                <w:color w:val="auto"/>
                <w:sz w:val="20"/>
              </w:rPr>
              <w:t xml:space="preserve">0.0000 </w:t>
            </w:r>
          </w:p>
        </w:tc>
        <w:tc>
          <w:tcPr>
            <w:tcW w:w="1844" w:type="dxa"/>
            <w:tcBorders>
              <w:top w:val="single" w:sz="4" w:space="0" w:color="000000"/>
              <w:left w:val="single" w:sz="4" w:space="0" w:color="000000"/>
              <w:bottom w:val="single" w:sz="4" w:space="0" w:color="000000"/>
              <w:right w:val="single" w:sz="4" w:space="0" w:color="000000"/>
            </w:tcBorders>
          </w:tcPr>
          <w:p w14:paraId="03538E4C" w14:textId="77777777" w:rsidR="007563B7" w:rsidRPr="006F4C9E" w:rsidRDefault="007563B7" w:rsidP="007563B7">
            <w:pPr>
              <w:spacing w:after="0" w:line="276" w:lineRule="auto"/>
              <w:ind w:left="0" w:firstLine="0"/>
              <w:jc w:val="left"/>
              <w:rPr>
                <w:color w:val="auto"/>
              </w:rPr>
            </w:pPr>
            <w:r w:rsidRPr="006F4C9E">
              <w:rPr>
                <w:color w:val="auto"/>
                <w:sz w:val="20"/>
              </w:rPr>
              <w:t xml:space="preserve">I (0) </w:t>
            </w:r>
            <w:r w:rsidRPr="006F4C9E">
              <w:rPr>
                <w:color w:val="auto"/>
                <w:sz w:val="16"/>
              </w:rPr>
              <w:t>***</w:t>
            </w:r>
            <w:r w:rsidRPr="006F4C9E">
              <w:rPr>
                <w:color w:val="auto"/>
                <w:sz w:val="20"/>
              </w:rPr>
              <w:t xml:space="preserve"> </w:t>
            </w:r>
          </w:p>
        </w:tc>
      </w:tr>
      <w:tr w:rsidR="007563B7" w:rsidRPr="006F4C9E" w14:paraId="4C61E0F3" w14:textId="77777777" w:rsidTr="007563B7">
        <w:trPr>
          <w:trHeight w:val="274"/>
        </w:trPr>
        <w:tc>
          <w:tcPr>
            <w:tcW w:w="1418" w:type="dxa"/>
            <w:tcBorders>
              <w:top w:val="single" w:sz="4" w:space="0" w:color="000000"/>
              <w:left w:val="single" w:sz="4" w:space="0" w:color="000000"/>
              <w:bottom w:val="single" w:sz="4" w:space="0" w:color="000000"/>
              <w:right w:val="single" w:sz="4" w:space="0" w:color="000000"/>
            </w:tcBorders>
          </w:tcPr>
          <w:p w14:paraId="45CA69BC" w14:textId="77777777" w:rsidR="007563B7" w:rsidRPr="006F4C9E" w:rsidRDefault="007563B7" w:rsidP="007563B7">
            <w:pPr>
              <w:spacing w:after="0" w:line="276" w:lineRule="auto"/>
              <w:ind w:left="2" w:firstLine="0"/>
              <w:jc w:val="left"/>
              <w:rPr>
                <w:color w:val="auto"/>
              </w:rPr>
            </w:pPr>
            <w:proofErr w:type="spellStart"/>
            <w:r w:rsidRPr="006F4C9E">
              <w:rPr>
                <w:color w:val="auto"/>
                <w:sz w:val="20"/>
              </w:rPr>
              <w:t>Stab_Price</w:t>
            </w:r>
            <w:proofErr w:type="spellEnd"/>
            <w:r w:rsidRPr="006F4C9E">
              <w:rPr>
                <w:color w:val="auto"/>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1472539" w14:textId="77777777" w:rsidR="007563B7" w:rsidRPr="006F4C9E" w:rsidRDefault="007563B7" w:rsidP="007563B7">
            <w:pPr>
              <w:spacing w:after="0" w:line="276" w:lineRule="auto"/>
              <w:ind w:left="0" w:firstLine="0"/>
              <w:jc w:val="left"/>
              <w:rPr>
                <w:color w:val="auto"/>
              </w:rPr>
            </w:pPr>
            <w:r w:rsidRPr="006F4C9E">
              <w:rPr>
                <w:color w:val="auto"/>
                <w:sz w:val="20"/>
              </w:rPr>
              <w:t xml:space="preserve">-5.0013 </w:t>
            </w:r>
          </w:p>
        </w:tc>
        <w:tc>
          <w:tcPr>
            <w:tcW w:w="1275" w:type="dxa"/>
            <w:tcBorders>
              <w:top w:val="single" w:sz="4" w:space="0" w:color="000000"/>
              <w:left w:val="single" w:sz="4" w:space="0" w:color="000000"/>
              <w:bottom w:val="single" w:sz="4" w:space="0" w:color="000000"/>
              <w:right w:val="single" w:sz="4" w:space="0" w:color="000000"/>
            </w:tcBorders>
          </w:tcPr>
          <w:p w14:paraId="216B999B" w14:textId="77777777" w:rsidR="007563B7" w:rsidRPr="006F4C9E" w:rsidRDefault="007563B7" w:rsidP="007563B7">
            <w:pPr>
              <w:spacing w:after="0" w:line="276" w:lineRule="auto"/>
              <w:ind w:left="0" w:firstLine="0"/>
              <w:jc w:val="left"/>
              <w:rPr>
                <w:color w:val="auto"/>
              </w:rPr>
            </w:pPr>
            <w:r w:rsidRPr="006F4C9E">
              <w:rPr>
                <w:color w:val="auto"/>
                <w:sz w:val="20"/>
              </w:rPr>
              <w:t xml:space="preserve">0.0000 </w:t>
            </w:r>
          </w:p>
        </w:tc>
        <w:tc>
          <w:tcPr>
            <w:tcW w:w="2129" w:type="dxa"/>
            <w:tcBorders>
              <w:top w:val="single" w:sz="4" w:space="0" w:color="000000"/>
              <w:left w:val="single" w:sz="4" w:space="0" w:color="000000"/>
              <w:bottom w:val="single" w:sz="4" w:space="0" w:color="000000"/>
              <w:right w:val="single" w:sz="4" w:space="0" w:color="000000"/>
            </w:tcBorders>
          </w:tcPr>
          <w:p w14:paraId="37F094FE" w14:textId="77777777" w:rsidR="007563B7" w:rsidRPr="006F4C9E" w:rsidRDefault="007563B7" w:rsidP="007563B7">
            <w:pPr>
              <w:spacing w:after="0" w:line="276" w:lineRule="auto"/>
              <w:ind w:left="2" w:firstLine="0"/>
              <w:jc w:val="left"/>
              <w:rPr>
                <w:color w:val="auto"/>
              </w:rPr>
            </w:pPr>
            <w:r w:rsidRPr="006F4C9E">
              <w:rPr>
                <w:color w:val="auto"/>
                <w:sz w:val="20"/>
              </w:rPr>
              <w:t xml:space="preserve">-9.9939 </w:t>
            </w:r>
          </w:p>
        </w:tc>
        <w:tc>
          <w:tcPr>
            <w:tcW w:w="1133" w:type="dxa"/>
            <w:tcBorders>
              <w:top w:val="single" w:sz="4" w:space="0" w:color="000000"/>
              <w:left w:val="single" w:sz="4" w:space="0" w:color="000000"/>
              <w:bottom w:val="single" w:sz="4" w:space="0" w:color="000000"/>
              <w:right w:val="single" w:sz="4" w:space="0" w:color="000000"/>
            </w:tcBorders>
          </w:tcPr>
          <w:p w14:paraId="2390B6C5" w14:textId="77777777" w:rsidR="007563B7" w:rsidRPr="006F4C9E" w:rsidRDefault="007563B7" w:rsidP="007563B7">
            <w:pPr>
              <w:spacing w:after="0" w:line="276" w:lineRule="auto"/>
              <w:ind w:left="0" w:firstLine="0"/>
              <w:jc w:val="left"/>
              <w:rPr>
                <w:color w:val="auto"/>
              </w:rPr>
            </w:pPr>
            <w:r w:rsidRPr="006F4C9E">
              <w:rPr>
                <w:color w:val="auto"/>
                <w:sz w:val="20"/>
              </w:rPr>
              <w:t xml:space="preserve">0.0000 </w:t>
            </w:r>
          </w:p>
        </w:tc>
        <w:tc>
          <w:tcPr>
            <w:tcW w:w="1844" w:type="dxa"/>
            <w:tcBorders>
              <w:top w:val="single" w:sz="4" w:space="0" w:color="000000"/>
              <w:left w:val="single" w:sz="4" w:space="0" w:color="000000"/>
              <w:bottom w:val="single" w:sz="4" w:space="0" w:color="000000"/>
              <w:right w:val="single" w:sz="4" w:space="0" w:color="000000"/>
            </w:tcBorders>
          </w:tcPr>
          <w:p w14:paraId="01C06150" w14:textId="77777777" w:rsidR="007563B7" w:rsidRPr="006F4C9E" w:rsidRDefault="007563B7" w:rsidP="007563B7">
            <w:pPr>
              <w:spacing w:after="0" w:line="276" w:lineRule="auto"/>
              <w:ind w:left="0" w:firstLine="0"/>
              <w:jc w:val="left"/>
              <w:rPr>
                <w:color w:val="auto"/>
              </w:rPr>
            </w:pPr>
            <w:r w:rsidRPr="006F4C9E">
              <w:rPr>
                <w:color w:val="auto"/>
                <w:sz w:val="20"/>
              </w:rPr>
              <w:t xml:space="preserve">I (0) </w:t>
            </w:r>
            <w:r w:rsidRPr="006F4C9E">
              <w:rPr>
                <w:color w:val="auto"/>
                <w:sz w:val="16"/>
              </w:rPr>
              <w:t>***</w:t>
            </w:r>
            <w:r w:rsidRPr="006F4C9E">
              <w:rPr>
                <w:color w:val="auto"/>
                <w:sz w:val="20"/>
              </w:rPr>
              <w:t xml:space="preserve"> </w:t>
            </w:r>
          </w:p>
        </w:tc>
      </w:tr>
      <w:tr w:rsidR="007563B7" w:rsidRPr="006F4C9E" w14:paraId="222BD4DB" w14:textId="77777777" w:rsidTr="007563B7">
        <w:trPr>
          <w:trHeight w:val="274"/>
        </w:trPr>
        <w:tc>
          <w:tcPr>
            <w:tcW w:w="1418" w:type="dxa"/>
            <w:tcBorders>
              <w:top w:val="single" w:sz="4" w:space="0" w:color="000000"/>
              <w:left w:val="single" w:sz="4" w:space="0" w:color="000000"/>
              <w:bottom w:val="single" w:sz="4" w:space="0" w:color="000000"/>
              <w:right w:val="single" w:sz="4" w:space="0" w:color="000000"/>
            </w:tcBorders>
          </w:tcPr>
          <w:p w14:paraId="61FFAE88" w14:textId="77777777" w:rsidR="007563B7" w:rsidRPr="006F4C9E" w:rsidRDefault="007563B7" w:rsidP="007563B7">
            <w:pPr>
              <w:spacing w:after="0" w:line="276" w:lineRule="auto"/>
              <w:ind w:left="2" w:firstLine="0"/>
              <w:jc w:val="left"/>
              <w:rPr>
                <w:color w:val="auto"/>
              </w:rPr>
            </w:pPr>
            <w:proofErr w:type="spellStart"/>
            <w:r w:rsidRPr="006F4C9E">
              <w:rPr>
                <w:color w:val="auto"/>
                <w:sz w:val="20"/>
              </w:rPr>
              <w:t>Stab_Fin</w:t>
            </w:r>
            <w:proofErr w:type="spellEnd"/>
            <w:r w:rsidRPr="006F4C9E">
              <w:rPr>
                <w:color w:val="auto"/>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8D78999" w14:textId="77777777" w:rsidR="007563B7" w:rsidRPr="006F4C9E" w:rsidRDefault="007563B7" w:rsidP="007563B7">
            <w:pPr>
              <w:spacing w:after="0" w:line="276" w:lineRule="auto"/>
              <w:ind w:left="0" w:firstLine="0"/>
              <w:jc w:val="left"/>
              <w:rPr>
                <w:color w:val="auto"/>
              </w:rPr>
            </w:pPr>
            <w:r w:rsidRPr="006F4C9E">
              <w:rPr>
                <w:color w:val="auto"/>
                <w:sz w:val="20"/>
              </w:rPr>
              <w:t xml:space="preserve">-10.9040 </w:t>
            </w:r>
          </w:p>
        </w:tc>
        <w:tc>
          <w:tcPr>
            <w:tcW w:w="1275" w:type="dxa"/>
            <w:tcBorders>
              <w:top w:val="single" w:sz="4" w:space="0" w:color="000000"/>
              <w:left w:val="single" w:sz="4" w:space="0" w:color="000000"/>
              <w:bottom w:val="single" w:sz="4" w:space="0" w:color="000000"/>
              <w:right w:val="single" w:sz="4" w:space="0" w:color="000000"/>
            </w:tcBorders>
          </w:tcPr>
          <w:p w14:paraId="6FC68586" w14:textId="77777777" w:rsidR="007563B7" w:rsidRPr="006F4C9E" w:rsidRDefault="007563B7" w:rsidP="007563B7">
            <w:pPr>
              <w:spacing w:after="0" w:line="276" w:lineRule="auto"/>
              <w:ind w:left="0" w:firstLine="0"/>
              <w:jc w:val="left"/>
              <w:rPr>
                <w:color w:val="auto"/>
              </w:rPr>
            </w:pPr>
            <w:r w:rsidRPr="006F4C9E">
              <w:rPr>
                <w:color w:val="auto"/>
                <w:sz w:val="20"/>
              </w:rPr>
              <w:t xml:space="preserve">0.0000 </w:t>
            </w:r>
          </w:p>
        </w:tc>
        <w:tc>
          <w:tcPr>
            <w:tcW w:w="2129" w:type="dxa"/>
            <w:tcBorders>
              <w:top w:val="single" w:sz="4" w:space="0" w:color="000000"/>
              <w:left w:val="single" w:sz="4" w:space="0" w:color="000000"/>
              <w:bottom w:val="single" w:sz="4" w:space="0" w:color="000000"/>
              <w:right w:val="single" w:sz="4" w:space="0" w:color="000000"/>
            </w:tcBorders>
          </w:tcPr>
          <w:p w14:paraId="2DFD68CE" w14:textId="77777777" w:rsidR="007563B7" w:rsidRPr="006F4C9E" w:rsidRDefault="007563B7" w:rsidP="007563B7">
            <w:pPr>
              <w:spacing w:after="0" w:line="276" w:lineRule="auto"/>
              <w:ind w:left="2" w:firstLine="0"/>
              <w:jc w:val="left"/>
              <w:rPr>
                <w:color w:val="auto"/>
              </w:rPr>
            </w:pPr>
            <w:r w:rsidRPr="006F4C9E">
              <w:rPr>
                <w:color w:val="auto"/>
                <w:sz w:val="20"/>
              </w:rPr>
              <w:t xml:space="preserve">-18.4063 </w:t>
            </w:r>
          </w:p>
        </w:tc>
        <w:tc>
          <w:tcPr>
            <w:tcW w:w="1133" w:type="dxa"/>
            <w:tcBorders>
              <w:top w:val="single" w:sz="4" w:space="0" w:color="000000"/>
              <w:left w:val="single" w:sz="4" w:space="0" w:color="000000"/>
              <w:bottom w:val="single" w:sz="4" w:space="0" w:color="000000"/>
              <w:right w:val="single" w:sz="4" w:space="0" w:color="000000"/>
            </w:tcBorders>
          </w:tcPr>
          <w:p w14:paraId="6DAA7BE1" w14:textId="77777777" w:rsidR="007563B7" w:rsidRPr="006F4C9E" w:rsidRDefault="007563B7" w:rsidP="007563B7">
            <w:pPr>
              <w:spacing w:after="0" w:line="276" w:lineRule="auto"/>
              <w:ind w:left="0" w:firstLine="0"/>
              <w:jc w:val="left"/>
              <w:rPr>
                <w:color w:val="auto"/>
              </w:rPr>
            </w:pPr>
            <w:r w:rsidRPr="006F4C9E">
              <w:rPr>
                <w:color w:val="auto"/>
                <w:sz w:val="20"/>
              </w:rPr>
              <w:t xml:space="preserve">0.0000 </w:t>
            </w:r>
          </w:p>
        </w:tc>
        <w:tc>
          <w:tcPr>
            <w:tcW w:w="1844" w:type="dxa"/>
            <w:tcBorders>
              <w:top w:val="single" w:sz="4" w:space="0" w:color="000000"/>
              <w:left w:val="single" w:sz="4" w:space="0" w:color="000000"/>
              <w:bottom w:val="single" w:sz="4" w:space="0" w:color="000000"/>
              <w:right w:val="single" w:sz="4" w:space="0" w:color="000000"/>
            </w:tcBorders>
          </w:tcPr>
          <w:p w14:paraId="405F46CC" w14:textId="77777777" w:rsidR="007563B7" w:rsidRPr="006F4C9E" w:rsidRDefault="007563B7" w:rsidP="007563B7">
            <w:pPr>
              <w:spacing w:after="0" w:line="276" w:lineRule="auto"/>
              <w:ind w:left="0" w:firstLine="0"/>
              <w:jc w:val="left"/>
              <w:rPr>
                <w:color w:val="auto"/>
              </w:rPr>
            </w:pPr>
            <w:r w:rsidRPr="006F4C9E">
              <w:rPr>
                <w:color w:val="auto"/>
                <w:sz w:val="20"/>
              </w:rPr>
              <w:t xml:space="preserve">I (1) </w:t>
            </w:r>
            <w:r w:rsidRPr="006F4C9E">
              <w:rPr>
                <w:color w:val="auto"/>
                <w:sz w:val="16"/>
              </w:rPr>
              <w:t>***</w:t>
            </w:r>
            <w:r w:rsidRPr="006F4C9E">
              <w:rPr>
                <w:color w:val="auto"/>
                <w:sz w:val="20"/>
              </w:rPr>
              <w:t xml:space="preserve"> </w:t>
            </w:r>
          </w:p>
        </w:tc>
      </w:tr>
      <w:tr w:rsidR="007563B7" w:rsidRPr="006F4C9E" w14:paraId="24211C92" w14:textId="77777777" w:rsidTr="007563B7">
        <w:trPr>
          <w:trHeight w:val="276"/>
        </w:trPr>
        <w:tc>
          <w:tcPr>
            <w:tcW w:w="1418" w:type="dxa"/>
            <w:tcBorders>
              <w:top w:val="single" w:sz="4" w:space="0" w:color="000000"/>
              <w:left w:val="single" w:sz="4" w:space="0" w:color="000000"/>
              <w:bottom w:val="single" w:sz="4" w:space="0" w:color="000000"/>
              <w:right w:val="single" w:sz="4" w:space="0" w:color="000000"/>
            </w:tcBorders>
          </w:tcPr>
          <w:p w14:paraId="069199BF" w14:textId="77777777" w:rsidR="007563B7" w:rsidRPr="006F4C9E" w:rsidRDefault="007563B7" w:rsidP="007563B7">
            <w:pPr>
              <w:spacing w:after="0" w:line="276" w:lineRule="auto"/>
              <w:ind w:left="2" w:firstLine="0"/>
              <w:jc w:val="left"/>
              <w:rPr>
                <w:color w:val="auto"/>
              </w:rPr>
            </w:pPr>
            <w:r w:rsidRPr="006F4C9E">
              <w:rPr>
                <w:color w:val="auto"/>
                <w:sz w:val="20"/>
              </w:rPr>
              <w:t xml:space="preserve">Index </w:t>
            </w:r>
          </w:p>
        </w:tc>
        <w:tc>
          <w:tcPr>
            <w:tcW w:w="2127" w:type="dxa"/>
            <w:tcBorders>
              <w:top w:val="single" w:sz="4" w:space="0" w:color="000000"/>
              <w:left w:val="single" w:sz="4" w:space="0" w:color="000000"/>
              <w:bottom w:val="single" w:sz="4" w:space="0" w:color="000000"/>
              <w:right w:val="single" w:sz="4" w:space="0" w:color="000000"/>
            </w:tcBorders>
          </w:tcPr>
          <w:p w14:paraId="1AC3F31B" w14:textId="77777777" w:rsidR="007563B7" w:rsidRPr="006F4C9E" w:rsidRDefault="007563B7" w:rsidP="007563B7">
            <w:pPr>
              <w:spacing w:after="0" w:line="276" w:lineRule="auto"/>
              <w:ind w:left="0" w:firstLine="0"/>
              <w:jc w:val="left"/>
              <w:rPr>
                <w:color w:val="auto"/>
              </w:rPr>
            </w:pPr>
            <w:r w:rsidRPr="006F4C9E">
              <w:rPr>
                <w:color w:val="auto"/>
                <w:sz w:val="20"/>
              </w:rPr>
              <w:t xml:space="preserve">-4.6698 </w:t>
            </w:r>
          </w:p>
        </w:tc>
        <w:tc>
          <w:tcPr>
            <w:tcW w:w="1275" w:type="dxa"/>
            <w:tcBorders>
              <w:top w:val="single" w:sz="4" w:space="0" w:color="000000"/>
              <w:left w:val="single" w:sz="4" w:space="0" w:color="000000"/>
              <w:bottom w:val="single" w:sz="4" w:space="0" w:color="000000"/>
              <w:right w:val="single" w:sz="4" w:space="0" w:color="000000"/>
            </w:tcBorders>
          </w:tcPr>
          <w:p w14:paraId="6A52078E" w14:textId="77777777" w:rsidR="007563B7" w:rsidRPr="006F4C9E" w:rsidRDefault="007563B7" w:rsidP="007563B7">
            <w:pPr>
              <w:spacing w:after="0" w:line="276" w:lineRule="auto"/>
              <w:ind w:left="0" w:firstLine="0"/>
              <w:jc w:val="left"/>
              <w:rPr>
                <w:color w:val="auto"/>
              </w:rPr>
            </w:pPr>
            <w:r w:rsidRPr="006F4C9E">
              <w:rPr>
                <w:color w:val="auto"/>
                <w:sz w:val="20"/>
              </w:rPr>
              <w:t xml:space="preserve">0.0000 </w:t>
            </w:r>
          </w:p>
        </w:tc>
        <w:tc>
          <w:tcPr>
            <w:tcW w:w="2129" w:type="dxa"/>
            <w:tcBorders>
              <w:top w:val="single" w:sz="4" w:space="0" w:color="000000"/>
              <w:left w:val="single" w:sz="4" w:space="0" w:color="000000"/>
              <w:bottom w:val="single" w:sz="4" w:space="0" w:color="000000"/>
              <w:right w:val="single" w:sz="4" w:space="0" w:color="000000"/>
            </w:tcBorders>
          </w:tcPr>
          <w:p w14:paraId="67F8CDFE" w14:textId="77777777" w:rsidR="007563B7" w:rsidRPr="006F4C9E" w:rsidRDefault="007563B7" w:rsidP="007563B7">
            <w:pPr>
              <w:spacing w:after="0" w:line="276" w:lineRule="auto"/>
              <w:ind w:left="2" w:firstLine="0"/>
              <w:jc w:val="left"/>
              <w:rPr>
                <w:color w:val="auto"/>
              </w:rPr>
            </w:pPr>
            <w:r w:rsidRPr="006F4C9E">
              <w:rPr>
                <w:color w:val="auto"/>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F036955" w14:textId="77777777" w:rsidR="007563B7" w:rsidRPr="006F4C9E" w:rsidRDefault="007563B7" w:rsidP="007563B7">
            <w:pPr>
              <w:spacing w:after="0" w:line="276" w:lineRule="auto"/>
              <w:ind w:left="0" w:firstLine="0"/>
              <w:jc w:val="left"/>
              <w:rPr>
                <w:color w:val="auto"/>
              </w:rPr>
            </w:pPr>
            <w:r w:rsidRPr="006F4C9E">
              <w:rPr>
                <w:color w:val="auto"/>
                <w:sz w:val="20"/>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0ECB679" w14:textId="77777777" w:rsidR="007563B7" w:rsidRPr="006F4C9E" w:rsidRDefault="007563B7" w:rsidP="007563B7">
            <w:pPr>
              <w:spacing w:after="0" w:line="276" w:lineRule="auto"/>
              <w:ind w:left="0" w:firstLine="0"/>
              <w:jc w:val="left"/>
              <w:rPr>
                <w:color w:val="auto"/>
              </w:rPr>
            </w:pPr>
            <w:r w:rsidRPr="006F4C9E">
              <w:rPr>
                <w:color w:val="auto"/>
                <w:sz w:val="20"/>
              </w:rPr>
              <w:t xml:space="preserve">I (0) </w:t>
            </w:r>
            <w:r w:rsidRPr="006F4C9E">
              <w:rPr>
                <w:color w:val="auto"/>
                <w:sz w:val="16"/>
              </w:rPr>
              <w:t>***</w:t>
            </w:r>
            <w:r w:rsidRPr="006F4C9E">
              <w:rPr>
                <w:color w:val="auto"/>
                <w:sz w:val="20"/>
              </w:rPr>
              <w:t xml:space="preserve"> </w:t>
            </w:r>
          </w:p>
        </w:tc>
      </w:tr>
      <w:tr w:rsidR="007563B7" w:rsidRPr="006F4C9E" w14:paraId="72E13D4B" w14:textId="77777777" w:rsidTr="007563B7">
        <w:trPr>
          <w:trHeight w:val="274"/>
        </w:trPr>
        <w:tc>
          <w:tcPr>
            <w:tcW w:w="1418" w:type="dxa"/>
            <w:tcBorders>
              <w:top w:val="single" w:sz="4" w:space="0" w:color="000000"/>
              <w:left w:val="single" w:sz="4" w:space="0" w:color="000000"/>
              <w:bottom w:val="single" w:sz="4" w:space="0" w:color="000000"/>
              <w:right w:val="single" w:sz="4" w:space="0" w:color="000000"/>
            </w:tcBorders>
          </w:tcPr>
          <w:p w14:paraId="2551D400" w14:textId="77777777" w:rsidR="007563B7" w:rsidRPr="006F4C9E" w:rsidRDefault="007563B7" w:rsidP="007563B7">
            <w:pPr>
              <w:spacing w:after="0" w:line="276" w:lineRule="auto"/>
              <w:ind w:left="2" w:firstLine="0"/>
              <w:jc w:val="left"/>
              <w:rPr>
                <w:color w:val="auto"/>
              </w:rPr>
            </w:pPr>
            <w:proofErr w:type="spellStart"/>
            <w:r w:rsidRPr="006F4C9E">
              <w:rPr>
                <w:color w:val="auto"/>
                <w:sz w:val="20"/>
              </w:rPr>
              <w:t>My</w:t>
            </w:r>
            <w:proofErr w:type="spellEnd"/>
            <w:r w:rsidRPr="006F4C9E">
              <w:rPr>
                <w:color w:val="auto"/>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F3EB800" w14:textId="77777777" w:rsidR="007563B7" w:rsidRPr="006F4C9E" w:rsidRDefault="007563B7" w:rsidP="007563B7">
            <w:pPr>
              <w:spacing w:after="0" w:line="276" w:lineRule="auto"/>
              <w:ind w:left="0" w:firstLine="0"/>
              <w:jc w:val="left"/>
              <w:rPr>
                <w:color w:val="auto"/>
              </w:rPr>
            </w:pPr>
            <w:r w:rsidRPr="006F4C9E">
              <w:rPr>
                <w:color w:val="auto"/>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3425B417" w14:textId="77777777" w:rsidR="007563B7" w:rsidRPr="006F4C9E" w:rsidRDefault="007563B7" w:rsidP="007563B7">
            <w:pPr>
              <w:spacing w:after="0" w:line="276" w:lineRule="auto"/>
              <w:ind w:left="0" w:firstLine="0"/>
              <w:jc w:val="left"/>
              <w:rPr>
                <w:color w:val="auto"/>
              </w:rPr>
            </w:pPr>
            <w:r w:rsidRPr="006F4C9E">
              <w:rPr>
                <w:color w:val="auto"/>
                <w:sz w:val="20"/>
              </w:rP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257A92E6" w14:textId="77777777" w:rsidR="007563B7" w:rsidRPr="006F4C9E" w:rsidRDefault="007563B7" w:rsidP="007563B7">
            <w:pPr>
              <w:spacing w:after="0" w:line="276" w:lineRule="auto"/>
              <w:ind w:left="2" w:firstLine="0"/>
              <w:jc w:val="left"/>
              <w:rPr>
                <w:color w:val="auto"/>
              </w:rPr>
            </w:pPr>
            <w:r w:rsidRPr="006F4C9E">
              <w:rPr>
                <w:color w:val="auto"/>
                <w:sz w:val="20"/>
              </w:rPr>
              <w:t xml:space="preserve">-18.4831 </w:t>
            </w:r>
          </w:p>
        </w:tc>
        <w:tc>
          <w:tcPr>
            <w:tcW w:w="1133" w:type="dxa"/>
            <w:tcBorders>
              <w:top w:val="single" w:sz="4" w:space="0" w:color="000000"/>
              <w:left w:val="single" w:sz="4" w:space="0" w:color="000000"/>
              <w:bottom w:val="single" w:sz="4" w:space="0" w:color="000000"/>
              <w:right w:val="single" w:sz="4" w:space="0" w:color="000000"/>
            </w:tcBorders>
          </w:tcPr>
          <w:p w14:paraId="6A625266" w14:textId="77777777" w:rsidR="007563B7" w:rsidRPr="006F4C9E" w:rsidRDefault="007563B7" w:rsidP="007563B7">
            <w:pPr>
              <w:spacing w:after="0" w:line="276" w:lineRule="auto"/>
              <w:ind w:left="0" w:firstLine="0"/>
              <w:jc w:val="left"/>
              <w:rPr>
                <w:color w:val="auto"/>
              </w:rPr>
            </w:pPr>
            <w:r w:rsidRPr="006F4C9E">
              <w:rPr>
                <w:color w:val="auto"/>
                <w:sz w:val="20"/>
              </w:rPr>
              <w:t xml:space="preserve">0.0000 </w:t>
            </w:r>
          </w:p>
        </w:tc>
        <w:tc>
          <w:tcPr>
            <w:tcW w:w="1844" w:type="dxa"/>
            <w:tcBorders>
              <w:top w:val="single" w:sz="4" w:space="0" w:color="000000"/>
              <w:left w:val="single" w:sz="4" w:space="0" w:color="000000"/>
              <w:bottom w:val="single" w:sz="4" w:space="0" w:color="000000"/>
              <w:right w:val="single" w:sz="4" w:space="0" w:color="000000"/>
            </w:tcBorders>
          </w:tcPr>
          <w:p w14:paraId="590012E2" w14:textId="77777777" w:rsidR="007563B7" w:rsidRPr="006F4C9E" w:rsidRDefault="007563B7" w:rsidP="007563B7">
            <w:pPr>
              <w:spacing w:after="0" w:line="276" w:lineRule="auto"/>
              <w:ind w:left="0" w:firstLine="0"/>
              <w:jc w:val="left"/>
              <w:rPr>
                <w:color w:val="auto"/>
              </w:rPr>
            </w:pPr>
            <w:r w:rsidRPr="006F4C9E">
              <w:rPr>
                <w:color w:val="auto"/>
                <w:sz w:val="20"/>
              </w:rPr>
              <w:t xml:space="preserve">I (1) </w:t>
            </w:r>
            <w:r w:rsidRPr="006F4C9E">
              <w:rPr>
                <w:color w:val="auto"/>
                <w:sz w:val="16"/>
              </w:rPr>
              <w:t>***</w:t>
            </w:r>
            <w:r w:rsidRPr="006F4C9E">
              <w:rPr>
                <w:color w:val="auto"/>
                <w:sz w:val="20"/>
              </w:rPr>
              <w:t xml:space="preserve"> </w:t>
            </w:r>
          </w:p>
        </w:tc>
      </w:tr>
      <w:tr w:rsidR="007563B7" w:rsidRPr="006F4C9E" w14:paraId="2D7813F2" w14:textId="77777777" w:rsidTr="007563B7">
        <w:trPr>
          <w:trHeight w:val="276"/>
        </w:trPr>
        <w:tc>
          <w:tcPr>
            <w:tcW w:w="1418" w:type="dxa"/>
            <w:tcBorders>
              <w:top w:val="single" w:sz="4" w:space="0" w:color="000000"/>
              <w:left w:val="single" w:sz="4" w:space="0" w:color="000000"/>
              <w:bottom w:val="single" w:sz="4" w:space="0" w:color="000000"/>
              <w:right w:val="single" w:sz="4" w:space="0" w:color="000000"/>
            </w:tcBorders>
          </w:tcPr>
          <w:p w14:paraId="45F9543E" w14:textId="77777777" w:rsidR="007563B7" w:rsidRPr="006F4C9E" w:rsidRDefault="007563B7" w:rsidP="007563B7">
            <w:pPr>
              <w:spacing w:after="0" w:line="276" w:lineRule="auto"/>
              <w:ind w:left="2" w:firstLine="0"/>
              <w:jc w:val="left"/>
              <w:rPr>
                <w:color w:val="auto"/>
              </w:rPr>
            </w:pPr>
            <w:proofErr w:type="spellStart"/>
            <w:r w:rsidRPr="006F4C9E">
              <w:rPr>
                <w:color w:val="auto"/>
                <w:sz w:val="20"/>
              </w:rPr>
              <w:t>Dep_Pub</w:t>
            </w:r>
            <w:proofErr w:type="spellEnd"/>
            <w:r w:rsidRPr="006F4C9E">
              <w:rPr>
                <w:color w:val="auto"/>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9219AE1" w14:textId="77777777" w:rsidR="007563B7" w:rsidRPr="006F4C9E" w:rsidRDefault="007563B7" w:rsidP="007563B7">
            <w:pPr>
              <w:spacing w:after="0" w:line="276" w:lineRule="auto"/>
              <w:ind w:left="0" w:firstLine="0"/>
              <w:jc w:val="left"/>
              <w:rPr>
                <w:color w:val="auto"/>
              </w:rPr>
            </w:pPr>
            <w:r w:rsidRPr="006F4C9E">
              <w:rPr>
                <w:color w:val="auto"/>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693F60BC" w14:textId="77777777" w:rsidR="007563B7" w:rsidRPr="006F4C9E" w:rsidRDefault="007563B7" w:rsidP="007563B7">
            <w:pPr>
              <w:spacing w:after="0" w:line="276" w:lineRule="auto"/>
              <w:ind w:left="0" w:firstLine="0"/>
              <w:jc w:val="left"/>
              <w:rPr>
                <w:color w:val="auto"/>
              </w:rPr>
            </w:pPr>
            <w:r w:rsidRPr="006F4C9E">
              <w:rPr>
                <w:color w:val="auto"/>
                <w:sz w:val="20"/>
              </w:rP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3F6EF293" w14:textId="77777777" w:rsidR="007563B7" w:rsidRPr="006F4C9E" w:rsidRDefault="007563B7" w:rsidP="007563B7">
            <w:pPr>
              <w:spacing w:after="0" w:line="276" w:lineRule="auto"/>
              <w:ind w:left="2" w:firstLine="0"/>
              <w:jc w:val="left"/>
              <w:rPr>
                <w:color w:val="auto"/>
              </w:rPr>
            </w:pPr>
            <w:r w:rsidRPr="006F4C9E">
              <w:rPr>
                <w:color w:val="auto"/>
                <w:sz w:val="20"/>
              </w:rPr>
              <w:t xml:space="preserve">-3.9039 </w:t>
            </w:r>
          </w:p>
        </w:tc>
        <w:tc>
          <w:tcPr>
            <w:tcW w:w="1133" w:type="dxa"/>
            <w:tcBorders>
              <w:top w:val="single" w:sz="4" w:space="0" w:color="000000"/>
              <w:left w:val="single" w:sz="4" w:space="0" w:color="000000"/>
              <w:bottom w:val="single" w:sz="4" w:space="0" w:color="000000"/>
              <w:right w:val="single" w:sz="4" w:space="0" w:color="000000"/>
            </w:tcBorders>
          </w:tcPr>
          <w:p w14:paraId="1E5CC8EC" w14:textId="77777777" w:rsidR="007563B7" w:rsidRPr="006F4C9E" w:rsidRDefault="007563B7" w:rsidP="007563B7">
            <w:pPr>
              <w:spacing w:after="0" w:line="276" w:lineRule="auto"/>
              <w:ind w:left="0" w:firstLine="0"/>
              <w:jc w:val="left"/>
              <w:rPr>
                <w:color w:val="auto"/>
              </w:rPr>
            </w:pPr>
            <w:r w:rsidRPr="006F4C9E">
              <w:rPr>
                <w:color w:val="auto"/>
                <w:sz w:val="20"/>
              </w:rPr>
              <w:t xml:space="preserve">0.0000 </w:t>
            </w:r>
          </w:p>
        </w:tc>
        <w:tc>
          <w:tcPr>
            <w:tcW w:w="1844" w:type="dxa"/>
            <w:tcBorders>
              <w:top w:val="single" w:sz="4" w:space="0" w:color="000000"/>
              <w:left w:val="single" w:sz="4" w:space="0" w:color="000000"/>
              <w:bottom w:val="single" w:sz="4" w:space="0" w:color="000000"/>
              <w:right w:val="single" w:sz="4" w:space="0" w:color="000000"/>
            </w:tcBorders>
          </w:tcPr>
          <w:p w14:paraId="6894BF34" w14:textId="77777777" w:rsidR="007563B7" w:rsidRPr="006F4C9E" w:rsidRDefault="007563B7" w:rsidP="007563B7">
            <w:pPr>
              <w:spacing w:after="0" w:line="276" w:lineRule="auto"/>
              <w:ind w:left="0" w:firstLine="0"/>
              <w:jc w:val="left"/>
              <w:rPr>
                <w:color w:val="auto"/>
              </w:rPr>
            </w:pPr>
            <w:r w:rsidRPr="006F4C9E">
              <w:rPr>
                <w:color w:val="auto"/>
                <w:sz w:val="20"/>
              </w:rPr>
              <w:t xml:space="preserve">I (0) </w:t>
            </w:r>
            <w:r w:rsidRPr="006F4C9E">
              <w:rPr>
                <w:color w:val="auto"/>
                <w:sz w:val="16"/>
              </w:rPr>
              <w:t>***</w:t>
            </w:r>
            <w:r w:rsidRPr="006F4C9E">
              <w:rPr>
                <w:color w:val="auto"/>
                <w:sz w:val="20"/>
              </w:rPr>
              <w:t xml:space="preserve"> </w:t>
            </w:r>
          </w:p>
        </w:tc>
      </w:tr>
      <w:tr w:rsidR="007563B7" w:rsidRPr="006F4C9E" w14:paraId="3AA69F36" w14:textId="77777777" w:rsidTr="007563B7">
        <w:trPr>
          <w:trHeight w:val="274"/>
        </w:trPr>
        <w:tc>
          <w:tcPr>
            <w:tcW w:w="1418" w:type="dxa"/>
            <w:tcBorders>
              <w:top w:val="single" w:sz="4" w:space="0" w:color="000000"/>
              <w:left w:val="single" w:sz="4" w:space="0" w:color="000000"/>
              <w:bottom w:val="single" w:sz="4" w:space="0" w:color="000000"/>
              <w:right w:val="single" w:sz="4" w:space="0" w:color="000000"/>
            </w:tcBorders>
          </w:tcPr>
          <w:p w14:paraId="72A1ED86" w14:textId="77777777" w:rsidR="007563B7" w:rsidRPr="006F4C9E" w:rsidRDefault="007563B7" w:rsidP="007563B7">
            <w:pPr>
              <w:spacing w:after="0" w:line="276" w:lineRule="auto"/>
              <w:ind w:left="2" w:firstLine="0"/>
              <w:jc w:val="left"/>
              <w:rPr>
                <w:color w:val="auto"/>
              </w:rPr>
            </w:pPr>
            <w:r w:rsidRPr="006F4C9E">
              <w:rPr>
                <w:color w:val="auto"/>
                <w:sz w:val="20"/>
              </w:rPr>
              <w:t xml:space="preserve">Invest </w:t>
            </w:r>
          </w:p>
        </w:tc>
        <w:tc>
          <w:tcPr>
            <w:tcW w:w="2127" w:type="dxa"/>
            <w:tcBorders>
              <w:top w:val="single" w:sz="4" w:space="0" w:color="000000"/>
              <w:left w:val="single" w:sz="4" w:space="0" w:color="000000"/>
              <w:bottom w:val="single" w:sz="4" w:space="0" w:color="000000"/>
              <w:right w:val="single" w:sz="4" w:space="0" w:color="000000"/>
            </w:tcBorders>
          </w:tcPr>
          <w:p w14:paraId="492219E0" w14:textId="77777777" w:rsidR="007563B7" w:rsidRPr="006F4C9E" w:rsidRDefault="007563B7" w:rsidP="007563B7">
            <w:pPr>
              <w:spacing w:after="0" w:line="276" w:lineRule="auto"/>
              <w:ind w:left="0" w:firstLine="0"/>
              <w:jc w:val="left"/>
              <w:rPr>
                <w:color w:val="auto"/>
              </w:rPr>
            </w:pPr>
            <w:r w:rsidRPr="006F4C9E">
              <w:rPr>
                <w:color w:val="auto"/>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3C478B4E" w14:textId="77777777" w:rsidR="007563B7" w:rsidRPr="006F4C9E" w:rsidRDefault="007563B7" w:rsidP="007563B7">
            <w:pPr>
              <w:spacing w:after="0" w:line="276" w:lineRule="auto"/>
              <w:ind w:left="0" w:firstLine="0"/>
              <w:jc w:val="left"/>
              <w:rPr>
                <w:color w:val="auto"/>
              </w:rPr>
            </w:pPr>
            <w:r w:rsidRPr="006F4C9E">
              <w:rPr>
                <w:color w:val="auto"/>
                <w:sz w:val="20"/>
              </w:rP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1FB7FC84" w14:textId="77777777" w:rsidR="007563B7" w:rsidRPr="006F4C9E" w:rsidRDefault="007563B7" w:rsidP="007563B7">
            <w:pPr>
              <w:spacing w:after="0" w:line="276" w:lineRule="auto"/>
              <w:ind w:left="2" w:firstLine="0"/>
              <w:jc w:val="left"/>
              <w:rPr>
                <w:color w:val="auto"/>
              </w:rPr>
            </w:pPr>
            <w:r w:rsidRPr="006F4C9E">
              <w:rPr>
                <w:color w:val="auto"/>
                <w:sz w:val="20"/>
              </w:rPr>
              <w:t xml:space="preserve">-2.5733 </w:t>
            </w:r>
          </w:p>
        </w:tc>
        <w:tc>
          <w:tcPr>
            <w:tcW w:w="1133" w:type="dxa"/>
            <w:tcBorders>
              <w:top w:val="single" w:sz="4" w:space="0" w:color="000000"/>
              <w:left w:val="single" w:sz="4" w:space="0" w:color="000000"/>
              <w:bottom w:val="single" w:sz="4" w:space="0" w:color="000000"/>
              <w:right w:val="single" w:sz="4" w:space="0" w:color="000000"/>
            </w:tcBorders>
          </w:tcPr>
          <w:p w14:paraId="705F0ADF" w14:textId="77777777" w:rsidR="007563B7" w:rsidRPr="006F4C9E" w:rsidRDefault="007563B7" w:rsidP="007563B7">
            <w:pPr>
              <w:spacing w:after="0" w:line="276" w:lineRule="auto"/>
              <w:ind w:left="0" w:firstLine="0"/>
              <w:jc w:val="left"/>
              <w:rPr>
                <w:color w:val="auto"/>
              </w:rPr>
            </w:pPr>
            <w:r w:rsidRPr="006F4C9E">
              <w:rPr>
                <w:color w:val="auto"/>
                <w:sz w:val="20"/>
              </w:rPr>
              <w:t xml:space="preserve">0.0050 </w:t>
            </w:r>
          </w:p>
        </w:tc>
        <w:tc>
          <w:tcPr>
            <w:tcW w:w="1844" w:type="dxa"/>
            <w:tcBorders>
              <w:top w:val="single" w:sz="4" w:space="0" w:color="000000"/>
              <w:left w:val="single" w:sz="4" w:space="0" w:color="000000"/>
              <w:bottom w:val="single" w:sz="4" w:space="0" w:color="000000"/>
              <w:right w:val="single" w:sz="4" w:space="0" w:color="000000"/>
            </w:tcBorders>
          </w:tcPr>
          <w:p w14:paraId="093112B0" w14:textId="77777777" w:rsidR="007563B7" w:rsidRPr="006F4C9E" w:rsidRDefault="007563B7" w:rsidP="007563B7">
            <w:pPr>
              <w:spacing w:after="0" w:line="276" w:lineRule="auto"/>
              <w:ind w:left="0" w:firstLine="0"/>
              <w:jc w:val="left"/>
              <w:rPr>
                <w:color w:val="auto"/>
              </w:rPr>
            </w:pPr>
            <w:r w:rsidRPr="006F4C9E">
              <w:rPr>
                <w:color w:val="auto"/>
                <w:sz w:val="20"/>
              </w:rPr>
              <w:t xml:space="preserve">I (0) </w:t>
            </w:r>
            <w:r w:rsidRPr="006F4C9E">
              <w:rPr>
                <w:color w:val="auto"/>
                <w:sz w:val="16"/>
              </w:rPr>
              <w:t>**</w:t>
            </w:r>
            <w:r w:rsidRPr="006F4C9E">
              <w:rPr>
                <w:color w:val="auto"/>
                <w:sz w:val="20"/>
              </w:rPr>
              <w:t xml:space="preserve"> </w:t>
            </w:r>
          </w:p>
        </w:tc>
      </w:tr>
      <w:tr w:rsidR="007563B7" w:rsidRPr="006F4C9E" w14:paraId="4CACC2FF" w14:textId="77777777" w:rsidTr="007563B7">
        <w:trPr>
          <w:trHeight w:val="274"/>
        </w:trPr>
        <w:tc>
          <w:tcPr>
            <w:tcW w:w="1418" w:type="dxa"/>
            <w:tcBorders>
              <w:top w:val="single" w:sz="4" w:space="0" w:color="000000"/>
              <w:left w:val="single" w:sz="4" w:space="0" w:color="000000"/>
              <w:bottom w:val="single" w:sz="4" w:space="0" w:color="000000"/>
              <w:right w:val="single" w:sz="4" w:space="0" w:color="000000"/>
            </w:tcBorders>
          </w:tcPr>
          <w:p w14:paraId="2536BA14" w14:textId="77777777" w:rsidR="007563B7" w:rsidRPr="006F4C9E" w:rsidRDefault="007563B7" w:rsidP="007563B7">
            <w:pPr>
              <w:spacing w:after="0" w:line="276" w:lineRule="auto"/>
              <w:ind w:left="2" w:firstLine="0"/>
              <w:jc w:val="left"/>
              <w:rPr>
                <w:color w:val="auto"/>
              </w:rPr>
            </w:pPr>
            <w:proofErr w:type="spellStart"/>
            <w:r w:rsidRPr="006F4C9E">
              <w:rPr>
                <w:color w:val="auto"/>
                <w:sz w:val="20"/>
              </w:rPr>
              <w:t>Tx_Int</w:t>
            </w:r>
            <w:proofErr w:type="spellEnd"/>
            <w:r w:rsidRPr="006F4C9E">
              <w:rPr>
                <w:color w:val="auto"/>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F8D547A" w14:textId="77777777" w:rsidR="007563B7" w:rsidRPr="006F4C9E" w:rsidRDefault="007563B7" w:rsidP="007563B7">
            <w:pPr>
              <w:spacing w:after="0" w:line="276" w:lineRule="auto"/>
              <w:ind w:left="0" w:firstLine="0"/>
              <w:jc w:val="left"/>
              <w:rPr>
                <w:color w:val="auto"/>
              </w:rPr>
            </w:pPr>
            <w:r w:rsidRPr="006F4C9E">
              <w:rPr>
                <w:color w:val="auto"/>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2BEEA38A" w14:textId="77777777" w:rsidR="007563B7" w:rsidRPr="006F4C9E" w:rsidRDefault="007563B7" w:rsidP="007563B7">
            <w:pPr>
              <w:spacing w:after="0" w:line="276" w:lineRule="auto"/>
              <w:ind w:left="0" w:firstLine="0"/>
              <w:jc w:val="left"/>
              <w:rPr>
                <w:color w:val="auto"/>
              </w:rPr>
            </w:pPr>
            <w:r w:rsidRPr="006F4C9E">
              <w:rPr>
                <w:color w:val="auto"/>
                <w:sz w:val="20"/>
              </w:rP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7D04A917" w14:textId="77777777" w:rsidR="007563B7" w:rsidRPr="006F4C9E" w:rsidRDefault="007563B7" w:rsidP="007563B7">
            <w:pPr>
              <w:spacing w:after="0" w:line="276" w:lineRule="auto"/>
              <w:ind w:left="2" w:firstLine="0"/>
              <w:jc w:val="left"/>
              <w:rPr>
                <w:color w:val="auto"/>
              </w:rPr>
            </w:pPr>
            <w:r w:rsidRPr="006F4C9E">
              <w:rPr>
                <w:color w:val="auto"/>
                <w:sz w:val="20"/>
              </w:rPr>
              <w:t xml:space="preserve">-7.3610 </w:t>
            </w:r>
          </w:p>
        </w:tc>
        <w:tc>
          <w:tcPr>
            <w:tcW w:w="1133" w:type="dxa"/>
            <w:tcBorders>
              <w:top w:val="single" w:sz="4" w:space="0" w:color="000000"/>
              <w:left w:val="single" w:sz="4" w:space="0" w:color="000000"/>
              <w:bottom w:val="single" w:sz="4" w:space="0" w:color="000000"/>
              <w:right w:val="single" w:sz="4" w:space="0" w:color="000000"/>
            </w:tcBorders>
          </w:tcPr>
          <w:p w14:paraId="36D7CDE5" w14:textId="77777777" w:rsidR="007563B7" w:rsidRPr="006F4C9E" w:rsidRDefault="007563B7" w:rsidP="007563B7">
            <w:pPr>
              <w:spacing w:after="0" w:line="276" w:lineRule="auto"/>
              <w:ind w:left="0" w:firstLine="0"/>
              <w:jc w:val="left"/>
              <w:rPr>
                <w:color w:val="auto"/>
              </w:rPr>
            </w:pPr>
            <w:r w:rsidRPr="006F4C9E">
              <w:rPr>
                <w:color w:val="auto"/>
                <w:sz w:val="20"/>
              </w:rPr>
              <w:t xml:space="preserve">0.0000 </w:t>
            </w:r>
          </w:p>
        </w:tc>
        <w:tc>
          <w:tcPr>
            <w:tcW w:w="1844" w:type="dxa"/>
            <w:tcBorders>
              <w:top w:val="single" w:sz="4" w:space="0" w:color="000000"/>
              <w:left w:val="single" w:sz="4" w:space="0" w:color="000000"/>
              <w:bottom w:val="single" w:sz="4" w:space="0" w:color="000000"/>
              <w:right w:val="single" w:sz="4" w:space="0" w:color="000000"/>
            </w:tcBorders>
          </w:tcPr>
          <w:p w14:paraId="10028B75" w14:textId="77777777" w:rsidR="007563B7" w:rsidRPr="006F4C9E" w:rsidRDefault="007563B7" w:rsidP="007563B7">
            <w:pPr>
              <w:spacing w:after="0" w:line="276" w:lineRule="auto"/>
              <w:ind w:left="0" w:firstLine="0"/>
              <w:jc w:val="left"/>
              <w:rPr>
                <w:color w:val="auto"/>
              </w:rPr>
            </w:pPr>
            <w:r w:rsidRPr="006F4C9E">
              <w:rPr>
                <w:color w:val="auto"/>
                <w:sz w:val="20"/>
              </w:rPr>
              <w:t xml:space="preserve">I (0) </w:t>
            </w:r>
            <w:r w:rsidRPr="006F4C9E">
              <w:rPr>
                <w:color w:val="auto"/>
                <w:sz w:val="16"/>
              </w:rPr>
              <w:t>***</w:t>
            </w:r>
            <w:r w:rsidRPr="006F4C9E">
              <w:rPr>
                <w:color w:val="auto"/>
                <w:sz w:val="20"/>
              </w:rPr>
              <w:t xml:space="preserve"> </w:t>
            </w:r>
          </w:p>
        </w:tc>
      </w:tr>
      <w:tr w:rsidR="007563B7" w:rsidRPr="006F4C9E" w14:paraId="01DC3FC6" w14:textId="77777777" w:rsidTr="007563B7">
        <w:trPr>
          <w:trHeight w:val="276"/>
        </w:trPr>
        <w:tc>
          <w:tcPr>
            <w:tcW w:w="1418" w:type="dxa"/>
            <w:tcBorders>
              <w:top w:val="single" w:sz="4" w:space="0" w:color="000000"/>
              <w:left w:val="single" w:sz="4" w:space="0" w:color="000000"/>
              <w:bottom w:val="single" w:sz="4" w:space="0" w:color="000000"/>
              <w:right w:val="single" w:sz="4" w:space="0" w:color="000000"/>
            </w:tcBorders>
          </w:tcPr>
          <w:p w14:paraId="1AC19305" w14:textId="77777777" w:rsidR="007563B7" w:rsidRPr="006F4C9E" w:rsidRDefault="007563B7" w:rsidP="007563B7">
            <w:pPr>
              <w:spacing w:after="0" w:line="276" w:lineRule="auto"/>
              <w:ind w:left="2" w:firstLine="0"/>
              <w:jc w:val="left"/>
              <w:rPr>
                <w:color w:val="auto"/>
              </w:rPr>
            </w:pPr>
            <w:proofErr w:type="spellStart"/>
            <w:r w:rsidRPr="006F4C9E">
              <w:rPr>
                <w:color w:val="auto"/>
                <w:sz w:val="20"/>
              </w:rPr>
              <w:t>Ouv</w:t>
            </w:r>
            <w:proofErr w:type="spellEnd"/>
            <w:r w:rsidRPr="006F4C9E">
              <w:rPr>
                <w:color w:val="auto"/>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F31ED41" w14:textId="77777777" w:rsidR="007563B7" w:rsidRPr="006F4C9E" w:rsidRDefault="007563B7" w:rsidP="007563B7">
            <w:pPr>
              <w:spacing w:after="0" w:line="276" w:lineRule="auto"/>
              <w:ind w:left="0" w:firstLine="0"/>
              <w:jc w:val="left"/>
              <w:rPr>
                <w:color w:val="auto"/>
              </w:rPr>
            </w:pPr>
            <w:r w:rsidRPr="006F4C9E">
              <w:rPr>
                <w:color w:val="auto"/>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09678034" w14:textId="77777777" w:rsidR="007563B7" w:rsidRPr="006F4C9E" w:rsidRDefault="007563B7" w:rsidP="007563B7">
            <w:pPr>
              <w:spacing w:after="0" w:line="276" w:lineRule="auto"/>
              <w:ind w:left="0" w:firstLine="0"/>
              <w:jc w:val="left"/>
              <w:rPr>
                <w:color w:val="auto"/>
              </w:rPr>
            </w:pPr>
            <w:r w:rsidRPr="006F4C9E">
              <w:rPr>
                <w:color w:val="auto"/>
                <w:sz w:val="20"/>
              </w:rP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62ADF719" w14:textId="77777777" w:rsidR="007563B7" w:rsidRPr="006F4C9E" w:rsidRDefault="007563B7" w:rsidP="007563B7">
            <w:pPr>
              <w:spacing w:after="0" w:line="276" w:lineRule="auto"/>
              <w:ind w:left="2" w:firstLine="0"/>
              <w:jc w:val="left"/>
              <w:rPr>
                <w:color w:val="auto"/>
              </w:rPr>
            </w:pPr>
            <w:r w:rsidRPr="006F4C9E">
              <w:rPr>
                <w:color w:val="auto"/>
                <w:sz w:val="20"/>
              </w:rPr>
              <w:t xml:space="preserve">-1.3636 </w:t>
            </w:r>
          </w:p>
        </w:tc>
        <w:tc>
          <w:tcPr>
            <w:tcW w:w="1133" w:type="dxa"/>
            <w:tcBorders>
              <w:top w:val="single" w:sz="4" w:space="0" w:color="000000"/>
              <w:left w:val="single" w:sz="4" w:space="0" w:color="000000"/>
              <w:bottom w:val="single" w:sz="4" w:space="0" w:color="000000"/>
              <w:right w:val="single" w:sz="4" w:space="0" w:color="000000"/>
            </w:tcBorders>
          </w:tcPr>
          <w:p w14:paraId="46ED5A5D" w14:textId="77777777" w:rsidR="007563B7" w:rsidRPr="006F4C9E" w:rsidRDefault="007563B7" w:rsidP="007563B7">
            <w:pPr>
              <w:spacing w:after="0" w:line="276" w:lineRule="auto"/>
              <w:ind w:left="0" w:firstLine="0"/>
              <w:jc w:val="left"/>
              <w:rPr>
                <w:color w:val="auto"/>
              </w:rPr>
            </w:pPr>
            <w:r w:rsidRPr="006F4C9E">
              <w:rPr>
                <w:color w:val="auto"/>
                <w:sz w:val="20"/>
              </w:rPr>
              <w:t xml:space="preserve">0.0848 </w:t>
            </w:r>
          </w:p>
        </w:tc>
        <w:tc>
          <w:tcPr>
            <w:tcW w:w="1844" w:type="dxa"/>
            <w:tcBorders>
              <w:top w:val="single" w:sz="4" w:space="0" w:color="000000"/>
              <w:left w:val="single" w:sz="4" w:space="0" w:color="000000"/>
              <w:bottom w:val="single" w:sz="4" w:space="0" w:color="000000"/>
              <w:right w:val="single" w:sz="4" w:space="0" w:color="000000"/>
            </w:tcBorders>
          </w:tcPr>
          <w:p w14:paraId="1AB08B49" w14:textId="77777777" w:rsidR="007563B7" w:rsidRPr="006F4C9E" w:rsidRDefault="007563B7" w:rsidP="007563B7">
            <w:pPr>
              <w:spacing w:after="0" w:line="276" w:lineRule="auto"/>
              <w:ind w:left="0" w:firstLine="0"/>
              <w:jc w:val="left"/>
              <w:rPr>
                <w:color w:val="auto"/>
              </w:rPr>
            </w:pPr>
            <w:r w:rsidRPr="006F4C9E">
              <w:rPr>
                <w:color w:val="auto"/>
                <w:sz w:val="20"/>
              </w:rPr>
              <w:t xml:space="preserve">I (0) </w:t>
            </w:r>
            <w:r w:rsidRPr="006F4C9E">
              <w:rPr>
                <w:color w:val="auto"/>
                <w:sz w:val="16"/>
              </w:rPr>
              <w:t>*</w:t>
            </w:r>
            <w:r w:rsidRPr="006F4C9E">
              <w:rPr>
                <w:color w:val="auto"/>
                <w:sz w:val="20"/>
              </w:rPr>
              <w:t xml:space="preserve"> </w:t>
            </w:r>
          </w:p>
        </w:tc>
      </w:tr>
      <w:tr w:rsidR="007563B7" w:rsidRPr="006F4C9E" w14:paraId="50B445F2" w14:textId="77777777" w:rsidTr="007563B7">
        <w:trPr>
          <w:trHeight w:val="274"/>
        </w:trPr>
        <w:tc>
          <w:tcPr>
            <w:tcW w:w="1418" w:type="dxa"/>
            <w:tcBorders>
              <w:top w:val="single" w:sz="4" w:space="0" w:color="000000"/>
              <w:left w:val="single" w:sz="4" w:space="0" w:color="000000"/>
              <w:bottom w:val="single" w:sz="4" w:space="0" w:color="000000"/>
              <w:right w:val="single" w:sz="4" w:space="0" w:color="000000"/>
            </w:tcBorders>
          </w:tcPr>
          <w:p w14:paraId="798730A5" w14:textId="77777777" w:rsidR="007563B7" w:rsidRPr="006F4C9E" w:rsidRDefault="007563B7" w:rsidP="007563B7">
            <w:pPr>
              <w:spacing w:after="0" w:line="276" w:lineRule="auto"/>
              <w:ind w:left="2" w:firstLine="0"/>
              <w:jc w:val="left"/>
              <w:rPr>
                <w:color w:val="auto"/>
              </w:rPr>
            </w:pPr>
            <w:proofErr w:type="spellStart"/>
            <w:r w:rsidRPr="006F4C9E">
              <w:rPr>
                <w:color w:val="auto"/>
                <w:sz w:val="20"/>
              </w:rPr>
              <w:t>Res_Ext</w:t>
            </w:r>
            <w:proofErr w:type="spellEnd"/>
            <w:r w:rsidRPr="006F4C9E">
              <w:rPr>
                <w:color w:val="auto"/>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262201B" w14:textId="77777777" w:rsidR="007563B7" w:rsidRPr="006F4C9E" w:rsidRDefault="007563B7" w:rsidP="007563B7">
            <w:pPr>
              <w:spacing w:after="0" w:line="276" w:lineRule="auto"/>
              <w:ind w:left="0" w:firstLine="0"/>
              <w:jc w:val="left"/>
              <w:rPr>
                <w:color w:val="auto"/>
              </w:rPr>
            </w:pPr>
            <w:r w:rsidRPr="006F4C9E">
              <w:rPr>
                <w:color w:val="auto"/>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19768773" w14:textId="77777777" w:rsidR="007563B7" w:rsidRPr="006F4C9E" w:rsidRDefault="007563B7" w:rsidP="007563B7">
            <w:pPr>
              <w:spacing w:after="0" w:line="276" w:lineRule="auto"/>
              <w:ind w:left="0" w:firstLine="0"/>
              <w:jc w:val="left"/>
              <w:rPr>
                <w:color w:val="auto"/>
              </w:rPr>
            </w:pPr>
            <w:r w:rsidRPr="006F4C9E">
              <w:rPr>
                <w:color w:val="auto"/>
                <w:sz w:val="20"/>
              </w:rP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7336FFDF" w14:textId="77777777" w:rsidR="007563B7" w:rsidRPr="006F4C9E" w:rsidRDefault="007563B7" w:rsidP="007563B7">
            <w:pPr>
              <w:spacing w:after="0" w:line="276" w:lineRule="auto"/>
              <w:ind w:left="2" w:firstLine="0"/>
              <w:jc w:val="left"/>
              <w:rPr>
                <w:color w:val="auto"/>
              </w:rPr>
            </w:pPr>
            <w:r w:rsidRPr="006F4C9E">
              <w:rPr>
                <w:color w:val="auto"/>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002F797" w14:textId="77777777" w:rsidR="007563B7" w:rsidRPr="006F4C9E" w:rsidRDefault="007563B7" w:rsidP="007563B7">
            <w:pPr>
              <w:spacing w:after="0" w:line="276" w:lineRule="auto"/>
              <w:ind w:left="0" w:firstLine="0"/>
              <w:jc w:val="left"/>
              <w:rPr>
                <w:color w:val="auto"/>
              </w:rPr>
            </w:pPr>
            <w:r w:rsidRPr="006F4C9E">
              <w:rPr>
                <w:color w:val="auto"/>
                <w:sz w:val="20"/>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2CE10CC9" w14:textId="77777777" w:rsidR="007563B7" w:rsidRPr="006F4C9E" w:rsidRDefault="007563B7" w:rsidP="007563B7">
            <w:pPr>
              <w:spacing w:after="0" w:line="276" w:lineRule="auto"/>
              <w:ind w:left="0" w:firstLine="0"/>
              <w:jc w:val="left"/>
              <w:rPr>
                <w:color w:val="auto"/>
              </w:rPr>
            </w:pPr>
            <w:r w:rsidRPr="006F4C9E">
              <w:rPr>
                <w:color w:val="auto"/>
                <w:sz w:val="20"/>
              </w:rPr>
              <w:t xml:space="preserve"> </w:t>
            </w:r>
          </w:p>
        </w:tc>
      </w:tr>
      <w:tr w:rsidR="007563B7" w:rsidRPr="006F4C9E" w14:paraId="6FBB9BC1" w14:textId="77777777" w:rsidTr="007563B7">
        <w:trPr>
          <w:trHeight w:val="276"/>
        </w:trPr>
        <w:tc>
          <w:tcPr>
            <w:tcW w:w="1418" w:type="dxa"/>
            <w:tcBorders>
              <w:top w:val="single" w:sz="4" w:space="0" w:color="000000"/>
              <w:left w:val="single" w:sz="4" w:space="0" w:color="000000"/>
              <w:bottom w:val="single" w:sz="4" w:space="0" w:color="000000"/>
              <w:right w:val="single" w:sz="4" w:space="0" w:color="000000"/>
            </w:tcBorders>
          </w:tcPr>
          <w:p w14:paraId="2EEC4755" w14:textId="77777777" w:rsidR="007563B7" w:rsidRPr="006F4C9E" w:rsidRDefault="007563B7" w:rsidP="007563B7">
            <w:pPr>
              <w:spacing w:after="0" w:line="276" w:lineRule="auto"/>
              <w:ind w:left="2" w:firstLine="0"/>
              <w:jc w:val="left"/>
              <w:rPr>
                <w:color w:val="auto"/>
              </w:rPr>
            </w:pPr>
            <w:proofErr w:type="spellStart"/>
            <w:proofErr w:type="gramStart"/>
            <w:r w:rsidRPr="006F4C9E">
              <w:rPr>
                <w:color w:val="auto"/>
                <w:sz w:val="20"/>
              </w:rPr>
              <w:t>crois</w:t>
            </w:r>
            <w:proofErr w:type="gramEnd"/>
            <w:r w:rsidRPr="006F4C9E">
              <w:rPr>
                <w:color w:val="auto"/>
                <w:sz w:val="20"/>
              </w:rPr>
              <w:t>_Pop</w:t>
            </w:r>
            <w:proofErr w:type="spellEnd"/>
            <w:r w:rsidRPr="006F4C9E">
              <w:rPr>
                <w:color w:val="auto"/>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979495E" w14:textId="77777777" w:rsidR="007563B7" w:rsidRPr="006F4C9E" w:rsidRDefault="007563B7" w:rsidP="007563B7">
            <w:pPr>
              <w:spacing w:after="0" w:line="276" w:lineRule="auto"/>
              <w:ind w:left="0" w:firstLine="0"/>
              <w:jc w:val="left"/>
              <w:rPr>
                <w:color w:val="auto"/>
              </w:rPr>
            </w:pPr>
            <w:r w:rsidRPr="006F4C9E">
              <w:rPr>
                <w:color w:val="auto"/>
                <w:sz w:val="20"/>
              </w:rPr>
              <w:t xml:space="preserve">-19.4049 </w:t>
            </w:r>
          </w:p>
        </w:tc>
        <w:tc>
          <w:tcPr>
            <w:tcW w:w="1275" w:type="dxa"/>
            <w:tcBorders>
              <w:top w:val="single" w:sz="4" w:space="0" w:color="000000"/>
              <w:left w:val="single" w:sz="4" w:space="0" w:color="000000"/>
              <w:bottom w:val="single" w:sz="4" w:space="0" w:color="000000"/>
              <w:right w:val="single" w:sz="4" w:space="0" w:color="000000"/>
            </w:tcBorders>
          </w:tcPr>
          <w:p w14:paraId="7D006B8B" w14:textId="77777777" w:rsidR="007563B7" w:rsidRPr="006F4C9E" w:rsidRDefault="007563B7" w:rsidP="007563B7">
            <w:pPr>
              <w:spacing w:after="0" w:line="276" w:lineRule="auto"/>
              <w:ind w:left="0" w:firstLine="0"/>
              <w:jc w:val="left"/>
              <w:rPr>
                <w:color w:val="auto"/>
              </w:rPr>
            </w:pPr>
            <w:r w:rsidRPr="006F4C9E">
              <w:rPr>
                <w:color w:val="auto"/>
                <w:sz w:val="20"/>
              </w:rPr>
              <w:t xml:space="preserve">0.0000 </w:t>
            </w:r>
          </w:p>
        </w:tc>
        <w:tc>
          <w:tcPr>
            <w:tcW w:w="2129" w:type="dxa"/>
            <w:tcBorders>
              <w:top w:val="single" w:sz="4" w:space="0" w:color="000000"/>
              <w:left w:val="single" w:sz="4" w:space="0" w:color="000000"/>
              <w:bottom w:val="single" w:sz="4" w:space="0" w:color="000000"/>
              <w:right w:val="single" w:sz="4" w:space="0" w:color="000000"/>
            </w:tcBorders>
          </w:tcPr>
          <w:p w14:paraId="142AAFE1" w14:textId="77777777" w:rsidR="007563B7" w:rsidRPr="006F4C9E" w:rsidRDefault="007563B7" w:rsidP="007563B7">
            <w:pPr>
              <w:spacing w:after="0" w:line="276" w:lineRule="auto"/>
              <w:ind w:left="2" w:firstLine="0"/>
              <w:jc w:val="left"/>
              <w:rPr>
                <w:color w:val="auto"/>
              </w:rPr>
            </w:pPr>
            <w:r w:rsidRPr="006F4C9E">
              <w:rPr>
                <w:color w:val="auto"/>
                <w:sz w:val="20"/>
              </w:rPr>
              <w:t xml:space="preserve">1.1574 </w:t>
            </w:r>
          </w:p>
        </w:tc>
        <w:tc>
          <w:tcPr>
            <w:tcW w:w="1133" w:type="dxa"/>
            <w:tcBorders>
              <w:top w:val="single" w:sz="4" w:space="0" w:color="000000"/>
              <w:left w:val="single" w:sz="4" w:space="0" w:color="000000"/>
              <w:bottom w:val="single" w:sz="4" w:space="0" w:color="000000"/>
              <w:right w:val="single" w:sz="4" w:space="0" w:color="000000"/>
            </w:tcBorders>
          </w:tcPr>
          <w:p w14:paraId="44AA124B" w14:textId="77777777" w:rsidR="007563B7" w:rsidRPr="006F4C9E" w:rsidRDefault="007563B7" w:rsidP="007563B7">
            <w:pPr>
              <w:spacing w:after="0" w:line="276" w:lineRule="auto"/>
              <w:ind w:left="0" w:firstLine="0"/>
              <w:jc w:val="left"/>
              <w:rPr>
                <w:color w:val="auto"/>
              </w:rPr>
            </w:pPr>
            <w:r w:rsidRPr="006F4C9E">
              <w:rPr>
                <w:color w:val="auto"/>
                <w:sz w:val="20"/>
              </w:rPr>
              <w:t xml:space="preserve">0.8765 </w:t>
            </w:r>
          </w:p>
        </w:tc>
        <w:tc>
          <w:tcPr>
            <w:tcW w:w="1844" w:type="dxa"/>
            <w:tcBorders>
              <w:top w:val="single" w:sz="4" w:space="0" w:color="000000"/>
              <w:left w:val="single" w:sz="4" w:space="0" w:color="000000"/>
              <w:bottom w:val="single" w:sz="4" w:space="0" w:color="000000"/>
              <w:right w:val="single" w:sz="4" w:space="0" w:color="000000"/>
            </w:tcBorders>
          </w:tcPr>
          <w:p w14:paraId="4B8CB2FE" w14:textId="77777777" w:rsidR="007563B7" w:rsidRPr="006F4C9E" w:rsidRDefault="007563B7" w:rsidP="007563B7">
            <w:pPr>
              <w:spacing w:after="0" w:line="276" w:lineRule="auto"/>
              <w:ind w:left="0" w:firstLine="0"/>
              <w:jc w:val="left"/>
              <w:rPr>
                <w:color w:val="auto"/>
              </w:rPr>
            </w:pPr>
            <w:r w:rsidRPr="006F4C9E">
              <w:rPr>
                <w:color w:val="auto"/>
                <w:sz w:val="20"/>
              </w:rPr>
              <w:t xml:space="preserve">I (1) </w:t>
            </w:r>
            <w:r w:rsidRPr="006F4C9E">
              <w:rPr>
                <w:color w:val="auto"/>
                <w:sz w:val="16"/>
              </w:rPr>
              <w:t>***</w:t>
            </w:r>
            <w:r w:rsidRPr="006F4C9E">
              <w:rPr>
                <w:color w:val="auto"/>
                <w:sz w:val="20"/>
              </w:rPr>
              <w:t xml:space="preserve"> </w:t>
            </w:r>
          </w:p>
        </w:tc>
      </w:tr>
    </w:tbl>
    <w:p w14:paraId="0B532105" w14:textId="77777777" w:rsidR="00971A0D" w:rsidRPr="00364E3B" w:rsidRDefault="007563B7" w:rsidP="00364E3B">
      <w:pPr>
        <w:spacing w:after="274" w:line="399" w:lineRule="auto"/>
        <w:ind w:left="67" w:right="3130" w:hanging="10"/>
        <w:jc w:val="left"/>
        <w:rPr>
          <w:color w:val="auto"/>
          <w:lang w:val="en-CA"/>
        </w:rPr>
      </w:pPr>
      <w:r w:rsidRPr="006F4C9E">
        <w:rPr>
          <w:b/>
          <w:color w:val="auto"/>
          <w:lang w:val="en-CA"/>
        </w:rPr>
        <w:t xml:space="preserve">Source: Our estimates from the results of the stationarity </w:t>
      </w:r>
    </w:p>
    <w:sectPr w:rsidR="00971A0D" w:rsidRPr="00364E3B">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12609" w14:textId="77777777" w:rsidR="004E358D" w:rsidRDefault="004E358D" w:rsidP="007563B7">
      <w:pPr>
        <w:spacing w:after="0" w:line="240" w:lineRule="auto"/>
      </w:pPr>
      <w:r>
        <w:separator/>
      </w:r>
    </w:p>
  </w:endnote>
  <w:endnote w:type="continuationSeparator" w:id="0">
    <w:p w14:paraId="1E9864DF" w14:textId="77777777" w:rsidR="004E358D" w:rsidRDefault="004E358D" w:rsidP="00756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B4744" w14:textId="77777777" w:rsidR="00C76C7D" w:rsidRDefault="00C76C7D">
    <w:pPr>
      <w:spacing w:after="0" w:line="276"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8161369"/>
      <w:docPartObj>
        <w:docPartGallery w:val="Page Numbers (Bottom of Page)"/>
        <w:docPartUnique/>
      </w:docPartObj>
    </w:sdtPr>
    <w:sdtContent>
      <w:sdt>
        <w:sdtPr>
          <w:id w:val="-1221044739"/>
          <w:docPartObj>
            <w:docPartGallery w:val="Page Numbers (Top of Page)"/>
            <w:docPartUnique/>
          </w:docPartObj>
        </w:sdtPr>
        <w:sdtContent>
          <w:p w14:paraId="0BB666A8" w14:textId="77777777" w:rsidR="00C76C7D" w:rsidRDefault="00C76C7D">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sidR="0004093A">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04093A">
              <w:rPr>
                <w:b/>
                <w:bCs/>
                <w:noProof/>
              </w:rPr>
              <w:t>1</w:t>
            </w:r>
            <w:r>
              <w:rPr>
                <w:b/>
                <w:bCs/>
                <w:sz w:val="24"/>
                <w:szCs w:val="24"/>
              </w:rPr>
              <w:fldChar w:fldCharType="end"/>
            </w:r>
          </w:p>
        </w:sdtContent>
      </w:sdt>
    </w:sdtContent>
  </w:sdt>
  <w:p w14:paraId="6F8CF253" w14:textId="77777777" w:rsidR="00C76C7D" w:rsidRDefault="00C76C7D">
    <w:pPr>
      <w:spacing w:after="0" w:line="276"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6E371" w14:textId="77777777" w:rsidR="00C76C7D" w:rsidRDefault="00C76C7D">
    <w:pPr>
      <w:spacing w:after="0" w:line="276"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CB7E3" w14:textId="77777777" w:rsidR="004E358D" w:rsidRDefault="004E358D" w:rsidP="007563B7">
      <w:pPr>
        <w:spacing w:after="0" w:line="240" w:lineRule="auto"/>
      </w:pPr>
      <w:r>
        <w:separator/>
      </w:r>
    </w:p>
  </w:footnote>
  <w:footnote w:type="continuationSeparator" w:id="0">
    <w:p w14:paraId="5AEA2E07" w14:textId="77777777" w:rsidR="004E358D" w:rsidRDefault="004E358D" w:rsidP="00756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9AF05" w14:textId="0A005FA9" w:rsidR="00DD4E7B" w:rsidRDefault="00DD4E7B">
    <w:pPr>
      <w:pStyle w:val="Header"/>
    </w:pPr>
    <w:r>
      <w:rPr>
        <w:noProof/>
      </w:rPr>
      <w:pict w14:anchorId="27768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169063" o:spid="_x0000_s1026"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AF99C" w14:textId="4D75AB99" w:rsidR="00DD4E7B" w:rsidRDefault="00DD4E7B">
    <w:pPr>
      <w:pStyle w:val="Header"/>
    </w:pPr>
    <w:r>
      <w:rPr>
        <w:noProof/>
      </w:rPr>
      <w:pict w14:anchorId="4B747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169064" o:spid="_x0000_s1027" type="#_x0000_t136" style="position:absolute;left:0;text-align:left;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95A4A" w14:textId="4AF4D6A8" w:rsidR="00DD4E7B" w:rsidRDefault="00DD4E7B">
    <w:pPr>
      <w:pStyle w:val="Header"/>
    </w:pPr>
    <w:r>
      <w:rPr>
        <w:noProof/>
      </w:rPr>
      <w:pict w14:anchorId="69646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169062" o:spid="_x0000_s1025" type="#_x0000_t136" style="position:absolute;left:0;text-align:left;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77A54"/>
    <w:multiLevelType w:val="hybridMultilevel"/>
    <w:tmpl w:val="91E8DA46"/>
    <w:lvl w:ilvl="0" w:tplc="614E7F1C">
      <w:start w:val="1"/>
      <w:numFmt w:val="decimal"/>
      <w:lvlText w:val="%1."/>
      <w:lvlJc w:val="left"/>
      <w:pPr>
        <w:ind w:left="7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C374E3D8">
      <w:start w:val="1"/>
      <w:numFmt w:val="lowerLetter"/>
      <w:lvlText w:val="%2"/>
      <w:lvlJc w:val="left"/>
      <w:pPr>
        <w:ind w:left="14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56F0C65E">
      <w:start w:val="1"/>
      <w:numFmt w:val="lowerRoman"/>
      <w:lvlText w:val="%3"/>
      <w:lvlJc w:val="left"/>
      <w:pPr>
        <w:ind w:left="21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9B1299F0">
      <w:start w:val="1"/>
      <w:numFmt w:val="decimal"/>
      <w:lvlText w:val="%4"/>
      <w:lvlJc w:val="left"/>
      <w:pPr>
        <w:ind w:left="28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2376AB9A">
      <w:start w:val="1"/>
      <w:numFmt w:val="lowerLetter"/>
      <w:lvlText w:val="%5"/>
      <w:lvlJc w:val="left"/>
      <w:pPr>
        <w:ind w:left="36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C598CCC8">
      <w:start w:val="1"/>
      <w:numFmt w:val="lowerRoman"/>
      <w:lvlText w:val="%6"/>
      <w:lvlJc w:val="left"/>
      <w:pPr>
        <w:ind w:left="43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C92884C">
      <w:start w:val="1"/>
      <w:numFmt w:val="decimal"/>
      <w:lvlText w:val="%7"/>
      <w:lvlJc w:val="left"/>
      <w:pPr>
        <w:ind w:left="50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495CDCE6">
      <w:start w:val="1"/>
      <w:numFmt w:val="lowerLetter"/>
      <w:lvlText w:val="%8"/>
      <w:lvlJc w:val="left"/>
      <w:pPr>
        <w:ind w:left="57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17FC7FC2">
      <w:start w:val="1"/>
      <w:numFmt w:val="lowerRoman"/>
      <w:lvlText w:val="%9"/>
      <w:lvlJc w:val="left"/>
      <w:pPr>
        <w:ind w:left="64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5C1009AB"/>
    <w:multiLevelType w:val="hybridMultilevel"/>
    <w:tmpl w:val="10A87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CF7584"/>
    <w:multiLevelType w:val="multilevel"/>
    <w:tmpl w:val="39306A78"/>
    <w:lvl w:ilvl="0">
      <w:start w:val="2"/>
      <w:numFmt w:val="decimal"/>
      <w:lvlText w:val="%1."/>
      <w:lvlJc w:val="left"/>
      <w:pPr>
        <w:ind w:left="29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47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13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5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7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29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01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73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5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76415E3A"/>
    <w:multiLevelType w:val="hybridMultilevel"/>
    <w:tmpl w:val="58D8A826"/>
    <w:lvl w:ilvl="0" w:tplc="50BE0F5E">
      <w:start w:val="1"/>
      <w:numFmt w:val="bullet"/>
      <w:lvlText w:val=""/>
      <w:lvlJc w:val="left"/>
      <w:pPr>
        <w:ind w:left="773"/>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ECF4D05C">
      <w:start w:val="1"/>
      <w:numFmt w:val="bullet"/>
      <w:lvlText w:val="o"/>
      <w:lvlJc w:val="left"/>
      <w:pPr>
        <w:ind w:left="1493"/>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DFA079FC">
      <w:start w:val="1"/>
      <w:numFmt w:val="bullet"/>
      <w:lvlText w:val="▪"/>
      <w:lvlJc w:val="left"/>
      <w:pPr>
        <w:ind w:left="2213"/>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595EC776">
      <w:start w:val="1"/>
      <w:numFmt w:val="bullet"/>
      <w:lvlText w:val="•"/>
      <w:lvlJc w:val="left"/>
      <w:pPr>
        <w:ind w:left="2933"/>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88BE5BFE">
      <w:start w:val="1"/>
      <w:numFmt w:val="bullet"/>
      <w:lvlText w:val="o"/>
      <w:lvlJc w:val="left"/>
      <w:pPr>
        <w:ind w:left="3653"/>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94F4F6D2">
      <w:start w:val="1"/>
      <w:numFmt w:val="bullet"/>
      <w:lvlText w:val="▪"/>
      <w:lvlJc w:val="left"/>
      <w:pPr>
        <w:ind w:left="4373"/>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5B88F628">
      <w:start w:val="1"/>
      <w:numFmt w:val="bullet"/>
      <w:lvlText w:val="•"/>
      <w:lvlJc w:val="left"/>
      <w:pPr>
        <w:ind w:left="5093"/>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F1AA9920">
      <w:start w:val="1"/>
      <w:numFmt w:val="bullet"/>
      <w:lvlText w:val="o"/>
      <w:lvlJc w:val="left"/>
      <w:pPr>
        <w:ind w:left="5813"/>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02885F92">
      <w:start w:val="1"/>
      <w:numFmt w:val="bullet"/>
      <w:lvlText w:val="▪"/>
      <w:lvlJc w:val="left"/>
      <w:pPr>
        <w:ind w:left="6533"/>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num w:numId="1" w16cid:durableId="416291514">
    <w:abstractNumId w:val="0"/>
  </w:num>
  <w:num w:numId="2" w16cid:durableId="1806508410">
    <w:abstractNumId w:val="2"/>
  </w:num>
  <w:num w:numId="3" w16cid:durableId="1542202356">
    <w:abstractNumId w:val="3"/>
  </w:num>
  <w:num w:numId="4" w16cid:durableId="1628120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3B7"/>
    <w:rsid w:val="0004093A"/>
    <w:rsid w:val="000429AF"/>
    <w:rsid w:val="0005379D"/>
    <w:rsid w:val="00187A4B"/>
    <w:rsid w:val="00201B27"/>
    <w:rsid w:val="002262B6"/>
    <w:rsid w:val="00340B5A"/>
    <w:rsid w:val="00350B58"/>
    <w:rsid w:val="00364E3B"/>
    <w:rsid w:val="003E677A"/>
    <w:rsid w:val="003E6FAD"/>
    <w:rsid w:val="004D54EF"/>
    <w:rsid w:val="004E358D"/>
    <w:rsid w:val="005222F3"/>
    <w:rsid w:val="00532800"/>
    <w:rsid w:val="0055468F"/>
    <w:rsid w:val="00574F0F"/>
    <w:rsid w:val="005C47D5"/>
    <w:rsid w:val="005C789D"/>
    <w:rsid w:val="005E5702"/>
    <w:rsid w:val="005F1E90"/>
    <w:rsid w:val="005F7406"/>
    <w:rsid w:val="006615CB"/>
    <w:rsid w:val="00683654"/>
    <w:rsid w:val="00685F85"/>
    <w:rsid w:val="006B2409"/>
    <w:rsid w:val="006C68C7"/>
    <w:rsid w:val="006F4C9E"/>
    <w:rsid w:val="007010A7"/>
    <w:rsid w:val="00722705"/>
    <w:rsid w:val="007563B7"/>
    <w:rsid w:val="00770173"/>
    <w:rsid w:val="007B62E3"/>
    <w:rsid w:val="007B7FBC"/>
    <w:rsid w:val="00832E45"/>
    <w:rsid w:val="0088478D"/>
    <w:rsid w:val="008B6BEC"/>
    <w:rsid w:val="00920E05"/>
    <w:rsid w:val="00925BC3"/>
    <w:rsid w:val="00961FD0"/>
    <w:rsid w:val="00971A0D"/>
    <w:rsid w:val="00A34121"/>
    <w:rsid w:val="00AC5FFC"/>
    <w:rsid w:val="00AF6F50"/>
    <w:rsid w:val="00B01412"/>
    <w:rsid w:val="00B1356D"/>
    <w:rsid w:val="00B25466"/>
    <w:rsid w:val="00B62F44"/>
    <w:rsid w:val="00C76C7D"/>
    <w:rsid w:val="00C82434"/>
    <w:rsid w:val="00CE4768"/>
    <w:rsid w:val="00D11F02"/>
    <w:rsid w:val="00D174F0"/>
    <w:rsid w:val="00D67208"/>
    <w:rsid w:val="00DA33C3"/>
    <w:rsid w:val="00DD4E7B"/>
    <w:rsid w:val="00E6644E"/>
    <w:rsid w:val="00EA2F35"/>
    <w:rsid w:val="00EB536B"/>
    <w:rsid w:val="00EC4C15"/>
    <w:rsid w:val="00F1646A"/>
    <w:rsid w:val="00F22A5F"/>
    <w:rsid w:val="00FD57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FF20F"/>
  <w15:docId w15:val="{D907B3BC-29D0-40DB-89C2-83138FA6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3B7"/>
    <w:pPr>
      <w:spacing w:after="13" w:line="231" w:lineRule="auto"/>
      <w:ind w:left="57" w:firstLine="273"/>
      <w:jc w:val="both"/>
    </w:pPr>
    <w:rPr>
      <w:rFonts w:ascii="Times New Roman" w:eastAsia="Times New Roman" w:hAnsi="Times New Roman" w:cs="Times New Roman"/>
      <w:color w:val="000000"/>
      <w:sz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7563B7"/>
    <w:pPr>
      <w:spacing w:after="0" w:line="240" w:lineRule="auto"/>
      <w:ind w:left="53"/>
      <w:jc w:val="both"/>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7563B7"/>
    <w:rPr>
      <w:rFonts w:ascii="Times New Roman" w:eastAsia="Times New Roman" w:hAnsi="Times New Roman" w:cs="Times New Roman"/>
      <w:color w:val="000000"/>
      <w:sz w:val="20"/>
      <w:lang w:eastAsia="fr-FR"/>
    </w:rPr>
  </w:style>
  <w:style w:type="character" w:customStyle="1" w:styleId="footnotemark">
    <w:name w:val="footnote mark"/>
    <w:hidden/>
    <w:rsid w:val="007563B7"/>
    <w:rPr>
      <w:rFonts w:ascii="Calibri" w:eastAsia="Calibri" w:hAnsi="Calibri" w:cs="Calibri"/>
      <w:color w:val="000000"/>
      <w:sz w:val="20"/>
      <w:vertAlign w:val="superscript"/>
    </w:rPr>
  </w:style>
  <w:style w:type="table" w:customStyle="1" w:styleId="TableGrid">
    <w:name w:val="TableGrid"/>
    <w:rsid w:val="007563B7"/>
    <w:pPr>
      <w:spacing w:after="0" w:line="240" w:lineRule="auto"/>
    </w:pPr>
    <w:rPr>
      <w:rFonts w:eastAsiaTheme="minorEastAsia"/>
      <w:lang w:eastAsia="fr-FR"/>
    </w:rPr>
    <w:tblPr>
      <w:tblCellMar>
        <w:top w:w="0" w:type="dxa"/>
        <w:left w:w="0" w:type="dxa"/>
        <w:bottom w:w="0" w:type="dxa"/>
        <w:right w:w="0" w:type="dxa"/>
      </w:tblCellMar>
    </w:tblPr>
  </w:style>
  <w:style w:type="paragraph" w:styleId="Header">
    <w:name w:val="header"/>
    <w:basedOn w:val="Normal"/>
    <w:link w:val="HeaderChar"/>
    <w:uiPriority w:val="99"/>
    <w:unhideWhenUsed/>
    <w:rsid w:val="00920E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20E05"/>
    <w:rPr>
      <w:rFonts w:ascii="Times New Roman" w:eastAsia="Times New Roman" w:hAnsi="Times New Roman" w:cs="Times New Roman"/>
      <w:color w:val="000000"/>
      <w:sz w:val="24"/>
      <w:lang w:eastAsia="fr-FR"/>
    </w:rPr>
  </w:style>
  <w:style w:type="paragraph" w:styleId="Footer">
    <w:name w:val="footer"/>
    <w:basedOn w:val="Normal"/>
    <w:link w:val="FooterChar"/>
    <w:uiPriority w:val="99"/>
    <w:unhideWhenUsed/>
    <w:rsid w:val="00920E05"/>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920E05"/>
    <w:rPr>
      <w:rFonts w:eastAsiaTheme="minorEastAsia" w:cs="Times New Roman"/>
      <w:lang w:eastAsia="fr-FR"/>
    </w:rPr>
  </w:style>
  <w:style w:type="character" w:styleId="FootnoteReference">
    <w:name w:val="footnote reference"/>
    <w:basedOn w:val="DefaultParagraphFont"/>
    <w:uiPriority w:val="99"/>
    <w:unhideWhenUsed/>
    <w:rsid w:val="00B25466"/>
    <w:rPr>
      <w:vertAlign w:val="superscript"/>
    </w:rPr>
  </w:style>
  <w:style w:type="paragraph" w:styleId="BalloonText">
    <w:name w:val="Balloon Text"/>
    <w:basedOn w:val="Normal"/>
    <w:link w:val="BalloonTextChar"/>
    <w:uiPriority w:val="99"/>
    <w:semiHidden/>
    <w:unhideWhenUsed/>
    <w:rsid w:val="00053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79D"/>
    <w:rPr>
      <w:rFonts w:ascii="Tahoma" w:eastAsia="Times New Roman" w:hAnsi="Tahoma" w:cs="Tahoma"/>
      <w:color w:val="000000"/>
      <w:sz w:val="16"/>
      <w:szCs w:val="16"/>
      <w:lang w:eastAsia="fr-FR"/>
    </w:rPr>
  </w:style>
  <w:style w:type="character" w:styleId="Hyperlink">
    <w:name w:val="Hyperlink"/>
    <w:basedOn w:val="DefaultParagraphFont"/>
    <w:uiPriority w:val="99"/>
    <w:unhideWhenUsed/>
    <w:rsid w:val="003E6FAD"/>
    <w:rPr>
      <w:color w:val="0563C1" w:themeColor="hyperlink"/>
      <w:u w:val="single"/>
    </w:rPr>
  </w:style>
  <w:style w:type="paragraph" w:styleId="FootnoteText">
    <w:name w:val="footnote text"/>
    <w:basedOn w:val="Normal"/>
    <w:link w:val="FootnoteTextChar"/>
    <w:uiPriority w:val="99"/>
    <w:unhideWhenUsed/>
    <w:rsid w:val="00EA2F35"/>
    <w:pPr>
      <w:spacing w:after="0" w:line="240" w:lineRule="auto"/>
    </w:pPr>
    <w:rPr>
      <w:sz w:val="20"/>
      <w:szCs w:val="20"/>
    </w:rPr>
  </w:style>
  <w:style w:type="character" w:customStyle="1" w:styleId="FootnoteTextChar">
    <w:name w:val="Footnote Text Char"/>
    <w:basedOn w:val="DefaultParagraphFont"/>
    <w:link w:val="FootnoteText"/>
    <w:uiPriority w:val="99"/>
    <w:rsid w:val="00EA2F35"/>
    <w:rPr>
      <w:rFonts w:ascii="Times New Roman" w:eastAsia="Times New Roman" w:hAnsi="Times New Roman" w:cs="Times New Roman"/>
      <w:color w:val="000000"/>
      <w:sz w:val="20"/>
      <w:szCs w:val="20"/>
      <w:lang w:eastAsia="fr-FR"/>
    </w:rPr>
  </w:style>
  <w:style w:type="paragraph" w:styleId="ListParagraph">
    <w:name w:val="List Paragraph"/>
    <w:basedOn w:val="Normal"/>
    <w:uiPriority w:val="34"/>
    <w:qFormat/>
    <w:rsid w:val="006F4C9E"/>
    <w:pPr>
      <w:ind w:left="720"/>
      <w:contextualSpacing/>
    </w:pPr>
  </w:style>
  <w:style w:type="character" w:styleId="UnresolvedMention">
    <w:name w:val="Unresolved Mention"/>
    <w:basedOn w:val="DefaultParagraphFont"/>
    <w:uiPriority w:val="99"/>
    <w:semiHidden/>
    <w:unhideWhenUsed/>
    <w:rsid w:val="00EC4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77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1FC2D-F60C-4F97-9652-EA3C99436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8775</Words>
  <Characters>50022</Characters>
  <Application>Microsoft Office Word</Application>
  <DocSecurity>0</DocSecurity>
  <Lines>416</Lines>
  <Paragraphs>117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KAGJUENDO ULRICH</dc:creator>
  <cp:lastModifiedBy>Editor-23</cp:lastModifiedBy>
  <cp:revision>8</cp:revision>
  <cp:lastPrinted>2024-08-02T13:38:00Z</cp:lastPrinted>
  <dcterms:created xsi:type="dcterms:W3CDTF">2024-09-20T11:11:00Z</dcterms:created>
  <dcterms:modified xsi:type="dcterms:W3CDTF">2024-10-29T08:22:00Z</dcterms:modified>
</cp:coreProperties>
</file>