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D3BC5" w14:textId="77777777" w:rsidR="003764BE" w:rsidRPr="003764BE" w:rsidRDefault="003764BE" w:rsidP="003764BE">
      <w:pPr>
        <w:spacing w:after="0" w:line="480" w:lineRule="auto"/>
        <w:jc w:val="right"/>
        <w:rPr>
          <w:rFonts w:ascii="Arial" w:eastAsia="Times New Roman" w:hAnsi="Arial" w:cs="Arial"/>
          <w:b/>
          <w:bCs/>
          <w:i/>
          <w:iCs/>
          <w:color w:val="0E101A"/>
          <w:sz w:val="36"/>
          <w:szCs w:val="36"/>
          <w:u w:val="single"/>
          <w:lang w:val="en-US" w:eastAsia="en-GB"/>
        </w:rPr>
      </w:pPr>
      <w:bookmarkStart w:id="0" w:name="_GoBack"/>
      <w:bookmarkEnd w:id="0"/>
      <w:r w:rsidRPr="003764BE">
        <w:rPr>
          <w:rFonts w:ascii="Arial" w:eastAsia="Times New Roman" w:hAnsi="Arial" w:cs="Arial"/>
          <w:b/>
          <w:bCs/>
          <w:i/>
          <w:iCs/>
          <w:color w:val="0E101A"/>
          <w:sz w:val="36"/>
          <w:szCs w:val="36"/>
          <w:u w:val="single"/>
          <w:lang w:val="en-US" w:eastAsia="en-GB"/>
        </w:rPr>
        <w:t>Original Research Article</w:t>
      </w:r>
    </w:p>
    <w:p w14:paraId="0CC7F8C0" w14:textId="77777777" w:rsidR="009C34D9" w:rsidRDefault="00735411">
      <w:pPr>
        <w:spacing w:after="0" w:line="480" w:lineRule="auto"/>
        <w:jc w:val="right"/>
        <w:rPr>
          <w:rFonts w:ascii="Arial" w:eastAsia="Times New Roman" w:hAnsi="Arial" w:cs="Arial"/>
          <w:b/>
          <w:bCs/>
          <w:color w:val="0E101A"/>
          <w:sz w:val="36"/>
          <w:szCs w:val="36"/>
          <w:lang w:eastAsia="en-GB"/>
        </w:rPr>
      </w:pPr>
      <w:r>
        <w:rPr>
          <w:rFonts w:ascii="Arial" w:eastAsia="Times New Roman" w:hAnsi="Arial" w:cs="Arial"/>
          <w:b/>
          <w:bCs/>
          <w:color w:val="0E101A"/>
          <w:sz w:val="36"/>
          <w:szCs w:val="36"/>
          <w:lang w:eastAsia="en-GB"/>
        </w:rPr>
        <w:t>Hybrid performance, heritability and trait associations in yellow maize (</w:t>
      </w:r>
      <w:proofErr w:type="spellStart"/>
      <w:r w:rsidRPr="00E55EAC">
        <w:rPr>
          <w:rFonts w:ascii="Arial" w:eastAsia="Times New Roman" w:hAnsi="Arial" w:cs="Arial"/>
          <w:b/>
          <w:bCs/>
          <w:iCs/>
          <w:color w:val="0E101A"/>
          <w:sz w:val="36"/>
          <w:szCs w:val="36"/>
          <w:lang w:eastAsia="en-GB"/>
        </w:rPr>
        <w:t>Zea</w:t>
      </w:r>
      <w:proofErr w:type="spellEnd"/>
      <w:r w:rsidRPr="00E55EAC">
        <w:rPr>
          <w:rFonts w:ascii="Arial" w:eastAsia="Times New Roman" w:hAnsi="Arial" w:cs="Arial"/>
          <w:b/>
          <w:bCs/>
          <w:iCs/>
          <w:color w:val="0E101A"/>
          <w:sz w:val="36"/>
          <w:szCs w:val="36"/>
          <w:lang w:eastAsia="en-GB"/>
        </w:rPr>
        <w:t xml:space="preserve"> mays </w:t>
      </w:r>
      <w:r>
        <w:rPr>
          <w:rFonts w:ascii="Arial" w:eastAsia="Times New Roman" w:hAnsi="Arial" w:cs="Arial"/>
          <w:b/>
          <w:bCs/>
          <w:i/>
          <w:color w:val="0E101A"/>
          <w:sz w:val="36"/>
          <w:szCs w:val="36"/>
          <w:lang w:eastAsia="en-GB"/>
        </w:rPr>
        <w:t>L</w:t>
      </w:r>
      <w:r>
        <w:rPr>
          <w:rFonts w:ascii="Arial" w:eastAsia="Times New Roman" w:hAnsi="Arial" w:cs="Arial"/>
          <w:b/>
          <w:bCs/>
          <w:color w:val="0E101A"/>
          <w:sz w:val="36"/>
          <w:szCs w:val="36"/>
          <w:lang w:eastAsia="en-GB"/>
        </w:rPr>
        <w:t>)</w:t>
      </w:r>
      <w:r>
        <w:rPr>
          <w:rFonts w:ascii="Arial" w:eastAsia="Times New Roman" w:hAnsi="Arial" w:cs="Arial"/>
          <w:b/>
          <w:bCs/>
          <w:color w:val="0E101A"/>
          <w:sz w:val="36"/>
          <w:szCs w:val="36"/>
          <w:lang w:val="en-US" w:eastAsia="en-GB"/>
        </w:rPr>
        <w:t xml:space="preserve"> inbred</w:t>
      </w:r>
      <w:r>
        <w:rPr>
          <w:rFonts w:ascii="Arial" w:eastAsia="Times New Roman" w:hAnsi="Arial" w:cs="Arial"/>
          <w:b/>
          <w:bCs/>
          <w:color w:val="0E101A"/>
          <w:sz w:val="36"/>
          <w:szCs w:val="36"/>
          <w:lang w:eastAsia="en-GB"/>
        </w:rPr>
        <w:t xml:space="preserve"> lines.</w:t>
      </w:r>
    </w:p>
    <w:p w14:paraId="4181358E" w14:textId="77777777" w:rsidR="004F6840" w:rsidRDefault="004F6840" w:rsidP="004F6840">
      <w:pPr>
        <w:ind w:firstLine="720"/>
      </w:pPr>
    </w:p>
    <w:p w14:paraId="478C2E23" w14:textId="77777777" w:rsidR="004F6840" w:rsidRDefault="004F6840">
      <w:pPr>
        <w:tabs>
          <w:tab w:val="left" w:pos="6770"/>
        </w:tabs>
        <w:spacing w:after="0" w:line="480" w:lineRule="auto"/>
        <w:jc w:val="right"/>
        <w:rPr>
          <w:rFonts w:ascii="Arial" w:eastAsia="Times New Roman" w:hAnsi="Arial" w:cs="Arial"/>
          <w:b/>
          <w:bCs/>
          <w:color w:val="0E101A"/>
          <w:vertAlign w:val="superscript"/>
          <w:lang w:eastAsia="en-GB"/>
        </w:rPr>
      </w:pPr>
    </w:p>
    <w:p w14:paraId="49B83260" w14:textId="77777777" w:rsidR="009C34D9" w:rsidRDefault="00735411">
      <w:pPr>
        <w:spacing w:after="0" w:line="480" w:lineRule="auto"/>
        <w:rPr>
          <w:rFonts w:ascii="Arial" w:eastAsia="Times New Roman" w:hAnsi="Arial" w:cs="Arial"/>
          <w:b/>
          <w:bCs/>
          <w:color w:val="0E101A"/>
          <w:lang w:eastAsia="en-GB"/>
        </w:rPr>
      </w:pPr>
      <w:r>
        <w:rPr>
          <w:rFonts w:ascii="Arial" w:eastAsia="Times New Roman" w:hAnsi="Arial" w:cs="Arial"/>
          <w:b/>
          <w:bCs/>
          <w:color w:val="0E101A"/>
          <w:lang w:eastAsia="en-GB"/>
        </w:rPr>
        <w:t>Abstract</w:t>
      </w:r>
    </w:p>
    <w:p w14:paraId="3A71588E" w14:textId="77777777"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 xml:space="preserve">The challenge of decreasing maize yields in Kenya and Sub Saharan Africa due to biotic and abiotic stresses is further compounded by limited supply of improved hybrid varieties. This study aimed to evaluate the hybrid performance, heritability and examine phenotypic correlations between grain yield and yield-related traits in yellow maize inbred lines in Western Kenya. 130 F1 test crosses produced using a line-by-tester mating design of </w:t>
      </w:r>
      <w:proofErr w:type="gramStart"/>
      <w:r>
        <w:rPr>
          <w:rFonts w:ascii="Arial" w:eastAsia="Times New Roman" w:hAnsi="Arial" w:cs="Arial"/>
          <w:bCs/>
          <w:color w:val="0E101A"/>
          <w:sz w:val="20"/>
          <w:szCs w:val="20"/>
          <w:lang w:eastAsia="en-GB"/>
        </w:rPr>
        <w:t>two line</w:t>
      </w:r>
      <w:proofErr w:type="gramEnd"/>
      <w:r>
        <w:rPr>
          <w:rFonts w:ascii="Arial" w:eastAsia="Times New Roman" w:hAnsi="Arial" w:cs="Arial"/>
          <w:bCs/>
          <w:color w:val="0E101A"/>
          <w:sz w:val="20"/>
          <w:szCs w:val="20"/>
          <w:lang w:eastAsia="en-GB"/>
        </w:rPr>
        <w:t xml:space="preserve"> testers on 65 yellow lines were evaluated across three locations using a 7×19 alpha lattice with two replications. Phenotypic data on grain yield and yield related traits were used to compute best linear unbiased estimates of means and variance components in META-R while R package ‘</w:t>
      </w:r>
      <w:proofErr w:type="spellStart"/>
      <w:r>
        <w:rPr>
          <w:rFonts w:ascii="Arial" w:eastAsia="Times New Roman" w:hAnsi="Arial" w:cs="Arial"/>
          <w:bCs/>
          <w:color w:val="0E101A"/>
          <w:sz w:val="20"/>
          <w:szCs w:val="20"/>
          <w:lang w:eastAsia="en-GB"/>
        </w:rPr>
        <w:t>corrplot</w:t>
      </w:r>
      <w:proofErr w:type="spellEnd"/>
      <w:r>
        <w:rPr>
          <w:rFonts w:ascii="Arial" w:eastAsia="Times New Roman" w:hAnsi="Arial" w:cs="Arial"/>
          <w:bCs/>
          <w:color w:val="0E101A"/>
          <w:sz w:val="20"/>
          <w:szCs w:val="20"/>
          <w:lang w:eastAsia="en-GB"/>
        </w:rPr>
        <w:t xml:space="preserve">’ computed phenotypic correlations.  </w:t>
      </w:r>
    </w:p>
    <w:p w14:paraId="295F0499" w14:textId="77777777"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Significant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 xml:space="preserve">=0.001) genotypic and genotype-by-environment variances were observed for grain yield and related traits, except for plant height. The testcross L45×TA produced the highest grain yield across sites at 12.4T/Ha. Studied traits showed high heritability across sites, with the exception of the Northern leaf blight, which had moderate heritability (46%). Significant phenotypic correlations were found between traits, with ear height showing the highest positive correlation with grain yield (r = 0.67,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 xml:space="preserve">=0.001).  </w:t>
      </w:r>
    </w:p>
    <w:p w14:paraId="3D402039" w14:textId="77777777"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 xml:space="preserve">With higher genotypic variance than genotype-by-environment interaction variance, high heritability for grain yield and related traits and significant correlations between them, this germplasm offers opportunities for both direct and indirect selection in maize breeding programs aimed at yield improvement since most of the measured traits are largely dependent on the genetic value of the germplasm.  </w:t>
      </w:r>
    </w:p>
    <w:p w14:paraId="6020FEDA" w14:textId="77777777" w:rsidR="009C34D9" w:rsidRDefault="00735411">
      <w:pPr>
        <w:spacing w:after="0" w:line="480" w:lineRule="auto"/>
        <w:jc w:val="both"/>
        <w:rPr>
          <w:rFonts w:ascii="Arial" w:eastAsia="Times New Roman" w:hAnsi="Arial" w:cs="Arial"/>
          <w:bCs/>
          <w:i/>
          <w:color w:val="0E101A"/>
          <w:sz w:val="20"/>
          <w:szCs w:val="20"/>
          <w:lang w:eastAsia="en-GB"/>
        </w:rPr>
      </w:pPr>
      <w:r>
        <w:rPr>
          <w:rFonts w:ascii="Arial" w:eastAsia="Times New Roman" w:hAnsi="Arial" w:cs="Arial"/>
          <w:b/>
          <w:bCs/>
          <w:i/>
          <w:color w:val="0E101A"/>
          <w:sz w:val="20"/>
          <w:szCs w:val="20"/>
          <w:lang w:eastAsia="en-GB"/>
        </w:rPr>
        <w:t xml:space="preserve">Keywords: </w:t>
      </w:r>
      <w:r>
        <w:rPr>
          <w:rFonts w:ascii="Arial" w:eastAsia="Times New Roman" w:hAnsi="Arial" w:cs="Arial"/>
          <w:bCs/>
          <w:i/>
          <w:color w:val="0E101A"/>
          <w:sz w:val="20"/>
          <w:szCs w:val="20"/>
          <w:lang w:eastAsia="en-GB"/>
        </w:rPr>
        <w:t>Yellow maize, grain yield, heritability, correlations.</w:t>
      </w:r>
    </w:p>
    <w:p w14:paraId="6CDDCA5C" w14:textId="77777777" w:rsidR="009C34D9" w:rsidRDefault="00735411">
      <w:pPr>
        <w:pStyle w:val="Heading1"/>
        <w:numPr>
          <w:ilvl w:val="0"/>
          <w:numId w:val="2"/>
        </w:numPr>
        <w:spacing w:line="480" w:lineRule="auto"/>
        <w:rPr>
          <w:rFonts w:ascii="Arial" w:hAnsi="Arial" w:cs="Arial"/>
          <w:b/>
          <w:color w:val="auto"/>
          <w:sz w:val="22"/>
          <w:szCs w:val="22"/>
          <w:lang w:eastAsia="en-GB"/>
        </w:rPr>
      </w:pPr>
      <w:r>
        <w:rPr>
          <w:rFonts w:ascii="Arial" w:hAnsi="Arial" w:cs="Arial"/>
          <w:b/>
          <w:color w:val="auto"/>
          <w:sz w:val="22"/>
          <w:szCs w:val="22"/>
          <w:lang w:eastAsia="en-GB"/>
        </w:rPr>
        <w:lastRenderedPageBreak/>
        <w:t>Introduction</w:t>
      </w:r>
    </w:p>
    <w:p w14:paraId="13A90B1C"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Maize (</w:t>
      </w:r>
      <w:proofErr w:type="spellStart"/>
      <w:r>
        <w:rPr>
          <w:rFonts w:ascii="Arial" w:eastAsia="Times New Roman" w:hAnsi="Arial" w:cs="Arial"/>
          <w:i/>
          <w:color w:val="0E101A"/>
          <w:sz w:val="20"/>
          <w:szCs w:val="20"/>
          <w:lang w:eastAsia="en-GB"/>
        </w:rPr>
        <w:t>Zea</w:t>
      </w:r>
      <w:proofErr w:type="spellEnd"/>
      <w:r>
        <w:rPr>
          <w:rFonts w:ascii="Arial" w:eastAsia="Times New Roman" w:hAnsi="Arial" w:cs="Arial"/>
          <w:i/>
          <w:color w:val="0E101A"/>
          <w:sz w:val="20"/>
          <w:szCs w:val="20"/>
          <w:lang w:eastAsia="en-GB"/>
        </w:rPr>
        <w:t xml:space="preserve"> mays L</w:t>
      </w:r>
      <w:r>
        <w:rPr>
          <w:rFonts w:ascii="Arial" w:eastAsia="Times New Roman" w:hAnsi="Arial" w:cs="Arial"/>
          <w:color w:val="0E101A"/>
          <w:sz w:val="20"/>
          <w:szCs w:val="20"/>
          <w:lang w:eastAsia="en-GB"/>
        </w:rPr>
        <w:t xml:space="preserve">.) plays a crucial role in food, feed, and fodder systems in sub-Saharan Africa (SSA), contributing significantly to the livelihoods of rural families where it accounts for up to 80% of household income (Prasanna et al., 2020, </w:t>
      </w:r>
      <w:proofErr w:type="gramStart"/>
      <w:r>
        <w:rPr>
          <w:rFonts w:ascii="Arial" w:eastAsia="Times New Roman" w:hAnsi="Arial" w:cs="Arial"/>
          <w:color w:val="0E101A"/>
          <w:sz w:val="20"/>
          <w:szCs w:val="20"/>
          <w:lang w:eastAsia="en-GB"/>
        </w:rPr>
        <w:t>2021</w:t>
      </w:r>
      <w:r w:rsidR="00E30B94">
        <w:rPr>
          <w:rFonts w:ascii="Arial" w:eastAsia="Times New Roman" w:hAnsi="Arial" w:cs="Arial"/>
          <w:color w:val="0E101A"/>
          <w:sz w:val="20"/>
          <w:szCs w:val="20"/>
          <w:lang w:eastAsia="en-GB"/>
        </w:rPr>
        <w:t>;FAOSTAT</w:t>
      </w:r>
      <w:proofErr w:type="gramEnd"/>
      <w:r w:rsidR="00E30B94">
        <w:rPr>
          <w:rFonts w:ascii="Arial" w:eastAsia="Times New Roman" w:hAnsi="Arial" w:cs="Arial"/>
          <w:color w:val="0E101A"/>
          <w:sz w:val="20"/>
          <w:szCs w:val="20"/>
          <w:lang w:eastAsia="en-GB"/>
        </w:rPr>
        <w:t xml:space="preserve"> 2024</w:t>
      </w:r>
      <w:r>
        <w:rPr>
          <w:rFonts w:ascii="Arial" w:eastAsia="Times New Roman" w:hAnsi="Arial" w:cs="Arial"/>
          <w:color w:val="0E101A"/>
          <w:sz w:val="20"/>
          <w:szCs w:val="20"/>
          <w:lang w:eastAsia="en-GB"/>
        </w:rPr>
        <w:t>). In Kenya, maize serves as a primary staple food, providing nearly one-third of the daily calorie intake for the population with approximately 56% of farmed land in Kenya dedicated to maize cultivation (</w:t>
      </w:r>
      <w:proofErr w:type="spellStart"/>
      <w:r>
        <w:rPr>
          <w:rFonts w:ascii="Arial" w:eastAsia="Times New Roman" w:hAnsi="Arial" w:cs="Arial"/>
          <w:color w:val="0E101A"/>
          <w:sz w:val="20"/>
          <w:szCs w:val="20"/>
          <w:lang w:eastAsia="en-GB"/>
        </w:rPr>
        <w:t>Mang'eni</w:t>
      </w:r>
      <w:proofErr w:type="spellEnd"/>
      <w:r>
        <w:rPr>
          <w:rFonts w:ascii="Arial" w:eastAsia="Times New Roman" w:hAnsi="Arial" w:cs="Arial"/>
          <w:color w:val="0E101A"/>
          <w:sz w:val="20"/>
          <w:szCs w:val="20"/>
          <w:lang w:eastAsia="en-GB"/>
        </w:rPr>
        <w:t>, 2022). The physical characteristics of maize kernels, including colour, texture, sugar, oil, and protein content, can vary significantly between different varieties, (</w:t>
      </w:r>
      <w:proofErr w:type="spellStart"/>
      <w:r>
        <w:rPr>
          <w:rFonts w:ascii="Arial" w:eastAsia="Times New Roman" w:hAnsi="Arial" w:cs="Arial"/>
          <w:color w:val="0E101A"/>
          <w:sz w:val="20"/>
          <w:szCs w:val="20"/>
          <w:lang w:eastAsia="en-GB"/>
        </w:rPr>
        <w:t>Awoyinka</w:t>
      </w:r>
      <w:proofErr w:type="spellEnd"/>
      <w:r>
        <w:rPr>
          <w:rFonts w:ascii="Arial" w:eastAsia="Times New Roman" w:hAnsi="Arial" w:cs="Arial"/>
          <w:color w:val="0E101A"/>
          <w:sz w:val="20"/>
          <w:szCs w:val="20"/>
          <w:lang w:eastAsia="en-GB"/>
        </w:rPr>
        <w:t>, 2014). Through intentional selection and hybridization efforts, the genetic composition of domesticated maize has improved tremendously, with enhanced environmental adaptation, pest and disease resistance, and nutritional value besides increasing yields.</w:t>
      </w:r>
    </w:p>
    <w:p w14:paraId="571BE300"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In Kenya and the broader SSA region, yellow maize has become increasingly important for meeting cereal requirements (VIB, 2017). This growing demand for yellow maize has prompted efforts to raise awareness about its nutritional benefits in human consumption as well as in animal feeds and fodder. To address the rising input costs of animal feed production, the Kenyan Ministry of Agriculture authorized the importation of 350,000 metric tons of yellow maize duty-free for one year, beginning in late 2022 (Business Daily Africa, December 2022). This policy aimed to reduce pressure on white maize, which is predominantly used for food. Additionally, there were suggestions for promotion of contract regional growing of yellow maize, which would reduce feed costs and eliminate the need for expensive imports (Business Daily Africa, December 2022).</w:t>
      </w:r>
    </w:p>
    <w:p w14:paraId="63E048D2"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Yellow maize is a valuable source of essential vitamins, including pro-vitamin-A carotenoids and vitamin-E, making it a potentially important nutrient source for populations with limited dietary diversity (</w:t>
      </w:r>
      <w:proofErr w:type="spellStart"/>
      <w:r>
        <w:rPr>
          <w:rFonts w:ascii="Arial" w:eastAsia="Times New Roman" w:hAnsi="Arial" w:cs="Arial"/>
          <w:color w:val="0E101A"/>
          <w:sz w:val="20"/>
          <w:szCs w:val="20"/>
          <w:lang w:eastAsia="en-GB"/>
        </w:rPr>
        <w:t>Nuss</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Tanumihardjo</w:t>
      </w:r>
      <w:proofErr w:type="spellEnd"/>
      <w:r>
        <w:rPr>
          <w:rFonts w:ascii="Arial" w:eastAsia="Times New Roman" w:hAnsi="Arial" w:cs="Arial"/>
          <w:color w:val="0E101A"/>
          <w:sz w:val="20"/>
          <w:szCs w:val="20"/>
          <w:lang w:eastAsia="en-GB"/>
        </w:rPr>
        <w:t>, 2010</w:t>
      </w:r>
      <w:r>
        <w:rPr>
          <w:rFonts w:ascii="Arial" w:eastAsia="Times New Roman" w:hAnsi="Arial" w:cs="Arial"/>
          <w:color w:val="0E101A"/>
          <w:sz w:val="20"/>
          <w:szCs w:val="20"/>
          <w:lang w:val="en-US" w:eastAsia="en-GB"/>
        </w:rPr>
        <w:t>;</w:t>
      </w:r>
      <w:r>
        <w:rPr>
          <w:rFonts w:ascii="Arial" w:eastAsia="Times New Roman" w:hAnsi="Arial" w:cs="Arial"/>
          <w:color w:val="0E101A"/>
          <w:sz w:val="20"/>
          <w:szCs w:val="20"/>
          <w:lang w:eastAsia="en-GB"/>
        </w:rPr>
        <w:t xml:space="preserve"> Mangelsdorf &amp; Bramley, 2004). However, despite its recognized nutritional benefits, there is still need for in-depth public awareness campaigns in Kenya to enhance consumer knowledge and foster greater adoption of yellow maize. A study by De </w:t>
      </w:r>
      <w:proofErr w:type="spellStart"/>
      <w:r>
        <w:rPr>
          <w:rFonts w:ascii="Arial" w:eastAsia="Times New Roman" w:hAnsi="Arial" w:cs="Arial"/>
          <w:color w:val="0E101A"/>
          <w:sz w:val="20"/>
          <w:szCs w:val="20"/>
          <w:lang w:eastAsia="en-GB"/>
        </w:rPr>
        <w:t>Groute</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Kimenju</w:t>
      </w:r>
      <w:proofErr w:type="spellEnd"/>
      <w:r>
        <w:rPr>
          <w:rFonts w:ascii="Arial" w:eastAsia="Times New Roman" w:hAnsi="Arial" w:cs="Arial"/>
          <w:color w:val="0E101A"/>
          <w:sz w:val="20"/>
          <w:szCs w:val="20"/>
          <w:lang w:eastAsia="en-GB"/>
        </w:rPr>
        <w:t xml:space="preserve"> (2012) found that consumers in urban Kenya prefer white maize to yellow maize, primarily due to its organoleptic qualities, and show less interest in bio-fortified varieties.</w:t>
      </w:r>
    </w:p>
    <w:p w14:paraId="2E56879E"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Maize production in Kenya faces challenges similar to those encountered across SSA, including reduced arable land due to population growth, as well as biotic and abiotic stresses such as nitrogen deficiency, </w:t>
      </w:r>
      <w:r w:rsidR="00C14832">
        <w:rPr>
          <w:rFonts w:ascii="Arial" w:eastAsia="Times New Roman" w:hAnsi="Arial" w:cs="Arial"/>
          <w:color w:val="0E101A"/>
          <w:sz w:val="20"/>
          <w:szCs w:val="20"/>
          <w:lang w:eastAsia="en-GB"/>
        </w:rPr>
        <w:t xml:space="preserve">climatic changes, </w:t>
      </w:r>
      <w:r>
        <w:rPr>
          <w:rFonts w:ascii="Arial" w:eastAsia="Times New Roman" w:hAnsi="Arial" w:cs="Arial"/>
          <w:color w:val="0E101A"/>
          <w:sz w:val="20"/>
          <w:szCs w:val="20"/>
          <w:lang w:eastAsia="en-GB"/>
        </w:rPr>
        <w:t>salinity, emerging diseases, and pests</w:t>
      </w:r>
      <w:r w:rsidR="00C14832">
        <w:rPr>
          <w:rFonts w:ascii="Arial" w:eastAsia="Times New Roman" w:hAnsi="Arial" w:cs="Arial"/>
          <w:color w:val="0E101A"/>
          <w:sz w:val="20"/>
          <w:szCs w:val="20"/>
          <w:lang w:val="en-US" w:eastAsia="en-GB"/>
        </w:rPr>
        <w:t xml:space="preserve"> </w:t>
      </w:r>
      <w:r w:rsidR="00160BCF" w:rsidRPr="00160BCF">
        <w:rPr>
          <w:rFonts w:ascii="Arial" w:eastAsia="Times New Roman" w:hAnsi="Arial" w:cs="Arial"/>
          <w:color w:val="0E101A"/>
          <w:sz w:val="20"/>
          <w:szCs w:val="20"/>
          <w:lang w:eastAsia="en-GB"/>
        </w:rPr>
        <w:t>(Ntshangase et al., 2018</w:t>
      </w:r>
      <w:r w:rsidR="00160BCF">
        <w:rPr>
          <w:rFonts w:ascii="Arial" w:eastAsia="Times New Roman" w:hAnsi="Arial" w:cs="Arial"/>
          <w:color w:val="0E101A"/>
          <w:sz w:val="20"/>
          <w:szCs w:val="20"/>
          <w:lang w:eastAsia="en-GB"/>
        </w:rPr>
        <w:t>,</w:t>
      </w:r>
      <w:r w:rsidR="00C14832" w:rsidRPr="00C14832">
        <w:rPr>
          <w:rFonts w:ascii="Times New Roman" w:eastAsia="Times New Roman" w:hAnsi="Times New Roman" w:cs="Times New Roman"/>
          <w:sz w:val="24"/>
          <w:szCs w:val="24"/>
          <w:lang w:eastAsia="en-GB"/>
        </w:rPr>
        <w:t xml:space="preserve"> </w:t>
      </w:r>
      <w:proofErr w:type="spellStart"/>
      <w:r w:rsidR="00C14832" w:rsidRPr="00C14832">
        <w:rPr>
          <w:rFonts w:ascii="Arial" w:eastAsia="Times New Roman" w:hAnsi="Arial" w:cs="Arial"/>
          <w:color w:val="0E101A"/>
          <w:sz w:val="20"/>
          <w:szCs w:val="20"/>
          <w:lang w:eastAsia="en-GB"/>
        </w:rPr>
        <w:t>Gebrechorkos</w:t>
      </w:r>
      <w:proofErr w:type="spellEnd"/>
      <w:r w:rsidR="00C14832" w:rsidRPr="00C14832">
        <w:rPr>
          <w:rFonts w:ascii="Arial" w:eastAsia="Times New Roman" w:hAnsi="Arial" w:cs="Arial"/>
          <w:color w:val="0E101A"/>
          <w:sz w:val="20"/>
          <w:szCs w:val="20"/>
          <w:lang w:eastAsia="en-GB"/>
        </w:rPr>
        <w:t xml:space="preserve"> et al., 2019; Nhemachena et al.,2020; Niang et al., 2021</w:t>
      </w:r>
      <w:r w:rsidR="00C14832">
        <w:rPr>
          <w:rFonts w:ascii="Arial" w:eastAsia="Times New Roman" w:hAnsi="Arial" w:cs="Arial"/>
          <w:color w:val="0E101A"/>
          <w:sz w:val="20"/>
          <w:szCs w:val="20"/>
          <w:lang w:eastAsia="en-GB"/>
        </w:rPr>
        <w:t>)</w:t>
      </w:r>
      <w:r>
        <w:rPr>
          <w:rFonts w:ascii="Arial" w:eastAsia="Times New Roman" w:hAnsi="Arial" w:cs="Arial"/>
          <w:color w:val="0E101A"/>
          <w:sz w:val="20"/>
          <w:szCs w:val="20"/>
          <w:lang w:eastAsia="en-GB"/>
        </w:rPr>
        <w:t xml:space="preserve">. Consequently, developing </w:t>
      </w:r>
      <w:r>
        <w:rPr>
          <w:rFonts w:ascii="Arial" w:eastAsia="Times New Roman" w:hAnsi="Arial" w:cs="Arial"/>
          <w:color w:val="0E101A"/>
          <w:sz w:val="20"/>
          <w:szCs w:val="20"/>
          <w:lang w:eastAsia="en-GB"/>
        </w:rPr>
        <w:lastRenderedPageBreak/>
        <w:t xml:space="preserve">highly productive and adaptable maize varieties has become a key focus of maize breeders in the region. </w:t>
      </w:r>
    </w:p>
    <w:p w14:paraId="489D7E62" w14:textId="77777777" w:rsidR="009C34D9" w:rsidRDefault="00160BCF">
      <w:pPr>
        <w:spacing w:after="0" w:line="480" w:lineRule="auto"/>
        <w:jc w:val="both"/>
        <w:rPr>
          <w:rFonts w:ascii="Arial" w:eastAsia="Times New Roman" w:hAnsi="Arial" w:cs="Arial"/>
          <w:color w:val="0E101A"/>
          <w:sz w:val="20"/>
          <w:szCs w:val="20"/>
          <w:lang w:eastAsia="en-GB"/>
        </w:rPr>
      </w:pPr>
      <w:r w:rsidRPr="00160BCF">
        <w:rPr>
          <w:rFonts w:ascii="Arial" w:eastAsia="Times New Roman" w:hAnsi="Arial" w:cs="Arial"/>
          <w:color w:val="0E101A"/>
          <w:sz w:val="20"/>
          <w:szCs w:val="20"/>
          <w:lang w:eastAsia="en-GB"/>
        </w:rPr>
        <w:t>According to Kempthorne (1957), the line-by-tester design offers a statistically robust framework for estimating both general and specific combining abilities, particularly effective when handling a high number of genotypes.</w:t>
      </w:r>
      <w:r w:rsidR="00735411">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 xml:space="preserve">For </w:t>
      </w:r>
      <w:r>
        <w:rPr>
          <w:rFonts w:ascii="Arial" w:eastAsia="Times New Roman" w:hAnsi="Arial" w:cs="Arial"/>
          <w:color w:val="0E101A"/>
          <w:sz w:val="20"/>
          <w:szCs w:val="20"/>
          <w:lang w:val="en-US" w:eastAsia="en-GB"/>
        </w:rPr>
        <w:t>t</w:t>
      </w:r>
      <w:r w:rsidR="00735411">
        <w:rPr>
          <w:rFonts w:ascii="Arial" w:eastAsia="Times New Roman" w:hAnsi="Arial" w:cs="Arial"/>
          <w:color w:val="0E101A"/>
          <w:sz w:val="20"/>
          <w:szCs w:val="20"/>
          <w:lang w:eastAsia="en-GB"/>
        </w:rPr>
        <w:t>his mating design, a set of inbred lines (X) and testers (Y) are hybridized in a one-to-one scheme, resulting in X×Y = XY hybrids (Ndung'u, 2021).</w:t>
      </w:r>
    </w:p>
    <w:p w14:paraId="5D06421A"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As with other crop breeders, maize breeders must select genotypes that exhibit strong performance across different environmental conditions. This is achieved through multi-environment trials (METs), which assess genotypes in various locations and years under different management conditions, such as low nitrogen, water stress, or under standard conditions (Alvarado et al., 2020). METs help identify repeatable genotypic performance and reveal genotype-by-environment interactions. Oehlert, (2010) asserts that effective design of METs is very crucial for controlling plot-to-plot variability and for capturing the true potential test genotypes. </w:t>
      </w:r>
    </w:p>
    <w:p w14:paraId="5422CABE" w14:textId="77777777"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color w:val="0E101A"/>
          <w:sz w:val="20"/>
          <w:szCs w:val="20"/>
          <w:lang w:eastAsia="en-GB"/>
        </w:rPr>
        <w:t>Knight (1948) described heritability as the fraction of observed variance attributed to genetic variation while Lourenco et al. (2017) described it as the extent to which a phenotype is determined by its genetics. For breeders, information on heritability of key breeding traits is essential as it facilitates genetic gain, accelerates breeding programs, and supports the development of improved maize varieties that have the potential to address both farmer and consumer needs.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xml:space="preserve">) accounts for the total genetic variation, including additive, dominant, and epistatic effects (Holland et al., 2003; Falconer &amp; Mackay, 2005; Schmidt et al., 2019). Broad-sense heritability </w:t>
      </w:r>
      <w:r>
        <w:rPr>
          <w:rFonts w:ascii="Arial" w:eastAsia="Times New Roman" w:hAnsi="Arial" w:cs="Arial"/>
          <w:sz w:val="20"/>
          <w:szCs w:val="20"/>
          <w:lang w:eastAsia="en-GB"/>
        </w:rPr>
        <w:t>calculations are used to assess the repeatability of traits across environments (Cooper &amp; Delacy, 1994).</w:t>
      </w:r>
    </w:p>
    <w:p w14:paraId="55C8B90F"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 Materials and methods</w:t>
      </w:r>
    </w:p>
    <w:p w14:paraId="10704CB8" w14:textId="77777777" w:rsidR="009C34D9" w:rsidRDefault="00735411">
      <w:pPr>
        <w:pStyle w:val="Heading2"/>
        <w:spacing w:line="480" w:lineRule="auto"/>
        <w:rPr>
          <w:rFonts w:ascii="Arial" w:hAnsi="Arial" w:cs="Arial"/>
          <w:b/>
          <w:bCs/>
          <w:color w:val="auto"/>
          <w:sz w:val="22"/>
          <w:szCs w:val="22"/>
          <w:lang w:eastAsia="en-GB"/>
        </w:rPr>
      </w:pPr>
      <w:r>
        <w:rPr>
          <w:rFonts w:ascii="Arial" w:hAnsi="Arial" w:cs="Arial"/>
          <w:b/>
          <w:color w:val="auto"/>
          <w:sz w:val="22"/>
          <w:szCs w:val="22"/>
        </w:rPr>
        <w:t>2.1 Germplasm</w:t>
      </w:r>
    </w:p>
    <w:p w14:paraId="3F3BE145"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hAnsi="Arial" w:cs="Arial"/>
          <w:sz w:val="20"/>
          <w:szCs w:val="20"/>
        </w:rPr>
        <w:t xml:space="preserve">A set of 65 yellow maize inbred lines (Table 1) sourced from CIMMYT for the tropical maize production </w:t>
      </w:r>
      <w:proofErr w:type="spellStart"/>
      <w:r>
        <w:rPr>
          <w:rFonts w:ascii="Arial" w:hAnsi="Arial" w:cs="Arial"/>
          <w:sz w:val="20"/>
          <w:szCs w:val="20"/>
        </w:rPr>
        <w:t>agro</w:t>
      </w:r>
      <w:proofErr w:type="spellEnd"/>
      <w:r>
        <w:rPr>
          <w:rFonts w:ascii="Arial" w:hAnsi="Arial" w:cs="Arial"/>
          <w:sz w:val="20"/>
          <w:szCs w:val="20"/>
        </w:rPr>
        <w:t xml:space="preserve">-ecologies were used in this study. These lines; a subset from a sixth </w:t>
      </w:r>
      <w:proofErr w:type="spellStart"/>
      <w:r>
        <w:rPr>
          <w:rFonts w:ascii="Arial" w:hAnsi="Arial" w:cs="Arial"/>
          <w:sz w:val="20"/>
          <w:szCs w:val="20"/>
        </w:rPr>
        <w:t>selfing</w:t>
      </w:r>
      <w:proofErr w:type="spellEnd"/>
      <w:r>
        <w:rPr>
          <w:rFonts w:ascii="Arial" w:hAnsi="Arial" w:cs="Arial"/>
          <w:sz w:val="20"/>
          <w:szCs w:val="20"/>
        </w:rPr>
        <w:t xml:space="preserve"> progeny (S</w:t>
      </w:r>
      <w:r>
        <w:rPr>
          <w:rFonts w:ascii="Arial" w:hAnsi="Arial" w:cs="Arial"/>
          <w:sz w:val="20"/>
          <w:szCs w:val="20"/>
          <w:vertAlign w:val="subscript"/>
        </w:rPr>
        <w:t>6</w:t>
      </w:r>
      <w:r>
        <w:rPr>
          <w:rFonts w:ascii="Arial" w:hAnsi="Arial" w:cs="Arial"/>
          <w:sz w:val="20"/>
          <w:szCs w:val="20"/>
        </w:rPr>
        <w:t>) involving continuous selection for germplasm improvement for tropical adaptation were introduced into a yellow maize hybrid development for the mid altitude ecologies of Kenya. During the short rain season of 2022 at the KARLO-</w:t>
      </w:r>
      <w:proofErr w:type="spellStart"/>
      <w:r>
        <w:rPr>
          <w:rFonts w:ascii="Arial" w:hAnsi="Arial" w:cs="Arial"/>
          <w:sz w:val="20"/>
          <w:szCs w:val="20"/>
        </w:rPr>
        <w:t>Kibos</w:t>
      </w:r>
      <w:proofErr w:type="spellEnd"/>
      <w:r>
        <w:rPr>
          <w:rFonts w:ascii="Arial" w:hAnsi="Arial" w:cs="Arial"/>
          <w:sz w:val="20"/>
          <w:szCs w:val="20"/>
        </w:rPr>
        <w:t xml:space="preserve"> station, located at latitude 0°2' S and longitude 34°48' E, at 1193 </w:t>
      </w:r>
      <w:proofErr w:type="spellStart"/>
      <w:r>
        <w:rPr>
          <w:rFonts w:ascii="Arial" w:hAnsi="Arial" w:cs="Arial"/>
          <w:sz w:val="20"/>
          <w:szCs w:val="20"/>
        </w:rPr>
        <w:t>masl</w:t>
      </w:r>
      <w:proofErr w:type="spellEnd"/>
      <w:r>
        <w:rPr>
          <w:rFonts w:ascii="Arial" w:hAnsi="Arial" w:cs="Arial"/>
          <w:sz w:val="20"/>
          <w:szCs w:val="20"/>
        </w:rPr>
        <w:t xml:space="preserve">; the lines were crossed in two separate nurseries to </w:t>
      </w:r>
      <w:proofErr w:type="gramStart"/>
      <w:r>
        <w:rPr>
          <w:rFonts w:ascii="Arial" w:hAnsi="Arial" w:cs="Arial"/>
          <w:sz w:val="20"/>
          <w:szCs w:val="20"/>
        </w:rPr>
        <w:t>two line</w:t>
      </w:r>
      <w:proofErr w:type="gramEnd"/>
      <w:r>
        <w:rPr>
          <w:rFonts w:ascii="Arial" w:hAnsi="Arial" w:cs="Arial"/>
          <w:sz w:val="20"/>
          <w:szCs w:val="20"/>
        </w:rPr>
        <w:t xml:space="preserve"> testers: Tester A (CML 486) from heterotic group A </w:t>
      </w:r>
      <w:r>
        <w:rPr>
          <w:rFonts w:ascii="Arial" w:hAnsi="Arial" w:cs="Arial"/>
          <w:sz w:val="20"/>
          <w:szCs w:val="20"/>
        </w:rPr>
        <w:lastRenderedPageBreak/>
        <w:t>and Tester B (CML 451) from heterotic group B. This was done using a line-by-tester design, where X (lines) × Y (testers) = XY (hybrids), to generate F</w:t>
      </w:r>
      <w:r>
        <w:rPr>
          <w:rFonts w:ascii="Arial" w:hAnsi="Arial" w:cs="Arial"/>
          <w:sz w:val="20"/>
          <w:szCs w:val="20"/>
          <w:vertAlign w:val="subscript"/>
        </w:rPr>
        <w:t>1</w:t>
      </w:r>
      <w:r>
        <w:rPr>
          <w:rFonts w:ascii="Arial" w:hAnsi="Arial" w:cs="Arial"/>
          <w:sz w:val="20"/>
          <w:szCs w:val="20"/>
        </w:rPr>
        <w:t xml:space="preserve"> hybrids.</w:t>
      </w:r>
    </w:p>
    <w:p w14:paraId="773DF745" w14:textId="77777777" w:rsidR="009C34D9" w:rsidRDefault="00735411">
      <w:pPr>
        <w:spacing w:after="0" w:line="480" w:lineRule="auto"/>
        <w:jc w:val="both"/>
        <w:rPr>
          <w:rFonts w:ascii="Arial" w:hAnsi="Arial" w:cs="Arial"/>
          <w:sz w:val="20"/>
          <w:szCs w:val="20"/>
        </w:rPr>
      </w:pPr>
      <w:r>
        <w:rPr>
          <w:rFonts w:ascii="Arial" w:hAnsi="Arial" w:cs="Arial"/>
          <w:sz w:val="20"/>
          <w:szCs w:val="20"/>
        </w:rPr>
        <w:t>Both testers are of known combining abilities and adaptation to mid-altitude ecologies of East and Southern Africa. Tester CML 486 is an intermediate maturity with a soft dent kernel while CML 451 is a late maturing inbred line with a soft flint kernel. The line testers have moderate tolerance to common foliar diseases and have high general combining ability in target ecologies (CIMMYT, 2005).</w:t>
      </w:r>
    </w:p>
    <w:p w14:paraId="1F43FECA" w14:textId="77777777" w:rsidR="009C34D9" w:rsidRDefault="00735411">
      <w:pPr>
        <w:spacing w:after="0" w:line="480" w:lineRule="auto"/>
        <w:jc w:val="both"/>
        <w:rPr>
          <w:rFonts w:ascii="Arial" w:hAnsi="Arial" w:cs="Arial"/>
          <w:sz w:val="20"/>
          <w:szCs w:val="20"/>
        </w:rPr>
      </w:pPr>
      <w:r>
        <w:rPr>
          <w:rFonts w:ascii="Arial" w:hAnsi="Arial" w:cs="Arial"/>
          <w:sz w:val="20"/>
          <w:szCs w:val="20"/>
        </w:rPr>
        <w:t xml:space="preserve">The isolated crossing nursery blocks consisted of single row plots of 4m long and 0.2m in between hills with 4 plots of female rows and 1 male row (Tester) in between as a pollinator where all female rows were </w:t>
      </w:r>
      <w:proofErr w:type="spellStart"/>
      <w:r>
        <w:rPr>
          <w:rFonts w:ascii="Arial" w:hAnsi="Arial" w:cs="Arial"/>
          <w:sz w:val="20"/>
          <w:szCs w:val="20"/>
        </w:rPr>
        <w:t>detaseled</w:t>
      </w:r>
      <w:proofErr w:type="spellEnd"/>
      <w:r>
        <w:rPr>
          <w:rFonts w:ascii="Arial" w:hAnsi="Arial" w:cs="Arial"/>
          <w:sz w:val="20"/>
          <w:szCs w:val="20"/>
        </w:rPr>
        <w:t xml:space="preserve"> at flowering. At harvest all ears from individual female plots were harvested separately, dried, shelled, and labelled them appropriately. The study used the resulting 130 F</w:t>
      </w:r>
      <w:r>
        <w:rPr>
          <w:rFonts w:ascii="Arial" w:hAnsi="Arial" w:cs="Arial"/>
          <w:sz w:val="20"/>
          <w:szCs w:val="20"/>
          <w:vertAlign w:val="subscript"/>
        </w:rPr>
        <w:t xml:space="preserve">1 </w:t>
      </w:r>
      <w:r>
        <w:rPr>
          <w:rFonts w:ascii="Arial" w:hAnsi="Arial" w:cs="Arial"/>
          <w:sz w:val="20"/>
          <w:szCs w:val="20"/>
        </w:rPr>
        <w:t>hybrids along with three check varieties, in the multi-environment testing (Table 2).</w:t>
      </w:r>
      <w:bookmarkStart w:id="1" w:name="_Toc193640826"/>
    </w:p>
    <w:p w14:paraId="0E925471" w14:textId="77777777" w:rsidR="009C34D9" w:rsidRDefault="009C34D9">
      <w:pPr>
        <w:spacing w:after="0" w:line="240" w:lineRule="auto"/>
        <w:ind w:right="-540"/>
        <w:jc w:val="both"/>
        <w:rPr>
          <w:rFonts w:ascii="Arial" w:hAnsi="Arial" w:cs="Arial"/>
          <w:b/>
          <w:sz w:val="20"/>
          <w:szCs w:val="20"/>
        </w:rPr>
      </w:pPr>
    </w:p>
    <w:p w14:paraId="1EBE2A5A" w14:textId="77777777" w:rsidR="009C34D9" w:rsidRDefault="009C34D9">
      <w:pPr>
        <w:spacing w:after="0" w:line="240" w:lineRule="auto"/>
        <w:ind w:right="-540"/>
        <w:jc w:val="both"/>
        <w:rPr>
          <w:rFonts w:ascii="Arial" w:hAnsi="Arial" w:cs="Arial"/>
          <w:b/>
          <w:sz w:val="20"/>
          <w:szCs w:val="20"/>
        </w:rPr>
      </w:pPr>
    </w:p>
    <w:p w14:paraId="006B7420" w14:textId="77777777" w:rsidR="00735411" w:rsidRDefault="00735411">
      <w:pPr>
        <w:spacing w:after="0" w:line="240" w:lineRule="auto"/>
        <w:ind w:right="-540"/>
        <w:jc w:val="both"/>
        <w:rPr>
          <w:rFonts w:ascii="Arial" w:hAnsi="Arial" w:cs="Arial"/>
          <w:b/>
          <w:sz w:val="20"/>
          <w:szCs w:val="20"/>
        </w:rPr>
      </w:pPr>
    </w:p>
    <w:p w14:paraId="3552904B" w14:textId="77777777" w:rsidR="00735411" w:rsidRDefault="00735411">
      <w:pPr>
        <w:spacing w:after="0" w:line="240" w:lineRule="auto"/>
        <w:ind w:right="-540"/>
        <w:jc w:val="both"/>
        <w:rPr>
          <w:rFonts w:ascii="Arial" w:hAnsi="Arial" w:cs="Arial"/>
          <w:b/>
          <w:sz w:val="20"/>
          <w:szCs w:val="20"/>
        </w:rPr>
      </w:pPr>
    </w:p>
    <w:p w14:paraId="3B766E94" w14:textId="77777777" w:rsidR="00735411" w:rsidRDefault="00735411">
      <w:pPr>
        <w:spacing w:after="0" w:line="240" w:lineRule="auto"/>
        <w:ind w:right="-540"/>
        <w:jc w:val="both"/>
        <w:rPr>
          <w:rFonts w:ascii="Arial" w:hAnsi="Arial" w:cs="Arial"/>
          <w:b/>
          <w:sz w:val="20"/>
          <w:szCs w:val="20"/>
        </w:rPr>
      </w:pPr>
    </w:p>
    <w:p w14:paraId="497D073C" w14:textId="77777777" w:rsidR="00735411" w:rsidRDefault="00735411">
      <w:pPr>
        <w:spacing w:after="0" w:line="240" w:lineRule="auto"/>
        <w:ind w:right="-540"/>
        <w:jc w:val="both"/>
        <w:rPr>
          <w:rFonts w:ascii="Arial" w:hAnsi="Arial" w:cs="Arial"/>
          <w:b/>
          <w:sz w:val="20"/>
          <w:szCs w:val="20"/>
        </w:rPr>
      </w:pPr>
    </w:p>
    <w:p w14:paraId="5C8B5453" w14:textId="77777777" w:rsidR="00735411" w:rsidRDefault="00735411">
      <w:pPr>
        <w:spacing w:after="0" w:line="240" w:lineRule="auto"/>
        <w:ind w:right="-540"/>
        <w:jc w:val="both"/>
        <w:rPr>
          <w:rFonts w:ascii="Arial" w:hAnsi="Arial" w:cs="Arial"/>
          <w:b/>
          <w:sz w:val="20"/>
          <w:szCs w:val="20"/>
        </w:rPr>
      </w:pPr>
    </w:p>
    <w:p w14:paraId="682ED196" w14:textId="77777777" w:rsidR="00735411" w:rsidRDefault="00735411">
      <w:pPr>
        <w:spacing w:after="0" w:line="240" w:lineRule="auto"/>
        <w:ind w:right="-540"/>
        <w:jc w:val="both"/>
        <w:rPr>
          <w:rFonts w:ascii="Arial" w:hAnsi="Arial" w:cs="Arial"/>
          <w:b/>
          <w:sz w:val="20"/>
          <w:szCs w:val="20"/>
        </w:rPr>
      </w:pPr>
    </w:p>
    <w:p w14:paraId="672B54BC" w14:textId="77777777" w:rsidR="00735411" w:rsidRDefault="00735411">
      <w:pPr>
        <w:spacing w:after="0" w:line="240" w:lineRule="auto"/>
        <w:ind w:right="-540"/>
        <w:jc w:val="both"/>
        <w:rPr>
          <w:rFonts w:ascii="Arial" w:hAnsi="Arial" w:cs="Arial"/>
          <w:b/>
          <w:sz w:val="20"/>
          <w:szCs w:val="20"/>
        </w:rPr>
      </w:pPr>
    </w:p>
    <w:p w14:paraId="045EAA0F" w14:textId="77777777" w:rsidR="00735411" w:rsidRDefault="00735411">
      <w:pPr>
        <w:spacing w:after="0" w:line="240" w:lineRule="auto"/>
        <w:ind w:right="-540"/>
        <w:jc w:val="both"/>
        <w:rPr>
          <w:rFonts w:ascii="Arial" w:hAnsi="Arial" w:cs="Arial"/>
          <w:b/>
          <w:sz w:val="20"/>
          <w:szCs w:val="20"/>
        </w:rPr>
      </w:pPr>
    </w:p>
    <w:p w14:paraId="3EAEBB4B" w14:textId="77777777" w:rsidR="00735411" w:rsidRDefault="00735411">
      <w:pPr>
        <w:spacing w:after="0" w:line="240" w:lineRule="auto"/>
        <w:ind w:right="-540"/>
        <w:jc w:val="both"/>
        <w:rPr>
          <w:rFonts w:ascii="Arial" w:hAnsi="Arial" w:cs="Arial"/>
          <w:b/>
          <w:sz w:val="20"/>
          <w:szCs w:val="20"/>
        </w:rPr>
      </w:pPr>
    </w:p>
    <w:p w14:paraId="50540EC7" w14:textId="77777777" w:rsidR="00735411" w:rsidRDefault="00735411">
      <w:pPr>
        <w:spacing w:after="0" w:line="240" w:lineRule="auto"/>
        <w:ind w:right="-540"/>
        <w:jc w:val="both"/>
        <w:rPr>
          <w:rFonts w:ascii="Arial" w:hAnsi="Arial" w:cs="Arial"/>
          <w:b/>
          <w:sz w:val="20"/>
          <w:szCs w:val="20"/>
        </w:rPr>
      </w:pPr>
    </w:p>
    <w:p w14:paraId="43C7BCAA" w14:textId="77777777" w:rsidR="00735411" w:rsidRDefault="00735411">
      <w:pPr>
        <w:spacing w:after="0" w:line="240" w:lineRule="auto"/>
        <w:ind w:right="-540"/>
        <w:jc w:val="both"/>
        <w:rPr>
          <w:rFonts w:ascii="Arial" w:hAnsi="Arial" w:cs="Arial"/>
          <w:b/>
          <w:sz w:val="20"/>
          <w:szCs w:val="20"/>
        </w:rPr>
      </w:pPr>
    </w:p>
    <w:p w14:paraId="609D8D76" w14:textId="77777777" w:rsidR="00735411" w:rsidRDefault="00735411">
      <w:pPr>
        <w:spacing w:after="0" w:line="240" w:lineRule="auto"/>
        <w:ind w:right="-540"/>
        <w:jc w:val="both"/>
        <w:rPr>
          <w:rFonts w:ascii="Arial" w:hAnsi="Arial" w:cs="Arial"/>
          <w:b/>
          <w:sz w:val="20"/>
          <w:szCs w:val="20"/>
        </w:rPr>
      </w:pPr>
    </w:p>
    <w:p w14:paraId="1748E18E" w14:textId="77777777" w:rsidR="00735411" w:rsidRDefault="00735411">
      <w:pPr>
        <w:spacing w:after="0" w:line="240" w:lineRule="auto"/>
        <w:ind w:right="-540"/>
        <w:jc w:val="both"/>
        <w:rPr>
          <w:rFonts w:ascii="Arial" w:hAnsi="Arial" w:cs="Arial"/>
          <w:b/>
          <w:sz w:val="20"/>
          <w:szCs w:val="20"/>
        </w:rPr>
      </w:pPr>
    </w:p>
    <w:p w14:paraId="6201B776" w14:textId="77777777" w:rsidR="00735411" w:rsidRDefault="00735411">
      <w:pPr>
        <w:spacing w:after="0" w:line="240" w:lineRule="auto"/>
        <w:ind w:right="-540"/>
        <w:jc w:val="both"/>
        <w:rPr>
          <w:rFonts w:ascii="Arial" w:hAnsi="Arial" w:cs="Arial"/>
          <w:b/>
          <w:sz w:val="20"/>
          <w:szCs w:val="20"/>
        </w:rPr>
      </w:pPr>
    </w:p>
    <w:p w14:paraId="76E81084" w14:textId="77777777" w:rsidR="00735411" w:rsidRDefault="00735411">
      <w:pPr>
        <w:spacing w:after="0" w:line="240" w:lineRule="auto"/>
        <w:ind w:right="-540"/>
        <w:jc w:val="both"/>
        <w:rPr>
          <w:rFonts w:ascii="Arial" w:hAnsi="Arial" w:cs="Arial"/>
          <w:b/>
          <w:sz w:val="20"/>
          <w:szCs w:val="20"/>
        </w:rPr>
      </w:pPr>
    </w:p>
    <w:p w14:paraId="3FCE9250" w14:textId="77777777" w:rsidR="00735411" w:rsidRDefault="00735411">
      <w:pPr>
        <w:spacing w:after="0" w:line="240" w:lineRule="auto"/>
        <w:ind w:right="-540"/>
        <w:jc w:val="both"/>
        <w:rPr>
          <w:rFonts w:ascii="Arial" w:hAnsi="Arial" w:cs="Arial"/>
          <w:b/>
          <w:sz w:val="20"/>
          <w:szCs w:val="20"/>
        </w:rPr>
      </w:pPr>
    </w:p>
    <w:p w14:paraId="72CFD25D" w14:textId="77777777" w:rsidR="00735411" w:rsidRDefault="00735411">
      <w:pPr>
        <w:spacing w:after="0" w:line="240" w:lineRule="auto"/>
        <w:ind w:right="-540"/>
        <w:jc w:val="both"/>
        <w:rPr>
          <w:rFonts w:ascii="Arial" w:hAnsi="Arial" w:cs="Arial"/>
          <w:b/>
          <w:sz w:val="20"/>
          <w:szCs w:val="20"/>
        </w:rPr>
      </w:pPr>
    </w:p>
    <w:p w14:paraId="29C628AE" w14:textId="77777777" w:rsidR="00735411" w:rsidRDefault="00735411">
      <w:pPr>
        <w:spacing w:after="0" w:line="240" w:lineRule="auto"/>
        <w:ind w:right="-540"/>
        <w:jc w:val="both"/>
        <w:rPr>
          <w:rFonts w:ascii="Arial" w:hAnsi="Arial" w:cs="Arial"/>
          <w:b/>
          <w:sz w:val="20"/>
          <w:szCs w:val="20"/>
        </w:rPr>
      </w:pPr>
    </w:p>
    <w:p w14:paraId="32136E75" w14:textId="77777777" w:rsidR="00C77E30" w:rsidRDefault="00C77E30">
      <w:pPr>
        <w:spacing w:after="0" w:line="240" w:lineRule="auto"/>
        <w:ind w:right="-540"/>
        <w:jc w:val="both"/>
        <w:rPr>
          <w:rFonts w:ascii="Arial" w:hAnsi="Arial" w:cs="Arial"/>
          <w:b/>
          <w:sz w:val="20"/>
          <w:szCs w:val="20"/>
        </w:rPr>
      </w:pPr>
    </w:p>
    <w:p w14:paraId="2E8150C7" w14:textId="77777777" w:rsidR="00C77E30" w:rsidRDefault="00C77E30">
      <w:pPr>
        <w:spacing w:after="0" w:line="240" w:lineRule="auto"/>
        <w:ind w:right="-540"/>
        <w:jc w:val="both"/>
        <w:rPr>
          <w:rFonts w:ascii="Arial" w:hAnsi="Arial" w:cs="Arial"/>
          <w:b/>
          <w:sz w:val="20"/>
          <w:szCs w:val="20"/>
        </w:rPr>
      </w:pPr>
    </w:p>
    <w:p w14:paraId="3204A6B4" w14:textId="77777777" w:rsidR="00C77E30" w:rsidRDefault="00C77E30">
      <w:pPr>
        <w:spacing w:after="0" w:line="240" w:lineRule="auto"/>
        <w:ind w:right="-540"/>
        <w:jc w:val="both"/>
        <w:rPr>
          <w:rFonts w:ascii="Arial" w:hAnsi="Arial" w:cs="Arial"/>
          <w:b/>
          <w:sz w:val="20"/>
          <w:szCs w:val="20"/>
        </w:rPr>
      </w:pPr>
    </w:p>
    <w:p w14:paraId="777C1B02" w14:textId="77777777" w:rsidR="00C77E30" w:rsidRDefault="00C77E30">
      <w:pPr>
        <w:spacing w:after="0" w:line="240" w:lineRule="auto"/>
        <w:ind w:right="-540"/>
        <w:jc w:val="both"/>
        <w:rPr>
          <w:rFonts w:ascii="Arial" w:hAnsi="Arial" w:cs="Arial"/>
          <w:b/>
          <w:sz w:val="20"/>
          <w:szCs w:val="20"/>
        </w:rPr>
      </w:pPr>
    </w:p>
    <w:p w14:paraId="6F2510D6" w14:textId="77777777" w:rsidR="00C77E30" w:rsidRDefault="00C77E30">
      <w:pPr>
        <w:spacing w:after="0" w:line="240" w:lineRule="auto"/>
        <w:ind w:right="-540"/>
        <w:jc w:val="both"/>
        <w:rPr>
          <w:rFonts w:ascii="Arial" w:hAnsi="Arial" w:cs="Arial"/>
          <w:b/>
          <w:sz w:val="20"/>
          <w:szCs w:val="20"/>
        </w:rPr>
      </w:pPr>
    </w:p>
    <w:p w14:paraId="7C03DE58" w14:textId="77777777" w:rsidR="00C77E30" w:rsidRDefault="00C77E30">
      <w:pPr>
        <w:spacing w:after="0" w:line="240" w:lineRule="auto"/>
        <w:ind w:right="-540"/>
        <w:jc w:val="both"/>
        <w:rPr>
          <w:rFonts w:ascii="Arial" w:hAnsi="Arial" w:cs="Arial"/>
          <w:b/>
          <w:sz w:val="20"/>
          <w:szCs w:val="20"/>
        </w:rPr>
      </w:pPr>
    </w:p>
    <w:p w14:paraId="3B75D8DE" w14:textId="77777777" w:rsidR="00C77E30" w:rsidRDefault="00C77E30">
      <w:pPr>
        <w:spacing w:after="0" w:line="240" w:lineRule="auto"/>
        <w:ind w:right="-540"/>
        <w:jc w:val="both"/>
        <w:rPr>
          <w:rFonts w:ascii="Arial" w:hAnsi="Arial" w:cs="Arial"/>
          <w:b/>
          <w:sz w:val="20"/>
          <w:szCs w:val="20"/>
        </w:rPr>
      </w:pPr>
    </w:p>
    <w:p w14:paraId="330DA314" w14:textId="77777777" w:rsidR="00C77E30" w:rsidRDefault="00C77E30">
      <w:pPr>
        <w:spacing w:after="0" w:line="240" w:lineRule="auto"/>
        <w:ind w:right="-540"/>
        <w:jc w:val="both"/>
        <w:rPr>
          <w:rFonts w:ascii="Arial" w:hAnsi="Arial" w:cs="Arial"/>
          <w:b/>
          <w:sz w:val="20"/>
          <w:szCs w:val="20"/>
        </w:rPr>
      </w:pPr>
    </w:p>
    <w:p w14:paraId="2D35F55B" w14:textId="77777777" w:rsidR="00C77E30" w:rsidRDefault="00C77E30">
      <w:pPr>
        <w:spacing w:after="0" w:line="240" w:lineRule="auto"/>
        <w:ind w:right="-540"/>
        <w:jc w:val="both"/>
        <w:rPr>
          <w:rFonts w:ascii="Arial" w:hAnsi="Arial" w:cs="Arial"/>
          <w:b/>
          <w:sz w:val="20"/>
          <w:szCs w:val="20"/>
        </w:rPr>
      </w:pPr>
    </w:p>
    <w:p w14:paraId="0A127BA7" w14:textId="77777777" w:rsidR="00C77E30" w:rsidRDefault="00C77E30">
      <w:pPr>
        <w:spacing w:after="0" w:line="240" w:lineRule="auto"/>
        <w:ind w:right="-540"/>
        <w:jc w:val="both"/>
        <w:rPr>
          <w:rFonts w:ascii="Arial" w:hAnsi="Arial" w:cs="Arial"/>
          <w:b/>
          <w:sz w:val="20"/>
          <w:szCs w:val="20"/>
        </w:rPr>
      </w:pPr>
    </w:p>
    <w:p w14:paraId="021E761C" w14:textId="77777777" w:rsidR="00C77E30" w:rsidRDefault="00C77E30">
      <w:pPr>
        <w:spacing w:after="0" w:line="240" w:lineRule="auto"/>
        <w:ind w:right="-540"/>
        <w:jc w:val="both"/>
        <w:rPr>
          <w:rFonts w:ascii="Arial" w:hAnsi="Arial" w:cs="Arial"/>
          <w:b/>
          <w:sz w:val="20"/>
          <w:szCs w:val="20"/>
        </w:rPr>
      </w:pPr>
    </w:p>
    <w:p w14:paraId="65A5CBBD" w14:textId="77777777" w:rsidR="00C77E30" w:rsidRDefault="00C77E30">
      <w:pPr>
        <w:spacing w:after="0" w:line="240" w:lineRule="auto"/>
        <w:ind w:right="-540"/>
        <w:jc w:val="both"/>
        <w:rPr>
          <w:rFonts w:ascii="Arial" w:hAnsi="Arial" w:cs="Arial"/>
          <w:b/>
          <w:sz w:val="20"/>
          <w:szCs w:val="20"/>
        </w:rPr>
      </w:pPr>
    </w:p>
    <w:p w14:paraId="2485FB04" w14:textId="77777777" w:rsidR="00C77E30" w:rsidRDefault="00C77E30">
      <w:pPr>
        <w:spacing w:after="0" w:line="240" w:lineRule="auto"/>
        <w:ind w:right="-540"/>
        <w:jc w:val="both"/>
        <w:rPr>
          <w:rFonts w:ascii="Arial" w:hAnsi="Arial" w:cs="Arial"/>
          <w:b/>
          <w:sz w:val="20"/>
          <w:szCs w:val="20"/>
        </w:rPr>
      </w:pPr>
    </w:p>
    <w:p w14:paraId="42FB7B68" w14:textId="77777777" w:rsidR="00C77E30" w:rsidRDefault="00C77E30">
      <w:pPr>
        <w:spacing w:after="0" w:line="240" w:lineRule="auto"/>
        <w:ind w:right="-540"/>
        <w:jc w:val="both"/>
        <w:rPr>
          <w:rFonts w:ascii="Arial" w:hAnsi="Arial" w:cs="Arial"/>
          <w:b/>
          <w:sz w:val="20"/>
          <w:szCs w:val="20"/>
        </w:rPr>
      </w:pPr>
    </w:p>
    <w:p w14:paraId="44BA0C0A" w14:textId="77777777" w:rsidR="00C77E30" w:rsidRDefault="00C77E30">
      <w:pPr>
        <w:spacing w:after="0" w:line="240" w:lineRule="auto"/>
        <w:ind w:right="-540"/>
        <w:jc w:val="both"/>
        <w:rPr>
          <w:rFonts w:ascii="Arial" w:hAnsi="Arial" w:cs="Arial"/>
          <w:b/>
          <w:sz w:val="20"/>
          <w:szCs w:val="20"/>
        </w:rPr>
      </w:pPr>
    </w:p>
    <w:p w14:paraId="306CAB82" w14:textId="77777777" w:rsidR="00C77E30" w:rsidRDefault="00C77E30">
      <w:pPr>
        <w:spacing w:after="0" w:line="240" w:lineRule="auto"/>
        <w:ind w:right="-540"/>
        <w:jc w:val="both"/>
        <w:rPr>
          <w:rFonts w:ascii="Arial" w:hAnsi="Arial" w:cs="Arial"/>
          <w:b/>
          <w:sz w:val="20"/>
          <w:szCs w:val="20"/>
        </w:rPr>
      </w:pPr>
    </w:p>
    <w:p w14:paraId="53FC65D4" w14:textId="77777777" w:rsidR="00C77E30" w:rsidRDefault="00C77E30">
      <w:pPr>
        <w:spacing w:after="0" w:line="240" w:lineRule="auto"/>
        <w:ind w:right="-540"/>
        <w:jc w:val="both"/>
        <w:rPr>
          <w:rFonts w:ascii="Arial" w:hAnsi="Arial" w:cs="Arial"/>
          <w:b/>
          <w:sz w:val="20"/>
          <w:szCs w:val="20"/>
        </w:rPr>
      </w:pPr>
    </w:p>
    <w:p w14:paraId="14DB5A6C" w14:textId="77777777" w:rsidR="00735411" w:rsidRDefault="00735411">
      <w:pPr>
        <w:spacing w:after="0" w:line="240" w:lineRule="auto"/>
        <w:ind w:right="-540"/>
        <w:jc w:val="both"/>
        <w:rPr>
          <w:rFonts w:ascii="Arial" w:hAnsi="Arial" w:cs="Arial"/>
          <w:b/>
          <w:sz w:val="20"/>
          <w:szCs w:val="20"/>
        </w:rPr>
      </w:pPr>
    </w:p>
    <w:p w14:paraId="3E28A3FF" w14:textId="77777777" w:rsidR="009C34D9" w:rsidRDefault="00735411">
      <w:pPr>
        <w:spacing w:after="0" w:line="480" w:lineRule="auto"/>
        <w:contextualSpacing/>
        <w:jc w:val="both"/>
        <w:rPr>
          <w:rFonts w:ascii="Arial" w:hAnsi="Arial" w:cs="Arial"/>
          <w:b/>
          <w:sz w:val="20"/>
          <w:szCs w:val="20"/>
          <w:lang w:val="en-US"/>
        </w:rPr>
      </w:pPr>
      <w:r>
        <w:rPr>
          <w:rFonts w:ascii="Arial" w:hAnsi="Arial" w:cs="Arial"/>
          <w:b/>
          <w:sz w:val="20"/>
          <w:szCs w:val="20"/>
        </w:rPr>
        <w:lastRenderedPageBreak/>
        <w:t xml:space="preserve">Table 1. Yellow maize inbred lines, testers and checks </w:t>
      </w:r>
      <w:r>
        <w:rPr>
          <w:rFonts w:ascii="Arial" w:hAnsi="Arial" w:cs="Arial"/>
          <w:b/>
          <w:sz w:val="20"/>
          <w:szCs w:val="20"/>
          <w:lang w:val="en-US"/>
        </w:rPr>
        <w:t>used in the study</w:t>
      </w:r>
    </w:p>
    <w:tbl>
      <w:tblPr>
        <w:tblW w:w="8655" w:type="dxa"/>
        <w:tblInd w:w="108" w:type="dxa"/>
        <w:tblLook w:val="04A0" w:firstRow="1" w:lastRow="0" w:firstColumn="1" w:lastColumn="0" w:noHBand="0" w:noVBand="1"/>
      </w:tblPr>
      <w:tblGrid>
        <w:gridCol w:w="732"/>
        <w:gridCol w:w="1825"/>
        <w:gridCol w:w="922"/>
        <w:gridCol w:w="1885"/>
        <w:gridCol w:w="1450"/>
        <w:gridCol w:w="1097"/>
        <w:gridCol w:w="744"/>
      </w:tblGrid>
      <w:tr w:rsidR="00EA3CAC" w:rsidRPr="00160BCF" w14:paraId="38EFA069" w14:textId="77777777" w:rsidTr="00EF5C65">
        <w:trPr>
          <w:trHeight w:val="247"/>
        </w:trPr>
        <w:tc>
          <w:tcPr>
            <w:tcW w:w="732" w:type="dxa"/>
            <w:tcBorders>
              <w:top w:val="single" w:sz="4" w:space="0" w:color="auto"/>
              <w:bottom w:val="single" w:sz="4" w:space="0" w:color="auto"/>
            </w:tcBorders>
            <w:shd w:val="clear" w:color="auto" w:fill="auto"/>
            <w:noWrap/>
            <w:vAlign w:val="bottom"/>
          </w:tcPr>
          <w:p w14:paraId="38284168"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25" w:type="dxa"/>
            <w:tcBorders>
              <w:top w:val="single" w:sz="4" w:space="0" w:color="auto"/>
              <w:bottom w:val="single" w:sz="4" w:space="0" w:color="auto"/>
            </w:tcBorders>
            <w:shd w:val="clear" w:color="auto" w:fill="auto"/>
            <w:noWrap/>
            <w:vAlign w:val="center"/>
          </w:tcPr>
          <w:p w14:paraId="7B620F7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922" w:type="dxa"/>
            <w:tcBorders>
              <w:top w:val="single" w:sz="4" w:space="0" w:color="auto"/>
              <w:bottom w:val="single" w:sz="4" w:space="0" w:color="auto"/>
            </w:tcBorders>
            <w:shd w:val="clear" w:color="auto" w:fill="auto"/>
            <w:noWrap/>
            <w:vAlign w:val="center"/>
          </w:tcPr>
          <w:p w14:paraId="7BF83C8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85" w:type="dxa"/>
            <w:tcBorders>
              <w:top w:val="single" w:sz="4" w:space="0" w:color="auto"/>
              <w:bottom w:val="single" w:sz="4" w:space="0" w:color="auto"/>
            </w:tcBorders>
            <w:shd w:val="clear" w:color="auto" w:fill="auto"/>
            <w:noWrap/>
            <w:vAlign w:val="center"/>
          </w:tcPr>
          <w:p w14:paraId="7D36908E"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1450" w:type="dxa"/>
            <w:tcBorders>
              <w:top w:val="single" w:sz="4" w:space="0" w:color="auto"/>
              <w:bottom w:val="single" w:sz="4" w:space="0" w:color="auto"/>
            </w:tcBorders>
            <w:shd w:val="clear" w:color="auto" w:fill="auto"/>
            <w:noWrap/>
            <w:vAlign w:val="bottom"/>
          </w:tcPr>
          <w:p w14:paraId="31549A7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41" w:type="dxa"/>
            <w:gridSpan w:val="2"/>
            <w:tcBorders>
              <w:top w:val="single" w:sz="4" w:space="0" w:color="auto"/>
              <w:bottom w:val="single" w:sz="4" w:space="0" w:color="auto"/>
            </w:tcBorders>
            <w:shd w:val="clear" w:color="auto" w:fill="auto"/>
            <w:noWrap/>
            <w:vAlign w:val="bottom"/>
          </w:tcPr>
          <w:p w14:paraId="15B76D7A"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r>
      <w:tr w:rsidR="00EA3CAC" w:rsidRPr="00160BCF" w14:paraId="79000938" w14:textId="77777777" w:rsidTr="00EF5C65">
        <w:trPr>
          <w:trHeight w:val="247"/>
        </w:trPr>
        <w:tc>
          <w:tcPr>
            <w:tcW w:w="732" w:type="dxa"/>
            <w:tcBorders>
              <w:top w:val="single" w:sz="4" w:space="0" w:color="auto"/>
            </w:tcBorders>
            <w:shd w:val="clear" w:color="auto" w:fill="auto"/>
            <w:noWrap/>
            <w:vAlign w:val="bottom"/>
          </w:tcPr>
          <w:p w14:paraId="5BE9B3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w:t>
            </w:r>
          </w:p>
        </w:tc>
        <w:tc>
          <w:tcPr>
            <w:tcW w:w="1825" w:type="dxa"/>
            <w:tcBorders>
              <w:top w:val="single" w:sz="4" w:space="0" w:color="auto"/>
            </w:tcBorders>
            <w:shd w:val="clear" w:color="auto" w:fill="auto"/>
            <w:noWrap/>
            <w:vAlign w:val="center"/>
          </w:tcPr>
          <w:p w14:paraId="2FA11A1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YM21-100-B</w:t>
            </w:r>
          </w:p>
        </w:tc>
        <w:tc>
          <w:tcPr>
            <w:tcW w:w="922" w:type="dxa"/>
            <w:tcBorders>
              <w:top w:val="single" w:sz="4" w:space="0" w:color="auto"/>
            </w:tcBorders>
            <w:shd w:val="clear" w:color="auto" w:fill="auto"/>
            <w:noWrap/>
            <w:vAlign w:val="center"/>
          </w:tcPr>
          <w:p w14:paraId="5273130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L25</w:t>
            </w:r>
          </w:p>
        </w:tc>
        <w:tc>
          <w:tcPr>
            <w:tcW w:w="1885" w:type="dxa"/>
            <w:tcBorders>
              <w:top w:val="single" w:sz="4" w:space="0" w:color="auto"/>
            </w:tcBorders>
            <w:shd w:val="clear" w:color="auto" w:fill="auto"/>
            <w:noWrap/>
            <w:vAlign w:val="center"/>
          </w:tcPr>
          <w:p w14:paraId="23AD437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YM21-1-B</w:t>
            </w:r>
          </w:p>
        </w:tc>
        <w:tc>
          <w:tcPr>
            <w:tcW w:w="1450" w:type="dxa"/>
            <w:tcBorders>
              <w:top w:val="single" w:sz="4" w:space="0" w:color="auto"/>
            </w:tcBorders>
            <w:shd w:val="clear" w:color="auto" w:fill="auto"/>
            <w:noWrap/>
            <w:vAlign w:val="bottom"/>
          </w:tcPr>
          <w:p w14:paraId="4901085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L49</w:t>
            </w:r>
          </w:p>
        </w:tc>
        <w:tc>
          <w:tcPr>
            <w:tcW w:w="1841" w:type="dxa"/>
            <w:gridSpan w:val="2"/>
            <w:tcBorders>
              <w:top w:val="single" w:sz="4" w:space="0" w:color="auto"/>
            </w:tcBorders>
            <w:shd w:val="clear" w:color="auto" w:fill="auto"/>
            <w:noWrap/>
            <w:vAlign w:val="bottom"/>
          </w:tcPr>
          <w:p w14:paraId="47AAA81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YM21-50-B</w:t>
            </w:r>
          </w:p>
        </w:tc>
      </w:tr>
      <w:tr w:rsidR="00EA3CAC" w:rsidRPr="00160BCF" w14:paraId="2199FF8A" w14:textId="77777777" w:rsidTr="00EF5C65">
        <w:trPr>
          <w:trHeight w:val="247"/>
        </w:trPr>
        <w:tc>
          <w:tcPr>
            <w:tcW w:w="732" w:type="dxa"/>
            <w:shd w:val="clear" w:color="auto" w:fill="auto"/>
            <w:noWrap/>
            <w:vAlign w:val="bottom"/>
          </w:tcPr>
          <w:p w14:paraId="116E9B6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w:t>
            </w:r>
          </w:p>
        </w:tc>
        <w:tc>
          <w:tcPr>
            <w:tcW w:w="1825" w:type="dxa"/>
            <w:shd w:val="clear" w:color="auto" w:fill="auto"/>
            <w:noWrap/>
            <w:vAlign w:val="center"/>
          </w:tcPr>
          <w:p w14:paraId="5B4BEA1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YM21-112-B</w:t>
            </w:r>
          </w:p>
        </w:tc>
        <w:tc>
          <w:tcPr>
            <w:tcW w:w="922" w:type="dxa"/>
            <w:shd w:val="clear" w:color="auto" w:fill="auto"/>
            <w:noWrap/>
            <w:vAlign w:val="center"/>
          </w:tcPr>
          <w:p w14:paraId="0A619A3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L26</w:t>
            </w:r>
          </w:p>
        </w:tc>
        <w:tc>
          <w:tcPr>
            <w:tcW w:w="1885" w:type="dxa"/>
            <w:shd w:val="clear" w:color="auto" w:fill="auto"/>
            <w:noWrap/>
            <w:vAlign w:val="center"/>
          </w:tcPr>
          <w:p w14:paraId="5D6588C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YM21-202-B</w:t>
            </w:r>
          </w:p>
        </w:tc>
        <w:tc>
          <w:tcPr>
            <w:tcW w:w="1450" w:type="dxa"/>
            <w:shd w:val="clear" w:color="auto" w:fill="auto"/>
            <w:noWrap/>
            <w:vAlign w:val="bottom"/>
          </w:tcPr>
          <w:p w14:paraId="1B3DAD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L50</w:t>
            </w:r>
          </w:p>
        </w:tc>
        <w:tc>
          <w:tcPr>
            <w:tcW w:w="1841" w:type="dxa"/>
            <w:gridSpan w:val="2"/>
            <w:shd w:val="clear" w:color="auto" w:fill="auto"/>
            <w:noWrap/>
            <w:vAlign w:val="bottom"/>
          </w:tcPr>
          <w:p w14:paraId="283C05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YM21-52-B</w:t>
            </w:r>
          </w:p>
        </w:tc>
      </w:tr>
      <w:tr w:rsidR="00EA3CAC" w:rsidRPr="00160BCF" w14:paraId="4A1AF365" w14:textId="77777777" w:rsidTr="00EF5C65">
        <w:trPr>
          <w:trHeight w:val="247"/>
        </w:trPr>
        <w:tc>
          <w:tcPr>
            <w:tcW w:w="732" w:type="dxa"/>
            <w:shd w:val="clear" w:color="auto" w:fill="auto"/>
            <w:noWrap/>
            <w:vAlign w:val="bottom"/>
          </w:tcPr>
          <w:p w14:paraId="2BED1F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w:t>
            </w:r>
          </w:p>
        </w:tc>
        <w:tc>
          <w:tcPr>
            <w:tcW w:w="1825" w:type="dxa"/>
            <w:shd w:val="clear" w:color="auto" w:fill="auto"/>
            <w:noWrap/>
            <w:vAlign w:val="center"/>
          </w:tcPr>
          <w:p w14:paraId="42E7378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YM21-116-B</w:t>
            </w:r>
          </w:p>
        </w:tc>
        <w:tc>
          <w:tcPr>
            <w:tcW w:w="922" w:type="dxa"/>
            <w:shd w:val="clear" w:color="auto" w:fill="auto"/>
            <w:noWrap/>
            <w:vAlign w:val="center"/>
          </w:tcPr>
          <w:p w14:paraId="3B4A13C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L27</w:t>
            </w:r>
          </w:p>
        </w:tc>
        <w:tc>
          <w:tcPr>
            <w:tcW w:w="1885" w:type="dxa"/>
            <w:shd w:val="clear" w:color="auto" w:fill="auto"/>
            <w:noWrap/>
            <w:vAlign w:val="center"/>
          </w:tcPr>
          <w:p w14:paraId="23E59C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YM21-203-B</w:t>
            </w:r>
          </w:p>
        </w:tc>
        <w:tc>
          <w:tcPr>
            <w:tcW w:w="1450" w:type="dxa"/>
            <w:shd w:val="clear" w:color="auto" w:fill="auto"/>
            <w:noWrap/>
            <w:vAlign w:val="bottom"/>
          </w:tcPr>
          <w:p w14:paraId="3AA061A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L51</w:t>
            </w:r>
          </w:p>
        </w:tc>
        <w:tc>
          <w:tcPr>
            <w:tcW w:w="1841" w:type="dxa"/>
            <w:gridSpan w:val="2"/>
            <w:shd w:val="clear" w:color="auto" w:fill="auto"/>
            <w:noWrap/>
            <w:vAlign w:val="bottom"/>
          </w:tcPr>
          <w:p w14:paraId="35CE658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YM21-54-B</w:t>
            </w:r>
          </w:p>
        </w:tc>
      </w:tr>
      <w:tr w:rsidR="00EA3CAC" w:rsidRPr="00160BCF" w14:paraId="51CAB367" w14:textId="77777777" w:rsidTr="00EF5C65">
        <w:trPr>
          <w:trHeight w:val="247"/>
        </w:trPr>
        <w:tc>
          <w:tcPr>
            <w:tcW w:w="732" w:type="dxa"/>
            <w:shd w:val="clear" w:color="auto" w:fill="auto"/>
            <w:noWrap/>
            <w:vAlign w:val="bottom"/>
          </w:tcPr>
          <w:p w14:paraId="06F8385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w:t>
            </w:r>
          </w:p>
        </w:tc>
        <w:tc>
          <w:tcPr>
            <w:tcW w:w="1825" w:type="dxa"/>
            <w:shd w:val="clear" w:color="auto" w:fill="auto"/>
            <w:noWrap/>
            <w:vAlign w:val="center"/>
          </w:tcPr>
          <w:p w14:paraId="7B973D5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YM21-118-B</w:t>
            </w:r>
          </w:p>
        </w:tc>
        <w:tc>
          <w:tcPr>
            <w:tcW w:w="922" w:type="dxa"/>
            <w:shd w:val="clear" w:color="auto" w:fill="auto"/>
            <w:noWrap/>
            <w:vAlign w:val="center"/>
          </w:tcPr>
          <w:p w14:paraId="741958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L28</w:t>
            </w:r>
          </w:p>
        </w:tc>
        <w:tc>
          <w:tcPr>
            <w:tcW w:w="1885" w:type="dxa"/>
            <w:shd w:val="clear" w:color="auto" w:fill="auto"/>
            <w:noWrap/>
            <w:vAlign w:val="center"/>
          </w:tcPr>
          <w:p w14:paraId="0B761F0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YM21-211-B</w:t>
            </w:r>
          </w:p>
        </w:tc>
        <w:tc>
          <w:tcPr>
            <w:tcW w:w="1450" w:type="dxa"/>
            <w:shd w:val="clear" w:color="auto" w:fill="auto"/>
            <w:noWrap/>
            <w:vAlign w:val="bottom"/>
          </w:tcPr>
          <w:p w14:paraId="4D91CE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L52</w:t>
            </w:r>
          </w:p>
        </w:tc>
        <w:tc>
          <w:tcPr>
            <w:tcW w:w="1841" w:type="dxa"/>
            <w:gridSpan w:val="2"/>
            <w:shd w:val="clear" w:color="auto" w:fill="auto"/>
            <w:noWrap/>
            <w:vAlign w:val="bottom"/>
          </w:tcPr>
          <w:p w14:paraId="6DB848B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YM21-5-B</w:t>
            </w:r>
          </w:p>
        </w:tc>
      </w:tr>
      <w:tr w:rsidR="00EA3CAC" w:rsidRPr="00160BCF" w14:paraId="24201364" w14:textId="77777777" w:rsidTr="00EF5C65">
        <w:trPr>
          <w:trHeight w:val="247"/>
        </w:trPr>
        <w:tc>
          <w:tcPr>
            <w:tcW w:w="732" w:type="dxa"/>
            <w:shd w:val="clear" w:color="auto" w:fill="auto"/>
            <w:noWrap/>
            <w:vAlign w:val="bottom"/>
          </w:tcPr>
          <w:p w14:paraId="68515A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w:t>
            </w:r>
          </w:p>
        </w:tc>
        <w:tc>
          <w:tcPr>
            <w:tcW w:w="1825" w:type="dxa"/>
            <w:shd w:val="clear" w:color="auto" w:fill="auto"/>
            <w:noWrap/>
            <w:vAlign w:val="center"/>
          </w:tcPr>
          <w:p w14:paraId="1401F4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YM21-123-B</w:t>
            </w:r>
          </w:p>
        </w:tc>
        <w:tc>
          <w:tcPr>
            <w:tcW w:w="922" w:type="dxa"/>
            <w:shd w:val="clear" w:color="auto" w:fill="auto"/>
            <w:noWrap/>
            <w:vAlign w:val="center"/>
          </w:tcPr>
          <w:p w14:paraId="2A06B80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L29</w:t>
            </w:r>
          </w:p>
        </w:tc>
        <w:tc>
          <w:tcPr>
            <w:tcW w:w="1885" w:type="dxa"/>
            <w:shd w:val="clear" w:color="auto" w:fill="auto"/>
            <w:noWrap/>
            <w:vAlign w:val="center"/>
          </w:tcPr>
          <w:p w14:paraId="5ECF580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YM21-213-B</w:t>
            </w:r>
          </w:p>
        </w:tc>
        <w:tc>
          <w:tcPr>
            <w:tcW w:w="1450" w:type="dxa"/>
            <w:shd w:val="clear" w:color="auto" w:fill="auto"/>
            <w:noWrap/>
            <w:vAlign w:val="bottom"/>
          </w:tcPr>
          <w:p w14:paraId="53721E0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L53</w:t>
            </w:r>
          </w:p>
        </w:tc>
        <w:tc>
          <w:tcPr>
            <w:tcW w:w="1841" w:type="dxa"/>
            <w:gridSpan w:val="2"/>
            <w:shd w:val="clear" w:color="auto" w:fill="auto"/>
            <w:noWrap/>
            <w:vAlign w:val="bottom"/>
          </w:tcPr>
          <w:p w14:paraId="5BF6BF9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YM21-61-B</w:t>
            </w:r>
          </w:p>
        </w:tc>
      </w:tr>
      <w:tr w:rsidR="00EA3CAC" w:rsidRPr="00160BCF" w14:paraId="2F129226" w14:textId="77777777" w:rsidTr="00EF5C65">
        <w:trPr>
          <w:trHeight w:val="247"/>
        </w:trPr>
        <w:tc>
          <w:tcPr>
            <w:tcW w:w="732" w:type="dxa"/>
            <w:shd w:val="clear" w:color="auto" w:fill="auto"/>
            <w:noWrap/>
            <w:vAlign w:val="bottom"/>
          </w:tcPr>
          <w:p w14:paraId="7D94A4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w:t>
            </w:r>
          </w:p>
        </w:tc>
        <w:tc>
          <w:tcPr>
            <w:tcW w:w="1825" w:type="dxa"/>
            <w:shd w:val="clear" w:color="auto" w:fill="auto"/>
            <w:noWrap/>
            <w:vAlign w:val="center"/>
          </w:tcPr>
          <w:p w14:paraId="4A7836D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YM21-124-B</w:t>
            </w:r>
          </w:p>
        </w:tc>
        <w:tc>
          <w:tcPr>
            <w:tcW w:w="922" w:type="dxa"/>
            <w:shd w:val="clear" w:color="auto" w:fill="auto"/>
            <w:noWrap/>
            <w:vAlign w:val="center"/>
          </w:tcPr>
          <w:p w14:paraId="00DCBCB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L30</w:t>
            </w:r>
          </w:p>
        </w:tc>
        <w:tc>
          <w:tcPr>
            <w:tcW w:w="1885" w:type="dxa"/>
            <w:shd w:val="clear" w:color="auto" w:fill="auto"/>
            <w:noWrap/>
            <w:vAlign w:val="center"/>
          </w:tcPr>
          <w:p w14:paraId="2F3F529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YM21-223-B</w:t>
            </w:r>
          </w:p>
        </w:tc>
        <w:tc>
          <w:tcPr>
            <w:tcW w:w="1450" w:type="dxa"/>
            <w:shd w:val="clear" w:color="auto" w:fill="auto"/>
            <w:noWrap/>
            <w:vAlign w:val="bottom"/>
          </w:tcPr>
          <w:p w14:paraId="2B50AD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L54</w:t>
            </w:r>
          </w:p>
        </w:tc>
        <w:tc>
          <w:tcPr>
            <w:tcW w:w="1841" w:type="dxa"/>
            <w:gridSpan w:val="2"/>
            <w:shd w:val="clear" w:color="auto" w:fill="auto"/>
            <w:noWrap/>
            <w:vAlign w:val="bottom"/>
          </w:tcPr>
          <w:p w14:paraId="511509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YM21-62-B</w:t>
            </w:r>
          </w:p>
        </w:tc>
      </w:tr>
      <w:tr w:rsidR="00EA3CAC" w:rsidRPr="00160BCF" w14:paraId="02B8788D" w14:textId="77777777" w:rsidTr="00EF5C65">
        <w:trPr>
          <w:trHeight w:val="247"/>
        </w:trPr>
        <w:tc>
          <w:tcPr>
            <w:tcW w:w="732" w:type="dxa"/>
            <w:shd w:val="clear" w:color="auto" w:fill="auto"/>
            <w:noWrap/>
            <w:vAlign w:val="bottom"/>
          </w:tcPr>
          <w:p w14:paraId="767D7C6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L7</w:t>
            </w:r>
          </w:p>
        </w:tc>
        <w:tc>
          <w:tcPr>
            <w:tcW w:w="1825" w:type="dxa"/>
            <w:shd w:val="clear" w:color="auto" w:fill="auto"/>
            <w:noWrap/>
            <w:vAlign w:val="center"/>
          </w:tcPr>
          <w:p w14:paraId="4719F83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YM21-129-B</w:t>
            </w:r>
          </w:p>
        </w:tc>
        <w:tc>
          <w:tcPr>
            <w:tcW w:w="922" w:type="dxa"/>
            <w:shd w:val="clear" w:color="auto" w:fill="auto"/>
            <w:noWrap/>
            <w:vAlign w:val="center"/>
          </w:tcPr>
          <w:p w14:paraId="4A5377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L31</w:t>
            </w:r>
          </w:p>
        </w:tc>
        <w:tc>
          <w:tcPr>
            <w:tcW w:w="1885" w:type="dxa"/>
            <w:shd w:val="clear" w:color="auto" w:fill="auto"/>
            <w:noWrap/>
            <w:vAlign w:val="center"/>
          </w:tcPr>
          <w:p w14:paraId="7F165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YM21-228-B</w:t>
            </w:r>
          </w:p>
        </w:tc>
        <w:tc>
          <w:tcPr>
            <w:tcW w:w="1450" w:type="dxa"/>
            <w:shd w:val="clear" w:color="auto" w:fill="auto"/>
            <w:noWrap/>
            <w:vAlign w:val="bottom"/>
          </w:tcPr>
          <w:p w14:paraId="17BBC3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L55</w:t>
            </w:r>
          </w:p>
        </w:tc>
        <w:tc>
          <w:tcPr>
            <w:tcW w:w="1841" w:type="dxa"/>
            <w:gridSpan w:val="2"/>
            <w:shd w:val="clear" w:color="auto" w:fill="auto"/>
            <w:noWrap/>
            <w:vAlign w:val="bottom"/>
          </w:tcPr>
          <w:p w14:paraId="1958E79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YM21-68-B</w:t>
            </w:r>
          </w:p>
        </w:tc>
      </w:tr>
      <w:tr w:rsidR="00EA3CAC" w:rsidRPr="00160BCF" w14:paraId="1D3DAB0A" w14:textId="77777777" w:rsidTr="00EF5C65">
        <w:trPr>
          <w:trHeight w:val="247"/>
        </w:trPr>
        <w:tc>
          <w:tcPr>
            <w:tcW w:w="732" w:type="dxa"/>
            <w:shd w:val="clear" w:color="auto" w:fill="auto"/>
            <w:noWrap/>
            <w:vAlign w:val="bottom"/>
          </w:tcPr>
          <w:p w14:paraId="79F568A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L8</w:t>
            </w:r>
          </w:p>
        </w:tc>
        <w:tc>
          <w:tcPr>
            <w:tcW w:w="1825" w:type="dxa"/>
            <w:shd w:val="clear" w:color="auto" w:fill="auto"/>
            <w:noWrap/>
            <w:vAlign w:val="center"/>
          </w:tcPr>
          <w:p w14:paraId="56BCA7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YM21-12-B</w:t>
            </w:r>
          </w:p>
        </w:tc>
        <w:tc>
          <w:tcPr>
            <w:tcW w:w="922" w:type="dxa"/>
            <w:shd w:val="clear" w:color="auto" w:fill="auto"/>
            <w:noWrap/>
            <w:vAlign w:val="center"/>
          </w:tcPr>
          <w:p w14:paraId="1E79CD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L32</w:t>
            </w:r>
          </w:p>
        </w:tc>
        <w:tc>
          <w:tcPr>
            <w:tcW w:w="1885" w:type="dxa"/>
            <w:shd w:val="clear" w:color="auto" w:fill="auto"/>
            <w:noWrap/>
            <w:vAlign w:val="center"/>
          </w:tcPr>
          <w:p w14:paraId="41C9A0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YM21-22-B</w:t>
            </w:r>
          </w:p>
        </w:tc>
        <w:tc>
          <w:tcPr>
            <w:tcW w:w="1450" w:type="dxa"/>
            <w:shd w:val="clear" w:color="auto" w:fill="auto"/>
            <w:noWrap/>
            <w:vAlign w:val="bottom"/>
          </w:tcPr>
          <w:p w14:paraId="6F180A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L56</w:t>
            </w:r>
          </w:p>
        </w:tc>
        <w:tc>
          <w:tcPr>
            <w:tcW w:w="1841" w:type="dxa"/>
            <w:gridSpan w:val="2"/>
            <w:shd w:val="clear" w:color="auto" w:fill="auto"/>
            <w:noWrap/>
            <w:vAlign w:val="bottom"/>
          </w:tcPr>
          <w:p w14:paraId="084D6C3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YM21-69-B</w:t>
            </w:r>
          </w:p>
        </w:tc>
      </w:tr>
      <w:tr w:rsidR="00EA3CAC" w:rsidRPr="00160BCF" w14:paraId="031C1E34" w14:textId="77777777" w:rsidTr="00EF5C65">
        <w:trPr>
          <w:trHeight w:val="247"/>
        </w:trPr>
        <w:tc>
          <w:tcPr>
            <w:tcW w:w="732" w:type="dxa"/>
            <w:shd w:val="clear" w:color="auto" w:fill="auto"/>
            <w:noWrap/>
            <w:vAlign w:val="bottom"/>
          </w:tcPr>
          <w:p w14:paraId="61D75A6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L9</w:t>
            </w:r>
          </w:p>
        </w:tc>
        <w:tc>
          <w:tcPr>
            <w:tcW w:w="1825" w:type="dxa"/>
            <w:shd w:val="clear" w:color="auto" w:fill="auto"/>
            <w:noWrap/>
            <w:vAlign w:val="center"/>
          </w:tcPr>
          <w:p w14:paraId="1DB4DF7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YM21-131-B</w:t>
            </w:r>
          </w:p>
        </w:tc>
        <w:tc>
          <w:tcPr>
            <w:tcW w:w="922" w:type="dxa"/>
            <w:shd w:val="clear" w:color="auto" w:fill="auto"/>
            <w:noWrap/>
            <w:vAlign w:val="center"/>
          </w:tcPr>
          <w:p w14:paraId="3EEE9AB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L33</w:t>
            </w:r>
          </w:p>
        </w:tc>
        <w:tc>
          <w:tcPr>
            <w:tcW w:w="1885" w:type="dxa"/>
            <w:shd w:val="clear" w:color="auto" w:fill="auto"/>
            <w:noWrap/>
            <w:vAlign w:val="center"/>
          </w:tcPr>
          <w:p w14:paraId="62B27CA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YM21-231-B</w:t>
            </w:r>
          </w:p>
        </w:tc>
        <w:tc>
          <w:tcPr>
            <w:tcW w:w="1450" w:type="dxa"/>
            <w:shd w:val="clear" w:color="auto" w:fill="auto"/>
            <w:noWrap/>
            <w:vAlign w:val="bottom"/>
          </w:tcPr>
          <w:p w14:paraId="7464FD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L57</w:t>
            </w:r>
          </w:p>
        </w:tc>
        <w:tc>
          <w:tcPr>
            <w:tcW w:w="1841" w:type="dxa"/>
            <w:gridSpan w:val="2"/>
            <w:shd w:val="clear" w:color="auto" w:fill="auto"/>
            <w:noWrap/>
            <w:vAlign w:val="bottom"/>
          </w:tcPr>
          <w:p w14:paraId="615E8B8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YM21-73-B</w:t>
            </w:r>
          </w:p>
        </w:tc>
      </w:tr>
      <w:tr w:rsidR="00EA3CAC" w:rsidRPr="00160BCF" w14:paraId="76C14346" w14:textId="77777777" w:rsidTr="00EF5C65">
        <w:trPr>
          <w:trHeight w:val="247"/>
        </w:trPr>
        <w:tc>
          <w:tcPr>
            <w:tcW w:w="732" w:type="dxa"/>
            <w:shd w:val="clear" w:color="auto" w:fill="auto"/>
            <w:noWrap/>
            <w:vAlign w:val="bottom"/>
          </w:tcPr>
          <w:p w14:paraId="68BF68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L10</w:t>
            </w:r>
          </w:p>
        </w:tc>
        <w:tc>
          <w:tcPr>
            <w:tcW w:w="1825" w:type="dxa"/>
            <w:shd w:val="clear" w:color="auto" w:fill="auto"/>
            <w:noWrap/>
            <w:vAlign w:val="center"/>
          </w:tcPr>
          <w:p w14:paraId="1207157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YM21-136-B</w:t>
            </w:r>
          </w:p>
        </w:tc>
        <w:tc>
          <w:tcPr>
            <w:tcW w:w="922" w:type="dxa"/>
            <w:shd w:val="clear" w:color="auto" w:fill="auto"/>
            <w:noWrap/>
            <w:vAlign w:val="center"/>
          </w:tcPr>
          <w:p w14:paraId="34D01C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L34</w:t>
            </w:r>
          </w:p>
        </w:tc>
        <w:tc>
          <w:tcPr>
            <w:tcW w:w="1885" w:type="dxa"/>
            <w:shd w:val="clear" w:color="auto" w:fill="auto"/>
            <w:noWrap/>
            <w:vAlign w:val="center"/>
          </w:tcPr>
          <w:p w14:paraId="2EDB73A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YM21-234-B</w:t>
            </w:r>
          </w:p>
        </w:tc>
        <w:tc>
          <w:tcPr>
            <w:tcW w:w="1450" w:type="dxa"/>
            <w:shd w:val="clear" w:color="auto" w:fill="auto"/>
            <w:noWrap/>
            <w:vAlign w:val="bottom"/>
          </w:tcPr>
          <w:p w14:paraId="33F146F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L58</w:t>
            </w:r>
          </w:p>
        </w:tc>
        <w:tc>
          <w:tcPr>
            <w:tcW w:w="1841" w:type="dxa"/>
            <w:gridSpan w:val="2"/>
            <w:shd w:val="clear" w:color="auto" w:fill="auto"/>
            <w:noWrap/>
            <w:vAlign w:val="bottom"/>
          </w:tcPr>
          <w:p w14:paraId="4A3BE4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YM21-81-B</w:t>
            </w:r>
          </w:p>
        </w:tc>
      </w:tr>
      <w:tr w:rsidR="00EA3CAC" w:rsidRPr="00160BCF" w14:paraId="4DDFE5A9" w14:textId="77777777" w:rsidTr="00EF5C65">
        <w:trPr>
          <w:trHeight w:val="247"/>
        </w:trPr>
        <w:tc>
          <w:tcPr>
            <w:tcW w:w="732" w:type="dxa"/>
            <w:shd w:val="clear" w:color="auto" w:fill="auto"/>
            <w:noWrap/>
            <w:vAlign w:val="bottom"/>
          </w:tcPr>
          <w:p w14:paraId="6F3EC0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L11</w:t>
            </w:r>
          </w:p>
        </w:tc>
        <w:tc>
          <w:tcPr>
            <w:tcW w:w="1825" w:type="dxa"/>
            <w:shd w:val="clear" w:color="auto" w:fill="auto"/>
            <w:noWrap/>
            <w:vAlign w:val="center"/>
          </w:tcPr>
          <w:p w14:paraId="55709F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YM21-140-B</w:t>
            </w:r>
          </w:p>
        </w:tc>
        <w:tc>
          <w:tcPr>
            <w:tcW w:w="922" w:type="dxa"/>
            <w:shd w:val="clear" w:color="auto" w:fill="auto"/>
            <w:noWrap/>
            <w:vAlign w:val="center"/>
          </w:tcPr>
          <w:p w14:paraId="5C92A95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L35</w:t>
            </w:r>
          </w:p>
        </w:tc>
        <w:tc>
          <w:tcPr>
            <w:tcW w:w="1885" w:type="dxa"/>
            <w:shd w:val="clear" w:color="auto" w:fill="auto"/>
            <w:noWrap/>
            <w:vAlign w:val="center"/>
          </w:tcPr>
          <w:p w14:paraId="01772C8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YM21-249-B</w:t>
            </w:r>
          </w:p>
        </w:tc>
        <w:tc>
          <w:tcPr>
            <w:tcW w:w="1450" w:type="dxa"/>
            <w:shd w:val="clear" w:color="auto" w:fill="auto"/>
            <w:noWrap/>
            <w:vAlign w:val="bottom"/>
          </w:tcPr>
          <w:p w14:paraId="53F2DF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L59</w:t>
            </w:r>
          </w:p>
        </w:tc>
        <w:tc>
          <w:tcPr>
            <w:tcW w:w="1841" w:type="dxa"/>
            <w:gridSpan w:val="2"/>
            <w:shd w:val="clear" w:color="auto" w:fill="auto"/>
            <w:noWrap/>
            <w:vAlign w:val="bottom"/>
          </w:tcPr>
          <w:p w14:paraId="276E4F2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YM21-85-B</w:t>
            </w:r>
          </w:p>
        </w:tc>
      </w:tr>
      <w:tr w:rsidR="00EA3CAC" w:rsidRPr="00160BCF" w14:paraId="73DE31BD" w14:textId="77777777" w:rsidTr="00EF5C65">
        <w:trPr>
          <w:trHeight w:val="247"/>
        </w:trPr>
        <w:tc>
          <w:tcPr>
            <w:tcW w:w="732" w:type="dxa"/>
            <w:shd w:val="clear" w:color="auto" w:fill="auto"/>
            <w:noWrap/>
            <w:vAlign w:val="bottom"/>
          </w:tcPr>
          <w:p w14:paraId="217A51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L12</w:t>
            </w:r>
          </w:p>
        </w:tc>
        <w:tc>
          <w:tcPr>
            <w:tcW w:w="1825" w:type="dxa"/>
            <w:shd w:val="clear" w:color="auto" w:fill="auto"/>
            <w:noWrap/>
            <w:vAlign w:val="center"/>
          </w:tcPr>
          <w:p w14:paraId="6C8F8BB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YM21-155-B</w:t>
            </w:r>
          </w:p>
        </w:tc>
        <w:tc>
          <w:tcPr>
            <w:tcW w:w="922" w:type="dxa"/>
            <w:shd w:val="clear" w:color="auto" w:fill="auto"/>
            <w:noWrap/>
            <w:vAlign w:val="center"/>
          </w:tcPr>
          <w:p w14:paraId="59EFB0C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L36</w:t>
            </w:r>
          </w:p>
        </w:tc>
        <w:tc>
          <w:tcPr>
            <w:tcW w:w="1885" w:type="dxa"/>
            <w:shd w:val="clear" w:color="auto" w:fill="auto"/>
            <w:noWrap/>
            <w:vAlign w:val="center"/>
          </w:tcPr>
          <w:p w14:paraId="5B5E0FF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YM21-256-B</w:t>
            </w:r>
          </w:p>
        </w:tc>
        <w:tc>
          <w:tcPr>
            <w:tcW w:w="1450" w:type="dxa"/>
            <w:shd w:val="clear" w:color="auto" w:fill="auto"/>
            <w:noWrap/>
            <w:vAlign w:val="bottom"/>
          </w:tcPr>
          <w:p w14:paraId="42978E1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L60</w:t>
            </w:r>
          </w:p>
        </w:tc>
        <w:tc>
          <w:tcPr>
            <w:tcW w:w="1841" w:type="dxa"/>
            <w:gridSpan w:val="2"/>
            <w:shd w:val="clear" w:color="auto" w:fill="auto"/>
            <w:noWrap/>
            <w:vAlign w:val="bottom"/>
          </w:tcPr>
          <w:p w14:paraId="4B32B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YM21-91-B</w:t>
            </w:r>
          </w:p>
        </w:tc>
      </w:tr>
      <w:tr w:rsidR="00EA3CAC" w:rsidRPr="00160BCF" w14:paraId="37F020ED" w14:textId="77777777" w:rsidTr="00EF5C65">
        <w:trPr>
          <w:trHeight w:val="247"/>
        </w:trPr>
        <w:tc>
          <w:tcPr>
            <w:tcW w:w="732" w:type="dxa"/>
            <w:shd w:val="clear" w:color="auto" w:fill="auto"/>
            <w:noWrap/>
            <w:vAlign w:val="bottom"/>
          </w:tcPr>
          <w:p w14:paraId="2E2714E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L13</w:t>
            </w:r>
          </w:p>
        </w:tc>
        <w:tc>
          <w:tcPr>
            <w:tcW w:w="1825" w:type="dxa"/>
            <w:shd w:val="clear" w:color="auto" w:fill="auto"/>
            <w:noWrap/>
            <w:vAlign w:val="center"/>
          </w:tcPr>
          <w:p w14:paraId="2C5A85E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YM21-157-B</w:t>
            </w:r>
          </w:p>
        </w:tc>
        <w:tc>
          <w:tcPr>
            <w:tcW w:w="922" w:type="dxa"/>
            <w:shd w:val="clear" w:color="auto" w:fill="auto"/>
            <w:noWrap/>
            <w:vAlign w:val="center"/>
          </w:tcPr>
          <w:p w14:paraId="27D036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L37</w:t>
            </w:r>
          </w:p>
        </w:tc>
        <w:tc>
          <w:tcPr>
            <w:tcW w:w="1885" w:type="dxa"/>
            <w:shd w:val="clear" w:color="auto" w:fill="auto"/>
            <w:noWrap/>
            <w:vAlign w:val="center"/>
          </w:tcPr>
          <w:p w14:paraId="79BD2F3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YM21-257-B</w:t>
            </w:r>
          </w:p>
        </w:tc>
        <w:tc>
          <w:tcPr>
            <w:tcW w:w="1450" w:type="dxa"/>
            <w:shd w:val="clear" w:color="auto" w:fill="auto"/>
            <w:noWrap/>
            <w:vAlign w:val="bottom"/>
          </w:tcPr>
          <w:p w14:paraId="69C8B97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L61</w:t>
            </w:r>
          </w:p>
        </w:tc>
        <w:tc>
          <w:tcPr>
            <w:tcW w:w="1841" w:type="dxa"/>
            <w:gridSpan w:val="2"/>
            <w:shd w:val="clear" w:color="auto" w:fill="auto"/>
            <w:noWrap/>
            <w:vAlign w:val="bottom"/>
          </w:tcPr>
          <w:p w14:paraId="547F6FC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YM21-92-B</w:t>
            </w:r>
          </w:p>
        </w:tc>
      </w:tr>
      <w:tr w:rsidR="00EA3CAC" w:rsidRPr="00160BCF" w14:paraId="3FF93D84" w14:textId="77777777" w:rsidTr="00EF5C65">
        <w:trPr>
          <w:trHeight w:val="247"/>
        </w:trPr>
        <w:tc>
          <w:tcPr>
            <w:tcW w:w="732" w:type="dxa"/>
            <w:shd w:val="clear" w:color="auto" w:fill="auto"/>
            <w:noWrap/>
            <w:vAlign w:val="bottom"/>
          </w:tcPr>
          <w:p w14:paraId="122BF2B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L14</w:t>
            </w:r>
          </w:p>
        </w:tc>
        <w:tc>
          <w:tcPr>
            <w:tcW w:w="1825" w:type="dxa"/>
            <w:shd w:val="clear" w:color="auto" w:fill="auto"/>
            <w:noWrap/>
            <w:vAlign w:val="center"/>
          </w:tcPr>
          <w:p w14:paraId="3B0A854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YM21-166-B</w:t>
            </w:r>
          </w:p>
        </w:tc>
        <w:tc>
          <w:tcPr>
            <w:tcW w:w="922" w:type="dxa"/>
            <w:shd w:val="clear" w:color="auto" w:fill="auto"/>
            <w:noWrap/>
            <w:vAlign w:val="center"/>
          </w:tcPr>
          <w:p w14:paraId="1DA712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L38</w:t>
            </w:r>
          </w:p>
        </w:tc>
        <w:tc>
          <w:tcPr>
            <w:tcW w:w="1885" w:type="dxa"/>
            <w:shd w:val="clear" w:color="auto" w:fill="auto"/>
            <w:noWrap/>
            <w:vAlign w:val="center"/>
          </w:tcPr>
          <w:p w14:paraId="2D85B2E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YM21-258-B</w:t>
            </w:r>
          </w:p>
        </w:tc>
        <w:tc>
          <w:tcPr>
            <w:tcW w:w="1450" w:type="dxa"/>
            <w:shd w:val="clear" w:color="auto" w:fill="auto"/>
            <w:noWrap/>
            <w:vAlign w:val="bottom"/>
          </w:tcPr>
          <w:p w14:paraId="7D2BFE4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L62</w:t>
            </w:r>
          </w:p>
        </w:tc>
        <w:tc>
          <w:tcPr>
            <w:tcW w:w="1841" w:type="dxa"/>
            <w:gridSpan w:val="2"/>
            <w:shd w:val="clear" w:color="auto" w:fill="auto"/>
            <w:noWrap/>
            <w:vAlign w:val="bottom"/>
          </w:tcPr>
          <w:p w14:paraId="1BC718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YM21-95-B</w:t>
            </w:r>
          </w:p>
        </w:tc>
      </w:tr>
      <w:tr w:rsidR="00EA3CAC" w:rsidRPr="00160BCF" w14:paraId="1C6938E5" w14:textId="77777777" w:rsidTr="00EF5C65">
        <w:trPr>
          <w:trHeight w:val="247"/>
        </w:trPr>
        <w:tc>
          <w:tcPr>
            <w:tcW w:w="732" w:type="dxa"/>
            <w:shd w:val="clear" w:color="auto" w:fill="auto"/>
            <w:noWrap/>
            <w:vAlign w:val="bottom"/>
          </w:tcPr>
          <w:p w14:paraId="57B9BF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L15</w:t>
            </w:r>
          </w:p>
        </w:tc>
        <w:tc>
          <w:tcPr>
            <w:tcW w:w="1825" w:type="dxa"/>
            <w:shd w:val="clear" w:color="auto" w:fill="auto"/>
            <w:noWrap/>
            <w:vAlign w:val="center"/>
          </w:tcPr>
          <w:p w14:paraId="0BF952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YM21-167-B</w:t>
            </w:r>
          </w:p>
        </w:tc>
        <w:tc>
          <w:tcPr>
            <w:tcW w:w="922" w:type="dxa"/>
            <w:shd w:val="clear" w:color="auto" w:fill="auto"/>
            <w:noWrap/>
            <w:vAlign w:val="center"/>
          </w:tcPr>
          <w:p w14:paraId="76E6038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L39</w:t>
            </w:r>
          </w:p>
        </w:tc>
        <w:tc>
          <w:tcPr>
            <w:tcW w:w="1885" w:type="dxa"/>
            <w:shd w:val="clear" w:color="auto" w:fill="auto"/>
            <w:noWrap/>
            <w:vAlign w:val="center"/>
          </w:tcPr>
          <w:p w14:paraId="71231B5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YM21-265-B</w:t>
            </w:r>
          </w:p>
        </w:tc>
        <w:tc>
          <w:tcPr>
            <w:tcW w:w="1450" w:type="dxa"/>
            <w:shd w:val="clear" w:color="auto" w:fill="auto"/>
            <w:noWrap/>
            <w:vAlign w:val="bottom"/>
          </w:tcPr>
          <w:p w14:paraId="6ADD318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L63</w:t>
            </w:r>
          </w:p>
        </w:tc>
        <w:tc>
          <w:tcPr>
            <w:tcW w:w="1841" w:type="dxa"/>
            <w:gridSpan w:val="2"/>
            <w:shd w:val="clear" w:color="auto" w:fill="auto"/>
            <w:noWrap/>
            <w:vAlign w:val="bottom"/>
          </w:tcPr>
          <w:p w14:paraId="42C1B5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YM21-97-B</w:t>
            </w:r>
          </w:p>
        </w:tc>
      </w:tr>
      <w:tr w:rsidR="00EA3CAC" w:rsidRPr="00160BCF" w14:paraId="3BD25F5C" w14:textId="77777777" w:rsidTr="00EF5C65">
        <w:trPr>
          <w:trHeight w:val="247"/>
        </w:trPr>
        <w:tc>
          <w:tcPr>
            <w:tcW w:w="732" w:type="dxa"/>
            <w:shd w:val="clear" w:color="auto" w:fill="auto"/>
            <w:noWrap/>
            <w:vAlign w:val="bottom"/>
          </w:tcPr>
          <w:p w14:paraId="0BB8697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L16</w:t>
            </w:r>
          </w:p>
        </w:tc>
        <w:tc>
          <w:tcPr>
            <w:tcW w:w="1825" w:type="dxa"/>
            <w:shd w:val="clear" w:color="auto" w:fill="auto"/>
            <w:noWrap/>
            <w:vAlign w:val="center"/>
          </w:tcPr>
          <w:p w14:paraId="3CB367A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YM21-168-B</w:t>
            </w:r>
          </w:p>
        </w:tc>
        <w:tc>
          <w:tcPr>
            <w:tcW w:w="922" w:type="dxa"/>
            <w:shd w:val="clear" w:color="auto" w:fill="auto"/>
            <w:noWrap/>
            <w:vAlign w:val="center"/>
          </w:tcPr>
          <w:p w14:paraId="499D497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L40</w:t>
            </w:r>
          </w:p>
        </w:tc>
        <w:tc>
          <w:tcPr>
            <w:tcW w:w="1885" w:type="dxa"/>
            <w:shd w:val="clear" w:color="auto" w:fill="auto"/>
            <w:noWrap/>
            <w:vAlign w:val="center"/>
          </w:tcPr>
          <w:p w14:paraId="3217359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YM21-267-B</w:t>
            </w:r>
          </w:p>
        </w:tc>
        <w:tc>
          <w:tcPr>
            <w:tcW w:w="1450" w:type="dxa"/>
            <w:shd w:val="clear" w:color="auto" w:fill="auto"/>
            <w:noWrap/>
            <w:vAlign w:val="bottom"/>
          </w:tcPr>
          <w:p w14:paraId="3F709F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L64</w:t>
            </w:r>
          </w:p>
        </w:tc>
        <w:tc>
          <w:tcPr>
            <w:tcW w:w="1841" w:type="dxa"/>
            <w:gridSpan w:val="2"/>
            <w:shd w:val="clear" w:color="auto" w:fill="auto"/>
            <w:noWrap/>
            <w:vAlign w:val="bottom"/>
          </w:tcPr>
          <w:p w14:paraId="5EA0045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YM22-15</w:t>
            </w:r>
          </w:p>
        </w:tc>
      </w:tr>
      <w:tr w:rsidR="00EA3CAC" w:rsidRPr="00160BCF" w14:paraId="25850384" w14:textId="77777777" w:rsidTr="00EF5C65">
        <w:trPr>
          <w:trHeight w:val="247"/>
        </w:trPr>
        <w:tc>
          <w:tcPr>
            <w:tcW w:w="732" w:type="dxa"/>
            <w:shd w:val="clear" w:color="auto" w:fill="auto"/>
            <w:noWrap/>
            <w:vAlign w:val="bottom"/>
          </w:tcPr>
          <w:p w14:paraId="10A10E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L17</w:t>
            </w:r>
          </w:p>
        </w:tc>
        <w:tc>
          <w:tcPr>
            <w:tcW w:w="1825" w:type="dxa"/>
            <w:shd w:val="clear" w:color="auto" w:fill="auto"/>
            <w:noWrap/>
            <w:vAlign w:val="center"/>
          </w:tcPr>
          <w:p w14:paraId="0DADD36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YM21-16-B</w:t>
            </w:r>
          </w:p>
        </w:tc>
        <w:tc>
          <w:tcPr>
            <w:tcW w:w="922" w:type="dxa"/>
            <w:shd w:val="clear" w:color="auto" w:fill="auto"/>
            <w:noWrap/>
            <w:vAlign w:val="center"/>
          </w:tcPr>
          <w:p w14:paraId="6093B17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L41</w:t>
            </w:r>
          </w:p>
        </w:tc>
        <w:tc>
          <w:tcPr>
            <w:tcW w:w="1885" w:type="dxa"/>
            <w:shd w:val="clear" w:color="auto" w:fill="auto"/>
            <w:noWrap/>
            <w:vAlign w:val="center"/>
          </w:tcPr>
          <w:p w14:paraId="1D0C120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YM21-26-B</w:t>
            </w:r>
          </w:p>
        </w:tc>
        <w:tc>
          <w:tcPr>
            <w:tcW w:w="1450" w:type="dxa"/>
            <w:shd w:val="clear" w:color="auto" w:fill="auto"/>
            <w:noWrap/>
            <w:vAlign w:val="bottom"/>
          </w:tcPr>
          <w:p w14:paraId="731C4A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L65</w:t>
            </w:r>
          </w:p>
        </w:tc>
        <w:tc>
          <w:tcPr>
            <w:tcW w:w="1841" w:type="dxa"/>
            <w:gridSpan w:val="2"/>
            <w:shd w:val="clear" w:color="auto" w:fill="auto"/>
            <w:noWrap/>
            <w:vAlign w:val="bottom"/>
          </w:tcPr>
          <w:p w14:paraId="1F5BF2F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YM22-3</w:t>
            </w:r>
          </w:p>
        </w:tc>
      </w:tr>
      <w:tr w:rsidR="00EA3CAC" w:rsidRPr="00160BCF" w14:paraId="2A07D43D" w14:textId="77777777" w:rsidTr="00EF5C65">
        <w:trPr>
          <w:trHeight w:val="247"/>
        </w:trPr>
        <w:tc>
          <w:tcPr>
            <w:tcW w:w="732" w:type="dxa"/>
            <w:shd w:val="clear" w:color="auto" w:fill="auto"/>
            <w:noWrap/>
            <w:vAlign w:val="bottom"/>
          </w:tcPr>
          <w:p w14:paraId="7AE4963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L18</w:t>
            </w:r>
          </w:p>
        </w:tc>
        <w:tc>
          <w:tcPr>
            <w:tcW w:w="1825" w:type="dxa"/>
            <w:shd w:val="clear" w:color="auto" w:fill="auto"/>
            <w:noWrap/>
            <w:vAlign w:val="center"/>
          </w:tcPr>
          <w:p w14:paraId="2E64F10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YM21-172-B</w:t>
            </w:r>
          </w:p>
        </w:tc>
        <w:tc>
          <w:tcPr>
            <w:tcW w:w="922" w:type="dxa"/>
            <w:shd w:val="clear" w:color="auto" w:fill="auto"/>
            <w:noWrap/>
            <w:vAlign w:val="center"/>
          </w:tcPr>
          <w:p w14:paraId="717FD3B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L42</w:t>
            </w:r>
          </w:p>
        </w:tc>
        <w:tc>
          <w:tcPr>
            <w:tcW w:w="1885" w:type="dxa"/>
            <w:shd w:val="clear" w:color="auto" w:fill="auto"/>
            <w:noWrap/>
            <w:vAlign w:val="center"/>
          </w:tcPr>
          <w:p w14:paraId="4FEAE1F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YM21-288-B</w:t>
            </w:r>
          </w:p>
        </w:tc>
        <w:tc>
          <w:tcPr>
            <w:tcW w:w="1450" w:type="dxa"/>
            <w:shd w:val="clear" w:color="auto" w:fill="auto"/>
            <w:noWrap/>
            <w:vAlign w:val="bottom"/>
          </w:tcPr>
          <w:p w14:paraId="00EB6E3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Check1</w:t>
            </w:r>
          </w:p>
        </w:tc>
        <w:tc>
          <w:tcPr>
            <w:tcW w:w="1841" w:type="dxa"/>
            <w:gridSpan w:val="2"/>
            <w:shd w:val="clear" w:color="auto" w:fill="auto"/>
            <w:vAlign w:val="center"/>
          </w:tcPr>
          <w:p w14:paraId="62EFF14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YM020-5×TA</w:t>
            </w:r>
          </w:p>
        </w:tc>
      </w:tr>
      <w:tr w:rsidR="00EA3CAC" w:rsidRPr="00160BCF" w14:paraId="3BD37C28" w14:textId="77777777" w:rsidTr="00EF5C65">
        <w:trPr>
          <w:trHeight w:val="247"/>
        </w:trPr>
        <w:tc>
          <w:tcPr>
            <w:tcW w:w="732" w:type="dxa"/>
            <w:shd w:val="clear" w:color="auto" w:fill="auto"/>
            <w:noWrap/>
            <w:vAlign w:val="bottom"/>
          </w:tcPr>
          <w:p w14:paraId="0965E3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L19</w:t>
            </w:r>
          </w:p>
        </w:tc>
        <w:tc>
          <w:tcPr>
            <w:tcW w:w="1825" w:type="dxa"/>
            <w:shd w:val="clear" w:color="auto" w:fill="auto"/>
            <w:noWrap/>
            <w:vAlign w:val="center"/>
          </w:tcPr>
          <w:p w14:paraId="24E3FF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YM21-17-B</w:t>
            </w:r>
          </w:p>
        </w:tc>
        <w:tc>
          <w:tcPr>
            <w:tcW w:w="922" w:type="dxa"/>
            <w:shd w:val="clear" w:color="auto" w:fill="auto"/>
            <w:noWrap/>
            <w:vAlign w:val="center"/>
          </w:tcPr>
          <w:p w14:paraId="59D3D6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L43</w:t>
            </w:r>
          </w:p>
        </w:tc>
        <w:tc>
          <w:tcPr>
            <w:tcW w:w="1885" w:type="dxa"/>
            <w:shd w:val="clear" w:color="auto" w:fill="auto"/>
            <w:noWrap/>
            <w:vAlign w:val="center"/>
          </w:tcPr>
          <w:p w14:paraId="2EE5541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YM21-297-B</w:t>
            </w:r>
          </w:p>
        </w:tc>
        <w:tc>
          <w:tcPr>
            <w:tcW w:w="1450" w:type="dxa"/>
            <w:shd w:val="clear" w:color="auto" w:fill="auto"/>
            <w:noWrap/>
            <w:vAlign w:val="bottom"/>
          </w:tcPr>
          <w:p w14:paraId="2ED7BE5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Check2</w:t>
            </w:r>
          </w:p>
        </w:tc>
        <w:tc>
          <w:tcPr>
            <w:tcW w:w="1841" w:type="dxa"/>
            <w:gridSpan w:val="2"/>
            <w:shd w:val="clear" w:color="auto" w:fill="auto"/>
            <w:noWrap/>
            <w:vAlign w:val="bottom"/>
          </w:tcPr>
          <w:p w14:paraId="25AEBE9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YM020-9×TA</w:t>
            </w:r>
          </w:p>
        </w:tc>
      </w:tr>
      <w:tr w:rsidR="00EA3CAC" w:rsidRPr="00160BCF" w14:paraId="146A93F2" w14:textId="77777777" w:rsidTr="00EF5C65">
        <w:trPr>
          <w:trHeight w:val="247"/>
        </w:trPr>
        <w:tc>
          <w:tcPr>
            <w:tcW w:w="732" w:type="dxa"/>
            <w:shd w:val="clear" w:color="auto" w:fill="auto"/>
            <w:noWrap/>
            <w:vAlign w:val="bottom"/>
          </w:tcPr>
          <w:p w14:paraId="3B4ECC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L20</w:t>
            </w:r>
          </w:p>
        </w:tc>
        <w:tc>
          <w:tcPr>
            <w:tcW w:w="1825" w:type="dxa"/>
            <w:shd w:val="clear" w:color="auto" w:fill="auto"/>
            <w:noWrap/>
            <w:vAlign w:val="center"/>
          </w:tcPr>
          <w:p w14:paraId="59012B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YM21-186-B</w:t>
            </w:r>
          </w:p>
        </w:tc>
        <w:tc>
          <w:tcPr>
            <w:tcW w:w="922" w:type="dxa"/>
            <w:shd w:val="clear" w:color="auto" w:fill="auto"/>
            <w:noWrap/>
            <w:vAlign w:val="center"/>
          </w:tcPr>
          <w:p w14:paraId="1CF6379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L44</w:t>
            </w:r>
          </w:p>
        </w:tc>
        <w:tc>
          <w:tcPr>
            <w:tcW w:w="1885" w:type="dxa"/>
            <w:shd w:val="clear" w:color="auto" w:fill="auto"/>
            <w:noWrap/>
            <w:vAlign w:val="center"/>
          </w:tcPr>
          <w:p w14:paraId="2CBE585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YM21-36-B</w:t>
            </w:r>
          </w:p>
        </w:tc>
        <w:tc>
          <w:tcPr>
            <w:tcW w:w="1450" w:type="dxa"/>
            <w:shd w:val="clear" w:color="auto" w:fill="auto"/>
            <w:noWrap/>
            <w:vAlign w:val="bottom"/>
          </w:tcPr>
          <w:p w14:paraId="1D50EBD0"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Check3</w:t>
            </w:r>
          </w:p>
        </w:tc>
        <w:tc>
          <w:tcPr>
            <w:tcW w:w="1841" w:type="dxa"/>
            <w:gridSpan w:val="2"/>
            <w:shd w:val="clear" w:color="auto" w:fill="auto"/>
            <w:noWrap/>
            <w:vAlign w:val="bottom"/>
          </w:tcPr>
          <w:p w14:paraId="44733FF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WY21</w:t>
            </w:r>
          </w:p>
        </w:tc>
      </w:tr>
      <w:tr w:rsidR="00EA3CAC" w:rsidRPr="00160BCF" w14:paraId="77C96F53" w14:textId="77777777" w:rsidTr="00EF5C65">
        <w:trPr>
          <w:gridAfter w:val="1"/>
          <w:wAfter w:w="744" w:type="dxa"/>
          <w:trHeight w:val="247"/>
        </w:trPr>
        <w:tc>
          <w:tcPr>
            <w:tcW w:w="732" w:type="dxa"/>
            <w:shd w:val="clear" w:color="auto" w:fill="auto"/>
            <w:noWrap/>
            <w:vAlign w:val="bottom"/>
          </w:tcPr>
          <w:p w14:paraId="57BA65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L21</w:t>
            </w:r>
          </w:p>
        </w:tc>
        <w:tc>
          <w:tcPr>
            <w:tcW w:w="1825" w:type="dxa"/>
            <w:shd w:val="clear" w:color="auto" w:fill="auto"/>
            <w:noWrap/>
            <w:vAlign w:val="center"/>
          </w:tcPr>
          <w:p w14:paraId="24E3671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YM21-187-B</w:t>
            </w:r>
          </w:p>
        </w:tc>
        <w:tc>
          <w:tcPr>
            <w:tcW w:w="922" w:type="dxa"/>
            <w:shd w:val="clear" w:color="auto" w:fill="auto"/>
            <w:noWrap/>
            <w:vAlign w:val="center"/>
          </w:tcPr>
          <w:p w14:paraId="42F5DA7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L45</w:t>
            </w:r>
          </w:p>
        </w:tc>
        <w:tc>
          <w:tcPr>
            <w:tcW w:w="1885" w:type="dxa"/>
            <w:shd w:val="clear" w:color="auto" w:fill="auto"/>
            <w:noWrap/>
            <w:vAlign w:val="center"/>
          </w:tcPr>
          <w:p w14:paraId="6CCA87D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YM21-3-B</w:t>
            </w:r>
          </w:p>
        </w:tc>
        <w:tc>
          <w:tcPr>
            <w:tcW w:w="1450" w:type="dxa"/>
            <w:shd w:val="clear" w:color="auto" w:fill="auto"/>
            <w:noWrap/>
            <w:vAlign w:val="bottom"/>
          </w:tcPr>
          <w:p w14:paraId="30C9BB3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TESTER-A</w:t>
            </w:r>
          </w:p>
        </w:tc>
        <w:tc>
          <w:tcPr>
            <w:tcW w:w="1097" w:type="dxa"/>
            <w:shd w:val="clear" w:color="auto" w:fill="auto"/>
            <w:noWrap/>
            <w:vAlign w:val="bottom"/>
          </w:tcPr>
          <w:p w14:paraId="4620EA4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CML486</w:t>
            </w:r>
          </w:p>
        </w:tc>
      </w:tr>
      <w:tr w:rsidR="00EA3CAC" w:rsidRPr="00160BCF" w14:paraId="110DC39D" w14:textId="77777777" w:rsidTr="00EF5C65">
        <w:trPr>
          <w:gridAfter w:val="1"/>
          <w:wAfter w:w="744" w:type="dxa"/>
          <w:trHeight w:val="247"/>
        </w:trPr>
        <w:tc>
          <w:tcPr>
            <w:tcW w:w="732" w:type="dxa"/>
            <w:shd w:val="clear" w:color="auto" w:fill="auto"/>
            <w:noWrap/>
            <w:vAlign w:val="bottom"/>
          </w:tcPr>
          <w:p w14:paraId="05C0BD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L22</w:t>
            </w:r>
          </w:p>
        </w:tc>
        <w:tc>
          <w:tcPr>
            <w:tcW w:w="1825" w:type="dxa"/>
            <w:shd w:val="clear" w:color="auto" w:fill="auto"/>
            <w:noWrap/>
            <w:vAlign w:val="center"/>
          </w:tcPr>
          <w:p w14:paraId="4E3E956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YM21-18-B</w:t>
            </w:r>
          </w:p>
        </w:tc>
        <w:tc>
          <w:tcPr>
            <w:tcW w:w="922" w:type="dxa"/>
            <w:shd w:val="clear" w:color="auto" w:fill="auto"/>
            <w:noWrap/>
            <w:vAlign w:val="center"/>
          </w:tcPr>
          <w:p w14:paraId="51F562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L46</w:t>
            </w:r>
          </w:p>
        </w:tc>
        <w:tc>
          <w:tcPr>
            <w:tcW w:w="1885" w:type="dxa"/>
            <w:shd w:val="clear" w:color="auto" w:fill="auto"/>
            <w:noWrap/>
            <w:vAlign w:val="center"/>
          </w:tcPr>
          <w:p w14:paraId="4DC85F4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YM21-42-B</w:t>
            </w:r>
          </w:p>
        </w:tc>
        <w:tc>
          <w:tcPr>
            <w:tcW w:w="1450" w:type="dxa"/>
            <w:shd w:val="clear" w:color="auto" w:fill="auto"/>
            <w:noWrap/>
            <w:vAlign w:val="bottom"/>
          </w:tcPr>
          <w:p w14:paraId="1AFB77E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TESTER-B</w:t>
            </w:r>
          </w:p>
        </w:tc>
        <w:tc>
          <w:tcPr>
            <w:tcW w:w="1097" w:type="dxa"/>
            <w:shd w:val="clear" w:color="auto" w:fill="auto"/>
            <w:noWrap/>
            <w:vAlign w:val="bottom"/>
          </w:tcPr>
          <w:p w14:paraId="3C33248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CML451</w:t>
            </w:r>
          </w:p>
        </w:tc>
      </w:tr>
      <w:tr w:rsidR="00EA3CAC" w:rsidRPr="00160BCF" w14:paraId="6C14244D" w14:textId="77777777" w:rsidTr="00EF5C65">
        <w:trPr>
          <w:trHeight w:val="247"/>
        </w:trPr>
        <w:tc>
          <w:tcPr>
            <w:tcW w:w="732" w:type="dxa"/>
            <w:shd w:val="clear" w:color="auto" w:fill="auto"/>
            <w:noWrap/>
            <w:vAlign w:val="bottom"/>
          </w:tcPr>
          <w:p w14:paraId="58160C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L23</w:t>
            </w:r>
          </w:p>
        </w:tc>
        <w:tc>
          <w:tcPr>
            <w:tcW w:w="1825" w:type="dxa"/>
            <w:shd w:val="clear" w:color="auto" w:fill="auto"/>
            <w:noWrap/>
            <w:vAlign w:val="center"/>
          </w:tcPr>
          <w:p w14:paraId="60F2A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YM21-190-B</w:t>
            </w:r>
          </w:p>
        </w:tc>
        <w:tc>
          <w:tcPr>
            <w:tcW w:w="922" w:type="dxa"/>
            <w:shd w:val="clear" w:color="auto" w:fill="auto"/>
            <w:noWrap/>
            <w:vAlign w:val="center"/>
          </w:tcPr>
          <w:p w14:paraId="58388AB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L47</w:t>
            </w:r>
          </w:p>
        </w:tc>
        <w:tc>
          <w:tcPr>
            <w:tcW w:w="1885" w:type="dxa"/>
            <w:shd w:val="clear" w:color="auto" w:fill="auto"/>
            <w:noWrap/>
            <w:vAlign w:val="center"/>
          </w:tcPr>
          <w:p w14:paraId="0C2EDE2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YM21-47-B</w:t>
            </w:r>
          </w:p>
        </w:tc>
        <w:tc>
          <w:tcPr>
            <w:tcW w:w="1450" w:type="dxa"/>
            <w:shd w:val="clear" w:color="auto" w:fill="auto"/>
            <w:noWrap/>
            <w:vAlign w:val="bottom"/>
          </w:tcPr>
          <w:p w14:paraId="7D0E7807"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shd w:val="clear" w:color="auto" w:fill="auto"/>
            <w:noWrap/>
            <w:vAlign w:val="bottom"/>
          </w:tcPr>
          <w:p w14:paraId="2F1FA545" w14:textId="77777777" w:rsidR="00EA3CAC" w:rsidRPr="00160BCF" w:rsidRDefault="00EA3CAC" w:rsidP="00EA3CAC">
            <w:pPr>
              <w:spacing w:after="0" w:line="480" w:lineRule="auto"/>
              <w:contextualSpacing/>
              <w:jc w:val="both"/>
              <w:rPr>
                <w:rFonts w:ascii="Arial" w:hAnsi="Arial" w:cs="Arial"/>
                <w:sz w:val="20"/>
                <w:szCs w:val="20"/>
              </w:rPr>
            </w:pPr>
          </w:p>
        </w:tc>
      </w:tr>
      <w:tr w:rsidR="00EA3CAC" w:rsidRPr="00160BCF" w14:paraId="7CCFB0C9" w14:textId="77777777" w:rsidTr="00EF5C65">
        <w:trPr>
          <w:trHeight w:val="66"/>
        </w:trPr>
        <w:tc>
          <w:tcPr>
            <w:tcW w:w="732" w:type="dxa"/>
            <w:tcBorders>
              <w:bottom w:val="single" w:sz="4" w:space="0" w:color="auto"/>
            </w:tcBorders>
            <w:shd w:val="clear" w:color="auto" w:fill="auto"/>
            <w:noWrap/>
            <w:vAlign w:val="bottom"/>
          </w:tcPr>
          <w:p w14:paraId="5BC18E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L24</w:t>
            </w:r>
          </w:p>
        </w:tc>
        <w:tc>
          <w:tcPr>
            <w:tcW w:w="1825" w:type="dxa"/>
            <w:tcBorders>
              <w:bottom w:val="single" w:sz="4" w:space="0" w:color="auto"/>
            </w:tcBorders>
            <w:shd w:val="clear" w:color="auto" w:fill="auto"/>
            <w:noWrap/>
            <w:vAlign w:val="center"/>
          </w:tcPr>
          <w:p w14:paraId="2B90B0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YM21-198-B</w:t>
            </w:r>
          </w:p>
        </w:tc>
        <w:tc>
          <w:tcPr>
            <w:tcW w:w="922" w:type="dxa"/>
            <w:tcBorders>
              <w:bottom w:val="single" w:sz="4" w:space="0" w:color="auto"/>
            </w:tcBorders>
            <w:shd w:val="clear" w:color="auto" w:fill="auto"/>
            <w:noWrap/>
            <w:vAlign w:val="center"/>
          </w:tcPr>
          <w:p w14:paraId="68D6E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L48</w:t>
            </w:r>
          </w:p>
        </w:tc>
        <w:tc>
          <w:tcPr>
            <w:tcW w:w="1885" w:type="dxa"/>
            <w:tcBorders>
              <w:bottom w:val="single" w:sz="4" w:space="0" w:color="auto"/>
            </w:tcBorders>
            <w:shd w:val="clear" w:color="auto" w:fill="auto"/>
            <w:noWrap/>
            <w:vAlign w:val="center"/>
          </w:tcPr>
          <w:p w14:paraId="181014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YM21-48-B</w:t>
            </w:r>
          </w:p>
        </w:tc>
        <w:tc>
          <w:tcPr>
            <w:tcW w:w="1450" w:type="dxa"/>
            <w:tcBorders>
              <w:bottom w:val="single" w:sz="4" w:space="0" w:color="auto"/>
            </w:tcBorders>
            <w:shd w:val="clear" w:color="auto" w:fill="auto"/>
            <w:noWrap/>
            <w:vAlign w:val="bottom"/>
          </w:tcPr>
          <w:p w14:paraId="3BF6B633"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tcBorders>
              <w:bottom w:val="single" w:sz="4" w:space="0" w:color="auto"/>
            </w:tcBorders>
            <w:shd w:val="clear" w:color="auto" w:fill="auto"/>
            <w:noWrap/>
            <w:vAlign w:val="bottom"/>
          </w:tcPr>
          <w:p w14:paraId="02B88B96" w14:textId="77777777" w:rsidR="00EA3CAC" w:rsidRPr="00160BCF" w:rsidRDefault="00EA3CAC" w:rsidP="00EA3CAC">
            <w:pPr>
              <w:spacing w:after="0" w:line="480" w:lineRule="auto"/>
              <w:contextualSpacing/>
              <w:jc w:val="both"/>
              <w:rPr>
                <w:rFonts w:ascii="Arial" w:hAnsi="Arial" w:cs="Arial"/>
                <w:sz w:val="20"/>
                <w:szCs w:val="20"/>
              </w:rPr>
            </w:pPr>
          </w:p>
        </w:tc>
      </w:tr>
    </w:tbl>
    <w:p w14:paraId="46BE112C" w14:textId="77777777" w:rsidR="00EA3CAC" w:rsidRPr="00160BCF" w:rsidRDefault="00EA3CAC">
      <w:pPr>
        <w:spacing w:after="0" w:line="480" w:lineRule="auto"/>
        <w:contextualSpacing/>
        <w:jc w:val="both"/>
        <w:rPr>
          <w:rFonts w:ascii="Arial" w:hAnsi="Arial" w:cs="Arial"/>
          <w:sz w:val="20"/>
          <w:szCs w:val="20"/>
        </w:rPr>
      </w:pPr>
    </w:p>
    <w:p w14:paraId="04A5A306" w14:textId="77777777" w:rsidR="009C34D9" w:rsidRDefault="00735411">
      <w:pPr>
        <w:spacing w:after="0" w:line="480" w:lineRule="auto"/>
        <w:contextualSpacing/>
        <w:jc w:val="both"/>
        <w:rPr>
          <w:rFonts w:ascii="Arial" w:hAnsi="Arial" w:cs="Arial"/>
          <w:i/>
          <w:sz w:val="20"/>
          <w:szCs w:val="20"/>
        </w:rPr>
      </w:pPr>
      <w:r>
        <w:rPr>
          <w:rFonts w:ascii="Arial" w:hAnsi="Arial" w:cs="Arial"/>
          <w:i/>
          <w:sz w:val="20"/>
          <w:szCs w:val="20"/>
        </w:rPr>
        <w:t>L1; Line 1, L2; Line 2</w:t>
      </w:r>
      <w:proofErr w:type="gramStart"/>
      <w:r>
        <w:rPr>
          <w:rFonts w:ascii="Arial" w:hAnsi="Arial" w:cs="Arial"/>
          <w:i/>
          <w:sz w:val="20"/>
          <w:szCs w:val="20"/>
        </w:rPr>
        <w:t>….L</w:t>
      </w:r>
      <w:proofErr w:type="gramEnd"/>
      <w:r>
        <w:rPr>
          <w:rFonts w:ascii="Arial" w:hAnsi="Arial" w:cs="Arial"/>
          <w:i/>
          <w:sz w:val="20"/>
          <w:szCs w:val="20"/>
        </w:rPr>
        <w:t>65; Line 65.</w:t>
      </w:r>
    </w:p>
    <w:p w14:paraId="616BCF15"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rPr>
        <w:lastRenderedPageBreak/>
        <w:t>2.2 Experimental sites</w:t>
      </w:r>
      <w:bookmarkEnd w:id="1"/>
      <w:r>
        <w:rPr>
          <w:rFonts w:ascii="Arial" w:hAnsi="Arial" w:cs="Arial"/>
          <w:b/>
          <w:color w:val="auto"/>
          <w:sz w:val="22"/>
          <w:szCs w:val="22"/>
        </w:rPr>
        <w:t>, design and field management</w:t>
      </w:r>
    </w:p>
    <w:p w14:paraId="7FF4316A" w14:textId="77777777"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field evaluation of F</w:t>
      </w:r>
      <w:r>
        <w:rPr>
          <w:rFonts w:ascii="Arial" w:eastAsia="Times New Roman" w:hAnsi="Arial" w:cs="Arial"/>
          <w:sz w:val="20"/>
          <w:szCs w:val="20"/>
          <w:vertAlign w:val="subscript"/>
          <w:lang w:eastAsia="en-GB"/>
        </w:rPr>
        <w:t>1</w:t>
      </w:r>
      <w:r>
        <w:rPr>
          <w:rFonts w:ascii="Arial" w:eastAsia="Times New Roman" w:hAnsi="Arial" w:cs="Arial"/>
          <w:sz w:val="20"/>
          <w:szCs w:val="20"/>
          <w:lang w:eastAsia="en-GB"/>
        </w:rPr>
        <w:t xml:space="preserve"> testcrosses was conducted during the main season of 2023 across two mid-altitude and one highland </w:t>
      </w:r>
      <w:proofErr w:type="spellStart"/>
      <w:r>
        <w:rPr>
          <w:rFonts w:ascii="Arial" w:eastAsia="Times New Roman" w:hAnsi="Arial" w:cs="Arial"/>
          <w:sz w:val="20"/>
          <w:szCs w:val="20"/>
          <w:lang w:eastAsia="en-GB"/>
        </w:rPr>
        <w:t>agro</w:t>
      </w:r>
      <w:proofErr w:type="spellEnd"/>
      <w:r>
        <w:rPr>
          <w:rFonts w:ascii="Arial" w:eastAsia="Times New Roman" w:hAnsi="Arial" w:cs="Arial"/>
          <w:sz w:val="20"/>
          <w:szCs w:val="20"/>
          <w:lang w:eastAsia="en-GB"/>
        </w:rPr>
        <w:t>-ecological zone in Kenya, specifically in Kakamega (</w:t>
      </w:r>
      <w:proofErr w:type="spellStart"/>
      <w:r>
        <w:rPr>
          <w:rFonts w:ascii="Arial" w:eastAsia="Times New Roman" w:hAnsi="Arial" w:cs="Arial"/>
          <w:sz w:val="20"/>
          <w:szCs w:val="20"/>
          <w:lang w:eastAsia="en-GB"/>
        </w:rPr>
        <w:t>Shikusa</w:t>
      </w:r>
      <w:proofErr w:type="spellEnd"/>
      <w:r>
        <w:rPr>
          <w:rFonts w:ascii="Arial" w:eastAsia="Times New Roman" w:hAnsi="Arial" w:cs="Arial"/>
          <w:sz w:val="20"/>
          <w:szCs w:val="20"/>
          <w:lang w:eastAsia="en-GB"/>
        </w:rPr>
        <w:t xml:space="preserve"> GK prison), Bungoma (Mabanga Farmers training centre), and Trans-</w:t>
      </w:r>
      <w:proofErr w:type="spellStart"/>
      <w:r>
        <w:rPr>
          <w:rFonts w:ascii="Arial" w:eastAsia="Times New Roman" w:hAnsi="Arial" w:cs="Arial"/>
          <w:sz w:val="20"/>
          <w:szCs w:val="20"/>
          <w:lang w:eastAsia="en-GB"/>
        </w:rPr>
        <w:t>nzoia</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Chorlim</w:t>
      </w:r>
      <w:proofErr w:type="spellEnd"/>
      <w:r>
        <w:rPr>
          <w:rFonts w:ascii="Arial" w:eastAsia="Times New Roman" w:hAnsi="Arial" w:cs="Arial"/>
          <w:sz w:val="20"/>
          <w:szCs w:val="20"/>
          <w:lang w:eastAsia="en-GB"/>
        </w:rPr>
        <w:t xml:space="preserve"> farm) counties, as outlined in Table 3.</w:t>
      </w:r>
    </w:p>
    <w:p w14:paraId="5618B913" w14:textId="77777777" w:rsidR="009C34D9" w:rsidRDefault="00735411">
      <w:pPr>
        <w:spacing w:after="0" w:line="480" w:lineRule="auto"/>
        <w:jc w:val="both"/>
        <w:rPr>
          <w:rFonts w:ascii="Arial" w:eastAsia="Calibri" w:hAnsi="Arial" w:cs="Arial"/>
          <w:b/>
          <w:sz w:val="20"/>
          <w:szCs w:val="20"/>
        </w:rPr>
      </w:pPr>
      <w:r>
        <w:rPr>
          <w:rFonts w:ascii="Arial" w:eastAsia="Calibri" w:hAnsi="Arial" w:cs="Arial"/>
          <w:b/>
          <w:sz w:val="20"/>
          <w:szCs w:val="20"/>
        </w:rPr>
        <w:t xml:space="preserve">Table 3. Description of the </w:t>
      </w:r>
      <w:proofErr w:type="spellStart"/>
      <w:r w:rsidR="00967B1A">
        <w:rPr>
          <w:rFonts w:ascii="Arial" w:eastAsia="Calibri" w:hAnsi="Arial" w:cs="Arial"/>
          <w:b/>
          <w:sz w:val="20"/>
          <w:szCs w:val="20"/>
        </w:rPr>
        <w:t>agro</w:t>
      </w:r>
      <w:proofErr w:type="spellEnd"/>
      <w:r w:rsidR="00967B1A">
        <w:rPr>
          <w:rFonts w:ascii="Arial" w:eastAsia="Calibri" w:hAnsi="Arial" w:cs="Arial"/>
          <w:b/>
          <w:sz w:val="20"/>
          <w:szCs w:val="20"/>
        </w:rPr>
        <w:t xml:space="preserve"> ecological zones in the </w:t>
      </w:r>
      <w:r>
        <w:rPr>
          <w:rFonts w:ascii="Arial" w:eastAsia="Calibri" w:hAnsi="Arial" w:cs="Arial"/>
          <w:b/>
          <w:sz w:val="20"/>
          <w:szCs w:val="20"/>
        </w:rPr>
        <w:t>study sites</w:t>
      </w:r>
      <w:r>
        <w:rPr>
          <w:rFonts w:ascii="Arial" w:eastAsia="Calibri" w:hAnsi="Arial" w:cs="Arial"/>
          <w:b/>
          <w:i/>
          <w:sz w:val="20"/>
          <w:szCs w:val="20"/>
        </w:rPr>
        <w:t>.</w:t>
      </w:r>
    </w:p>
    <w:tbl>
      <w:tblPr>
        <w:tblStyle w:val="TableGrid11"/>
        <w:tblW w:w="91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25"/>
        <w:gridCol w:w="1509"/>
        <w:gridCol w:w="1467"/>
        <w:gridCol w:w="1701"/>
        <w:gridCol w:w="1888"/>
      </w:tblGrid>
      <w:tr w:rsidR="00941BB0" w:rsidRPr="00941BB0" w14:paraId="1A7CA997" w14:textId="77777777" w:rsidTr="00941BB0">
        <w:trPr>
          <w:trHeight w:val="964"/>
        </w:trPr>
        <w:tc>
          <w:tcPr>
            <w:tcW w:w="1242" w:type="dxa"/>
            <w:tcBorders>
              <w:top w:val="single" w:sz="4" w:space="0" w:color="auto"/>
              <w:bottom w:val="single" w:sz="4" w:space="0" w:color="auto"/>
            </w:tcBorders>
          </w:tcPr>
          <w:p w14:paraId="0D80FAA0" w14:textId="77777777" w:rsidR="00941BB0" w:rsidRPr="00941BB0" w:rsidRDefault="00941BB0" w:rsidP="00EF5C65">
            <w:pPr>
              <w:spacing w:line="240" w:lineRule="auto"/>
              <w:rPr>
                <w:rFonts w:ascii="Arial" w:eastAsia="Calibri" w:hAnsi="Arial" w:cs="Arial"/>
                <w:sz w:val="20"/>
                <w:szCs w:val="20"/>
              </w:rPr>
            </w:pPr>
          </w:p>
          <w:p w14:paraId="281B951B"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Site</w:t>
            </w:r>
          </w:p>
        </w:tc>
        <w:tc>
          <w:tcPr>
            <w:tcW w:w="1325" w:type="dxa"/>
            <w:tcBorders>
              <w:top w:val="single" w:sz="4" w:space="0" w:color="auto"/>
              <w:bottom w:val="single" w:sz="4" w:space="0" w:color="auto"/>
            </w:tcBorders>
          </w:tcPr>
          <w:p w14:paraId="45340380" w14:textId="77777777" w:rsidR="00941BB0" w:rsidRPr="00941BB0" w:rsidRDefault="00941BB0" w:rsidP="00EF5C65">
            <w:pPr>
              <w:spacing w:line="240" w:lineRule="auto"/>
              <w:rPr>
                <w:rFonts w:ascii="Arial" w:eastAsia="Calibri" w:hAnsi="Arial" w:cs="Arial"/>
                <w:sz w:val="20"/>
                <w:szCs w:val="20"/>
              </w:rPr>
            </w:pPr>
          </w:p>
          <w:p w14:paraId="77772568"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Longitude</w:t>
            </w:r>
          </w:p>
        </w:tc>
        <w:tc>
          <w:tcPr>
            <w:tcW w:w="1509" w:type="dxa"/>
            <w:tcBorders>
              <w:top w:val="single" w:sz="4" w:space="0" w:color="auto"/>
              <w:bottom w:val="single" w:sz="4" w:space="0" w:color="auto"/>
            </w:tcBorders>
          </w:tcPr>
          <w:p w14:paraId="30E2F3CE" w14:textId="77777777" w:rsidR="00941BB0" w:rsidRPr="00941BB0" w:rsidRDefault="00941BB0" w:rsidP="00EF5C65">
            <w:pPr>
              <w:spacing w:line="240" w:lineRule="auto"/>
              <w:rPr>
                <w:rFonts w:ascii="Arial" w:eastAsia="Calibri" w:hAnsi="Arial" w:cs="Arial"/>
                <w:sz w:val="20"/>
                <w:szCs w:val="20"/>
              </w:rPr>
            </w:pPr>
          </w:p>
          <w:p w14:paraId="0DAFE468"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Latitude</w:t>
            </w:r>
          </w:p>
        </w:tc>
        <w:tc>
          <w:tcPr>
            <w:tcW w:w="1467" w:type="dxa"/>
            <w:tcBorders>
              <w:top w:val="single" w:sz="4" w:space="0" w:color="auto"/>
              <w:bottom w:val="single" w:sz="4" w:space="0" w:color="auto"/>
            </w:tcBorders>
          </w:tcPr>
          <w:p w14:paraId="2FDA1098" w14:textId="77777777" w:rsidR="00941BB0" w:rsidRPr="00941BB0" w:rsidRDefault="00941BB0" w:rsidP="00EF5C65">
            <w:pPr>
              <w:spacing w:line="240" w:lineRule="auto"/>
              <w:rPr>
                <w:rFonts w:ascii="Arial" w:eastAsia="Calibri" w:hAnsi="Arial" w:cs="Arial"/>
                <w:sz w:val="20"/>
                <w:szCs w:val="20"/>
              </w:rPr>
            </w:pPr>
          </w:p>
          <w:p w14:paraId="5BBB7481"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Annual rainfall (mm)</w:t>
            </w:r>
          </w:p>
        </w:tc>
        <w:tc>
          <w:tcPr>
            <w:tcW w:w="1701" w:type="dxa"/>
            <w:tcBorders>
              <w:top w:val="single" w:sz="4" w:space="0" w:color="auto"/>
              <w:bottom w:val="single" w:sz="4" w:space="0" w:color="auto"/>
            </w:tcBorders>
          </w:tcPr>
          <w:p w14:paraId="4171582C" w14:textId="77777777" w:rsidR="00941BB0" w:rsidRPr="00941BB0" w:rsidRDefault="00941BB0" w:rsidP="00EF5C65">
            <w:pPr>
              <w:spacing w:line="240" w:lineRule="auto"/>
              <w:rPr>
                <w:rFonts w:ascii="Arial" w:eastAsia="Calibri" w:hAnsi="Arial" w:cs="Arial"/>
                <w:sz w:val="20"/>
                <w:szCs w:val="20"/>
              </w:rPr>
            </w:pPr>
          </w:p>
          <w:p w14:paraId="34506B9F"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Annual temperature (</w:t>
            </w:r>
            <w:r w:rsidRPr="00941BB0">
              <w:rPr>
                <w:rFonts w:ascii="Cambria Math" w:eastAsia="Calibri" w:hAnsi="Cambria Math" w:cs="Cambria Math"/>
                <w:sz w:val="20"/>
                <w:szCs w:val="20"/>
              </w:rPr>
              <w:t>℃</w:t>
            </w:r>
            <w:r w:rsidRPr="00941BB0">
              <w:rPr>
                <w:rFonts w:ascii="Arial" w:eastAsia="Calibri" w:hAnsi="Arial" w:cs="Arial"/>
                <w:sz w:val="20"/>
                <w:szCs w:val="20"/>
              </w:rPr>
              <w:t>)</w:t>
            </w:r>
          </w:p>
        </w:tc>
        <w:tc>
          <w:tcPr>
            <w:tcW w:w="1888" w:type="dxa"/>
            <w:tcBorders>
              <w:top w:val="single" w:sz="4" w:space="0" w:color="auto"/>
              <w:bottom w:val="single" w:sz="4" w:space="0" w:color="auto"/>
            </w:tcBorders>
          </w:tcPr>
          <w:p w14:paraId="0C3D9239" w14:textId="77777777" w:rsidR="00941BB0" w:rsidRPr="00941BB0" w:rsidRDefault="00941BB0" w:rsidP="00EF5C65">
            <w:pPr>
              <w:spacing w:line="240" w:lineRule="auto"/>
              <w:rPr>
                <w:rFonts w:ascii="Arial" w:eastAsia="Calibri" w:hAnsi="Arial" w:cs="Arial"/>
                <w:sz w:val="20"/>
                <w:szCs w:val="20"/>
              </w:rPr>
            </w:pPr>
          </w:p>
          <w:p w14:paraId="311F57EB"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Soil type</w:t>
            </w:r>
          </w:p>
        </w:tc>
      </w:tr>
      <w:tr w:rsidR="00941BB0" w:rsidRPr="00941BB0" w14:paraId="7D2A5386" w14:textId="77777777" w:rsidTr="00941BB0">
        <w:trPr>
          <w:trHeight w:val="430"/>
        </w:trPr>
        <w:tc>
          <w:tcPr>
            <w:tcW w:w="1242" w:type="dxa"/>
            <w:tcBorders>
              <w:top w:val="single" w:sz="4" w:space="0" w:color="auto"/>
            </w:tcBorders>
          </w:tcPr>
          <w:p w14:paraId="3B82C9D1" w14:textId="77777777" w:rsidR="00941BB0" w:rsidRPr="00941BB0" w:rsidRDefault="00941BB0" w:rsidP="00EF5C65">
            <w:pPr>
              <w:spacing w:line="240" w:lineRule="auto"/>
              <w:rPr>
                <w:rFonts w:ascii="Arial" w:eastAsia="Calibri" w:hAnsi="Arial" w:cs="Arial"/>
                <w:sz w:val="20"/>
                <w:szCs w:val="20"/>
              </w:rPr>
            </w:pPr>
            <w:proofErr w:type="spellStart"/>
            <w:r w:rsidRPr="00941BB0">
              <w:rPr>
                <w:rFonts w:ascii="Arial" w:eastAsia="Calibri" w:hAnsi="Arial" w:cs="Arial"/>
                <w:sz w:val="20"/>
                <w:szCs w:val="20"/>
              </w:rPr>
              <w:t>Chorlim</w:t>
            </w:r>
            <w:proofErr w:type="spellEnd"/>
          </w:p>
        </w:tc>
        <w:tc>
          <w:tcPr>
            <w:tcW w:w="1325" w:type="dxa"/>
            <w:tcBorders>
              <w:top w:val="single" w:sz="4" w:space="0" w:color="auto"/>
            </w:tcBorders>
          </w:tcPr>
          <w:p w14:paraId="2385271A"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1.031308</w:t>
            </w:r>
          </w:p>
        </w:tc>
        <w:tc>
          <w:tcPr>
            <w:tcW w:w="1509" w:type="dxa"/>
            <w:tcBorders>
              <w:top w:val="single" w:sz="4" w:space="0" w:color="auto"/>
            </w:tcBorders>
          </w:tcPr>
          <w:p w14:paraId="4639D18F"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34.845914</w:t>
            </w:r>
          </w:p>
        </w:tc>
        <w:tc>
          <w:tcPr>
            <w:tcW w:w="1467" w:type="dxa"/>
            <w:tcBorders>
              <w:top w:val="single" w:sz="4" w:space="0" w:color="auto"/>
            </w:tcBorders>
          </w:tcPr>
          <w:p w14:paraId="33292EDF"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1200</w:t>
            </w:r>
          </w:p>
        </w:tc>
        <w:tc>
          <w:tcPr>
            <w:tcW w:w="1701" w:type="dxa"/>
            <w:tcBorders>
              <w:top w:val="single" w:sz="4" w:space="0" w:color="auto"/>
            </w:tcBorders>
          </w:tcPr>
          <w:p w14:paraId="4DF7E545"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21-35</w:t>
            </w:r>
          </w:p>
        </w:tc>
        <w:tc>
          <w:tcPr>
            <w:tcW w:w="1888" w:type="dxa"/>
            <w:tcBorders>
              <w:top w:val="single" w:sz="4" w:space="0" w:color="auto"/>
            </w:tcBorders>
          </w:tcPr>
          <w:p w14:paraId="3A23741D" w14:textId="77777777" w:rsidR="00941BB0" w:rsidRPr="00941BB0" w:rsidRDefault="00941BB0" w:rsidP="00EF5C65">
            <w:pPr>
              <w:spacing w:line="240" w:lineRule="auto"/>
              <w:rPr>
                <w:rFonts w:ascii="Arial" w:eastAsia="Calibri" w:hAnsi="Arial" w:cs="Arial"/>
                <w:sz w:val="20"/>
                <w:szCs w:val="20"/>
              </w:rPr>
            </w:pPr>
            <w:proofErr w:type="spellStart"/>
            <w:r w:rsidRPr="00941BB0">
              <w:rPr>
                <w:rFonts w:ascii="Arial" w:eastAsia="Calibri" w:hAnsi="Arial" w:cs="Arial"/>
                <w:sz w:val="20"/>
                <w:szCs w:val="20"/>
              </w:rPr>
              <w:t>Rhodic</w:t>
            </w:r>
            <w:proofErr w:type="spellEnd"/>
            <w:r w:rsidRPr="00941BB0">
              <w:rPr>
                <w:rFonts w:ascii="Arial" w:eastAsia="Calibri" w:hAnsi="Arial" w:cs="Arial"/>
                <w:sz w:val="20"/>
                <w:szCs w:val="20"/>
              </w:rPr>
              <w:t xml:space="preserve">, </w:t>
            </w:r>
            <w:proofErr w:type="spellStart"/>
            <w:r w:rsidRPr="00941BB0">
              <w:rPr>
                <w:rFonts w:ascii="Arial" w:eastAsia="Calibri" w:hAnsi="Arial" w:cs="Arial"/>
                <w:sz w:val="20"/>
                <w:szCs w:val="20"/>
              </w:rPr>
              <w:t>Ferrasols</w:t>
            </w:r>
            <w:proofErr w:type="spellEnd"/>
          </w:p>
        </w:tc>
      </w:tr>
      <w:tr w:rsidR="00941BB0" w:rsidRPr="00941BB0" w14:paraId="1ABD3835" w14:textId="77777777" w:rsidTr="00941BB0">
        <w:trPr>
          <w:trHeight w:val="219"/>
        </w:trPr>
        <w:tc>
          <w:tcPr>
            <w:tcW w:w="1242" w:type="dxa"/>
          </w:tcPr>
          <w:p w14:paraId="5BD33776"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Mabanga</w:t>
            </w:r>
          </w:p>
        </w:tc>
        <w:tc>
          <w:tcPr>
            <w:tcW w:w="1325" w:type="dxa"/>
          </w:tcPr>
          <w:p w14:paraId="51038667"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0.601603</w:t>
            </w:r>
          </w:p>
        </w:tc>
        <w:tc>
          <w:tcPr>
            <w:tcW w:w="1509" w:type="dxa"/>
          </w:tcPr>
          <w:p w14:paraId="0F4803C6"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34.626247</w:t>
            </w:r>
          </w:p>
        </w:tc>
        <w:tc>
          <w:tcPr>
            <w:tcW w:w="1467" w:type="dxa"/>
          </w:tcPr>
          <w:p w14:paraId="58C57B0D"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1100</w:t>
            </w:r>
          </w:p>
        </w:tc>
        <w:tc>
          <w:tcPr>
            <w:tcW w:w="1701" w:type="dxa"/>
          </w:tcPr>
          <w:p w14:paraId="2B0E7D70"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19 -32</w:t>
            </w:r>
          </w:p>
        </w:tc>
        <w:tc>
          <w:tcPr>
            <w:tcW w:w="1888" w:type="dxa"/>
          </w:tcPr>
          <w:p w14:paraId="65EEF1C0" w14:textId="77777777" w:rsidR="00941BB0" w:rsidRPr="00941BB0" w:rsidRDefault="00941BB0" w:rsidP="00EF5C65">
            <w:pPr>
              <w:spacing w:line="240" w:lineRule="auto"/>
              <w:rPr>
                <w:rFonts w:ascii="Arial" w:eastAsia="Calibri" w:hAnsi="Arial" w:cs="Arial"/>
                <w:sz w:val="20"/>
                <w:szCs w:val="20"/>
              </w:rPr>
            </w:pPr>
            <w:proofErr w:type="spellStart"/>
            <w:r w:rsidRPr="00941BB0">
              <w:rPr>
                <w:rFonts w:ascii="Arial" w:eastAsia="Calibri" w:hAnsi="Arial" w:cs="Arial"/>
                <w:sz w:val="20"/>
                <w:szCs w:val="20"/>
              </w:rPr>
              <w:t>Ferrasols</w:t>
            </w:r>
            <w:proofErr w:type="spellEnd"/>
          </w:p>
        </w:tc>
      </w:tr>
      <w:tr w:rsidR="00941BB0" w:rsidRPr="00941BB0" w14:paraId="4AC7DBF7" w14:textId="77777777" w:rsidTr="00941BB0">
        <w:trPr>
          <w:trHeight w:val="219"/>
        </w:trPr>
        <w:tc>
          <w:tcPr>
            <w:tcW w:w="1242" w:type="dxa"/>
            <w:tcBorders>
              <w:bottom w:val="single" w:sz="4" w:space="0" w:color="auto"/>
            </w:tcBorders>
          </w:tcPr>
          <w:p w14:paraId="6821FA7B" w14:textId="77777777" w:rsidR="00941BB0" w:rsidRPr="00941BB0" w:rsidRDefault="00941BB0" w:rsidP="00EF5C65">
            <w:pPr>
              <w:spacing w:line="240" w:lineRule="auto"/>
              <w:rPr>
                <w:rFonts w:ascii="Arial" w:eastAsia="Calibri" w:hAnsi="Arial" w:cs="Arial"/>
                <w:sz w:val="20"/>
                <w:szCs w:val="20"/>
              </w:rPr>
            </w:pPr>
            <w:proofErr w:type="spellStart"/>
            <w:r w:rsidRPr="00941BB0">
              <w:rPr>
                <w:rFonts w:ascii="Arial" w:eastAsia="Calibri" w:hAnsi="Arial" w:cs="Arial"/>
                <w:sz w:val="20"/>
                <w:szCs w:val="20"/>
              </w:rPr>
              <w:t>Shikusa</w:t>
            </w:r>
            <w:proofErr w:type="spellEnd"/>
          </w:p>
        </w:tc>
        <w:tc>
          <w:tcPr>
            <w:tcW w:w="1325" w:type="dxa"/>
            <w:tcBorders>
              <w:bottom w:val="single" w:sz="4" w:space="0" w:color="auto"/>
            </w:tcBorders>
          </w:tcPr>
          <w:p w14:paraId="7A93277B"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0.322908</w:t>
            </w:r>
          </w:p>
        </w:tc>
        <w:tc>
          <w:tcPr>
            <w:tcW w:w="1509" w:type="dxa"/>
            <w:tcBorders>
              <w:bottom w:val="single" w:sz="4" w:space="0" w:color="auto"/>
            </w:tcBorders>
          </w:tcPr>
          <w:p w14:paraId="7A5EA1FA"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34.812136</w:t>
            </w:r>
          </w:p>
        </w:tc>
        <w:tc>
          <w:tcPr>
            <w:tcW w:w="1467" w:type="dxa"/>
            <w:tcBorders>
              <w:bottom w:val="single" w:sz="4" w:space="0" w:color="auto"/>
            </w:tcBorders>
          </w:tcPr>
          <w:p w14:paraId="1B78DD3F"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1600</w:t>
            </w:r>
          </w:p>
        </w:tc>
        <w:tc>
          <w:tcPr>
            <w:tcW w:w="1701" w:type="dxa"/>
            <w:tcBorders>
              <w:bottom w:val="single" w:sz="4" w:space="0" w:color="auto"/>
            </w:tcBorders>
          </w:tcPr>
          <w:p w14:paraId="06CC833F"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21- 33</w:t>
            </w:r>
          </w:p>
        </w:tc>
        <w:tc>
          <w:tcPr>
            <w:tcW w:w="1888" w:type="dxa"/>
            <w:tcBorders>
              <w:bottom w:val="single" w:sz="4" w:space="0" w:color="auto"/>
            </w:tcBorders>
          </w:tcPr>
          <w:p w14:paraId="6ED3B4B1" w14:textId="77777777" w:rsidR="00941BB0" w:rsidRPr="00941BB0" w:rsidRDefault="00941BB0" w:rsidP="00EF5C65">
            <w:pPr>
              <w:spacing w:line="240" w:lineRule="auto"/>
              <w:rPr>
                <w:rFonts w:ascii="Arial" w:eastAsia="Calibri" w:hAnsi="Arial" w:cs="Arial"/>
                <w:sz w:val="20"/>
                <w:szCs w:val="20"/>
              </w:rPr>
            </w:pPr>
            <w:r w:rsidRPr="00941BB0">
              <w:rPr>
                <w:rFonts w:ascii="Arial" w:eastAsia="Calibri" w:hAnsi="Arial" w:cs="Arial"/>
                <w:sz w:val="20"/>
                <w:szCs w:val="20"/>
              </w:rPr>
              <w:t xml:space="preserve">Orthic </w:t>
            </w:r>
            <w:proofErr w:type="spellStart"/>
            <w:r w:rsidRPr="00941BB0">
              <w:rPr>
                <w:rFonts w:ascii="Arial" w:eastAsia="Calibri" w:hAnsi="Arial" w:cs="Arial"/>
                <w:sz w:val="20"/>
                <w:szCs w:val="20"/>
              </w:rPr>
              <w:t>acrisols</w:t>
            </w:r>
            <w:proofErr w:type="spellEnd"/>
          </w:p>
        </w:tc>
      </w:tr>
    </w:tbl>
    <w:p w14:paraId="704E81B2" w14:textId="77777777" w:rsidR="009C34D9" w:rsidRDefault="009C34D9">
      <w:pPr>
        <w:spacing w:after="0" w:line="480" w:lineRule="auto"/>
        <w:jc w:val="both"/>
        <w:rPr>
          <w:rFonts w:ascii="Arial" w:eastAsia="Times New Roman" w:hAnsi="Arial" w:cs="Arial"/>
          <w:sz w:val="20"/>
          <w:szCs w:val="20"/>
          <w:lang w:eastAsia="en-GB"/>
        </w:rPr>
      </w:pPr>
    </w:p>
    <w:p w14:paraId="0ED28A3F" w14:textId="77777777" w:rsidR="009C34D9" w:rsidRDefault="00735411">
      <w:pPr>
        <w:spacing w:after="0" w:line="480" w:lineRule="auto"/>
        <w:jc w:val="both"/>
        <w:rPr>
          <w:rFonts w:ascii="Arial" w:hAnsi="Arial" w:cs="Arial"/>
          <w:sz w:val="20"/>
          <w:szCs w:val="20"/>
        </w:rPr>
      </w:pPr>
      <w:r>
        <w:rPr>
          <w:rFonts w:ascii="Arial" w:hAnsi="Arial" w:cs="Arial"/>
          <w:sz w:val="20"/>
          <w:szCs w:val="20"/>
        </w:rPr>
        <w:t xml:space="preserve">One hundred and thirty F1 hybrids, generated by crossing 65 yellow maize inbred lines with </w:t>
      </w:r>
      <w:proofErr w:type="gramStart"/>
      <w:r>
        <w:rPr>
          <w:rFonts w:ascii="Arial" w:hAnsi="Arial" w:cs="Arial"/>
          <w:sz w:val="20"/>
          <w:szCs w:val="20"/>
        </w:rPr>
        <w:t>two line</w:t>
      </w:r>
      <w:proofErr w:type="gramEnd"/>
      <w:r>
        <w:rPr>
          <w:rFonts w:ascii="Arial" w:hAnsi="Arial" w:cs="Arial"/>
          <w:sz w:val="20"/>
          <w:szCs w:val="20"/>
        </w:rPr>
        <w:t xml:space="preserve"> testers, along with three yellow maize check varieties, were randomized into a (7×19) alpha (0, 1) design (Paterson and Williams, 1976). This design was implemented using the Field Book software (</w:t>
      </w:r>
      <w:proofErr w:type="spellStart"/>
      <w:r>
        <w:rPr>
          <w:rFonts w:ascii="Arial" w:hAnsi="Arial" w:cs="Arial"/>
          <w:sz w:val="20"/>
          <w:szCs w:val="20"/>
        </w:rPr>
        <w:t>Banziger</w:t>
      </w:r>
      <w:proofErr w:type="spellEnd"/>
      <w:r>
        <w:rPr>
          <w:rFonts w:ascii="Arial" w:hAnsi="Arial" w:cs="Arial"/>
          <w:sz w:val="20"/>
          <w:szCs w:val="20"/>
        </w:rPr>
        <w:t xml:space="preserve"> et al., 2020) in the IMIS Central Database for Maize V5.4.001.</w:t>
      </w:r>
    </w:p>
    <w:p w14:paraId="3E0E3AAD" w14:textId="77777777" w:rsidR="009C34D9" w:rsidRDefault="00735411">
      <w:pPr>
        <w:spacing w:after="0" w:line="480" w:lineRule="auto"/>
        <w:jc w:val="both"/>
        <w:rPr>
          <w:rFonts w:ascii="Arial" w:hAnsi="Arial" w:cs="Arial"/>
          <w:sz w:val="20"/>
          <w:szCs w:val="20"/>
        </w:rPr>
      </w:pPr>
      <w:r>
        <w:rPr>
          <w:rFonts w:ascii="Arial" w:hAnsi="Arial" w:cs="Arial"/>
          <w:sz w:val="20"/>
          <w:szCs w:val="20"/>
        </w:rPr>
        <w:t xml:space="preserve">Before the onset of the rains in the long rain season of 2023, all the trial fields were ploughed followed by disc harrowing to bring them to a fine tilth. In each field, an almost uniformly looking area with minimal variation in slope and soil type was selected </w:t>
      </w:r>
      <w:proofErr w:type="gramStart"/>
      <w:r>
        <w:rPr>
          <w:rFonts w:ascii="Arial" w:hAnsi="Arial" w:cs="Arial"/>
          <w:sz w:val="20"/>
          <w:szCs w:val="20"/>
        </w:rPr>
        <w:t>and  marked</w:t>
      </w:r>
      <w:proofErr w:type="gramEnd"/>
      <w:r>
        <w:rPr>
          <w:rFonts w:ascii="Arial" w:hAnsi="Arial" w:cs="Arial"/>
          <w:sz w:val="20"/>
          <w:szCs w:val="20"/>
        </w:rPr>
        <w:t xml:space="preserve"> out with pegs to clearly show the arrangement of the plots, blocks and replications according to the (7×19) α-lattice design. Each experimental plot consisted of single rows measuring 5m long, with 0.75m between the rows and 0.25 m in between hills respectively. At the onset of the rains, for each plot two seeds were be sown per hill then thinned to one plant per hill upon germination and crop establishment at two weeks after planting to give a working plant population of 53,333 plants per hectare. Two border rows planted along each side of the trial provided necessary protection of the trial from external intrusions as well as providing adequate competition for the border plants in the trial.</w:t>
      </w:r>
    </w:p>
    <w:p w14:paraId="42EDC3A2" w14:textId="77777777" w:rsidR="009C34D9" w:rsidRDefault="00735411">
      <w:pPr>
        <w:spacing w:after="0" w:line="480" w:lineRule="auto"/>
        <w:jc w:val="both"/>
        <w:rPr>
          <w:rFonts w:ascii="Arial" w:hAnsi="Arial" w:cs="Arial"/>
          <w:sz w:val="20"/>
          <w:szCs w:val="20"/>
        </w:rPr>
      </w:pPr>
      <w:r>
        <w:rPr>
          <w:rFonts w:ascii="Arial" w:hAnsi="Arial" w:cs="Arial"/>
          <w:sz w:val="20"/>
          <w:szCs w:val="20"/>
        </w:rPr>
        <w:t>Di-ammonium phosphate (DAP) and calcium ammonium nitrate (</w:t>
      </w:r>
      <w:proofErr w:type="gramStart"/>
      <w:r>
        <w:rPr>
          <w:rFonts w:ascii="Arial" w:hAnsi="Arial" w:cs="Arial"/>
          <w:sz w:val="20"/>
          <w:szCs w:val="20"/>
        </w:rPr>
        <w:t>CAN)  were</w:t>
      </w:r>
      <w:proofErr w:type="gramEnd"/>
      <w:r>
        <w:rPr>
          <w:rFonts w:ascii="Arial" w:hAnsi="Arial" w:cs="Arial"/>
          <w:sz w:val="20"/>
          <w:szCs w:val="20"/>
        </w:rPr>
        <w:t xml:space="preserve"> used as basal fertiliser at planting and topdressing fertiliser respectively to supply a total of 19Kg of potassium, 28Kg of phosphates and 82Kg of nitrogen per hectare, (KEPHIS, 2020). Other cultural practices including weed </w:t>
      </w:r>
      <w:r>
        <w:rPr>
          <w:rFonts w:ascii="Arial" w:hAnsi="Arial" w:cs="Arial"/>
          <w:sz w:val="20"/>
          <w:szCs w:val="20"/>
        </w:rPr>
        <w:lastRenderedPageBreak/>
        <w:t>and pest management were performed throughout the entire growing season to ensure weed and pest free trial fields.</w:t>
      </w:r>
    </w:p>
    <w:p w14:paraId="3676EDF3"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lang w:eastAsia="en-GB"/>
        </w:rPr>
        <w:t>2.3 Phenotypic data collection.</w:t>
      </w:r>
    </w:p>
    <w:p w14:paraId="0B9363CA" w14:textId="77777777" w:rsidR="00CB77B6"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Phenotypic data on grain yield and yield-related traits were collected throughout the growing season until harvest, following procedures described by Badu-</w:t>
      </w:r>
      <w:proofErr w:type="spellStart"/>
      <w:r w:rsidRPr="00792BC5">
        <w:rPr>
          <w:rFonts w:ascii="Arial" w:eastAsia="Times New Roman" w:hAnsi="Arial" w:cs="Arial"/>
          <w:color w:val="0E101A"/>
          <w:sz w:val="20"/>
          <w:szCs w:val="20"/>
          <w:lang w:eastAsia="en-GB"/>
        </w:rPr>
        <w:t>Apraku</w:t>
      </w:r>
      <w:proofErr w:type="spellEnd"/>
      <w:r w:rsidRPr="00792BC5">
        <w:rPr>
          <w:rFonts w:ascii="Arial" w:eastAsia="Times New Roman" w:hAnsi="Arial" w:cs="Arial"/>
          <w:color w:val="0E101A"/>
          <w:sz w:val="20"/>
          <w:szCs w:val="20"/>
          <w:lang w:eastAsia="en-GB"/>
        </w:rPr>
        <w:t xml:space="preserve"> et al. (2012). Anthesis date (AD) </w:t>
      </w:r>
      <w:r>
        <w:rPr>
          <w:rFonts w:ascii="Arial" w:eastAsia="Times New Roman" w:hAnsi="Arial" w:cs="Arial"/>
          <w:color w:val="0E101A"/>
          <w:sz w:val="20"/>
          <w:szCs w:val="20"/>
          <w:lang w:eastAsia="en-GB"/>
        </w:rPr>
        <w:t xml:space="preserve">was </w:t>
      </w:r>
      <w:r w:rsidRPr="00792BC5">
        <w:rPr>
          <w:rFonts w:ascii="Arial" w:eastAsia="Times New Roman" w:hAnsi="Arial" w:cs="Arial"/>
          <w:color w:val="0E101A"/>
          <w:sz w:val="20"/>
          <w:szCs w:val="20"/>
          <w:lang w:eastAsia="en-GB"/>
        </w:rPr>
        <w:t xml:space="preserve">recorded as the number of days from planting to 50% pollen shed and silk emergence per plot. Ear height (EH) and plant height (PH) were measured three weeks post-flowering from five representative plants per plot. Ear rot (ER) was calculated as the percentage of affected harvested ears, while husk cover (HC) was based on the percentage of ears with loose or open husks. Plant aspect (PA) and ear aspect (EA) were scored on a 1–5 visual scale based on plant and ear appearance, respectively. Northern leaf blight (NLB) and Grey leaf spot (GLS) were visually rated on a 1–5 scale according to the extent and severity of symptoms on leaf area. </w:t>
      </w:r>
    </w:p>
    <w:p w14:paraId="3067EE10" w14:textId="77777777" w:rsidR="009C34D9"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Grain</w:t>
      </w:r>
      <w:r w:rsidR="00735411">
        <w:rPr>
          <w:rFonts w:ascii="Arial" w:eastAsia="Times New Roman" w:hAnsi="Arial" w:cs="Arial"/>
          <w:i/>
          <w:iCs/>
          <w:color w:val="0E101A"/>
          <w:sz w:val="20"/>
          <w:szCs w:val="20"/>
          <w:lang w:eastAsia="en-GB"/>
        </w:rPr>
        <w:t xml:space="preserve"> yield (GY)</w:t>
      </w:r>
      <w:r w:rsidR="00735411">
        <w:rPr>
          <w:rFonts w:ascii="Arial" w:eastAsia="Times New Roman" w:hAnsi="Arial" w:cs="Arial"/>
          <w:color w:val="0E101A"/>
          <w:sz w:val="20"/>
          <w:szCs w:val="20"/>
          <w:lang w:eastAsia="en-GB"/>
        </w:rPr>
        <w:t xml:space="preserve"> (t/ha) was obtained by adjusting field weight of the total ears per plot using the moisture content of the plot to give the plot’s grain yield in tons per hectare using the formula;</w:t>
      </w:r>
    </w:p>
    <w:p w14:paraId="1E249FB3"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m:oMath>
        <m:r>
          <w:rPr>
            <w:rFonts w:ascii="Cambria Math" w:eastAsia="Times New Roman" w:hAnsi="Cambria Math" w:cs="Arial"/>
            <w:color w:val="0E101A"/>
            <w:sz w:val="20"/>
            <w:szCs w:val="20"/>
            <w:lang w:eastAsia="en-GB"/>
          </w:rPr>
          <m:t>GY=(</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FW</m:t>
                </m:r>
              </m:num>
              <m:den>
                <m:r>
                  <w:rPr>
                    <w:rFonts w:ascii="Cambria Math" w:eastAsia="Times New Roman" w:hAnsi="Cambria Math" w:cs="Arial"/>
                    <w:color w:val="0E101A"/>
                    <w:sz w:val="20"/>
                    <w:szCs w:val="20"/>
                    <w:lang w:eastAsia="en-GB"/>
                  </w:rPr>
                  <m:t>1000</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100-Moi</m:t>
                </m:r>
              </m:num>
              <m:den>
                <m:r>
                  <w:rPr>
                    <w:rFonts w:ascii="Cambria Math" w:eastAsia="Times New Roman" w:hAnsi="Cambria Math" w:cs="Arial"/>
                    <w:color w:val="0E101A"/>
                    <w:sz w:val="20"/>
                    <w:szCs w:val="20"/>
                    <w:lang w:eastAsia="en-GB"/>
                  </w:rPr>
                  <m:t>100-12.5</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t>
                </m:r>
              </m:num>
              <m:den>
                <m:r>
                  <w:rPr>
                    <w:rFonts w:ascii="Cambria Math" w:eastAsia="Times New Roman" w:hAnsi="Cambria Math" w:cs="Arial"/>
                    <w:color w:val="0E101A"/>
                    <w:sz w:val="20"/>
                    <w:szCs w:val="20"/>
                    <w:lang w:eastAsia="en-GB"/>
                  </w:rPr>
                  <m:t>A</m:t>
                </m:r>
              </m:den>
            </m:f>
          </m:e>
        </m:d>
        <m:r>
          <w:rPr>
            <w:rFonts w:ascii="Cambria Math" w:eastAsia="Times New Roman" w:hAnsi="Cambria Math" w:cs="Arial"/>
            <w:color w:val="0E101A"/>
            <w:sz w:val="20"/>
            <w:szCs w:val="20"/>
            <w:lang w:eastAsia="en-GB"/>
          </w:rPr>
          <m:t>×P)</m:t>
        </m:r>
      </m:oMath>
    </w:p>
    <w:p w14:paraId="7E0F5F3B"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FW=weight of all cobs per plot (in Kg), MOI=grain moisture content (in percentage), A= the plot's net area, calculated as [number of hills × spacing between hills (m) × spacing between rows (m)], and P= shelling percentage of 80% if cobs were to be shelled. </w:t>
      </w:r>
    </w:p>
    <w:p w14:paraId="2EC54608"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2.4 Data analysis</w:t>
      </w:r>
    </w:p>
    <w:p w14:paraId="611C7473"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Estimation of variance components, best linear unbiased estimates (BLUEs) and broad sense heritability was executed using META-R (Multi-Environment Trial Analysis with R) Version 6.0 (Alvarado et al., 2015). This utilised the linear models developed in the </w:t>
      </w:r>
      <w:proofErr w:type="spellStart"/>
      <w:r>
        <w:rPr>
          <w:rFonts w:ascii="Arial" w:eastAsia="Calibri" w:hAnsi="Arial" w:cs="Arial"/>
          <w:sz w:val="20"/>
          <w:szCs w:val="20"/>
        </w:rPr>
        <w:t>lmer</w:t>
      </w:r>
      <w:proofErr w:type="spellEnd"/>
      <w:r>
        <w:rPr>
          <w:rFonts w:ascii="Arial" w:eastAsia="Calibri" w:hAnsi="Arial" w:cs="Arial"/>
          <w:sz w:val="20"/>
          <w:szCs w:val="20"/>
        </w:rPr>
        <w:t xml:space="preserve"> function from the lme4 package in R by applying the REML (Restricted Maximum Likelihood) method.</w:t>
      </w:r>
    </w:p>
    <w:p w14:paraId="1BAC4DE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The model used for across environments lattice design analysis:</w:t>
      </w:r>
    </w:p>
    <w:p w14:paraId="3C363106" w14:textId="77777777" w:rsidR="009C34D9" w:rsidRDefault="00735411" w:rsidP="000B034A">
      <w:pPr>
        <w:spacing w:after="0" w:line="480" w:lineRule="auto"/>
        <w:jc w:val="center"/>
        <w:rPr>
          <w:rFonts w:ascii="Arial" w:eastAsia="Times New Roman" w:hAnsi="Arial" w:cs="Arial"/>
          <w:sz w:val="20"/>
          <w:szCs w:val="20"/>
        </w:rPr>
      </w:pPr>
      <m:oMath>
        <m:r>
          <w:rPr>
            <w:rFonts w:ascii="Cambria Math" w:eastAsia="Calibri" w:hAnsi="Cambria Math" w:cs="Arial"/>
            <w:sz w:val="20"/>
            <w:szCs w:val="20"/>
          </w:rPr>
          <m:t>Yijk=μ+</m:t>
        </m:r>
        <m:sSub>
          <m:sSubPr>
            <m:ctrlPr>
              <w:rPr>
                <w:rFonts w:ascii="Cambria Math" w:eastAsia="Calibri" w:hAnsi="Cambria Math" w:cs="Arial"/>
                <w:i/>
                <w:sz w:val="20"/>
                <w:szCs w:val="20"/>
              </w:rPr>
            </m:ctrlPr>
          </m:sSubPr>
          <m:e>
            <m:r>
              <w:rPr>
                <w:rFonts w:ascii="Cambria Math" w:eastAsia="Calibri" w:hAnsi="Cambria Math" w:cs="Arial"/>
                <w:sz w:val="20"/>
                <w:szCs w:val="20"/>
              </w:rPr>
              <m:t>Env</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j</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e>
        </m:d>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Block</m:t>
            </m:r>
          </m:e>
          <m:sub>
            <m:r>
              <w:rPr>
                <w:rFonts w:ascii="Cambria Math" w:eastAsia="Times New Roman" w:hAnsi="Cambria Math" w:cs="Arial"/>
                <w:sz w:val="20"/>
                <w:szCs w:val="20"/>
              </w:rPr>
              <m:t>k</m:t>
            </m:r>
          </m:sub>
        </m:sSub>
      </m:oMath>
      <w:r>
        <w:rPr>
          <w:rFonts w:ascii="Arial" w:eastAsia="Times New Roman" w:hAnsi="Arial" w:cs="Arial"/>
          <w:sz w:val="20"/>
          <w:szCs w:val="20"/>
        </w:rPr>
        <w:t>(</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i</m:t>
            </m:r>
          </m:sub>
        </m:sSub>
      </m:oMath>
      <w:r>
        <w:rPr>
          <w:rFonts w:ascii="Arial" w:eastAsia="Times New Roman" w:hAnsi="Arial" w:cs="Arial"/>
          <w:sz w:val="20"/>
          <w:szCs w:val="20"/>
        </w:rPr>
        <w:t>)</w:t>
      </w:r>
      <m:oMath>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εjkl</m:t>
            </m:r>
          </m:e>
          <m:sub>
            <m:r>
              <w:rPr>
                <w:rFonts w:ascii="Cambria Math" w:eastAsia="Times New Roman" w:hAnsi="Cambria Math" w:cs="Arial"/>
                <w:sz w:val="20"/>
                <w:szCs w:val="20"/>
              </w:rPr>
              <m:t>l</m:t>
            </m:r>
          </m:sub>
        </m:sSub>
      </m:oMath>
    </w:p>
    <w:p w14:paraId="0603884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Where </w:t>
      </w:r>
      <m:oMath>
        <m:sSub>
          <m:sSubPr>
            <m:ctrlPr>
              <w:rPr>
                <w:rFonts w:ascii="Cambria Math" w:eastAsia="Calibri" w:hAnsi="Cambria Math" w:cs="Arial"/>
                <w:i/>
                <w:sz w:val="20"/>
                <w:szCs w:val="20"/>
              </w:rPr>
            </m:ctrlPr>
          </m:sSubPr>
          <m:e>
            <m:r>
              <w:rPr>
                <w:rFonts w:ascii="Cambria Math" w:eastAsia="Calibri" w:hAnsi="Cambria Math" w:cs="Arial"/>
                <w:sz w:val="20"/>
                <w:szCs w:val="20"/>
              </w:rPr>
              <m:t>Y</m:t>
            </m:r>
          </m:e>
          <m:sub>
            <m:r>
              <w:rPr>
                <w:rFonts w:ascii="Cambria Math" w:eastAsia="Calibri" w:hAnsi="Cambria Math" w:cs="Arial"/>
                <w:sz w:val="20"/>
                <w:szCs w:val="20"/>
              </w:rPr>
              <m:t>ijk</m:t>
            </m:r>
          </m:sub>
        </m:sSub>
        <m:r>
          <w:rPr>
            <w:rFonts w:ascii="Cambria Math" w:eastAsia="Calibri" w:hAnsi="Cambria Math" w:cs="Arial"/>
            <w:sz w:val="20"/>
            <w:szCs w:val="20"/>
          </w:rPr>
          <m:t xml:space="preserve"> was </m:t>
        </m:r>
      </m:oMath>
      <w:r>
        <w:rPr>
          <w:rFonts w:ascii="Arial" w:eastAsia="Calibri" w:hAnsi="Arial" w:cs="Arial"/>
          <w:sz w:val="20"/>
          <w:szCs w:val="20"/>
        </w:rPr>
        <w:t xml:space="preserve">the trait of interest; </w:t>
      </w:r>
      <w:r>
        <w:rPr>
          <w:rFonts w:ascii="Arial" w:eastAsia="Calibri" w:hAnsi="Arial" w:cs="Arial"/>
          <w:i/>
          <w:sz w:val="20"/>
          <w:szCs w:val="20"/>
        </w:rPr>
        <w:t>µ</w:t>
      </w:r>
      <w:r>
        <w:rPr>
          <w:rFonts w:ascii="Arial" w:eastAsia="Calibri" w:hAnsi="Arial" w:cs="Arial"/>
          <w:sz w:val="20"/>
          <w:szCs w:val="20"/>
        </w:rPr>
        <w:t xml:space="preserve"> was</w:t>
      </w:r>
      <w:r>
        <w:rPr>
          <w:rFonts w:ascii="Arial" w:eastAsia="Calibri" w:hAnsi="Arial" w:cs="Arial"/>
          <w:i/>
          <w:sz w:val="20"/>
          <w:szCs w:val="20"/>
        </w:rPr>
        <w:t xml:space="preserve"> </w:t>
      </w:r>
      <w:r>
        <w:rPr>
          <w:rFonts w:ascii="Arial" w:eastAsia="Calibri" w:hAnsi="Arial" w:cs="Arial"/>
          <w:sz w:val="20"/>
          <w:szCs w:val="20"/>
        </w:rPr>
        <w:t xml:space="preserve">the mean effect and </w:t>
      </w:r>
      <m:oMath>
        <m:sSub>
          <m:sSubPr>
            <m:ctrlPr>
              <w:rPr>
                <w:rFonts w:ascii="Cambria Math" w:eastAsia="Calibri" w:hAnsi="Cambria Math" w:cs="Arial"/>
                <w:i/>
                <w:sz w:val="20"/>
                <w:szCs w:val="20"/>
              </w:rPr>
            </m:ctrlPr>
          </m:sSubPr>
          <m:e>
            <m:r>
              <w:rPr>
                <w:rFonts w:ascii="Cambria Math" w:eastAsia="Calibri" w:hAnsi="Cambria Math" w:cs="Arial"/>
                <w:sz w:val="20"/>
                <w:szCs w:val="20"/>
              </w:rPr>
              <m:t>Rep</m:t>
            </m:r>
          </m:e>
          <m:sub>
            <m:r>
              <w:rPr>
                <w:rFonts w:ascii="Cambria Math" w:eastAsia="Calibri" w:hAnsi="Cambria Math" w:cs="Arial"/>
                <w:sz w:val="20"/>
                <w:szCs w:val="20"/>
              </w:rPr>
              <m:t>i</m:t>
            </m:r>
          </m:sub>
        </m:sSub>
      </m:oMath>
      <w:r>
        <w:rPr>
          <w:rFonts w:ascii="Arial" w:eastAsia="Calibri" w:hAnsi="Arial" w:cs="Arial"/>
          <w:sz w:val="20"/>
          <w:szCs w:val="20"/>
        </w:rPr>
        <w:t xml:space="preserve"> was the effect of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replicate</w:t>
      </w:r>
      <m:oMath>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Block</m:t>
            </m:r>
          </m:e>
          <m:sub>
            <m:r>
              <w:rPr>
                <w:rFonts w:ascii="Cambria Math" w:eastAsia="Calibri" w:hAnsi="Cambria Math" w:cs="Arial"/>
                <w:sz w:val="20"/>
                <w:szCs w:val="20"/>
              </w:rPr>
              <m:t>j</m:t>
            </m:r>
          </m:sub>
        </m:sSub>
        <m:r>
          <w:rPr>
            <w:rFonts w:ascii="Cambria Math" w:eastAsia="Calibri" w:hAnsi="Cambria Math" w:cs="Arial"/>
            <w:sz w:val="20"/>
            <w:szCs w:val="20"/>
          </w:rPr>
          <m:t xml:space="preserve"> </m:t>
        </m:r>
      </m:oMath>
      <w:r>
        <w:rPr>
          <w:rFonts w:ascii="Arial" w:eastAsia="Calibri" w:hAnsi="Arial" w:cs="Arial"/>
          <w:sz w:val="20"/>
          <w:szCs w:val="20"/>
        </w:rPr>
        <w:t>was the effect of the</w:t>
      </w:r>
      <w:r>
        <w:rPr>
          <w:rFonts w:ascii="Arial" w:eastAsia="Calibri" w:hAnsi="Arial" w:cs="Arial"/>
          <w:i/>
          <w:sz w:val="20"/>
          <w:szCs w:val="20"/>
        </w:rPr>
        <w:t xml:space="preserve"> </w:t>
      </w:r>
      <w:proofErr w:type="spellStart"/>
      <w:r>
        <w:rPr>
          <w:rFonts w:ascii="Arial" w:eastAsia="Calibri" w:hAnsi="Arial" w:cs="Arial"/>
          <w:i/>
          <w:sz w:val="20"/>
          <w:szCs w:val="20"/>
        </w:rPr>
        <w:t>jth</w:t>
      </w:r>
      <w:proofErr w:type="spellEnd"/>
      <w:r>
        <w:rPr>
          <w:rFonts w:ascii="Arial" w:eastAsia="Calibri" w:hAnsi="Arial" w:cs="Arial"/>
          <w:sz w:val="20"/>
          <w:szCs w:val="20"/>
        </w:rPr>
        <w:t xml:space="preserve"> incomplete block within the </w:t>
      </w:r>
      <w:proofErr w:type="spellStart"/>
      <w:r>
        <w:rPr>
          <w:rFonts w:ascii="Arial" w:eastAsia="Calibri" w:hAnsi="Arial" w:cs="Arial"/>
          <w:i/>
          <w:sz w:val="20"/>
          <w:szCs w:val="20"/>
        </w:rPr>
        <w:t>ith</w:t>
      </w:r>
      <w:proofErr w:type="spellEnd"/>
      <w:r>
        <w:rPr>
          <w:rFonts w:ascii="Arial" w:eastAsia="Calibri" w:hAnsi="Arial" w:cs="Arial"/>
          <w:i/>
          <w:sz w:val="20"/>
          <w:szCs w:val="20"/>
        </w:rPr>
        <w:t xml:space="preserve"> </w:t>
      </w:r>
      <w:r>
        <w:rPr>
          <w:rFonts w:ascii="Arial" w:eastAsia="Calibri" w:hAnsi="Arial" w:cs="Arial"/>
          <w:sz w:val="20"/>
          <w:szCs w:val="20"/>
        </w:rPr>
        <w:t xml:space="preserve">replicate, </w:t>
      </w:r>
      <m:oMath>
        <m:sSub>
          <m:sSubPr>
            <m:ctrlPr>
              <w:rPr>
                <w:rFonts w:ascii="Cambria Math" w:eastAsia="Calibri" w:hAnsi="Cambria Math" w:cs="Arial"/>
                <w:i/>
                <w:sz w:val="20"/>
                <w:szCs w:val="20"/>
              </w:rPr>
            </m:ctrlPr>
          </m:sSubPr>
          <m:e>
            <m:r>
              <w:rPr>
                <w:rFonts w:ascii="Cambria Math" w:eastAsia="Calibri" w:hAnsi="Cambria Math" w:cs="Arial"/>
                <w:sz w:val="20"/>
                <w:szCs w:val="20"/>
              </w:rPr>
              <m:t>Gen</m:t>
            </m:r>
          </m:e>
          <m:sub>
            <m:r>
              <w:rPr>
                <w:rFonts w:ascii="Cambria Math" w:eastAsia="Calibri" w:hAnsi="Cambria Math" w:cs="Arial"/>
                <w:sz w:val="20"/>
                <w:szCs w:val="20"/>
              </w:rPr>
              <m:t>k</m:t>
            </m:r>
          </m:sub>
        </m:sSub>
      </m:oMath>
      <w:r>
        <w:rPr>
          <w:rFonts w:ascii="Arial" w:eastAsia="Calibri" w:hAnsi="Arial" w:cs="Arial"/>
          <w:sz w:val="20"/>
          <w:szCs w:val="20"/>
        </w:rPr>
        <w:t xml:space="preserve"> was the effect of the </w:t>
      </w:r>
      <w:r>
        <w:rPr>
          <w:rFonts w:ascii="Arial" w:eastAsia="Calibri" w:hAnsi="Arial" w:cs="Arial"/>
          <w:i/>
          <w:sz w:val="20"/>
          <w:szCs w:val="20"/>
        </w:rPr>
        <w:t>kth</w:t>
      </w:r>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ε</m:t>
            </m:r>
          </m:e>
          <m:sub>
            <m:r>
              <w:rPr>
                <w:rFonts w:ascii="Cambria Math" w:eastAsia="Calibri" w:hAnsi="Cambria Math" w:cs="Arial"/>
                <w:sz w:val="20"/>
                <w:szCs w:val="20"/>
              </w:rPr>
              <m:t>ijk</m:t>
            </m:r>
          </m:sub>
        </m:sSub>
      </m:oMath>
      <w:r>
        <w:rPr>
          <w:rFonts w:ascii="Arial" w:eastAsia="Calibri" w:hAnsi="Arial" w:cs="Arial"/>
          <w:sz w:val="20"/>
          <w:szCs w:val="20"/>
        </w:rPr>
        <w:t xml:space="preserve"> was the error associated with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replication, </w:t>
      </w:r>
      <w:proofErr w:type="spellStart"/>
      <w:r>
        <w:rPr>
          <w:rFonts w:ascii="Arial" w:eastAsia="Calibri" w:hAnsi="Arial" w:cs="Arial"/>
          <w:i/>
          <w:sz w:val="20"/>
          <w:szCs w:val="20"/>
        </w:rPr>
        <w:t>jth</w:t>
      </w:r>
      <w:proofErr w:type="spellEnd"/>
      <w:r>
        <w:rPr>
          <w:rFonts w:ascii="Arial" w:eastAsia="Calibri" w:hAnsi="Arial" w:cs="Arial"/>
          <w:sz w:val="20"/>
          <w:szCs w:val="20"/>
        </w:rPr>
        <w:t xml:space="preserve"> incomplete block and the </w:t>
      </w:r>
      <w:r>
        <w:rPr>
          <w:rFonts w:ascii="Arial" w:eastAsia="Calibri" w:hAnsi="Arial" w:cs="Arial"/>
          <w:i/>
          <w:sz w:val="20"/>
          <w:szCs w:val="20"/>
        </w:rPr>
        <w:t>kth</w:t>
      </w:r>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Env</m:t>
            </m:r>
          </m:e>
          <m:sub>
            <m:r>
              <w:rPr>
                <w:rFonts w:ascii="Cambria Math" w:eastAsia="Calibri" w:hAnsi="Cambria Math" w:cs="Arial"/>
                <w:sz w:val="20"/>
                <w:szCs w:val="20"/>
              </w:rPr>
              <m:t>i</m:t>
            </m:r>
          </m:sub>
        </m:sSub>
      </m:oMath>
      <w:r>
        <w:rPr>
          <w:rFonts w:ascii="Arial" w:eastAsia="Calibri" w:hAnsi="Arial" w:cs="Arial"/>
          <w:sz w:val="20"/>
          <w:szCs w:val="20"/>
        </w:rPr>
        <w:t xml:space="preserve"> and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 xml:space="preserve"> </m:t>
        </m:r>
      </m:oMath>
      <w:r>
        <w:rPr>
          <w:rFonts w:ascii="Arial" w:eastAsia="Calibri" w:hAnsi="Arial" w:cs="Arial"/>
          <w:sz w:val="20"/>
          <w:szCs w:val="20"/>
        </w:rPr>
        <w:t xml:space="preserve">are the effects of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environment and the environment by </w:t>
      </w:r>
      <w:r>
        <w:rPr>
          <w:rFonts w:ascii="Arial" w:eastAsia="Calibri" w:hAnsi="Arial" w:cs="Arial"/>
          <w:sz w:val="20"/>
          <w:szCs w:val="20"/>
        </w:rPr>
        <w:lastRenderedPageBreak/>
        <w:t xml:space="preserve">genotype interaction, respectively. This assumed that the data to was normally and independently distributed with mean zero and homoscedastic variance </w:t>
      </w:r>
      <m:oMath>
        <m:sSup>
          <m:sSupPr>
            <m:ctrlPr>
              <w:rPr>
                <w:rFonts w:ascii="Cambria Math" w:eastAsia="Calibri" w:hAnsi="Cambria Math" w:cs="Arial"/>
                <w:i/>
                <w:sz w:val="20"/>
                <w:szCs w:val="20"/>
              </w:rPr>
            </m:ctrlPr>
          </m:sSupPr>
          <m:e>
            <m:r>
              <w:rPr>
                <w:rFonts w:ascii="Cambria Math" w:eastAsia="Calibri" w:hAnsi="Cambria Math" w:cs="Arial"/>
                <w:sz w:val="20"/>
                <w:szCs w:val="20"/>
              </w:rPr>
              <m:t>σ</m:t>
            </m:r>
          </m:e>
          <m:sup>
            <m:r>
              <w:rPr>
                <w:rFonts w:ascii="Cambria Math" w:eastAsia="Calibri" w:hAnsi="Cambria Math" w:cs="Arial"/>
                <w:sz w:val="20"/>
                <w:szCs w:val="20"/>
              </w:rPr>
              <m:t>2</m:t>
            </m:r>
          </m:sup>
        </m:sSup>
      </m:oMath>
      <w:r>
        <w:rPr>
          <w:rFonts w:ascii="Arial" w:eastAsia="Calibri" w:hAnsi="Arial" w:cs="Arial"/>
          <w:sz w:val="20"/>
          <w:szCs w:val="20"/>
        </w:rPr>
        <w:t xml:space="preserve"> (Alvarado et al, 2020).</w:t>
      </w:r>
    </w:p>
    <w:p w14:paraId="5090B2A3" w14:textId="77777777" w:rsidR="009C34D9" w:rsidRDefault="00735411">
      <w:pPr>
        <w:spacing w:after="0" w:line="480" w:lineRule="auto"/>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following formula was used to compute broad sense heritability across sites:</w:t>
      </w:r>
    </w:p>
    <w:p w14:paraId="5A21E7B0" w14:textId="77777777" w:rsidR="009C34D9" w:rsidRDefault="0080556E">
      <w:pPr>
        <w:spacing w:after="0" w:line="480" w:lineRule="auto"/>
        <w:jc w:val="center"/>
        <w:rPr>
          <w:rFonts w:ascii="Cambria Math" w:eastAsia="Times New Roman" w:hAnsi="Cambria Math" w:cs="Arial"/>
          <w:color w:val="0E101A"/>
          <w:sz w:val="20"/>
          <w:szCs w:val="20"/>
          <w:lang w:eastAsia="en-GB"/>
        </w:rPr>
      </w:pPr>
      <m:oMath>
        <m:sSup>
          <m:sSupPr>
            <m:ctrlPr>
              <w:rPr>
                <w:rFonts w:ascii="Cambria Math" w:eastAsia="Times New Roman" w:hAnsi="Cambria Math" w:cs="Arial"/>
                <w:i/>
                <w:color w:val="0E101A"/>
                <w:sz w:val="20"/>
                <w:szCs w:val="20"/>
                <w:lang w:eastAsia="en-GB"/>
              </w:rPr>
            </m:ctrlPr>
          </m:sSupPr>
          <m:e>
            <m:r>
              <w:rPr>
                <w:rFonts w:ascii="Cambria Math" w:eastAsia="Times New Roman" w:hAnsi="Cambria Math" w:cs="Arial"/>
                <w:color w:val="0E101A"/>
                <w:sz w:val="20"/>
                <w:szCs w:val="20"/>
                <w:lang w:eastAsia="en-GB"/>
              </w:rPr>
              <m:t>h</m:t>
            </m:r>
          </m:e>
          <m:sup>
            <m:r>
              <w:rPr>
                <w:rFonts w:ascii="Cambria Math" w:eastAsia="Times New Roman" w:hAnsi="Cambria Math" w:cs="Arial"/>
                <w:color w:val="0E101A"/>
                <w:sz w:val="20"/>
                <w:szCs w:val="20"/>
                <w:lang w:eastAsia="en-GB"/>
              </w:rPr>
              <m:t>2</m:t>
            </m:r>
          </m:sup>
        </m:sSup>
      </m:oMath>
      <w:r w:rsidR="00735411">
        <w:rPr>
          <w:rFonts w:ascii="Cambria Math" w:eastAsia="Times New Roman" w:hAnsi="Cambria Math" w:cs="Arial"/>
          <w:color w:val="0E101A"/>
          <w:sz w:val="20"/>
          <w:szCs w:val="20"/>
          <w:lang w:eastAsia="en-GB"/>
        </w:rPr>
        <w:t>=</w:t>
      </w:r>
      <m:oMath>
        <m:r>
          <w:rPr>
            <w:rFonts w:ascii="Cambria Math" w:eastAsia="Times New Roman" w:hAnsi="Cambria Math" w:cs="Arial"/>
            <w:color w:val="0E101A"/>
            <w:sz w:val="20"/>
            <w:szCs w:val="20"/>
            <w:lang w:eastAsia="en-GB"/>
          </w:rPr>
          <m:t xml:space="preserve"> </m:t>
        </m:r>
        <m:f>
          <m:fPr>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 xml:space="preserve"> </m:t>
            </m:r>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nEnvs</m:t>
                </m:r>
              </m:den>
            </m:f>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m:t>
                </m:r>
                <m:r>
                  <w:rPr>
                    <w:rFonts w:ascii="Cambria Math" w:eastAsia="Times New Roman" w:hAnsi="Cambria Math" w:cs="Arial"/>
                    <w:color w:val="0E101A"/>
                    <w:sz w:val="20"/>
                    <w:szCs w:val="20"/>
                    <w:lang w:eastAsia="en-GB"/>
                  </w:rPr>
                  <m:t>nEnvs</m:t>
                </m:r>
                <m:r>
                  <w:rPr>
                    <w:rFonts w:ascii="Cambria Math" w:eastAsia="Times New Roman" w:hAnsi="Cambria Math" w:cs="Arial"/>
                    <w:color w:val="0E101A"/>
                    <w:sz w:val="20"/>
                    <w:szCs w:val="20"/>
                    <w:lang w:eastAsia="en-GB"/>
                  </w:rPr>
                  <m:t>×</m:t>
                </m:r>
                <m:r>
                  <w:rPr>
                    <w:rFonts w:ascii="Cambria Math" w:eastAsia="Times New Roman" w:hAnsi="Cambria Math" w:cs="Arial"/>
                    <w:color w:val="0E101A"/>
                    <w:sz w:val="20"/>
                    <w:szCs w:val="20"/>
                    <w:lang w:eastAsia="en-GB"/>
                  </w:rPr>
                  <m:t>nreps</m:t>
                </m:r>
                <m:r>
                  <w:rPr>
                    <w:rFonts w:ascii="Cambria Math" w:eastAsia="Times New Roman" w:hAnsi="Cambria Math" w:cs="Arial"/>
                    <w:color w:val="0E101A"/>
                    <w:sz w:val="20"/>
                    <w:szCs w:val="20"/>
                    <w:lang w:eastAsia="en-GB"/>
                  </w:rPr>
                  <m:t>)</m:t>
                </m:r>
              </m:den>
            </m:f>
          </m:den>
        </m:f>
      </m:oMath>
    </w:p>
    <w:p w14:paraId="61C227EC"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and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represents the components of genotype and error variance, respectively, </w:t>
      </w:r>
      <w:proofErr w:type="spellStart"/>
      <w:r>
        <w:rPr>
          <w:rFonts w:ascii="Arial" w:eastAsia="Times New Roman" w:hAnsi="Arial" w:cs="Arial"/>
          <w:i/>
          <w:color w:val="0E101A"/>
          <w:sz w:val="20"/>
          <w:szCs w:val="20"/>
          <w:lang w:eastAsia="en-GB"/>
        </w:rPr>
        <w:t>nreps</w:t>
      </w:r>
      <w:proofErr w:type="spellEnd"/>
      <w:r>
        <w:rPr>
          <w:rFonts w:ascii="Arial" w:eastAsia="Times New Roman" w:hAnsi="Arial" w:cs="Arial"/>
          <w:color w:val="0E101A"/>
          <w:sz w:val="20"/>
          <w:szCs w:val="20"/>
          <w:lang w:eastAsia="en-GB"/>
        </w:rPr>
        <w:t xml:space="preserve"> are the total number of replicates,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 xml:space="preserve"> </m:t>
        </m:r>
      </m:oMath>
      <w:r>
        <w:rPr>
          <w:rFonts w:ascii="Arial" w:eastAsia="Times New Roman" w:hAnsi="Arial" w:cs="Arial"/>
          <w:color w:val="0E101A"/>
          <w:sz w:val="20"/>
          <w:szCs w:val="20"/>
          <w:lang w:eastAsia="en-GB"/>
        </w:rPr>
        <w:t xml:space="preserve">was the variance component resulting from the genotype by environment interaction and </w:t>
      </w:r>
      <w:proofErr w:type="spellStart"/>
      <w:r>
        <w:rPr>
          <w:rFonts w:ascii="Arial" w:eastAsia="Times New Roman" w:hAnsi="Arial" w:cs="Arial"/>
          <w:i/>
          <w:color w:val="0E101A"/>
          <w:sz w:val="20"/>
          <w:szCs w:val="20"/>
          <w:lang w:eastAsia="en-GB"/>
        </w:rPr>
        <w:t>nEnvs</w:t>
      </w:r>
      <w:proofErr w:type="spellEnd"/>
      <w:r>
        <w:rPr>
          <w:rFonts w:ascii="Arial" w:eastAsia="Times New Roman" w:hAnsi="Arial" w:cs="Arial"/>
          <w:color w:val="0E101A"/>
          <w:sz w:val="20"/>
          <w:szCs w:val="20"/>
          <w:lang w:eastAsia="en-GB"/>
        </w:rPr>
        <w:t xml:space="preserve"> was the number of environments </w:t>
      </w:r>
      <w:proofErr w:type="gramStart"/>
      <w:r>
        <w:rPr>
          <w:rFonts w:ascii="Arial" w:eastAsia="Times New Roman" w:hAnsi="Arial" w:cs="Arial"/>
          <w:color w:val="0E101A"/>
          <w:sz w:val="20"/>
          <w:szCs w:val="20"/>
          <w:lang w:eastAsia="en-GB"/>
        </w:rPr>
        <w:t>included  in</w:t>
      </w:r>
      <w:proofErr w:type="gramEnd"/>
      <w:r>
        <w:rPr>
          <w:rFonts w:ascii="Arial" w:eastAsia="Times New Roman" w:hAnsi="Arial" w:cs="Arial"/>
          <w:color w:val="0E101A"/>
          <w:sz w:val="20"/>
          <w:szCs w:val="20"/>
          <w:lang w:eastAsia="en-GB"/>
        </w:rPr>
        <w:t xml:space="preserve"> the analysis (Alvarado et al., 2020). </w:t>
      </w:r>
    </w:p>
    <w:p w14:paraId="70827288"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Variability comparisons between genotypes were made using the least squared differences (LSD) at a 5% confidence level whereas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for the different traits was calculated as the ratio of the estimated genotypic variance to the estimated phenotypic variance (Knapp et al., 1985; Liu et al., 2016). The formula below was used to find the coefficient of variation.</w:t>
      </w:r>
    </w:p>
    <w:p w14:paraId="5770B787" w14:textId="77777777" w:rsidR="009C34D9" w:rsidRDefault="00735411">
      <w:pPr>
        <w:spacing w:after="0" w:line="480" w:lineRule="auto"/>
        <w:jc w:val="both"/>
        <w:rPr>
          <w:rFonts w:ascii="Arial" w:eastAsia="Times New Roman" w:hAnsi="Arial" w:cs="Arial"/>
          <w:color w:val="0E101A"/>
          <w:sz w:val="20"/>
          <w:szCs w:val="20"/>
          <w:lang w:eastAsia="en-GB"/>
        </w:rPr>
      </w:pPr>
      <m:oMathPara>
        <m:oMath>
          <m:r>
            <w:rPr>
              <w:rFonts w:ascii="Cambria Math" w:eastAsia="Times New Roman" w:hAnsi="Cambria Math" w:cs="Arial"/>
              <w:color w:val="0E101A"/>
              <w:sz w:val="20"/>
              <w:szCs w:val="20"/>
              <w:lang w:eastAsia="en-GB"/>
            </w:rPr>
            <m:t>CV=</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ad>
                    <m:radPr>
                      <m:degHide m:val="1"/>
                      <m:ctrlPr>
                        <w:rPr>
                          <w:rFonts w:ascii="Cambria Math" w:eastAsia="Times New Roman" w:hAnsi="Cambria Math" w:cs="Arial"/>
                          <w:i/>
                          <w:color w:val="0E101A"/>
                          <w:sz w:val="20"/>
                          <w:szCs w:val="20"/>
                          <w:lang w:eastAsia="en-GB"/>
                        </w:rPr>
                      </m:ctrlPr>
                    </m:radPr>
                    <m:deg/>
                    <m:e>
                      <m:r>
                        <w:rPr>
                          <w:rFonts w:ascii="Cambria Math" w:eastAsia="Times New Roman" w:hAnsi="Cambria Math" w:cs="Arial"/>
                          <w:color w:val="0E101A"/>
                          <w:sz w:val="20"/>
                          <w:szCs w:val="20"/>
                          <w:lang w:eastAsia="en-GB"/>
                        </w:rPr>
                        <m:t>MSE</m:t>
                      </m:r>
                    </m:e>
                  </m:rad>
                </m:num>
                <m:den>
                  <m:r>
                    <w:rPr>
                      <w:rFonts w:ascii="Cambria Math" w:eastAsia="Times New Roman" w:hAnsi="Cambria Math" w:cs="Arial"/>
                      <w:color w:val="0E101A"/>
                      <w:sz w:val="20"/>
                      <w:szCs w:val="20"/>
                      <w:lang w:eastAsia="en-GB"/>
                    </w:rPr>
                    <m:t>grand mean</m:t>
                  </m:r>
                </m:den>
              </m:f>
            </m:e>
          </m:d>
          <m:r>
            <w:rPr>
              <w:rFonts w:ascii="Cambria Math" w:eastAsia="Times New Roman" w:hAnsi="Cambria Math" w:cs="Arial"/>
              <w:color w:val="0E101A"/>
              <w:sz w:val="20"/>
              <w:szCs w:val="20"/>
              <w:lang w:eastAsia="en-GB"/>
            </w:rPr>
            <m:t>×100</m:t>
          </m:r>
        </m:oMath>
      </m:oMathPara>
    </w:p>
    <w:p w14:paraId="1A3D9415" w14:textId="77777777" w:rsidR="009C34D9" w:rsidRDefault="00735411">
      <w:pPr>
        <w:spacing w:after="0" w:line="480" w:lineRule="auto"/>
        <w:jc w:val="both"/>
        <w:rPr>
          <w:rFonts w:ascii="Arial" w:hAnsi="Arial" w:cs="Arial"/>
          <w:sz w:val="20"/>
          <w:szCs w:val="20"/>
        </w:rPr>
      </w:pPr>
      <w:r>
        <w:rPr>
          <w:rFonts w:ascii="Arial" w:hAnsi="Arial" w:cs="Arial"/>
          <w:sz w:val="20"/>
          <w:szCs w:val="20"/>
        </w:rPr>
        <w:t>Simple Pearson correlations were used to identify phenotypic relationships between traits (Pearson, K. 1920). BLUEs from individual and across sites were used to compute the phenotypic correlation matrices with assigned significance levels using the R package ‘</w:t>
      </w:r>
      <w:proofErr w:type="spellStart"/>
      <w:r>
        <w:rPr>
          <w:rFonts w:ascii="Arial" w:hAnsi="Arial" w:cs="Arial"/>
          <w:sz w:val="20"/>
          <w:szCs w:val="20"/>
        </w:rPr>
        <w:t>corrplot</w:t>
      </w:r>
      <w:proofErr w:type="spellEnd"/>
      <w:r>
        <w:rPr>
          <w:rFonts w:ascii="Arial" w:hAnsi="Arial" w:cs="Arial"/>
          <w:sz w:val="20"/>
          <w:szCs w:val="20"/>
        </w:rPr>
        <w:t xml:space="preserve">’, (Wei &amp; </w:t>
      </w:r>
      <w:proofErr w:type="spellStart"/>
      <w:r>
        <w:rPr>
          <w:rFonts w:ascii="Arial" w:hAnsi="Arial" w:cs="Arial"/>
          <w:sz w:val="20"/>
          <w:szCs w:val="20"/>
        </w:rPr>
        <w:t>Simko</w:t>
      </w:r>
      <w:proofErr w:type="spellEnd"/>
      <w:r>
        <w:rPr>
          <w:rFonts w:ascii="Arial" w:hAnsi="Arial" w:cs="Arial"/>
          <w:sz w:val="20"/>
          <w:szCs w:val="20"/>
        </w:rPr>
        <w:t>, 2024).</w:t>
      </w:r>
    </w:p>
    <w:p w14:paraId="47669B88" w14:textId="77777777" w:rsidR="009C34D9" w:rsidRDefault="009C34D9">
      <w:pPr>
        <w:spacing w:after="0" w:line="480" w:lineRule="auto"/>
        <w:jc w:val="both"/>
        <w:rPr>
          <w:rFonts w:ascii="Arial" w:hAnsi="Arial" w:cs="Arial"/>
          <w:sz w:val="20"/>
          <w:szCs w:val="20"/>
        </w:rPr>
      </w:pPr>
    </w:p>
    <w:p w14:paraId="46698932" w14:textId="77777777" w:rsidR="009C34D9" w:rsidRDefault="00735411">
      <w:pPr>
        <w:pStyle w:val="ListParagraph"/>
        <w:numPr>
          <w:ilvl w:val="0"/>
          <w:numId w:val="3"/>
        </w:numPr>
        <w:spacing w:after="0" w:line="480" w:lineRule="auto"/>
        <w:rPr>
          <w:rFonts w:ascii="Arial" w:eastAsia="Times New Roman" w:hAnsi="Arial" w:cs="Arial"/>
          <w:b/>
          <w:color w:val="0E101A"/>
          <w:lang w:eastAsia="en-GB"/>
        </w:rPr>
      </w:pPr>
      <w:r>
        <w:rPr>
          <w:rFonts w:ascii="Arial" w:eastAsia="Times New Roman" w:hAnsi="Arial" w:cs="Arial"/>
          <w:b/>
          <w:bCs/>
          <w:color w:val="0E101A"/>
          <w:lang w:eastAsia="en-GB"/>
        </w:rPr>
        <w:t>Results</w:t>
      </w:r>
    </w:p>
    <w:p w14:paraId="59C1265E"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3.1 Hybrid performance and heritability across the three testing locations.</w:t>
      </w:r>
    </w:p>
    <w:p w14:paraId="61E9D0DE" w14:textId="77777777" w:rsidR="009C34D9" w:rsidRDefault="00735411">
      <w:pPr>
        <w:spacing w:line="480" w:lineRule="auto"/>
        <w:jc w:val="both"/>
        <w:rPr>
          <w:rFonts w:ascii="Arial" w:hAnsi="Arial" w:cs="Arial"/>
          <w:sz w:val="20"/>
          <w:szCs w:val="20"/>
          <w:lang w:eastAsia="en-GB"/>
        </w:rPr>
      </w:pPr>
      <w:r>
        <w:rPr>
          <w:rFonts w:ascii="Arial" w:hAnsi="Arial" w:cs="Arial"/>
          <w:sz w:val="20"/>
          <w:szCs w:val="20"/>
          <w:lang w:eastAsia="en-GB"/>
        </w:rPr>
        <w:t>All studied traits showed highly significant (</w:t>
      </w:r>
      <w:r>
        <w:rPr>
          <w:rFonts w:ascii="Arial" w:hAnsi="Arial" w:cs="Arial"/>
          <w:i/>
          <w:sz w:val="20"/>
          <w:szCs w:val="20"/>
          <w:lang w:eastAsia="en-GB"/>
        </w:rPr>
        <w:t>p</w:t>
      </w:r>
      <w:r>
        <w:rPr>
          <w:rFonts w:ascii="Arial" w:hAnsi="Arial" w:cs="Arial"/>
          <w:sz w:val="20"/>
          <w:szCs w:val="20"/>
          <w:lang w:eastAsia="en-GB"/>
        </w:rPr>
        <w:t xml:space="preserve">=0.001) genotypic variance whereas G×E variance </w:t>
      </w:r>
      <w:r w:rsidR="0095705E">
        <w:rPr>
          <w:rFonts w:ascii="Arial" w:hAnsi="Arial" w:cs="Arial"/>
          <w:sz w:val="20"/>
          <w:szCs w:val="20"/>
          <w:lang w:eastAsia="en-GB"/>
        </w:rPr>
        <w:t>was significant</w:t>
      </w:r>
      <w:r>
        <w:rPr>
          <w:rFonts w:ascii="Arial" w:hAnsi="Arial" w:cs="Arial"/>
          <w:sz w:val="20"/>
          <w:szCs w:val="20"/>
          <w:lang w:eastAsia="en-GB"/>
        </w:rPr>
        <w:t xml:space="preserve"> (</w:t>
      </w:r>
      <w:r>
        <w:rPr>
          <w:rFonts w:ascii="Arial" w:hAnsi="Arial" w:cs="Arial"/>
          <w:i/>
          <w:sz w:val="20"/>
          <w:szCs w:val="20"/>
          <w:lang w:eastAsia="en-GB"/>
        </w:rPr>
        <w:t>p</w:t>
      </w:r>
      <w:r>
        <w:rPr>
          <w:rFonts w:ascii="Arial" w:hAnsi="Arial" w:cs="Arial"/>
          <w:sz w:val="20"/>
          <w:szCs w:val="20"/>
          <w:lang w:eastAsia="en-GB"/>
        </w:rPr>
        <w:t xml:space="preserve">=0.05) for all traits except plant height which did not show </w:t>
      </w:r>
      <w:r w:rsidR="007C5CBC">
        <w:rPr>
          <w:rFonts w:ascii="Arial" w:hAnsi="Arial" w:cs="Arial"/>
          <w:sz w:val="20"/>
          <w:szCs w:val="20"/>
          <w:lang w:eastAsia="en-GB"/>
        </w:rPr>
        <w:t>significant</w:t>
      </w:r>
      <w:r>
        <w:rPr>
          <w:rFonts w:ascii="Arial" w:hAnsi="Arial" w:cs="Arial"/>
          <w:sz w:val="20"/>
          <w:szCs w:val="20"/>
          <w:lang w:val="en-US" w:eastAsia="en-GB"/>
        </w:rPr>
        <w:t xml:space="preserve"> </w:t>
      </w:r>
      <w:r w:rsidR="007C5CBC">
        <w:rPr>
          <w:rFonts w:ascii="Arial" w:hAnsi="Arial" w:cs="Arial"/>
          <w:sz w:val="20"/>
          <w:szCs w:val="20"/>
          <w:lang w:val="en-US" w:eastAsia="en-GB"/>
        </w:rPr>
        <w:t xml:space="preserve">differences </w:t>
      </w:r>
      <w:r w:rsidR="007C5CBC">
        <w:rPr>
          <w:rFonts w:ascii="Arial" w:hAnsi="Arial" w:cs="Arial"/>
          <w:sz w:val="20"/>
          <w:szCs w:val="20"/>
          <w:lang w:eastAsia="en-GB"/>
        </w:rPr>
        <w:t>(</w:t>
      </w:r>
      <w:r>
        <w:rPr>
          <w:rFonts w:ascii="Arial" w:hAnsi="Arial" w:cs="Arial"/>
          <w:sz w:val="20"/>
          <w:szCs w:val="20"/>
          <w:lang w:eastAsia="en-GB"/>
        </w:rPr>
        <w:t xml:space="preserve">Table 4). </w:t>
      </w:r>
      <w:proofErr w:type="spellStart"/>
      <w:r>
        <w:rPr>
          <w:rFonts w:ascii="Arial" w:hAnsi="Arial" w:cs="Arial"/>
          <w:sz w:val="20"/>
          <w:szCs w:val="20"/>
          <w:lang w:eastAsia="en-GB"/>
        </w:rPr>
        <w:t>Chorlim</w:t>
      </w:r>
      <w:proofErr w:type="spellEnd"/>
      <w:r>
        <w:rPr>
          <w:rFonts w:ascii="Arial" w:hAnsi="Arial" w:cs="Arial"/>
          <w:sz w:val="20"/>
          <w:szCs w:val="20"/>
          <w:lang w:eastAsia="en-GB"/>
        </w:rPr>
        <w:t xml:space="preserve"> had the highest means for grain yield whereas </w:t>
      </w:r>
      <w:proofErr w:type="spellStart"/>
      <w:r>
        <w:rPr>
          <w:rFonts w:ascii="Arial" w:hAnsi="Arial" w:cs="Arial"/>
          <w:sz w:val="20"/>
          <w:szCs w:val="20"/>
          <w:lang w:eastAsia="en-GB"/>
        </w:rPr>
        <w:t>Shikusa</w:t>
      </w:r>
      <w:proofErr w:type="spellEnd"/>
      <w:r>
        <w:rPr>
          <w:rFonts w:ascii="Arial" w:hAnsi="Arial" w:cs="Arial"/>
          <w:sz w:val="20"/>
          <w:szCs w:val="20"/>
          <w:lang w:eastAsia="en-GB"/>
        </w:rPr>
        <w:t xml:space="preserve"> had the l</w:t>
      </w:r>
      <w:proofErr w:type="spellStart"/>
      <w:r>
        <w:rPr>
          <w:rFonts w:ascii="Arial" w:hAnsi="Arial" w:cs="Arial"/>
          <w:sz w:val="20"/>
          <w:szCs w:val="20"/>
          <w:lang w:val="en-US" w:eastAsia="en-GB"/>
        </w:rPr>
        <w:t>owest</w:t>
      </w:r>
      <w:proofErr w:type="spellEnd"/>
      <w:r>
        <w:rPr>
          <w:rFonts w:ascii="Arial" w:hAnsi="Arial" w:cs="Arial"/>
          <w:sz w:val="20"/>
          <w:szCs w:val="20"/>
          <w:lang w:val="en-US" w:eastAsia="en-GB"/>
        </w:rPr>
        <w:t xml:space="preserve"> </w:t>
      </w:r>
      <w:r>
        <w:rPr>
          <w:rFonts w:ascii="Arial" w:hAnsi="Arial" w:cs="Arial"/>
          <w:sz w:val="20"/>
          <w:szCs w:val="20"/>
          <w:lang w:eastAsia="en-GB"/>
        </w:rPr>
        <w:t>means for the same. Across</w:t>
      </w:r>
      <w:r>
        <w:rPr>
          <w:rFonts w:ascii="Arial" w:hAnsi="Arial" w:cs="Arial"/>
          <w:sz w:val="20"/>
          <w:szCs w:val="20"/>
          <w:lang w:val="en-US" w:eastAsia="en-GB"/>
        </w:rPr>
        <w:t xml:space="preserve"> all the</w:t>
      </w:r>
      <w:r>
        <w:rPr>
          <w:rFonts w:ascii="Arial" w:hAnsi="Arial" w:cs="Arial"/>
          <w:sz w:val="20"/>
          <w:szCs w:val="20"/>
          <w:lang w:eastAsia="en-GB"/>
        </w:rPr>
        <w:t xml:space="preserve"> sites mean</w:t>
      </w:r>
      <w:r>
        <w:rPr>
          <w:rFonts w:ascii="Arial" w:hAnsi="Arial" w:cs="Arial"/>
          <w:sz w:val="20"/>
          <w:szCs w:val="20"/>
          <w:lang w:val="en-US" w:eastAsia="en-GB"/>
        </w:rPr>
        <w:t xml:space="preserve"> </w:t>
      </w:r>
      <w:r w:rsidR="0095705E">
        <w:rPr>
          <w:rFonts w:ascii="Arial" w:hAnsi="Arial" w:cs="Arial"/>
          <w:sz w:val="20"/>
          <w:szCs w:val="20"/>
          <w:lang w:eastAsia="en-GB"/>
        </w:rPr>
        <w:t>analysis for</w:t>
      </w:r>
      <w:r>
        <w:rPr>
          <w:rFonts w:ascii="Arial" w:hAnsi="Arial" w:cs="Arial"/>
          <w:sz w:val="20"/>
          <w:szCs w:val="20"/>
          <w:lang w:eastAsia="en-GB"/>
        </w:rPr>
        <w:t xml:space="preserve"> grain yield ranged between 2.8T/Ha and 12.4T/Ha with an across sites mean of 9.0/Ha (Table 5)</w:t>
      </w:r>
      <w:r w:rsidR="007C5CBC">
        <w:rPr>
          <w:rFonts w:ascii="Arial" w:hAnsi="Arial" w:cs="Arial"/>
          <w:sz w:val="20"/>
          <w:szCs w:val="20"/>
          <w:lang w:eastAsia="en-GB"/>
        </w:rPr>
        <w:t>. The test cross</w:t>
      </w:r>
      <w:r w:rsidR="007C5CBC" w:rsidRPr="007C5CBC">
        <w:rPr>
          <w:rFonts w:ascii="Arial" w:eastAsia="Times New Roman" w:hAnsi="Arial" w:cs="Arial"/>
          <w:color w:val="000000"/>
          <w:sz w:val="20"/>
          <w:szCs w:val="20"/>
          <w:lang w:eastAsia="en-GB"/>
        </w:rPr>
        <w:t xml:space="preserve"> </w:t>
      </w:r>
      <w:r w:rsidR="007C5CBC">
        <w:rPr>
          <w:rFonts w:ascii="Arial" w:eastAsia="Times New Roman" w:hAnsi="Arial" w:cs="Arial"/>
          <w:color w:val="000000"/>
          <w:sz w:val="20"/>
          <w:szCs w:val="20"/>
          <w:lang w:eastAsia="en-GB"/>
        </w:rPr>
        <w:t>L45×TA had the highest mean for grain yield across the study locations at 12.4T/Ha</w:t>
      </w:r>
      <w:r>
        <w:rPr>
          <w:rFonts w:ascii="Arial" w:hAnsi="Arial" w:cs="Arial"/>
          <w:sz w:val="20"/>
          <w:szCs w:val="20"/>
          <w:lang w:eastAsia="en-GB"/>
        </w:rPr>
        <w:t xml:space="preserve">. Hybrids in the study flowered earliest at </w:t>
      </w:r>
      <w:proofErr w:type="spellStart"/>
      <w:r>
        <w:rPr>
          <w:rFonts w:ascii="Arial" w:hAnsi="Arial" w:cs="Arial"/>
          <w:sz w:val="20"/>
          <w:szCs w:val="20"/>
          <w:lang w:eastAsia="en-GB"/>
        </w:rPr>
        <w:t>Mabanga</w:t>
      </w:r>
      <w:proofErr w:type="spellEnd"/>
      <w:r>
        <w:rPr>
          <w:rFonts w:ascii="Arial" w:hAnsi="Arial" w:cs="Arial"/>
          <w:sz w:val="20"/>
          <w:szCs w:val="20"/>
          <w:lang w:eastAsia="en-GB"/>
        </w:rPr>
        <w:t xml:space="preserve"> then </w:t>
      </w:r>
      <w:proofErr w:type="spellStart"/>
      <w:r>
        <w:rPr>
          <w:rFonts w:ascii="Arial" w:hAnsi="Arial" w:cs="Arial"/>
          <w:sz w:val="20"/>
          <w:szCs w:val="20"/>
          <w:lang w:eastAsia="en-GB"/>
        </w:rPr>
        <w:t>Shikusa</w:t>
      </w:r>
      <w:proofErr w:type="spellEnd"/>
      <w:r>
        <w:rPr>
          <w:rFonts w:ascii="Arial" w:hAnsi="Arial" w:cs="Arial"/>
          <w:sz w:val="20"/>
          <w:szCs w:val="20"/>
          <w:lang w:eastAsia="en-GB"/>
        </w:rPr>
        <w:t xml:space="preserve"> and latest at </w:t>
      </w:r>
      <w:proofErr w:type="spellStart"/>
      <w:r>
        <w:rPr>
          <w:rFonts w:ascii="Arial" w:hAnsi="Arial" w:cs="Arial"/>
          <w:sz w:val="20"/>
          <w:szCs w:val="20"/>
          <w:lang w:eastAsia="en-GB"/>
        </w:rPr>
        <w:t>Chorlim</w:t>
      </w:r>
      <w:proofErr w:type="spellEnd"/>
      <w:r>
        <w:rPr>
          <w:rFonts w:ascii="Arial" w:hAnsi="Arial" w:cs="Arial"/>
          <w:sz w:val="20"/>
          <w:szCs w:val="20"/>
          <w:lang w:eastAsia="en-GB"/>
        </w:rPr>
        <w:t xml:space="preserve"> (Fig.1). Across the sites days to 50% anthesis ranged between 69 days and 80 days with an across site mean for days to 50% anthesis of 74 days (Table 4).</w:t>
      </w:r>
    </w:p>
    <w:p w14:paraId="61FEC3FD"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lastRenderedPageBreak/>
        <w:t xml:space="preserve">Plant height and ear height of the test hybrids varied significantly across the testing locations, with the highest mean values recorded at </w:t>
      </w:r>
      <w:proofErr w:type="spellStart"/>
      <w:r w:rsidRPr="000B034A">
        <w:rPr>
          <w:rFonts w:ascii="Arial" w:hAnsi="Arial" w:cs="Arial"/>
          <w:sz w:val="20"/>
          <w:szCs w:val="20"/>
          <w:lang w:eastAsia="en-GB"/>
        </w:rPr>
        <w:t>Chorlim</w:t>
      </w:r>
      <w:proofErr w:type="spellEnd"/>
      <w:r w:rsidRPr="000B034A">
        <w:rPr>
          <w:rFonts w:ascii="Arial" w:hAnsi="Arial" w:cs="Arial"/>
          <w:sz w:val="20"/>
          <w:szCs w:val="20"/>
          <w:lang w:eastAsia="en-GB"/>
        </w:rPr>
        <w:t xml:space="preserve"> and the lowest at Mabanga (Fig. 1). Across sites, plant height averaged 236.2 cm, ranging from 176.5 cm (shortest) to 267.5 cm (tallest). Ear height ranged from 69.7 cm to 142.8 cm, with a mean of 110.5 cm across locations.</w:t>
      </w:r>
    </w:p>
    <w:p w14:paraId="05B1BDF8"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 xml:space="preserve">Husk cover and ear rot also recorded their highest mean values at </w:t>
      </w:r>
      <w:proofErr w:type="spellStart"/>
      <w:r w:rsidRPr="000B034A">
        <w:rPr>
          <w:rFonts w:ascii="Arial" w:hAnsi="Arial" w:cs="Arial"/>
          <w:sz w:val="20"/>
          <w:szCs w:val="20"/>
          <w:lang w:eastAsia="en-GB"/>
        </w:rPr>
        <w:t>Chorlim</w:t>
      </w:r>
      <w:proofErr w:type="spellEnd"/>
      <w:r w:rsidRPr="000B034A">
        <w:rPr>
          <w:rFonts w:ascii="Arial" w:hAnsi="Arial" w:cs="Arial"/>
          <w:sz w:val="20"/>
          <w:szCs w:val="20"/>
          <w:lang w:eastAsia="en-GB"/>
        </w:rPr>
        <w:t xml:space="preserve">. The lowest mean for husk cover was observed at </w:t>
      </w:r>
      <w:proofErr w:type="spellStart"/>
      <w:r w:rsidRPr="000B034A">
        <w:rPr>
          <w:rFonts w:ascii="Arial" w:hAnsi="Arial" w:cs="Arial"/>
          <w:sz w:val="20"/>
          <w:szCs w:val="20"/>
          <w:lang w:eastAsia="en-GB"/>
        </w:rPr>
        <w:t>Shikusa</w:t>
      </w:r>
      <w:proofErr w:type="spellEnd"/>
      <w:r w:rsidRPr="000B034A">
        <w:rPr>
          <w:rFonts w:ascii="Arial" w:hAnsi="Arial" w:cs="Arial"/>
          <w:sz w:val="20"/>
          <w:szCs w:val="20"/>
          <w:lang w:eastAsia="en-GB"/>
        </w:rPr>
        <w:t xml:space="preserve">, while </w:t>
      </w:r>
      <w:proofErr w:type="spellStart"/>
      <w:r w:rsidRPr="000B034A">
        <w:rPr>
          <w:rFonts w:ascii="Arial" w:hAnsi="Arial" w:cs="Arial"/>
          <w:sz w:val="20"/>
          <w:szCs w:val="20"/>
          <w:lang w:eastAsia="en-GB"/>
        </w:rPr>
        <w:t>Mabanga</w:t>
      </w:r>
      <w:proofErr w:type="spellEnd"/>
      <w:r w:rsidRPr="000B034A">
        <w:rPr>
          <w:rFonts w:ascii="Arial" w:hAnsi="Arial" w:cs="Arial"/>
          <w:sz w:val="20"/>
          <w:szCs w:val="20"/>
          <w:lang w:eastAsia="en-GB"/>
        </w:rPr>
        <w:t xml:space="preserve"> had the lowest mean for ear rot (Fig. 1).</w:t>
      </w:r>
    </w:p>
    <w:p w14:paraId="0ED18CA4"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Foliar disease severity scores, measured on a 1–5 scale, showed that Grey Leaf Spot (GLS) ranged from 1.84 to 4.7 with an overall mean of 2.70, while Northern Leaf Blight (NLB) ranged from 2.0 to 3.5 with a mean of 2.59 across sites.</w:t>
      </w:r>
    </w:p>
    <w:p w14:paraId="180D363D" w14:textId="77777777" w:rsidR="009C34D9" w:rsidRDefault="00735411">
      <w:pPr>
        <w:spacing w:line="480" w:lineRule="auto"/>
        <w:jc w:val="both"/>
        <w:rPr>
          <w:rFonts w:ascii="Arial" w:hAnsi="Arial" w:cs="Arial"/>
          <w:sz w:val="20"/>
          <w:szCs w:val="20"/>
          <w:lang w:eastAsia="en-GB"/>
        </w:rPr>
      </w:pPr>
      <w:r>
        <w:rPr>
          <w:rFonts w:ascii="Arial" w:hAnsi="Arial" w:cs="Arial"/>
          <w:sz w:val="20"/>
          <w:szCs w:val="20"/>
          <w:lang w:eastAsia="en-GB"/>
        </w:rPr>
        <w:t>Means for ear aspect and plant aspect for the hybrids across the testing sites were 2.62 and 2.61 respectively (Table 4).</w:t>
      </w:r>
    </w:p>
    <w:p w14:paraId="4DE680A6" w14:textId="77777777" w:rsidR="009C34D9" w:rsidRDefault="009C34D9">
      <w:pPr>
        <w:spacing w:after="0" w:line="480" w:lineRule="auto"/>
        <w:rPr>
          <w:rFonts w:ascii="Arial" w:eastAsia="Times New Roman" w:hAnsi="Arial" w:cs="Arial"/>
          <w:b/>
          <w:color w:val="000000"/>
          <w:sz w:val="20"/>
          <w:szCs w:val="20"/>
          <w:lang w:eastAsia="en-GB"/>
        </w:rPr>
      </w:pPr>
    </w:p>
    <w:p w14:paraId="1EE24CE1" w14:textId="77777777" w:rsidR="009C34D9" w:rsidRDefault="009C34D9">
      <w:pPr>
        <w:spacing w:after="0" w:line="480" w:lineRule="auto"/>
        <w:rPr>
          <w:rFonts w:ascii="Arial" w:eastAsia="Times New Roman" w:hAnsi="Arial" w:cs="Arial"/>
          <w:b/>
          <w:color w:val="000000"/>
          <w:sz w:val="20"/>
          <w:szCs w:val="20"/>
          <w:lang w:eastAsia="en-GB"/>
        </w:rPr>
      </w:pPr>
    </w:p>
    <w:p w14:paraId="6AAC0EC8" w14:textId="77777777" w:rsidR="009C34D9" w:rsidRDefault="009C34D9">
      <w:pPr>
        <w:spacing w:after="0" w:line="480" w:lineRule="auto"/>
        <w:rPr>
          <w:rFonts w:ascii="Arial" w:eastAsia="Times New Roman" w:hAnsi="Arial" w:cs="Arial"/>
          <w:b/>
          <w:color w:val="000000"/>
          <w:sz w:val="20"/>
          <w:szCs w:val="20"/>
          <w:lang w:eastAsia="en-GB"/>
        </w:rPr>
      </w:pPr>
    </w:p>
    <w:p w14:paraId="65BFED97" w14:textId="77777777" w:rsidR="009C34D9" w:rsidRDefault="009C34D9">
      <w:pPr>
        <w:spacing w:after="0" w:line="480" w:lineRule="auto"/>
        <w:rPr>
          <w:rFonts w:ascii="Arial" w:eastAsia="Times New Roman" w:hAnsi="Arial" w:cs="Arial"/>
          <w:b/>
          <w:color w:val="000000"/>
          <w:sz w:val="20"/>
          <w:szCs w:val="20"/>
          <w:lang w:eastAsia="en-GB"/>
        </w:rPr>
      </w:pPr>
    </w:p>
    <w:p w14:paraId="0F0A9905" w14:textId="77777777" w:rsidR="009C34D9" w:rsidRDefault="009C34D9">
      <w:pPr>
        <w:spacing w:after="0" w:line="480" w:lineRule="auto"/>
        <w:rPr>
          <w:rFonts w:ascii="Arial" w:eastAsia="Times New Roman" w:hAnsi="Arial" w:cs="Arial"/>
          <w:b/>
          <w:color w:val="000000"/>
          <w:sz w:val="20"/>
          <w:szCs w:val="20"/>
          <w:lang w:eastAsia="en-GB"/>
        </w:rPr>
      </w:pPr>
    </w:p>
    <w:p w14:paraId="249CFC28" w14:textId="77777777" w:rsidR="009C34D9" w:rsidRDefault="009C34D9">
      <w:pPr>
        <w:spacing w:after="0" w:line="480" w:lineRule="auto"/>
        <w:rPr>
          <w:rFonts w:ascii="Arial" w:eastAsia="Times New Roman" w:hAnsi="Arial" w:cs="Arial"/>
          <w:b/>
          <w:color w:val="000000"/>
          <w:sz w:val="20"/>
          <w:szCs w:val="20"/>
          <w:lang w:eastAsia="en-GB"/>
        </w:rPr>
      </w:pPr>
    </w:p>
    <w:p w14:paraId="35824BDF" w14:textId="77777777" w:rsidR="009C34D9" w:rsidRDefault="009C34D9">
      <w:pPr>
        <w:spacing w:after="0" w:line="480" w:lineRule="auto"/>
        <w:rPr>
          <w:rFonts w:ascii="Arial" w:eastAsia="Times New Roman" w:hAnsi="Arial" w:cs="Arial"/>
          <w:b/>
          <w:color w:val="000000"/>
          <w:sz w:val="20"/>
          <w:szCs w:val="20"/>
          <w:lang w:eastAsia="en-GB"/>
        </w:rPr>
      </w:pPr>
    </w:p>
    <w:p w14:paraId="62A56C79" w14:textId="77777777" w:rsidR="009C34D9" w:rsidRDefault="009C34D9">
      <w:pPr>
        <w:spacing w:after="0" w:line="480" w:lineRule="auto"/>
        <w:rPr>
          <w:rFonts w:ascii="Arial" w:eastAsia="Times New Roman" w:hAnsi="Arial" w:cs="Arial"/>
          <w:b/>
          <w:color w:val="000000"/>
          <w:sz w:val="20"/>
          <w:szCs w:val="20"/>
          <w:lang w:eastAsia="en-GB"/>
        </w:rPr>
      </w:pPr>
    </w:p>
    <w:p w14:paraId="7F3F3C37" w14:textId="77777777" w:rsidR="009C34D9" w:rsidRDefault="009C34D9">
      <w:pPr>
        <w:spacing w:after="0" w:line="480" w:lineRule="auto"/>
        <w:rPr>
          <w:rFonts w:ascii="Arial" w:eastAsia="Times New Roman" w:hAnsi="Arial" w:cs="Arial"/>
          <w:b/>
          <w:color w:val="000000"/>
          <w:sz w:val="20"/>
          <w:szCs w:val="20"/>
          <w:lang w:eastAsia="en-GB"/>
        </w:rPr>
      </w:pPr>
    </w:p>
    <w:p w14:paraId="37F5F727" w14:textId="77777777" w:rsidR="009C34D9" w:rsidRDefault="009C34D9">
      <w:pPr>
        <w:spacing w:after="0" w:line="480" w:lineRule="auto"/>
        <w:rPr>
          <w:rFonts w:ascii="Arial" w:eastAsia="Times New Roman" w:hAnsi="Arial" w:cs="Arial"/>
          <w:b/>
          <w:color w:val="000000"/>
          <w:sz w:val="20"/>
          <w:szCs w:val="20"/>
          <w:lang w:eastAsia="en-GB"/>
        </w:rPr>
        <w:sectPr w:rsidR="009C34D9">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709" w:footer="709" w:gutter="0"/>
          <w:cols w:space="708"/>
          <w:docGrid w:linePitch="360"/>
        </w:sectPr>
      </w:pPr>
    </w:p>
    <w:p w14:paraId="72175FAB" w14:textId="77777777" w:rsidR="009C34D9" w:rsidRDefault="009C34D9">
      <w:pPr>
        <w:spacing w:after="0" w:line="480" w:lineRule="auto"/>
        <w:rPr>
          <w:rFonts w:ascii="Arial" w:eastAsia="Times New Roman" w:hAnsi="Arial" w:cs="Arial"/>
          <w:b/>
          <w:color w:val="000000"/>
          <w:sz w:val="20"/>
          <w:szCs w:val="20"/>
          <w:lang w:eastAsia="en-GB"/>
        </w:rPr>
      </w:pPr>
    </w:p>
    <w:p w14:paraId="05BE0E6C" w14:textId="77777777" w:rsidR="009C34D9" w:rsidRDefault="00735411">
      <w:pPr>
        <w:spacing w:after="0" w:line="480" w:lineRule="auto"/>
        <w:jc w:val="both"/>
        <w:rPr>
          <w:rFonts w:ascii="Arial" w:eastAsia="Times New Roman" w:hAnsi="Arial" w:cs="Arial"/>
          <w:b/>
          <w:iCs/>
          <w:sz w:val="20"/>
          <w:szCs w:val="20"/>
          <w:lang w:eastAsia="en-GB"/>
        </w:rPr>
      </w:pPr>
      <w:r>
        <w:rPr>
          <w:rFonts w:ascii="Arial" w:eastAsia="Times New Roman" w:hAnsi="Arial" w:cs="Arial"/>
          <w:b/>
          <w:iCs/>
          <w:sz w:val="20"/>
          <w:szCs w:val="20"/>
          <w:lang w:eastAsia="en-GB"/>
        </w:rPr>
        <w:t>Table 4.</w:t>
      </w:r>
      <w:r>
        <w:rPr>
          <w:rFonts w:ascii="Arial" w:eastAsia="Times New Roman" w:hAnsi="Arial" w:cs="Arial"/>
          <w:i/>
          <w:iCs/>
          <w:sz w:val="20"/>
          <w:szCs w:val="20"/>
          <w:lang w:eastAsia="en-GB"/>
        </w:rPr>
        <w:t xml:space="preserve"> </w:t>
      </w:r>
      <w:r>
        <w:rPr>
          <w:rFonts w:ascii="Arial" w:eastAsia="Times New Roman" w:hAnsi="Arial" w:cs="Arial"/>
          <w:b/>
          <w:iCs/>
          <w:sz w:val="20"/>
          <w:szCs w:val="20"/>
          <w:lang w:eastAsia="en-GB"/>
        </w:rPr>
        <w:t>Summary statistics, variance component estimates, and heritability for grain yield, and related agronomic traits across sites</w:t>
      </w:r>
    </w:p>
    <w:tbl>
      <w:tblPr>
        <w:tblpPr w:leftFromText="180" w:rightFromText="180" w:bottomFromText="200" w:vertAnchor="page" w:horzAnchor="margin" w:tblpY="2151"/>
        <w:tblW w:w="13558" w:type="dxa"/>
        <w:tblLook w:val="04A0" w:firstRow="1" w:lastRow="0" w:firstColumn="1" w:lastColumn="0" w:noHBand="0" w:noVBand="1"/>
      </w:tblPr>
      <w:tblGrid>
        <w:gridCol w:w="1134"/>
        <w:gridCol w:w="230"/>
        <w:gridCol w:w="1125"/>
        <w:gridCol w:w="1480"/>
        <w:gridCol w:w="368"/>
        <w:gridCol w:w="1474"/>
        <w:gridCol w:w="1676"/>
        <w:gridCol w:w="1551"/>
        <w:gridCol w:w="1594"/>
        <w:gridCol w:w="1595"/>
        <w:gridCol w:w="1331"/>
      </w:tblGrid>
      <w:tr w:rsidR="009C34D9" w14:paraId="5266B7BD" w14:textId="77777777">
        <w:trPr>
          <w:trHeight w:val="302"/>
        </w:trPr>
        <w:tc>
          <w:tcPr>
            <w:tcW w:w="1364" w:type="dxa"/>
            <w:gridSpan w:val="2"/>
            <w:tcBorders>
              <w:top w:val="single" w:sz="4" w:space="0" w:color="auto"/>
              <w:left w:val="nil"/>
              <w:bottom w:val="single" w:sz="4" w:space="0" w:color="auto"/>
              <w:right w:val="nil"/>
            </w:tcBorders>
            <w:noWrap/>
            <w:vAlign w:val="center"/>
          </w:tcPr>
          <w:p w14:paraId="673BFCE7" w14:textId="77777777" w:rsidR="009C34D9" w:rsidRDefault="00735411">
            <w:pPr>
              <w:spacing w:after="0" w:line="480" w:lineRule="auto"/>
              <w:rPr>
                <w:rFonts w:ascii="Arial" w:eastAsia="Times New Roman" w:hAnsi="Arial" w:cs="Arial"/>
                <w:b/>
                <w:sz w:val="20"/>
                <w:szCs w:val="20"/>
              </w:rPr>
            </w:pPr>
            <w:r>
              <w:rPr>
                <w:rFonts w:ascii="Arial" w:eastAsia="Times New Roman" w:hAnsi="Arial" w:cs="Arial"/>
                <w:b/>
                <w:sz w:val="20"/>
                <w:szCs w:val="20"/>
              </w:rPr>
              <w:t>Trait</w:t>
            </w:r>
          </w:p>
        </w:tc>
        <w:tc>
          <w:tcPr>
            <w:tcW w:w="1125" w:type="dxa"/>
            <w:tcBorders>
              <w:top w:val="single" w:sz="4" w:space="0" w:color="auto"/>
              <w:left w:val="nil"/>
              <w:bottom w:val="single" w:sz="4" w:space="0" w:color="auto"/>
              <w:right w:val="nil"/>
            </w:tcBorders>
            <w:noWrap/>
            <w:vAlign w:val="center"/>
          </w:tcPr>
          <w:p w14:paraId="0362288D"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Mean</w:t>
            </w:r>
          </w:p>
        </w:tc>
        <w:tc>
          <w:tcPr>
            <w:tcW w:w="1848" w:type="dxa"/>
            <w:gridSpan w:val="2"/>
            <w:tcBorders>
              <w:top w:val="single" w:sz="4" w:space="0" w:color="auto"/>
              <w:left w:val="nil"/>
              <w:bottom w:val="single" w:sz="4" w:space="0" w:color="auto"/>
              <w:right w:val="nil"/>
            </w:tcBorders>
            <w:noWrap/>
            <w:vAlign w:val="center"/>
          </w:tcPr>
          <w:p w14:paraId="67BA5BA6"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Range</w:t>
            </w:r>
          </w:p>
        </w:tc>
        <w:tc>
          <w:tcPr>
            <w:tcW w:w="1474" w:type="dxa"/>
            <w:tcBorders>
              <w:top w:val="single" w:sz="4" w:space="0" w:color="auto"/>
              <w:left w:val="nil"/>
              <w:bottom w:val="single" w:sz="4" w:space="0" w:color="auto"/>
              <w:right w:val="nil"/>
            </w:tcBorders>
            <w:noWrap/>
            <w:vAlign w:val="center"/>
          </w:tcPr>
          <w:p w14:paraId="735AD282" w14:textId="77777777" w:rsidR="009C34D9" w:rsidRDefault="0080556E">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m:t>
                    </m:r>
                  </m:sub>
                  <m:sup>
                    <m:r>
                      <m:rPr>
                        <m:sty m:val="bi"/>
                      </m:rPr>
                      <w:rPr>
                        <w:rFonts w:ascii="Cambria Math" w:eastAsia="Times New Roman" w:hAnsi="Cambria Math" w:cs="Arial"/>
                        <w:sz w:val="20"/>
                        <w:szCs w:val="20"/>
                      </w:rPr>
                      <m:t>2</m:t>
                    </m:r>
                  </m:sup>
                </m:sSubSup>
              </m:oMath>
            </m:oMathPara>
          </w:p>
        </w:tc>
        <w:tc>
          <w:tcPr>
            <w:tcW w:w="1676" w:type="dxa"/>
            <w:tcBorders>
              <w:top w:val="single" w:sz="4" w:space="0" w:color="auto"/>
              <w:left w:val="nil"/>
              <w:bottom w:val="single" w:sz="4" w:space="0" w:color="auto"/>
              <w:right w:val="nil"/>
            </w:tcBorders>
            <w:noWrap/>
            <w:vAlign w:val="center"/>
          </w:tcPr>
          <w:p w14:paraId="7E4AB1F2" w14:textId="77777777" w:rsidR="009C34D9" w:rsidRDefault="0080556E">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GE</m:t>
                    </m:r>
                  </m:sub>
                  <m:sup>
                    <m:r>
                      <m:rPr>
                        <m:sty m:val="bi"/>
                      </m:rPr>
                      <w:rPr>
                        <w:rFonts w:ascii="Cambria Math" w:eastAsia="Times New Roman" w:hAnsi="Cambria Math" w:cs="Arial"/>
                        <w:sz w:val="20"/>
                        <w:szCs w:val="20"/>
                      </w:rPr>
                      <m:t>2</m:t>
                    </m:r>
                  </m:sup>
                </m:sSubSup>
              </m:oMath>
            </m:oMathPara>
          </w:p>
        </w:tc>
        <w:tc>
          <w:tcPr>
            <w:tcW w:w="1551" w:type="dxa"/>
            <w:tcBorders>
              <w:top w:val="single" w:sz="4" w:space="0" w:color="auto"/>
              <w:left w:val="nil"/>
              <w:bottom w:val="single" w:sz="4" w:space="0" w:color="auto"/>
              <w:right w:val="nil"/>
            </w:tcBorders>
            <w:noWrap/>
            <w:vAlign w:val="center"/>
          </w:tcPr>
          <w:p w14:paraId="12998056" w14:textId="77777777" w:rsidR="009C34D9" w:rsidRDefault="0080556E">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ε</m:t>
                    </m:r>
                  </m:sub>
                  <m:sup>
                    <m:r>
                      <m:rPr>
                        <m:sty m:val="bi"/>
                      </m:rPr>
                      <w:rPr>
                        <w:rFonts w:ascii="Cambria Math" w:eastAsia="Times New Roman" w:hAnsi="Cambria Math" w:cs="Arial"/>
                        <w:sz w:val="20"/>
                        <w:szCs w:val="20"/>
                      </w:rPr>
                      <m:t>2</m:t>
                    </m:r>
                  </m:sup>
                </m:sSubSup>
              </m:oMath>
            </m:oMathPara>
          </w:p>
        </w:tc>
        <w:tc>
          <w:tcPr>
            <w:tcW w:w="1594" w:type="dxa"/>
            <w:tcBorders>
              <w:top w:val="single" w:sz="4" w:space="0" w:color="auto"/>
              <w:left w:val="nil"/>
              <w:bottom w:val="single" w:sz="4" w:space="0" w:color="auto"/>
              <w:right w:val="nil"/>
            </w:tcBorders>
            <w:noWrap/>
            <w:vAlign w:val="center"/>
          </w:tcPr>
          <w:p w14:paraId="25DD1A9E"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H</w:t>
            </w:r>
            <w:r>
              <w:rPr>
                <w:rFonts w:ascii="Arial" w:eastAsia="Times New Roman" w:hAnsi="Arial" w:cs="Arial"/>
                <w:b/>
                <w:i/>
                <w:iCs/>
                <w:sz w:val="20"/>
                <w:szCs w:val="20"/>
                <w:vertAlign w:val="superscript"/>
              </w:rPr>
              <w:t>2</w:t>
            </w:r>
          </w:p>
        </w:tc>
        <w:tc>
          <w:tcPr>
            <w:tcW w:w="1595" w:type="dxa"/>
            <w:tcBorders>
              <w:top w:val="single" w:sz="4" w:space="0" w:color="auto"/>
              <w:left w:val="nil"/>
              <w:bottom w:val="single" w:sz="4" w:space="0" w:color="auto"/>
              <w:right w:val="nil"/>
            </w:tcBorders>
            <w:noWrap/>
            <w:vAlign w:val="center"/>
          </w:tcPr>
          <w:p w14:paraId="2E52DBCB"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LSD</w:t>
            </w:r>
            <w:r>
              <w:rPr>
                <w:rFonts w:ascii="Arial" w:eastAsia="Times New Roman" w:hAnsi="Arial" w:cs="Arial"/>
                <w:b/>
                <w:i/>
                <w:iCs/>
                <w:sz w:val="20"/>
                <w:szCs w:val="20"/>
                <w:vertAlign w:val="subscript"/>
              </w:rPr>
              <w:t>0.05</w:t>
            </w:r>
          </w:p>
        </w:tc>
        <w:tc>
          <w:tcPr>
            <w:tcW w:w="1331" w:type="dxa"/>
            <w:tcBorders>
              <w:top w:val="single" w:sz="4" w:space="0" w:color="auto"/>
              <w:left w:val="nil"/>
              <w:bottom w:val="single" w:sz="4" w:space="0" w:color="auto"/>
              <w:right w:val="nil"/>
            </w:tcBorders>
            <w:noWrap/>
            <w:vAlign w:val="center"/>
          </w:tcPr>
          <w:p w14:paraId="3BC6BDA8"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CV</w:t>
            </w:r>
          </w:p>
        </w:tc>
      </w:tr>
      <w:tr w:rsidR="009C34D9" w14:paraId="0B299BF3" w14:textId="77777777">
        <w:trPr>
          <w:trHeight w:val="264"/>
        </w:trPr>
        <w:tc>
          <w:tcPr>
            <w:tcW w:w="1134" w:type="dxa"/>
            <w:tcBorders>
              <w:top w:val="single" w:sz="4" w:space="0" w:color="auto"/>
              <w:left w:val="nil"/>
              <w:bottom w:val="nil"/>
              <w:right w:val="nil"/>
            </w:tcBorders>
            <w:noWrap/>
            <w:vAlign w:val="center"/>
          </w:tcPr>
          <w:p w14:paraId="49A3A2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GY</w:t>
            </w:r>
          </w:p>
        </w:tc>
        <w:tc>
          <w:tcPr>
            <w:tcW w:w="1355" w:type="dxa"/>
            <w:gridSpan w:val="2"/>
            <w:tcBorders>
              <w:top w:val="single" w:sz="4" w:space="0" w:color="auto"/>
              <w:left w:val="nil"/>
              <w:bottom w:val="nil"/>
              <w:right w:val="nil"/>
            </w:tcBorders>
            <w:noWrap/>
            <w:vAlign w:val="center"/>
          </w:tcPr>
          <w:p w14:paraId="258EB47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9.0</w:t>
            </w:r>
          </w:p>
        </w:tc>
        <w:tc>
          <w:tcPr>
            <w:tcW w:w="1480" w:type="dxa"/>
            <w:tcBorders>
              <w:top w:val="single" w:sz="4" w:space="0" w:color="auto"/>
              <w:left w:val="nil"/>
              <w:bottom w:val="nil"/>
              <w:right w:val="nil"/>
            </w:tcBorders>
            <w:noWrap/>
            <w:vAlign w:val="center"/>
          </w:tcPr>
          <w:p w14:paraId="6EAEC8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2.8-12.4</w:t>
            </w:r>
          </w:p>
        </w:tc>
        <w:tc>
          <w:tcPr>
            <w:tcW w:w="1842" w:type="dxa"/>
            <w:gridSpan w:val="2"/>
            <w:tcBorders>
              <w:top w:val="single" w:sz="4" w:space="0" w:color="auto"/>
              <w:left w:val="nil"/>
              <w:bottom w:val="nil"/>
              <w:right w:val="nil"/>
            </w:tcBorders>
            <w:noWrap/>
            <w:vAlign w:val="center"/>
          </w:tcPr>
          <w:p w14:paraId="4244F2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2.5***</w:t>
            </w:r>
          </w:p>
        </w:tc>
        <w:tc>
          <w:tcPr>
            <w:tcW w:w="1676" w:type="dxa"/>
            <w:tcBorders>
              <w:top w:val="single" w:sz="4" w:space="0" w:color="auto"/>
              <w:left w:val="nil"/>
              <w:bottom w:val="nil"/>
              <w:right w:val="nil"/>
            </w:tcBorders>
            <w:noWrap/>
            <w:vAlign w:val="center"/>
          </w:tcPr>
          <w:p w14:paraId="6A17FB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0.5***</w:t>
            </w:r>
          </w:p>
        </w:tc>
        <w:tc>
          <w:tcPr>
            <w:tcW w:w="1551" w:type="dxa"/>
            <w:tcBorders>
              <w:top w:val="single" w:sz="4" w:space="0" w:color="auto"/>
              <w:left w:val="nil"/>
              <w:bottom w:val="nil"/>
              <w:right w:val="nil"/>
            </w:tcBorders>
            <w:noWrap/>
            <w:vAlign w:val="center"/>
          </w:tcPr>
          <w:p w14:paraId="351D35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1.4</w:t>
            </w:r>
          </w:p>
        </w:tc>
        <w:tc>
          <w:tcPr>
            <w:tcW w:w="1594" w:type="dxa"/>
            <w:tcBorders>
              <w:top w:val="single" w:sz="4" w:space="0" w:color="auto"/>
              <w:left w:val="nil"/>
              <w:bottom w:val="nil"/>
              <w:right w:val="nil"/>
            </w:tcBorders>
            <w:noWrap/>
            <w:vAlign w:val="center"/>
          </w:tcPr>
          <w:p w14:paraId="3C9058A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0.86</w:t>
            </w:r>
          </w:p>
        </w:tc>
        <w:tc>
          <w:tcPr>
            <w:tcW w:w="1595" w:type="dxa"/>
            <w:tcBorders>
              <w:top w:val="single" w:sz="4" w:space="0" w:color="auto"/>
              <w:left w:val="nil"/>
              <w:bottom w:val="nil"/>
              <w:right w:val="nil"/>
            </w:tcBorders>
            <w:noWrap/>
            <w:vAlign w:val="center"/>
          </w:tcPr>
          <w:p w14:paraId="08A4C8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w:t>
            </w:r>
          </w:p>
        </w:tc>
        <w:tc>
          <w:tcPr>
            <w:tcW w:w="1331" w:type="dxa"/>
            <w:tcBorders>
              <w:top w:val="single" w:sz="4" w:space="0" w:color="auto"/>
              <w:left w:val="nil"/>
              <w:bottom w:val="nil"/>
              <w:right w:val="nil"/>
            </w:tcBorders>
            <w:noWrap/>
            <w:vAlign w:val="center"/>
          </w:tcPr>
          <w:p w14:paraId="34AA7A7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13.1</w:t>
            </w:r>
          </w:p>
        </w:tc>
      </w:tr>
      <w:tr w:rsidR="009C34D9" w14:paraId="718CFEB9" w14:textId="77777777">
        <w:trPr>
          <w:trHeight w:val="264"/>
        </w:trPr>
        <w:tc>
          <w:tcPr>
            <w:tcW w:w="1134" w:type="dxa"/>
            <w:noWrap/>
            <w:vAlign w:val="center"/>
          </w:tcPr>
          <w:p w14:paraId="565075E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AD</w:t>
            </w:r>
          </w:p>
        </w:tc>
        <w:tc>
          <w:tcPr>
            <w:tcW w:w="1355" w:type="dxa"/>
            <w:gridSpan w:val="2"/>
            <w:noWrap/>
            <w:vAlign w:val="center"/>
          </w:tcPr>
          <w:p w14:paraId="67C7AA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74</w:t>
            </w:r>
          </w:p>
        </w:tc>
        <w:tc>
          <w:tcPr>
            <w:tcW w:w="1480" w:type="dxa"/>
            <w:noWrap/>
            <w:vAlign w:val="center"/>
          </w:tcPr>
          <w:p w14:paraId="71D1E4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69-80</w:t>
            </w:r>
          </w:p>
        </w:tc>
        <w:tc>
          <w:tcPr>
            <w:tcW w:w="1842" w:type="dxa"/>
            <w:gridSpan w:val="2"/>
            <w:noWrap/>
            <w:vAlign w:val="center"/>
          </w:tcPr>
          <w:p w14:paraId="1C275C1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4.6***</w:t>
            </w:r>
          </w:p>
        </w:tc>
        <w:tc>
          <w:tcPr>
            <w:tcW w:w="1676" w:type="dxa"/>
            <w:noWrap/>
            <w:vAlign w:val="center"/>
          </w:tcPr>
          <w:p w14:paraId="2D05626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w:t>
            </w:r>
          </w:p>
        </w:tc>
        <w:tc>
          <w:tcPr>
            <w:tcW w:w="1551" w:type="dxa"/>
            <w:noWrap/>
            <w:vAlign w:val="center"/>
          </w:tcPr>
          <w:p w14:paraId="429E020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c>
          <w:tcPr>
            <w:tcW w:w="1594" w:type="dxa"/>
            <w:noWrap/>
            <w:vAlign w:val="center"/>
          </w:tcPr>
          <w:p w14:paraId="42BFDDB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w:t>
            </w:r>
          </w:p>
        </w:tc>
        <w:tc>
          <w:tcPr>
            <w:tcW w:w="1595" w:type="dxa"/>
            <w:noWrap/>
            <w:vAlign w:val="center"/>
          </w:tcPr>
          <w:p w14:paraId="55A9B14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w:t>
            </w:r>
          </w:p>
        </w:tc>
        <w:tc>
          <w:tcPr>
            <w:tcW w:w="1331" w:type="dxa"/>
            <w:noWrap/>
            <w:vAlign w:val="center"/>
          </w:tcPr>
          <w:p w14:paraId="6A0233E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r>
      <w:tr w:rsidR="009C34D9" w14:paraId="05E0CE3A" w14:textId="77777777">
        <w:trPr>
          <w:trHeight w:val="264"/>
        </w:trPr>
        <w:tc>
          <w:tcPr>
            <w:tcW w:w="1134" w:type="dxa"/>
            <w:noWrap/>
            <w:vAlign w:val="center"/>
          </w:tcPr>
          <w:p w14:paraId="4915040E"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PH</w:t>
            </w:r>
          </w:p>
        </w:tc>
        <w:tc>
          <w:tcPr>
            <w:tcW w:w="1355" w:type="dxa"/>
            <w:gridSpan w:val="2"/>
            <w:noWrap/>
            <w:vAlign w:val="center"/>
          </w:tcPr>
          <w:p w14:paraId="464968D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236.2</w:t>
            </w:r>
          </w:p>
        </w:tc>
        <w:tc>
          <w:tcPr>
            <w:tcW w:w="1480" w:type="dxa"/>
            <w:noWrap/>
            <w:vAlign w:val="center"/>
          </w:tcPr>
          <w:p w14:paraId="094920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176.5-267.5</w:t>
            </w:r>
          </w:p>
        </w:tc>
        <w:tc>
          <w:tcPr>
            <w:tcW w:w="1842" w:type="dxa"/>
            <w:gridSpan w:val="2"/>
            <w:noWrap/>
            <w:vAlign w:val="center"/>
          </w:tcPr>
          <w:p w14:paraId="556D171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220.2***</w:t>
            </w:r>
          </w:p>
        </w:tc>
        <w:tc>
          <w:tcPr>
            <w:tcW w:w="1676" w:type="dxa"/>
            <w:noWrap/>
            <w:vAlign w:val="center"/>
          </w:tcPr>
          <w:p w14:paraId="551C8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7.0</w:t>
            </w:r>
          </w:p>
        </w:tc>
        <w:tc>
          <w:tcPr>
            <w:tcW w:w="1551" w:type="dxa"/>
            <w:noWrap/>
            <w:vAlign w:val="center"/>
          </w:tcPr>
          <w:p w14:paraId="432090C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64.7</w:t>
            </w:r>
          </w:p>
        </w:tc>
        <w:tc>
          <w:tcPr>
            <w:tcW w:w="1594" w:type="dxa"/>
            <w:noWrap/>
            <w:vAlign w:val="center"/>
          </w:tcPr>
          <w:p w14:paraId="535F15F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01DB29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10.4</w:t>
            </w:r>
          </w:p>
        </w:tc>
        <w:tc>
          <w:tcPr>
            <w:tcW w:w="1331" w:type="dxa"/>
            <w:noWrap/>
            <w:vAlign w:val="center"/>
          </w:tcPr>
          <w:p w14:paraId="4FD051D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3.4</w:t>
            </w:r>
          </w:p>
        </w:tc>
      </w:tr>
      <w:tr w:rsidR="009C34D9" w14:paraId="2CF98A6F" w14:textId="77777777">
        <w:trPr>
          <w:trHeight w:val="264"/>
        </w:trPr>
        <w:tc>
          <w:tcPr>
            <w:tcW w:w="1134" w:type="dxa"/>
            <w:noWrap/>
            <w:vAlign w:val="center"/>
          </w:tcPr>
          <w:p w14:paraId="1C5429C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EH</w:t>
            </w:r>
          </w:p>
        </w:tc>
        <w:tc>
          <w:tcPr>
            <w:tcW w:w="1355" w:type="dxa"/>
            <w:gridSpan w:val="2"/>
            <w:noWrap/>
            <w:vAlign w:val="center"/>
          </w:tcPr>
          <w:p w14:paraId="63D2F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110.5</w:t>
            </w:r>
          </w:p>
        </w:tc>
        <w:tc>
          <w:tcPr>
            <w:tcW w:w="1480" w:type="dxa"/>
            <w:noWrap/>
            <w:vAlign w:val="center"/>
          </w:tcPr>
          <w:p w14:paraId="3007394A"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69.7-142.8</w:t>
            </w:r>
          </w:p>
        </w:tc>
        <w:tc>
          <w:tcPr>
            <w:tcW w:w="1842" w:type="dxa"/>
            <w:gridSpan w:val="2"/>
            <w:noWrap/>
            <w:vAlign w:val="center"/>
          </w:tcPr>
          <w:p w14:paraId="202D92E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166.1***</w:t>
            </w:r>
          </w:p>
        </w:tc>
        <w:tc>
          <w:tcPr>
            <w:tcW w:w="1676" w:type="dxa"/>
            <w:noWrap/>
            <w:vAlign w:val="center"/>
          </w:tcPr>
          <w:p w14:paraId="0F69FC5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9.5**</w:t>
            </w:r>
          </w:p>
        </w:tc>
        <w:tc>
          <w:tcPr>
            <w:tcW w:w="1551" w:type="dxa"/>
            <w:noWrap/>
            <w:vAlign w:val="center"/>
          </w:tcPr>
          <w:p w14:paraId="70026D9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48.8</w:t>
            </w:r>
          </w:p>
        </w:tc>
        <w:tc>
          <w:tcPr>
            <w:tcW w:w="1594" w:type="dxa"/>
            <w:noWrap/>
            <w:vAlign w:val="center"/>
          </w:tcPr>
          <w:p w14:paraId="28325D5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2F32E03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9.7</w:t>
            </w:r>
          </w:p>
        </w:tc>
        <w:tc>
          <w:tcPr>
            <w:tcW w:w="1331" w:type="dxa"/>
            <w:noWrap/>
            <w:vAlign w:val="center"/>
          </w:tcPr>
          <w:p w14:paraId="4DCF83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6.3</w:t>
            </w:r>
          </w:p>
        </w:tc>
      </w:tr>
      <w:tr w:rsidR="009C34D9" w14:paraId="3E6E52A7" w14:textId="77777777">
        <w:trPr>
          <w:trHeight w:val="264"/>
        </w:trPr>
        <w:tc>
          <w:tcPr>
            <w:tcW w:w="1134" w:type="dxa"/>
            <w:noWrap/>
            <w:vAlign w:val="center"/>
          </w:tcPr>
          <w:p w14:paraId="7C40A11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HC</w:t>
            </w:r>
          </w:p>
        </w:tc>
        <w:tc>
          <w:tcPr>
            <w:tcW w:w="1355" w:type="dxa"/>
            <w:gridSpan w:val="2"/>
            <w:noWrap/>
            <w:vAlign w:val="center"/>
          </w:tcPr>
          <w:p w14:paraId="56709DE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26.5</w:t>
            </w:r>
          </w:p>
        </w:tc>
        <w:tc>
          <w:tcPr>
            <w:tcW w:w="1480" w:type="dxa"/>
            <w:noWrap/>
            <w:vAlign w:val="center"/>
          </w:tcPr>
          <w:p w14:paraId="3965DF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0-89.5</w:t>
            </w:r>
          </w:p>
        </w:tc>
        <w:tc>
          <w:tcPr>
            <w:tcW w:w="1842" w:type="dxa"/>
            <w:gridSpan w:val="2"/>
            <w:noWrap/>
            <w:vAlign w:val="center"/>
          </w:tcPr>
          <w:p w14:paraId="14423A3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486.2***</w:t>
            </w:r>
          </w:p>
        </w:tc>
        <w:tc>
          <w:tcPr>
            <w:tcW w:w="1676" w:type="dxa"/>
            <w:noWrap/>
            <w:vAlign w:val="center"/>
          </w:tcPr>
          <w:p w14:paraId="4BBF8E4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115.5***</w:t>
            </w:r>
          </w:p>
        </w:tc>
        <w:tc>
          <w:tcPr>
            <w:tcW w:w="1551" w:type="dxa"/>
            <w:noWrap/>
            <w:vAlign w:val="center"/>
          </w:tcPr>
          <w:p w14:paraId="0EC1BB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271.1</w:t>
            </w:r>
          </w:p>
        </w:tc>
        <w:tc>
          <w:tcPr>
            <w:tcW w:w="1594" w:type="dxa"/>
            <w:noWrap/>
            <w:vAlign w:val="center"/>
          </w:tcPr>
          <w:p w14:paraId="3940B7B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0.85</w:t>
            </w:r>
          </w:p>
        </w:tc>
        <w:tc>
          <w:tcPr>
            <w:tcW w:w="1595" w:type="dxa"/>
            <w:noWrap/>
            <w:vAlign w:val="center"/>
          </w:tcPr>
          <w:p w14:paraId="02D5B7C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331" w:type="dxa"/>
            <w:noWrap/>
            <w:vAlign w:val="center"/>
          </w:tcPr>
          <w:p w14:paraId="5BF76F1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62.1</w:t>
            </w:r>
          </w:p>
        </w:tc>
      </w:tr>
      <w:tr w:rsidR="009C34D9" w14:paraId="075DF402" w14:textId="77777777">
        <w:trPr>
          <w:trHeight w:val="264"/>
        </w:trPr>
        <w:tc>
          <w:tcPr>
            <w:tcW w:w="1134" w:type="dxa"/>
            <w:noWrap/>
            <w:vAlign w:val="center"/>
          </w:tcPr>
          <w:p w14:paraId="296594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ER</w:t>
            </w:r>
          </w:p>
        </w:tc>
        <w:tc>
          <w:tcPr>
            <w:tcW w:w="1355" w:type="dxa"/>
            <w:gridSpan w:val="2"/>
            <w:noWrap/>
            <w:vAlign w:val="center"/>
          </w:tcPr>
          <w:p w14:paraId="38EF959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7.6</w:t>
            </w:r>
          </w:p>
        </w:tc>
        <w:tc>
          <w:tcPr>
            <w:tcW w:w="1480" w:type="dxa"/>
            <w:noWrap/>
            <w:vAlign w:val="center"/>
          </w:tcPr>
          <w:p w14:paraId="5A49B9A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0-32.2</w:t>
            </w:r>
          </w:p>
        </w:tc>
        <w:tc>
          <w:tcPr>
            <w:tcW w:w="1842" w:type="dxa"/>
            <w:gridSpan w:val="2"/>
            <w:noWrap/>
            <w:vAlign w:val="center"/>
          </w:tcPr>
          <w:p w14:paraId="5963738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27.7***</w:t>
            </w:r>
          </w:p>
        </w:tc>
        <w:tc>
          <w:tcPr>
            <w:tcW w:w="1676" w:type="dxa"/>
            <w:noWrap/>
            <w:vAlign w:val="center"/>
          </w:tcPr>
          <w:p w14:paraId="575345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15.6***</w:t>
            </w:r>
          </w:p>
        </w:tc>
        <w:tc>
          <w:tcPr>
            <w:tcW w:w="1551" w:type="dxa"/>
            <w:noWrap/>
            <w:vAlign w:val="center"/>
          </w:tcPr>
          <w:p w14:paraId="309E225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37.8</w:t>
            </w:r>
          </w:p>
        </w:tc>
        <w:tc>
          <w:tcPr>
            <w:tcW w:w="1594" w:type="dxa"/>
            <w:noWrap/>
            <w:vAlign w:val="center"/>
          </w:tcPr>
          <w:p w14:paraId="3D97E0C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0.71</w:t>
            </w:r>
          </w:p>
        </w:tc>
        <w:tc>
          <w:tcPr>
            <w:tcW w:w="1595" w:type="dxa"/>
            <w:noWrap/>
            <w:vAlign w:val="center"/>
          </w:tcPr>
          <w:p w14:paraId="069650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w:t>
            </w:r>
          </w:p>
        </w:tc>
        <w:tc>
          <w:tcPr>
            <w:tcW w:w="1331" w:type="dxa"/>
            <w:noWrap/>
            <w:vAlign w:val="center"/>
          </w:tcPr>
          <w:p w14:paraId="4F8A4A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81.1</w:t>
            </w:r>
          </w:p>
        </w:tc>
      </w:tr>
      <w:tr w:rsidR="009C34D9" w14:paraId="3B88433B" w14:textId="77777777">
        <w:trPr>
          <w:trHeight w:val="264"/>
        </w:trPr>
        <w:tc>
          <w:tcPr>
            <w:tcW w:w="1134" w:type="dxa"/>
            <w:noWrap/>
            <w:vAlign w:val="center"/>
          </w:tcPr>
          <w:p w14:paraId="3A66AB5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GLS</w:t>
            </w:r>
          </w:p>
        </w:tc>
        <w:tc>
          <w:tcPr>
            <w:tcW w:w="1355" w:type="dxa"/>
            <w:gridSpan w:val="2"/>
            <w:noWrap/>
            <w:vAlign w:val="center"/>
          </w:tcPr>
          <w:p w14:paraId="0FC7444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w:t>
            </w:r>
          </w:p>
        </w:tc>
        <w:tc>
          <w:tcPr>
            <w:tcW w:w="1480" w:type="dxa"/>
            <w:noWrap/>
            <w:vAlign w:val="center"/>
          </w:tcPr>
          <w:p w14:paraId="6A9329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1.8-4.7</w:t>
            </w:r>
          </w:p>
        </w:tc>
        <w:tc>
          <w:tcPr>
            <w:tcW w:w="1842" w:type="dxa"/>
            <w:gridSpan w:val="2"/>
            <w:noWrap/>
            <w:vAlign w:val="center"/>
          </w:tcPr>
          <w:p w14:paraId="2AA4D3E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676" w:type="dxa"/>
            <w:noWrap/>
            <w:vAlign w:val="center"/>
          </w:tcPr>
          <w:p w14:paraId="1061353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51" w:type="dxa"/>
            <w:noWrap/>
            <w:vAlign w:val="center"/>
          </w:tcPr>
          <w:p w14:paraId="7C42FD4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594" w:type="dxa"/>
            <w:noWrap/>
            <w:vAlign w:val="center"/>
          </w:tcPr>
          <w:p w14:paraId="30FAA0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0.83</w:t>
            </w:r>
          </w:p>
        </w:tc>
        <w:tc>
          <w:tcPr>
            <w:tcW w:w="1595" w:type="dxa"/>
            <w:noWrap/>
            <w:vAlign w:val="center"/>
          </w:tcPr>
          <w:p w14:paraId="19D8DD5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w:t>
            </w:r>
          </w:p>
        </w:tc>
        <w:tc>
          <w:tcPr>
            <w:tcW w:w="1331" w:type="dxa"/>
            <w:noWrap/>
            <w:vAlign w:val="center"/>
          </w:tcPr>
          <w:p w14:paraId="2FB12FE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20.4</w:t>
            </w:r>
          </w:p>
        </w:tc>
      </w:tr>
      <w:tr w:rsidR="009C34D9" w14:paraId="30E92712" w14:textId="77777777">
        <w:trPr>
          <w:trHeight w:val="264"/>
        </w:trPr>
        <w:tc>
          <w:tcPr>
            <w:tcW w:w="1134" w:type="dxa"/>
            <w:noWrap/>
            <w:vAlign w:val="center"/>
          </w:tcPr>
          <w:p w14:paraId="758807BF"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NLB</w:t>
            </w:r>
          </w:p>
        </w:tc>
        <w:tc>
          <w:tcPr>
            <w:tcW w:w="1355" w:type="dxa"/>
            <w:gridSpan w:val="2"/>
            <w:noWrap/>
            <w:vAlign w:val="center"/>
          </w:tcPr>
          <w:p w14:paraId="7E9E18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120BD4A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2-3.5</w:t>
            </w:r>
          </w:p>
        </w:tc>
        <w:tc>
          <w:tcPr>
            <w:tcW w:w="1842" w:type="dxa"/>
            <w:gridSpan w:val="2"/>
            <w:noWrap/>
            <w:vAlign w:val="center"/>
          </w:tcPr>
          <w:p w14:paraId="6AEAC37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0.03***</w:t>
            </w:r>
          </w:p>
        </w:tc>
        <w:tc>
          <w:tcPr>
            <w:tcW w:w="1676" w:type="dxa"/>
            <w:noWrap/>
            <w:vAlign w:val="center"/>
          </w:tcPr>
          <w:p w14:paraId="4B5AA00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6EB9EBB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0.2</w:t>
            </w:r>
          </w:p>
        </w:tc>
        <w:tc>
          <w:tcPr>
            <w:tcW w:w="1594" w:type="dxa"/>
            <w:noWrap/>
            <w:vAlign w:val="center"/>
          </w:tcPr>
          <w:p w14:paraId="6D945D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595" w:type="dxa"/>
            <w:noWrap/>
            <w:vAlign w:val="center"/>
          </w:tcPr>
          <w:p w14:paraId="6FCCA8E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noWrap/>
            <w:vAlign w:val="center"/>
          </w:tcPr>
          <w:p w14:paraId="197823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16.3</w:t>
            </w:r>
          </w:p>
        </w:tc>
      </w:tr>
      <w:tr w:rsidR="009C34D9" w14:paraId="48B2397A" w14:textId="77777777">
        <w:trPr>
          <w:trHeight w:val="264"/>
        </w:trPr>
        <w:tc>
          <w:tcPr>
            <w:tcW w:w="1134" w:type="dxa"/>
            <w:noWrap/>
            <w:vAlign w:val="center"/>
          </w:tcPr>
          <w:p w14:paraId="7B8CB53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EA</w:t>
            </w:r>
          </w:p>
        </w:tc>
        <w:tc>
          <w:tcPr>
            <w:tcW w:w="1355" w:type="dxa"/>
            <w:gridSpan w:val="2"/>
            <w:noWrap/>
            <w:vAlign w:val="center"/>
          </w:tcPr>
          <w:p w14:paraId="601079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7318264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2.1-3.7</w:t>
            </w:r>
          </w:p>
        </w:tc>
        <w:tc>
          <w:tcPr>
            <w:tcW w:w="1842" w:type="dxa"/>
            <w:gridSpan w:val="2"/>
            <w:noWrap/>
            <w:vAlign w:val="center"/>
          </w:tcPr>
          <w:p w14:paraId="0081627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0.08***</w:t>
            </w:r>
          </w:p>
        </w:tc>
        <w:tc>
          <w:tcPr>
            <w:tcW w:w="1676" w:type="dxa"/>
            <w:noWrap/>
            <w:vAlign w:val="center"/>
          </w:tcPr>
          <w:p w14:paraId="7EAC101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29F1B1B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noWrap/>
            <w:vAlign w:val="center"/>
          </w:tcPr>
          <w:p w14:paraId="383BDF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0.74</w:t>
            </w:r>
          </w:p>
        </w:tc>
        <w:tc>
          <w:tcPr>
            <w:tcW w:w="1595" w:type="dxa"/>
            <w:noWrap/>
            <w:vAlign w:val="center"/>
          </w:tcPr>
          <w:p w14:paraId="6BEC7F9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331" w:type="dxa"/>
            <w:noWrap/>
            <w:vAlign w:val="center"/>
          </w:tcPr>
          <w:p w14:paraId="6AE75B9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11.7</w:t>
            </w:r>
          </w:p>
        </w:tc>
      </w:tr>
      <w:tr w:rsidR="009C34D9" w14:paraId="240EB59E" w14:textId="77777777">
        <w:trPr>
          <w:trHeight w:val="264"/>
        </w:trPr>
        <w:tc>
          <w:tcPr>
            <w:tcW w:w="1134" w:type="dxa"/>
            <w:tcBorders>
              <w:top w:val="nil"/>
              <w:left w:val="nil"/>
              <w:bottom w:val="single" w:sz="4" w:space="0" w:color="auto"/>
              <w:right w:val="nil"/>
            </w:tcBorders>
            <w:noWrap/>
            <w:vAlign w:val="center"/>
          </w:tcPr>
          <w:p w14:paraId="7853D40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PA</w:t>
            </w:r>
          </w:p>
        </w:tc>
        <w:tc>
          <w:tcPr>
            <w:tcW w:w="1355" w:type="dxa"/>
            <w:gridSpan w:val="2"/>
            <w:tcBorders>
              <w:top w:val="nil"/>
              <w:left w:val="nil"/>
              <w:bottom w:val="single" w:sz="4" w:space="0" w:color="auto"/>
              <w:right w:val="nil"/>
            </w:tcBorders>
            <w:noWrap/>
            <w:vAlign w:val="center"/>
          </w:tcPr>
          <w:p w14:paraId="42F957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tcBorders>
              <w:top w:val="nil"/>
              <w:left w:val="nil"/>
              <w:bottom w:val="single" w:sz="4" w:space="0" w:color="auto"/>
              <w:right w:val="nil"/>
            </w:tcBorders>
            <w:noWrap/>
            <w:vAlign w:val="center"/>
          </w:tcPr>
          <w:p w14:paraId="728B61A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842" w:type="dxa"/>
            <w:gridSpan w:val="2"/>
            <w:tcBorders>
              <w:top w:val="nil"/>
              <w:left w:val="nil"/>
              <w:bottom w:val="single" w:sz="4" w:space="0" w:color="auto"/>
              <w:right w:val="nil"/>
            </w:tcBorders>
            <w:noWrap/>
            <w:vAlign w:val="center"/>
          </w:tcPr>
          <w:p w14:paraId="682E4EE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0.05***</w:t>
            </w:r>
          </w:p>
        </w:tc>
        <w:tc>
          <w:tcPr>
            <w:tcW w:w="1676" w:type="dxa"/>
            <w:tcBorders>
              <w:top w:val="nil"/>
              <w:left w:val="nil"/>
              <w:bottom w:val="single" w:sz="4" w:space="0" w:color="auto"/>
              <w:right w:val="nil"/>
            </w:tcBorders>
            <w:noWrap/>
            <w:vAlign w:val="center"/>
          </w:tcPr>
          <w:p w14:paraId="539520D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0.01*</w:t>
            </w:r>
          </w:p>
        </w:tc>
        <w:tc>
          <w:tcPr>
            <w:tcW w:w="1551" w:type="dxa"/>
            <w:tcBorders>
              <w:top w:val="nil"/>
              <w:left w:val="nil"/>
              <w:bottom w:val="single" w:sz="4" w:space="0" w:color="auto"/>
              <w:right w:val="nil"/>
            </w:tcBorders>
            <w:noWrap/>
            <w:vAlign w:val="center"/>
          </w:tcPr>
          <w:p w14:paraId="1B1907A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tcBorders>
              <w:top w:val="nil"/>
              <w:left w:val="nil"/>
              <w:bottom w:val="single" w:sz="4" w:space="0" w:color="auto"/>
              <w:right w:val="nil"/>
            </w:tcBorders>
            <w:noWrap/>
            <w:vAlign w:val="center"/>
          </w:tcPr>
          <w:p w14:paraId="2A46A88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0.67</w:t>
            </w:r>
          </w:p>
        </w:tc>
        <w:tc>
          <w:tcPr>
            <w:tcW w:w="1595" w:type="dxa"/>
            <w:tcBorders>
              <w:top w:val="nil"/>
              <w:left w:val="nil"/>
              <w:bottom w:val="single" w:sz="4" w:space="0" w:color="auto"/>
              <w:right w:val="nil"/>
            </w:tcBorders>
            <w:noWrap/>
            <w:vAlign w:val="center"/>
          </w:tcPr>
          <w:p w14:paraId="73BCBC6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tcBorders>
              <w:top w:val="nil"/>
              <w:left w:val="nil"/>
              <w:bottom w:val="single" w:sz="4" w:space="0" w:color="auto"/>
              <w:right w:val="nil"/>
            </w:tcBorders>
            <w:noWrap/>
            <w:vAlign w:val="center"/>
          </w:tcPr>
          <w:p w14:paraId="2A94A87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12.9</w:t>
            </w:r>
          </w:p>
        </w:tc>
      </w:tr>
    </w:tbl>
    <w:p w14:paraId="635A3B93" w14:textId="77777777" w:rsidR="009C34D9" w:rsidRDefault="00735411">
      <w:pPr>
        <w:spacing w:line="480" w:lineRule="auto"/>
        <w:jc w:val="both"/>
        <w:rPr>
          <w:rFonts w:ascii="Arial" w:eastAsia="Times New Roman" w:hAnsi="Arial" w:cs="Arial"/>
          <w:iCs/>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i/>
          <w:vanish/>
          <w:sz w:val="20"/>
          <w:szCs w:val="20"/>
          <w:lang w:eastAsia="en-GB"/>
        </w:rPr>
        <w:cr/>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sz w:val="20"/>
          <w:szCs w:val="20"/>
          <w:lang w:eastAsia="en-GB"/>
        </w:rPr>
        <w:t>*, **, ***: Significant at p=0.05, p=0.01, and p=0.001 respectively. GY, grain yield</w:t>
      </w:r>
      <w:r>
        <w:rPr>
          <w:rFonts w:ascii="Arial" w:eastAsia="Times New Roman" w:hAnsi="Arial" w:cs="Arial"/>
          <w:i/>
          <w:sz w:val="20"/>
          <w:szCs w:val="20"/>
          <w:lang w:val="en-US" w:eastAsia="en-GB"/>
        </w:rPr>
        <w:t xml:space="preserve"> (T/Ha)</w:t>
      </w:r>
      <w:r>
        <w:rPr>
          <w:rFonts w:ascii="Arial" w:eastAsia="Times New Roman" w:hAnsi="Arial" w:cs="Arial"/>
          <w:i/>
          <w:sz w:val="20"/>
          <w:szCs w:val="20"/>
          <w:lang w:eastAsia="en-GB"/>
        </w:rPr>
        <w:t>; AD, days to 50% anthesis; PH, plant height</w:t>
      </w:r>
      <w:r>
        <w:rPr>
          <w:rFonts w:ascii="Arial" w:eastAsia="Times New Roman" w:hAnsi="Arial" w:cs="Arial"/>
          <w:i/>
          <w:sz w:val="20"/>
          <w:szCs w:val="20"/>
          <w:lang w:val="en-US" w:eastAsia="en-GB"/>
        </w:rPr>
        <w:t xml:space="preserve"> (cm)</w:t>
      </w:r>
      <w:r>
        <w:rPr>
          <w:rFonts w:ascii="Arial" w:eastAsia="Times New Roman" w:hAnsi="Arial" w:cs="Arial"/>
          <w:i/>
          <w:sz w:val="20"/>
          <w:szCs w:val="20"/>
          <w:lang w:eastAsia="en-GB"/>
        </w:rPr>
        <w:t xml:space="preserve">; EH, ear height (cm); HC, husk over; ER, ear rot; GLS, Grey leaf spot; NLB, northern leaf blight; EA, ear aspect; PA, plant aspect;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,genetic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GE</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GxE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ε</m:t>
            </m:r>
          </m:sub>
          <m:sup>
            <m:r>
              <w:rPr>
                <w:rFonts w:ascii="Cambria Math" w:eastAsia="Times New Roman" w:hAnsi="Cambria Math" w:cs="Arial"/>
                <w:sz w:val="20"/>
                <w:szCs w:val="20"/>
                <w:lang w:eastAsia="en-GB"/>
              </w:rPr>
              <m:t>2</m:t>
            </m:r>
          </m:sup>
        </m:sSubSup>
      </m:oMath>
      <w:r>
        <w:rPr>
          <w:rFonts w:ascii="Arial" w:eastAsia="Times New Roman" w:hAnsi="Arial" w:cs="Arial"/>
          <w:i/>
          <w:sz w:val="20"/>
          <w:szCs w:val="20"/>
          <w:lang w:eastAsia="en-GB"/>
        </w:rPr>
        <w:t xml:space="preserve"> residual variance,</w:t>
      </w:r>
      <w:r>
        <w:rPr>
          <w:rFonts w:ascii="Arial" w:eastAsia="Times New Roman" w:hAnsi="Arial" w:cs="Arial"/>
          <w:i/>
          <w:iCs/>
          <w:sz w:val="20"/>
          <w:szCs w:val="20"/>
          <w:lang w:eastAsia="en-GB"/>
        </w:rPr>
        <w:t>H</w:t>
      </w:r>
      <w:r>
        <w:rPr>
          <w:rFonts w:ascii="Arial" w:eastAsia="Times New Roman" w:hAnsi="Arial" w:cs="Arial"/>
          <w:i/>
          <w:iCs/>
          <w:sz w:val="20"/>
          <w:szCs w:val="20"/>
          <w:vertAlign w:val="superscript"/>
          <w:lang w:eastAsia="en-GB"/>
        </w:rPr>
        <w:t>2</w:t>
      </w:r>
      <w:r>
        <w:rPr>
          <w:rFonts w:ascii="Arial" w:eastAsia="Times New Roman" w:hAnsi="Arial" w:cs="Arial"/>
          <w:i/>
          <w:iCs/>
          <w:sz w:val="20"/>
          <w:szCs w:val="20"/>
          <w:lang w:eastAsia="en-GB"/>
        </w:rPr>
        <w:t>, Heritability, LSD</w:t>
      </w:r>
      <w:r>
        <w:rPr>
          <w:rFonts w:ascii="Arial" w:eastAsia="Times New Roman" w:hAnsi="Arial" w:cs="Arial"/>
          <w:i/>
          <w:iCs/>
          <w:sz w:val="20"/>
          <w:szCs w:val="20"/>
          <w:vertAlign w:val="subscript"/>
          <w:lang w:eastAsia="en-GB"/>
        </w:rPr>
        <w:t>0.05</w:t>
      </w:r>
      <w:r>
        <w:rPr>
          <w:rFonts w:ascii="Arial" w:eastAsia="Times New Roman" w:hAnsi="Arial" w:cs="Arial"/>
          <w:i/>
          <w:iCs/>
          <w:sz w:val="20"/>
          <w:szCs w:val="20"/>
          <w:lang w:eastAsia="en-GB"/>
        </w:rPr>
        <w:t>, least significant difference; CV, coefficient of variation.</w:t>
      </w:r>
    </w:p>
    <w:tbl>
      <w:tblPr>
        <w:tblW w:w="13714" w:type="dxa"/>
        <w:tblInd w:w="108" w:type="dxa"/>
        <w:tblLook w:val="04A0" w:firstRow="1" w:lastRow="0" w:firstColumn="1" w:lastColumn="0" w:noHBand="0" w:noVBand="1"/>
      </w:tblPr>
      <w:tblGrid>
        <w:gridCol w:w="1191"/>
        <w:gridCol w:w="1446"/>
        <w:gridCol w:w="1445"/>
        <w:gridCol w:w="1336"/>
        <w:gridCol w:w="1031"/>
        <w:gridCol w:w="1031"/>
        <w:gridCol w:w="946"/>
        <w:gridCol w:w="804"/>
        <w:gridCol w:w="1329"/>
        <w:gridCol w:w="982"/>
        <w:gridCol w:w="1128"/>
        <w:gridCol w:w="1045"/>
      </w:tblGrid>
      <w:tr w:rsidR="009C34D9" w14:paraId="4913663F" w14:textId="77777777" w:rsidTr="00CB77B6">
        <w:trPr>
          <w:trHeight w:val="337"/>
        </w:trPr>
        <w:tc>
          <w:tcPr>
            <w:tcW w:w="13714" w:type="dxa"/>
            <w:gridSpan w:val="12"/>
            <w:tcBorders>
              <w:top w:val="nil"/>
              <w:left w:val="nil"/>
              <w:bottom w:val="single" w:sz="4" w:space="0" w:color="auto"/>
              <w:right w:val="nil"/>
            </w:tcBorders>
            <w:shd w:val="clear" w:color="auto" w:fill="auto"/>
            <w:noWrap/>
            <w:vAlign w:val="bottom"/>
          </w:tcPr>
          <w:p w14:paraId="17AC53B1" w14:textId="77777777" w:rsidR="009C34D9" w:rsidRDefault="00735411">
            <w:pPr>
              <w:spacing w:after="0"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lastRenderedPageBreak/>
              <w:t xml:space="preserve">Table 5. </w:t>
            </w:r>
            <w:r w:rsidR="00CB77B6">
              <w:rPr>
                <w:rFonts w:ascii="Arial" w:eastAsia="Times New Roman" w:hAnsi="Arial" w:cs="Arial"/>
                <w:b/>
                <w:color w:val="000000"/>
                <w:sz w:val="20"/>
                <w:szCs w:val="20"/>
                <w:lang w:eastAsia="en-GB"/>
              </w:rPr>
              <w:t>Mean hy</w:t>
            </w:r>
            <w:r>
              <w:rPr>
                <w:rFonts w:ascii="Arial" w:eastAsia="Times New Roman" w:hAnsi="Arial" w:cs="Arial"/>
                <w:b/>
                <w:color w:val="000000"/>
                <w:sz w:val="20"/>
                <w:szCs w:val="20"/>
                <w:lang w:eastAsia="en-GB"/>
              </w:rPr>
              <w:t>brid performance of the best and least 5 testcrosses and checks for grain yield and yield-related traits across locations</w:t>
            </w:r>
          </w:p>
        </w:tc>
      </w:tr>
      <w:tr w:rsidR="009C34D9" w14:paraId="797C0765"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08465A8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Entry</w:t>
            </w:r>
          </w:p>
        </w:tc>
        <w:tc>
          <w:tcPr>
            <w:tcW w:w="1446" w:type="dxa"/>
            <w:tcBorders>
              <w:top w:val="single" w:sz="4" w:space="0" w:color="auto"/>
              <w:left w:val="nil"/>
              <w:bottom w:val="single" w:sz="4" w:space="0" w:color="auto"/>
              <w:right w:val="nil"/>
            </w:tcBorders>
            <w:shd w:val="clear" w:color="auto" w:fill="auto"/>
            <w:noWrap/>
            <w:vAlign w:val="bottom"/>
          </w:tcPr>
          <w:p w14:paraId="0E0BA624"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Testcross</w:t>
            </w:r>
          </w:p>
        </w:tc>
        <w:tc>
          <w:tcPr>
            <w:tcW w:w="1445" w:type="dxa"/>
            <w:tcBorders>
              <w:top w:val="single" w:sz="4" w:space="0" w:color="auto"/>
              <w:left w:val="nil"/>
              <w:bottom w:val="single" w:sz="4" w:space="0" w:color="auto"/>
              <w:right w:val="nil"/>
            </w:tcBorders>
            <w:shd w:val="clear" w:color="auto" w:fill="auto"/>
            <w:noWrap/>
            <w:vAlign w:val="bottom"/>
          </w:tcPr>
          <w:p w14:paraId="6FF17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GY</w:t>
            </w:r>
          </w:p>
        </w:tc>
        <w:tc>
          <w:tcPr>
            <w:tcW w:w="1336" w:type="dxa"/>
            <w:tcBorders>
              <w:top w:val="single" w:sz="4" w:space="0" w:color="auto"/>
              <w:left w:val="nil"/>
              <w:bottom w:val="single" w:sz="4" w:space="0" w:color="auto"/>
              <w:right w:val="nil"/>
            </w:tcBorders>
            <w:shd w:val="clear" w:color="auto" w:fill="auto"/>
            <w:noWrap/>
            <w:vAlign w:val="bottom"/>
          </w:tcPr>
          <w:p w14:paraId="1D53CC1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w:t>
            </w:r>
          </w:p>
        </w:tc>
        <w:tc>
          <w:tcPr>
            <w:tcW w:w="1031" w:type="dxa"/>
            <w:tcBorders>
              <w:top w:val="single" w:sz="4" w:space="0" w:color="auto"/>
              <w:left w:val="nil"/>
              <w:bottom w:val="single" w:sz="4" w:space="0" w:color="auto"/>
              <w:right w:val="nil"/>
            </w:tcBorders>
            <w:shd w:val="clear" w:color="auto" w:fill="auto"/>
            <w:noWrap/>
            <w:vAlign w:val="bottom"/>
          </w:tcPr>
          <w:p w14:paraId="32C9C5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PH</w:t>
            </w:r>
          </w:p>
        </w:tc>
        <w:tc>
          <w:tcPr>
            <w:tcW w:w="1031" w:type="dxa"/>
            <w:tcBorders>
              <w:top w:val="single" w:sz="4" w:space="0" w:color="auto"/>
              <w:left w:val="nil"/>
              <w:bottom w:val="single" w:sz="4" w:space="0" w:color="auto"/>
              <w:right w:val="nil"/>
            </w:tcBorders>
            <w:shd w:val="clear" w:color="auto" w:fill="auto"/>
            <w:noWrap/>
            <w:vAlign w:val="bottom"/>
          </w:tcPr>
          <w:p w14:paraId="01A6F6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EH</w:t>
            </w:r>
          </w:p>
        </w:tc>
        <w:tc>
          <w:tcPr>
            <w:tcW w:w="946" w:type="dxa"/>
            <w:tcBorders>
              <w:top w:val="single" w:sz="4" w:space="0" w:color="auto"/>
              <w:left w:val="nil"/>
              <w:bottom w:val="single" w:sz="4" w:space="0" w:color="auto"/>
              <w:right w:val="nil"/>
            </w:tcBorders>
            <w:shd w:val="clear" w:color="auto" w:fill="auto"/>
            <w:noWrap/>
            <w:vAlign w:val="bottom"/>
          </w:tcPr>
          <w:p w14:paraId="7D5CD6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HC</w:t>
            </w:r>
          </w:p>
        </w:tc>
        <w:tc>
          <w:tcPr>
            <w:tcW w:w="804" w:type="dxa"/>
            <w:tcBorders>
              <w:top w:val="single" w:sz="4" w:space="0" w:color="auto"/>
              <w:left w:val="nil"/>
              <w:bottom w:val="single" w:sz="4" w:space="0" w:color="auto"/>
              <w:right w:val="nil"/>
            </w:tcBorders>
            <w:shd w:val="clear" w:color="auto" w:fill="auto"/>
            <w:noWrap/>
            <w:vAlign w:val="bottom"/>
          </w:tcPr>
          <w:p w14:paraId="6D8F10D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ER</w:t>
            </w:r>
          </w:p>
        </w:tc>
        <w:tc>
          <w:tcPr>
            <w:tcW w:w="1329" w:type="dxa"/>
            <w:tcBorders>
              <w:top w:val="single" w:sz="4" w:space="0" w:color="auto"/>
              <w:left w:val="nil"/>
              <w:bottom w:val="single" w:sz="4" w:space="0" w:color="auto"/>
              <w:right w:val="nil"/>
            </w:tcBorders>
            <w:shd w:val="clear" w:color="auto" w:fill="auto"/>
            <w:noWrap/>
            <w:vAlign w:val="bottom"/>
          </w:tcPr>
          <w:p w14:paraId="2485181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GLS</w:t>
            </w:r>
          </w:p>
        </w:tc>
        <w:tc>
          <w:tcPr>
            <w:tcW w:w="982" w:type="dxa"/>
            <w:tcBorders>
              <w:top w:val="single" w:sz="4" w:space="0" w:color="auto"/>
              <w:left w:val="nil"/>
              <w:bottom w:val="single" w:sz="4" w:space="0" w:color="auto"/>
              <w:right w:val="nil"/>
            </w:tcBorders>
            <w:shd w:val="clear" w:color="auto" w:fill="auto"/>
            <w:noWrap/>
            <w:vAlign w:val="bottom"/>
          </w:tcPr>
          <w:p w14:paraId="20F9EF11"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NLB</w:t>
            </w:r>
          </w:p>
        </w:tc>
        <w:tc>
          <w:tcPr>
            <w:tcW w:w="1128" w:type="dxa"/>
            <w:tcBorders>
              <w:top w:val="single" w:sz="4" w:space="0" w:color="auto"/>
              <w:left w:val="nil"/>
              <w:bottom w:val="single" w:sz="4" w:space="0" w:color="auto"/>
              <w:right w:val="nil"/>
            </w:tcBorders>
            <w:shd w:val="clear" w:color="auto" w:fill="auto"/>
            <w:noWrap/>
            <w:vAlign w:val="bottom"/>
          </w:tcPr>
          <w:p w14:paraId="2F55284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EA</w:t>
            </w:r>
          </w:p>
        </w:tc>
        <w:tc>
          <w:tcPr>
            <w:tcW w:w="1040" w:type="dxa"/>
            <w:tcBorders>
              <w:top w:val="single" w:sz="4" w:space="0" w:color="auto"/>
              <w:left w:val="nil"/>
              <w:bottom w:val="single" w:sz="4" w:space="0" w:color="auto"/>
              <w:right w:val="nil"/>
            </w:tcBorders>
            <w:shd w:val="clear" w:color="auto" w:fill="auto"/>
            <w:noWrap/>
            <w:vAlign w:val="bottom"/>
          </w:tcPr>
          <w:p w14:paraId="70F81CF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w:t>
            </w:r>
          </w:p>
        </w:tc>
      </w:tr>
      <w:tr w:rsidR="009C34D9" w14:paraId="7F1F6773"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26349B9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w:t>
            </w:r>
          </w:p>
        </w:tc>
        <w:tc>
          <w:tcPr>
            <w:tcW w:w="1446" w:type="dxa"/>
            <w:tcBorders>
              <w:top w:val="single" w:sz="4" w:space="0" w:color="auto"/>
              <w:left w:val="nil"/>
              <w:bottom w:val="nil"/>
              <w:right w:val="nil"/>
            </w:tcBorders>
            <w:shd w:val="clear" w:color="auto" w:fill="auto"/>
            <w:noWrap/>
            <w:vAlign w:val="bottom"/>
          </w:tcPr>
          <w:p w14:paraId="4B429B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L45×TA</w:t>
            </w:r>
          </w:p>
        </w:tc>
        <w:tc>
          <w:tcPr>
            <w:tcW w:w="1445" w:type="dxa"/>
            <w:tcBorders>
              <w:top w:val="single" w:sz="4" w:space="0" w:color="auto"/>
              <w:left w:val="nil"/>
              <w:bottom w:val="nil"/>
              <w:right w:val="nil"/>
            </w:tcBorders>
            <w:shd w:val="clear" w:color="auto" w:fill="auto"/>
            <w:noWrap/>
            <w:vAlign w:val="bottom"/>
          </w:tcPr>
          <w:p w14:paraId="5554193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12.4</w:t>
            </w:r>
          </w:p>
        </w:tc>
        <w:tc>
          <w:tcPr>
            <w:tcW w:w="1336" w:type="dxa"/>
            <w:tcBorders>
              <w:top w:val="single" w:sz="4" w:space="0" w:color="auto"/>
              <w:left w:val="nil"/>
              <w:bottom w:val="nil"/>
              <w:right w:val="nil"/>
            </w:tcBorders>
            <w:shd w:val="clear" w:color="auto" w:fill="auto"/>
            <w:noWrap/>
            <w:vAlign w:val="bottom"/>
          </w:tcPr>
          <w:p w14:paraId="165881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single" w:sz="4" w:space="0" w:color="auto"/>
              <w:left w:val="nil"/>
              <w:bottom w:val="nil"/>
              <w:right w:val="nil"/>
            </w:tcBorders>
            <w:shd w:val="clear" w:color="auto" w:fill="auto"/>
            <w:noWrap/>
            <w:vAlign w:val="bottom"/>
          </w:tcPr>
          <w:p w14:paraId="5C6C73D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259.4</w:t>
            </w:r>
          </w:p>
        </w:tc>
        <w:tc>
          <w:tcPr>
            <w:tcW w:w="1031" w:type="dxa"/>
            <w:tcBorders>
              <w:top w:val="single" w:sz="4" w:space="0" w:color="auto"/>
              <w:left w:val="nil"/>
              <w:bottom w:val="nil"/>
              <w:right w:val="nil"/>
            </w:tcBorders>
            <w:shd w:val="clear" w:color="auto" w:fill="auto"/>
            <w:noWrap/>
            <w:vAlign w:val="bottom"/>
          </w:tcPr>
          <w:p w14:paraId="47A4303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125.8</w:t>
            </w:r>
          </w:p>
        </w:tc>
        <w:tc>
          <w:tcPr>
            <w:tcW w:w="946" w:type="dxa"/>
            <w:tcBorders>
              <w:top w:val="single" w:sz="4" w:space="0" w:color="auto"/>
              <w:left w:val="nil"/>
              <w:bottom w:val="nil"/>
              <w:right w:val="nil"/>
            </w:tcBorders>
            <w:shd w:val="clear" w:color="auto" w:fill="auto"/>
            <w:noWrap/>
            <w:vAlign w:val="bottom"/>
          </w:tcPr>
          <w:p w14:paraId="00DA30D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48.5</w:t>
            </w:r>
          </w:p>
        </w:tc>
        <w:tc>
          <w:tcPr>
            <w:tcW w:w="804" w:type="dxa"/>
            <w:tcBorders>
              <w:top w:val="single" w:sz="4" w:space="0" w:color="auto"/>
              <w:left w:val="nil"/>
              <w:bottom w:val="nil"/>
              <w:right w:val="nil"/>
            </w:tcBorders>
            <w:shd w:val="clear" w:color="auto" w:fill="auto"/>
            <w:noWrap/>
            <w:vAlign w:val="bottom"/>
          </w:tcPr>
          <w:p w14:paraId="4D900B1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w:t>
            </w:r>
          </w:p>
        </w:tc>
        <w:tc>
          <w:tcPr>
            <w:tcW w:w="1329" w:type="dxa"/>
            <w:tcBorders>
              <w:top w:val="single" w:sz="4" w:space="0" w:color="auto"/>
              <w:left w:val="nil"/>
              <w:bottom w:val="nil"/>
              <w:right w:val="nil"/>
            </w:tcBorders>
            <w:shd w:val="clear" w:color="auto" w:fill="auto"/>
            <w:noWrap/>
            <w:vAlign w:val="bottom"/>
          </w:tcPr>
          <w:p w14:paraId="2A06FF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w:t>
            </w:r>
          </w:p>
        </w:tc>
        <w:tc>
          <w:tcPr>
            <w:tcW w:w="982" w:type="dxa"/>
            <w:tcBorders>
              <w:top w:val="single" w:sz="4" w:space="0" w:color="auto"/>
              <w:left w:val="nil"/>
              <w:bottom w:val="nil"/>
              <w:right w:val="nil"/>
            </w:tcBorders>
            <w:shd w:val="clear" w:color="auto" w:fill="auto"/>
            <w:noWrap/>
            <w:vAlign w:val="bottom"/>
          </w:tcPr>
          <w:p w14:paraId="698C42C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128" w:type="dxa"/>
            <w:tcBorders>
              <w:top w:val="single" w:sz="4" w:space="0" w:color="auto"/>
              <w:left w:val="nil"/>
              <w:bottom w:val="nil"/>
              <w:right w:val="nil"/>
            </w:tcBorders>
            <w:shd w:val="clear" w:color="auto" w:fill="auto"/>
            <w:noWrap/>
            <w:vAlign w:val="bottom"/>
          </w:tcPr>
          <w:p w14:paraId="44E9BFF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single" w:sz="4" w:space="0" w:color="auto"/>
              <w:left w:val="nil"/>
              <w:bottom w:val="nil"/>
              <w:right w:val="nil"/>
            </w:tcBorders>
            <w:shd w:val="clear" w:color="auto" w:fill="auto"/>
            <w:noWrap/>
            <w:vAlign w:val="bottom"/>
          </w:tcPr>
          <w:p w14:paraId="5675C5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6CD03333" w14:textId="77777777" w:rsidTr="00CB77B6">
        <w:trPr>
          <w:trHeight w:val="337"/>
        </w:trPr>
        <w:tc>
          <w:tcPr>
            <w:tcW w:w="1191" w:type="dxa"/>
            <w:tcBorders>
              <w:top w:val="nil"/>
              <w:left w:val="nil"/>
              <w:bottom w:val="nil"/>
              <w:right w:val="nil"/>
            </w:tcBorders>
            <w:shd w:val="clear" w:color="auto" w:fill="auto"/>
            <w:noWrap/>
            <w:vAlign w:val="bottom"/>
          </w:tcPr>
          <w:p w14:paraId="72D09B5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w:t>
            </w:r>
          </w:p>
        </w:tc>
        <w:tc>
          <w:tcPr>
            <w:tcW w:w="1446" w:type="dxa"/>
            <w:tcBorders>
              <w:top w:val="nil"/>
              <w:left w:val="nil"/>
              <w:bottom w:val="nil"/>
              <w:right w:val="nil"/>
            </w:tcBorders>
            <w:shd w:val="clear" w:color="auto" w:fill="auto"/>
            <w:noWrap/>
            <w:vAlign w:val="bottom"/>
          </w:tcPr>
          <w:p w14:paraId="47E530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L47×TA</w:t>
            </w:r>
          </w:p>
        </w:tc>
        <w:tc>
          <w:tcPr>
            <w:tcW w:w="1445" w:type="dxa"/>
            <w:tcBorders>
              <w:top w:val="nil"/>
              <w:left w:val="nil"/>
              <w:bottom w:val="nil"/>
              <w:right w:val="nil"/>
            </w:tcBorders>
            <w:shd w:val="clear" w:color="auto" w:fill="auto"/>
            <w:noWrap/>
            <w:vAlign w:val="bottom"/>
          </w:tcPr>
          <w:p w14:paraId="3E91D9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11.2</w:t>
            </w:r>
          </w:p>
        </w:tc>
        <w:tc>
          <w:tcPr>
            <w:tcW w:w="1336" w:type="dxa"/>
            <w:tcBorders>
              <w:top w:val="nil"/>
              <w:left w:val="nil"/>
              <w:bottom w:val="nil"/>
              <w:right w:val="nil"/>
            </w:tcBorders>
            <w:shd w:val="clear" w:color="auto" w:fill="auto"/>
            <w:noWrap/>
            <w:vAlign w:val="bottom"/>
          </w:tcPr>
          <w:p w14:paraId="7C63E6F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nil"/>
              <w:left w:val="nil"/>
              <w:bottom w:val="nil"/>
              <w:right w:val="nil"/>
            </w:tcBorders>
            <w:shd w:val="clear" w:color="auto" w:fill="auto"/>
            <w:noWrap/>
            <w:vAlign w:val="bottom"/>
          </w:tcPr>
          <w:p w14:paraId="1F9FA2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249.0</w:t>
            </w:r>
          </w:p>
        </w:tc>
        <w:tc>
          <w:tcPr>
            <w:tcW w:w="1031" w:type="dxa"/>
            <w:tcBorders>
              <w:top w:val="nil"/>
              <w:left w:val="nil"/>
              <w:bottom w:val="nil"/>
              <w:right w:val="nil"/>
            </w:tcBorders>
            <w:shd w:val="clear" w:color="auto" w:fill="auto"/>
            <w:noWrap/>
            <w:vAlign w:val="bottom"/>
          </w:tcPr>
          <w:p w14:paraId="4A22AD2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142.8</w:t>
            </w:r>
          </w:p>
        </w:tc>
        <w:tc>
          <w:tcPr>
            <w:tcW w:w="946" w:type="dxa"/>
            <w:tcBorders>
              <w:top w:val="nil"/>
              <w:left w:val="nil"/>
              <w:bottom w:val="nil"/>
              <w:right w:val="nil"/>
            </w:tcBorders>
            <w:shd w:val="clear" w:color="auto" w:fill="auto"/>
            <w:noWrap/>
            <w:vAlign w:val="bottom"/>
          </w:tcPr>
          <w:p w14:paraId="2F59A60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70.6</w:t>
            </w:r>
          </w:p>
        </w:tc>
        <w:tc>
          <w:tcPr>
            <w:tcW w:w="804" w:type="dxa"/>
            <w:tcBorders>
              <w:top w:val="nil"/>
              <w:left w:val="nil"/>
              <w:bottom w:val="nil"/>
              <w:right w:val="nil"/>
            </w:tcBorders>
            <w:shd w:val="clear" w:color="auto" w:fill="auto"/>
            <w:noWrap/>
            <w:vAlign w:val="bottom"/>
          </w:tcPr>
          <w:p w14:paraId="1D444EB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1329" w:type="dxa"/>
            <w:tcBorders>
              <w:top w:val="nil"/>
              <w:left w:val="nil"/>
              <w:bottom w:val="nil"/>
              <w:right w:val="nil"/>
            </w:tcBorders>
            <w:shd w:val="clear" w:color="auto" w:fill="auto"/>
            <w:noWrap/>
            <w:vAlign w:val="bottom"/>
          </w:tcPr>
          <w:p w14:paraId="608C7DF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982" w:type="dxa"/>
            <w:tcBorders>
              <w:top w:val="nil"/>
              <w:left w:val="nil"/>
              <w:bottom w:val="nil"/>
              <w:right w:val="nil"/>
            </w:tcBorders>
            <w:shd w:val="clear" w:color="auto" w:fill="auto"/>
            <w:noWrap/>
            <w:vAlign w:val="bottom"/>
          </w:tcPr>
          <w:p w14:paraId="08C99B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396C4D8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040" w:type="dxa"/>
            <w:tcBorders>
              <w:top w:val="nil"/>
              <w:left w:val="nil"/>
              <w:bottom w:val="nil"/>
              <w:right w:val="nil"/>
            </w:tcBorders>
            <w:shd w:val="clear" w:color="auto" w:fill="auto"/>
            <w:noWrap/>
            <w:vAlign w:val="bottom"/>
          </w:tcPr>
          <w:p w14:paraId="0AE7771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E7D5702" w14:textId="77777777" w:rsidTr="00CB77B6">
        <w:trPr>
          <w:trHeight w:val="337"/>
        </w:trPr>
        <w:tc>
          <w:tcPr>
            <w:tcW w:w="1191" w:type="dxa"/>
            <w:tcBorders>
              <w:top w:val="nil"/>
              <w:left w:val="nil"/>
              <w:bottom w:val="nil"/>
              <w:right w:val="nil"/>
            </w:tcBorders>
            <w:shd w:val="clear" w:color="auto" w:fill="auto"/>
            <w:noWrap/>
            <w:vAlign w:val="bottom"/>
          </w:tcPr>
          <w:p w14:paraId="0A490B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w:t>
            </w:r>
          </w:p>
        </w:tc>
        <w:tc>
          <w:tcPr>
            <w:tcW w:w="1446" w:type="dxa"/>
            <w:tcBorders>
              <w:top w:val="nil"/>
              <w:left w:val="nil"/>
              <w:bottom w:val="nil"/>
              <w:right w:val="nil"/>
            </w:tcBorders>
            <w:shd w:val="clear" w:color="auto" w:fill="auto"/>
            <w:noWrap/>
            <w:vAlign w:val="bottom"/>
          </w:tcPr>
          <w:p w14:paraId="2F56EDC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L35×TB</w:t>
            </w:r>
          </w:p>
        </w:tc>
        <w:tc>
          <w:tcPr>
            <w:tcW w:w="1445" w:type="dxa"/>
            <w:tcBorders>
              <w:top w:val="nil"/>
              <w:left w:val="nil"/>
              <w:bottom w:val="nil"/>
              <w:right w:val="nil"/>
            </w:tcBorders>
            <w:shd w:val="clear" w:color="auto" w:fill="auto"/>
            <w:noWrap/>
            <w:vAlign w:val="bottom"/>
          </w:tcPr>
          <w:p w14:paraId="34EC9C2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11.0</w:t>
            </w:r>
          </w:p>
        </w:tc>
        <w:tc>
          <w:tcPr>
            <w:tcW w:w="1336" w:type="dxa"/>
            <w:tcBorders>
              <w:top w:val="nil"/>
              <w:left w:val="nil"/>
              <w:bottom w:val="nil"/>
              <w:right w:val="nil"/>
            </w:tcBorders>
            <w:shd w:val="clear" w:color="auto" w:fill="auto"/>
            <w:noWrap/>
            <w:vAlign w:val="bottom"/>
          </w:tcPr>
          <w:p w14:paraId="742F21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F2F2C6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250.9</w:t>
            </w:r>
          </w:p>
        </w:tc>
        <w:tc>
          <w:tcPr>
            <w:tcW w:w="1031" w:type="dxa"/>
            <w:tcBorders>
              <w:top w:val="nil"/>
              <w:left w:val="nil"/>
              <w:bottom w:val="nil"/>
              <w:right w:val="nil"/>
            </w:tcBorders>
            <w:shd w:val="clear" w:color="auto" w:fill="auto"/>
            <w:noWrap/>
            <w:vAlign w:val="bottom"/>
          </w:tcPr>
          <w:p w14:paraId="5FC646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126.9</w:t>
            </w:r>
          </w:p>
        </w:tc>
        <w:tc>
          <w:tcPr>
            <w:tcW w:w="946" w:type="dxa"/>
            <w:tcBorders>
              <w:top w:val="nil"/>
              <w:left w:val="nil"/>
              <w:bottom w:val="nil"/>
              <w:right w:val="nil"/>
            </w:tcBorders>
            <w:shd w:val="clear" w:color="auto" w:fill="auto"/>
            <w:noWrap/>
            <w:vAlign w:val="bottom"/>
          </w:tcPr>
          <w:p w14:paraId="548B7E5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c>
          <w:tcPr>
            <w:tcW w:w="804" w:type="dxa"/>
            <w:tcBorders>
              <w:top w:val="nil"/>
              <w:left w:val="nil"/>
              <w:bottom w:val="nil"/>
              <w:right w:val="nil"/>
            </w:tcBorders>
            <w:shd w:val="clear" w:color="auto" w:fill="auto"/>
            <w:noWrap/>
            <w:vAlign w:val="bottom"/>
          </w:tcPr>
          <w:p w14:paraId="067B4B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w:t>
            </w:r>
          </w:p>
        </w:tc>
        <w:tc>
          <w:tcPr>
            <w:tcW w:w="1329" w:type="dxa"/>
            <w:tcBorders>
              <w:top w:val="nil"/>
              <w:left w:val="nil"/>
              <w:bottom w:val="nil"/>
              <w:right w:val="nil"/>
            </w:tcBorders>
            <w:shd w:val="clear" w:color="auto" w:fill="auto"/>
            <w:noWrap/>
            <w:vAlign w:val="bottom"/>
          </w:tcPr>
          <w:p w14:paraId="4309F47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nil"/>
              <w:right w:val="nil"/>
            </w:tcBorders>
            <w:shd w:val="clear" w:color="auto" w:fill="auto"/>
            <w:noWrap/>
            <w:vAlign w:val="bottom"/>
          </w:tcPr>
          <w:p w14:paraId="6FF508F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2666F13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1040" w:type="dxa"/>
            <w:tcBorders>
              <w:top w:val="nil"/>
              <w:left w:val="nil"/>
              <w:bottom w:val="nil"/>
              <w:right w:val="nil"/>
            </w:tcBorders>
            <w:shd w:val="clear" w:color="auto" w:fill="auto"/>
            <w:noWrap/>
            <w:vAlign w:val="bottom"/>
          </w:tcPr>
          <w:p w14:paraId="56405EB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r>
      <w:tr w:rsidR="009C34D9" w14:paraId="36AC7F44" w14:textId="77777777" w:rsidTr="00CB77B6">
        <w:trPr>
          <w:trHeight w:val="337"/>
        </w:trPr>
        <w:tc>
          <w:tcPr>
            <w:tcW w:w="1191" w:type="dxa"/>
            <w:tcBorders>
              <w:top w:val="nil"/>
              <w:left w:val="nil"/>
              <w:bottom w:val="nil"/>
              <w:right w:val="nil"/>
            </w:tcBorders>
            <w:shd w:val="clear" w:color="auto" w:fill="auto"/>
            <w:noWrap/>
            <w:vAlign w:val="bottom"/>
          </w:tcPr>
          <w:p w14:paraId="297FD619"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1446" w:type="dxa"/>
            <w:tcBorders>
              <w:top w:val="nil"/>
              <w:left w:val="nil"/>
              <w:bottom w:val="nil"/>
              <w:right w:val="nil"/>
            </w:tcBorders>
            <w:shd w:val="clear" w:color="auto" w:fill="auto"/>
            <w:noWrap/>
            <w:vAlign w:val="bottom"/>
          </w:tcPr>
          <w:p w14:paraId="284545F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L35×TA</w:t>
            </w:r>
          </w:p>
        </w:tc>
        <w:tc>
          <w:tcPr>
            <w:tcW w:w="1445" w:type="dxa"/>
            <w:tcBorders>
              <w:top w:val="nil"/>
              <w:left w:val="nil"/>
              <w:bottom w:val="nil"/>
              <w:right w:val="nil"/>
            </w:tcBorders>
            <w:shd w:val="clear" w:color="auto" w:fill="auto"/>
            <w:noWrap/>
            <w:vAlign w:val="bottom"/>
          </w:tcPr>
          <w:p w14:paraId="049ACA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nil"/>
              <w:right w:val="nil"/>
            </w:tcBorders>
            <w:shd w:val="clear" w:color="auto" w:fill="auto"/>
            <w:noWrap/>
            <w:vAlign w:val="bottom"/>
          </w:tcPr>
          <w:p w14:paraId="415C8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w:t>
            </w:r>
          </w:p>
        </w:tc>
        <w:tc>
          <w:tcPr>
            <w:tcW w:w="1031" w:type="dxa"/>
            <w:tcBorders>
              <w:top w:val="nil"/>
              <w:left w:val="nil"/>
              <w:bottom w:val="nil"/>
              <w:right w:val="nil"/>
            </w:tcBorders>
            <w:shd w:val="clear" w:color="auto" w:fill="auto"/>
            <w:noWrap/>
            <w:vAlign w:val="bottom"/>
          </w:tcPr>
          <w:p w14:paraId="1695806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261.2</w:t>
            </w:r>
          </w:p>
        </w:tc>
        <w:tc>
          <w:tcPr>
            <w:tcW w:w="1031" w:type="dxa"/>
            <w:tcBorders>
              <w:top w:val="nil"/>
              <w:left w:val="nil"/>
              <w:bottom w:val="nil"/>
              <w:right w:val="nil"/>
            </w:tcBorders>
            <w:shd w:val="clear" w:color="auto" w:fill="auto"/>
            <w:noWrap/>
            <w:vAlign w:val="bottom"/>
          </w:tcPr>
          <w:p w14:paraId="006B17F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140.7</w:t>
            </w:r>
          </w:p>
        </w:tc>
        <w:tc>
          <w:tcPr>
            <w:tcW w:w="946" w:type="dxa"/>
            <w:tcBorders>
              <w:top w:val="nil"/>
              <w:left w:val="nil"/>
              <w:bottom w:val="nil"/>
              <w:right w:val="nil"/>
            </w:tcBorders>
            <w:shd w:val="clear" w:color="auto" w:fill="auto"/>
            <w:noWrap/>
            <w:vAlign w:val="bottom"/>
          </w:tcPr>
          <w:p w14:paraId="2783AC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20.4</w:t>
            </w:r>
          </w:p>
        </w:tc>
        <w:tc>
          <w:tcPr>
            <w:tcW w:w="804" w:type="dxa"/>
            <w:tcBorders>
              <w:top w:val="nil"/>
              <w:left w:val="nil"/>
              <w:bottom w:val="nil"/>
              <w:right w:val="nil"/>
            </w:tcBorders>
            <w:shd w:val="clear" w:color="auto" w:fill="auto"/>
            <w:noWrap/>
            <w:vAlign w:val="bottom"/>
          </w:tcPr>
          <w:p w14:paraId="0182A2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c>
          <w:tcPr>
            <w:tcW w:w="1329" w:type="dxa"/>
            <w:tcBorders>
              <w:top w:val="nil"/>
              <w:left w:val="nil"/>
              <w:bottom w:val="nil"/>
              <w:right w:val="nil"/>
            </w:tcBorders>
            <w:shd w:val="clear" w:color="auto" w:fill="auto"/>
            <w:noWrap/>
            <w:vAlign w:val="bottom"/>
          </w:tcPr>
          <w:p w14:paraId="0B9C85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0EBFECB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nil"/>
              <w:left w:val="nil"/>
              <w:bottom w:val="nil"/>
              <w:right w:val="nil"/>
            </w:tcBorders>
            <w:shd w:val="clear" w:color="auto" w:fill="auto"/>
            <w:noWrap/>
            <w:vAlign w:val="bottom"/>
          </w:tcPr>
          <w:p w14:paraId="73E7EC2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nil"/>
              <w:right w:val="nil"/>
            </w:tcBorders>
            <w:shd w:val="clear" w:color="auto" w:fill="auto"/>
            <w:noWrap/>
            <w:vAlign w:val="bottom"/>
          </w:tcPr>
          <w:p w14:paraId="235CB5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172DBC69"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129B264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1446" w:type="dxa"/>
            <w:tcBorders>
              <w:top w:val="nil"/>
              <w:left w:val="nil"/>
              <w:bottom w:val="single" w:sz="4" w:space="0" w:color="auto"/>
              <w:right w:val="nil"/>
            </w:tcBorders>
            <w:shd w:val="clear" w:color="auto" w:fill="auto"/>
            <w:noWrap/>
            <w:vAlign w:val="bottom"/>
          </w:tcPr>
          <w:p w14:paraId="65182BB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L34×TA</w:t>
            </w:r>
          </w:p>
        </w:tc>
        <w:tc>
          <w:tcPr>
            <w:tcW w:w="1445" w:type="dxa"/>
            <w:tcBorders>
              <w:top w:val="nil"/>
              <w:left w:val="nil"/>
              <w:bottom w:val="single" w:sz="4" w:space="0" w:color="auto"/>
              <w:right w:val="nil"/>
            </w:tcBorders>
            <w:shd w:val="clear" w:color="auto" w:fill="auto"/>
            <w:noWrap/>
            <w:vAlign w:val="bottom"/>
          </w:tcPr>
          <w:p w14:paraId="6B51CE9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single" w:sz="4" w:space="0" w:color="auto"/>
              <w:right w:val="nil"/>
            </w:tcBorders>
            <w:shd w:val="clear" w:color="auto" w:fill="auto"/>
            <w:noWrap/>
            <w:vAlign w:val="bottom"/>
          </w:tcPr>
          <w:p w14:paraId="3C7053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3C45CF7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248.9</w:t>
            </w:r>
          </w:p>
        </w:tc>
        <w:tc>
          <w:tcPr>
            <w:tcW w:w="1031" w:type="dxa"/>
            <w:tcBorders>
              <w:top w:val="nil"/>
              <w:left w:val="nil"/>
              <w:bottom w:val="single" w:sz="4" w:space="0" w:color="auto"/>
              <w:right w:val="nil"/>
            </w:tcBorders>
            <w:shd w:val="clear" w:color="auto" w:fill="auto"/>
            <w:noWrap/>
            <w:vAlign w:val="bottom"/>
          </w:tcPr>
          <w:p w14:paraId="5D34B8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127.7</w:t>
            </w:r>
          </w:p>
        </w:tc>
        <w:tc>
          <w:tcPr>
            <w:tcW w:w="946" w:type="dxa"/>
            <w:tcBorders>
              <w:top w:val="nil"/>
              <w:left w:val="nil"/>
              <w:bottom w:val="single" w:sz="4" w:space="0" w:color="auto"/>
              <w:right w:val="nil"/>
            </w:tcBorders>
            <w:shd w:val="clear" w:color="auto" w:fill="auto"/>
            <w:noWrap/>
            <w:vAlign w:val="bottom"/>
          </w:tcPr>
          <w:p w14:paraId="4A9C05B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48.1</w:t>
            </w:r>
          </w:p>
        </w:tc>
        <w:tc>
          <w:tcPr>
            <w:tcW w:w="804" w:type="dxa"/>
            <w:tcBorders>
              <w:top w:val="nil"/>
              <w:left w:val="nil"/>
              <w:bottom w:val="single" w:sz="4" w:space="0" w:color="auto"/>
              <w:right w:val="nil"/>
            </w:tcBorders>
            <w:shd w:val="clear" w:color="auto" w:fill="auto"/>
            <w:noWrap/>
            <w:vAlign w:val="bottom"/>
          </w:tcPr>
          <w:p w14:paraId="5E94997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329" w:type="dxa"/>
            <w:tcBorders>
              <w:top w:val="nil"/>
              <w:left w:val="nil"/>
              <w:bottom w:val="single" w:sz="4" w:space="0" w:color="auto"/>
              <w:right w:val="nil"/>
            </w:tcBorders>
            <w:shd w:val="clear" w:color="auto" w:fill="auto"/>
            <w:noWrap/>
            <w:vAlign w:val="bottom"/>
          </w:tcPr>
          <w:p w14:paraId="05D07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single" w:sz="4" w:space="0" w:color="auto"/>
              <w:right w:val="nil"/>
            </w:tcBorders>
            <w:shd w:val="clear" w:color="auto" w:fill="auto"/>
            <w:noWrap/>
            <w:vAlign w:val="bottom"/>
          </w:tcPr>
          <w:p w14:paraId="2944E2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single" w:sz="4" w:space="0" w:color="auto"/>
              <w:right w:val="nil"/>
            </w:tcBorders>
            <w:shd w:val="clear" w:color="auto" w:fill="auto"/>
            <w:noWrap/>
            <w:vAlign w:val="bottom"/>
          </w:tcPr>
          <w:p w14:paraId="52ABF0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nil"/>
              <w:left w:val="nil"/>
              <w:bottom w:val="single" w:sz="4" w:space="0" w:color="auto"/>
              <w:right w:val="nil"/>
            </w:tcBorders>
            <w:shd w:val="clear" w:color="auto" w:fill="auto"/>
            <w:noWrap/>
            <w:vAlign w:val="bottom"/>
          </w:tcPr>
          <w:p w14:paraId="2932A69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47DF505"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0A1BB8B"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446" w:type="dxa"/>
            <w:tcBorders>
              <w:top w:val="single" w:sz="4" w:space="0" w:color="auto"/>
              <w:left w:val="nil"/>
              <w:bottom w:val="nil"/>
              <w:right w:val="nil"/>
            </w:tcBorders>
            <w:shd w:val="clear" w:color="auto" w:fill="auto"/>
            <w:noWrap/>
            <w:vAlign w:val="bottom"/>
          </w:tcPr>
          <w:p w14:paraId="67A4B49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L24×TB</w:t>
            </w:r>
          </w:p>
        </w:tc>
        <w:tc>
          <w:tcPr>
            <w:tcW w:w="1445" w:type="dxa"/>
            <w:tcBorders>
              <w:top w:val="single" w:sz="4" w:space="0" w:color="auto"/>
              <w:left w:val="nil"/>
              <w:bottom w:val="nil"/>
              <w:right w:val="nil"/>
            </w:tcBorders>
            <w:shd w:val="clear" w:color="auto" w:fill="auto"/>
            <w:noWrap/>
            <w:vAlign w:val="bottom"/>
          </w:tcPr>
          <w:p w14:paraId="34AFD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w:t>
            </w:r>
          </w:p>
        </w:tc>
        <w:tc>
          <w:tcPr>
            <w:tcW w:w="1336" w:type="dxa"/>
            <w:tcBorders>
              <w:top w:val="single" w:sz="4" w:space="0" w:color="auto"/>
              <w:left w:val="nil"/>
              <w:bottom w:val="nil"/>
              <w:right w:val="nil"/>
            </w:tcBorders>
            <w:shd w:val="clear" w:color="auto" w:fill="auto"/>
            <w:noWrap/>
            <w:vAlign w:val="bottom"/>
          </w:tcPr>
          <w:p w14:paraId="58AACD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w:t>
            </w:r>
          </w:p>
        </w:tc>
        <w:tc>
          <w:tcPr>
            <w:tcW w:w="1031" w:type="dxa"/>
            <w:tcBorders>
              <w:top w:val="single" w:sz="4" w:space="0" w:color="auto"/>
              <w:left w:val="nil"/>
              <w:bottom w:val="nil"/>
              <w:right w:val="nil"/>
            </w:tcBorders>
            <w:shd w:val="clear" w:color="auto" w:fill="auto"/>
            <w:noWrap/>
            <w:vAlign w:val="bottom"/>
          </w:tcPr>
          <w:p w14:paraId="2B9A9D2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196.7</w:t>
            </w:r>
          </w:p>
        </w:tc>
        <w:tc>
          <w:tcPr>
            <w:tcW w:w="1031" w:type="dxa"/>
            <w:tcBorders>
              <w:top w:val="single" w:sz="4" w:space="0" w:color="auto"/>
              <w:left w:val="nil"/>
              <w:bottom w:val="nil"/>
              <w:right w:val="nil"/>
            </w:tcBorders>
            <w:shd w:val="clear" w:color="auto" w:fill="auto"/>
            <w:noWrap/>
            <w:vAlign w:val="bottom"/>
          </w:tcPr>
          <w:p w14:paraId="658B28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77.0</w:t>
            </w:r>
          </w:p>
        </w:tc>
        <w:tc>
          <w:tcPr>
            <w:tcW w:w="946" w:type="dxa"/>
            <w:tcBorders>
              <w:top w:val="single" w:sz="4" w:space="0" w:color="auto"/>
              <w:left w:val="nil"/>
              <w:bottom w:val="nil"/>
              <w:right w:val="nil"/>
            </w:tcBorders>
            <w:shd w:val="clear" w:color="auto" w:fill="auto"/>
            <w:noWrap/>
            <w:vAlign w:val="bottom"/>
          </w:tcPr>
          <w:p w14:paraId="2695CA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804" w:type="dxa"/>
            <w:tcBorders>
              <w:top w:val="single" w:sz="4" w:space="0" w:color="auto"/>
              <w:left w:val="nil"/>
              <w:bottom w:val="nil"/>
              <w:right w:val="nil"/>
            </w:tcBorders>
            <w:shd w:val="clear" w:color="auto" w:fill="auto"/>
            <w:noWrap/>
            <w:vAlign w:val="bottom"/>
          </w:tcPr>
          <w:p w14:paraId="5B8AF58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21.8</w:t>
            </w:r>
          </w:p>
        </w:tc>
        <w:tc>
          <w:tcPr>
            <w:tcW w:w="1329" w:type="dxa"/>
            <w:tcBorders>
              <w:top w:val="single" w:sz="4" w:space="0" w:color="auto"/>
              <w:left w:val="nil"/>
              <w:bottom w:val="nil"/>
              <w:right w:val="nil"/>
            </w:tcBorders>
            <w:shd w:val="clear" w:color="auto" w:fill="auto"/>
            <w:noWrap/>
            <w:vAlign w:val="bottom"/>
          </w:tcPr>
          <w:p w14:paraId="7CFA05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982" w:type="dxa"/>
            <w:tcBorders>
              <w:top w:val="single" w:sz="4" w:space="0" w:color="auto"/>
              <w:left w:val="nil"/>
              <w:bottom w:val="nil"/>
              <w:right w:val="nil"/>
            </w:tcBorders>
            <w:shd w:val="clear" w:color="auto" w:fill="auto"/>
            <w:noWrap/>
            <w:vAlign w:val="bottom"/>
          </w:tcPr>
          <w:p w14:paraId="1EB68C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single" w:sz="4" w:space="0" w:color="auto"/>
              <w:left w:val="nil"/>
              <w:bottom w:val="nil"/>
              <w:right w:val="nil"/>
            </w:tcBorders>
            <w:shd w:val="clear" w:color="auto" w:fill="auto"/>
            <w:noWrap/>
            <w:vAlign w:val="bottom"/>
          </w:tcPr>
          <w:p w14:paraId="5C45D31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w:t>
            </w:r>
          </w:p>
        </w:tc>
        <w:tc>
          <w:tcPr>
            <w:tcW w:w="1040" w:type="dxa"/>
            <w:tcBorders>
              <w:top w:val="single" w:sz="4" w:space="0" w:color="auto"/>
              <w:left w:val="nil"/>
              <w:bottom w:val="nil"/>
              <w:right w:val="nil"/>
            </w:tcBorders>
            <w:shd w:val="clear" w:color="auto" w:fill="auto"/>
            <w:noWrap/>
            <w:vAlign w:val="bottom"/>
          </w:tcPr>
          <w:p w14:paraId="7DC11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73FA082D" w14:textId="77777777" w:rsidTr="00CB77B6">
        <w:trPr>
          <w:trHeight w:val="337"/>
        </w:trPr>
        <w:tc>
          <w:tcPr>
            <w:tcW w:w="1191" w:type="dxa"/>
            <w:tcBorders>
              <w:top w:val="nil"/>
              <w:left w:val="nil"/>
              <w:bottom w:val="nil"/>
              <w:right w:val="nil"/>
            </w:tcBorders>
            <w:shd w:val="clear" w:color="auto" w:fill="auto"/>
            <w:noWrap/>
            <w:vAlign w:val="bottom"/>
          </w:tcPr>
          <w:p w14:paraId="1F2DC8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p>
        </w:tc>
        <w:tc>
          <w:tcPr>
            <w:tcW w:w="1446" w:type="dxa"/>
            <w:tcBorders>
              <w:top w:val="nil"/>
              <w:left w:val="nil"/>
              <w:bottom w:val="nil"/>
              <w:right w:val="nil"/>
            </w:tcBorders>
            <w:shd w:val="clear" w:color="auto" w:fill="auto"/>
            <w:noWrap/>
            <w:vAlign w:val="bottom"/>
          </w:tcPr>
          <w:p w14:paraId="3A7DA1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L25×TB</w:t>
            </w:r>
          </w:p>
        </w:tc>
        <w:tc>
          <w:tcPr>
            <w:tcW w:w="1445" w:type="dxa"/>
            <w:tcBorders>
              <w:top w:val="nil"/>
              <w:left w:val="nil"/>
              <w:bottom w:val="nil"/>
              <w:right w:val="nil"/>
            </w:tcBorders>
            <w:shd w:val="clear" w:color="auto" w:fill="auto"/>
            <w:noWrap/>
            <w:vAlign w:val="bottom"/>
          </w:tcPr>
          <w:p w14:paraId="009AAF4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w:t>
            </w:r>
          </w:p>
        </w:tc>
        <w:tc>
          <w:tcPr>
            <w:tcW w:w="1336" w:type="dxa"/>
            <w:tcBorders>
              <w:top w:val="nil"/>
              <w:left w:val="nil"/>
              <w:bottom w:val="nil"/>
              <w:right w:val="nil"/>
            </w:tcBorders>
            <w:shd w:val="clear" w:color="auto" w:fill="auto"/>
            <w:noWrap/>
            <w:vAlign w:val="bottom"/>
          </w:tcPr>
          <w:p w14:paraId="4943E7A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D1BB5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207.9</w:t>
            </w:r>
          </w:p>
        </w:tc>
        <w:tc>
          <w:tcPr>
            <w:tcW w:w="1031" w:type="dxa"/>
            <w:tcBorders>
              <w:top w:val="nil"/>
              <w:left w:val="nil"/>
              <w:bottom w:val="nil"/>
              <w:right w:val="nil"/>
            </w:tcBorders>
            <w:shd w:val="clear" w:color="auto" w:fill="auto"/>
            <w:noWrap/>
            <w:vAlign w:val="bottom"/>
          </w:tcPr>
          <w:p w14:paraId="3B0963B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97.2</w:t>
            </w:r>
          </w:p>
        </w:tc>
        <w:tc>
          <w:tcPr>
            <w:tcW w:w="946" w:type="dxa"/>
            <w:tcBorders>
              <w:top w:val="nil"/>
              <w:left w:val="nil"/>
              <w:bottom w:val="nil"/>
              <w:right w:val="nil"/>
            </w:tcBorders>
            <w:shd w:val="clear" w:color="auto" w:fill="auto"/>
            <w:noWrap/>
            <w:vAlign w:val="bottom"/>
          </w:tcPr>
          <w:p w14:paraId="724410E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14.3</w:t>
            </w:r>
          </w:p>
        </w:tc>
        <w:tc>
          <w:tcPr>
            <w:tcW w:w="804" w:type="dxa"/>
            <w:tcBorders>
              <w:top w:val="nil"/>
              <w:left w:val="nil"/>
              <w:bottom w:val="nil"/>
              <w:right w:val="nil"/>
            </w:tcBorders>
            <w:shd w:val="clear" w:color="auto" w:fill="auto"/>
            <w:noWrap/>
            <w:vAlign w:val="bottom"/>
          </w:tcPr>
          <w:p w14:paraId="3849D7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21.4</w:t>
            </w:r>
          </w:p>
        </w:tc>
        <w:tc>
          <w:tcPr>
            <w:tcW w:w="1329" w:type="dxa"/>
            <w:tcBorders>
              <w:top w:val="nil"/>
              <w:left w:val="nil"/>
              <w:bottom w:val="nil"/>
              <w:right w:val="nil"/>
            </w:tcBorders>
            <w:shd w:val="clear" w:color="auto" w:fill="auto"/>
            <w:noWrap/>
            <w:vAlign w:val="bottom"/>
          </w:tcPr>
          <w:p w14:paraId="03D357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982" w:type="dxa"/>
            <w:tcBorders>
              <w:top w:val="nil"/>
              <w:left w:val="nil"/>
              <w:bottom w:val="nil"/>
              <w:right w:val="nil"/>
            </w:tcBorders>
            <w:shd w:val="clear" w:color="auto" w:fill="auto"/>
            <w:noWrap/>
            <w:vAlign w:val="bottom"/>
          </w:tcPr>
          <w:p w14:paraId="5DD5FA8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74F9FA7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040" w:type="dxa"/>
            <w:tcBorders>
              <w:top w:val="nil"/>
              <w:left w:val="nil"/>
              <w:bottom w:val="nil"/>
              <w:right w:val="nil"/>
            </w:tcBorders>
            <w:shd w:val="clear" w:color="auto" w:fill="auto"/>
            <w:noWrap/>
            <w:vAlign w:val="bottom"/>
          </w:tcPr>
          <w:p w14:paraId="350AA2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w:t>
            </w:r>
          </w:p>
        </w:tc>
      </w:tr>
      <w:tr w:rsidR="009C34D9" w14:paraId="12F5BCD0" w14:textId="77777777" w:rsidTr="00CB77B6">
        <w:trPr>
          <w:trHeight w:val="337"/>
        </w:trPr>
        <w:tc>
          <w:tcPr>
            <w:tcW w:w="1191" w:type="dxa"/>
            <w:tcBorders>
              <w:top w:val="nil"/>
              <w:left w:val="nil"/>
              <w:bottom w:val="nil"/>
              <w:right w:val="nil"/>
            </w:tcBorders>
            <w:shd w:val="clear" w:color="auto" w:fill="auto"/>
            <w:noWrap/>
            <w:vAlign w:val="bottom"/>
          </w:tcPr>
          <w:p w14:paraId="5A1897CA"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w:t>
            </w:r>
          </w:p>
        </w:tc>
        <w:tc>
          <w:tcPr>
            <w:tcW w:w="1446" w:type="dxa"/>
            <w:tcBorders>
              <w:top w:val="nil"/>
              <w:left w:val="nil"/>
              <w:bottom w:val="nil"/>
              <w:right w:val="nil"/>
            </w:tcBorders>
            <w:shd w:val="clear" w:color="auto" w:fill="auto"/>
            <w:noWrap/>
            <w:vAlign w:val="bottom"/>
          </w:tcPr>
          <w:p w14:paraId="7C83FA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L29×TB</w:t>
            </w:r>
          </w:p>
        </w:tc>
        <w:tc>
          <w:tcPr>
            <w:tcW w:w="1445" w:type="dxa"/>
            <w:tcBorders>
              <w:top w:val="nil"/>
              <w:left w:val="nil"/>
              <w:bottom w:val="nil"/>
              <w:right w:val="nil"/>
            </w:tcBorders>
            <w:shd w:val="clear" w:color="auto" w:fill="auto"/>
            <w:noWrap/>
            <w:vAlign w:val="bottom"/>
          </w:tcPr>
          <w:p w14:paraId="6E2EADD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1336" w:type="dxa"/>
            <w:tcBorders>
              <w:top w:val="nil"/>
              <w:left w:val="nil"/>
              <w:bottom w:val="nil"/>
              <w:right w:val="nil"/>
            </w:tcBorders>
            <w:shd w:val="clear" w:color="auto" w:fill="auto"/>
            <w:noWrap/>
            <w:vAlign w:val="bottom"/>
          </w:tcPr>
          <w:p w14:paraId="0FD0C05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566FA7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217.0</w:t>
            </w:r>
          </w:p>
        </w:tc>
        <w:tc>
          <w:tcPr>
            <w:tcW w:w="1031" w:type="dxa"/>
            <w:tcBorders>
              <w:top w:val="nil"/>
              <w:left w:val="nil"/>
              <w:bottom w:val="nil"/>
              <w:right w:val="nil"/>
            </w:tcBorders>
            <w:shd w:val="clear" w:color="auto" w:fill="auto"/>
            <w:noWrap/>
            <w:vAlign w:val="bottom"/>
          </w:tcPr>
          <w:p w14:paraId="1473975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89.2</w:t>
            </w:r>
          </w:p>
        </w:tc>
        <w:tc>
          <w:tcPr>
            <w:tcW w:w="946" w:type="dxa"/>
            <w:tcBorders>
              <w:top w:val="nil"/>
              <w:left w:val="nil"/>
              <w:bottom w:val="nil"/>
              <w:right w:val="nil"/>
            </w:tcBorders>
            <w:shd w:val="clear" w:color="auto" w:fill="auto"/>
            <w:noWrap/>
            <w:vAlign w:val="bottom"/>
          </w:tcPr>
          <w:p w14:paraId="31828D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nil"/>
              <w:right w:val="nil"/>
            </w:tcBorders>
            <w:shd w:val="clear" w:color="auto" w:fill="auto"/>
            <w:noWrap/>
            <w:vAlign w:val="bottom"/>
          </w:tcPr>
          <w:p w14:paraId="7882C75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29.0</w:t>
            </w:r>
          </w:p>
        </w:tc>
        <w:tc>
          <w:tcPr>
            <w:tcW w:w="1329" w:type="dxa"/>
            <w:tcBorders>
              <w:top w:val="nil"/>
              <w:left w:val="nil"/>
              <w:bottom w:val="nil"/>
              <w:right w:val="nil"/>
            </w:tcBorders>
            <w:shd w:val="clear" w:color="auto" w:fill="auto"/>
            <w:noWrap/>
            <w:vAlign w:val="bottom"/>
          </w:tcPr>
          <w:p w14:paraId="4C275B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982" w:type="dxa"/>
            <w:tcBorders>
              <w:top w:val="nil"/>
              <w:left w:val="nil"/>
              <w:bottom w:val="nil"/>
              <w:right w:val="nil"/>
            </w:tcBorders>
            <w:shd w:val="clear" w:color="auto" w:fill="auto"/>
            <w:noWrap/>
            <w:vAlign w:val="bottom"/>
          </w:tcPr>
          <w:p w14:paraId="1CFF94C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13FA8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0CFE4D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0D4CDE41" w14:textId="77777777" w:rsidTr="00CB77B6">
        <w:trPr>
          <w:trHeight w:val="348"/>
        </w:trPr>
        <w:tc>
          <w:tcPr>
            <w:tcW w:w="1191" w:type="dxa"/>
            <w:tcBorders>
              <w:top w:val="nil"/>
              <w:left w:val="nil"/>
              <w:bottom w:val="nil"/>
              <w:right w:val="nil"/>
            </w:tcBorders>
            <w:shd w:val="clear" w:color="auto" w:fill="auto"/>
            <w:noWrap/>
            <w:vAlign w:val="bottom"/>
          </w:tcPr>
          <w:p w14:paraId="7859336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1446" w:type="dxa"/>
            <w:tcBorders>
              <w:top w:val="nil"/>
              <w:left w:val="nil"/>
              <w:bottom w:val="nil"/>
              <w:right w:val="nil"/>
            </w:tcBorders>
            <w:shd w:val="clear" w:color="auto" w:fill="auto"/>
            <w:noWrap/>
            <w:vAlign w:val="bottom"/>
          </w:tcPr>
          <w:p w14:paraId="1116E1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L65×TB</w:t>
            </w:r>
          </w:p>
        </w:tc>
        <w:tc>
          <w:tcPr>
            <w:tcW w:w="1445" w:type="dxa"/>
            <w:tcBorders>
              <w:top w:val="nil"/>
              <w:left w:val="nil"/>
              <w:bottom w:val="nil"/>
              <w:right w:val="nil"/>
            </w:tcBorders>
            <w:shd w:val="clear" w:color="auto" w:fill="auto"/>
            <w:noWrap/>
            <w:vAlign w:val="bottom"/>
          </w:tcPr>
          <w:p w14:paraId="35E20DA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336" w:type="dxa"/>
            <w:tcBorders>
              <w:top w:val="nil"/>
              <w:left w:val="nil"/>
              <w:bottom w:val="nil"/>
              <w:right w:val="nil"/>
            </w:tcBorders>
            <w:shd w:val="clear" w:color="auto" w:fill="auto"/>
            <w:noWrap/>
            <w:vAlign w:val="bottom"/>
          </w:tcPr>
          <w:p w14:paraId="3C31B9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nil"/>
              <w:right w:val="nil"/>
            </w:tcBorders>
            <w:shd w:val="clear" w:color="auto" w:fill="auto"/>
            <w:noWrap/>
            <w:vAlign w:val="bottom"/>
          </w:tcPr>
          <w:p w14:paraId="5A9C84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183.8</w:t>
            </w:r>
          </w:p>
        </w:tc>
        <w:tc>
          <w:tcPr>
            <w:tcW w:w="1031" w:type="dxa"/>
            <w:tcBorders>
              <w:top w:val="nil"/>
              <w:left w:val="nil"/>
              <w:bottom w:val="nil"/>
              <w:right w:val="nil"/>
            </w:tcBorders>
            <w:shd w:val="clear" w:color="auto" w:fill="auto"/>
            <w:noWrap/>
            <w:vAlign w:val="bottom"/>
          </w:tcPr>
          <w:p w14:paraId="41A60B3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76.5</w:t>
            </w:r>
          </w:p>
        </w:tc>
        <w:tc>
          <w:tcPr>
            <w:tcW w:w="946" w:type="dxa"/>
            <w:tcBorders>
              <w:top w:val="nil"/>
              <w:left w:val="nil"/>
              <w:bottom w:val="nil"/>
              <w:right w:val="nil"/>
            </w:tcBorders>
            <w:shd w:val="clear" w:color="auto" w:fill="auto"/>
            <w:noWrap/>
            <w:vAlign w:val="bottom"/>
          </w:tcPr>
          <w:p w14:paraId="1A081C4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18.9</w:t>
            </w:r>
          </w:p>
        </w:tc>
        <w:tc>
          <w:tcPr>
            <w:tcW w:w="804" w:type="dxa"/>
            <w:tcBorders>
              <w:top w:val="nil"/>
              <w:left w:val="nil"/>
              <w:bottom w:val="nil"/>
              <w:right w:val="nil"/>
            </w:tcBorders>
            <w:shd w:val="clear" w:color="auto" w:fill="auto"/>
            <w:noWrap/>
            <w:vAlign w:val="bottom"/>
          </w:tcPr>
          <w:p w14:paraId="4430F86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1329" w:type="dxa"/>
            <w:tcBorders>
              <w:top w:val="nil"/>
              <w:left w:val="nil"/>
              <w:bottom w:val="nil"/>
              <w:right w:val="nil"/>
            </w:tcBorders>
            <w:shd w:val="clear" w:color="auto" w:fill="auto"/>
            <w:noWrap/>
            <w:vAlign w:val="bottom"/>
          </w:tcPr>
          <w:p w14:paraId="25B74F6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w:t>
            </w:r>
          </w:p>
        </w:tc>
        <w:tc>
          <w:tcPr>
            <w:tcW w:w="982" w:type="dxa"/>
            <w:tcBorders>
              <w:top w:val="nil"/>
              <w:left w:val="nil"/>
              <w:bottom w:val="nil"/>
              <w:right w:val="nil"/>
            </w:tcBorders>
            <w:shd w:val="clear" w:color="auto" w:fill="auto"/>
            <w:noWrap/>
            <w:vAlign w:val="bottom"/>
          </w:tcPr>
          <w:p w14:paraId="046D17A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68312C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417A564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w:t>
            </w:r>
          </w:p>
        </w:tc>
      </w:tr>
      <w:tr w:rsidR="009C34D9" w14:paraId="3C6DC547"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58F70BC6"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w:t>
            </w:r>
          </w:p>
        </w:tc>
        <w:tc>
          <w:tcPr>
            <w:tcW w:w="1446" w:type="dxa"/>
            <w:tcBorders>
              <w:top w:val="nil"/>
              <w:left w:val="nil"/>
              <w:bottom w:val="single" w:sz="4" w:space="0" w:color="auto"/>
              <w:right w:val="nil"/>
            </w:tcBorders>
            <w:shd w:val="clear" w:color="auto" w:fill="auto"/>
            <w:noWrap/>
            <w:vAlign w:val="bottom"/>
          </w:tcPr>
          <w:p w14:paraId="188B928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L23×TB</w:t>
            </w:r>
          </w:p>
        </w:tc>
        <w:tc>
          <w:tcPr>
            <w:tcW w:w="1445" w:type="dxa"/>
            <w:tcBorders>
              <w:top w:val="nil"/>
              <w:left w:val="nil"/>
              <w:bottom w:val="single" w:sz="4" w:space="0" w:color="auto"/>
              <w:right w:val="nil"/>
            </w:tcBorders>
            <w:shd w:val="clear" w:color="auto" w:fill="auto"/>
            <w:noWrap/>
            <w:vAlign w:val="bottom"/>
          </w:tcPr>
          <w:p w14:paraId="3D8233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1336" w:type="dxa"/>
            <w:tcBorders>
              <w:top w:val="nil"/>
              <w:left w:val="nil"/>
              <w:bottom w:val="single" w:sz="4" w:space="0" w:color="auto"/>
              <w:right w:val="nil"/>
            </w:tcBorders>
            <w:shd w:val="clear" w:color="auto" w:fill="auto"/>
            <w:noWrap/>
            <w:vAlign w:val="bottom"/>
          </w:tcPr>
          <w:p w14:paraId="46FC58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single" w:sz="4" w:space="0" w:color="auto"/>
              <w:right w:val="nil"/>
            </w:tcBorders>
            <w:shd w:val="clear" w:color="auto" w:fill="auto"/>
            <w:noWrap/>
            <w:vAlign w:val="bottom"/>
          </w:tcPr>
          <w:p w14:paraId="59D960C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176.5</w:t>
            </w:r>
          </w:p>
        </w:tc>
        <w:tc>
          <w:tcPr>
            <w:tcW w:w="1031" w:type="dxa"/>
            <w:tcBorders>
              <w:top w:val="nil"/>
              <w:left w:val="nil"/>
              <w:bottom w:val="single" w:sz="4" w:space="0" w:color="auto"/>
              <w:right w:val="nil"/>
            </w:tcBorders>
            <w:shd w:val="clear" w:color="auto" w:fill="auto"/>
            <w:noWrap/>
            <w:vAlign w:val="bottom"/>
          </w:tcPr>
          <w:p w14:paraId="0361C2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69.7</w:t>
            </w:r>
          </w:p>
        </w:tc>
        <w:tc>
          <w:tcPr>
            <w:tcW w:w="946" w:type="dxa"/>
            <w:tcBorders>
              <w:top w:val="nil"/>
              <w:left w:val="nil"/>
              <w:bottom w:val="single" w:sz="4" w:space="0" w:color="auto"/>
              <w:right w:val="nil"/>
            </w:tcBorders>
            <w:shd w:val="clear" w:color="auto" w:fill="auto"/>
            <w:noWrap/>
            <w:vAlign w:val="bottom"/>
          </w:tcPr>
          <w:p w14:paraId="586CA22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single" w:sz="4" w:space="0" w:color="auto"/>
              <w:right w:val="nil"/>
            </w:tcBorders>
            <w:shd w:val="clear" w:color="auto" w:fill="auto"/>
            <w:noWrap/>
            <w:vAlign w:val="bottom"/>
          </w:tcPr>
          <w:p w14:paraId="5A962B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32.2</w:t>
            </w:r>
          </w:p>
        </w:tc>
        <w:tc>
          <w:tcPr>
            <w:tcW w:w="1329" w:type="dxa"/>
            <w:tcBorders>
              <w:top w:val="nil"/>
              <w:left w:val="nil"/>
              <w:bottom w:val="single" w:sz="4" w:space="0" w:color="auto"/>
              <w:right w:val="nil"/>
            </w:tcBorders>
            <w:shd w:val="clear" w:color="auto" w:fill="auto"/>
            <w:noWrap/>
            <w:vAlign w:val="bottom"/>
          </w:tcPr>
          <w:p w14:paraId="4E1F266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w:t>
            </w:r>
          </w:p>
        </w:tc>
        <w:tc>
          <w:tcPr>
            <w:tcW w:w="982" w:type="dxa"/>
            <w:tcBorders>
              <w:top w:val="nil"/>
              <w:left w:val="nil"/>
              <w:bottom w:val="single" w:sz="4" w:space="0" w:color="auto"/>
              <w:right w:val="nil"/>
            </w:tcBorders>
            <w:shd w:val="clear" w:color="auto" w:fill="auto"/>
            <w:noWrap/>
            <w:vAlign w:val="bottom"/>
          </w:tcPr>
          <w:p w14:paraId="1C11A71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single" w:sz="4" w:space="0" w:color="auto"/>
              <w:right w:val="nil"/>
            </w:tcBorders>
            <w:shd w:val="clear" w:color="auto" w:fill="auto"/>
            <w:noWrap/>
            <w:vAlign w:val="bottom"/>
          </w:tcPr>
          <w:p w14:paraId="6C4518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w:t>
            </w:r>
          </w:p>
        </w:tc>
        <w:tc>
          <w:tcPr>
            <w:tcW w:w="1040" w:type="dxa"/>
            <w:tcBorders>
              <w:top w:val="nil"/>
              <w:left w:val="nil"/>
              <w:bottom w:val="single" w:sz="4" w:space="0" w:color="auto"/>
              <w:right w:val="nil"/>
            </w:tcBorders>
            <w:shd w:val="clear" w:color="auto" w:fill="auto"/>
            <w:noWrap/>
            <w:vAlign w:val="bottom"/>
          </w:tcPr>
          <w:p w14:paraId="31C3B7C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r>
      <w:tr w:rsidR="009C34D9" w14:paraId="06DFFF4A"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A35FDE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1</w:t>
            </w:r>
          </w:p>
        </w:tc>
        <w:tc>
          <w:tcPr>
            <w:tcW w:w="1446" w:type="dxa"/>
            <w:tcBorders>
              <w:top w:val="single" w:sz="4" w:space="0" w:color="auto"/>
              <w:left w:val="nil"/>
              <w:bottom w:val="nil"/>
              <w:right w:val="nil"/>
            </w:tcBorders>
            <w:shd w:val="clear" w:color="auto" w:fill="auto"/>
            <w:noWrap/>
            <w:vAlign w:val="bottom"/>
          </w:tcPr>
          <w:p w14:paraId="645B2B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YM020-5×TA</w:t>
            </w:r>
          </w:p>
        </w:tc>
        <w:tc>
          <w:tcPr>
            <w:tcW w:w="1445" w:type="dxa"/>
            <w:tcBorders>
              <w:top w:val="single" w:sz="4" w:space="0" w:color="auto"/>
              <w:left w:val="nil"/>
              <w:bottom w:val="nil"/>
              <w:right w:val="nil"/>
            </w:tcBorders>
            <w:shd w:val="clear" w:color="auto" w:fill="auto"/>
            <w:noWrap/>
            <w:vAlign w:val="bottom"/>
          </w:tcPr>
          <w:p w14:paraId="189B667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36" w:type="dxa"/>
            <w:tcBorders>
              <w:top w:val="single" w:sz="4" w:space="0" w:color="auto"/>
              <w:left w:val="nil"/>
              <w:bottom w:val="nil"/>
              <w:right w:val="nil"/>
            </w:tcBorders>
            <w:shd w:val="clear" w:color="auto" w:fill="auto"/>
            <w:noWrap/>
            <w:vAlign w:val="bottom"/>
          </w:tcPr>
          <w:p w14:paraId="1CB637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single" w:sz="4" w:space="0" w:color="auto"/>
              <w:left w:val="nil"/>
              <w:bottom w:val="nil"/>
              <w:right w:val="nil"/>
            </w:tcBorders>
            <w:shd w:val="clear" w:color="auto" w:fill="auto"/>
            <w:noWrap/>
            <w:vAlign w:val="bottom"/>
          </w:tcPr>
          <w:p w14:paraId="157DD3A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243.3</w:t>
            </w:r>
          </w:p>
        </w:tc>
        <w:tc>
          <w:tcPr>
            <w:tcW w:w="1031" w:type="dxa"/>
            <w:tcBorders>
              <w:top w:val="single" w:sz="4" w:space="0" w:color="auto"/>
              <w:left w:val="nil"/>
              <w:bottom w:val="nil"/>
              <w:right w:val="nil"/>
            </w:tcBorders>
            <w:shd w:val="clear" w:color="auto" w:fill="auto"/>
            <w:noWrap/>
            <w:vAlign w:val="bottom"/>
          </w:tcPr>
          <w:p w14:paraId="172E30D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108.8</w:t>
            </w:r>
          </w:p>
        </w:tc>
        <w:tc>
          <w:tcPr>
            <w:tcW w:w="946" w:type="dxa"/>
            <w:tcBorders>
              <w:top w:val="single" w:sz="4" w:space="0" w:color="auto"/>
              <w:left w:val="nil"/>
              <w:bottom w:val="nil"/>
              <w:right w:val="nil"/>
            </w:tcBorders>
            <w:shd w:val="clear" w:color="auto" w:fill="auto"/>
            <w:noWrap/>
            <w:vAlign w:val="bottom"/>
          </w:tcPr>
          <w:p w14:paraId="6214B3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w:t>
            </w:r>
          </w:p>
        </w:tc>
        <w:tc>
          <w:tcPr>
            <w:tcW w:w="804" w:type="dxa"/>
            <w:tcBorders>
              <w:top w:val="single" w:sz="4" w:space="0" w:color="auto"/>
              <w:left w:val="nil"/>
              <w:bottom w:val="nil"/>
              <w:right w:val="nil"/>
            </w:tcBorders>
            <w:shd w:val="clear" w:color="auto" w:fill="auto"/>
            <w:noWrap/>
            <w:vAlign w:val="bottom"/>
          </w:tcPr>
          <w:p w14:paraId="4F3BBCD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1329" w:type="dxa"/>
            <w:tcBorders>
              <w:top w:val="single" w:sz="4" w:space="0" w:color="auto"/>
              <w:left w:val="nil"/>
              <w:bottom w:val="nil"/>
              <w:right w:val="nil"/>
            </w:tcBorders>
            <w:shd w:val="clear" w:color="auto" w:fill="auto"/>
            <w:noWrap/>
            <w:vAlign w:val="bottom"/>
          </w:tcPr>
          <w:p w14:paraId="41C87B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single" w:sz="4" w:space="0" w:color="auto"/>
              <w:left w:val="nil"/>
              <w:bottom w:val="nil"/>
              <w:right w:val="nil"/>
            </w:tcBorders>
            <w:shd w:val="clear" w:color="auto" w:fill="auto"/>
            <w:noWrap/>
            <w:vAlign w:val="bottom"/>
          </w:tcPr>
          <w:p w14:paraId="43328B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single" w:sz="4" w:space="0" w:color="auto"/>
              <w:left w:val="nil"/>
              <w:bottom w:val="nil"/>
              <w:right w:val="nil"/>
            </w:tcBorders>
            <w:shd w:val="clear" w:color="auto" w:fill="auto"/>
            <w:noWrap/>
            <w:vAlign w:val="bottom"/>
          </w:tcPr>
          <w:p w14:paraId="052888E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single" w:sz="4" w:space="0" w:color="auto"/>
              <w:left w:val="nil"/>
              <w:bottom w:val="nil"/>
              <w:right w:val="nil"/>
            </w:tcBorders>
            <w:shd w:val="clear" w:color="auto" w:fill="auto"/>
            <w:noWrap/>
            <w:vAlign w:val="bottom"/>
          </w:tcPr>
          <w:p w14:paraId="7F19410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r>
      <w:tr w:rsidR="009C34D9" w14:paraId="728C399D" w14:textId="77777777" w:rsidTr="00CB77B6">
        <w:trPr>
          <w:trHeight w:val="337"/>
        </w:trPr>
        <w:tc>
          <w:tcPr>
            <w:tcW w:w="1191" w:type="dxa"/>
            <w:tcBorders>
              <w:top w:val="nil"/>
              <w:left w:val="nil"/>
              <w:bottom w:val="nil"/>
              <w:right w:val="nil"/>
            </w:tcBorders>
            <w:shd w:val="clear" w:color="auto" w:fill="auto"/>
            <w:noWrap/>
            <w:vAlign w:val="bottom"/>
          </w:tcPr>
          <w:p w14:paraId="5A515C46"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2</w:t>
            </w:r>
          </w:p>
        </w:tc>
        <w:tc>
          <w:tcPr>
            <w:tcW w:w="1446" w:type="dxa"/>
            <w:tcBorders>
              <w:top w:val="nil"/>
              <w:left w:val="nil"/>
              <w:bottom w:val="nil"/>
              <w:right w:val="nil"/>
            </w:tcBorders>
            <w:shd w:val="clear" w:color="auto" w:fill="auto"/>
            <w:noWrap/>
            <w:vAlign w:val="bottom"/>
          </w:tcPr>
          <w:p w14:paraId="7E4DD19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YM020-9×TA</w:t>
            </w:r>
          </w:p>
        </w:tc>
        <w:tc>
          <w:tcPr>
            <w:tcW w:w="1445" w:type="dxa"/>
            <w:tcBorders>
              <w:top w:val="nil"/>
              <w:left w:val="nil"/>
              <w:bottom w:val="nil"/>
              <w:right w:val="nil"/>
            </w:tcBorders>
            <w:shd w:val="clear" w:color="auto" w:fill="auto"/>
            <w:noWrap/>
            <w:vAlign w:val="bottom"/>
          </w:tcPr>
          <w:p w14:paraId="0A6E070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nil"/>
              <w:right w:val="nil"/>
            </w:tcBorders>
            <w:shd w:val="clear" w:color="auto" w:fill="auto"/>
            <w:noWrap/>
            <w:vAlign w:val="bottom"/>
          </w:tcPr>
          <w:p w14:paraId="3A10D0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nil"/>
              <w:left w:val="nil"/>
              <w:bottom w:val="nil"/>
              <w:right w:val="nil"/>
            </w:tcBorders>
            <w:shd w:val="clear" w:color="auto" w:fill="auto"/>
            <w:noWrap/>
            <w:vAlign w:val="bottom"/>
          </w:tcPr>
          <w:p w14:paraId="3211AA8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244.5</w:t>
            </w:r>
          </w:p>
        </w:tc>
        <w:tc>
          <w:tcPr>
            <w:tcW w:w="1031" w:type="dxa"/>
            <w:tcBorders>
              <w:top w:val="nil"/>
              <w:left w:val="nil"/>
              <w:bottom w:val="nil"/>
              <w:right w:val="nil"/>
            </w:tcBorders>
            <w:shd w:val="clear" w:color="auto" w:fill="auto"/>
            <w:noWrap/>
            <w:vAlign w:val="bottom"/>
          </w:tcPr>
          <w:p w14:paraId="6AC8966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113.9</w:t>
            </w:r>
          </w:p>
        </w:tc>
        <w:tc>
          <w:tcPr>
            <w:tcW w:w="946" w:type="dxa"/>
            <w:tcBorders>
              <w:top w:val="nil"/>
              <w:left w:val="nil"/>
              <w:bottom w:val="nil"/>
              <w:right w:val="nil"/>
            </w:tcBorders>
            <w:shd w:val="clear" w:color="auto" w:fill="auto"/>
            <w:noWrap/>
            <w:vAlign w:val="bottom"/>
          </w:tcPr>
          <w:p w14:paraId="2C3EA3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27.6</w:t>
            </w:r>
          </w:p>
        </w:tc>
        <w:tc>
          <w:tcPr>
            <w:tcW w:w="804" w:type="dxa"/>
            <w:tcBorders>
              <w:top w:val="nil"/>
              <w:left w:val="nil"/>
              <w:bottom w:val="nil"/>
              <w:right w:val="nil"/>
            </w:tcBorders>
            <w:shd w:val="clear" w:color="auto" w:fill="auto"/>
            <w:noWrap/>
            <w:vAlign w:val="bottom"/>
          </w:tcPr>
          <w:p w14:paraId="7A085F0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w:t>
            </w:r>
          </w:p>
        </w:tc>
        <w:tc>
          <w:tcPr>
            <w:tcW w:w="1329" w:type="dxa"/>
            <w:tcBorders>
              <w:top w:val="nil"/>
              <w:left w:val="nil"/>
              <w:bottom w:val="nil"/>
              <w:right w:val="nil"/>
            </w:tcBorders>
            <w:shd w:val="clear" w:color="auto" w:fill="auto"/>
            <w:noWrap/>
            <w:vAlign w:val="bottom"/>
          </w:tcPr>
          <w:p w14:paraId="2E31840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3CA2D24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nil"/>
              <w:right w:val="nil"/>
            </w:tcBorders>
            <w:shd w:val="clear" w:color="auto" w:fill="auto"/>
            <w:noWrap/>
            <w:vAlign w:val="bottom"/>
          </w:tcPr>
          <w:p w14:paraId="4D6A413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040" w:type="dxa"/>
            <w:tcBorders>
              <w:top w:val="nil"/>
              <w:left w:val="nil"/>
              <w:bottom w:val="nil"/>
              <w:right w:val="nil"/>
            </w:tcBorders>
            <w:shd w:val="clear" w:color="auto" w:fill="auto"/>
            <w:noWrap/>
            <w:vAlign w:val="bottom"/>
          </w:tcPr>
          <w:p w14:paraId="0055B1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067BE535"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088B2AD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3</w:t>
            </w:r>
          </w:p>
        </w:tc>
        <w:tc>
          <w:tcPr>
            <w:tcW w:w="1446" w:type="dxa"/>
            <w:tcBorders>
              <w:top w:val="nil"/>
              <w:left w:val="nil"/>
              <w:bottom w:val="single" w:sz="4" w:space="0" w:color="auto"/>
              <w:right w:val="nil"/>
            </w:tcBorders>
            <w:shd w:val="clear" w:color="auto" w:fill="auto"/>
            <w:noWrap/>
            <w:vAlign w:val="bottom"/>
          </w:tcPr>
          <w:p w14:paraId="5DF7EE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WY21</w:t>
            </w:r>
          </w:p>
        </w:tc>
        <w:tc>
          <w:tcPr>
            <w:tcW w:w="1445" w:type="dxa"/>
            <w:tcBorders>
              <w:top w:val="nil"/>
              <w:left w:val="nil"/>
              <w:bottom w:val="single" w:sz="4" w:space="0" w:color="auto"/>
              <w:right w:val="nil"/>
            </w:tcBorders>
            <w:shd w:val="clear" w:color="auto" w:fill="auto"/>
            <w:noWrap/>
            <w:vAlign w:val="bottom"/>
          </w:tcPr>
          <w:p w14:paraId="0B7DB22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single" w:sz="4" w:space="0" w:color="auto"/>
              <w:right w:val="nil"/>
            </w:tcBorders>
            <w:shd w:val="clear" w:color="auto" w:fill="auto"/>
            <w:noWrap/>
            <w:vAlign w:val="bottom"/>
          </w:tcPr>
          <w:p w14:paraId="702936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7822510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241.3</w:t>
            </w:r>
          </w:p>
        </w:tc>
        <w:tc>
          <w:tcPr>
            <w:tcW w:w="1031" w:type="dxa"/>
            <w:tcBorders>
              <w:top w:val="nil"/>
              <w:left w:val="nil"/>
              <w:bottom w:val="single" w:sz="4" w:space="0" w:color="auto"/>
              <w:right w:val="nil"/>
            </w:tcBorders>
            <w:shd w:val="clear" w:color="auto" w:fill="auto"/>
            <w:noWrap/>
            <w:vAlign w:val="bottom"/>
          </w:tcPr>
          <w:p w14:paraId="578B416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109.6</w:t>
            </w:r>
          </w:p>
        </w:tc>
        <w:tc>
          <w:tcPr>
            <w:tcW w:w="946" w:type="dxa"/>
            <w:tcBorders>
              <w:top w:val="nil"/>
              <w:left w:val="nil"/>
              <w:bottom w:val="single" w:sz="4" w:space="0" w:color="auto"/>
              <w:right w:val="nil"/>
            </w:tcBorders>
            <w:shd w:val="clear" w:color="auto" w:fill="auto"/>
            <w:noWrap/>
            <w:vAlign w:val="bottom"/>
          </w:tcPr>
          <w:p w14:paraId="1458C7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804" w:type="dxa"/>
            <w:tcBorders>
              <w:top w:val="nil"/>
              <w:left w:val="nil"/>
              <w:bottom w:val="single" w:sz="4" w:space="0" w:color="auto"/>
              <w:right w:val="nil"/>
            </w:tcBorders>
            <w:shd w:val="clear" w:color="auto" w:fill="auto"/>
            <w:noWrap/>
            <w:vAlign w:val="bottom"/>
          </w:tcPr>
          <w:p w14:paraId="2CE5F8E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29" w:type="dxa"/>
            <w:tcBorders>
              <w:top w:val="nil"/>
              <w:left w:val="nil"/>
              <w:bottom w:val="single" w:sz="4" w:space="0" w:color="auto"/>
              <w:right w:val="nil"/>
            </w:tcBorders>
            <w:shd w:val="clear" w:color="auto" w:fill="auto"/>
            <w:noWrap/>
            <w:vAlign w:val="bottom"/>
          </w:tcPr>
          <w:p w14:paraId="0D8BA5B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982" w:type="dxa"/>
            <w:tcBorders>
              <w:top w:val="nil"/>
              <w:left w:val="nil"/>
              <w:bottom w:val="single" w:sz="4" w:space="0" w:color="auto"/>
              <w:right w:val="nil"/>
            </w:tcBorders>
            <w:shd w:val="clear" w:color="auto" w:fill="auto"/>
            <w:noWrap/>
            <w:vAlign w:val="bottom"/>
          </w:tcPr>
          <w:p w14:paraId="4162375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128" w:type="dxa"/>
            <w:tcBorders>
              <w:top w:val="nil"/>
              <w:left w:val="nil"/>
              <w:bottom w:val="single" w:sz="4" w:space="0" w:color="auto"/>
              <w:right w:val="nil"/>
            </w:tcBorders>
            <w:shd w:val="clear" w:color="auto" w:fill="auto"/>
            <w:noWrap/>
            <w:vAlign w:val="bottom"/>
          </w:tcPr>
          <w:p w14:paraId="6FF23C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single" w:sz="4" w:space="0" w:color="auto"/>
              <w:right w:val="nil"/>
            </w:tcBorders>
            <w:shd w:val="clear" w:color="auto" w:fill="auto"/>
            <w:noWrap/>
            <w:vAlign w:val="bottom"/>
          </w:tcPr>
          <w:p w14:paraId="3B09EA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r>
      <w:tr w:rsidR="009C34D9" w14:paraId="5D2B7256"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5A14E2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1446" w:type="dxa"/>
            <w:tcBorders>
              <w:top w:val="single" w:sz="4" w:space="0" w:color="auto"/>
              <w:left w:val="nil"/>
              <w:bottom w:val="single" w:sz="4" w:space="0" w:color="auto"/>
              <w:right w:val="nil"/>
            </w:tcBorders>
            <w:shd w:val="clear" w:color="auto" w:fill="auto"/>
            <w:noWrap/>
            <w:vAlign w:val="bottom"/>
          </w:tcPr>
          <w:p w14:paraId="6E384301" w14:textId="77777777" w:rsidR="009C34D9" w:rsidRPr="00CB77B6" w:rsidRDefault="00CB77B6">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 xml:space="preserve">Trial </w:t>
            </w:r>
            <w:r>
              <w:rPr>
                <w:rFonts w:ascii="Arial" w:eastAsia="Times New Roman" w:hAnsi="Arial" w:cs="Arial"/>
                <w:b/>
                <w:color w:val="000000"/>
                <w:sz w:val="20"/>
                <w:szCs w:val="20"/>
                <w:lang w:eastAsia="en-GB"/>
              </w:rPr>
              <w:t>m</w:t>
            </w:r>
            <w:r w:rsidR="00735411" w:rsidRPr="00CB77B6">
              <w:rPr>
                <w:rFonts w:ascii="Arial" w:eastAsia="Times New Roman" w:hAnsi="Arial" w:cs="Arial"/>
                <w:b/>
                <w:color w:val="000000"/>
                <w:sz w:val="20"/>
                <w:szCs w:val="20"/>
                <w:lang w:eastAsia="en-GB"/>
              </w:rPr>
              <w:t>ean</w:t>
            </w:r>
          </w:p>
        </w:tc>
        <w:tc>
          <w:tcPr>
            <w:tcW w:w="1445" w:type="dxa"/>
            <w:tcBorders>
              <w:top w:val="single" w:sz="4" w:space="0" w:color="auto"/>
              <w:left w:val="nil"/>
              <w:bottom w:val="single" w:sz="4" w:space="0" w:color="auto"/>
              <w:right w:val="nil"/>
            </w:tcBorders>
            <w:shd w:val="clear" w:color="auto" w:fill="auto"/>
            <w:noWrap/>
            <w:vAlign w:val="center"/>
          </w:tcPr>
          <w:p w14:paraId="7F6F7F6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9</w:t>
            </w:r>
          </w:p>
        </w:tc>
        <w:tc>
          <w:tcPr>
            <w:tcW w:w="1336" w:type="dxa"/>
            <w:tcBorders>
              <w:top w:val="single" w:sz="4" w:space="0" w:color="auto"/>
              <w:left w:val="nil"/>
              <w:bottom w:val="single" w:sz="4" w:space="0" w:color="auto"/>
              <w:right w:val="nil"/>
            </w:tcBorders>
            <w:shd w:val="clear" w:color="auto" w:fill="auto"/>
            <w:noWrap/>
            <w:vAlign w:val="center"/>
          </w:tcPr>
          <w:p w14:paraId="7378D21D"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74</w:t>
            </w:r>
          </w:p>
        </w:tc>
        <w:tc>
          <w:tcPr>
            <w:tcW w:w="1031" w:type="dxa"/>
            <w:tcBorders>
              <w:top w:val="single" w:sz="4" w:space="0" w:color="auto"/>
              <w:left w:val="nil"/>
              <w:bottom w:val="single" w:sz="4" w:space="0" w:color="auto"/>
              <w:right w:val="nil"/>
            </w:tcBorders>
            <w:shd w:val="clear" w:color="auto" w:fill="auto"/>
            <w:noWrap/>
            <w:vAlign w:val="center"/>
          </w:tcPr>
          <w:p w14:paraId="7D21880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236.2</w:t>
            </w:r>
          </w:p>
        </w:tc>
        <w:tc>
          <w:tcPr>
            <w:tcW w:w="1031" w:type="dxa"/>
            <w:tcBorders>
              <w:top w:val="single" w:sz="4" w:space="0" w:color="auto"/>
              <w:left w:val="nil"/>
              <w:bottom w:val="single" w:sz="4" w:space="0" w:color="auto"/>
              <w:right w:val="nil"/>
            </w:tcBorders>
            <w:shd w:val="clear" w:color="auto" w:fill="auto"/>
            <w:noWrap/>
            <w:vAlign w:val="center"/>
          </w:tcPr>
          <w:p w14:paraId="0A6DAC73"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110.5</w:t>
            </w:r>
          </w:p>
        </w:tc>
        <w:tc>
          <w:tcPr>
            <w:tcW w:w="946" w:type="dxa"/>
            <w:tcBorders>
              <w:top w:val="single" w:sz="4" w:space="0" w:color="auto"/>
              <w:left w:val="nil"/>
              <w:bottom w:val="single" w:sz="4" w:space="0" w:color="auto"/>
              <w:right w:val="nil"/>
            </w:tcBorders>
            <w:shd w:val="clear" w:color="auto" w:fill="auto"/>
            <w:noWrap/>
            <w:vAlign w:val="center"/>
          </w:tcPr>
          <w:p w14:paraId="2C7D7B24"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26.5</w:t>
            </w:r>
          </w:p>
        </w:tc>
        <w:tc>
          <w:tcPr>
            <w:tcW w:w="804" w:type="dxa"/>
            <w:tcBorders>
              <w:top w:val="single" w:sz="4" w:space="0" w:color="auto"/>
              <w:left w:val="nil"/>
              <w:bottom w:val="single" w:sz="4" w:space="0" w:color="auto"/>
              <w:right w:val="nil"/>
            </w:tcBorders>
            <w:shd w:val="clear" w:color="auto" w:fill="auto"/>
            <w:noWrap/>
            <w:vAlign w:val="center"/>
          </w:tcPr>
          <w:p w14:paraId="64E9D2DE"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7.6</w:t>
            </w:r>
          </w:p>
        </w:tc>
        <w:tc>
          <w:tcPr>
            <w:tcW w:w="1329" w:type="dxa"/>
            <w:tcBorders>
              <w:top w:val="single" w:sz="4" w:space="0" w:color="auto"/>
              <w:left w:val="nil"/>
              <w:bottom w:val="single" w:sz="4" w:space="0" w:color="auto"/>
              <w:right w:val="nil"/>
            </w:tcBorders>
            <w:shd w:val="clear" w:color="auto" w:fill="auto"/>
            <w:noWrap/>
            <w:vAlign w:val="center"/>
          </w:tcPr>
          <w:p w14:paraId="794B70B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2.7</w:t>
            </w:r>
          </w:p>
        </w:tc>
        <w:tc>
          <w:tcPr>
            <w:tcW w:w="982" w:type="dxa"/>
            <w:tcBorders>
              <w:top w:val="single" w:sz="4" w:space="0" w:color="auto"/>
              <w:left w:val="nil"/>
              <w:bottom w:val="single" w:sz="4" w:space="0" w:color="auto"/>
              <w:right w:val="nil"/>
            </w:tcBorders>
            <w:shd w:val="clear" w:color="auto" w:fill="auto"/>
            <w:noWrap/>
            <w:vAlign w:val="center"/>
          </w:tcPr>
          <w:p w14:paraId="5E3086DB"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128" w:type="dxa"/>
            <w:tcBorders>
              <w:top w:val="single" w:sz="4" w:space="0" w:color="auto"/>
              <w:left w:val="nil"/>
              <w:bottom w:val="single" w:sz="4" w:space="0" w:color="auto"/>
              <w:right w:val="nil"/>
            </w:tcBorders>
            <w:shd w:val="clear" w:color="auto" w:fill="auto"/>
            <w:noWrap/>
            <w:vAlign w:val="center"/>
          </w:tcPr>
          <w:p w14:paraId="06B25FF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040" w:type="dxa"/>
            <w:tcBorders>
              <w:top w:val="single" w:sz="4" w:space="0" w:color="auto"/>
              <w:left w:val="nil"/>
              <w:bottom w:val="single" w:sz="4" w:space="0" w:color="auto"/>
              <w:right w:val="nil"/>
            </w:tcBorders>
            <w:shd w:val="clear" w:color="auto" w:fill="auto"/>
            <w:noWrap/>
            <w:vAlign w:val="center"/>
          </w:tcPr>
          <w:p w14:paraId="0419645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r>
    </w:tbl>
    <w:p w14:paraId="66CE3C6F" w14:textId="77777777" w:rsidR="009C34D9" w:rsidRDefault="00735411">
      <w:pPr>
        <w:spacing w:line="480" w:lineRule="auto"/>
        <w:rPr>
          <w:rFonts w:ascii="Arial"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hAnsi="Arial" w:cs="Arial"/>
          <w:i/>
          <w:sz w:val="20"/>
          <w:szCs w:val="20"/>
          <w:lang w:eastAsia="en-GB"/>
        </w:rPr>
        <w:t>GY, grain yield</w:t>
      </w:r>
      <w:r>
        <w:rPr>
          <w:rFonts w:ascii="Arial" w:hAnsi="Arial" w:cs="Arial"/>
          <w:i/>
          <w:sz w:val="20"/>
          <w:szCs w:val="20"/>
          <w:lang w:val="en-US" w:eastAsia="en-GB"/>
        </w:rPr>
        <w:t xml:space="preserve"> (T/Ha)</w:t>
      </w:r>
      <w:r>
        <w:rPr>
          <w:rFonts w:ascii="Arial" w:hAnsi="Arial" w:cs="Arial"/>
          <w:i/>
          <w:sz w:val="20"/>
          <w:szCs w:val="20"/>
          <w:lang w:eastAsia="en-GB"/>
        </w:rPr>
        <w:t>; AD, days to 50% anthesis; PH, plant height</w:t>
      </w:r>
      <w:r>
        <w:rPr>
          <w:rFonts w:ascii="Arial" w:hAnsi="Arial" w:cs="Arial"/>
          <w:i/>
          <w:sz w:val="20"/>
          <w:szCs w:val="20"/>
          <w:lang w:val="en-US" w:eastAsia="en-GB"/>
        </w:rPr>
        <w:t xml:space="preserve"> (cm)</w:t>
      </w:r>
      <w:r>
        <w:rPr>
          <w:rFonts w:ascii="Arial" w:hAnsi="Arial" w:cs="Arial"/>
          <w:i/>
          <w:sz w:val="20"/>
          <w:szCs w:val="20"/>
          <w:lang w:eastAsia="en-GB"/>
        </w:rPr>
        <w:t xml:space="preserve">; EH, ear height (cm); HC, husk cover (%); ER, ear </w:t>
      </w:r>
      <w:proofErr w:type="gramStart"/>
      <w:r>
        <w:rPr>
          <w:rFonts w:ascii="Arial" w:hAnsi="Arial" w:cs="Arial"/>
          <w:i/>
          <w:sz w:val="20"/>
          <w:szCs w:val="20"/>
          <w:lang w:eastAsia="en-GB"/>
        </w:rPr>
        <w:t>rot(</w:t>
      </w:r>
      <w:proofErr w:type="gramEnd"/>
      <w:r>
        <w:rPr>
          <w:rFonts w:ascii="Arial" w:hAnsi="Arial" w:cs="Arial"/>
          <w:i/>
          <w:sz w:val="20"/>
          <w:szCs w:val="20"/>
          <w:lang w:eastAsia="en-GB"/>
        </w:rPr>
        <w:t>%); GLS, Grey leaf spot (1-5); NLB, northern leaf blight(1-5); EA, ear aspect(1-5); PA, Plant aspect(1-5).</w:t>
      </w:r>
    </w:p>
    <w:p w14:paraId="10F15D72" w14:textId="77777777" w:rsidR="009C34D9" w:rsidRDefault="00735411">
      <w:pPr>
        <w:spacing w:line="480" w:lineRule="auto"/>
        <w:rPr>
          <w:rFonts w:ascii="Arial" w:eastAsia="Calibri" w:hAnsi="Arial" w:cs="Arial"/>
          <w:sz w:val="20"/>
          <w:szCs w:val="20"/>
          <w:lang w:eastAsia="en-GB"/>
        </w:rPr>
      </w:pPr>
      <w:r>
        <w:rPr>
          <w:rFonts w:ascii="Arial" w:eastAsia="Calibri" w:hAnsi="Arial" w:cs="Arial"/>
          <w:noProof/>
          <w:sz w:val="20"/>
          <w:szCs w:val="20"/>
          <w:lang w:eastAsia="en-GB"/>
        </w:rPr>
        <w:lastRenderedPageBreak/>
        <w:drawing>
          <wp:inline distT="0" distB="0" distL="0" distR="0" wp14:anchorId="3B25B03A" wp14:editId="2FE679C9">
            <wp:extent cx="8826500" cy="486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8879618" cy="4891456"/>
                    </a:xfrm>
                    <a:prstGeom prst="rect">
                      <a:avLst/>
                    </a:prstGeom>
                  </pic:spPr>
                </pic:pic>
              </a:graphicData>
            </a:graphic>
          </wp:inline>
        </w:drawing>
      </w:r>
    </w:p>
    <w:p w14:paraId="169AA034" w14:textId="77777777" w:rsidR="009C34D9" w:rsidRDefault="00735411">
      <w:pPr>
        <w:spacing w:line="480" w:lineRule="auto"/>
        <w:rPr>
          <w:rFonts w:ascii="Arial" w:eastAsia="Times New Roman"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1.</w:t>
      </w:r>
      <w:r>
        <w:rPr>
          <w:rFonts w:ascii="Arial" w:eastAsia="Times New Roman" w:hAnsi="Arial" w:cs="Arial"/>
          <w:sz w:val="20"/>
          <w:szCs w:val="20"/>
          <w:lang w:eastAsia="en-GB"/>
        </w:rPr>
        <w:t xml:space="preserve"> </w:t>
      </w:r>
      <w:r>
        <w:rPr>
          <w:rFonts w:ascii="Arial" w:eastAsia="Times New Roman" w:hAnsi="Arial" w:cs="Arial"/>
          <w:b/>
          <w:sz w:val="20"/>
          <w:szCs w:val="20"/>
          <w:lang w:eastAsia="en-GB"/>
        </w:rPr>
        <w:t>Boxplots for hybrid performance for the studied traits at individual and across sites.</w:t>
      </w:r>
      <w:r>
        <w:rPr>
          <w:rFonts w:ascii="Arial" w:eastAsia="Times New Roman" w:hAnsi="Arial" w:cs="Arial"/>
          <w:sz w:val="20"/>
          <w:szCs w:val="20"/>
          <w:lang w:eastAsia="en-GB"/>
        </w:rPr>
        <w:t xml:space="preserve"> </w:t>
      </w:r>
      <w:r>
        <w:rPr>
          <w:rFonts w:ascii="Arial" w:hAnsi="Arial" w:cs="Arial"/>
          <w:i/>
          <w:sz w:val="20"/>
          <w:szCs w:val="20"/>
          <w:lang w:eastAsia="en-GB"/>
        </w:rPr>
        <w:t xml:space="preserve">CH; </w:t>
      </w:r>
      <w:proofErr w:type="spellStart"/>
      <w:r>
        <w:rPr>
          <w:rFonts w:ascii="Arial" w:hAnsi="Arial" w:cs="Arial"/>
          <w:i/>
          <w:sz w:val="20"/>
          <w:szCs w:val="20"/>
          <w:lang w:eastAsia="en-GB"/>
        </w:rPr>
        <w:t>Chorlim</w:t>
      </w:r>
      <w:proofErr w:type="spellEnd"/>
      <w:r>
        <w:rPr>
          <w:rFonts w:ascii="Arial" w:hAnsi="Arial" w:cs="Arial"/>
          <w:i/>
          <w:sz w:val="20"/>
          <w:szCs w:val="20"/>
          <w:lang w:eastAsia="en-GB"/>
        </w:rPr>
        <w:t xml:space="preserve">, MB; </w:t>
      </w:r>
      <w:proofErr w:type="spellStart"/>
      <w:r>
        <w:rPr>
          <w:rFonts w:ascii="Arial" w:hAnsi="Arial" w:cs="Arial"/>
          <w:i/>
          <w:sz w:val="20"/>
          <w:szCs w:val="20"/>
          <w:lang w:eastAsia="en-GB"/>
        </w:rPr>
        <w:t>Mabanga</w:t>
      </w:r>
      <w:proofErr w:type="spellEnd"/>
      <w:r>
        <w:rPr>
          <w:rFonts w:ascii="Arial" w:hAnsi="Arial" w:cs="Arial"/>
          <w:i/>
          <w:sz w:val="20"/>
          <w:szCs w:val="20"/>
          <w:lang w:eastAsia="en-GB"/>
        </w:rPr>
        <w:t xml:space="preserve">, SK; </w:t>
      </w:r>
      <w:proofErr w:type="spellStart"/>
      <w:r>
        <w:rPr>
          <w:rFonts w:ascii="Arial" w:hAnsi="Arial" w:cs="Arial"/>
          <w:i/>
          <w:sz w:val="20"/>
          <w:szCs w:val="20"/>
          <w:lang w:eastAsia="en-GB"/>
        </w:rPr>
        <w:t>Shikusa</w:t>
      </w:r>
      <w:proofErr w:type="spellEnd"/>
      <w:r>
        <w:rPr>
          <w:rFonts w:ascii="Arial" w:hAnsi="Arial" w:cs="Arial"/>
          <w:i/>
          <w:sz w:val="20"/>
          <w:szCs w:val="20"/>
          <w:lang w:eastAsia="en-GB"/>
        </w:rPr>
        <w:t xml:space="preserve"> and A_S; Across-sites.</w:t>
      </w:r>
    </w:p>
    <w:p w14:paraId="4500B0CC" w14:textId="77777777" w:rsidR="009C34D9" w:rsidRDefault="00735411">
      <w:pPr>
        <w:pStyle w:val="Heading1"/>
        <w:rPr>
          <w:rFonts w:ascii="Arial" w:hAnsi="Arial" w:cs="Arial"/>
          <w:b/>
          <w:color w:val="auto"/>
          <w:sz w:val="22"/>
          <w:szCs w:val="22"/>
        </w:rPr>
      </w:pPr>
      <w:r>
        <w:rPr>
          <w:rFonts w:ascii="Arial" w:hAnsi="Arial" w:cs="Arial"/>
          <w:b/>
          <w:color w:val="auto"/>
          <w:sz w:val="22"/>
          <w:szCs w:val="22"/>
        </w:rPr>
        <w:lastRenderedPageBreak/>
        <w:t>3.2 Phenotypic correlations</w:t>
      </w:r>
    </w:p>
    <w:p w14:paraId="468B6E02"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Across the study locations (Fig. 2), showed several significant correlations between grain yield and other agronomic traits. Notably, there were </w:t>
      </w:r>
      <w:r>
        <w:rPr>
          <w:rStyle w:val="Strong"/>
          <w:rFonts w:ascii="Arial" w:eastAsiaTheme="majorEastAsia" w:hAnsi="Arial" w:cs="Arial"/>
          <w:b w:val="0"/>
          <w:sz w:val="20"/>
          <w:szCs w:val="20"/>
        </w:rPr>
        <w:t>highly significant negative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xml:space="preserve"> between grain yield and the following variables: days to 50% anthesis, ear rot, Grey leaf spot disease, ear aspect, and plant aspect. The strongest negative correlation was recorded for ear aspect, with a correlation coefficient (</w:t>
      </w:r>
      <w:r>
        <w:rPr>
          <w:rStyle w:val="Strong"/>
          <w:rFonts w:ascii="Arial" w:eastAsiaTheme="majorEastAsia" w:hAnsi="Arial" w:cs="Arial"/>
          <w:b w:val="0"/>
          <w:sz w:val="20"/>
          <w:szCs w:val="20"/>
        </w:rPr>
        <w:t>r = -0.70,</w:t>
      </w:r>
      <w:r>
        <w:rPr>
          <w:rStyle w:val="Strong"/>
          <w:rFonts w:ascii="Arial" w:eastAsiaTheme="majorEastAsia" w:hAnsi="Arial" w:cs="Arial"/>
          <w:b w:val="0"/>
          <w:i/>
          <w:sz w:val="20"/>
          <w:szCs w:val="20"/>
        </w:rPr>
        <w:t xml:space="preserve"> p</w:t>
      </w:r>
      <w:r>
        <w:rPr>
          <w:rStyle w:val="Strong"/>
          <w:rFonts w:ascii="Arial" w:eastAsiaTheme="majorEastAsia" w:hAnsi="Arial" w:cs="Arial"/>
          <w:b w:val="0"/>
          <w:sz w:val="20"/>
          <w:szCs w:val="20"/>
        </w:rPr>
        <w:t>=0.001)</w:t>
      </w:r>
      <w:r>
        <w:rPr>
          <w:rFonts w:ascii="Arial" w:hAnsi="Arial" w:cs="Arial"/>
          <w:sz w:val="20"/>
          <w:szCs w:val="20"/>
        </w:rPr>
        <w:t>.</w:t>
      </w:r>
    </w:p>
    <w:p w14:paraId="6E080BC7"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In contrast, </w:t>
      </w:r>
      <w:r>
        <w:rPr>
          <w:rStyle w:val="Strong"/>
          <w:rFonts w:ascii="Arial" w:eastAsiaTheme="majorEastAsia" w:hAnsi="Arial" w:cs="Arial"/>
          <w:b w:val="0"/>
          <w:sz w:val="20"/>
          <w:szCs w:val="20"/>
        </w:rPr>
        <w:t>highly significant positive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 xml:space="preserve">with grain yield were observed for plant height, ear height, and husk cover. Among these, ear height showed the highest positive correlation with grain yield, with a coefficient </w:t>
      </w:r>
      <w:r>
        <w:rPr>
          <w:rStyle w:val="Strong"/>
          <w:rFonts w:ascii="Arial" w:eastAsiaTheme="majorEastAsia" w:hAnsi="Arial" w:cs="Arial"/>
          <w:b w:val="0"/>
          <w:sz w:val="20"/>
          <w:szCs w:val="20"/>
        </w:rPr>
        <w:t>r = 0.67(</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Notably, no significant correlation was found between Northern leaf blight and grain yield across the testing locations.</w:t>
      </w:r>
    </w:p>
    <w:p w14:paraId="45B8D55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Additionally, ear rot, Grey leaf spot, ear aspect, and plant aspect all exhibited </w:t>
      </w:r>
      <w:r>
        <w:rPr>
          <w:rStyle w:val="Strong"/>
          <w:rFonts w:ascii="Arial" w:eastAsiaTheme="majorEastAsia" w:hAnsi="Arial" w:cs="Arial"/>
          <w:b w:val="0"/>
          <w:sz w:val="20"/>
          <w:szCs w:val="20"/>
        </w:rPr>
        <w:t>positive significant correlations</w:t>
      </w:r>
      <w:r>
        <w:rPr>
          <w:rFonts w:ascii="Arial" w:hAnsi="Arial" w:cs="Arial"/>
          <w:sz w:val="20"/>
          <w:szCs w:val="20"/>
        </w:rPr>
        <w:t xml:space="preserve"> with days to 50% anthesis, with the highest correlation recorded for Grey leaf spot (</w:t>
      </w:r>
      <w:r>
        <w:rPr>
          <w:rStyle w:val="Strong"/>
          <w:rFonts w:ascii="Arial" w:eastAsiaTheme="majorEastAsia" w:hAnsi="Arial" w:cs="Arial"/>
          <w:b w:val="0"/>
          <w:sz w:val="20"/>
          <w:szCs w:val="20"/>
        </w:rPr>
        <w:t>r = 0.43</w:t>
      </w:r>
      <w:r>
        <w:rPr>
          <w:rFonts w:ascii="Arial" w:hAnsi="Arial" w:cs="Arial"/>
          <w:sz w:val="20"/>
          <w:szCs w:val="20"/>
        </w:rPr>
        <w:t xml:space="preserve">). In contrast, the analysis found negative significant correlations between plant height, husk cover, Northern leaf blight and days to 50% anthesis (r = -0.21, </w:t>
      </w:r>
      <w:r>
        <w:rPr>
          <w:rFonts w:ascii="Arial" w:hAnsi="Arial" w:cs="Arial"/>
          <w:i/>
          <w:sz w:val="20"/>
          <w:szCs w:val="20"/>
        </w:rPr>
        <w:t>p</w:t>
      </w:r>
      <w:r>
        <w:rPr>
          <w:rFonts w:ascii="Arial" w:hAnsi="Arial" w:cs="Arial"/>
          <w:sz w:val="20"/>
          <w:szCs w:val="20"/>
        </w:rPr>
        <w:t xml:space="preserve">=0.05). </w:t>
      </w:r>
    </w:p>
    <w:p w14:paraId="5EDC605C"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The relationships between ear height, husk cover, and plant height were also significant. Specifically, ear height and husk cover were </w:t>
      </w:r>
      <w:r>
        <w:rPr>
          <w:rStyle w:val="Strong"/>
          <w:rFonts w:ascii="Arial" w:eastAsiaTheme="majorEastAsia" w:hAnsi="Arial" w:cs="Arial"/>
          <w:b w:val="0"/>
          <w:sz w:val="20"/>
          <w:szCs w:val="20"/>
        </w:rPr>
        <w:t>positively correlated</w:t>
      </w:r>
      <w:r>
        <w:rPr>
          <w:rFonts w:ascii="Arial" w:hAnsi="Arial" w:cs="Arial"/>
          <w:sz w:val="20"/>
          <w:szCs w:val="20"/>
        </w:rPr>
        <w:t xml:space="preserve"> with plant height (</w:t>
      </w:r>
      <w:r>
        <w:rPr>
          <w:rStyle w:val="Strong"/>
          <w:rFonts w:ascii="Arial" w:eastAsiaTheme="majorEastAsia" w:hAnsi="Arial" w:cs="Arial"/>
          <w:b w:val="0"/>
          <w:sz w:val="20"/>
          <w:szCs w:val="20"/>
        </w:rPr>
        <w:t>r = 0.81</w:t>
      </w:r>
      <w:r>
        <w:rPr>
          <w:rFonts w:ascii="Arial" w:hAnsi="Arial" w:cs="Arial"/>
          <w:sz w:val="20"/>
          <w:szCs w:val="20"/>
        </w:rPr>
        <w:t xml:space="preserve"> and </w:t>
      </w:r>
      <w:r>
        <w:rPr>
          <w:rStyle w:val="Strong"/>
          <w:rFonts w:ascii="Arial" w:eastAsiaTheme="majorEastAsia" w:hAnsi="Arial" w:cs="Arial"/>
          <w:b w:val="0"/>
          <w:sz w:val="20"/>
          <w:szCs w:val="20"/>
        </w:rPr>
        <w:t>r = 0.33</w:t>
      </w:r>
      <w:r>
        <w:rPr>
          <w:rFonts w:ascii="Arial" w:hAnsi="Arial" w:cs="Arial"/>
          <w:sz w:val="20"/>
          <w:szCs w:val="20"/>
        </w:rPr>
        <w:t xml:space="preserve">, respectively), while ear rot, Grey leaf spot, ear aspect, and plant aspect were </w:t>
      </w:r>
      <w:r>
        <w:rPr>
          <w:rStyle w:val="Strong"/>
          <w:rFonts w:ascii="Arial" w:eastAsiaTheme="majorEastAsia" w:hAnsi="Arial" w:cs="Arial"/>
          <w:b w:val="0"/>
          <w:sz w:val="20"/>
          <w:szCs w:val="20"/>
        </w:rPr>
        <w:t>negatively correlated</w:t>
      </w:r>
      <w:r>
        <w:rPr>
          <w:rFonts w:ascii="Arial" w:hAnsi="Arial" w:cs="Arial"/>
          <w:sz w:val="20"/>
          <w:szCs w:val="20"/>
        </w:rPr>
        <w:t xml:space="preserve"> with plant height. Among these, ear rot exhibited the strongest negative correlation with plant height (</w:t>
      </w:r>
      <w:r>
        <w:rPr>
          <w:rStyle w:val="Strong"/>
          <w:rFonts w:ascii="Arial" w:eastAsiaTheme="majorEastAsia" w:hAnsi="Arial" w:cs="Arial"/>
          <w:b w:val="0"/>
          <w:sz w:val="20"/>
          <w:szCs w:val="20"/>
        </w:rPr>
        <w:t>r = -0.46</w:t>
      </w:r>
      <w:r>
        <w:rPr>
          <w:rFonts w:ascii="Arial" w:hAnsi="Arial" w:cs="Arial"/>
          <w:sz w:val="20"/>
          <w:szCs w:val="20"/>
        </w:rPr>
        <w:t>).</w:t>
      </w:r>
    </w:p>
    <w:p w14:paraId="4769A4C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Furthermore, husk cover showed a </w:t>
      </w:r>
      <w:r>
        <w:rPr>
          <w:rStyle w:val="Strong"/>
          <w:rFonts w:ascii="Arial" w:eastAsiaTheme="majorEastAsia" w:hAnsi="Arial" w:cs="Arial"/>
          <w:b w:val="0"/>
          <w:sz w:val="20"/>
          <w:szCs w:val="20"/>
        </w:rPr>
        <w:t>strong positive correlation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with both ear aspect (</w:t>
      </w:r>
      <w:r>
        <w:rPr>
          <w:rStyle w:val="Strong"/>
          <w:rFonts w:ascii="Arial" w:eastAsiaTheme="majorEastAsia" w:hAnsi="Arial" w:cs="Arial"/>
          <w:b w:val="0"/>
          <w:sz w:val="20"/>
          <w:szCs w:val="20"/>
        </w:rPr>
        <w:t xml:space="preserve">r = 0.22,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and plant aspect (</w:t>
      </w:r>
      <w:r>
        <w:rPr>
          <w:rStyle w:val="Strong"/>
          <w:rFonts w:ascii="Arial" w:eastAsiaTheme="majorEastAsia" w:hAnsi="Arial" w:cs="Arial"/>
          <w:b w:val="0"/>
          <w:sz w:val="20"/>
          <w:szCs w:val="20"/>
        </w:rPr>
        <w:t xml:space="preserve">r = 0.21,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xml:space="preserve">), but it was </w:t>
      </w:r>
      <w:r>
        <w:rPr>
          <w:rStyle w:val="Strong"/>
          <w:rFonts w:ascii="Arial" w:eastAsiaTheme="majorEastAsia" w:hAnsi="Arial" w:cs="Arial"/>
          <w:b w:val="0"/>
          <w:sz w:val="20"/>
          <w:szCs w:val="20"/>
        </w:rPr>
        <w:t>negatively correlated</w:t>
      </w:r>
      <w:r>
        <w:rPr>
          <w:rFonts w:ascii="Arial" w:hAnsi="Arial" w:cs="Arial"/>
          <w:sz w:val="20"/>
          <w:szCs w:val="20"/>
        </w:rPr>
        <w:t xml:space="preserve"> with ear rot and GLS. Positive and significant correlations were observed between Grey leaf spot, ear aspect, and plant aspect with ear rot. Ear aspect had the highest positive correlation (</w:t>
      </w:r>
      <w:r>
        <w:rPr>
          <w:rStyle w:val="Strong"/>
          <w:rFonts w:ascii="Arial" w:eastAsiaTheme="majorEastAsia" w:hAnsi="Arial" w:cs="Arial"/>
          <w:b w:val="0"/>
          <w:sz w:val="20"/>
          <w:szCs w:val="20"/>
        </w:rPr>
        <w:t>r = 0.46</w:t>
      </w:r>
      <w:r>
        <w:rPr>
          <w:rFonts w:ascii="Arial" w:hAnsi="Arial" w:cs="Arial"/>
          <w:sz w:val="20"/>
          <w:szCs w:val="20"/>
        </w:rPr>
        <w:t xml:space="preserve">). Additionally, Grey leaf spot was </w:t>
      </w:r>
      <w:r>
        <w:rPr>
          <w:rStyle w:val="Strong"/>
          <w:rFonts w:ascii="Arial" w:eastAsiaTheme="majorEastAsia" w:hAnsi="Arial" w:cs="Arial"/>
          <w:b w:val="0"/>
          <w:sz w:val="20"/>
          <w:szCs w:val="20"/>
        </w:rPr>
        <w:t>positively correlated</w:t>
      </w:r>
      <w:r>
        <w:rPr>
          <w:rFonts w:ascii="Arial" w:hAnsi="Arial" w:cs="Arial"/>
          <w:sz w:val="20"/>
          <w:szCs w:val="20"/>
        </w:rPr>
        <w:t xml:space="preserve"> with both ear aspect and plant aspect (</w:t>
      </w:r>
      <w:r>
        <w:rPr>
          <w:rStyle w:val="Strong"/>
          <w:rFonts w:ascii="Arial" w:eastAsiaTheme="majorEastAsia" w:hAnsi="Arial" w:cs="Arial"/>
          <w:b w:val="0"/>
          <w:sz w:val="20"/>
          <w:szCs w:val="20"/>
        </w:rPr>
        <w:t xml:space="preserve">r = 0.27,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=0.01</w:t>
      </w:r>
      <w:r>
        <w:rPr>
          <w:rFonts w:ascii="Arial" w:hAnsi="Arial" w:cs="Arial"/>
          <w:sz w:val="20"/>
          <w:szCs w:val="20"/>
        </w:rPr>
        <w:t xml:space="preserve">), while ear aspect exhibited </w:t>
      </w:r>
      <w:r>
        <w:rPr>
          <w:rStyle w:val="Strong"/>
          <w:rFonts w:ascii="Arial" w:eastAsiaTheme="majorEastAsia" w:hAnsi="Arial" w:cs="Arial"/>
          <w:b w:val="0"/>
          <w:sz w:val="20"/>
          <w:szCs w:val="20"/>
        </w:rPr>
        <w:t>strong positive correlation</w:t>
      </w:r>
      <w:r>
        <w:rPr>
          <w:rFonts w:ascii="Arial" w:hAnsi="Arial" w:cs="Arial"/>
          <w:sz w:val="20"/>
          <w:szCs w:val="20"/>
        </w:rPr>
        <w:t xml:space="preserve"> with plant aspect (</w:t>
      </w:r>
      <w:r>
        <w:rPr>
          <w:rStyle w:val="Strong"/>
          <w:rFonts w:ascii="Arial" w:eastAsiaTheme="majorEastAsia" w:hAnsi="Arial" w:cs="Arial"/>
          <w:b w:val="0"/>
          <w:sz w:val="20"/>
          <w:szCs w:val="20"/>
        </w:rPr>
        <w:t xml:space="preserve">r = 0.69,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w:t>
      </w:r>
    </w:p>
    <w:p w14:paraId="3AE25934" w14:textId="77777777" w:rsidR="009C34D9" w:rsidRDefault="009C34D9">
      <w:pPr>
        <w:spacing w:after="0" w:line="480" w:lineRule="auto"/>
        <w:jc w:val="both"/>
        <w:rPr>
          <w:rFonts w:ascii="Arial" w:eastAsia="Times New Roman" w:hAnsi="Arial" w:cs="Arial"/>
          <w:sz w:val="20"/>
          <w:szCs w:val="20"/>
          <w:lang w:eastAsia="en-GB"/>
        </w:rPr>
        <w:sectPr w:rsidR="009C34D9">
          <w:type w:val="nextColumn"/>
          <w:pgSz w:w="11906" w:h="16838"/>
          <w:pgMar w:top="1440" w:right="1440" w:bottom="1440" w:left="1440" w:header="709" w:footer="709" w:gutter="0"/>
          <w:cols w:space="708"/>
          <w:docGrid w:linePitch="360"/>
        </w:sectPr>
      </w:pPr>
    </w:p>
    <w:p w14:paraId="1884F89C" w14:textId="77777777" w:rsidR="009C34D9" w:rsidRDefault="00735411">
      <w:pPr>
        <w:spacing w:after="0" w:line="480" w:lineRule="auto"/>
        <w:jc w:val="both"/>
        <w:rPr>
          <w:rFonts w:ascii="Arial" w:eastAsia="Times New Roman" w:hAnsi="Arial" w:cs="Arial"/>
          <w:sz w:val="20"/>
          <w:szCs w:val="20"/>
          <w:lang w:eastAsia="en-GB"/>
        </w:rPr>
      </w:pPr>
      <w:r>
        <w:rPr>
          <w:rFonts w:ascii="Arial" w:hAnsi="Arial" w:cs="Arial"/>
          <w:noProof/>
          <w:sz w:val="20"/>
          <w:szCs w:val="20"/>
          <w:lang w:eastAsia="en-GB"/>
        </w:rPr>
        <w:lastRenderedPageBreak/>
        <w:drawing>
          <wp:inline distT="0" distB="0" distL="0" distR="0" wp14:anchorId="37DAF042" wp14:editId="653FDE74">
            <wp:extent cx="8769350" cy="43103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a:stretch>
                      <a:fillRect/>
                    </a:stretch>
                  </pic:blipFill>
                  <pic:spPr>
                    <a:xfrm>
                      <a:off x="0" y="0"/>
                      <a:ext cx="8793359" cy="4322181"/>
                    </a:xfrm>
                    <a:prstGeom prst="rect">
                      <a:avLst/>
                    </a:prstGeom>
                  </pic:spPr>
                </pic:pic>
              </a:graphicData>
            </a:graphic>
          </wp:inline>
        </w:drawing>
      </w:r>
    </w:p>
    <w:p w14:paraId="40422E8C" w14:textId="77777777" w:rsidR="009C34D9" w:rsidRDefault="00735411">
      <w:pPr>
        <w:spacing w:line="480" w:lineRule="auto"/>
        <w:rPr>
          <w:rFonts w:ascii="Arial" w:eastAsia="Times New Roman" w:hAnsi="Arial" w:cs="Arial"/>
          <w:b/>
          <w:i/>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2.</w:t>
      </w:r>
      <w:r>
        <w:rPr>
          <w:rFonts w:ascii="Arial" w:eastAsia="Times New Roman" w:hAnsi="Arial" w:cs="Arial"/>
          <w:b/>
          <w:i/>
          <w:sz w:val="20"/>
          <w:szCs w:val="20"/>
          <w:lang w:eastAsia="en-GB"/>
        </w:rPr>
        <w:t xml:space="preserve"> </w:t>
      </w:r>
      <w:r>
        <w:rPr>
          <w:rFonts w:ascii="Arial" w:eastAsia="Times New Roman" w:hAnsi="Arial" w:cs="Arial"/>
          <w:b/>
          <w:sz w:val="20"/>
          <w:szCs w:val="20"/>
          <w:lang w:eastAsia="en-GB"/>
        </w:rPr>
        <w:t>Phenotypic correlations between grain yield and yield related traits across locations</w:t>
      </w:r>
      <w:r>
        <w:rPr>
          <w:rFonts w:ascii="Arial" w:eastAsia="Times New Roman" w:hAnsi="Arial" w:cs="Arial"/>
          <w:b/>
          <w:i/>
          <w:sz w:val="20"/>
          <w:szCs w:val="20"/>
          <w:lang w:eastAsia="en-GB"/>
        </w:rPr>
        <w:t>.</w:t>
      </w:r>
      <w:r>
        <w:rPr>
          <w:rFonts w:ascii="Arial" w:eastAsia="Times New Roman" w:hAnsi="Arial" w:cs="Arial"/>
          <w:i/>
          <w:sz w:val="20"/>
          <w:szCs w:val="20"/>
          <w:lang w:eastAsia="en-GB"/>
        </w:rPr>
        <w:t xml:space="preserve"> *, **, ***: Significant at p=0.05, p=0.01, and p=0.001 respectively. GY, grain yield; AD, days to 50% anthesis; PH, plant height; EH, ear height; HC, husk over; ER, ear rot; GLS, Grey leaf spot; NLB, northern leaf blight; EA, ear aspect; PA, plant aspect.</w:t>
      </w:r>
    </w:p>
    <w:p w14:paraId="46007B57" w14:textId="77777777" w:rsidR="009C34D9" w:rsidRDefault="00735411">
      <w:pPr>
        <w:pStyle w:val="NormalWeb"/>
        <w:numPr>
          <w:ilvl w:val="0"/>
          <w:numId w:val="3"/>
        </w:numPr>
        <w:spacing w:line="480" w:lineRule="auto"/>
        <w:ind w:left="0"/>
        <w:jc w:val="both"/>
        <w:rPr>
          <w:rFonts w:ascii="Arial" w:hAnsi="Arial" w:cs="Arial"/>
          <w:b/>
          <w:bCs/>
          <w:color w:val="0E101A"/>
          <w:sz w:val="22"/>
          <w:szCs w:val="22"/>
        </w:rPr>
      </w:pPr>
      <w:r>
        <w:rPr>
          <w:rFonts w:ascii="Arial" w:hAnsi="Arial" w:cs="Arial"/>
          <w:b/>
          <w:bCs/>
          <w:color w:val="0E101A"/>
          <w:sz w:val="22"/>
          <w:szCs w:val="22"/>
        </w:rPr>
        <w:lastRenderedPageBreak/>
        <w:t>Discussion</w:t>
      </w:r>
    </w:p>
    <w:p w14:paraId="1B888137" w14:textId="77777777" w:rsidR="009C34D9" w:rsidRDefault="00735411">
      <w:pPr>
        <w:pStyle w:val="NormalWeb"/>
        <w:spacing w:line="480" w:lineRule="auto"/>
        <w:jc w:val="both"/>
        <w:rPr>
          <w:rFonts w:ascii="Arial" w:hAnsi="Arial" w:cs="Arial"/>
          <w:b/>
          <w:bCs/>
          <w:color w:val="0E101A"/>
          <w:sz w:val="20"/>
          <w:szCs w:val="20"/>
        </w:rPr>
      </w:pPr>
      <w:r>
        <w:rPr>
          <w:rFonts w:ascii="Arial" w:hAnsi="Arial" w:cs="Arial"/>
          <w:color w:val="0E101A"/>
          <w:sz w:val="20"/>
          <w:szCs w:val="20"/>
        </w:rPr>
        <w:t xml:space="preserve">Maize being a very important crop in Kenya and the SSA region at large, development and deployment of maize hybrids that consistently exhibit high and stable grain yield performance, along with other important agronomic traits, across various </w:t>
      </w:r>
      <w:proofErr w:type="spellStart"/>
      <w:r>
        <w:rPr>
          <w:rFonts w:ascii="Arial" w:hAnsi="Arial" w:cs="Arial"/>
          <w:color w:val="0E101A"/>
          <w:sz w:val="20"/>
          <w:szCs w:val="20"/>
        </w:rPr>
        <w:t>agro</w:t>
      </w:r>
      <w:proofErr w:type="spellEnd"/>
      <w:r>
        <w:rPr>
          <w:rFonts w:ascii="Arial" w:hAnsi="Arial" w:cs="Arial"/>
          <w:color w:val="0E101A"/>
          <w:sz w:val="20"/>
          <w:szCs w:val="20"/>
        </w:rPr>
        <w:t xml:space="preserve">-ecological zones, are key priorities for breeders addressing the challenge of declining yields and adaptation. One objective of this study was to evaluate the hybrid performance of selected test hybrids for grain yield and other agronomic traits across three distinct testing locations in Western Kenya. </w:t>
      </w:r>
    </w:p>
    <w:p w14:paraId="5ED1CED4"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Genotype variance as well as genotype-by-environment interaction (GEI) variance were highly significant for all the traits studied, except for plant height. However, the GEI variance was smaller in magnitude compared to the genotypic variance. This finding suggests that the test hybrids demonstrated relatively stable performance across all test environments, a result consistent with the findings of </w:t>
      </w:r>
      <w:proofErr w:type="spellStart"/>
      <w:r>
        <w:rPr>
          <w:rFonts w:ascii="Arial" w:eastAsia="Times New Roman" w:hAnsi="Arial" w:cs="Arial"/>
          <w:color w:val="0E101A"/>
          <w:sz w:val="20"/>
          <w:szCs w:val="20"/>
          <w:lang w:eastAsia="en-GB"/>
        </w:rPr>
        <w:t>Engida</w:t>
      </w:r>
      <w:proofErr w:type="spellEnd"/>
      <w:r>
        <w:rPr>
          <w:rFonts w:ascii="Arial" w:eastAsia="Times New Roman" w:hAnsi="Arial" w:cs="Arial"/>
          <w:color w:val="0E101A"/>
          <w:sz w:val="20"/>
          <w:szCs w:val="20"/>
          <w:lang w:eastAsia="en-GB"/>
        </w:rPr>
        <w:t xml:space="preserve"> et al. (2024). Suresh et al. (2025) also observed significant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=0.01) genotypic as well as genotype-by-environment interaction variances in their study on Grey leaf spot disease severity, area under disease curve (AUSDC) and other agronomic traits.</w:t>
      </w:r>
    </w:p>
    <w:p w14:paraId="31F88F88"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high genotypic variance indicates that the genetic potential of the test hybrids played a dominant role in determining their performance. This suggests that the test hybrids exhibit significant genetic diversity, which is critical for identifying superior-performing hybrids capable of consistently outperforming others across different test environments. These results support the idea that genetic selection within this germplasm can be highly effective, as genetic differences among hybrids are the primary drivers of performance, with environmental factors exerting a lesser influence.</w:t>
      </w:r>
    </w:p>
    <w:p w14:paraId="27A71931"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lower GEI variance for most traits further supports the notion of relatively stable hybrid performance across the different environments. This suggests that, while some hybrids showed variability in performance across environments, most exhibited broad adaptability and consistency. However, it is important to note that having conducted the study across three environments only, these may not fully represent the broader range of climatic conditions and biotic or abiotic stresses that could exist across the region. In more extreme or contrasting environments, a pronounced GEI can be observed, potentially revealing different patterns of hybrid performance. Broader testing in environments with more diverse conditions would likely provide further insights into GEI and its influence on hybrid performance.</w:t>
      </w:r>
    </w:p>
    <w:p w14:paraId="507E3CE6"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 xml:space="preserve">According to Robinson et al. (1949), heritability estimates are classified as low (0-30%), moderate (30-60%), and high (&gt;60%). The high heritability observed for most of the traits suggests that the testing environments had minimal influence on the expression of these traits. This is in agreement with Gichuru (2013), who reported high heritability for maize-streak virus resistance and grain yield (88% and 90%, respectively). A moderate heritability estimate of 41% for northern leaf blight indicates that GEI played a more significant role in the expression of this trait. Tesfaye et al. (2021) also reported high heritability and genetic advance for grain yield, ear height, and ear aspect and suggested that additive gene action was more important in these traits making selection for these traits a great opportunity in improvement of highland maize germplasm. </w:t>
      </w:r>
    </w:p>
    <w:p w14:paraId="15F32411"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For elucidation of the relationships between grain yield and yield-related traits in the test germplasm, phenotypic correlations between them were computed. This analysis was vital for identifying usable traits for inclusion in indirect selection criteria to enhance grain yield in yellow maize breeding programs. The traits analysed in relation to grain yield included days to 50% anthesis, plant height, ear height, husk cover, ear rot, Grey leaf spot, northern leaf blight, ear aspect, and plant aspect. These traits influence various physiological and morphological aspects of the plant that either indirectly or directly influence yield.</w:t>
      </w:r>
    </w:p>
    <w:p w14:paraId="2BBB51DB"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Plant height, ear height, and husk cover all exhibited positive and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=0.001), suggesting that an increase in any of these traits would result in a positive increase in grain yield. Conversely, days to 50% anthesis, ear rot, Grey leaf spot, ear aspect, and plant aspect showed negative but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=0.001). This implies that selecting for a decrease in any of these traits is likely to lead to a corresponding increase in grain yield. These findings align with those of Jemal et al. (2020), who reported significant positive correlations between grain yield and plant height, ear height, and kernels per row, with the strongest correlation observed with ear height. Additionally, Kamal et al. (2020) and Patel et al. (2022) both reported negative correlations between grain yield and days to 50% anthesis, as well as positive correlations with plant height.</w:t>
      </w:r>
      <w:r w:rsidR="00160BCF">
        <w:rPr>
          <w:rFonts w:ascii="Arial" w:eastAsia="Times New Roman" w:hAnsi="Arial" w:cs="Arial"/>
          <w:color w:val="0E101A"/>
          <w:sz w:val="20"/>
          <w:szCs w:val="20"/>
          <w:lang w:eastAsia="en-GB"/>
        </w:rPr>
        <w:t xml:space="preserve"> </w:t>
      </w:r>
    </w:p>
    <w:p w14:paraId="4C400271"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Among the negative correlations observed, the strongest was recorded between grain yield and ear aspect (r = -0.70, p=0.001). This indicates that selecting for improved ear aspect, along with reductions in ear rot, Grey leaf spot, and plant aspect, will likely result in a significant increase in grain yield. Therefore, breeding efforts that aim to improve these traits could be beneficial in enhancing maize </w:t>
      </w:r>
      <w:r>
        <w:rPr>
          <w:rFonts w:ascii="Arial" w:eastAsia="Times New Roman" w:hAnsi="Arial" w:cs="Arial"/>
          <w:color w:val="0E101A"/>
          <w:sz w:val="20"/>
          <w:szCs w:val="20"/>
          <w:lang w:eastAsia="en-GB"/>
        </w:rPr>
        <w:lastRenderedPageBreak/>
        <w:t xml:space="preserve">productivity. </w:t>
      </w:r>
      <w:proofErr w:type="spellStart"/>
      <w:r>
        <w:rPr>
          <w:rFonts w:ascii="Arial" w:eastAsia="Times New Roman" w:hAnsi="Arial" w:cs="Arial"/>
          <w:color w:val="0E101A"/>
          <w:sz w:val="20"/>
          <w:szCs w:val="20"/>
          <w:lang w:eastAsia="en-GB"/>
        </w:rPr>
        <w:t>Damtie</w:t>
      </w:r>
      <w:proofErr w:type="spellEnd"/>
      <w:r>
        <w:rPr>
          <w:rFonts w:ascii="Arial" w:eastAsia="Times New Roman" w:hAnsi="Arial" w:cs="Arial"/>
          <w:color w:val="0E101A"/>
          <w:sz w:val="20"/>
          <w:szCs w:val="20"/>
          <w:lang w:eastAsia="en-GB"/>
        </w:rPr>
        <w:t xml:space="preserve"> et al. (2021) also reported strong association between grain yield and number of ears, plant height and ear height and recommended the use of these morphological traits in the selection criteria for grain yield improvement.</w:t>
      </w:r>
    </w:p>
    <w:p w14:paraId="4EAA989E" w14:textId="77777777" w:rsidR="009C34D9" w:rsidRDefault="00735411">
      <w:pPr>
        <w:pStyle w:val="ListParagraph"/>
        <w:numPr>
          <w:ilvl w:val="0"/>
          <w:numId w:val="3"/>
        </w:numPr>
        <w:spacing w:after="0" w:line="480" w:lineRule="auto"/>
        <w:ind w:left="0"/>
        <w:contextualSpacing w:val="0"/>
        <w:rPr>
          <w:rFonts w:ascii="Arial" w:eastAsia="Times New Roman" w:hAnsi="Arial" w:cs="Arial"/>
          <w:b/>
          <w:lang w:eastAsia="en-GB"/>
        </w:rPr>
      </w:pPr>
      <w:r>
        <w:rPr>
          <w:rFonts w:ascii="Arial" w:eastAsia="Times New Roman" w:hAnsi="Arial" w:cs="Arial"/>
          <w:b/>
          <w:lang w:eastAsia="en-GB"/>
        </w:rPr>
        <w:t>Conclusion</w:t>
      </w:r>
    </w:p>
    <w:p w14:paraId="01ADD100" w14:textId="77777777" w:rsidR="009C34D9" w:rsidRDefault="00735411">
      <w:pPr>
        <w:spacing w:after="0" w:line="480" w:lineRule="auto"/>
        <w:jc w:val="both"/>
        <w:rPr>
          <w:rFonts w:ascii="Arial" w:eastAsia="Times New Roman" w:hAnsi="Arial" w:cs="Arial"/>
          <w:b/>
          <w:bCs/>
          <w:color w:val="0E101A"/>
          <w:sz w:val="20"/>
          <w:szCs w:val="20"/>
          <w:lang w:eastAsia="en-GB"/>
        </w:rPr>
      </w:pPr>
      <w:r>
        <w:rPr>
          <w:rFonts w:ascii="Arial" w:eastAsia="Times New Roman" w:hAnsi="Arial" w:cs="Arial"/>
          <w:color w:val="0E101A"/>
          <w:sz w:val="20"/>
          <w:szCs w:val="20"/>
          <w:lang w:val="en-US" w:eastAsia="en-GB"/>
        </w:rPr>
        <w:t>T</w:t>
      </w:r>
      <w:r>
        <w:rPr>
          <w:rFonts w:ascii="Arial" w:eastAsia="Times New Roman" w:hAnsi="Arial" w:cs="Arial"/>
          <w:color w:val="0E101A"/>
          <w:sz w:val="20"/>
          <w:szCs w:val="20"/>
          <w:lang w:eastAsia="en-GB"/>
        </w:rPr>
        <w:t>his study provides valuable insights into the performance of yellow maize hybrids across multiple environments. The high genotypic variance and stable hybrid performance across environments underscore the potential for genetic improvement through selective breeding. Furthermore, the identified phenotypic correlations offer guidance for developing indirect selection strategies to enhance grain yield and agronomic traits in maize breeding programs.</w:t>
      </w:r>
      <w:r>
        <w:rPr>
          <w:rFonts w:ascii="Arial" w:eastAsia="Times New Roman" w:hAnsi="Arial" w:cs="Arial"/>
          <w:b/>
          <w:bCs/>
          <w:color w:val="0E101A"/>
          <w:sz w:val="20"/>
          <w:szCs w:val="20"/>
          <w:lang w:eastAsia="en-GB"/>
        </w:rPr>
        <w:t> </w:t>
      </w:r>
    </w:p>
    <w:p w14:paraId="1D095479" w14:textId="77777777" w:rsidR="009C34D9" w:rsidRDefault="00735411">
      <w:pPr>
        <w:spacing w:after="0" w:line="480" w:lineRule="auto"/>
        <w:rPr>
          <w:rFonts w:ascii="Arial" w:eastAsia="Times New Roman" w:hAnsi="Arial" w:cs="Arial"/>
          <w:b/>
          <w:bCs/>
          <w:color w:val="0E101A"/>
          <w:lang w:eastAsia="en-GB"/>
        </w:rPr>
      </w:pPr>
      <w:r>
        <w:rPr>
          <w:rFonts w:ascii="Arial" w:eastAsia="Times New Roman" w:hAnsi="Arial" w:cs="Arial"/>
          <w:b/>
          <w:bCs/>
          <w:color w:val="0E101A"/>
          <w:lang w:eastAsia="en-GB"/>
        </w:rPr>
        <w:t>References</w:t>
      </w:r>
    </w:p>
    <w:p w14:paraId="09FA6307"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Alvarado G, </w:t>
      </w:r>
      <w:proofErr w:type="gramStart"/>
      <w:r>
        <w:rPr>
          <w:rFonts w:ascii="Arial" w:eastAsia="Times New Roman" w:hAnsi="Arial" w:cs="Arial"/>
          <w:color w:val="0E101A"/>
          <w:sz w:val="20"/>
          <w:szCs w:val="20"/>
          <w:lang w:eastAsia="en-GB"/>
        </w:rPr>
        <w:t>Rodriguez  FM</w:t>
      </w:r>
      <w:proofErr w:type="gramEnd"/>
      <w:r>
        <w:rPr>
          <w:rFonts w:ascii="Arial" w:eastAsia="Times New Roman" w:hAnsi="Arial" w:cs="Arial"/>
          <w:color w:val="0E101A"/>
          <w:sz w:val="20"/>
          <w:szCs w:val="20"/>
          <w:lang w:eastAsia="en-GB"/>
        </w:rPr>
        <w:t>, Pacheco A, Burgueño J, Crossa J, Vargas M, Lopez-Cruz MA (2020). META-R: A software to analyse data from multi-environment plant breeding trials. </w:t>
      </w:r>
      <w:r>
        <w:rPr>
          <w:rFonts w:ascii="Arial" w:eastAsia="Times New Roman" w:hAnsi="Arial" w:cs="Arial"/>
          <w:i/>
          <w:iCs/>
          <w:color w:val="0E101A"/>
          <w:sz w:val="20"/>
          <w:szCs w:val="20"/>
          <w:lang w:eastAsia="en-GB"/>
        </w:rPr>
        <w:t>The Crop Journal</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8</w:t>
      </w:r>
      <w:r>
        <w:rPr>
          <w:rFonts w:ascii="Arial" w:eastAsia="Times New Roman" w:hAnsi="Arial" w:cs="Arial"/>
          <w:color w:val="0E101A"/>
          <w:sz w:val="20"/>
          <w:szCs w:val="20"/>
          <w:lang w:eastAsia="en-GB"/>
        </w:rPr>
        <w:t>(5), 745-756.</w:t>
      </w:r>
    </w:p>
    <w:p w14:paraId="65B5B871"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Alvarado G, López M, Vargas M, Pacheco Á, Rodríguez F, Burgueño J, et al., (2015). </w:t>
      </w:r>
      <w:r>
        <w:rPr>
          <w:rFonts w:ascii="Arial" w:eastAsia="Times New Roman" w:hAnsi="Arial" w:cs="Arial"/>
          <w:i/>
          <w:iCs/>
          <w:color w:val="0E101A"/>
          <w:sz w:val="20"/>
          <w:szCs w:val="20"/>
          <w:lang w:eastAsia="en-GB"/>
        </w:rPr>
        <w:t>META-R (Multi Environment Trail Analysis with R for Windows) Version 5.0.</w:t>
      </w:r>
      <w:r>
        <w:rPr>
          <w:rFonts w:ascii="Arial" w:eastAsia="Times New Roman" w:hAnsi="Arial" w:cs="Arial"/>
          <w:color w:val="0E101A"/>
          <w:sz w:val="20"/>
          <w:szCs w:val="20"/>
          <w:lang w:eastAsia="en-GB"/>
        </w:rPr>
        <w:t xml:space="preserve"> Mexico: International Maize and Wheat Improvement Centre (CIMMYT). [</w:t>
      </w:r>
      <w:hyperlink r:id="rId16" w:tgtFrame="_blank" w:history="1">
        <w:r>
          <w:rPr>
            <w:rFonts w:ascii="Arial" w:eastAsia="Times New Roman" w:hAnsi="Arial" w:cs="Arial"/>
            <w:color w:val="4A6EE0"/>
            <w:sz w:val="20"/>
            <w:szCs w:val="20"/>
            <w:u w:val="single"/>
            <w:lang w:eastAsia="en-GB"/>
          </w:rPr>
          <w:t>Google Scholar</w:t>
        </w:r>
      </w:hyperlink>
      <w:r>
        <w:rPr>
          <w:rFonts w:ascii="Arial" w:eastAsia="Times New Roman" w:hAnsi="Arial" w:cs="Arial"/>
          <w:color w:val="0E101A"/>
          <w:sz w:val="20"/>
          <w:szCs w:val="20"/>
          <w:lang w:eastAsia="en-GB"/>
        </w:rPr>
        <w:t>]</w:t>
      </w:r>
    </w:p>
    <w:p w14:paraId="0771AA0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Awoyinka</w:t>
      </w:r>
      <w:proofErr w:type="spellEnd"/>
      <w:r>
        <w:rPr>
          <w:rFonts w:ascii="Arial" w:eastAsia="Times New Roman" w:hAnsi="Arial" w:cs="Arial"/>
          <w:color w:val="0E101A"/>
          <w:sz w:val="20"/>
          <w:szCs w:val="20"/>
          <w:lang w:eastAsia="en-GB"/>
        </w:rPr>
        <w:t xml:space="preserve"> OA (2014). Physical features of some selected Nigerian maize cultivars. </w:t>
      </w:r>
      <w:r>
        <w:rPr>
          <w:rFonts w:ascii="Arial" w:eastAsia="Times New Roman" w:hAnsi="Arial" w:cs="Arial"/>
          <w:i/>
          <w:iCs/>
          <w:color w:val="0E101A"/>
          <w:sz w:val="20"/>
          <w:szCs w:val="20"/>
          <w:lang w:eastAsia="en-GB"/>
        </w:rPr>
        <w:t>American Journal of Plant Sciences</w:t>
      </w:r>
      <w:r>
        <w:rPr>
          <w:rFonts w:ascii="Arial" w:eastAsia="Times New Roman" w:hAnsi="Arial" w:cs="Arial"/>
          <w:color w:val="0E101A"/>
          <w:sz w:val="20"/>
          <w:szCs w:val="20"/>
          <w:lang w:eastAsia="en-GB"/>
        </w:rPr>
        <w:t xml:space="preserve">, 5, 1352-1358.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w:t>
      </w:r>
      <w:hyperlink r:id="rId17" w:tgtFrame="_blank" w:history="1">
        <w:r>
          <w:rPr>
            <w:rFonts w:ascii="Arial" w:eastAsia="Times New Roman" w:hAnsi="Arial" w:cs="Arial"/>
            <w:color w:val="4A6EE0"/>
            <w:sz w:val="20"/>
            <w:szCs w:val="20"/>
            <w:u w:val="single"/>
            <w:lang w:eastAsia="en-GB"/>
          </w:rPr>
          <w:t>10.4236/ajps.2014.59149</w:t>
        </w:r>
      </w:hyperlink>
    </w:p>
    <w:p w14:paraId="2E94CCB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Ayala H, Claudio C, Vivek B, </w:t>
      </w:r>
      <w:proofErr w:type="spellStart"/>
      <w:r>
        <w:rPr>
          <w:rFonts w:ascii="Arial" w:eastAsia="Times New Roman" w:hAnsi="Arial" w:cs="Arial"/>
          <w:color w:val="0E101A"/>
          <w:sz w:val="20"/>
          <w:szCs w:val="20"/>
          <w:lang w:eastAsia="en-GB"/>
        </w:rPr>
        <w:t>Banziger</w:t>
      </w:r>
      <w:proofErr w:type="spellEnd"/>
      <w:r>
        <w:rPr>
          <w:rFonts w:ascii="Arial" w:eastAsia="Times New Roman" w:hAnsi="Arial" w:cs="Arial"/>
          <w:color w:val="0E101A"/>
          <w:sz w:val="20"/>
          <w:szCs w:val="20"/>
          <w:lang w:eastAsia="en-GB"/>
        </w:rPr>
        <w:t xml:space="preserve"> M, (2020), "Fieldbook2020", CIMMYT Research Data &amp; Software Repository Network, V2</w:t>
      </w:r>
    </w:p>
    <w:p w14:paraId="1D7EAA8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Badu-</w:t>
      </w:r>
      <w:proofErr w:type="spellStart"/>
      <w:r>
        <w:rPr>
          <w:rFonts w:ascii="Arial" w:eastAsia="Times New Roman" w:hAnsi="Arial" w:cs="Arial"/>
          <w:color w:val="0E101A"/>
          <w:sz w:val="20"/>
          <w:szCs w:val="20"/>
          <w:lang w:eastAsia="en-GB"/>
        </w:rPr>
        <w:t>Apraku</w:t>
      </w:r>
      <w:proofErr w:type="spellEnd"/>
      <w:r>
        <w:rPr>
          <w:rFonts w:ascii="Arial" w:eastAsia="Times New Roman" w:hAnsi="Arial" w:cs="Arial"/>
          <w:color w:val="0E101A"/>
          <w:sz w:val="20"/>
          <w:szCs w:val="20"/>
          <w:lang w:eastAsia="en-GB"/>
        </w:rPr>
        <w:t xml:space="preserve"> B, </w:t>
      </w:r>
      <w:proofErr w:type="spellStart"/>
      <w:r>
        <w:rPr>
          <w:rFonts w:ascii="Arial" w:eastAsia="Times New Roman" w:hAnsi="Arial" w:cs="Arial"/>
          <w:color w:val="0E101A"/>
          <w:sz w:val="20"/>
          <w:szCs w:val="20"/>
          <w:lang w:eastAsia="en-GB"/>
        </w:rPr>
        <w:t>Fakorede</w:t>
      </w:r>
      <w:proofErr w:type="spellEnd"/>
      <w:r>
        <w:rPr>
          <w:rFonts w:ascii="Arial" w:eastAsia="Times New Roman" w:hAnsi="Arial" w:cs="Arial"/>
          <w:color w:val="0E101A"/>
          <w:sz w:val="20"/>
          <w:szCs w:val="20"/>
          <w:lang w:eastAsia="en-GB"/>
        </w:rPr>
        <w:t xml:space="preserve"> MAB, </w:t>
      </w:r>
      <w:proofErr w:type="spellStart"/>
      <w:r>
        <w:rPr>
          <w:rFonts w:ascii="Arial" w:eastAsia="Times New Roman" w:hAnsi="Arial" w:cs="Arial"/>
          <w:color w:val="0E101A"/>
          <w:sz w:val="20"/>
          <w:szCs w:val="20"/>
          <w:lang w:eastAsia="en-GB"/>
        </w:rPr>
        <w:t>Menkir</w:t>
      </w:r>
      <w:proofErr w:type="spellEnd"/>
      <w:r>
        <w:rPr>
          <w:rFonts w:ascii="Arial" w:eastAsia="Times New Roman" w:hAnsi="Arial" w:cs="Arial"/>
          <w:color w:val="0E101A"/>
          <w:sz w:val="20"/>
          <w:szCs w:val="20"/>
          <w:lang w:eastAsia="en-GB"/>
        </w:rPr>
        <w:t xml:space="preserve"> A, </w:t>
      </w:r>
      <w:proofErr w:type="spellStart"/>
      <w:r>
        <w:rPr>
          <w:rFonts w:ascii="Arial" w:eastAsia="Times New Roman" w:hAnsi="Arial" w:cs="Arial"/>
          <w:color w:val="0E101A"/>
          <w:sz w:val="20"/>
          <w:szCs w:val="20"/>
          <w:lang w:eastAsia="en-GB"/>
        </w:rPr>
        <w:t>Sanogo</w:t>
      </w:r>
      <w:proofErr w:type="spellEnd"/>
      <w:r>
        <w:rPr>
          <w:rFonts w:ascii="Arial" w:eastAsia="Times New Roman" w:hAnsi="Arial" w:cs="Arial"/>
          <w:color w:val="0E101A"/>
          <w:sz w:val="20"/>
          <w:szCs w:val="20"/>
          <w:lang w:eastAsia="en-GB"/>
        </w:rPr>
        <w:t xml:space="preserve"> D, (Eds) (2012). Conduct and management of maize field trials. IITA, Ibadan, Nigeria.</w:t>
      </w:r>
    </w:p>
    <w:p w14:paraId="1F61B8C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Business Daily Africa, (December 23rd 2022): Animal feed makers to import</w:t>
      </w:r>
    </w:p>
    <w:p w14:paraId="02FB07DC" w14:textId="77777777" w:rsidR="009C34D9" w:rsidRDefault="0080556E">
      <w:pPr>
        <w:spacing w:after="0" w:line="480" w:lineRule="auto"/>
        <w:ind w:left="720"/>
        <w:jc w:val="both"/>
        <w:rPr>
          <w:rFonts w:ascii="Arial" w:eastAsia="Times New Roman" w:hAnsi="Arial" w:cs="Arial"/>
          <w:color w:val="0E101A"/>
          <w:sz w:val="20"/>
          <w:szCs w:val="20"/>
          <w:lang w:eastAsia="en-GB"/>
        </w:rPr>
      </w:pPr>
      <w:hyperlink r:id="rId18" w:tgtFrame="_blank" w:history="1">
        <w:r w:rsidR="00735411">
          <w:rPr>
            <w:rFonts w:ascii="Arial" w:eastAsia="Times New Roman" w:hAnsi="Arial" w:cs="Arial"/>
            <w:color w:val="4A6EE0"/>
            <w:sz w:val="20"/>
            <w:szCs w:val="20"/>
            <w:u w:val="single"/>
            <w:lang w:eastAsia="en-GB"/>
          </w:rPr>
          <w:t>https://www.businessdailyafrica.com/bd/markets/commodities/animal-feed-makers-to-import-350-000-tonnes-of-yellow-maize--4064266</w:t>
        </w:r>
      </w:hyperlink>
    </w:p>
    <w:p w14:paraId="73693AA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CIMMYT (2005). A compilation of 497 CIMMYT lines (CMLs). </w:t>
      </w:r>
    </w:p>
    <w:p w14:paraId="26FC915C" w14:textId="77777777" w:rsidR="009C34D9" w:rsidRDefault="0080556E">
      <w:pPr>
        <w:spacing w:after="0" w:line="480" w:lineRule="auto"/>
        <w:ind w:left="720"/>
        <w:jc w:val="both"/>
        <w:rPr>
          <w:rFonts w:ascii="Arial" w:eastAsia="Times New Roman" w:hAnsi="Arial" w:cs="Arial"/>
          <w:color w:val="0E101A"/>
          <w:sz w:val="20"/>
          <w:szCs w:val="20"/>
          <w:lang w:eastAsia="en-GB"/>
        </w:rPr>
      </w:pPr>
      <w:hyperlink r:id="rId19" w:tgtFrame="_blank" w:history="1">
        <w:r w:rsidR="00735411">
          <w:rPr>
            <w:rFonts w:ascii="Arial" w:eastAsia="Times New Roman" w:hAnsi="Arial" w:cs="Arial"/>
            <w:color w:val="4A6EE0"/>
            <w:sz w:val="20"/>
            <w:szCs w:val="20"/>
            <w:u w:val="single"/>
            <w:lang w:eastAsia="en-GB"/>
          </w:rPr>
          <w:t>https://repository.cimmyt.org/handle/10883/1337?locale-attribute=en</w:t>
        </w:r>
      </w:hyperlink>
      <w:r w:rsidR="00735411">
        <w:rPr>
          <w:rFonts w:ascii="Arial" w:eastAsia="Times New Roman" w:hAnsi="Arial" w:cs="Arial"/>
          <w:color w:val="0E101A"/>
          <w:sz w:val="20"/>
          <w:szCs w:val="20"/>
          <w:lang w:eastAsia="en-GB"/>
        </w:rPr>
        <w:t>.</w:t>
      </w:r>
    </w:p>
    <w:p w14:paraId="42613BB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Cooper M, Delacy HI (1994). Relationships among analytical methods used to study genotypic variation and genotype-by-environment interaction in plant breeding multi-environment experiments, Theor. Appl. Genet. 88 (1994) 561–572</w:t>
      </w:r>
    </w:p>
    <w:p w14:paraId="273D4F73"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lastRenderedPageBreak/>
        <w:t>Damtie</w:t>
      </w:r>
      <w:proofErr w:type="spellEnd"/>
      <w:r>
        <w:rPr>
          <w:rFonts w:ascii="Arial" w:eastAsia="Times New Roman" w:hAnsi="Arial" w:cs="Arial"/>
          <w:color w:val="0E101A"/>
          <w:sz w:val="20"/>
          <w:szCs w:val="20"/>
          <w:lang w:eastAsia="en-GB"/>
        </w:rPr>
        <w:t xml:space="preserve"> Y, Assefa G, </w:t>
      </w:r>
      <w:proofErr w:type="spellStart"/>
      <w:r>
        <w:rPr>
          <w:rFonts w:ascii="Arial" w:eastAsia="Times New Roman" w:hAnsi="Arial" w:cs="Arial"/>
          <w:color w:val="0E101A"/>
          <w:sz w:val="20"/>
          <w:szCs w:val="20"/>
          <w:lang w:eastAsia="en-GB"/>
        </w:rPr>
        <w:t>Mulualem</w:t>
      </w:r>
      <w:proofErr w:type="spellEnd"/>
      <w:r>
        <w:rPr>
          <w:rFonts w:ascii="Arial" w:eastAsia="Times New Roman" w:hAnsi="Arial" w:cs="Arial"/>
          <w:color w:val="0E101A"/>
          <w:sz w:val="20"/>
          <w:szCs w:val="20"/>
          <w:lang w:eastAsia="en-GB"/>
        </w:rPr>
        <w:t xml:space="preserve"> T (2021). Genetic variability, heritability, trait associations and path coefficient analysis of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inbreed lines.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(1), 86-94.</w:t>
      </w:r>
    </w:p>
    <w:p w14:paraId="761DB26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 xml:space="preserve">De Groote H, </w:t>
      </w:r>
      <w:proofErr w:type="spellStart"/>
      <w:r w:rsidRPr="00E55EAC">
        <w:rPr>
          <w:rFonts w:ascii="Arial" w:eastAsia="Times New Roman" w:hAnsi="Arial" w:cs="Arial"/>
          <w:color w:val="0E101A"/>
          <w:sz w:val="20"/>
          <w:szCs w:val="20"/>
          <w:lang w:eastAsia="en-GB"/>
        </w:rPr>
        <w:t>Kimenju</w:t>
      </w:r>
      <w:proofErr w:type="spellEnd"/>
      <w:r w:rsidRPr="00E55EAC">
        <w:rPr>
          <w:rFonts w:ascii="Arial" w:eastAsia="Times New Roman" w:hAnsi="Arial" w:cs="Arial"/>
          <w:color w:val="0E101A"/>
          <w:sz w:val="20"/>
          <w:szCs w:val="20"/>
          <w:lang w:eastAsia="en-GB"/>
        </w:rPr>
        <w:t xml:space="preserve"> SC (2012). Consumer preference for maize products in urban Kenya. Food and Nutrition Bulletin, vol. 33, no. 2.</w:t>
      </w:r>
    </w:p>
    <w:p w14:paraId="6C534D59"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proofErr w:type="spellStart"/>
      <w:r>
        <w:rPr>
          <w:rFonts w:ascii="Arial" w:eastAsia="Calibri" w:hAnsi="Arial" w:cs="Arial"/>
          <w:sz w:val="20"/>
          <w:szCs w:val="20"/>
        </w:rPr>
        <w:t>Engida</w:t>
      </w:r>
      <w:proofErr w:type="spellEnd"/>
      <w:r>
        <w:rPr>
          <w:rFonts w:ascii="Arial" w:eastAsia="Calibri" w:hAnsi="Arial" w:cs="Arial"/>
          <w:sz w:val="20"/>
          <w:szCs w:val="20"/>
        </w:rPr>
        <w:t xml:space="preserve"> BT, </w:t>
      </w:r>
      <w:proofErr w:type="spellStart"/>
      <w:r>
        <w:rPr>
          <w:rFonts w:ascii="Arial" w:eastAsia="Calibri" w:hAnsi="Arial" w:cs="Arial"/>
          <w:sz w:val="20"/>
          <w:szCs w:val="20"/>
        </w:rPr>
        <w:t>Yadesa</w:t>
      </w:r>
      <w:proofErr w:type="spellEnd"/>
      <w:r>
        <w:rPr>
          <w:rFonts w:ascii="Arial" w:eastAsia="Calibri" w:hAnsi="Arial" w:cs="Arial"/>
          <w:sz w:val="20"/>
          <w:szCs w:val="20"/>
        </w:rPr>
        <w:t xml:space="preserve"> L, </w:t>
      </w:r>
      <w:proofErr w:type="spellStart"/>
      <w:r>
        <w:rPr>
          <w:rFonts w:ascii="Arial" w:eastAsia="Calibri" w:hAnsi="Arial" w:cs="Arial"/>
          <w:sz w:val="20"/>
          <w:szCs w:val="20"/>
        </w:rPr>
        <w:t>Garoma</w:t>
      </w:r>
      <w:proofErr w:type="spellEnd"/>
      <w:r>
        <w:rPr>
          <w:rFonts w:ascii="Arial" w:eastAsia="Calibri" w:hAnsi="Arial" w:cs="Arial"/>
          <w:sz w:val="20"/>
          <w:szCs w:val="20"/>
        </w:rPr>
        <w:t xml:space="preserve"> B et al., (2024). Hybrid performance and grain yield stability for advanced provitamin A and quality protein maize hybrids evaluated in Ethiopia. J. Crop Sci. </w:t>
      </w:r>
      <w:proofErr w:type="spellStart"/>
      <w:r>
        <w:rPr>
          <w:rFonts w:ascii="Arial" w:eastAsia="Calibri" w:hAnsi="Arial" w:cs="Arial"/>
          <w:sz w:val="20"/>
          <w:szCs w:val="20"/>
        </w:rPr>
        <w:t>Biotechnol</w:t>
      </w:r>
      <w:proofErr w:type="spellEnd"/>
      <w:r>
        <w:rPr>
          <w:rFonts w:ascii="Arial" w:eastAsia="Calibri" w:hAnsi="Arial" w:cs="Arial"/>
          <w:sz w:val="20"/>
          <w:szCs w:val="20"/>
        </w:rPr>
        <w:t xml:space="preserve">. 27, 489–500. </w:t>
      </w:r>
      <w:hyperlink r:id="rId20" w:history="1">
        <w:r>
          <w:rPr>
            <w:rFonts w:ascii="Arial" w:eastAsia="Calibri" w:hAnsi="Arial" w:cs="Arial"/>
            <w:color w:val="0000FF"/>
            <w:sz w:val="20"/>
            <w:szCs w:val="20"/>
            <w:u w:val="single"/>
          </w:rPr>
          <w:t>https://doi.org/10.1007/s12892-024-00245-4</w:t>
        </w:r>
      </w:hyperlink>
    </w:p>
    <w:p w14:paraId="52CB4771"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sz w:val="20"/>
          <w:szCs w:val="20"/>
        </w:rPr>
        <w:t>Falconer DS, Mackay TFC (2005). Introduction to quantitative genetics. 4th ed. Pearson Prentice Hall, Upper Saddle River, NJ.</w:t>
      </w:r>
    </w:p>
    <w:p w14:paraId="5B809A7B" w14:textId="77777777" w:rsidR="00E30B94" w:rsidRPr="00E30B94" w:rsidRDefault="00E30B94" w:rsidP="00E30B94">
      <w:pPr>
        <w:spacing w:beforeLines="240" w:before="576" w:afterLines="200" w:after="480" w:line="480" w:lineRule="auto"/>
        <w:ind w:left="720" w:hanging="720"/>
        <w:contextualSpacing/>
        <w:mirrorIndents/>
        <w:jc w:val="both"/>
        <w:rPr>
          <w:rFonts w:ascii="Arial" w:eastAsia="Calibri" w:hAnsi="Arial" w:cs="Arial"/>
          <w:i/>
          <w:iCs/>
          <w:sz w:val="20"/>
          <w:szCs w:val="20"/>
        </w:rPr>
      </w:pPr>
      <w:r w:rsidRPr="00E30B94">
        <w:rPr>
          <w:rFonts w:ascii="Arial" w:eastAsia="Calibri" w:hAnsi="Arial" w:cs="Arial"/>
          <w:sz w:val="20"/>
          <w:szCs w:val="20"/>
        </w:rPr>
        <w:t xml:space="preserve">Food and Agriculture Organization of the United Nations. (2024). </w:t>
      </w:r>
      <w:r w:rsidRPr="00E30B94">
        <w:rPr>
          <w:rFonts w:ascii="Arial" w:eastAsia="Calibri" w:hAnsi="Arial" w:cs="Arial"/>
          <w:i/>
          <w:iCs/>
          <w:sz w:val="20"/>
          <w:szCs w:val="20"/>
        </w:rPr>
        <w:t>FAOSTAT statistical database</w:t>
      </w:r>
      <w:r w:rsidRPr="00E30B94">
        <w:rPr>
          <w:rFonts w:ascii="Arial" w:eastAsia="Calibri" w:hAnsi="Arial" w:cs="Arial"/>
          <w:sz w:val="20"/>
          <w:szCs w:val="20"/>
        </w:rPr>
        <w:t xml:space="preserve">. Rome: FAO. Retrieved from </w:t>
      </w:r>
      <w:hyperlink r:id="rId21" w:anchor="data" w:tgtFrame="_new" w:history="1">
        <w:r w:rsidRPr="00E30B94">
          <w:rPr>
            <w:rFonts w:ascii="Arial" w:eastAsia="Calibri" w:hAnsi="Arial" w:cs="Arial"/>
            <w:color w:val="0000FF"/>
            <w:sz w:val="20"/>
            <w:szCs w:val="20"/>
            <w:u w:val="single"/>
          </w:rPr>
          <w:t>http://www.fao.org/faostat/en/#data</w:t>
        </w:r>
      </w:hyperlink>
      <w:r w:rsidRPr="00E30B94">
        <w:rPr>
          <w:rFonts w:ascii="Arial" w:eastAsia="Calibri" w:hAnsi="Arial" w:cs="Arial"/>
          <w:sz w:val="20"/>
          <w:szCs w:val="20"/>
        </w:rPr>
        <w:t>.</w:t>
      </w:r>
    </w:p>
    <w:p w14:paraId="6FB3581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Giesbrecht FG, </w:t>
      </w:r>
      <w:proofErr w:type="spellStart"/>
      <w:r>
        <w:rPr>
          <w:rFonts w:ascii="Arial" w:eastAsia="Times New Roman" w:hAnsi="Arial" w:cs="Arial"/>
          <w:color w:val="0E101A"/>
          <w:sz w:val="20"/>
          <w:szCs w:val="20"/>
          <w:lang w:eastAsia="en-GB"/>
        </w:rPr>
        <w:t>Gumpertz</w:t>
      </w:r>
      <w:proofErr w:type="spellEnd"/>
      <w:r>
        <w:rPr>
          <w:rFonts w:ascii="Arial" w:eastAsia="Times New Roman" w:hAnsi="Arial" w:cs="Arial"/>
          <w:color w:val="0E101A"/>
          <w:sz w:val="20"/>
          <w:szCs w:val="20"/>
          <w:lang w:eastAsia="en-GB"/>
        </w:rPr>
        <w:t xml:space="preserve"> L (2004). Planning, Construction, and Statistical Analysis of Comparative Experiments. John Wiley &amp; Sons, Inc.</w:t>
      </w:r>
    </w:p>
    <w:p w14:paraId="4E48654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Fraser PD, Bramley PM (2004). The biosynthesis and nutritional uses of carotenoids. Progress in Lipid Research 3: pp. 228–265.</w:t>
      </w:r>
    </w:p>
    <w:p w14:paraId="4A61D0F9" w14:textId="77777777" w:rsidR="00E55EAC" w:rsidRPr="00E55EAC" w:rsidRDefault="00E55EAC" w:rsidP="00E55EAC">
      <w:pPr>
        <w:spacing w:beforeLines="240" w:before="576" w:afterLines="200" w:after="480" w:line="480" w:lineRule="auto"/>
        <w:ind w:left="720" w:hanging="720"/>
        <w:contextualSpacing/>
        <w:mirrorIndents/>
        <w:jc w:val="both"/>
        <w:rPr>
          <w:rFonts w:ascii="Arial" w:eastAsia="Calibri" w:hAnsi="Arial" w:cs="Arial"/>
          <w:sz w:val="20"/>
          <w:szCs w:val="20"/>
        </w:rPr>
      </w:pPr>
      <w:proofErr w:type="spellStart"/>
      <w:r w:rsidRPr="00E55EAC">
        <w:rPr>
          <w:rFonts w:ascii="Arial" w:eastAsia="Calibri" w:hAnsi="Arial" w:cs="Arial"/>
          <w:sz w:val="20"/>
          <w:szCs w:val="20"/>
        </w:rPr>
        <w:t>Gebrechorkos</w:t>
      </w:r>
      <w:proofErr w:type="spellEnd"/>
      <w:r w:rsidRPr="00E55EAC">
        <w:rPr>
          <w:rFonts w:ascii="Arial" w:eastAsia="Calibri" w:hAnsi="Arial" w:cs="Arial"/>
          <w:sz w:val="20"/>
          <w:szCs w:val="20"/>
        </w:rPr>
        <w:t xml:space="preserve">, S. H., </w:t>
      </w:r>
      <w:proofErr w:type="spellStart"/>
      <w:r w:rsidRPr="00E55EAC">
        <w:rPr>
          <w:rFonts w:ascii="Arial" w:eastAsia="Calibri" w:hAnsi="Arial" w:cs="Arial"/>
          <w:sz w:val="20"/>
          <w:szCs w:val="20"/>
        </w:rPr>
        <w:t>Hülsmann</w:t>
      </w:r>
      <w:proofErr w:type="spellEnd"/>
      <w:r w:rsidRPr="00E55EAC">
        <w:rPr>
          <w:rFonts w:ascii="Arial" w:eastAsia="Calibri" w:hAnsi="Arial" w:cs="Arial"/>
          <w:sz w:val="20"/>
          <w:szCs w:val="20"/>
        </w:rPr>
        <w:t xml:space="preserve">, S., and </w:t>
      </w:r>
      <w:proofErr w:type="spellStart"/>
      <w:r w:rsidRPr="00E55EAC">
        <w:rPr>
          <w:rFonts w:ascii="Arial" w:eastAsia="Calibri" w:hAnsi="Arial" w:cs="Arial"/>
          <w:sz w:val="20"/>
          <w:szCs w:val="20"/>
        </w:rPr>
        <w:t>Bernhofer</w:t>
      </w:r>
      <w:proofErr w:type="spellEnd"/>
      <w:r w:rsidRPr="00E55EAC">
        <w:rPr>
          <w:rFonts w:ascii="Arial" w:eastAsia="Calibri" w:hAnsi="Arial" w:cs="Arial"/>
          <w:sz w:val="20"/>
          <w:szCs w:val="20"/>
        </w:rPr>
        <w:t>, C. (2019). Changes in temperature and precipitation extremes in Ethiopia, Kenya, and Tanzania. </w:t>
      </w:r>
      <w:r w:rsidRPr="00E55EAC">
        <w:rPr>
          <w:rFonts w:ascii="Arial" w:eastAsia="Calibri" w:hAnsi="Arial" w:cs="Arial"/>
          <w:i/>
          <w:iCs/>
          <w:sz w:val="20"/>
          <w:szCs w:val="20"/>
        </w:rPr>
        <w:t xml:space="preserve">Int. J. </w:t>
      </w:r>
      <w:proofErr w:type="spellStart"/>
      <w:r w:rsidRPr="00E55EAC">
        <w:rPr>
          <w:rFonts w:ascii="Arial" w:eastAsia="Calibri" w:hAnsi="Arial" w:cs="Arial"/>
          <w:i/>
          <w:iCs/>
          <w:sz w:val="20"/>
          <w:szCs w:val="20"/>
        </w:rPr>
        <w:t>Climatol</w:t>
      </w:r>
      <w:proofErr w:type="spellEnd"/>
      <w:r w:rsidRPr="00E55EAC">
        <w:rPr>
          <w:rFonts w:ascii="Arial" w:eastAsia="Calibri" w:hAnsi="Arial" w:cs="Arial"/>
          <w:i/>
          <w:iCs/>
          <w:sz w:val="20"/>
          <w:szCs w:val="20"/>
        </w:rPr>
        <w:t>.</w:t>
      </w:r>
      <w:r w:rsidRPr="00E55EAC">
        <w:rPr>
          <w:rFonts w:ascii="Arial" w:eastAsia="Calibri" w:hAnsi="Arial" w:cs="Arial"/>
          <w:sz w:val="20"/>
          <w:szCs w:val="20"/>
        </w:rPr>
        <w:t xml:space="preserve"> 39, 18–30. </w:t>
      </w:r>
      <w:proofErr w:type="spellStart"/>
      <w:r w:rsidRPr="00E55EAC">
        <w:rPr>
          <w:rFonts w:ascii="Arial" w:eastAsia="Calibri" w:hAnsi="Arial" w:cs="Arial"/>
          <w:sz w:val="20"/>
          <w:szCs w:val="20"/>
        </w:rPr>
        <w:t>doi</w:t>
      </w:r>
      <w:proofErr w:type="spellEnd"/>
      <w:r w:rsidRPr="00E55EAC">
        <w:rPr>
          <w:rFonts w:ascii="Arial" w:eastAsia="Calibri" w:hAnsi="Arial" w:cs="Arial"/>
          <w:sz w:val="20"/>
          <w:szCs w:val="20"/>
        </w:rPr>
        <w:t>: 10.1002/joc.5777</w:t>
      </w:r>
    </w:p>
    <w:p w14:paraId="259AB02F" w14:textId="77777777" w:rsidR="00E55EAC" w:rsidRPr="00E55EAC" w:rsidRDefault="0080556E" w:rsidP="00E55EAC">
      <w:pPr>
        <w:spacing w:after="0" w:line="480" w:lineRule="auto"/>
        <w:ind w:left="720"/>
        <w:jc w:val="both"/>
        <w:rPr>
          <w:rFonts w:ascii="Arial" w:eastAsia="Times New Roman" w:hAnsi="Arial" w:cs="Arial"/>
          <w:color w:val="0E101A"/>
          <w:sz w:val="20"/>
          <w:szCs w:val="20"/>
          <w:lang w:eastAsia="en-GB"/>
        </w:rPr>
      </w:pPr>
      <w:hyperlink r:id="rId22" w:tgtFrame="_blank" w:history="1">
        <w:proofErr w:type="spellStart"/>
        <w:r w:rsidR="00E55EAC" w:rsidRPr="00E55EAC">
          <w:rPr>
            <w:rFonts w:ascii="Arial" w:eastAsia="Calibri" w:hAnsi="Arial" w:cs="Arial"/>
            <w:color w:val="0000FF"/>
            <w:sz w:val="20"/>
            <w:szCs w:val="20"/>
            <w:u w:val="single"/>
          </w:rPr>
          <w:t>Crossref</w:t>
        </w:r>
        <w:proofErr w:type="spellEnd"/>
        <w:r w:rsidR="00E55EAC" w:rsidRPr="00E55EAC">
          <w:rPr>
            <w:rFonts w:ascii="Arial" w:eastAsia="Calibri" w:hAnsi="Arial" w:cs="Arial"/>
            <w:color w:val="0000FF"/>
            <w:sz w:val="20"/>
            <w:szCs w:val="20"/>
            <w:u w:val="single"/>
          </w:rPr>
          <w:t xml:space="preserve"> Full Text</w:t>
        </w:r>
      </w:hyperlink>
      <w:r w:rsidR="00E55EAC" w:rsidRPr="00E55EAC">
        <w:rPr>
          <w:rFonts w:ascii="Arial" w:eastAsia="Calibri" w:hAnsi="Arial" w:cs="Arial"/>
          <w:sz w:val="20"/>
          <w:szCs w:val="20"/>
        </w:rPr>
        <w:t> | </w:t>
      </w:r>
      <w:hyperlink r:id="rId23" w:tgtFrame="_blank" w:history="1">
        <w:r w:rsidR="00E55EAC" w:rsidRPr="00E55EAC">
          <w:rPr>
            <w:rFonts w:ascii="Arial" w:eastAsia="Calibri" w:hAnsi="Arial" w:cs="Arial"/>
            <w:color w:val="0000FF"/>
            <w:sz w:val="20"/>
            <w:szCs w:val="20"/>
            <w:u w:val="single"/>
          </w:rPr>
          <w:t>Google Scholar</w:t>
        </w:r>
      </w:hyperlink>
    </w:p>
    <w:p w14:paraId="3A65B8B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Gichuru LN (2013). Breeding Investigations on Utility of Maize Streak Virus Resistant Germplasm for Hybrid Development in the Tropics (PhD) in Plant Breeding African Centre for Crop Improvement (ACCI). Ph.D. Thesis, University of Nairobi, Nairobi, Kenya.</w:t>
      </w:r>
    </w:p>
    <w:p w14:paraId="6B6D174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Holland JB, Nyquist WE, Cervantes-Martinez CT (2003). Estimating and Interpreting heritability for plant breeding: An update. Plant Breed. Rev: 9–112. </w:t>
      </w:r>
      <w:proofErr w:type="gramStart"/>
      <w:r>
        <w:rPr>
          <w:rFonts w:ascii="Arial" w:eastAsia="Times New Roman" w:hAnsi="Arial" w:cs="Arial"/>
          <w:color w:val="0E101A"/>
          <w:sz w:val="20"/>
          <w:szCs w:val="20"/>
          <w:lang w:eastAsia="en-GB"/>
        </w:rPr>
        <w:t>doi:10.1002/9780470650202.ch2</w:t>
      </w:r>
      <w:proofErr w:type="gramEnd"/>
      <w:r>
        <w:rPr>
          <w:rFonts w:ascii="Arial" w:eastAsia="Times New Roman" w:hAnsi="Arial" w:cs="Arial"/>
          <w:color w:val="0E101A"/>
          <w:sz w:val="20"/>
          <w:szCs w:val="20"/>
          <w:lang w:eastAsia="en-GB"/>
        </w:rPr>
        <w:t xml:space="preserve">. </w:t>
      </w:r>
      <w:hyperlink r:id="rId24" w:tgtFrame="_blank" w:history="1">
        <w:r>
          <w:rPr>
            <w:rFonts w:ascii="Arial" w:eastAsia="Times New Roman" w:hAnsi="Arial" w:cs="Arial"/>
            <w:color w:val="4A6EE0"/>
            <w:sz w:val="20"/>
            <w:szCs w:val="20"/>
            <w:u w:val="single"/>
            <w:lang w:eastAsia="en-GB"/>
          </w:rPr>
          <w:t>https://hdl.handle.net/11529/10548370</w:t>
        </w:r>
      </w:hyperlink>
      <w:r>
        <w:rPr>
          <w:rFonts w:ascii="Arial" w:eastAsia="Times New Roman" w:hAnsi="Arial" w:cs="Arial"/>
          <w:color w:val="0E101A"/>
          <w:sz w:val="20"/>
          <w:szCs w:val="20"/>
          <w:lang w:eastAsia="en-GB"/>
        </w:rPr>
        <w:t>,</w:t>
      </w:r>
    </w:p>
    <w:p w14:paraId="5323F3B6" w14:textId="77777777" w:rsidR="009C34D9" w:rsidRDefault="00735411">
      <w:pPr>
        <w:spacing w:after="0" w:line="480" w:lineRule="auto"/>
        <w:ind w:left="720" w:hanging="720"/>
        <w:jc w:val="both"/>
        <w:rPr>
          <w:rFonts w:ascii="Arial" w:hAnsi="Arial" w:cs="Arial"/>
          <w:sz w:val="20"/>
          <w:szCs w:val="20"/>
        </w:rPr>
      </w:pPr>
      <w:r>
        <w:rPr>
          <w:rFonts w:ascii="Arial" w:hAnsi="Arial" w:cs="Arial"/>
          <w:sz w:val="20"/>
          <w:szCs w:val="20"/>
        </w:rPr>
        <w:t xml:space="preserve">Jemal A, </w:t>
      </w:r>
      <w:proofErr w:type="spellStart"/>
      <w:r>
        <w:rPr>
          <w:rFonts w:ascii="Arial" w:hAnsi="Arial" w:cs="Arial"/>
          <w:sz w:val="20"/>
          <w:szCs w:val="20"/>
        </w:rPr>
        <w:t>Kassahun</w:t>
      </w:r>
      <w:proofErr w:type="spellEnd"/>
      <w:r>
        <w:rPr>
          <w:rFonts w:ascii="Arial" w:hAnsi="Arial" w:cs="Arial"/>
          <w:sz w:val="20"/>
          <w:szCs w:val="20"/>
        </w:rPr>
        <w:t xml:space="preserve"> B, </w:t>
      </w:r>
      <w:proofErr w:type="spellStart"/>
      <w:r>
        <w:rPr>
          <w:rFonts w:ascii="Arial" w:hAnsi="Arial" w:cs="Arial"/>
          <w:sz w:val="20"/>
          <w:szCs w:val="20"/>
        </w:rPr>
        <w:t>Sentayehu</w:t>
      </w:r>
      <w:proofErr w:type="spellEnd"/>
      <w:r>
        <w:rPr>
          <w:rFonts w:ascii="Arial" w:hAnsi="Arial" w:cs="Arial"/>
          <w:sz w:val="20"/>
          <w:szCs w:val="20"/>
        </w:rPr>
        <w:t xml:space="preserve"> A, </w:t>
      </w:r>
      <w:proofErr w:type="spellStart"/>
      <w:r>
        <w:rPr>
          <w:rFonts w:ascii="Arial" w:hAnsi="Arial" w:cs="Arial"/>
          <w:sz w:val="20"/>
          <w:szCs w:val="20"/>
        </w:rPr>
        <w:t>Sbhatu</w:t>
      </w:r>
      <w:proofErr w:type="spellEnd"/>
      <w:r>
        <w:rPr>
          <w:rFonts w:ascii="Arial" w:hAnsi="Arial" w:cs="Arial"/>
          <w:sz w:val="20"/>
          <w:szCs w:val="20"/>
        </w:rPr>
        <w:t xml:space="preserve"> DB, (2020). </w:t>
      </w:r>
      <w:r>
        <w:rPr>
          <w:rFonts w:ascii="Arial" w:eastAsia="Times New Roman" w:hAnsi="Arial" w:cs="Arial"/>
          <w:color w:val="0E101A"/>
          <w:sz w:val="20"/>
          <w:szCs w:val="20"/>
          <w:lang w:eastAsia="en-GB"/>
        </w:rPr>
        <w:t>Correlation and Path Coefficient Analysis of Yield and Yield Components of Quality Protein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Hybrids at Jimma, Western Ethiopia. International Journal of Agronomy, vol. 2020, Article ID 9651537, 7 pages. </w:t>
      </w:r>
      <w:hyperlink r:id="rId25" w:tgtFrame="_blank" w:history="1">
        <w:r>
          <w:rPr>
            <w:rFonts w:ascii="Arial" w:eastAsia="Times New Roman" w:hAnsi="Arial" w:cs="Arial"/>
            <w:color w:val="4A6EE0"/>
            <w:sz w:val="20"/>
            <w:szCs w:val="20"/>
            <w:u w:val="single"/>
            <w:lang w:eastAsia="en-GB"/>
          </w:rPr>
          <w:t>https://doi.org/10.1155/2020/9651537</w:t>
        </w:r>
      </w:hyperlink>
    </w:p>
    <w:p w14:paraId="25496802"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Kamal N, Khanum S, Siddique M, Ahmed MF (2020). Phenotypic correlation coefficient studies to determine interrelationships among grain yield and related characters in maize. </w:t>
      </w:r>
      <w:r>
        <w:rPr>
          <w:rFonts w:ascii="Arial" w:eastAsia="Times New Roman" w:hAnsi="Arial" w:cs="Arial"/>
          <w:i/>
          <w:iCs/>
          <w:color w:val="0E101A"/>
          <w:sz w:val="20"/>
          <w:szCs w:val="20"/>
          <w:lang w:eastAsia="en-GB"/>
        </w:rPr>
        <w:t>Haya Saudi J Life Sci</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5</w:t>
      </w:r>
      <w:r>
        <w:rPr>
          <w:rFonts w:ascii="Arial" w:eastAsia="Times New Roman" w:hAnsi="Arial" w:cs="Arial"/>
          <w:color w:val="0E101A"/>
          <w:sz w:val="20"/>
          <w:szCs w:val="20"/>
          <w:lang w:eastAsia="en-GB"/>
        </w:rPr>
        <w:t>(6), 113-116.</w:t>
      </w:r>
    </w:p>
    <w:p w14:paraId="0C27D4D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Knapp, S. J., Stroup, W. W., and Ross, W. M. (1985). Exact confidence intervals for heritability on a progeny mean basis. Crop Science. 25 (1), 192–194.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10.2135/ cropsci1985.0011183X002500010046x</w:t>
      </w:r>
    </w:p>
    <w:p w14:paraId="6F1E0EB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Kempthorne O (1957). </w:t>
      </w:r>
      <w:r>
        <w:rPr>
          <w:rFonts w:ascii="Arial" w:eastAsia="Times New Roman" w:hAnsi="Arial" w:cs="Arial"/>
          <w:i/>
          <w:iCs/>
          <w:color w:val="0E101A"/>
          <w:sz w:val="20"/>
          <w:szCs w:val="20"/>
          <w:lang w:eastAsia="en-GB"/>
        </w:rPr>
        <w:t>An Introduction to Genetic Statistics</w:t>
      </w:r>
      <w:r>
        <w:rPr>
          <w:rFonts w:ascii="Arial" w:eastAsia="Times New Roman" w:hAnsi="Arial" w:cs="Arial"/>
          <w:color w:val="0E101A"/>
          <w:sz w:val="20"/>
          <w:szCs w:val="20"/>
          <w:lang w:eastAsia="en-GB"/>
        </w:rPr>
        <w:t>. John Wiley and Sons, Inc., New York, USA 458-47.</w:t>
      </w:r>
    </w:p>
    <w:p w14:paraId="6F27093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Kenya Plant Health Inspectorate Service (2020). Soil analysis report.</w:t>
      </w:r>
    </w:p>
    <w:p w14:paraId="4799B708"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Liu, X., Huang, M., Fan, B., Buckler, E. S., and Zhang, Z. (2016). Iterative usage of f </w:t>
      </w:r>
      <w:proofErr w:type="spellStart"/>
      <w:r>
        <w:rPr>
          <w:rFonts w:ascii="Arial" w:eastAsia="Times New Roman" w:hAnsi="Arial" w:cs="Arial"/>
          <w:color w:val="0E101A"/>
          <w:sz w:val="20"/>
          <w:szCs w:val="20"/>
          <w:lang w:eastAsia="en-GB"/>
        </w:rPr>
        <w:t>ixed</w:t>
      </w:r>
      <w:proofErr w:type="spellEnd"/>
      <w:r>
        <w:rPr>
          <w:rFonts w:ascii="Arial" w:eastAsia="Times New Roman" w:hAnsi="Arial" w:cs="Arial"/>
          <w:color w:val="0E101A"/>
          <w:sz w:val="20"/>
          <w:szCs w:val="20"/>
          <w:lang w:eastAsia="en-GB"/>
        </w:rPr>
        <w:t xml:space="preserve"> and random effect models for powerful and efficient genome- wide association studies. </w:t>
      </w:r>
      <w:proofErr w:type="spellStart"/>
      <w:r>
        <w:rPr>
          <w:rFonts w:ascii="Arial" w:eastAsia="Times New Roman" w:hAnsi="Arial" w:cs="Arial"/>
          <w:color w:val="0E101A"/>
          <w:sz w:val="20"/>
          <w:szCs w:val="20"/>
          <w:lang w:eastAsia="en-GB"/>
        </w:rPr>
        <w:t>PloS</w:t>
      </w:r>
      <w:proofErr w:type="spellEnd"/>
      <w:r>
        <w:rPr>
          <w:rFonts w:ascii="Arial" w:eastAsia="Times New Roman" w:hAnsi="Arial" w:cs="Arial"/>
          <w:color w:val="0E101A"/>
          <w:sz w:val="20"/>
          <w:szCs w:val="20"/>
          <w:lang w:eastAsia="en-GB"/>
        </w:rPr>
        <w:t xml:space="preserve"> Genet. 12, e1005767.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10.1371/journal.pgen.1005767</w:t>
      </w:r>
    </w:p>
    <w:p w14:paraId="6F0F9A53"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proofErr w:type="spellStart"/>
      <w:r w:rsidRPr="00E55EAC">
        <w:rPr>
          <w:rFonts w:ascii="Arial" w:eastAsia="Times New Roman" w:hAnsi="Arial" w:cs="Arial"/>
          <w:color w:val="0E101A"/>
          <w:sz w:val="20"/>
          <w:szCs w:val="20"/>
          <w:lang w:eastAsia="en-GB"/>
        </w:rPr>
        <w:t>Mang'eni</w:t>
      </w:r>
      <w:proofErr w:type="spellEnd"/>
      <w:r w:rsidRPr="00E55EAC">
        <w:rPr>
          <w:rFonts w:ascii="Arial" w:eastAsia="Times New Roman" w:hAnsi="Arial" w:cs="Arial"/>
          <w:color w:val="0E101A"/>
          <w:sz w:val="20"/>
          <w:szCs w:val="20"/>
          <w:lang w:eastAsia="en-GB"/>
        </w:rPr>
        <w:t xml:space="preserve"> FO (2022). "Historical Analysis of De lining Maize Production in Kenya; A Case of Trans-</w:t>
      </w:r>
      <w:proofErr w:type="spellStart"/>
      <w:r w:rsidRPr="00E55EAC">
        <w:rPr>
          <w:rFonts w:ascii="Arial" w:eastAsia="Times New Roman" w:hAnsi="Arial" w:cs="Arial"/>
          <w:color w:val="0E101A"/>
          <w:sz w:val="20"/>
          <w:szCs w:val="20"/>
          <w:lang w:eastAsia="en-GB"/>
        </w:rPr>
        <w:t>Nzoia</w:t>
      </w:r>
      <w:proofErr w:type="spellEnd"/>
      <w:r w:rsidRPr="00E55EAC">
        <w:rPr>
          <w:rFonts w:ascii="Arial" w:eastAsia="Times New Roman" w:hAnsi="Arial" w:cs="Arial"/>
          <w:color w:val="0E101A"/>
          <w:sz w:val="20"/>
          <w:szCs w:val="20"/>
          <w:lang w:eastAsia="en-GB"/>
        </w:rPr>
        <w:t xml:space="preserve"> County"   Iconic Research and Engineering Journals Volume 5 Issue 7 Page 312-316</w:t>
      </w:r>
    </w:p>
    <w:p w14:paraId="44A05BFC"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Melchinger</w:t>
      </w:r>
      <w:proofErr w:type="spellEnd"/>
      <w:r>
        <w:rPr>
          <w:rFonts w:ascii="Arial" w:eastAsia="Times New Roman" w:hAnsi="Arial" w:cs="Arial"/>
          <w:color w:val="0E101A"/>
          <w:sz w:val="20"/>
          <w:szCs w:val="20"/>
          <w:lang w:eastAsia="en-GB"/>
        </w:rPr>
        <w:t xml:space="preserve"> AE, </w:t>
      </w:r>
      <w:proofErr w:type="spellStart"/>
      <w:r>
        <w:rPr>
          <w:rFonts w:ascii="Arial" w:eastAsia="Times New Roman" w:hAnsi="Arial" w:cs="Arial"/>
          <w:color w:val="0E101A"/>
          <w:sz w:val="20"/>
          <w:szCs w:val="20"/>
          <w:lang w:eastAsia="en-GB"/>
        </w:rPr>
        <w:t>Gumber</w:t>
      </w:r>
      <w:proofErr w:type="spellEnd"/>
      <w:r>
        <w:rPr>
          <w:rFonts w:ascii="Arial" w:eastAsia="Times New Roman" w:hAnsi="Arial" w:cs="Arial"/>
          <w:color w:val="0E101A"/>
          <w:sz w:val="20"/>
          <w:szCs w:val="20"/>
          <w:lang w:eastAsia="en-GB"/>
        </w:rPr>
        <w:t xml:space="preserve"> RK (1998). Overview of heterosis and heterotic groups in agronomic crops. In Lamkey KR, and Saub J E (Eds), Concept and Breeding of Heterosis in Crop Plants. CSSSA-SP, Publication no. 25, Madison, WI, pp. 29-44.</w:t>
      </w:r>
    </w:p>
    <w:p w14:paraId="56F5B9D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Ndung’u F (2021). Thesis.  Assessed Line by Tester analysis of maize inbreds for Northern Leaf Blight and other yield components in selected counties in Kenya.</w:t>
      </w:r>
    </w:p>
    <w:p w14:paraId="2BE88C5C"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r w:rsidRPr="00C14832">
        <w:rPr>
          <w:rFonts w:ascii="Arial" w:eastAsia="Times New Roman" w:hAnsi="Arial" w:cs="Arial"/>
          <w:color w:val="0E101A"/>
          <w:sz w:val="20"/>
          <w:szCs w:val="20"/>
          <w:lang w:eastAsia="en-GB"/>
        </w:rPr>
        <w:t xml:space="preserve">Nhemachena, C., Nhamo, L., </w:t>
      </w:r>
      <w:proofErr w:type="spellStart"/>
      <w:r w:rsidRPr="00C14832">
        <w:rPr>
          <w:rFonts w:ascii="Arial" w:eastAsia="Times New Roman" w:hAnsi="Arial" w:cs="Arial"/>
          <w:color w:val="0E101A"/>
          <w:sz w:val="20"/>
          <w:szCs w:val="20"/>
          <w:lang w:eastAsia="en-GB"/>
        </w:rPr>
        <w:t>Matchaya</w:t>
      </w:r>
      <w:proofErr w:type="spellEnd"/>
      <w:r w:rsidRPr="00C14832">
        <w:rPr>
          <w:rFonts w:ascii="Arial" w:eastAsia="Times New Roman" w:hAnsi="Arial" w:cs="Arial"/>
          <w:color w:val="0E101A"/>
          <w:sz w:val="20"/>
          <w:szCs w:val="20"/>
          <w:lang w:eastAsia="en-GB"/>
        </w:rPr>
        <w:t xml:space="preserve">, G., Nhemachena, C. R., </w:t>
      </w:r>
      <w:proofErr w:type="spellStart"/>
      <w:r w:rsidRPr="00C14832">
        <w:rPr>
          <w:rFonts w:ascii="Arial" w:eastAsia="Times New Roman" w:hAnsi="Arial" w:cs="Arial"/>
          <w:color w:val="0E101A"/>
          <w:sz w:val="20"/>
          <w:szCs w:val="20"/>
          <w:lang w:eastAsia="en-GB"/>
        </w:rPr>
        <w:t>Muchara</w:t>
      </w:r>
      <w:proofErr w:type="spellEnd"/>
      <w:r w:rsidRPr="00C14832">
        <w:rPr>
          <w:rFonts w:ascii="Arial" w:eastAsia="Times New Roman" w:hAnsi="Arial" w:cs="Arial"/>
          <w:color w:val="0E101A"/>
          <w:sz w:val="20"/>
          <w:szCs w:val="20"/>
          <w:lang w:eastAsia="en-GB"/>
        </w:rPr>
        <w:t xml:space="preserve">, B., </w:t>
      </w:r>
      <w:proofErr w:type="spellStart"/>
      <w:r w:rsidRPr="00C14832">
        <w:rPr>
          <w:rFonts w:ascii="Arial" w:eastAsia="Times New Roman" w:hAnsi="Arial" w:cs="Arial"/>
          <w:color w:val="0E101A"/>
          <w:sz w:val="20"/>
          <w:szCs w:val="20"/>
          <w:lang w:eastAsia="en-GB"/>
        </w:rPr>
        <w:t>Karuaihe</w:t>
      </w:r>
      <w:proofErr w:type="spellEnd"/>
      <w:r w:rsidRPr="00C14832">
        <w:rPr>
          <w:rFonts w:ascii="Arial" w:eastAsia="Times New Roman" w:hAnsi="Arial" w:cs="Arial"/>
          <w:color w:val="0E101A"/>
          <w:sz w:val="20"/>
          <w:szCs w:val="20"/>
          <w:lang w:eastAsia="en-GB"/>
        </w:rPr>
        <w:t>, S. T., et al. (2020). Climate change impacts on water and agriculture sectors in southern Africa: threats and opportunities for sustainable development. </w:t>
      </w:r>
      <w:r w:rsidRPr="00C14832">
        <w:rPr>
          <w:rFonts w:ascii="Arial" w:eastAsia="Times New Roman" w:hAnsi="Arial" w:cs="Arial"/>
          <w:i/>
          <w:iCs/>
          <w:color w:val="0E101A"/>
          <w:sz w:val="20"/>
          <w:szCs w:val="20"/>
          <w:lang w:eastAsia="en-GB"/>
        </w:rPr>
        <w:t>Water</w:t>
      </w:r>
      <w:r w:rsidRPr="00C14832">
        <w:rPr>
          <w:rFonts w:ascii="Arial" w:eastAsia="Times New Roman" w:hAnsi="Arial" w:cs="Arial"/>
          <w:color w:val="0E101A"/>
          <w:sz w:val="20"/>
          <w:szCs w:val="20"/>
          <w:lang w:eastAsia="en-GB"/>
        </w:rPr>
        <w:t xml:space="preserve"> 12:2673. </w:t>
      </w:r>
      <w:proofErr w:type="spellStart"/>
      <w:r w:rsidRPr="00C14832">
        <w:rPr>
          <w:rFonts w:ascii="Arial" w:eastAsia="Times New Roman" w:hAnsi="Arial" w:cs="Arial"/>
          <w:color w:val="0E101A"/>
          <w:sz w:val="20"/>
          <w:szCs w:val="20"/>
          <w:lang w:eastAsia="en-GB"/>
        </w:rPr>
        <w:t>doi</w:t>
      </w:r>
      <w:proofErr w:type="spellEnd"/>
      <w:r w:rsidRPr="00C14832">
        <w:rPr>
          <w:rFonts w:ascii="Arial" w:eastAsia="Times New Roman" w:hAnsi="Arial" w:cs="Arial"/>
          <w:color w:val="0E101A"/>
          <w:sz w:val="20"/>
          <w:szCs w:val="20"/>
          <w:lang w:eastAsia="en-GB"/>
        </w:rPr>
        <w:t>: 10.3390/w12102673</w:t>
      </w:r>
    </w:p>
    <w:p w14:paraId="135D71ED" w14:textId="77777777" w:rsidR="00C14832" w:rsidRPr="00C14832" w:rsidRDefault="0080556E" w:rsidP="00C14832">
      <w:pPr>
        <w:spacing w:after="0" w:line="480" w:lineRule="auto"/>
        <w:ind w:left="720"/>
        <w:jc w:val="both"/>
        <w:rPr>
          <w:rFonts w:ascii="Arial" w:eastAsia="Times New Roman" w:hAnsi="Arial" w:cs="Arial"/>
          <w:color w:val="0E101A"/>
          <w:sz w:val="20"/>
          <w:szCs w:val="20"/>
          <w:lang w:eastAsia="en-GB"/>
        </w:rPr>
      </w:pPr>
      <w:hyperlink r:id="rId26" w:tgtFrame="_blank" w:history="1">
        <w:proofErr w:type="spellStart"/>
        <w:r w:rsidR="00C14832" w:rsidRPr="00C14832">
          <w:rPr>
            <w:rStyle w:val="Hyperlink"/>
            <w:rFonts w:ascii="Arial" w:eastAsia="Times New Roman" w:hAnsi="Arial" w:cs="Arial"/>
            <w:sz w:val="20"/>
            <w:szCs w:val="20"/>
            <w:lang w:eastAsia="en-GB"/>
          </w:rPr>
          <w:t>Crossref</w:t>
        </w:r>
        <w:proofErr w:type="spellEnd"/>
        <w:r w:rsidR="00C14832" w:rsidRPr="00C14832">
          <w:rPr>
            <w:rStyle w:val="Hyperlink"/>
            <w:rFonts w:ascii="Arial" w:eastAsia="Times New Roman" w:hAnsi="Arial" w:cs="Arial"/>
            <w:sz w:val="20"/>
            <w:szCs w:val="20"/>
            <w:lang w:eastAsia="en-GB"/>
          </w:rPr>
          <w:t xml:space="preserve"> Full Text</w:t>
        </w:r>
      </w:hyperlink>
      <w:r w:rsidR="00C14832" w:rsidRPr="00C14832">
        <w:rPr>
          <w:rFonts w:ascii="Arial" w:eastAsia="Times New Roman" w:hAnsi="Arial" w:cs="Arial"/>
          <w:color w:val="0E101A"/>
          <w:sz w:val="20"/>
          <w:szCs w:val="20"/>
          <w:lang w:eastAsia="en-GB"/>
        </w:rPr>
        <w:t> | </w:t>
      </w:r>
      <w:hyperlink r:id="rId27" w:tgtFrame="_blank" w:history="1">
        <w:r w:rsidR="00C14832" w:rsidRPr="00C14832">
          <w:rPr>
            <w:rStyle w:val="Hyperlink"/>
            <w:rFonts w:ascii="Arial" w:eastAsia="Times New Roman" w:hAnsi="Arial" w:cs="Arial"/>
            <w:sz w:val="20"/>
            <w:szCs w:val="20"/>
            <w:lang w:eastAsia="en-GB"/>
          </w:rPr>
          <w:t>Google Scholar</w:t>
        </w:r>
      </w:hyperlink>
    </w:p>
    <w:p w14:paraId="02E85609"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bookmarkStart w:id="2" w:name="ref72"/>
      <w:bookmarkEnd w:id="2"/>
      <w:r w:rsidRPr="00C14832">
        <w:rPr>
          <w:rFonts w:ascii="Arial" w:eastAsia="Times New Roman" w:hAnsi="Arial" w:cs="Arial"/>
          <w:color w:val="0E101A"/>
          <w:sz w:val="20"/>
          <w:szCs w:val="20"/>
          <w:lang w:eastAsia="en-GB"/>
        </w:rPr>
        <w:t xml:space="preserve">Niang, I., Osman-Elasha, B., </w:t>
      </w:r>
      <w:proofErr w:type="spellStart"/>
      <w:r w:rsidRPr="00C14832">
        <w:rPr>
          <w:rFonts w:ascii="Arial" w:eastAsia="Times New Roman" w:hAnsi="Arial" w:cs="Arial"/>
          <w:color w:val="0E101A"/>
          <w:sz w:val="20"/>
          <w:szCs w:val="20"/>
          <w:lang w:eastAsia="en-GB"/>
        </w:rPr>
        <w:t>Githeko</w:t>
      </w:r>
      <w:proofErr w:type="spellEnd"/>
      <w:r w:rsidRPr="00C14832">
        <w:rPr>
          <w:rFonts w:ascii="Arial" w:eastAsia="Times New Roman" w:hAnsi="Arial" w:cs="Arial"/>
          <w:color w:val="0E101A"/>
          <w:sz w:val="20"/>
          <w:szCs w:val="20"/>
          <w:lang w:eastAsia="en-GB"/>
        </w:rPr>
        <w:t xml:space="preserve">, A., Yanda, P. Z., </w:t>
      </w:r>
      <w:proofErr w:type="spellStart"/>
      <w:r w:rsidRPr="00C14832">
        <w:rPr>
          <w:rFonts w:ascii="Arial" w:eastAsia="Times New Roman" w:hAnsi="Arial" w:cs="Arial"/>
          <w:color w:val="0E101A"/>
          <w:sz w:val="20"/>
          <w:szCs w:val="20"/>
          <w:lang w:eastAsia="en-GB"/>
        </w:rPr>
        <w:t>Medany</w:t>
      </w:r>
      <w:proofErr w:type="spellEnd"/>
      <w:r w:rsidRPr="00C14832">
        <w:rPr>
          <w:rFonts w:ascii="Arial" w:eastAsia="Times New Roman" w:hAnsi="Arial" w:cs="Arial"/>
          <w:color w:val="0E101A"/>
          <w:sz w:val="20"/>
          <w:szCs w:val="20"/>
          <w:lang w:eastAsia="en-GB"/>
        </w:rPr>
        <w:t>, M., and Vogel, C. (2021). </w:t>
      </w:r>
      <w:r w:rsidRPr="00C14832">
        <w:rPr>
          <w:rFonts w:ascii="Arial" w:eastAsia="Times New Roman" w:hAnsi="Arial" w:cs="Arial"/>
          <w:i/>
          <w:iCs/>
          <w:color w:val="0E101A"/>
          <w:sz w:val="20"/>
          <w:szCs w:val="20"/>
          <w:lang w:eastAsia="en-GB"/>
        </w:rPr>
        <w:t>"Africa, " in climate change 2021: Impacts, adaptation and vulnerability</w:t>
      </w:r>
      <w:r w:rsidRPr="00C14832">
        <w:rPr>
          <w:rFonts w:ascii="Arial" w:eastAsia="Times New Roman" w:hAnsi="Arial" w:cs="Arial"/>
          <w:color w:val="0E101A"/>
          <w:sz w:val="20"/>
          <w:szCs w:val="20"/>
          <w:lang w:eastAsia="en-GB"/>
        </w:rPr>
        <w:t>. Cambridge: Cambridge University Press.</w:t>
      </w:r>
    </w:p>
    <w:p w14:paraId="26394EF1"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r w:rsidRPr="00C14832">
        <w:rPr>
          <w:rFonts w:ascii="Arial" w:eastAsia="Times New Roman" w:hAnsi="Arial" w:cs="Arial"/>
          <w:color w:val="0E101A"/>
          <w:sz w:val="20"/>
          <w:szCs w:val="20"/>
          <w:lang w:eastAsia="en-GB"/>
        </w:rPr>
        <w:t xml:space="preserve">Ntshangase, N. L., Muroyiwa, B., and Sibanda, M. (2018). Farmers’ perceptions and factors influencing the adoption of no-till conservation agriculture by small-scale farmers in </w:t>
      </w:r>
      <w:proofErr w:type="spellStart"/>
      <w:r w:rsidRPr="00C14832">
        <w:rPr>
          <w:rFonts w:ascii="Arial" w:eastAsia="Times New Roman" w:hAnsi="Arial" w:cs="Arial"/>
          <w:color w:val="0E101A"/>
          <w:sz w:val="20"/>
          <w:szCs w:val="20"/>
          <w:lang w:eastAsia="en-GB"/>
        </w:rPr>
        <w:t>Zashuke</w:t>
      </w:r>
      <w:proofErr w:type="spellEnd"/>
      <w:r w:rsidRPr="00C14832">
        <w:rPr>
          <w:rFonts w:ascii="Arial" w:eastAsia="Times New Roman" w:hAnsi="Arial" w:cs="Arial"/>
          <w:color w:val="0E101A"/>
          <w:sz w:val="20"/>
          <w:szCs w:val="20"/>
          <w:lang w:eastAsia="en-GB"/>
        </w:rPr>
        <w:t>. </w:t>
      </w:r>
      <w:r w:rsidRPr="00C14832">
        <w:rPr>
          <w:rFonts w:ascii="Arial" w:eastAsia="Times New Roman" w:hAnsi="Arial" w:cs="Arial"/>
          <w:i/>
          <w:iCs/>
          <w:color w:val="0E101A"/>
          <w:sz w:val="20"/>
          <w:szCs w:val="20"/>
          <w:lang w:eastAsia="en-GB"/>
        </w:rPr>
        <w:t>Kwa Zulu-Natal Province. Sustainability</w:t>
      </w:r>
      <w:r w:rsidRPr="00C14832">
        <w:rPr>
          <w:rFonts w:ascii="Arial" w:eastAsia="Times New Roman" w:hAnsi="Arial" w:cs="Arial"/>
          <w:color w:val="0E101A"/>
          <w:sz w:val="20"/>
          <w:szCs w:val="20"/>
          <w:lang w:eastAsia="en-GB"/>
        </w:rPr>
        <w:t xml:space="preserve"> 10:555. </w:t>
      </w:r>
      <w:proofErr w:type="spellStart"/>
      <w:r w:rsidRPr="00C14832">
        <w:rPr>
          <w:rFonts w:ascii="Arial" w:eastAsia="Times New Roman" w:hAnsi="Arial" w:cs="Arial"/>
          <w:color w:val="0E101A"/>
          <w:sz w:val="20"/>
          <w:szCs w:val="20"/>
          <w:lang w:eastAsia="en-GB"/>
        </w:rPr>
        <w:t>doi</w:t>
      </w:r>
      <w:proofErr w:type="spellEnd"/>
      <w:r w:rsidRPr="00C14832">
        <w:rPr>
          <w:rFonts w:ascii="Arial" w:eastAsia="Times New Roman" w:hAnsi="Arial" w:cs="Arial"/>
          <w:color w:val="0E101A"/>
          <w:sz w:val="20"/>
          <w:szCs w:val="20"/>
          <w:lang w:eastAsia="en-GB"/>
        </w:rPr>
        <w:t>: 10.3390/su10020555</w:t>
      </w:r>
    </w:p>
    <w:p w14:paraId="7F964BD1" w14:textId="77777777" w:rsidR="00C14832" w:rsidRDefault="0080556E" w:rsidP="00C14832">
      <w:pPr>
        <w:spacing w:after="0" w:line="480" w:lineRule="auto"/>
        <w:ind w:left="720"/>
        <w:jc w:val="both"/>
        <w:rPr>
          <w:rFonts w:ascii="Arial" w:eastAsia="Times New Roman" w:hAnsi="Arial" w:cs="Arial"/>
          <w:color w:val="0E101A"/>
          <w:sz w:val="20"/>
          <w:szCs w:val="20"/>
          <w:lang w:eastAsia="en-GB"/>
        </w:rPr>
      </w:pPr>
      <w:hyperlink r:id="rId28" w:tgtFrame="_blank" w:history="1">
        <w:r w:rsidR="00C14832" w:rsidRPr="00C14832">
          <w:rPr>
            <w:rStyle w:val="Hyperlink"/>
            <w:rFonts w:ascii="Arial" w:eastAsia="Times New Roman" w:hAnsi="Arial" w:cs="Arial"/>
            <w:sz w:val="20"/>
            <w:szCs w:val="20"/>
            <w:lang w:eastAsia="en-GB"/>
          </w:rPr>
          <w:t>Google Scholar</w:t>
        </w:r>
      </w:hyperlink>
    </w:p>
    <w:p w14:paraId="43E780B8"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lastRenderedPageBreak/>
        <w:t>Nuss</w:t>
      </w:r>
      <w:proofErr w:type="spellEnd"/>
      <w:r>
        <w:rPr>
          <w:rFonts w:ascii="Arial" w:eastAsia="Times New Roman" w:hAnsi="Arial" w:cs="Arial"/>
          <w:color w:val="0E101A"/>
          <w:sz w:val="20"/>
          <w:szCs w:val="20"/>
          <w:lang w:eastAsia="en-GB"/>
        </w:rPr>
        <w:t xml:space="preserve"> E, </w:t>
      </w:r>
      <w:proofErr w:type="spellStart"/>
      <w:r>
        <w:rPr>
          <w:rFonts w:ascii="Arial" w:eastAsia="Times New Roman" w:hAnsi="Arial" w:cs="Arial"/>
          <w:color w:val="0E101A"/>
          <w:sz w:val="20"/>
          <w:szCs w:val="20"/>
          <w:lang w:eastAsia="en-GB"/>
        </w:rPr>
        <w:t>Tanumihardjo</w:t>
      </w:r>
      <w:proofErr w:type="spellEnd"/>
      <w:r>
        <w:rPr>
          <w:rFonts w:ascii="Arial" w:eastAsia="Times New Roman" w:hAnsi="Arial" w:cs="Arial"/>
          <w:color w:val="0E101A"/>
          <w:sz w:val="20"/>
          <w:szCs w:val="20"/>
          <w:lang w:eastAsia="en-GB"/>
        </w:rPr>
        <w:t xml:space="preserve"> SA (2010). Maize: a paramount staple crop in the context of global nutrition. Comprehensive Reviews in Food Science and Food Safety 9: 417-436. </w:t>
      </w:r>
    </w:p>
    <w:p w14:paraId="2341ECFC" w14:textId="77777777" w:rsidR="00E55EAC" w:rsidRDefault="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Oehlert GW (2010). A First Course in Design and Analysis of Experiments, WH. Freeman, New York, USA.</w:t>
      </w:r>
    </w:p>
    <w:p w14:paraId="332D46BB"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sz w:val="20"/>
          <w:szCs w:val="20"/>
        </w:rPr>
        <w:t>Patterson HD, Williams E (1976). A new class of resolvable incomplete block designs. </w:t>
      </w:r>
      <w:proofErr w:type="spellStart"/>
      <w:r>
        <w:rPr>
          <w:rFonts w:ascii="Arial" w:eastAsia="Calibri" w:hAnsi="Arial" w:cs="Arial"/>
          <w:i/>
          <w:iCs/>
          <w:sz w:val="20"/>
          <w:szCs w:val="20"/>
        </w:rPr>
        <w:t>Biometrika</w:t>
      </w:r>
      <w:proofErr w:type="spellEnd"/>
      <w:r>
        <w:rPr>
          <w:rFonts w:ascii="Arial" w:eastAsia="Calibri" w:hAnsi="Arial" w:cs="Arial"/>
          <w:sz w:val="20"/>
          <w:szCs w:val="20"/>
        </w:rPr>
        <w:t>, </w:t>
      </w:r>
      <w:r>
        <w:rPr>
          <w:rFonts w:ascii="Arial" w:eastAsia="Calibri" w:hAnsi="Arial" w:cs="Arial"/>
          <w:i/>
          <w:iCs/>
          <w:sz w:val="20"/>
          <w:szCs w:val="20"/>
        </w:rPr>
        <w:t>63</w:t>
      </w:r>
      <w:r>
        <w:rPr>
          <w:rFonts w:ascii="Arial" w:eastAsia="Calibri" w:hAnsi="Arial" w:cs="Arial"/>
          <w:sz w:val="20"/>
          <w:szCs w:val="20"/>
        </w:rPr>
        <w:t>(1), 83-92.</w:t>
      </w:r>
    </w:p>
    <w:p w14:paraId="6AFF3CD6"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Patel R, Patel DA, Parmar DJ, </w:t>
      </w:r>
      <w:proofErr w:type="spellStart"/>
      <w:r>
        <w:rPr>
          <w:rFonts w:ascii="Arial" w:eastAsia="Times New Roman" w:hAnsi="Arial" w:cs="Arial"/>
          <w:color w:val="0E101A"/>
          <w:sz w:val="20"/>
          <w:szCs w:val="20"/>
          <w:lang w:eastAsia="en-GB"/>
        </w:rPr>
        <w:t>Sondarava</w:t>
      </w:r>
      <w:proofErr w:type="spellEnd"/>
      <w:r>
        <w:rPr>
          <w:rFonts w:ascii="Arial" w:eastAsia="Times New Roman" w:hAnsi="Arial" w:cs="Arial"/>
          <w:color w:val="0E101A"/>
          <w:sz w:val="20"/>
          <w:szCs w:val="20"/>
          <w:lang w:eastAsia="en-GB"/>
        </w:rPr>
        <w:t xml:space="preserve"> P (2022). Genotypic and Phenotypic Correlation Coefficient Study to Identify Best Yield and Yield Attributing Trait for Selection in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Journal homepage: http://www.ijcmas.com, 11(01), 2022.</w:t>
      </w:r>
    </w:p>
    <w:p w14:paraId="5CCDD3D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Pearson K (1920). Notes on the History of Correlation. </w:t>
      </w:r>
      <w:proofErr w:type="spellStart"/>
      <w:r>
        <w:rPr>
          <w:rFonts w:ascii="Arial" w:eastAsia="Times New Roman" w:hAnsi="Arial" w:cs="Arial"/>
          <w:color w:val="0E101A"/>
          <w:sz w:val="20"/>
          <w:szCs w:val="20"/>
          <w:lang w:eastAsia="en-GB"/>
        </w:rPr>
        <w:t>Biometrika</w:t>
      </w:r>
      <w:proofErr w:type="spellEnd"/>
      <w:r>
        <w:rPr>
          <w:rFonts w:ascii="Arial" w:eastAsia="Times New Roman" w:hAnsi="Arial" w:cs="Arial"/>
          <w:color w:val="0E101A"/>
          <w:sz w:val="20"/>
          <w:szCs w:val="20"/>
          <w:lang w:eastAsia="en-GB"/>
        </w:rPr>
        <w:t xml:space="preserve">, 13(1), 25–45. </w:t>
      </w:r>
    </w:p>
    <w:p w14:paraId="5F44500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w:hyperlink r:id="rId29" w:tgtFrame="_blank" w:history="1">
        <w:r>
          <w:rPr>
            <w:rFonts w:ascii="Arial" w:eastAsia="Times New Roman" w:hAnsi="Arial" w:cs="Arial"/>
            <w:color w:val="4A6EE0"/>
            <w:sz w:val="20"/>
            <w:szCs w:val="20"/>
            <w:u w:val="single"/>
            <w:lang w:eastAsia="en-GB"/>
          </w:rPr>
          <w:t>https://doi.org/10.2307/2331722</w:t>
        </w:r>
      </w:hyperlink>
    </w:p>
    <w:p w14:paraId="5ABFA2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Prasanna, BM, Cairns JE, Zaidi PH, Beyene Y, Makumbi D, Gowda M, et al. (2021). Beat the stress: breeding for climate resilience in maize for the tropical rain fed environments. Theor. Appl. Genet. 134, 1729–1752.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xml:space="preserve">: 10.1007/s00122-021- 03773-7 </w:t>
      </w:r>
    </w:p>
    <w:p w14:paraId="04CF55F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Prasanna BM, Nair SK, Babu R, Gowda M, </w:t>
      </w:r>
      <w:proofErr w:type="gramStart"/>
      <w:r>
        <w:rPr>
          <w:rFonts w:ascii="Arial" w:eastAsia="Times New Roman" w:hAnsi="Arial" w:cs="Arial"/>
          <w:color w:val="0E101A"/>
          <w:sz w:val="20"/>
          <w:szCs w:val="20"/>
          <w:lang w:eastAsia="en-GB"/>
        </w:rPr>
        <w:t>Chang  X</w:t>
      </w:r>
      <w:proofErr w:type="gramEnd"/>
      <w:r>
        <w:rPr>
          <w:rFonts w:ascii="Arial" w:eastAsia="Times New Roman" w:hAnsi="Arial" w:cs="Arial"/>
          <w:color w:val="0E101A"/>
          <w:sz w:val="20"/>
          <w:szCs w:val="20"/>
          <w:lang w:eastAsia="en-GB"/>
        </w:rPr>
        <w:t xml:space="preserve">, Xu Y, et al. (2020). “Increasing genetic Gains in Maize in Stress-Prone Environments of the Tropics,” in Genomic Designing of Climate-Smart Cereal Crops. Ed. C. Kole (Springer International Publishing, Cham), 97–132.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10.1007/978-3-319-93381-8_3</w:t>
      </w:r>
    </w:p>
    <w:p w14:paraId="21214C7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Robinson H, Comstock RE &amp; Harvey P (1949). Estimates of heritability and the degree of dominance in corn. </w:t>
      </w:r>
      <w:r>
        <w:rPr>
          <w:rFonts w:ascii="Arial" w:eastAsia="Times New Roman" w:hAnsi="Arial" w:cs="Arial"/>
          <w:i/>
          <w:iCs/>
          <w:color w:val="0E101A"/>
          <w:sz w:val="20"/>
          <w:szCs w:val="20"/>
          <w:lang w:eastAsia="en-GB"/>
        </w:rPr>
        <w:t>Agronomy Journal 41: pp. 353–359</w:t>
      </w:r>
      <w:r>
        <w:rPr>
          <w:rFonts w:ascii="Arial" w:eastAsia="Times New Roman" w:hAnsi="Arial" w:cs="Arial"/>
          <w:color w:val="0E101A"/>
          <w:sz w:val="20"/>
          <w:szCs w:val="20"/>
          <w:lang w:eastAsia="en-GB"/>
        </w:rPr>
        <w:t>.</w:t>
      </w:r>
    </w:p>
    <w:p w14:paraId="157EDDAD"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Tesfaye D, </w:t>
      </w:r>
      <w:proofErr w:type="spellStart"/>
      <w:r>
        <w:rPr>
          <w:rFonts w:ascii="Arial" w:eastAsia="Times New Roman" w:hAnsi="Arial" w:cs="Arial"/>
          <w:color w:val="0E101A"/>
          <w:sz w:val="20"/>
          <w:szCs w:val="20"/>
          <w:lang w:eastAsia="en-GB"/>
        </w:rPr>
        <w:t>Abakemal</w:t>
      </w:r>
      <w:proofErr w:type="spellEnd"/>
      <w:r>
        <w:rPr>
          <w:rFonts w:ascii="Arial" w:eastAsia="Times New Roman" w:hAnsi="Arial" w:cs="Arial"/>
          <w:color w:val="0E101A"/>
          <w:sz w:val="20"/>
          <w:szCs w:val="20"/>
          <w:lang w:eastAsia="en-GB"/>
        </w:rPr>
        <w:t xml:space="preserve"> D, Habte E (2021). Genetic variability, heritability and genetic advance estimation of highland adapted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genotypes in Ethiopia.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(2), 184-191.</w:t>
      </w:r>
    </w:p>
    <w:p w14:paraId="3F0B0007"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Schmidt P, Hartung J, Bennewitz J, Piepho HP (2019). Heritability in plant breeding on a genotype-difference basis. Genetics, 212(4), 991-1008.</w:t>
      </w:r>
    </w:p>
    <w:p w14:paraId="240CDF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Suresh LM, Gowda MS, Beyene Y, Makumbi D, Kulai Amadu M,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Okayo</w:t>
      </w:r>
      <w:proofErr w:type="spellEnd"/>
      <w:r>
        <w:rPr>
          <w:rFonts w:ascii="Arial" w:eastAsia="Times New Roman" w:hAnsi="Arial" w:cs="Arial"/>
          <w:color w:val="0E101A"/>
          <w:sz w:val="20"/>
          <w:szCs w:val="20"/>
          <w:lang w:eastAsia="en-GB"/>
        </w:rPr>
        <w:t xml:space="preserve"> R, </w:t>
      </w:r>
      <w:proofErr w:type="spellStart"/>
      <w:r>
        <w:rPr>
          <w:rFonts w:ascii="Arial" w:eastAsia="Times New Roman" w:hAnsi="Arial" w:cs="Arial"/>
          <w:color w:val="0E101A"/>
          <w:sz w:val="20"/>
          <w:szCs w:val="20"/>
          <w:lang w:eastAsia="en-GB"/>
        </w:rPr>
        <w:t>Woyengo</w:t>
      </w:r>
      <w:proofErr w:type="spellEnd"/>
      <w:r>
        <w:rPr>
          <w:rFonts w:ascii="Arial" w:eastAsia="Times New Roman" w:hAnsi="Arial" w:cs="Arial"/>
          <w:color w:val="0E101A"/>
          <w:sz w:val="20"/>
          <w:szCs w:val="20"/>
          <w:lang w:eastAsia="en-GB"/>
        </w:rPr>
        <w:t xml:space="preserve"> </w:t>
      </w:r>
      <w:proofErr w:type="gramStart"/>
      <w:r>
        <w:rPr>
          <w:rFonts w:ascii="Arial" w:eastAsia="Times New Roman" w:hAnsi="Arial" w:cs="Arial"/>
          <w:color w:val="0E101A"/>
          <w:sz w:val="20"/>
          <w:szCs w:val="20"/>
          <w:lang w:eastAsia="en-GB"/>
        </w:rPr>
        <w:t xml:space="preserve">VW,  </w:t>
      </w:r>
      <w:proofErr w:type="spellStart"/>
      <w:r>
        <w:rPr>
          <w:rFonts w:ascii="Arial" w:eastAsia="Times New Roman" w:hAnsi="Arial" w:cs="Arial"/>
          <w:color w:val="0E101A"/>
          <w:sz w:val="20"/>
          <w:szCs w:val="20"/>
          <w:lang w:eastAsia="en-GB"/>
        </w:rPr>
        <w:t>Boddupalli</w:t>
      </w:r>
      <w:proofErr w:type="spellEnd"/>
      <w:proofErr w:type="gramEnd"/>
      <w:r>
        <w:rPr>
          <w:rFonts w:ascii="Arial" w:eastAsia="Times New Roman" w:hAnsi="Arial" w:cs="Arial"/>
          <w:color w:val="0E101A"/>
          <w:sz w:val="20"/>
          <w:szCs w:val="20"/>
          <w:lang w:eastAsia="en-GB"/>
        </w:rPr>
        <w:t>, PM (2025). Identification of Gray Leaf Spot Resistant Donor Lines in Tropical Maize Germplasm and Their Agronomic Performance Under Artificial Inoculation. </w:t>
      </w:r>
      <w:r>
        <w:rPr>
          <w:rFonts w:ascii="Arial" w:eastAsia="Times New Roman" w:hAnsi="Arial" w:cs="Arial"/>
          <w:i/>
          <w:iCs/>
          <w:color w:val="0E101A"/>
          <w:sz w:val="20"/>
          <w:szCs w:val="20"/>
          <w:lang w:eastAsia="en-GB"/>
        </w:rPr>
        <w:t>Frontiers in Plant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16</w:t>
      </w:r>
      <w:r>
        <w:rPr>
          <w:rFonts w:ascii="Arial" w:eastAsia="Times New Roman" w:hAnsi="Arial" w:cs="Arial"/>
          <w:color w:val="0E101A"/>
          <w:sz w:val="20"/>
          <w:szCs w:val="20"/>
          <w:lang w:eastAsia="en-GB"/>
        </w:rPr>
        <w:t>, 1536981.</w:t>
      </w:r>
    </w:p>
    <w:p w14:paraId="1CEC5AE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VIB (2017) Fact series "Maize in Africa."</w:t>
      </w:r>
    </w:p>
    <w:p w14:paraId="32688FA9"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color w:val="000000"/>
          <w:sz w:val="20"/>
          <w:szCs w:val="20"/>
          <w:shd w:val="clear" w:color="auto" w:fill="FFFFFF"/>
        </w:rPr>
        <w:lastRenderedPageBreak/>
        <w:t>Wei T, Simko V (2024). </w:t>
      </w:r>
      <w:r>
        <w:rPr>
          <w:rFonts w:ascii="Arial" w:eastAsia="Calibri" w:hAnsi="Arial" w:cs="Arial"/>
          <w:i/>
          <w:iCs/>
          <w:color w:val="000000"/>
          <w:sz w:val="20"/>
          <w:szCs w:val="20"/>
          <w:shd w:val="clear" w:color="auto" w:fill="FFFFFF"/>
        </w:rPr>
        <w:t>R package '</w:t>
      </w:r>
      <w:proofErr w:type="spellStart"/>
      <w:r>
        <w:rPr>
          <w:rFonts w:ascii="Arial" w:eastAsia="Calibri" w:hAnsi="Arial" w:cs="Arial"/>
          <w:i/>
          <w:iCs/>
          <w:color w:val="000000"/>
          <w:sz w:val="20"/>
          <w:szCs w:val="20"/>
          <w:shd w:val="clear" w:color="auto" w:fill="FFFFFF"/>
        </w:rPr>
        <w:t>corrplot</w:t>
      </w:r>
      <w:proofErr w:type="spellEnd"/>
      <w:r>
        <w:rPr>
          <w:rFonts w:ascii="Arial" w:eastAsia="Calibri" w:hAnsi="Arial" w:cs="Arial"/>
          <w:i/>
          <w:iCs/>
          <w:color w:val="000000"/>
          <w:sz w:val="20"/>
          <w:szCs w:val="20"/>
          <w:shd w:val="clear" w:color="auto" w:fill="FFFFFF"/>
        </w:rPr>
        <w:t>': Visualization of a Correlation Matrix</w:t>
      </w:r>
      <w:r>
        <w:rPr>
          <w:rFonts w:ascii="Arial" w:eastAsia="Calibri" w:hAnsi="Arial" w:cs="Arial"/>
          <w:color w:val="000000"/>
          <w:sz w:val="20"/>
          <w:szCs w:val="20"/>
          <w:shd w:val="clear" w:color="auto" w:fill="FFFFFF"/>
        </w:rPr>
        <w:t>. (Version 0.95), </w:t>
      </w:r>
      <w:hyperlink r:id="rId30" w:history="1">
        <w:r>
          <w:rPr>
            <w:rFonts w:ascii="Arial" w:eastAsia="Calibri" w:hAnsi="Arial" w:cs="Arial"/>
            <w:color w:val="0000FF"/>
            <w:sz w:val="20"/>
            <w:szCs w:val="20"/>
            <w:u w:val="single"/>
            <w:shd w:val="clear" w:color="auto" w:fill="FFFFFF"/>
          </w:rPr>
          <w:t>https://github.com/taiyun/corrplot</w:t>
        </w:r>
      </w:hyperlink>
    </w:p>
    <w:p w14:paraId="705C1943" w14:textId="77777777" w:rsidR="009C34D9" w:rsidRDefault="009C34D9">
      <w:pPr>
        <w:spacing w:after="0" w:line="480" w:lineRule="auto"/>
        <w:ind w:right="-540"/>
        <w:jc w:val="both"/>
        <w:rPr>
          <w:rFonts w:ascii="Arial" w:hAnsi="Arial" w:cs="Arial"/>
          <w:sz w:val="20"/>
          <w:szCs w:val="20"/>
        </w:rPr>
        <w:sectPr w:rsidR="009C34D9">
          <w:headerReference w:type="even" r:id="rId31"/>
          <w:headerReference w:type="default" r:id="rId32"/>
          <w:footerReference w:type="default" r:id="rId33"/>
          <w:headerReference w:type="first" r:id="rId34"/>
          <w:pgSz w:w="11906" w:h="16838"/>
          <w:pgMar w:top="1440" w:right="1440" w:bottom="1440" w:left="1440" w:header="709" w:footer="709" w:gutter="0"/>
          <w:cols w:space="708"/>
          <w:docGrid w:linePitch="360"/>
        </w:sectPr>
      </w:pPr>
    </w:p>
    <w:p w14:paraId="18421B80" w14:textId="77777777" w:rsidR="009C34D9" w:rsidRDefault="009C34D9">
      <w:pPr>
        <w:spacing w:after="0" w:line="240" w:lineRule="auto"/>
        <w:jc w:val="both"/>
        <w:rPr>
          <w:rFonts w:ascii="Arial" w:eastAsia="Times New Roman" w:hAnsi="Arial" w:cs="Arial"/>
          <w:sz w:val="20"/>
          <w:szCs w:val="20"/>
          <w:lang w:eastAsia="en-GB"/>
        </w:rPr>
      </w:pPr>
    </w:p>
    <w:sectPr w:rsidR="009C34D9">
      <w:type w:val="nextColumn"/>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406A" w14:textId="77777777" w:rsidR="0080556E" w:rsidRDefault="0080556E">
      <w:pPr>
        <w:spacing w:line="240" w:lineRule="auto"/>
      </w:pPr>
      <w:r>
        <w:separator/>
      </w:r>
    </w:p>
  </w:endnote>
  <w:endnote w:type="continuationSeparator" w:id="0">
    <w:p w14:paraId="4762263E" w14:textId="77777777" w:rsidR="0080556E" w:rsidRDefault="00805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819F" w14:textId="77777777" w:rsidR="008F18C1" w:rsidRDefault="008F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9B19" w14:textId="77777777" w:rsidR="00735411" w:rsidRDefault="00735411">
    <w:pPr>
      <w:pStyle w:val="Footer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2636" w14:textId="77777777" w:rsidR="008F18C1" w:rsidRDefault="008F1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E61" w14:textId="77777777" w:rsidR="00735411" w:rsidRDefault="00735411">
    <w:pPr>
      <w:pStyle w:val="Footer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AAA9" w14:textId="77777777" w:rsidR="0080556E" w:rsidRDefault="0080556E">
      <w:pPr>
        <w:spacing w:after="0"/>
      </w:pPr>
      <w:r>
        <w:separator/>
      </w:r>
    </w:p>
  </w:footnote>
  <w:footnote w:type="continuationSeparator" w:id="0">
    <w:p w14:paraId="6533E5C6" w14:textId="77777777" w:rsidR="0080556E" w:rsidRDefault="008055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D34A6" w14:textId="08A0B75B" w:rsidR="008F18C1" w:rsidRDefault="008F18C1">
    <w:pPr>
      <w:pStyle w:val="Header"/>
    </w:pPr>
    <w:r>
      <w:rPr>
        <w:noProof/>
      </w:rPr>
      <w:pict w14:anchorId="42EFE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E752" w14:textId="7360022E" w:rsidR="008F18C1" w:rsidRDefault="008F18C1">
    <w:pPr>
      <w:pStyle w:val="Header"/>
    </w:pPr>
    <w:r>
      <w:rPr>
        <w:noProof/>
      </w:rPr>
      <w:pict w14:anchorId="08B3C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C559" w14:textId="38D46494" w:rsidR="008F18C1" w:rsidRDefault="008F18C1">
    <w:pPr>
      <w:pStyle w:val="Header"/>
    </w:pPr>
    <w:r>
      <w:rPr>
        <w:noProof/>
      </w:rPr>
      <w:pict w14:anchorId="79C2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28D0" w14:textId="308CA1D3" w:rsidR="008F18C1" w:rsidRDefault="008F18C1">
    <w:pPr>
      <w:pStyle w:val="Header"/>
    </w:pPr>
    <w:r>
      <w:rPr>
        <w:noProof/>
      </w:rPr>
      <w:pict w14:anchorId="6277F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A4DF" w14:textId="28C092D3" w:rsidR="008F18C1" w:rsidRDefault="008F18C1">
    <w:pPr>
      <w:pStyle w:val="Header"/>
    </w:pPr>
    <w:r>
      <w:rPr>
        <w:noProof/>
      </w:rPr>
      <w:pict w14:anchorId="79A77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1E75" w14:textId="1963B84D" w:rsidR="008F18C1" w:rsidRDefault="008F18C1">
    <w:pPr>
      <w:pStyle w:val="Header"/>
    </w:pPr>
    <w:r>
      <w:rPr>
        <w:noProof/>
      </w:rPr>
      <w:pict w14:anchorId="4C8B5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103DF"/>
    <w:multiLevelType w:val="multilevel"/>
    <w:tmpl w:val="69A103DF"/>
    <w:lvl w:ilvl="0">
      <w:start w:val="1"/>
      <w:numFmt w:val="upperRoman"/>
      <w:pStyle w:val="Heading11"/>
      <w:lvlText w:val="Article %1."/>
      <w:lvlJc w:val="left"/>
      <w:pPr>
        <w:ind w:left="0" w:firstLine="0"/>
      </w:pPr>
    </w:lvl>
    <w:lvl w:ilvl="1">
      <w:start w:val="1"/>
      <w:numFmt w:val="decimalZero"/>
      <w:pStyle w:val="Heading21"/>
      <w:isLgl/>
      <w:lvlText w:val="Section %1.%2"/>
      <w:lvlJc w:val="left"/>
      <w:pPr>
        <w:ind w:left="0" w:firstLine="0"/>
      </w:pPr>
    </w:lvl>
    <w:lvl w:ilvl="2">
      <w:start w:val="1"/>
      <w:numFmt w:val="lowerLetter"/>
      <w:pStyle w:val="Heading31"/>
      <w:lvlText w:val="(%3)"/>
      <w:lvlJc w:val="left"/>
      <w:pPr>
        <w:ind w:left="720" w:hanging="432"/>
      </w:pPr>
    </w:lvl>
    <w:lvl w:ilvl="3">
      <w:start w:val="1"/>
      <w:numFmt w:val="lowerRoman"/>
      <w:pStyle w:val="Heading41"/>
      <w:lvlText w:val="(%4)"/>
      <w:lvlJc w:val="right"/>
      <w:pPr>
        <w:ind w:left="864" w:hanging="144"/>
      </w:pPr>
    </w:lvl>
    <w:lvl w:ilvl="4">
      <w:start w:val="1"/>
      <w:numFmt w:val="decimal"/>
      <w:pStyle w:val="Heading51"/>
      <w:lvlText w:val="%5)"/>
      <w:lvlJc w:val="left"/>
      <w:pPr>
        <w:ind w:left="1008" w:hanging="432"/>
      </w:pPr>
    </w:lvl>
    <w:lvl w:ilvl="5">
      <w:start w:val="1"/>
      <w:numFmt w:val="lowerLetter"/>
      <w:pStyle w:val="Heading61"/>
      <w:lvlText w:val="%6)"/>
      <w:lvlJc w:val="left"/>
      <w:pPr>
        <w:ind w:left="1152" w:hanging="432"/>
      </w:pPr>
    </w:lvl>
    <w:lvl w:ilvl="6">
      <w:start w:val="1"/>
      <w:numFmt w:val="lowerRoman"/>
      <w:pStyle w:val="Heading71"/>
      <w:lvlText w:val="%7)"/>
      <w:lvlJc w:val="right"/>
      <w:pPr>
        <w:ind w:left="1296" w:hanging="288"/>
      </w:pPr>
    </w:lvl>
    <w:lvl w:ilvl="7">
      <w:start w:val="1"/>
      <w:numFmt w:val="lowerLetter"/>
      <w:pStyle w:val="Heading81"/>
      <w:lvlText w:val="%8."/>
      <w:lvlJc w:val="left"/>
      <w:pPr>
        <w:ind w:left="1440" w:hanging="432"/>
      </w:pPr>
    </w:lvl>
    <w:lvl w:ilvl="8">
      <w:start w:val="1"/>
      <w:numFmt w:val="lowerRoman"/>
      <w:pStyle w:val="Heading91"/>
      <w:lvlText w:val="%9."/>
      <w:lvlJc w:val="right"/>
      <w:pPr>
        <w:ind w:left="1584" w:hanging="144"/>
      </w:pPr>
    </w:lvl>
  </w:abstractNum>
  <w:abstractNum w:abstractNumId="1" w15:restartNumberingAfterBreak="0">
    <w:nsid w:val="786F7C88"/>
    <w:multiLevelType w:val="multilevel"/>
    <w:tmpl w:val="786F7C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5466E6"/>
    <w:multiLevelType w:val="multilevel"/>
    <w:tmpl w:val="795466E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C6"/>
    <w:rsid w:val="000072E4"/>
    <w:rsid w:val="00014421"/>
    <w:rsid w:val="00023E99"/>
    <w:rsid w:val="00024EDF"/>
    <w:rsid w:val="00027887"/>
    <w:rsid w:val="00031DDF"/>
    <w:rsid w:val="00035DC0"/>
    <w:rsid w:val="00043735"/>
    <w:rsid w:val="00053E7D"/>
    <w:rsid w:val="00064B20"/>
    <w:rsid w:val="00092A06"/>
    <w:rsid w:val="000B034A"/>
    <w:rsid w:val="000B7E17"/>
    <w:rsid w:val="000C7C04"/>
    <w:rsid w:val="000D0F13"/>
    <w:rsid w:val="000E2AF2"/>
    <w:rsid w:val="00106AE3"/>
    <w:rsid w:val="001167DE"/>
    <w:rsid w:val="001212AC"/>
    <w:rsid w:val="001535BE"/>
    <w:rsid w:val="00160BCF"/>
    <w:rsid w:val="0016210E"/>
    <w:rsid w:val="001B0550"/>
    <w:rsid w:val="001B17D1"/>
    <w:rsid w:val="001D67F5"/>
    <w:rsid w:val="00201687"/>
    <w:rsid w:val="00215A90"/>
    <w:rsid w:val="0021731E"/>
    <w:rsid w:val="00230BD2"/>
    <w:rsid w:val="00233941"/>
    <w:rsid w:val="0024622D"/>
    <w:rsid w:val="00252155"/>
    <w:rsid w:val="00256F19"/>
    <w:rsid w:val="00257BDB"/>
    <w:rsid w:val="002958B0"/>
    <w:rsid w:val="002A2778"/>
    <w:rsid w:val="002B1233"/>
    <w:rsid w:val="002D5410"/>
    <w:rsid w:val="002E7E3D"/>
    <w:rsid w:val="00310E99"/>
    <w:rsid w:val="00315243"/>
    <w:rsid w:val="00330B2E"/>
    <w:rsid w:val="00361E6A"/>
    <w:rsid w:val="00373946"/>
    <w:rsid w:val="003764BE"/>
    <w:rsid w:val="00394A43"/>
    <w:rsid w:val="00396691"/>
    <w:rsid w:val="003A6EF5"/>
    <w:rsid w:val="003B0DFE"/>
    <w:rsid w:val="003B135B"/>
    <w:rsid w:val="003D7252"/>
    <w:rsid w:val="003E7227"/>
    <w:rsid w:val="003F5CA6"/>
    <w:rsid w:val="00401CDC"/>
    <w:rsid w:val="00417340"/>
    <w:rsid w:val="00422AB5"/>
    <w:rsid w:val="00445C98"/>
    <w:rsid w:val="00451DDA"/>
    <w:rsid w:val="004542FB"/>
    <w:rsid w:val="00454482"/>
    <w:rsid w:val="00462BAF"/>
    <w:rsid w:val="004647D6"/>
    <w:rsid w:val="004978DC"/>
    <w:rsid w:val="004A0996"/>
    <w:rsid w:val="004A225C"/>
    <w:rsid w:val="004A69E5"/>
    <w:rsid w:val="004C20BE"/>
    <w:rsid w:val="004C5DDF"/>
    <w:rsid w:val="004D49E8"/>
    <w:rsid w:val="004D7BEE"/>
    <w:rsid w:val="004E37F0"/>
    <w:rsid w:val="004F6840"/>
    <w:rsid w:val="005038C4"/>
    <w:rsid w:val="00506B0F"/>
    <w:rsid w:val="00524D54"/>
    <w:rsid w:val="00525BEE"/>
    <w:rsid w:val="00525D19"/>
    <w:rsid w:val="00540A70"/>
    <w:rsid w:val="005625E0"/>
    <w:rsid w:val="005809C2"/>
    <w:rsid w:val="00584D70"/>
    <w:rsid w:val="005C4471"/>
    <w:rsid w:val="005C6548"/>
    <w:rsid w:val="005D1568"/>
    <w:rsid w:val="005D4252"/>
    <w:rsid w:val="005D6097"/>
    <w:rsid w:val="005E7C27"/>
    <w:rsid w:val="0062438D"/>
    <w:rsid w:val="00634C5A"/>
    <w:rsid w:val="00641C79"/>
    <w:rsid w:val="00643CA5"/>
    <w:rsid w:val="00646891"/>
    <w:rsid w:val="00646922"/>
    <w:rsid w:val="00651884"/>
    <w:rsid w:val="00675479"/>
    <w:rsid w:val="006769CF"/>
    <w:rsid w:val="0068615C"/>
    <w:rsid w:val="006978AF"/>
    <w:rsid w:val="006B1346"/>
    <w:rsid w:val="006B2CD6"/>
    <w:rsid w:val="006B67BD"/>
    <w:rsid w:val="006C0C45"/>
    <w:rsid w:val="006C7D43"/>
    <w:rsid w:val="006E094D"/>
    <w:rsid w:val="006F3652"/>
    <w:rsid w:val="007049CA"/>
    <w:rsid w:val="00705C65"/>
    <w:rsid w:val="007076C6"/>
    <w:rsid w:val="00711BED"/>
    <w:rsid w:val="00713868"/>
    <w:rsid w:val="00713FD6"/>
    <w:rsid w:val="007255FA"/>
    <w:rsid w:val="00735411"/>
    <w:rsid w:val="007401BA"/>
    <w:rsid w:val="007410EB"/>
    <w:rsid w:val="0074155B"/>
    <w:rsid w:val="00760982"/>
    <w:rsid w:val="007650C6"/>
    <w:rsid w:val="00766074"/>
    <w:rsid w:val="00792BC5"/>
    <w:rsid w:val="007A1F2C"/>
    <w:rsid w:val="007C5CBC"/>
    <w:rsid w:val="007D3605"/>
    <w:rsid w:val="007D4D92"/>
    <w:rsid w:val="0080556E"/>
    <w:rsid w:val="00807D3E"/>
    <w:rsid w:val="008113AC"/>
    <w:rsid w:val="00814D80"/>
    <w:rsid w:val="00820127"/>
    <w:rsid w:val="00824D95"/>
    <w:rsid w:val="00824ED3"/>
    <w:rsid w:val="00827967"/>
    <w:rsid w:val="008630A5"/>
    <w:rsid w:val="00883387"/>
    <w:rsid w:val="00896B34"/>
    <w:rsid w:val="00896EDE"/>
    <w:rsid w:val="008A26F2"/>
    <w:rsid w:val="008A4E58"/>
    <w:rsid w:val="008B4BCA"/>
    <w:rsid w:val="008C24A9"/>
    <w:rsid w:val="008D1473"/>
    <w:rsid w:val="008F18C1"/>
    <w:rsid w:val="00906133"/>
    <w:rsid w:val="009133F9"/>
    <w:rsid w:val="00917E93"/>
    <w:rsid w:val="009216F5"/>
    <w:rsid w:val="00941BB0"/>
    <w:rsid w:val="00954B7A"/>
    <w:rsid w:val="0095705E"/>
    <w:rsid w:val="00963539"/>
    <w:rsid w:val="00967B1A"/>
    <w:rsid w:val="00974985"/>
    <w:rsid w:val="00977398"/>
    <w:rsid w:val="00977E4F"/>
    <w:rsid w:val="009836EE"/>
    <w:rsid w:val="009909C3"/>
    <w:rsid w:val="009A2DAB"/>
    <w:rsid w:val="009A3E2D"/>
    <w:rsid w:val="009B117C"/>
    <w:rsid w:val="009C2E32"/>
    <w:rsid w:val="009C34D9"/>
    <w:rsid w:val="009D26E1"/>
    <w:rsid w:val="009E0C84"/>
    <w:rsid w:val="009E2AE6"/>
    <w:rsid w:val="00A0260E"/>
    <w:rsid w:val="00A051C4"/>
    <w:rsid w:val="00A12E2A"/>
    <w:rsid w:val="00A2572A"/>
    <w:rsid w:val="00A37C21"/>
    <w:rsid w:val="00A40485"/>
    <w:rsid w:val="00A4149C"/>
    <w:rsid w:val="00A43CAA"/>
    <w:rsid w:val="00A45851"/>
    <w:rsid w:val="00A46F15"/>
    <w:rsid w:val="00A6127A"/>
    <w:rsid w:val="00A7441A"/>
    <w:rsid w:val="00A74DE4"/>
    <w:rsid w:val="00A80F1E"/>
    <w:rsid w:val="00A930F3"/>
    <w:rsid w:val="00AA3FA2"/>
    <w:rsid w:val="00AB3D43"/>
    <w:rsid w:val="00AE106F"/>
    <w:rsid w:val="00AE3E0C"/>
    <w:rsid w:val="00AF0291"/>
    <w:rsid w:val="00B16FF3"/>
    <w:rsid w:val="00B45A99"/>
    <w:rsid w:val="00B503FE"/>
    <w:rsid w:val="00B537B3"/>
    <w:rsid w:val="00B53B2D"/>
    <w:rsid w:val="00B718FA"/>
    <w:rsid w:val="00B72403"/>
    <w:rsid w:val="00B73546"/>
    <w:rsid w:val="00B86542"/>
    <w:rsid w:val="00B97CDA"/>
    <w:rsid w:val="00BB0FA9"/>
    <w:rsid w:val="00BB4686"/>
    <w:rsid w:val="00BB7925"/>
    <w:rsid w:val="00BC08B9"/>
    <w:rsid w:val="00BC310C"/>
    <w:rsid w:val="00BD515E"/>
    <w:rsid w:val="00BD547E"/>
    <w:rsid w:val="00BE6C0C"/>
    <w:rsid w:val="00C14832"/>
    <w:rsid w:val="00C26C0C"/>
    <w:rsid w:val="00C27FBF"/>
    <w:rsid w:val="00C32A28"/>
    <w:rsid w:val="00C33DA0"/>
    <w:rsid w:val="00C3586E"/>
    <w:rsid w:val="00C3684C"/>
    <w:rsid w:val="00C36FC7"/>
    <w:rsid w:val="00C40A39"/>
    <w:rsid w:val="00C41918"/>
    <w:rsid w:val="00C5365B"/>
    <w:rsid w:val="00C5473F"/>
    <w:rsid w:val="00C6748C"/>
    <w:rsid w:val="00C77E30"/>
    <w:rsid w:val="00C803C2"/>
    <w:rsid w:val="00C8110C"/>
    <w:rsid w:val="00C9706E"/>
    <w:rsid w:val="00C97ECC"/>
    <w:rsid w:val="00CA05BA"/>
    <w:rsid w:val="00CA1670"/>
    <w:rsid w:val="00CA2F15"/>
    <w:rsid w:val="00CA5A27"/>
    <w:rsid w:val="00CA5E4D"/>
    <w:rsid w:val="00CB205D"/>
    <w:rsid w:val="00CB77B6"/>
    <w:rsid w:val="00CC13D4"/>
    <w:rsid w:val="00CD702C"/>
    <w:rsid w:val="00CE3255"/>
    <w:rsid w:val="00CE40DF"/>
    <w:rsid w:val="00CF5E60"/>
    <w:rsid w:val="00D0583B"/>
    <w:rsid w:val="00D21361"/>
    <w:rsid w:val="00D3321D"/>
    <w:rsid w:val="00D37C8A"/>
    <w:rsid w:val="00D42407"/>
    <w:rsid w:val="00D4253D"/>
    <w:rsid w:val="00D43939"/>
    <w:rsid w:val="00D66998"/>
    <w:rsid w:val="00DA5AC7"/>
    <w:rsid w:val="00DA63CA"/>
    <w:rsid w:val="00DB42C3"/>
    <w:rsid w:val="00DC6266"/>
    <w:rsid w:val="00DD4DBE"/>
    <w:rsid w:val="00DD798D"/>
    <w:rsid w:val="00E0481A"/>
    <w:rsid w:val="00E30B94"/>
    <w:rsid w:val="00E323FD"/>
    <w:rsid w:val="00E32D34"/>
    <w:rsid w:val="00E40056"/>
    <w:rsid w:val="00E41E9B"/>
    <w:rsid w:val="00E51A01"/>
    <w:rsid w:val="00E52B80"/>
    <w:rsid w:val="00E55EAC"/>
    <w:rsid w:val="00E57C46"/>
    <w:rsid w:val="00E80F1F"/>
    <w:rsid w:val="00E82CBC"/>
    <w:rsid w:val="00E83DAC"/>
    <w:rsid w:val="00E84E71"/>
    <w:rsid w:val="00EA0D96"/>
    <w:rsid w:val="00EA1D36"/>
    <w:rsid w:val="00EA3CAC"/>
    <w:rsid w:val="00EB3989"/>
    <w:rsid w:val="00EE53D7"/>
    <w:rsid w:val="00F002AA"/>
    <w:rsid w:val="00F16330"/>
    <w:rsid w:val="00F3401D"/>
    <w:rsid w:val="00F42CFF"/>
    <w:rsid w:val="00F4494C"/>
    <w:rsid w:val="00F63597"/>
    <w:rsid w:val="00F752F2"/>
    <w:rsid w:val="00F83227"/>
    <w:rsid w:val="00FC46CC"/>
    <w:rsid w:val="00FD1214"/>
    <w:rsid w:val="00FE3FC1"/>
    <w:rsid w:val="0734790A"/>
    <w:rsid w:val="0B3A5729"/>
    <w:rsid w:val="0E1703A1"/>
    <w:rsid w:val="0E8323BD"/>
    <w:rsid w:val="227C1D21"/>
    <w:rsid w:val="435017CC"/>
    <w:rsid w:val="447F2A6D"/>
    <w:rsid w:val="54262AF4"/>
    <w:rsid w:val="54B87B59"/>
    <w:rsid w:val="7FB52D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373CA8"/>
  <w15:docId w15:val="{CA0E8116-1540-479D-A30C-BDCA3007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1"/>
    <w:uiPriority w:val="99"/>
    <w:unhideWhenUsed/>
    <w:qFormat/>
    <w:pPr>
      <w:tabs>
        <w:tab w:val="center" w:pos="4513"/>
        <w:tab w:val="right" w:pos="9026"/>
      </w:tabs>
      <w:spacing w:after="0" w:line="240" w:lineRule="auto"/>
    </w:pPr>
  </w:style>
  <w:style w:type="paragraph" w:styleId="Header">
    <w:name w:val="header"/>
    <w:basedOn w:val="Normal"/>
    <w:link w:val="HeaderChar1"/>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Heading11">
    <w:name w:val="Heading 11"/>
    <w:basedOn w:val="Normal"/>
    <w:next w:val="Normal"/>
    <w:uiPriority w:val="9"/>
    <w:qFormat/>
    <w:pPr>
      <w:keepNext/>
      <w:keepLines/>
      <w:numPr>
        <w:numId w:val="1"/>
      </w:numPr>
      <w:spacing w:before="240" w:after="0" w:line="259" w:lineRule="auto"/>
      <w:ind w:left="360" w:hanging="36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pPr>
      <w:keepNext/>
      <w:keepLines/>
      <w:numPr>
        <w:ilvl w:val="1"/>
        <w:numId w:val="1"/>
      </w:numPr>
      <w:spacing w:before="40" w:after="0" w:line="259" w:lineRule="auto"/>
      <w:ind w:left="360" w:hanging="360"/>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pPr>
      <w:keepNext/>
      <w:keepLines/>
      <w:numPr>
        <w:ilvl w:val="2"/>
        <w:numId w:val="1"/>
      </w:numPr>
      <w:spacing w:before="40" w:after="0" w:line="259" w:lineRule="auto"/>
      <w:ind w:hanging="72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pPr>
      <w:keepNext/>
      <w:keepLines/>
      <w:numPr>
        <w:ilvl w:val="3"/>
        <w:numId w:val="1"/>
      </w:numPr>
      <w:spacing w:before="40" w:after="0" w:line="259" w:lineRule="auto"/>
      <w:ind w:left="1080" w:hanging="1080"/>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semiHidden/>
    <w:unhideWhenUsed/>
    <w:qFormat/>
    <w:pPr>
      <w:keepNext/>
      <w:keepLines/>
      <w:numPr>
        <w:ilvl w:val="4"/>
        <w:numId w:val="1"/>
      </w:numPr>
      <w:spacing w:before="40" w:after="0" w:line="259" w:lineRule="auto"/>
      <w:ind w:left="1080" w:hanging="1080"/>
      <w:outlineLvl w:val="4"/>
    </w:pPr>
    <w:rPr>
      <w:rFonts w:ascii="Calibri Light" w:eastAsia="Times New Roman" w:hAnsi="Calibri Light" w:cs="Times New Roman"/>
      <w:color w:val="2E74B5"/>
    </w:rPr>
  </w:style>
  <w:style w:type="paragraph" w:customStyle="1" w:styleId="Heading61">
    <w:name w:val="Heading 61"/>
    <w:basedOn w:val="Normal"/>
    <w:next w:val="Normal"/>
    <w:uiPriority w:val="9"/>
    <w:semiHidden/>
    <w:unhideWhenUsed/>
    <w:qFormat/>
    <w:pPr>
      <w:keepNext/>
      <w:keepLines/>
      <w:numPr>
        <w:ilvl w:val="5"/>
        <w:numId w:val="1"/>
      </w:numPr>
      <w:spacing w:before="40" w:after="0" w:line="259" w:lineRule="auto"/>
      <w:ind w:left="1440" w:hanging="1440"/>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semiHidden/>
    <w:unhideWhenUsed/>
    <w:qFormat/>
    <w:pPr>
      <w:keepNext/>
      <w:keepLines/>
      <w:numPr>
        <w:ilvl w:val="6"/>
        <w:numId w:val="1"/>
      </w:numPr>
      <w:spacing w:before="40" w:after="0" w:line="259" w:lineRule="auto"/>
      <w:ind w:left="1440" w:hanging="1440"/>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pPr>
      <w:keepNext/>
      <w:keepLines/>
      <w:numPr>
        <w:ilvl w:val="7"/>
        <w:numId w:val="1"/>
      </w:numPr>
      <w:spacing w:before="40" w:after="0" w:line="259" w:lineRule="auto"/>
      <w:ind w:left="1800" w:hanging="180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pPr>
      <w:keepNext/>
      <w:keepLines/>
      <w:numPr>
        <w:ilvl w:val="8"/>
        <w:numId w:val="1"/>
      </w:numPr>
      <w:spacing w:before="40" w:after="0" w:line="259" w:lineRule="auto"/>
      <w:ind w:left="1800" w:hanging="1800"/>
      <w:outlineLvl w:val="8"/>
    </w:pPr>
    <w:rPr>
      <w:rFonts w:ascii="Calibri Light" w:eastAsia="Times New Roman" w:hAnsi="Calibri Light" w:cs="Times New Roman"/>
      <w:i/>
      <w:iCs/>
      <w:color w:val="272727"/>
      <w:sz w:val="21"/>
      <w:szCs w:val="21"/>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qFormat/>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qFormat/>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qFormat/>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qFormat/>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qFormat/>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qFormat/>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qFormat/>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qFormat/>
    <w:rPr>
      <w:rFonts w:ascii="Calibri Light" w:eastAsia="Times New Roman" w:hAnsi="Calibri Light" w:cs="Times New Roman"/>
      <w:i/>
      <w:iCs/>
      <w:color w:val="272727"/>
      <w:sz w:val="21"/>
      <w:szCs w:val="21"/>
    </w:rPr>
  </w:style>
  <w:style w:type="paragraph" w:customStyle="1" w:styleId="ListParagraph1">
    <w:name w:val="List Paragraph1"/>
    <w:basedOn w:val="Normal"/>
    <w:next w:val="ListParagraph"/>
    <w:uiPriority w:val="34"/>
    <w:qFormat/>
    <w:pPr>
      <w:spacing w:after="0" w:line="240" w:lineRule="auto"/>
      <w:ind w:left="720"/>
      <w:contextualSpacing/>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yperlink1">
    <w:name w:val="Hyperlink1"/>
    <w:basedOn w:val="DefaultParagraphFont"/>
    <w:uiPriority w:val="99"/>
    <w:unhideWhenUsed/>
    <w:qFormat/>
    <w:rPr>
      <w:color w:val="0563C1"/>
      <w:u w:val="single"/>
    </w:rPr>
  </w:style>
  <w:style w:type="paragraph" w:customStyle="1" w:styleId="Header1">
    <w:name w:val="Header1"/>
    <w:basedOn w:val="Normal"/>
    <w:next w:val="Header"/>
    <w:link w:val="HeaderChar"/>
    <w:uiPriority w:val="99"/>
    <w:unhideWhenUsed/>
    <w:qFormat/>
    <w:pPr>
      <w:tabs>
        <w:tab w:val="center" w:pos="4513"/>
        <w:tab w:val="right" w:pos="9026"/>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1"/>
    <w:uiPriority w:val="99"/>
    <w:qFormat/>
    <w:rPr>
      <w:rFonts w:eastAsia="Times New Roman" w:cs="Times New Roman"/>
      <w:sz w:val="24"/>
      <w:szCs w:val="24"/>
      <w:lang w:val="en-US"/>
    </w:rPr>
  </w:style>
  <w:style w:type="paragraph" w:customStyle="1" w:styleId="Footer1">
    <w:name w:val="Footer1"/>
    <w:basedOn w:val="Normal"/>
    <w:next w:val="Footer"/>
    <w:link w:val="FooterChar"/>
    <w:uiPriority w:val="99"/>
    <w:unhideWhenUsed/>
    <w:pPr>
      <w:tabs>
        <w:tab w:val="center" w:pos="4513"/>
        <w:tab w:val="right" w:pos="9026"/>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1"/>
    <w:uiPriority w:val="99"/>
    <w:rPr>
      <w:rFonts w:eastAsia="Times New Roman" w:cs="Times New Roman"/>
      <w:sz w:val="24"/>
      <w:szCs w:val="24"/>
      <w:lang w:val="en-US"/>
    </w:rPr>
  </w:style>
  <w:style w:type="character" w:customStyle="1" w:styleId="Emphasis1">
    <w:name w:val="Emphasis1"/>
    <w:basedOn w:val="DefaultParagraphFont"/>
    <w:uiPriority w:val="20"/>
    <w:qFormat/>
    <w:rPr>
      <w:rFonts w:ascii="Calibri" w:hAnsi="Calibri"/>
      <w:b/>
      <w:i/>
      <w:iCs/>
    </w:rPr>
  </w:style>
  <w:style w:type="character" w:customStyle="1" w:styleId="mixed-citation">
    <w:name w:val="mixed-citation"/>
    <w:basedOn w:val="DefaultParagraphFont"/>
    <w:qFormat/>
  </w:style>
  <w:style w:type="character" w:customStyle="1" w:styleId="nowrap">
    <w:name w:val="nowrap"/>
    <w:basedOn w:val="DefaultParagraphFont"/>
    <w:qFormat/>
  </w:style>
  <w:style w:type="character" w:customStyle="1" w:styleId="CommentTextChar">
    <w:name w:val="Comment Text Char"/>
    <w:basedOn w:val="DefaultParagraphFont"/>
    <w:link w:val="CommentText"/>
    <w:uiPriority w:val="99"/>
    <w:semiHidden/>
    <w:rPr>
      <w:sz w:val="20"/>
      <w:szCs w:val="20"/>
    </w:rPr>
  </w:style>
  <w:style w:type="paragraph" w:customStyle="1" w:styleId="CommentText1">
    <w:name w:val="Comment Text1"/>
    <w:basedOn w:val="Normal"/>
    <w:next w:val="CommentText"/>
    <w:uiPriority w:val="99"/>
    <w:semiHidden/>
    <w:unhideWhenUsed/>
    <w:pPr>
      <w:spacing w:after="160" w:line="240" w:lineRule="auto"/>
    </w:pPr>
    <w:rPr>
      <w:sz w:val="20"/>
      <w:szCs w:val="20"/>
    </w:rPr>
  </w:style>
  <w:style w:type="character" w:customStyle="1" w:styleId="CommentTextChar1">
    <w:name w:val="Comment Text Char1"/>
    <w:basedOn w:val="DefaultParagraphFont"/>
    <w:uiPriority w:val="99"/>
    <w:semiHidden/>
    <w:qFormat/>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ommentSubject1">
    <w:name w:val="Comment Subject1"/>
    <w:basedOn w:val="CommentText"/>
    <w:next w:val="CommentText"/>
    <w:uiPriority w:val="99"/>
    <w:semiHidden/>
    <w:unhideWhenUsed/>
    <w:qFormat/>
    <w:pPr>
      <w:spacing w:after="160"/>
    </w:pPr>
    <w:rPr>
      <w:b/>
      <w:bCs/>
    </w:rPr>
  </w:style>
  <w:style w:type="character" w:customStyle="1" w:styleId="CommentSubjectChar1">
    <w:name w:val="Comment Subject Char1"/>
    <w:basedOn w:val="CommentTextChar1"/>
    <w:uiPriority w:val="99"/>
    <w:semiHidden/>
    <w:rPr>
      <w:rFonts w:eastAsia="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BalloonText1">
    <w:name w:val="Balloon Text1"/>
    <w:basedOn w:val="Normal"/>
    <w:next w:val="BalloonText"/>
    <w:uiPriority w:val="99"/>
    <w:semiHidden/>
    <w:unhideWhenUse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US"/>
    </w:rPr>
  </w:style>
  <w:style w:type="character" w:customStyle="1" w:styleId="FollowedHyperlink1">
    <w:name w:val="FollowedHyperlink1"/>
    <w:basedOn w:val="DefaultParagraphFont"/>
    <w:uiPriority w:val="99"/>
    <w:semiHidden/>
    <w:unhideWhenUsed/>
    <w:qFormat/>
    <w:rPr>
      <w:color w:val="954F72"/>
      <w:u w:val="single"/>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qFormat/>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1">
    <w:name w:val="Heading 4 Char1"/>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244061"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244061" w:themeColor="accent1" w:themeShade="80"/>
    </w:rPr>
  </w:style>
  <w:style w:type="character" w:customStyle="1" w:styleId="Heading8Char1">
    <w:name w:val="Heading 8 Char1"/>
    <w:basedOn w:val="DefaultParagraphFont"/>
    <w:uiPriority w:val="9"/>
    <w:semiHidden/>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CommentTextChar2">
    <w:name w:val="Comment Text Char2"/>
    <w:basedOn w:val="DefaultParagraphFont"/>
    <w:uiPriority w:val="99"/>
    <w:semiHidden/>
    <w:qFormat/>
    <w:rPr>
      <w:sz w:val="20"/>
      <w:szCs w:val="20"/>
    </w:rPr>
  </w:style>
  <w:style w:type="character" w:customStyle="1" w:styleId="CommentSubjectChar2">
    <w:name w:val="Comment Subject Char2"/>
    <w:basedOn w:val="CommentTextChar"/>
    <w:uiPriority w:val="99"/>
    <w:semiHidden/>
    <w:rPr>
      <w:b/>
      <w:bCs/>
      <w:sz w:val="20"/>
      <w:szCs w:val="20"/>
    </w:rPr>
  </w:style>
  <w:style w:type="character" w:customStyle="1" w:styleId="BalloonTextChar2">
    <w:name w:val="Balloon Text Char2"/>
    <w:basedOn w:val="DefaultParagraphFont"/>
    <w:uiPriority w:val="99"/>
    <w:semiHidden/>
    <w:qFormat/>
    <w:rPr>
      <w:rFonts w:ascii="Segoe UI" w:hAnsi="Segoe UI" w:cs="Segoe UI"/>
      <w:sz w:val="18"/>
      <w:szCs w:val="18"/>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lang w:val="en-US"/>
    </w:rPr>
  </w:style>
  <w:style w:type="table" w:customStyle="1" w:styleId="TableGrid11">
    <w:name w:val="Table Grid11"/>
    <w:basedOn w:val="TableNormal"/>
    <w:next w:val="TableGrid"/>
    <w:uiPriority w:val="59"/>
    <w:rsid w:val="0094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840"/>
    <w:rPr>
      <w:sz w:val="22"/>
      <w:szCs w:val="22"/>
      <w:lang w:eastAsia="en-US"/>
    </w:rPr>
  </w:style>
  <w:style w:type="character" w:styleId="UnresolvedMention">
    <w:name w:val="Unresolved Mention"/>
    <w:basedOn w:val="DefaultParagraphFont"/>
    <w:uiPriority w:val="99"/>
    <w:semiHidden/>
    <w:unhideWhenUsed/>
    <w:rsid w:val="004F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4791">
      <w:bodyDiv w:val="1"/>
      <w:marLeft w:val="0"/>
      <w:marRight w:val="0"/>
      <w:marTop w:val="0"/>
      <w:marBottom w:val="0"/>
      <w:divBdr>
        <w:top w:val="none" w:sz="0" w:space="0" w:color="auto"/>
        <w:left w:val="none" w:sz="0" w:space="0" w:color="auto"/>
        <w:bottom w:val="none" w:sz="0" w:space="0" w:color="auto"/>
        <w:right w:val="none" w:sz="0" w:space="0" w:color="auto"/>
      </w:divBdr>
    </w:div>
    <w:div w:id="472215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usinessdailyafrica.com/bd/markets/commodities/animal-feed-makers-to-import-350-000-tonnes-of-yellow-maize--4064266" TargetMode="External"/><Relationship Id="rId26" Type="http://schemas.openxmlformats.org/officeDocument/2006/relationships/hyperlink" Target="https://doi.org/10.3390/w12102673" TargetMode="External"/><Relationship Id="rId3" Type="http://schemas.openxmlformats.org/officeDocument/2006/relationships/styles" Target="styles.xml"/><Relationship Id="rId21" Type="http://schemas.openxmlformats.org/officeDocument/2006/relationships/hyperlink" Target="http://www.fao.org/faostat/en/"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4236/ajps.2014.59149" TargetMode="External"/><Relationship Id="rId25" Type="http://schemas.openxmlformats.org/officeDocument/2006/relationships/hyperlink" Target="https://doi.org/10.1155/2020/9651537"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scholar.google.com/scholar_lookup?title=META-R+(Multi+Environment+Trail+Analysis+with+R+for+Windows)+Version+5.0.&amp;author=G.+Alvarado&amp;author=M.+L%C3%B3pez&amp;author=M.+Vargas&amp;author=%C3%81+Pacheco&amp;author=F.+Rodr%C3%ADguez&amp;publication_year=2015&amp;" TargetMode="External"/><Relationship Id="rId20" Type="http://schemas.openxmlformats.org/officeDocument/2006/relationships/hyperlink" Target="https://doi.org/10.1007/s12892-024-00245-4" TargetMode="External"/><Relationship Id="rId29" Type="http://schemas.openxmlformats.org/officeDocument/2006/relationships/hyperlink" Target="https://doi.org/10.2307/23317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dl.handle.net/11529/10548370"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holar.google.com/scholar_lookup?author=S.+H.+Gebrechorkos&amp;author=S.+H%C3%BClsmann&amp;author=C.+Bernhofer&amp;publication_year=2019&amp;title=Changes+in+temperature+and+precipitation+extremes+in+Ethiopia+Kenya+and+Tanzania&amp;journal=Int.+J.+Climatol.&amp;volume=39&amp;pages=18-30" TargetMode="External"/><Relationship Id="rId28" Type="http://schemas.openxmlformats.org/officeDocument/2006/relationships/hyperlink" Target="http://scholar.google.com/scholar_lookup?author=I.+Niang&amp;author=B.+Osman-Elasha&amp;author=A.+Githeko&amp;author=P.+Z.+Yanda&amp;author=M.+Medany&amp;author=C.+Vogel&amp;publication_year=2021&amp;journal=%22Africa+%22+in+climate+change+2021:+Impacts+adaptation+and+vulnerability&amp;"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epository.cimmyt.org/handle/10883/1337?locale-attribute=en"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2/joc.5777" TargetMode="External"/><Relationship Id="rId27" Type="http://schemas.openxmlformats.org/officeDocument/2006/relationships/hyperlink" Target="http://scholar.google.com/scholar_lookup?author=C.+Nhemachena&amp;author=L.+Nhamo&amp;author=G.+Matchaya&amp;author=C.+R.+Nhemachena&amp;author=B.+Muchara&amp;author=S.+T.+Karuaihe&amp;publication_year=2020&amp;title=Climate+change+impacts+on+water+and+agriculture+sectors+in+southern+Africa:+threats+and+opportunities+for+sustainable+development&amp;journal=Water&amp;volume=12&amp;pages=2673" TargetMode="External"/><Relationship Id="rId30" Type="http://schemas.openxmlformats.org/officeDocument/2006/relationships/hyperlink" Target="https://github.com/taiyun/corrplot"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0456-09B9-483C-83C4-C0523E9F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SDI 1084</cp:lastModifiedBy>
  <cp:revision>11</cp:revision>
  <dcterms:created xsi:type="dcterms:W3CDTF">2025-05-12T17:02:00Z</dcterms:created>
  <dcterms:modified xsi:type="dcterms:W3CDTF">2025-05-14T13:26:00Z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DAFEF9BF8243447A883A9D625AB7074A_12</vt:lpwstr>
  </property>
</Properties>
</file>