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6C13" w14:textId="77777777" w:rsidR="00936E9D" w:rsidRPr="00936E9D" w:rsidRDefault="00936E9D" w:rsidP="00936E9D">
      <w:pPr>
        <w:jc w:val="both"/>
        <w:rPr>
          <w:rFonts w:ascii="Arial" w:hAnsi="Arial" w:cs="Arial"/>
          <w:b/>
          <w:bCs/>
          <w:i/>
          <w:iCs/>
          <w:sz w:val="34"/>
          <w:szCs w:val="34"/>
          <w:u w:val="single"/>
        </w:rPr>
      </w:pPr>
      <w:bookmarkStart w:id="0" w:name="_Hlk197944877"/>
      <w:r w:rsidRPr="00936E9D">
        <w:rPr>
          <w:rFonts w:ascii="Arial" w:hAnsi="Arial" w:cs="Arial"/>
          <w:b/>
          <w:bCs/>
          <w:i/>
          <w:iCs/>
          <w:sz w:val="34"/>
          <w:szCs w:val="34"/>
          <w:u w:val="single"/>
        </w:rPr>
        <w:t>Original Research Article</w:t>
      </w:r>
    </w:p>
    <w:p w14:paraId="53D048E7" w14:textId="33B47FE7" w:rsidR="002F264D" w:rsidRPr="002F264D" w:rsidRDefault="002F264D" w:rsidP="00171786">
      <w:pPr>
        <w:jc w:val="both"/>
        <w:rPr>
          <w:rFonts w:ascii="Arial" w:hAnsi="Arial" w:cs="Arial"/>
          <w:b/>
          <w:bCs/>
          <w:sz w:val="34"/>
          <w:szCs w:val="34"/>
        </w:rPr>
      </w:pPr>
      <w:r w:rsidRPr="002F264D">
        <w:rPr>
          <w:rFonts w:ascii="Arial" w:hAnsi="Arial" w:cs="Arial"/>
          <w:b/>
          <w:bCs/>
          <w:sz w:val="34"/>
          <w:szCs w:val="34"/>
        </w:rPr>
        <w:t>EXPLORING THE PRODUCTION AND MARKETING ECOSYSTEM OF SMALL TEA GROWERS IN ASSAM</w:t>
      </w:r>
    </w:p>
    <w:bookmarkEnd w:id="0"/>
    <w:p w14:paraId="5731896B" w14:textId="77777777" w:rsidR="008C6BA2" w:rsidRDefault="008C6BA2" w:rsidP="00171786">
      <w:pPr>
        <w:spacing w:line="240" w:lineRule="auto"/>
        <w:jc w:val="both"/>
        <w:rPr>
          <w:rFonts w:ascii="Arial" w:hAnsi="Arial" w:cs="Arial"/>
          <w:sz w:val="20"/>
          <w:szCs w:val="20"/>
        </w:rPr>
      </w:pPr>
    </w:p>
    <w:p w14:paraId="7942EFCF" w14:textId="77777777" w:rsidR="002F264D" w:rsidRDefault="002F264D" w:rsidP="0017178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7500CBEB" wp14:editId="3A9BDB3A">
                <wp:simplePos x="0" y="0"/>
                <wp:positionH relativeFrom="margin">
                  <wp:align>left</wp:align>
                </wp:positionH>
                <wp:positionV relativeFrom="paragraph">
                  <wp:posOffset>3175</wp:posOffset>
                </wp:positionV>
                <wp:extent cx="5803900" cy="0"/>
                <wp:effectExtent l="0" t="0" r="0" b="0"/>
                <wp:wrapNone/>
                <wp:docPr id="310059593" name="Straight Connector 1"/>
                <wp:cNvGraphicFramePr/>
                <a:graphic xmlns:a="http://schemas.openxmlformats.org/drawingml/2006/main">
                  <a:graphicData uri="http://schemas.microsoft.com/office/word/2010/wordprocessingShape">
                    <wps:wsp>
                      <wps:cNvCnPr/>
                      <wps:spPr>
                        <a:xfrm flipV="1">
                          <a:off x="0" y="0"/>
                          <a:ext cx="5803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BE53E" id="Straight Connector 1" o:spid="_x0000_s1026" style="position:absolute;flip:y;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" strokecolor="black [3213]" strokeweight="1pt">
                <w10:wrap anchorx="margin"/>
              </v:line>
            </w:pict>
          </mc:Fallback>
        </mc:AlternateContent>
      </w:r>
    </w:p>
    <w:p w14:paraId="4C4DBA47" w14:textId="4BE0A245" w:rsidR="009422F1" w:rsidRDefault="002F264D" w:rsidP="00655035">
      <w:pPr>
        <w:spacing w:line="240" w:lineRule="auto"/>
        <w:ind w:left="142" w:hanging="142"/>
        <w:jc w:val="both"/>
        <w:rPr>
          <w:rFonts w:ascii="Arial" w:hAnsi="Arial" w:cs="Arial"/>
          <w:b/>
          <w:bCs/>
        </w:rPr>
      </w:pPr>
      <w:r w:rsidRPr="00101FAE">
        <w:rPr>
          <w:rFonts w:ascii="Arial" w:hAnsi="Arial" w:cs="Arial"/>
          <w:b/>
          <w:bCs/>
        </w:rPr>
        <w:t>ABSTRACT</w:t>
      </w:r>
    </w:p>
    <w:p w14:paraId="0E1C1793" w14:textId="77777777" w:rsidR="00655035" w:rsidRDefault="00655035" w:rsidP="00655035">
      <w:pPr>
        <w:spacing w:line="360" w:lineRule="auto"/>
        <w:jc w:val="both"/>
        <w:rPr>
          <w:rFonts w:ascii="Arial" w:hAnsi="Arial" w:cs="Arial"/>
          <w:sz w:val="20"/>
          <w:szCs w:val="20"/>
        </w:rPr>
      </w:pPr>
      <w:r w:rsidRPr="00655035">
        <w:rPr>
          <w:rFonts w:ascii="Arial" w:hAnsi="Arial" w:cs="Arial"/>
          <w:sz w:val="20"/>
          <w:szCs w:val="20"/>
        </w:rPr>
        <w:t>Tea production in India has witnessed significant growth since its origins during the colonial era.</w:t>
      </w:r>
      <w:r>
        <w:rPr>
          <w:rFonts w:ascii="Arial" w:hAnsi="Arial" w:cs="Arial"/>
          <w:sz w:val="20"/>
          <w:szCs w:val="20"/>
        </w:rPr>
        <w:t xml:space="preserve"> </w:t>
      </w:r>
      <w:r w:rsidRPr="00655035">
        <w:rPr>
          <w:rFonts w:ascii="Arial" w:hAnsi="Arial" w:cs="Arial"/>
          <w:sz w:val="20"/>
          <w:szCs w:val="20"/>
        </w:rPr>
        <w:t xml:space="preserve">In Assam, the tea industry has undergone a notable transformation, particularly with the emergence and increasing prominence of small tea growers. Over the years, these growers have come to play a vital role in the sector. At present, small tea farmers are active across 27 districts in Assam, with the highest concentrations found in five key districts: Dibrugarh, Tinsukia, Jorhat, </w:t>
      </w:r>
      <w:proofErr w:type="spellStart"/>
      <w:r w:rsidRPr="00655035">
        <w:rPr>
          <w:rFonts w:ascii="Arial" w:hAnsi="Arial" w:cs="Arial"/>
          <w:sz w:val="20"/>
          <w:szCs w:val="20"/>
        </w:rPr>
        <w:t>Sivasagar</w:t>
      </w:r>
      <w:proofErr w:type="spellEnd"/>
      <w:r w:rsidRPr="00655035">
        <w:rPr>
          <w:rFonts w:ascii="Arial" w:hAnsi="Arial" w:cs="Arial"/>
          <w:sz w:val="20"/>
          <w:szCs w:val="20"/>
        </w:rPr>
        <w:t xml:space="preserve">, and </w:t>
      </w:r>
      <w:proofErr w:type="spellStart"/>
      <w:r w:rsidRPr="00655035">
        <w:rPr>
          <w:rFonts w:ascii="Arial" w:hAnsi="Arial" w:cs="Arial"/>
          <w:sz w:val="20"/>
          <w:szCs w:val="20"/>
        </w:rPr>
        <w:t>Golaghat</w:t>
      </w:r>
      <w:proofErr w:type="spellEnd"/>
      <w:r w:rsidRPr="00655035">
        <w:rPr>
          <w:rFonts w:ascii="Arial" w:hAnsi="Arial" w:cs="Arial"/>
          <w:sz w:val="20"/>
          <w:szCs w:val="20"/>
        </w:rPr>
        <w:t>.</w:t>
      </w:r>
    </w:p>
    <w:p w14:paraId="7ABFDC45" w14:textId="456528E1" w:rsidR="00655035" w:rsidRDefault="00655035" w:rsidP="00655035">
      <w:pPr>
        <w:spacing w:line="360" w:lineRule="auto"/>
        <w:jc w:val="both"/>
        <w:rPr>
          <w:rFonts w:ascii="Arial" w:hAnsi="Arial" w:cs="Arial"/>
          <w:color w:val="0D0D0D"/>
          <w:sz w:val="20"/>
          <w:szCs w:val="20"/>
        </w:rPr>
      </w:pPr>
      <w:r w:rsidRPr="002505BC">
        <w:rPr>
          <w:rFonts w:ascii="Arial" w:hAnsi="Arial" w:cs="Arial"/>
          <w:b/>
          <w:bCs/>
          <w:color w:val="0D0D0D"/>
          <w:sz w:val="20"/>
          <w:szCs w:val="20"/>
        </w:rPr>
        <w:t>Aim:</w:t>
      </w:r>
      <w:r>
        <w:rPr>
          <w:rFonts w:ascii="Arial" w:hAnsi="Arial" w:cs="Arial"/>
          <w:b/>
          <w:bCs/>
          <w:color w:val="0D0D0D"/>
          <w:sz w:val="20"/>
          <w:szCs w:val="20"/>
        </w:rPr>
        <w:t xml:space="preserve"> </w:t>
      </w:r>
      <w:r>
        <w:rPr>
          <w:rFonts w:ascii="Arial" w:hAnsi="Arial" w:cs="Arial"/>
          <w:color w:val="0D0D0D"/>
          <w:sz w:val="20"/>
          <w:szCs w:val="20"/>
        </w:rPr>
        <w:t>The current study entitled, “</w:t>
      </w:r>
      <w:r>
        <w:rPr>
          <w:rFonts w:ascii="Arial" w:hAnsi="Arial" w:cs="Arial"/>
          <w:b/>
          <w:bCs/>
          <w:color w:val="0D0D0D"/>
          <w:sz w:val="20"/>
          <w:szCs w:val="20"/>
        </w:rPr>
        <w:t>E</w:t>
      </w:r>
      <w:r w:rsidRPr="00655035">
        <w:rPr>
          <w:rFonts w:ascii="Arial" w:hAnsi="Arial" w:cs="Arial"/>
          <w:b/>
          <w:bCs/>
          <w:color w:val="0D0D0D"/>
          <w:sz w:val="20"/>
          <w:szCs w:val="20"/>
        </w:rPr>
        <w:t xml:space="preserve">xploring the production and marketing ecosystem of small tea growers in </w:t>
      </w:r>
      <w:r>
        <w:rPr>
          <w:rFonts w:ascii="Arial" w:hAnsi="Arial" w:cs="Arial"/>
          <w:b/>
          <w:bCs/>
          <w:color w:val="0D0D0D"/>
          <w:sz w:val="20"/>
          <w:szCs w:val="20"/>
        </w:rPr>
        <w:t>A</w:t>
      </w:r>
      <w:r w:rsidRPr="00655035">
        <w:rPr>
          <w:rFonts w:ascii="Arial" w:hAnsi="Arial" w:cs="Arial"/>
          <w:b/>
          <w:bCs/>
          <w:color w:val="0D0D0D"/>
          <w:sz w:val="20"/>
          <w:szCs w:val="20"/>
        </w:rPr>
        <w:t>ssam</w:t>
      </w:r>
      <w:r>
        <w:rPr>
          <w:rFonts w:ascii="Arial" w:hAnsi="Arial" w:cs="Arial"/>
          <w:b/>
          <w:bCs/>
          <w:color w:val="0D0D0D"/>
          <w:sz w:val="20"/>
          <w:szCs w:val="20"/>
        </w:rPr>
        <w:t xml:space="preserve">” </w:t>
      </w:r>
      <w:r>
        <w:rPr>
          <w:rFonts w:ascii="Arial" w:hAnsi="Arial" w:cs="Arial"/>
          <w:color w:val="0D0D0D"/>
          <w:sz w:val="20"/>
          <w:szCs w:val="20"/>
        </w:rPr>
        <w:t>aims at identifying the existing marketing channels and identify the challenges faced by the small tea growers in the production and marketing of tea leaves.</w:t>
      </w:r>
    </w:p>
    <w:p w14:paraId="69A19C40" w14:textId="70B11189" w:rsidR="00655035" w:rsidRDefault="00655035" w:rsidP="00655035">
      <w:pPr>
        <w:spacing w:line="360" w:lineRule="auto"/>
        <w:jc w:val="both"/>
        <w:rPr>
          <w:rFonts w:ascii="Arial" w:hAnsi="Arial" w:cs="Arial"/>
          <w:color w:val="0D0D0D"/>
          <w:sz w:val="20"/>
          <w:szCs w:val="20"/>
        </w:rPr>
      </w:pPr>
      <w:r>
        <w:rPr>
          <w:rFonts w:ascii="Arial" w:hAnsi="Arial" w:cs="Arial"/>
          <w:b/>
          <w:bCs/>
          <w:color w:val="0D0D0D"/>
          <w:sz w:val="20"/>
          <w:szCs w:val="20"/>
        </w:rPr>
        <w:t xml:space="preserve">Methodology: </w:t>
      </w:r>
      <w:r w:rsidRPr="00655035">
        <w:rPr>
          <w:rFonts w:ascii="Arial" w:hAnsi="Arial" w:cs="Arial"/>
          <w:color w:val="0D0D0D"/>
          <w:sz w:val="20"/>
          <w:szCs w:val="20"/>
        </w:rPr>
        <w:t xml:space="preserve">The present study was conducted in Tinsukia and Dibrugarh districts of Assam, </w:t>
      </w:r>
      <w:r>
        <w:rPr>
          <w:rFonts w:ascii="Arial" w:hAnsi="Arial" w:cs="Arial"/>
          <w:color w:val="0D0D0D"/>
          <w:sz w:val="20"/>
          <w:szCs w:val="20"/>
        </w:rPr>
        <w:t xml:space="preserve">serving </w:t>
      </w:r>
      <w:r w:rsidRPr="00655035">
        <w:rPr>
          <w:rFonts w:ascii="Arial" w:hAnsi="Arial" w:cs="Arial"/>
          <w:color w:val="0D0D0D"/>
          <w:sz w:val="20"/>
          <w:szCs w:val="20"/>
        </w:rPr>
        <w:t xml:space="preserve">as the primary areas of investigation. A multistage random sampling technique was employed to ensure a representative selection of respondents. Both primary and secondary data sources were utilized for </w:t>
      </w:r>
      <w:r>
        <w:rPr>
          <w:rFonts w:ascii="Arial" w:hAnsi="Arial" w:cs="Arial"/>
          <w:color w:val="0D0D0D"/>
          <w:sz w:val="20"/>
          <w:szCs w:val="20"/>
        </w:rPr>
        <w:t xml:space="preserve">the </w:t>
      </w:r>
      <w:r w:rsidRPr="00655035">
        <w:rPr>
          <w:rFonts w:ascii="Arial" w:hAnsi="Arial" w:cs="Arial"/>
          <w:color w:val="0D0D0D"/>
          <w:sz w:val="20"/>
          <w:szCs w:val="20"/>
        </w:rPr>
        <w:t xml:space="preserve">analysis. A total of 197 small tea growers were randomly selected from the two districts </w:t>
      </w:r>
      <w:r>
        <w:rPr>
          <w:rFonts w:ascii="Arial" w:hAnsi="Arial" w:cs="Arial"/>
          <w:color w:val="0D0D0D"/>
          <w:sz w:val="20"/>
          <w:szCs w:val="20"/>
        </w:rPr>
        <w:t>forming the</w:t>
      </w:r>
      <w:r w:rsidRPr="00655035">
        <w:rPr>
          <w:rFonts w:ascii="Arial" w:hAnsi="Arial" w:cs="Arial"/>
          <w:color w:val="0D0D0D"/>
          <w:sz w:val="20"/>
          <w:szCs w:val="20"/>
        </w:rPr>
        <w:t xml:space="preserve"> final sampling unit for the study.</w:t>
      </w:r>
    </w:p>
    <w:p w14:paraId="542004A7" w14:textId="3E6A0545" w:rsidR="00655035" w:rsidRDefault="00655035" w:rsidP="00655035">
      <w:pPr>
        <w:spacing w:line="360" w:lineRule="auto"/>
        <w:jc w:val="both"/>
        <w:rPr>
          <w:rFonts w:ascii="Arial" w:hAnsi="Arial" w:cs="Arial"/>
          <w:sz w:val="20"/>
          <w:szCs w:val="20"/>
        </w:rPr>
      </w:pPr>
      <w:r w:rsidRPr="002505BC">
        <w:rPr>
          <w:rFonts w:ascii="Arial" w:hAnsi="Arial" w:cs="Arial"/>
          <w:b/>
          <w:bCs/>
          <w:color w:val="0D0D0D"/>
          <w:sz w:val="20"/>
          <w:szCs w:val="20"/>
        </w:rPr>
        <w:t>Results:</w:t>
      </w:r>
      <w:r>
        <w:rPr>
          <w:rFonts w:ascii="Arial" w:hAnsi="Arial" w:cs="Arial"/>
          <w:b/>
          <w:bCs/>
          <w:color w:val="0D0D0D"/>
          <w:sz w:val="20"/>
          <w:szCs w:val="20"/>
        </w:rPr>
        <w:t xml:space="preserve"> </w:t>
      </w:r>
      <w:r w:rsidRPr="00517B39">
        <w:rPr>
          <w:rFonts w:ascii="Arial" w:hAnsi="Arial" w:cs="Arial"/>
          <w:color w:val="0D0D0D"/>
          <w:sz w:val="20"/>
          <w:szCs w:val="20"/>
        </w:rPr>
        <w:t>Two distinct marketing channels were discovered in the distribution</w:t>
      </w:r>
      <w:r>
        <w:rPr>
          <w:rFonts w:ascii="Arial" w:hAnsi="Arial" w:cs="Arial"/>
          <w:color w:val="FFFFFF" w:themeColor="background1"/>
          <w:sz w:val="20"/>
          <w:szCs w:val="20"/>
        </w:rPr>
        <w:t xml:space="preserve"> </w:t>
      </w:r>
      <w:r w:rsidRPr="00517B39">
        <w:rPr>
          <w:rFonts w:ascii="Arial" w:hAnsi="Arial" w:cs="Arial"/>
          <w:color w:val="0D0D0D"/>
          <w:sz w:val="20"/>
          <w:szCs w:val="20"/>
        </w:rPr>
        <w:t>of</w:t>
      </w:r>
      <w:r>
        <w:rPr>
          <w:rFonts w:ascii="Arial" w:hAnsi="Arial" w:cs="Arial"/>
          <w:sz w:val="20"/>
          <w:szCs w:val="20"/>
        </w:rPr>
        <w:t xml:space="preserve"> t</w:t>
      </w:r>
      <w:r w:rsidRPr="00517B39">
        <w:rPr>
          <w:rFonts w:ascii="Arial" w:hAnsi="Arial" w:cs="Arial"/>
          <w:color w:val="0D0D0D"/>
          <w:sz w:val="20"/>
          <w:szCs w:val="20"/>
        </w:rPr>
        <w:t>ea leaves in the surveyed area</w:t>
      </w:r>
      <w:r>
        <w:rPr>
          <w:rFonts w:ascii="Arial" w:hAnsi="Arial" w:cs="Arial"/>
          <w:color w:val="0D0D0D"/>
          <w:sz w:val="20"/>
          <w:szCs w:val="20"/>
        </w:rPr>
        <w:t xml:space="preserve">. </w:t>
      </w:r>
      <w:r w:rsidRPr="00517B39">
        <w:rPr>
          <w:rFonts w:ascii="Arial" w:hAnsi="Arial" w:cs="Arial"/>
          <w:color w:val="0D0D0D"/>
          <w:sz w:val="20"/>
          <w:szCs w:val="20"/>
        </w:rPr>
        <w:t>The small tea growers use both the channels for marketing the green tea leaves, but Channel II serves as the common marketing channel used by majority of the</w:t>
      </w:r>
      <w:r>
        <w:rPr>
          <w:rFonts w:ascii="Arial" w:hAnsi="Arial" w:cs="Arial"/>
          <w:color w:val="FFFFFF" w:themeColor="background1"/>
          <w:sz w:val="20"/>
          <w:szCs w:val="20"/>
        </w:rPr>
        <w:t xml:space="preserve"> </w:t>
      </w:r>
      <w:r w:rsidRPr="00517B39">
        <w:rPr>
          <w:rFonts w:ascii="Arial" w:hAnsi="Arial" w:cs="Arial"/>
          <w:color w:val="0D0D0D"/>
          <w:sz w:val="20"/>
          <w:szCs w:val="20"/>
        </w:rPr>
        <w:t>small- tea grower</w:t>
      </w:r>
      <w:r>
        <w:rPr>
          <w:rFonts w:ascii="Arial" w:hAnsi="Arial" w:cs="Arial"/>
          <w:color w:val="0D0D0D"/>
          <w:sz w:val="20"/>
          <w:szCs w:val="20"/>
        </w:rPr>
        <w:t xml:space="preserve">s. </w:t>
      </w:r>
      <w:r>
        <w:rPr>
          <w:rFonts w:ascii="Arial" w:eastAsia="Times New Roman" w:hAnsi="Arial" w:cs="Arial"/>
          <w:color w:val="000000"/>
          <w:sz w:val="20"/>
          <w:szCs w:val="20"/>
          <w:lang w:eastAsia="en-IN"/>
        </w:rPr>
        <w:t>While it was observed that</w:t>
      </w:r>
      <w:r w:rsidRPr="00603B2D">
        <w:rPr>
          <w:rFonts w:ascii="Arial" w:eastAsia="Times New Roman" w:hAnsi="Arial" w:cs="Arial"/>
          <w:color w:val="000000"/>
          <w:sz w:val="20"/>
          <w:szCs w:val="20"/>
          <w:lang w:eastAsia="en-IN"/>
        </w:rPr>
        <w:t xml:space="preserve"> Channel-I was efficient, </w:t>
      </w:r>
      <w:r w:rsidRPr="00603B2D">
        <w:rPr>
          <w:rFonts w:ascii="Arial" w:hAnsi="Arial" w:cs="Arial"/>
          <w:color w:val="0D0D0D"/>
          <w:sz w:val="20"/>
          <w:szCs w:val="20"/>
        </w:rPr>
        <w:t>it was seen that the small- growers preferred to dispose the leaf produce through Channel-II</w:t>
      </w:r>
      <w:r>
        <w:rPr>
          <w:rFonts w:ascii="Arial" w:hAnsi="Arial" w:cs="Arial"/>
          <w:color w:val="0D0D0D"/>
          <w:sz w:val="20"/>
          <w:szCs w:val="20"/>
        </w:rPr>
        <w:t xml:space="preserve">. </w:t>
      </w:r>
      <w:r w:rsidRPr="00603B2D">
        <w:rPr>
          <w:rFonts w:ascii="Arial" w:eastAsia="Times New Roman" w:hAnsi="Arial" w:cs="Arial"/>
          <w:color w:val="000000"/>
          <w:sz w:val="20"/>
          <w:szCs w:val="20"/>
          <w:lang w:val="en-IN" w:eastAsia="en-IN"/>
        </w:rPr>
        <w:t>There were several inherent obstacles in the growth and dev</w:t>
      </w:r>
      <w:r>
        <w:rPr>
          <w:rFonts w:ascii="Arial" w:eastAsia="Times New Roman" w:hAnsi="Arial" w:cs="Arial"/>
          <w:color w:val="000000"/>
          <w:sz w:val="20"/>
          <w:szCs w:val="20"/>
          <w:lang w:val="en-IN" w:eastAsia="en-IN"/>
        </w:rPr>
        <w:t>e</w:t>
      </w:r>
      <w:r w:rsidRPr="00603B2D">
        <w:rPr>
          <w:rFonts w:ascii="Arial" w:eastAsia="Times New Roman" w:hAnsi="Arial" w:cs="Arial"/>
          <w:color w:val="000000"/>
          <w:sz w:val="20"/>
          <w:szCs w:val="20"/>
          <w:lang w:val="en-IN" w:eastAsia="en-IN"/>
        </w:rPr>
        <w:t xml:space="preserve">lopment of small tea farms in both production and marketing aspects. </w:t>
      </w:r>
      <w:r w:rsidRPr="00603B2D">
        <w:rPr>
          <w:rFonts w:ascii="Arial" w:eastAsia="Times New Roman" w:hAnsi="Arial" w:cs="Arial"/>
          <w:color w:val="000000"/>
          <w:sz w:val="20"/>
          <w:szCs w:val="20"/>
          <w:lang w:eastAsia="en-IN"/>
        </w:rPr>
        <w:t xml:space="preserve"> </w:t>
      </w:r>
      <w:r w:rsidRPr="00C61C41">
        <w:rPr>
          <w:rFonts w:ascii="Arial" w:hAnsi="Arial" w:cs="Arial"/>
          <w:sz w:val="20"/>
          <w:szCs w:val="20"/>
        </w:rPr>
        <w:t xml:space="preserve">The </w:t>
      </w:r>
      <w:r>
        <w:rPr>
          <w:rFonts w:ascii="Arial" w:hAnsi="Arial" w:cs="Arial"/>
          <w:sz w:val="20"/>
          <w:szCs w:val="20"/>
        </w:rPr>
        <w:t>study</w:t>
      </w:r>
      <w:r w:rsidRPr="00C61C41">
        <w:rPr>
          <w:rFonts w:ascii="Arial" w:hAnsi="Arial" w:cs="Arial"/>
          <w:sz w:val="20"/>
          <w:szCs w:val="20"/>
        </w:rPr>
        <w:t xml:space="preserve"> clearly highlights that</w:t>
      </w:r>
      <w:r>
        <w:rPr>
          <w:rFonts w:ascii="Arial" w:hAnsi="Arial" w:cs="Arial"/>
          <w:sz w:val="20"/>
          <w:szCs w:val="20"/>
        </w:rPr>
        <w:t xml:space="preserve"> </w:t>
      </w:r>
      <w:r w:rsidRPr="00C61C41">
        <w:rPr>
          <w:rFonts w:ascii="Arial" w:hAnsi="Arial" w:cs="Arial"/>
          <w:sz w:val="20"/>
          <w:szCs w:val="20"/>
        </w:rPr>
        <w:t>environmental</w:t>
      </w:r>
      <w:r>
        <w:rPr>
          <w:rFonts w:ascii="Arial" w:hAnsi="Arial" w:cs="Arial"/>
          <w:sz w:val="20"/>
          <w:szCs w:val="20"/>
        </w:rPr>
        <w:t xml:space="preserve"> </w:t>
      </w:r>
      <w:r w:rsidRPr="00C61C41">
        <w:rPr>
          <w:rFonts w:ascii="Arial" w:hAnsi="Arial" w:cs="Arial"/>
          <w:sz w:val="20"/>
          <w:szCs w:val="20"/>
        </w:rPr>
        <w:t>and economic factor</w:t>
      </w:r>
      <w:r>
        <w:rPr>
          <w:rFonts w:ascii="Arial" w:hAnsi="Arial" w:cs="Arial"/>
          <w:sz w:val="20"/>
          <w:szCs w:val="20"/>
        </w:rPr>
        <w:t xml:space="preserve"> </w:t>
      </w:r>
      <w:r w:rsidRPr="00C61C41">
        <w:rPr>
          <w:rFonts w:ascii="Arial" w:hAnsi="Arial" w:cs="Arial"/>
          <w:sz w:val="20"/>
          <w:szCs w:val="20"/>
        </w:rPr>
        <w:t>such as weather and market price fluctuations</w:t>
      </w:r>
      <w:r>
        <w:rPr>
          <w:rFonts w:ascii="Arial" w:hAnsi="Arial" w:cs="Arial"/>
          <w:sz w:val="20"/>
          <w:szCs w:val="20"/>
        </w:rPr>
        <w:t xml:space="preserve"> </w:t>
      </w:r>
      <w:r w:rsidRPr="00C61C41">
        <w:rPr>
          <w:rFonts w:ascii="Arial" w:hAnsi="Arial" w:cs="Arial"/>
          <w:sz w:val="20"/>
          <w:szCs w:val="20"/>
        </w:rPr>
        <w:t xml:space="preserve">pose the biggest threats to agricultural productivity. </w:t>
      </w:r>
      <w:r>
        <w:rPr>
          <w:rFonts w:ascii="Arial" w:hAnsi="Arial" w:cs="Arial"/>
          <w:sz w:val="20"/>
          <w:szCs w:val="20"/>
        </w:rPr>
        <w:t>The</w:t>
      </w:r>
      <w:r w:rsidRPr="00A679C6">
        <w:rPr>
          <w:rFonts w:ascii="Arial" w:hAnsi="Arial" w:cs="Arial"/>
          <w:sz w:val="20"/>
          <w:szCs w:val="20"/>
        </w:rPr>
        <w:t xml:space="preserve"> issues</w:t>
      </w:r>
      <w:r>
        <w:rPr>
          <w:rFonts w:ascii="Arial" w:hAnsi="Arial" w:cs="Arial"/>
          <w:sz w:val="20"/>
          <w:szCs w:val="20"/>
        </w:rPr>
        <w:t xml:space="preserve"> in the marketing of green tea leaves</w:t>
      </w:r>
      <w:r w:rsidRPr="00A679C6">
        <w:rPr>
          <w:rFonts w:ascii="Arial" w:hAnsi="Arial" w:cs="Arial"/>
          <w:sz w:val="20"/>
          <w:szCs w:val="20"/>
        </w:rPr>
        <w:t xml:space="preserve"> highlight the volatility and inefficiencies in the marketing channels available to small tea growers.</w:t>
      </w:r>
      <w:r>
        <w:rPr>
          <w:rFonts w:ascii="Arial" w:hAnsi="Arial" w:cs="Arial"/>
          <w:sz w:val="20"/>
          <w:szCs w:val="20"/>
        </w:rPr>
        <w:t xml:space="preserve"> </w:t>
      </w:r>
    </w:p>
    <w:p w14:paraId="1E98D71F" w14:textId="3DBFFC65" w:rsidR="002F264D" w:rsidRDefault="005C1D99" w:rsidP="005C1D99">
      <w:pPr>
        <w:spacing w:line="360" w:lineRule="auto"/>
        <w:jc w:val="both"/>
        <w:rPr>
          <w:rFonts w:ascii="Arial" w:hAnsi="Arial" w:cs="Arial"/>
          <w:i/>
          <w:iCs/>
          <w:sz w:val="20"/>
          <w:szCs w:val="20"/>
        </w:rPr>
      </w:pPr>
      <w:r>
        <w:rPr>
          <w:rFonts w:ascii="Arial" w:hAnsi="Arial" w:cs="Arial"/>
          <w:i/>
          <w:iCs/>
          <w:sz w:val="20"/>
          <w:szCs w:val="20"/>
        </w:rPr>
        <w:t>Keywords: Small-tea Growers, marketing efficiency, marketing channels, agricultural productivity</w:t>
      </w:r>
    </w:p>
    <w:p w14:paraId="4D6A28AE" w14:textId="77777777" w:rsidR="0053181A" w:rsidRDefault="0053181A" w:rsidP="005C1D99">
      <w:pPr>
        <w:spacing w:line="360" w:lineRule="auto"/>
        <w:jc w:val="both"/>
        <w:rPr>
          <w:rFonts w:ascii="Arial" w:hAnsi="Arial" w:cs="Arial"/>
          <w:i/>
          <w:iCs/>
          <w:sz w:val="20"/>
          <w:szCs w:val="20"/>
        </w:rPr>
      </w:pPr>
    </w:p>
    <w:p w14:paraId="3DAA17C2" w14:textId="77777777" w:rsidR="0053181A" w:rsidRPr="005C1D99" w:rsidRDefault="0053181A" w:rsidP="005C1D99">
      <w:pPr>
        <w:spacing w:line="360" w:lineRule="auto"/>
        <w:jc w:val="both"/>
        <w:rPr>
          <w:rFonts w:ascii="Arial" w:hAnsi="Arial" w:cs="Arial"/>
          <w:i/>
          <w:iCs/>
          <w:color w:val="0D0D0D"/>
          <w:sz w:val="20"/>
          <w:szCs w:val="20"/>
        </w:rPr>
      </w:pPr>
    </w:p>
    <w:p w14:paraId="48D4B03F" w14:textId="54DACD94" w:rsidR="002F264D" w:rsidRPr="002F264D" w:rsidRDefault="002F264D" w:rsidP="00171786">
      <w:pPr>
        <w:jc w:val="both"/>
        <w:rPr>
          <w:rFonts w:ascii="Arial" w:hAnsi="Arial" w:cs="Arial"/>
          <w:b/>
          <w:bCs/>
        </w:rPr>
      </w:pPr>
      <w:r>
        <w:rPr>
          <w:rFonts w:ascii="Arial" w:hAnsi="Arial" w:cs="Arial"/>
          <w:b/>
          <w:bCs/>
        </w:rPr>
        <w:t>1. INTRODUCTION</w:t>
      </w:r>
    </w:p>
    <w:p w14:paraId="12E36962" w14:textId="77777777" w:rsidR="00171786" w:rsidRDefault="00000000" w:rsidP="00171786">
      <w:pPr>
        <w:spacing w:line="360" w:lineRule="auto"/>
        <w:jc w:val="both"/>
        <w:rPr>
          <w:rFonts w:ascii="Arial" w:hAnsi="Arial" w:cs="Arial"/>
          <w:sz w:val="20"/>
          <w:szCs w:val="20"/>
        </w:rPr>
      </w:pPr>
      <w:r w:rsidRPr="002F264D">
        <w:rPr>
          <w:rFonts w:ascii="Arial" w:hAnsi="Arial" w:cs="Arial"/>
          <w:sz w:val="20"/>
          <w:szCs w:val="20"/>
        </w:rPr>
        <w:t xml:space="preserve">The small tea grower (STG) segment has become an indispensable pillar of Assam’s tea economy, contributing over 50% of the state’s total tea production (Tea Board of India, 2023). Characterized by landholdings </w:t>
      </w:r>
      <w:r w:rsidR="00171786">
        <w:rPr>
          <w:rFonts w:ascii="Arial" w:hAnsi="Arial" w:cs="Arial"/>
          <w:sz w:val="20"/>
          <w:szCs w:val="20"/>
        </w:rPr>
        <w:t xml:space="preserve">which are less </w:t>
      </w:r>
      <w:r w:rsidRPr="002F264D">
        <w:rPr>
          <w:rFonts w:ascii="Arial" w:hAnsi="Arial" w:cs="Arial"/>
          <w:sz w:val="20"/>
          <w:szCs w:val="20"/>
        </w:rPr>
        <w:t>than 10</w:t>
      </w:r>
      <w:r w:rsidR="00171786">
        <w:rPr>
          <w:rFonts w:ascii="Arial" w:hAnsi="Arial" w:cs="Arial"/>
          <w:sz w:val="20"/>
          <w:szCs w:val="20"/>
        </w:rPr>
        <w:t>.12</w:t>
      </w:r>
      <w:r w:rsidRPr="002F264D">
        <w:rPr>
          <w:rFonts w:ascii="Arial" w:hAnsi="Arial" w:cs="Arial"/>
          <w:sz w:val="20"/>
          <w:szCs w:val="20"/>
        </w:rPr>
        <w:t xml:space="preserve"> hectares, STGs have proliferated across the region, particularly in districts</w:t>
      </w:r>
      <w:r w:rsidR="00171786">
        <w:rPr>
          <w:rFonts w:ascii="Arial" w:hAnsi="Arial" w:cs="Arial"/>
          <w:sz w:val="20"/>
          <w:szCs w:val="20"/>
        </w:rPr>
        <w:t xml:space="preserve"> of </w:t>
      </w:r>
      <w:r w:rsidRPr="002F264D">
        <w:rPr>
          <w:rFonts w:ascii="Arial" w:hAnsi="Arial" w:cs="Arial"/>
          <w:sz w:val="20"/>
          <w:szCs w:val="20"/>
        </w:rPr>
        <w:t xml:space="preserve">Tinsukia, Dibrugarh, </w:t>
      </w:r>
      <w:r w:rsidR="00171786">
        <w:rPr>
          <w:rFonts w:ascii="Arial" w:hAnsi="Arial" w:cs="Arial"/>
          <w:sz w:val="20"/>
          <w:szCs w:val="20"/>
        </w:rPr>
        <w:t>Jorhat and</w:t>
      </w:r>
      <w:r w:rsidRPr="002F264D">
        <w:rPr>
          <w:rFonts w:ascii="Arial" w:hAnsi="Arial" w:cs="Arial"/>
          <w:sz w:val="20"/>
          <w:szCs w:val="20"/>
        </w:rPr>
        <w:t xml:space="preserve"> </w:t>
      </w:r>
      <w:proofErr w:type="spellStart"/>
      <w:r w:rsidRPr="002F264D">
        <w:rPr>
          <w:rFonts w:ascii="Arial" w:hAnsi="Arial" w:cs="Arial"/>
          <w:sz w:val="20"/>
          <w:szCs w:val="20"/>
        </w:rPr>
        <w:t>Golaghat</w:t>
      </w:r>
      <w:proofErr w:type="spellEnd"/>
      <w:r w:rsidRPr="002F264D">
        <w:rPr>
          <w:rFonts w:ascii="Arial" w:hAnsi="Arial" w:cs="Arial"/>
          <w:sz w:val="20"/>
          <w:szCs w:val="20"/>
        </w:rPr>
        <w:t>. Despite their growing numerical and economic significance, these growers continue to face systemic barriers that hinder their integration into formal value chains and reduce their</w:t>
      </w:r>
      <w:r w:rsidR="002F264D" w:rsidRPr="002F264D">
        <w:rPr>
          <w:rFonts w:ascii="Arial" w:hAnsi="Arial" w:cs="Arial"/>
          <w:sz w:val="20"/>
          <w:szCs w:val="20"/>
        </w:rPr>
        <w:t xml:space="preserve"> </w:t>
      </w:r>
      <w:r w:rsidRPr="002F264D">
        <w:rPr>
          <w:rFonts w:ascii="Arial" w:hAnsi="Arial" w:cs="Arial"/>
          <w:sz w:val="20"/>
          <w:szCs w:val="20"/>
        </w:rPr>
        <w:t>competitiveness (Baruah, 2021).</w:t>
      </w:r>
      <w:r w:rsidR="002F264D" w:rsidRPr="002F264D">
        <w:rPr>
          <w:rFonts w:ascii="Arial" w:hAnsi="Arial" w:cs="Arial"/>
          <w:sz w:val="20"/>
          <w:szCs w:val="20"/>
        </w:rPr>
        <w:t xml:space="preserve"> </w:t>
      </w:r>
    </w:p>
    <w:p w14:paraId="5CF00AFC" w14:textId="535F8BDB" w:rsidR="009422F1" w:rsidRDefault="00000000" w:rsidP="00171786">
      <w:pPr>
        <w:spacing w:line="360" w:lineRule="auto"/>
        <w:jc w:val="both"/>
        <w:rPr>
          <w:rFonts w:ascii="Arial" w:hAnsi="Arial" w:cs="Arial"/>
          <w:sz w:val="20"/>
          <w:szCs w:val="20"/>
        </w:rPr>
      </w:pPr>
      <w:r w:rsidRPr="002F264D">
        <w:rPr>
          <w:rFonts w:ascii="Arial" w:hAnsi="Arial" w:cs="Arial"/>
          <w:sz w:val="20"/>
          <w:szCs w:val="20"/>
        </w:rPr>
        <w:t>Marketing inefficiencies form one of the</w:t>
      </w:r>
      <w:r w:rsidR="00171786">
        <w:rPr>
          <w:rFonts w:ascii="Arial" w:hAnsi="Arial" w:cs="Arial"/>
          <w:sz w:val="20"/>
          <w:szCs w:val="20"/>
        </w:rPr>
        <w:t xml:space="preserve"> </w:t>
      </w:r>
      <w:r w:rsidRPr="002F264D">
        <w:rPr>
          <w:rFonts w:ascii="Arial" w:hAnsi="Arial" w:cs="Arial"/>
          <w:sz w:val="20"/>
          <w:szCs w:val="20"/>
        </w:rPr>
        <w:t xml:space="preserve">pressing challenges </w:t>
      </w:r>
      <w:r w:rsidR="00171786">
        <w:rPr>
          <w:rFonts w:ascii="Arial" w:hAnsi="Arial" w:cs="Arial"/>
          <w:sz w:val="20"/>
          <w:szCs w:val="20"/>
        </w:rPr>
        <w:t xml:space="preserve">faced by the </w:t>
      </w:r>
      <w:r w:rsidRPr="002F264D">
        <w:rPr>
          <w:rFonts w:ascii="Arial" w:hAnsi="Arial" w:cs="Arial"/>
          <w:sz w:val="20"/>
          <w:szCs w:val="20"/>
        </w:rPr>
        <w:t>STGs. A majority of them rely on intermediaries or bought-leaf factories to sell their produce, often at prices below market value, due to the absence of direct market access, organized cooperatives, and pricing transparency (Saikia &amp; Dutta, 2020). Furthermore, weak infrastructure, poor bargaining power, and limited access to institutional support mechanisms exacerbate their marketing</w:t>
      </w:r>
      <w:r w:rsidR="00171786">
        <w:rPr>
          <w:rFonts w:ascii="Arial" w:hAnsi="Arial" w:cs="Arial"/>
          <w:sz w:val="20"/>
          <w:szCs w:val="20"/>
        </w:rPr>
        <w:t xml:space="preserve"> </w:t>
      </w:r>
      <w:r w:rsidRPr="002F264D">
        <w:rPr>
          <w:rFonts w:ascii="Arial" w:hAnsi="Arial" w:cs="Arial"/>
          <w:sz w:val="20"/>
          <w:szCs w:val="20"/>
        </w:rPr>
        <w:t>vulnerabilities</w:t>
      </w:r>
      <w:r w:rsidR="00171786">
        <w:rPr>
          <w:rFonts w:ascii="Arial" w:hAnsi="Arial" w:cs="Arial"/>
          <w:sz w:val="20"/>
          <w:szCs w:val="20"/>
        </w:rPr>
        <w:t xml:space="preserve"> </w:t>
      </w:r>
      <w:r w:rsidRPr="002F264D">
        <w:rPr>
          <w:rFonts w:ascii="Arial" w:hAnsi="Arial" w:cs="Arial"/>
          <w:sz w:val="20"/>
          <w:szCs w:val="20"/>
        </w:rPr>
        <w:t>(Borah,</w:t>
      </w:r>
      <w:r w:rsidR="00171786">
        <w:rPr>
          <w:rFonts w:ascii="Arial" w:hAnsi="Arial" w:cs="Arial"/>
          <w:sz w:val="20"/>
          <w:szCs w:val="20"/>
        </w:rPr>
        <w:t>2022).</w:t>
      </w:r>
      <w:r w:rsidRPr="002F264D">
        <w:rPr>
          <w:rFonts w:ascii="Arial" w:hAnsi="Arial" w:cs="Arial"/>
          <w:sz w:val="20"/>
          <w:szCs w:val="20"/>
        </w:rPr>
        <w:br/>
        <w:t>In terms of production, STGs struggle with</w:t>
      </w:r>
      <w:r w:rsidR="00171786">
        <w:rPr>
          <w:rFonts w:ascii="Arial" w:hAnsi="Arial" w:cs="Arial"/>
          <w:sz w:val="20"/>
          <w:szCs w:val="20"/>
        </w:rPr>
        <w:t xml:space="preserve"> erratic weather conditions</w:t>
      </w:r>
      <w:r w:rsidRPr="002F264D">
        <w:rPr>
          <w:rFonts w:ascii="Arial" w:hAnsi="Arial" w:cs="Arial"/>
          <w:sz w:val="20"/>
          <w:szCs w:val="20"/>
        </w:rPr>
        <w:t>, lack of training,</w:t>
      </w:r>
      <w:r w:rsidR="00171786">
        <w:rPr>
          <w:rFonts w:ascii="Arial" w:hAnsi="Arial" w:cs="Arial"/>
          <w:sz w:val="20"/>
          <w:szCs w:val="20"/>
        </w:rPr>
        <w:t xml:space="preserve"> high output price fluctuations</w:t>
      </w:r>
      <w:r w:rsidRPr="002F264D">
        <w:rPr>
          <w:rFonts w:ascii="Arial" w:hAnsi="Arial" w:cs="Arial"/>
          <w:sz w:val="20"/>
          <w:szCs w:val="20"/>
        </w:rPr>
        <w:t xml:space="preserve"> and limited access to credit and agricultural inputs. These challenges not only reduce yield but also affect the quality of green leaf, which in turn impacts market price (Gogoi </w:t>
      </w:r>
      <w:r w:rsidRPr="00171786">
        <w:rPr>
          <w:rFonts w:ascii="Arial" w:hAnsi="Arial" w:cs="Arial"/>
          <w:i/>
          <w:iCs/>
          <w:sz w:val="20"/>
          <w:szCs w:val="20"/>
        </w:rPr>
        <w:t>et al.,</w:t>
      </w:r>
      <w:r w:rsidRPr="002F264D">
        <w:rPr>
          <w:rFonts w:ascii="Arial" w:hAnsi="Arial" w:cs="Arial"/>
          <w:sz w:val="20"/>
          <w:szCs w:val="20"/>
        </w:rPr>
        <w:t xml:space="preserve"> 2021). Moreover, the absence of sustainable farming practices, coupled with increasing climate-related stressors, raises concerns about the long-term viability of small tea farming</w:t>
      </w:r>
      <w:r w:rsidR="00171786">
        <w:rPr>
          <w:rFonts w:ascii="Arial" w:hAnsi="Arial" w:cs="Arial"/>
          <w:sz w:val="20"/>
          <w:szCs w:val="20"/>
        </w:rPr>
        <w:t xml:space="preserve"> </w:t>
      </w:r>
      <w:r w:rsidRPr="002F264D">
        <w:rPr>
          <w:rFonts w:ascii="Arial" w:hAnsi="Arial" w:cs="Arial"/>
          <w:sz w:val="20"/>
          <w:szCs w:val="20"/>
        </w:rPr>
        <w:t>(Das,</w:t>
      </w:r>
      <w:r w:rsidR="00171786">
        <w:rPr>
          <w:rFonts w:ascii="Arial" w:hAnsi="Arial" w:cs="Arial"/>
          <w:sz w:val="20"/>
          <w:szCs w:val="20"/>
        </w:rPr>
        <w:t xml:space="preserve"> </w:t>
      </w:r>
      <w:r w:rsidRPr="002F264D">
        <w:rPr>
          <w:rFonts w:ascii="Arial" w:hAnsi="Arial" w:cs="Arial"/>
          <w:sz w:val="20"/>
          <w:szCs w:val="20"/>
        </w:rPr>
        <w:t>2023).</w:t>
      </w:r>
      <w:r w:rsidRPr="002F264D">
        <w:rPr>
          <w:rFonts w:ascii="Arial" w:hAnsi="Arial" w:cs="Arial"/>
          <w:sz w:val="20"/>
          <w:szCs w:val="20"/>
        </w:rPr>
        <w:br/>
        <w:t>Given these multifaceted challenges, this study aims to investigate the structure and effectiveness of existing marketing channels for small tea growers in Assam while identifying key production and marketing problems. The findings are expected to inform policy interventions and support frameworks aimed at improving market access, strengthening grower cooperatives, and promoting sustainable cultivation among STGs.</w:t>
      </w:r>
    </w:p>
    <w:p w14:paraId="76877EEC" w14:textId="33C6A424" w:rsidR="00171786" w:rsidRDefault="0040302E" w:rsidP="00171786">
      <w:pPr>
        <w:pStyle w:val="ListParagraph"/>
        <w:numPr>
          <w:ilvl w:val="1"/>
          <w:numId w:val="11"/>
        </w:numPr>
        <w:spacing w:line="360" w:lineRule="auto"/>
        <w:jc w:val="both"/>
        <w:rPr>
          <w:rFonts w:ascii="Arial" w:hAnsi="Arial" w:cs="Arial"/>
          <w:b/>
          <w:bCs/>
          <w:sz w:val="20"/>
          <w:szCs w:val="20"/>
        </w:rPr>
      </w:pPr>
      <w:r>
        <w:rPr>
          <w:rFonts w:ascii="Arial" w:hAnsi="Arial" w:cs="Arial"/>
          <w:b/>
          <w:bCs/>
          <w:sz w:val="20"/>
          <w:szCs w:val="20"/>
        </w:rPr>
        <w:t>OBJECTIVES</w:t>
      </w:r>
    </w:p>
    <w:p w14:paraId="01F7FCD6" w14:textId="48E0662D" w:rsidR="00171786" w:rsidRPr="0040302E" w:rsidRDefault="00171786" w:rsidP="0040302E">
      <w:pPr>
        <w:pStyle w:val="ListParagraph"/>
        <w:numPr>
          <w:ilvl w:val="0"/>
          <w:numId w:val="14"/>
        </w:num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color w:val="0D0D0D"/>
          <w:sz w:val="20"/>
          <w:szCs w:val="20"/>
        </w:rPr>
        <w:t>To identify and understand the</w:t>
      </w:r>
      <w:r w:rsidR="0040302E">
        <w:rPr>
          <w:rFonts w:ascii="Arial" w:hAnsi="Arial" w:cs="Arial"/>
          <w:color w:val="000000" w:themeColor="text1"/>
          <w:sz w:val="20"/>
          <w:szCs w:val="20"/>
        </w:rPr>
        <w:t xml:space="preserve"> existing</w:t>
      </w:r>
      <w:r w:rsidR="0040302E">
        <w:rPr>
          <w:rFonts w:ascii="Arial" w:hAnsi="Arial" w:cs="Arial"/>
          <w:color w:val="0D0D0D"/>
          <w:sz w:val="20"/>
          <w:szCs w:val="20"/>
        </w:rPr>
        <w:t xml:space="preserve"> </w:t>
      </w:r>
      <w:r w:rsidRPr="0040302E">
        <w:rPr>
          <w:rFonts w:ascii="Arial" w:hAnsi="Arial" w:cs="Arial"/>
          <w:color w:val="0D0D0D"/>
          <w:sz w:val="20"/>
          <w:szCs w:val="20"/>
        </w:rPr>
        <w:t>marketing</w:t>
      </w:r>
      <w:r w:rsidR="0040302E">
        <w:rPr>
          <w:rFonts w:ascii="Arial" w:hAnsi="Arial" w:cs="Arial"/>
          <w:color w:val="FFFFFF" w:themeColor="background1"/>
          <w:sz w:val="20"/>
          <w:szCs w:val="20"/>
        </w:rPr>
        <w:t xml:space="preserve"> </w:t>
      </w:r>
      <w:r w:rsidRPr="0040302E">
        <w:rPr>
          <w:rFonts w:ascii="Arial" w:hAnsi="Arial" w:cs="Arial"/>
          <w:color w:val="0D0D0D"/>
          <w:sz w:val="20"/>
          <w:szCs w:val="20"/>
        </w:rPr>
        <w:t>channels and marketing efficiency of small tea growers.</w:t>
      </w:r>
    </w:p>
    <w:p w14:paraId="59D58B8F" w14:textId="49FCE9C4" w:rsidR="005C1D99" w:rsidRDefault="00171786" w:rsidP="005C1D99">
      <w:pPr>
        <w:pStyle w:val="ListParagraph"/>
        <w:numPr>
          <w:ilvl w:val="0"/>
          <w:numId w:val="14"/>
        </w:num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color w:val="0D0D0D"/>
          <w:sz w:val="20"/>
          <w:szCs w:val="20"/>
        </w:rPr>
        <w:t>To discover the</w:t>
      </w:r>
      <w:r w:rsidR="0040302E">
        <w:rPr>
          <w:rFonts w:ascii="Arial" w:hAnsi="Arial" w:cs="Arial"/>
          <w:color w:val="FFFFFF" w:themeColor="background1"/>
          <w:sz w:val="20"/>
          <w:szCs w:val="20"/>
        </w:rPr>
        <w:t xml:space="preserve"> </w:t>
      </w:r>
      <w:r w:rsidRPr="0040302E">
        <w:rPr>
          <w:rFonts w:ascii="Arial" w:hAnsi="Arial" w:cs="Arial"/>
          <w:color w:val="0D0D0D"/>
          <w:sz w:val="20"/>
          <w:szCs w:val="20"/>
        </w:rPr>
        <w:t>constraints</w:t>
      </w:r>
      <w:r w:rsidR="0040302E">
        <w:rPr>
          <w:rFonts w:ascii="Arial" w:hAnsi="Arial" w:cs="Arial"/>
          <w:color w:val="FFFFFF" w:themeColor="background1"/>
          <w:sz w:val="20"/>
          <w:szCs w:val="20"/>
        </w:rPr>
        <w:t xml:space="preserve"> </w:t>
      </w:r>
      <w:r w:rsidRPr="0040302E">
        <w:rPr>
          <w:rFonts w:ascii="Arial" w:hAnsi="Arial" w:cs="Arial"/>
          <w:color w:val="0D0D0D"/>
          <w:sz w:val="20"/>
          <w:szCs w:val="20"/>
        </w:rPr>
        <w:t>faced by small tea growers</w:t>
      </w:r>
      <w:r w:rsidR="007A4E1E">
        <w:rPr>
          <w:rFonts w:ascii="Arial" w:hAnsi="Arial" w:cs="Arial"/>
          <w:color w:val="0D0D0D"/>
          <w:sz w:val="20"/>
          <w:szCs w:val="20"/>
        </w:rPr>
        <w:t xml:space="preserve"> in</w:t>
      </w:r>
      <w:r w:rsidR="0040302E">
        <w:rPr>
          <w:rFonts w:ascii="Arial" w:hAnsi="Arial" w:cs="Arial"/>
          <w:color w:val="0D0D0D"/>
          <w:sz w:val="20"/>
          <w:szCs w:val="20"/>
        </w:rPr>
        <w:t xml:space="preserve"> </w:t>
      </w:r>
      <w:r w:rsidRPr="0040302E">
        <w:rPr>
          <w:rFonts w:ascii="Arial" w:hAnsi="Arial" w:cs="Arial"/>
          <w:color w:val="0D0D0D"/>
          <w:sz w:val="20"/>
          <w:szCs w:val="20"/>
        </w:rPr>
        <w:t>production and marketing of green leaf.</w:t>
      </w:r>
    </w:p>
    <w:p w14:paraId="6439A041" w14:textId="77777777" w:rsidR="005C1D99" w:rsidRDefault="005C1D99" w:rsidP="005C1D99">
      <w:pPr>
        <w:autoSpaceDE w:val="0"/>
        <w:autoSpaceDN w:val="0"/>
        <w:adjustRightInd w:val="0"/>
        <w:spacing w:after="0" w:line="360" w:lineRule="auto"/>
        <w:ind w:left="360"/>
        <w:jc w:val="both"/>
        <w:rPr>
          <w:rFonts w:ascii="Arial" w:hAnsi="Arial" w:cs="Arial"/>
          <w:color w:val="0D0D0D"/>
          <w:sz w:val="20"/>
          <w:szCs w:val="20"/>
        </w:rPr>
      </w:pPr>
    </w:p>
    <w:p w14:paraId="6AEABA2B" w14:textId="77777777" w:rsidR="005C1D99" w:rsidRPr="005C1D99" w:rsidRDefault="005C1D99" w:rsidP="005C1D99">
      <w:pPr>
        <w:autoSpaceDE w:val="0"/>
        <w:autoSpaceDN w:val="0"/>
        <w:adjustRightInd w:val="0"/>
        <w:spacing w:after="0" w:line="360" w:lineRule="auto"/>
        <w:ind w:left="360"/>
        <w:jc w:val="both"/>
        <w:rPr>
          <w:rFonts w:ascii="Arial" w:hAnsi="Arial" w:cs="Arial"/>
          <w:color w:val="0D0D0D"/>
          <w:sz w:val="20"/>
          <w:szCs w:val="20"/>
        </w:rPr>
      </w:pPr>
    </w:p>
    <w:p w14:paraId="4C6C860C" w14:textId="603AFD48" w:rsidR="0040302E" w:rsidRDefault="0040302E" w:rsidP="0040302E">
      <w:pPr>
        <w:pStyle w:val="ListParagraph"/>
        <w:numPr>
          <w:ilvl w:val="1"/>
          <w:numId w:val="11"/>
        </w:num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 xml:space="preserve"> LITERATURE REVIEW</w:t>
      </w:r>
    </w:p>
    <w:p w14:paraId="31C5B545" w14:textId="67AB85EE"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color w:val="0D0D0D"/>
          <w:sz w:val="20"/>
          <w:szCs w:val="20"/>
        </w:rPr>
        <w:lastRenderedPageBreak/>
        <w:t xml:space="preserve">In a study by </w:t>
      </w:r>
      <w:r w:rsidRPr="0040302E">
        <w:rPr>
          <w:rFonts w:ascii="Arial" w:hAnsi="Arial" w:cs="Arial"/>
          <w:b/>
          <w:bCs/>
          <w:color w:val="0D0D0D"/>
          <w:sz w:val="20"/>
          <w:szCs w:val="20"/>
        </w:rPr>
        <w:t>Karmakar and Banerjee</w:t>
      </w:r>
      <w:r w:rsidRPr="0040302E">
        <w:rPr>
          <w:rFonts w:ascii="Arial" w:hAnsi="Arial" w:cs="Arial"/>
          <w:color w:val="0D0D0D"/>
          <w:sz w:val="20"/>
          <w:szCs w:val="20"/>
        </w:rPr>
        <w:t xml:space="preserve"> </w:t>
      </w:r>
      <w:r w:rsidRPr="0040302E">
        <w:rPr>
          <w:rFonts w:ascii="Arial" w:hAnsi="Arial" w:cs="Arial"/>
          <w:b/>
          <w:bCs/>
          <w:color w:val="0D0D0D"/>
          <w:sz w:val="20"/>
          <w:szCs w:val="20"/>
        </w:rPr>
        <w:t xml:space="preserve">(2005), </w:t>
      </w:r>
      <w:r w:rsidRPr="0040302E">
        <w:rPr>
          <w:rFonts w:ascii="Arial" w:hAnsi="Arial" w:cs="Arial"/>
          <w:color w:val="0D0D0D"/>
          <w:sz w:val="20"/>
          <w:szCs w:val="20"/>
        </w:rPr>
        <w:t>it was noted smaller tea farmers typically sold the green leaves to larger tea estates nearby or to the factories that purchase leaves. The price of green tea leaves ranged from Rs. 6. 70 to Rs. 9. 35, influenced by their quality. It was noted that almost all the growers faced difficulties in procurement of essential inputs like fertilizers, herbicides and pesticides as a result of poor transportation facilities or irregular availability in the retail market. All the growers were seen to maintain 15-20 days plucking rounds.  Green tea leaves were mostly sold to factories owned by large growers either by direct sale or through middleman. The overall price realized by the small growers was Rs 5.11, which was very low as compared to other regions.</w:t>
      </w:r>
    </w:p>
    <w:p w14:paraId="7834FE0D" w14:textId="77777777"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 xml:space="preserve">Sharma </w:t>
      </w:r>
      <w:r w:rsidRPr="0040302E">
        <w:rPr>
          <w:rFonts w:ascii="Arial" w:hAnsi="Arial" w:cs="Arial"/>
          <w:b/>
          <w:bCs/>
          <w:i/>
          <w:iCs/>
          <w:color w:val="0D0D0D"/>
          <w:sz w:val="20"/>
          <w:szCs w:val="20"/>
        </w:rPr>
        <w:t xml:space="preserve">et al. </w:t>
      </w:r>
      <w:r w:rsidRPr="0040302E">
        <w:rPr>
          <w:rFonts w:ascii="Arial" w:hAnsi="Arial" w:cs="Arial"/>
          <w:b/>
          <w:bCs/>
          <w:color w:val="0D0D0D"/>
          <w:sz w:val="20"/>
          <w:szCs w:val="20"/>
        </w:rPr>
        <w:t>(2007)</w:t>
      </w:r>
      <w:r w:rsidRPr="0040302E">
        <w:rPr>
          <w:rFonts w:ascii="Arial" w:hAnsi="Arial" w:cs="Arial"/>
          <w:color w:val="0D0D0D"/>
          <w:sz w:val="20"/>
          <w:szCs w:val="20"/>
        </w:rPr>
        <w:t xml:space="preserve"> in their research discovered that access to markets varied among different types of households. These households can encounter differing transaction costs for participating in the market, along with risks related to pricing and contracts, as well as differences in financial and human resources. The decision about which marketing channel a producer will select at any given time relies on several factors.</w:t>
      </w:r>
    </w:p>
    <w:p w14:paraId="5D18045E" w14:textId="093A3139"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 xml:space="preserve">Baruah (2008) </w:t>
      </w:r>
      <w:r w:rsidRPr="0040302E">
        <w:rPr>
          <w:rFonts w:ascii="Arial" w:hAnsi="Arial" w:cs="Arial"/>
          <w:color w:val="0D0D0D"/>
          <w:sz w:val="20"/>
          <w:szCs w:val="20"/>
        </w:rPr>
        <w:t>through his study underlined the absence of marketing infrastructure as a key bottleneck for small growers. Baruah highlighted the role of middlemen and brokers, which reduces the grower’s share in the final price. He recommends cooperative marketing as a solution.</w:t>
      </w:r>
    </w:p>
    <w:p w14:paraId="4A124E3A" w14:textId="77777777"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 xml:space="preserve">Baruah (2008) </w:t>
      </w:r>
      <w:r w:rsidRPr="0040302E">
        <w:rPr>
          <w:rFonts w:ascii="Arial" w:hAnsi="Arial" w:cs="Arial"/>
          <w:color w:val="0D0D0D"/>
          <w:sz w:val="20"/>
          <w:szCs w:val="20"/>
        </w:rPr>
        <w:t>highlighted that STGs often operate without formal recognition, credit access, or extension support. Problems such as unregulated leaf markets, limited training, and poor input quality are emphasized.</w:t>
      </w:r>
    </w:p>
    <w:p w14:paraId="6AF093F2" w14:textId="77777777"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Bhowmik (2011)</w:t>
      </w:r>
      <w:r w:rsidRPr="0040302E">
        <w:rPr>
          <w:rFonts w:ascii="Arial" w:hAnsi="Arial" w:cs="Arial"/>
          <w:color w:val="0D0D0D"/>
          <w:sz w:val="20"/>
          <w:szCs w:val="20"/>
        </w:rPr>
        <w:t xml:space="preserve"> provides one of the most detailed analyses of the marketing constraints faced by small</w:t>
      </w:r>
      <w:r w:rsidRPr="0040302E">
        <w:rPr>
          <w:rFonts w:ascii="Arial" w:hAnsi="Arial" w:cs="Arial"/>
          <w:color w:val="FFFFFF" w:themeColor="background1"/>
          <w:sz w:val="20"/>
          <w:szCs w:val="20"/>
        </w:rPr>
        <w:t>-</w:t>
      </w:r>
      <w:r w:rsidRPr="0040302E">
        <w:rPr>
          <w:rFonts w:ascii="Arial" w:hAnsi="Arial" w:cs="Arial"/>
          <w:color w:val="0D0D0D"/>
          <w:sz w:val="20"/>
          <w:szCs w:val="20"/>
        </w:rPr>
        <w:t>tea growers (STGs), especially in Assam and West Bengal. He noted that most STGs lack direct market access and sell to BLFs at non-remunerative prices, resulting in exploitation and income instability.</w:t>
      </w:r>
    </w:p>
    <w:p w14:paraId="6D86032F" w14:textId="77777777"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 xml:space="preserve">Saikia (2012) </w:t>
      </w:r>
      <w:r w:rsidRPr="0040302E">
        <w:rPr>
          <w:rFonts w:ascii="Arial" w:hAnsi="Arial" w:cs="Arial"/>
          <w:color w:val="0D0D0D"/>
          <w:sz w:val="20"/>
          <w:szCs w:val="20"/>
        </w:rPr>
        <w:t>identified multiple challenges including dependence on BLFs, lack of scientific knowledge, and unpredictable market demand. He argues that STGs face high risk due to price volatility and climate effects.</w:t>
      </w:r>
    </w:p>
    <w:p w14:paraId="061918CE" w14:textId="13FCE360"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Rai and Baruah (2013)</w:t>
      </w:r>
      <w:r w:rsidRPr="0040302E">
        <w:rPr>
          <w:rFonts w:ascii="Arial" w:hAnsi="Arial" w:cs="Arial"/>
          <w:color w:val="0D0D0D"/>
          <w:sz w:val="20"/>
          <w:szCs w:val="20"/>
        </w:rPr>
        <w:t xml:space="preserve"> pointed out that small tea farming faces several challenges. These include insufficient fertilizer application, limited knowledge about methods to protect plants, poor irrigation systems, unregulated prices for green leaves, expensive hired </w:t>
      </w:r>
      <w:proofErr w:type="spellStart"/>
      <w:r w:rsidRPr="0040302E">
        <w:rPr>
          <w:rFonts w:ascii="Arial" w:hAnsi="Arial" w:cs="Arial"/>
          <w:color w:val="0D0D0D"/>
          <w:sz w:val="20"/>
          <w:szCs w:val="20"/>
        </w:rPr>
        <w:t>labour</w:t>
      </w:r>
      <w:proofErr w:type="spellEnd"/>
      <w:r w:rsidRPr="0040302E">
        <w:rPr>
          <w:rFonts w:ascii="Arial" w:hAnsi="Arial" w:cs="Arial"/>
          <w:color w:val="0D0D0D"/>
          <w:sz w:val="20"/>
          <w:szCs w:val="20"/>
        </w:rPr>
        <w:t>, exploitation by large estates, and failure to get registered with Tea</w:t>
      </w:r>
      <w:r w:rsidRPr="0040302E">
        <w:rPr>
          <w:rFonts w:ascii="Arial" w:hAnsi="Arial" w:cs="Arial"/>
          <w:color w:val="FFFFFF" w:themeColor="background1"/>
          <w:sz w:val="20"/>
          <w:szCs w:val="20"/>
        </w:rPr>
        <w:t>-</w:t>
      </w:r>
      <w:r w:rsidRPr="0040302E">
        <w:rPr>
          <w:rFonts w:ascii="Arial" w:hAnsi="Arial" w:cs="Arial"/>
          <w:color w:val="0D0D0D"/>
          <w:sz w:val="20"/>
          <w:szCs w:val="20"/>
        </w:rPr>
        <w:t>Board</w:t>
      </w:r>
      <w:r w:rsidRPr="0040302E">
        <w:rPr>
          <w:rFonts w:ascii="Arial" w:hAnsi="Arial" w:cs="Arial"/>
          <w:color w:val="FFFFFF" w:themeColor="background1"/>
          <w:sz w:val="20"/>
          <w:szCs w:val="20"/>
        </w:rPr>
        <w:t>-</w:t>
      </w:r>
      <w:r w:rsidRPr="0040302E">
        <w:rPr>
          <w:rFonts w:ascii="Arial" w:hAnsi="Arial" w:cs="Arial"/>
          <w:color w:val="0D0D0D"/>
          <w:sz w:val="20"/>
          <w:szCs w:val="20"/>
        </w:rPr>
        <w:t>of India.</w:t>
      </w:r>
    </w:p>
    <w:p w14:paraId="75441744" w14:textId="77777777" w:rsidR="0040302E" w:rsidRPr="0040302E" w:rsidRDefault="0040302E" w:rsidP="0040302E">
      <w:pPr>
        <w:autoSpaceDE w:val="0"/>
        <w:autoSpaceDN w:val="0"/>
        <w:adjustRightInd w:val="0"/>
        <w:spacing w:after="0" w:line="360" w:lineRule="auto"/>
        <w:jc w:val="both"/>
        <w:rPr>
          <w:rFonts w:ascii="Arial" w:hAnsi="Arial" w:cs="Arial"/>
          <w:b/>
          <w:bCs/>
          <w:color w:val="0D0D0D"/>
          <w:sz w:val="20"/>
          <w:szCs w:val="20"/>
        </w:rPr>
      </w:pPr>
      <w:r w:rsidRPr="0040302E">
        <w:rPr>
          <w:rFonts w:ascii="Arial" w:hAnsi="Arial" w:cs="Arial"/>
          <w:b/>
          <w:bCs/>
          <w:color w:val="0D0D0D"/>
          <w:sz w:val="20"/>
          <w:szCs w:val="20"/>
        </w:rPr>
        <w:t xml:space="preserve">Sarkar and Bhowmik (2015) </w:t>
      </w:r>
      <w:r w:rsidRPr="0040302E">
        <w:rPr>
          <w:rFonts w:ascii="Arial" w:hAnsi="Arial" w:cs="Arial"/>
          <w:color w:val="0D0D0D"/>
          <w:sz w:val="20"/>
          <w:szCs w:val="20"/>
        </w:rPr>
        <w:t>in their study, the authors explore market linkages and show that STGs are often locked into informal contracts with BLFs, which restricts their ability to bargain or explore alternate channels.</w:t>
      </w:r>
    </w:p>
    <w:p w14:paraId="503D8E3A" w14:textId="77777777"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 xml:space="preserve">Chakraborty and Das (2019) </w:t>
      </w:r>
      <w:r w:rsidRPr="0040302E">
        <w:rPr>
          <w:rFonts w:ascii="Arial" w:hAnsi="Arial" w:cs="Arial"/>
          <w:color w:val="0D0D0D"/>
          <w:sz w:val="20"/>
          <w:szCs w:val="20"/>
        </w:rPr>
        <w:t xml:space="preserve">in their research study evaluates marketing channels available to small </w:t>
      </w:r>
      <w:r w:rsidRPr="0040302E">
        <w:rPr>
          <w:rFonts w:ascii="Arial" w:hAnsi="Arial" w:cs="Arial"/>
          <w:color w:val="FFFFFF" w:themeColor="background1"/>
          <w:sz w:val="20"/>
          <w:szCs w:val="20"/>
        </w:rPr>
        <w:t>=</w:t>
      </w:r>
      <w:r w:rsidRPr="0040302E">
        <w:rPr>
          <w:rFonts w:ascii="Arial" w:hAnsi="Arial" w:cs="Arial"/>
          <w:color w:val="0D0D0D"/>
          <w:sz w:val="20"/>
          <w:szCs w:val="20"/>
        </w:rPr>
        <w:t xml:space="preserve">tea growers in Assam. It emphasizes that absence of auction access for green leaves </w:t>
      </w:r>
      <w:r w:rsidRPr="0040302E">
        <w:rPr>
          <w:rFonts w:ascii="Arial" w:hAnsi="Arial" w:cs="Arial"/>
          <w:color w:val="0D0D0D"/>
          <w:sz w:val="20"/>
          <w:szCs w:val="20"/>
        </w:rPr>
        <w:lastRenderedPageBreak/>
        <w:t>leads to price disparity and inefficiencies. It proposes mobile-based digital platforms for real-time pricing.</w:t>
      </w:r>
    </w:p>
    <w:p w14:paraId="59620DAF" w14:textId="07175CA0"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color w:val="0D0D0D"/>
          <w:sz w:val="20"/>
          <w:szCs w:val="20"/>
        </w:rPr>
        <w:t xml:space="preserve">A research study by </w:t>
      </w:r>
      <w:r w:rsidRPr="0040302E">
        <w:rPr>
          <w:rFonts w:ascii="Arial" w:hAnsi="Arial" w:cs="Arial"/>
          <w:b/>
          <w:bCs/>
          <w:color w:val="0D0D0D"/>
          <w:sz w:val="20"/>
          <w:szCs w:val="20"/>
        </w:rPr>
        <w:t xml:space="preserve">Borah </w:t>
      </w:r>
      <w:r w:rsidRPr="0040302E">
        <w:rPr>
          <w:rFonts w:ascii="Arial" w:hAnsi="Arial" w:cs="Arial"/>
          <w:b/>
          <w:bCs/>
          <w:i/>
          <w:iCs/>
          <w:color w:val="0D0D0D"/>
          <w:sz w:val="20"/>
          <w:szCs w:val="20"/>
        </w:rPr>
        <w:t xml:space="preserve">et. al </w:t>
      </w:r>
      <w:r w:rsidRPr="0040302E">
        <w:rPr>
          <w:rFonts w:ascii="Arial" w:hAnsi="Arial" w:cs="Arial"/>
          <w:b/>
          <w:bCs/>
          <w:color w:val="0D0D0D"/>
          <w:sz w:val="20"/>
          <w:szCs w:val="20"/>
        </w:rPr>
        <w:t xml:space="preserve">(2019) </w:t>
      </w:r>
      <w:r w:rsidRPr="0040302E">
        <w:rPr>
          <w:rFonts w:ascii="Arial" w:hAnsi="Arial" w:cs="Arial"/>
          <w:color w:val="0D0D0D"/>
          <w:sz w:val="20"/>
          <w:szCs w:val="20"/>
        </w:rPr>
        <w:t>in Assam, India found that small</w:t>
      </w:r>
      <w:r>
        <w:rPr>
          <w:rFonts w:ascii="Arial" w:hAnsi="Arial" w:cs="Arial"/>
          <w:color w:val="FFFFFF" w:themeColor="background1"/>
          <w:sz w:val="20"/>
          <w:szCs w:val="20"/>
        </w:rPr>
        <w:t xml:space="preserve"> </w:t>
      </w:r>
      <w:r w:rsidRPr="0040302E">
        <w:rPr>
          <w:rFonts w:ascii="Arial" w:hAnsi="Arial" w:cs="Arial"/>
          <w:color w:val="0D0D0D"/>
          <w:sz w:val="20"/>
          <w:szCs w:val="20"/>
        </w:rPr>
        <w:t>tea growers face price</w:t>
      </w:r>
      <w:r w:rsidRPr="0040302E">
        <w:rPr>
          <w:rFonts w:ascii="Arial" w:hAnsi="Arial" w:cs="Arial"/>
          <w:color w:val="FFFFFF" w:themeColor="background1"/>
          <w:sz w:val="20"/>
          <w:szCs w:val="20"/>
        </w:rPr>
        <w:t>-</w:t>
      </w:r>
      <w:r w:rsidRPr="0040302E">
        <w:rPr>
          <w:rFonts w:ascii="Arial" w:hAnsi="Arial" w:cs="Arial"/>
          <w:color w:val="0D0D0D"/>
          <w:sz w:val="20"/>
          <w:szCs w:val="20"/>
        </w:rPr>
        <w:t>volatility because of their dependence on intermediaries and the absence of a standard price-regulation mechanism. The study highlighted the need for direct market access and price transparency through use of digital platforms.</w:t>
      </w:r>
    </w:p>
    <w:p w14:paraId="0FBE5351" w14:textId="77777777" w:rsid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 xml:space="preserve">Mazumdar (2021) </w:t>
      </w:r>
      <w:r w:rsidRPr="0040302E">
        <w:rPr>
          <w:rFonts w:ascii="Arial" w:hAnsi="Arial" w:cs="Arial"/>
          <w:color w:val="0D0D0D"/>
          <w:sz w:val="20"/>
          <w:szCs w:val="20"/>
        </w:rPr>
        <w:t>in a more recent study, explores how digital marketplaces and e-commerce platforms can revolutionize the green leaf marketing process, but notes infrastructural and literacy barriers.</w:t>
      </w:r>
    </w:p>
    <w:p w14:paraId="5EDE0811" w14:textId="614FE1E3" w:rsidR="007A4E1E" w:rsidRDefault="007A4E1E" w:rsidP="007A4E1E">
      <w:pPr>
        <w:pStyle w:val="ListParagraph"/>
        <w:numPr>
          <w:ilvl w:val="0"/>
          <w:numId w:val="11"/>
        </w:numPr>
        <w:autoSpaceDE w:val="0"/>
        <w:autoSpaceDN w:val="0"/>
        <w:adjustRightInd w:val="0"/>
        <w:spacing w:after="0" w:line="360" w:lineRule="auto"/>
        <w:jc w:val="both"/>
        <w:rPr>
          <w:rFonts w:ascii="Arial" w:hAnsi="Arial" w:cs="Arial"/>
          <w:b/>
          <w:bCs/>
          <w:color w:val="0D0D0D"/>
        </w:rPr>
      </w:pPr>
      <w:r>
        <w:rPr>
          <w:rFonts w:ascii="Arial" w:hAnsi="Arial" w:cs="Arial"/>
          <w:b/>
          <w:bCs/>
          <w:color w:val="0D0D0D"/>
        </w:rPr>
        <w:t>METHODOLOGY</w:t>
      </w:r>
    </w:p>
    <w:p w14:paraId="5008CAB6" w14:textId="77777777" w:rsidR="007A4E1E" w:rsidRDefault="007A4E1E" w:rsidP="007A4E1E">
      <w:pPr>
        <w:pStyle w:val="ListParagraph"/>
        <w:numPr>
          <w:ilvl w:val="1"/>
          <w:numId w:val="11"/>
        </w:numPr>
        <w:autoSpaceDE w:val="0"/>
        <w:autoSpaceDN w:val="0"/>
        <w:adjustRightInd w:val="0"/>
        <w:spacing w:after="0" w:line="360" w:lineRule="auto"/>
        <w:jc w:val="both"/>
        <w:rPr>
          <w:rFonts w:ascii="Arial" w:hAnsi="Arial" w:cs="Arial"/>
          <w:b/>
          <w:bCs/>
          <w:color w:val="0D0D0D"/>
          <w:sz w:val="20"/>
          <w:szCs w:val="20"/>
        </w:rPr>
      </w:pPr>
      <w:r w:rsidRPr="007A4E1E">
        <w:rPr>
          <w:rFonts w:ascii="Arial" w:hAnsi="Arial" w:cs="Arial"/>
          <w:b/>
          <w:bCs/>
          <w:color w:val="0D0D0D"/>
          <w:sz w:val="20"/>
          <w:szCs w:val="20"/>
        </w:rPr>
        <w:t>Sampling Procedure</w:t>
      </w:r>
    </w:p>
    <w:p w14:paraId="367ADBE0"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sidRPr="007A4E1E">
        <w:rPr>
          <w:rFonts w:ascii="Arial" w:eastAsia="Times New Roman" w:hAnsi="Arial" w:cs="Arial"/>
          <w:sz w:val="20"/>
          <w:szCs w:val="20"/>
          <w:lang w:val="en-IN" w:eastAsia="en-IN"/>
        </w:rPr>
        <w:t>The present study adopted a multistage random sampling approach. In Assam, small-scale tea cultivation is predominantly concentrated in the Upper Brahmaputra Valley and the North Bank Plains. Notably, the Upper Brahmaputra Valley accounts for approximately 97% of the state's total small tea production. Hence, this region was chosen in the first stage of sampling, as it represents Assam’s primary tea-producing zone with the highest density of tea plantations.</w:t>
      </w:r>
    </w:p>
    <w:p w14:paraId="7BDC74A0" w14:textId="05390776" w:rsidR="007A4E1E" w:rsidRDefault="007A4E1E" w:rsidP="007A4E1E">
      <w:pPr>
        <w:autoSpaceDE w:val="0"/>
        <w:autoSpaceDN w:val="0"/>
        <w:adjustRightInd w:val="0"/>
        <w:spacing w:after="0" w:line="360" w:lineRule="auto"/>
        <w:jc w:val="both"/>
        <w:rPr>
          <w:rFonts w:ascii="Arial" w:eastAsia="Times New Roman" w:hAnsi="Arial" w:cs="Arial"/>
          <w:sz w:val="20"/>
          <w:szCs w:val="20"/>
          <w:lang w:val="en-IN" w:eastAsia="en-IN"/>
        </w:rPr>
      </w:pPr>
      <w:r w:rsidRPr="007A4E1E">
        <w:rPr>
          <w:rFonts w:ascii="Arial" w:eastAsia="Times New Roman" w:hAnsi="Arial" w:cs="Arial"/>
          <w:sz w:val="20"/>
          <w:szCs w:val="20"/>
          <w:lang w:val="en-IN" w:eastAsia="en-IN"/>
        </w:rPr>
        <w:t xml:space="preserve">In the second stage, two districts with the largest populations of small tea growers were purposively selected. Moving to the third stage, two blocks each from Tinsukia and Dibrugarh districts were </w:t>
      </w:r>
      <w:r>
        <w:rPr>
          <w:rFonts w:ascii="Arial" w:eastAsia="Times New Roman" w:hAnsi="Arial" w:cs="Arial"/>
          <w:sz w:val="20"/>
          <w:szCs w:val="20"/>
          <w:lang w:val="en-IN" w:eastAsia="en-IN"/>
        </w:rPr>
        <w:t>purposively</w:t>
      </w:r>
      <w:r w:rsidRPr="007A4E1E">
        <w:rPr>
          <w:rFonts w:ascii="Arial" w:eastAsia="Times New Roman" w:hAnsi="Arial" w:cs="Arial"/>
          <w:sz w:val="20"/>
          <w:szCs w:val="20"/>
          <w:lang w:val="en-IN" w:eastAsia="en-IN"/>
        </w:rPr>
        <w:t xml:space="preserve"> chosen to facilitate the study. Finally, in the fourth stage, small tea growers from the selected blocks in both districts were randomly sampled, forming the ultimate units for data collection.</w:t>
      </w:r>
    </w:p>
    <w:p w14:paraId="1738E96B"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sidRPr="00D20F15">
        <w:rPr>
          <w:rFonts w:ascii="Arial" w:hAnsi="Arial" w:cs="Arial"/>
          <w:b/>
          <w:bCs/>
          <w:color w:val="0D0D0D"/>
          <w:sz w:val="20"/>
          <w:szCs w:val="20"/>
        </w:rPr>
        <w:t xml:space="preserve">2.2. </w:t>
      </w:r>
      <w:r>
        <w:rPr>
          <w:rFonts w:ascii="Arial" w:hAnsi="Arial" w:cs="Arial"/>
          <w:b/>
          <w:bCs/>
          <w:color w:val="0D0D0D"/>
          <w:sz w:val="20"/>
          <w:szCs w:val="20"/>
        </w:rPr>
        <w:t>Selection of blocks</w:t>
      </w:r>
    </w:p>
    <w:p w14:paraId="1AA65A87" w14:textId="77777777" w:rsidR="007A4E1E" w:rsidRPr="007A4E1E" w:rsidRDefault="007A4E1E" w:rsidP="007A4E1E">
      <w:pPr>
        <w:autoSpaceDE w:val="0"/>
        <w:autoSpaceDN w:val="0"/>
        <w:adjustRightInd w:val="0"/>
        <w:spacing w:after="0" w:line="360" w:lineRule="auto"/>
        <w:jc w:val="both"/>
        <w:rPr>
          <w:rFonts w:ascii="Arial" w:hAnsi="Arial" w:cs="Arial"/>
          <w:color w:val="0D0D0D"/>
          <w:sz w:val="20"/>
          <w:szCs w:val="20"/>
          <w:lang w:val="en-IN"/>
        </w:rPr>
      </w:pPr>
      <w:r w:rsidRPr="007A4E1E">
        <w:rPr>
          <w:rFonts w:ascii="Arial" w:hAnsi="Arial" w:cs="Arial"/>
          <w:color w:val="0D0D0D"/>
          <w:sz w:val="20"/>
          <w:szCs w:val="20"/>
          <w:lang w:val="en-IN"/>
        </w:rPr>
        <w:t xml:space="preserve">Tinsukia district is divided into seven development blocks: </w:t>
      </w:r>
      <w:proofErr w:type="spellStart"/>
      <w:r w:rsidRPr="007A4E1E">
        <w:rPr>
          <w:rFonts w:ascii="Arial" w:hAnsi="Arial" w:cs="Arial"/>
          <w:color w:val="0D0D0D"/>
          <w:sz w:val="20"/>
          <w:szCs w:val="20"/>
          <w:lang w:val="en-IN"/>
        </w:rPr>
        <w:t>Guijan</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Hapjan</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Itakhuli</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Kakopathar</w:t>
      </w:r>
      <w:proofErr w:type="spellEnd"/>
      <w:r w:rsidRPr="007A4E1E">
        <w:rPr>
          <w:rFonts w:ascii="Arial" w:hAnsi="Arial" w:cs="Arial"/>
          <w:color w:val="0D0D0D"/>
          <w:sz w:val="20"/>
          <w:szCs w:val="20"/>
          <w:lang w:val="en-IN"/>
        </w:rPr>
        <w:t xml:space="preserve">, Margherita, Sadiya, and </w:t>
      </w:r>
      <w:proofErr w:type="spellStart"/>
      <w:r w:rsidRPr="007A4E1E">
        <w:rPr>
          <w:rFonts w:ascii="Arial" w:hAnsi="Arial" w:cs="Arial"/>
          <w:color w:val="0D0D0D"/>
          <w:sz w:val="20"/>
          <w:szCs w:val="20"/>
          <w:lang w:val="en-IN"/>
        </w:rPr>
        <w:t>Saikhowa</w:t>
      </w:r>
      <w:proofErr w:type="spellEnd"/>
      <w:r w:rsidRPr="007A4E1E">
        <w:rPr>
          <w:rFonts w:ascii="Arial" w:hAnsi="Arial" w:cs="Arial"/>
          <w:color w:val="0D0D0D"/>
          <w:sz w:val="20"/>
          <w:szCs w:val="20"/>
          <w:lang w:val="en-IN"/>
        </w:rPr>
        <w:t xml:space="preserve">. Among these, </w:t>
      </w:r>
      <w:proofErr w:type="spellStart"/>
      <w:r w:rsidRPr="007A4E1E">
        <w:rPr>
          <w:rFonts w:ascii="Arial" w:hAnsi="Arial" w:cs="Arial"/>
          <w:color w:val="0D0D0D"/>
          <w:sz w:val="20"/>
          <w:szCs w:val="20"/>
          <w:lang w:val="en-IN"/>
        </w:rPr>
        <w:t>Guijan</w:t>
      </w:r>
      <w:proofErr w:type="spellEnd"/>
      <w:r w:rsidRPr="007A4E1E">
        <w:rPr>
          <w:rFonts w:ascii="Arial" w:hAnsi="Arial" w:cs="Arial"/>
          <w:color w:val="0D0D0D"/>
          <w:sz w:val="20"/>
          <w:szCs w:val="20"/>
          <w:lang w:val="en-IN"/>
        </w:rPr>
        <w:t xml:space="preserve"> and </w:t>
      </w:r>
      <w:proofErr w:type="spellStart"/>
      <w:r w:rsidRPr="007A4E1E">
        <w:rPr>
          <w:rFonts w:ascii="Arial" w:hAnsi="Arial" w:cs="Arial"/>
          <w:color w:val="0D0D0D"/>
          <w:sz w:val="20"/>
          <w:szCs w:val="20"/>
          <w:lang w:val="en-IN"/>
        </w:rPr>
        <w:t>Itakhuli</w:t>
      </w:r>
      <w:proofErr w:type="spellEnd"/>
      <w:r w:rsidRPr="007A4E1E">
        <w:rPr>
          <w:rFonts w:ascii="Arial" w:hAnsi="Arial" w:cs="Arial"/>
          <w:color w:val="0D0D0D"/>
          <w:sz w:val="20"/>
          <w:szCs w:val="20"/>
          <w:lang w:val="en-IN"/>
        </w:rPr>
        <w:t xml:space="preserve"> blocks were purposively selected for the study due to their notably high concentration of small tea growers.</w:t>
      </w:r>
    </w:p>
    <w:p w14:paraId="7AEBBFFC" w14:textId="0CA2498D" w:rsidR="007A4E1E" w:rsidRDefault="007A4E1E" w:rsidP="007A4E1E">
      <w:pPr>
        <w:autoSpaceDE w:val="0"/>
        <w:autoSpaceDN w:val="0"/>
        <w:adjustRightInd w:val="0"/>
        <w:spacing w:after="0" w:line="360" w:lineRule="auto"/>
        <w:jc w:val="both"/>
        <w:rPr>
          <w:rFonts w:ascii="Arial" w:hAnsi="Arial" w:cs="Arial"/>
          <w:color w:val="0D0D0D"/>
          <w:sz w:val="20"/>
          <w:szCs w:val="20"/>
          <w:lang w:val="en-IN"/>
        </w:rPr>
      </w:pPr>
      <w:r w:rsidRPr="007A4E1E">
        <w:rPr>
          <w:rFonts w:ascii="Arial" w:hAnsi="Arial" w:cs="Arial"/>
          <w:color w:val="0D0D0D"/>
          <w:sz w:val="20"/>
          <w:szCs w:val="20"/>
          <w:lang w:val="en-IN"/>
        </w:rPr>
        <w:t xml:space="preserve">Similarly, Dibrugarh district comprises seven blocks, namely </w:t>
      </w:r>
      <w:proofErr w:type="spellStart"/>
      <w:r w:rsidRPr="007A4E1E">
        <w:rPr>
          <w:rFonts w:ascii="Arial" w:hAnsi="Arial" w:cs="Arial"/>
          <w:color w:val="0D0D0D"/>
          <w:sz w:val="20"/>
          <w:szCs w:val="20"/>
          <w:lang w:val="en-IN"/>
        </w:rPr>
        <w:t>Barbaruah</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Joypur</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Khowang</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Lahoal</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Panitola</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Tengakhat</w:t>
      </w:r>
      <w:proofErr w:type="spellEnd"/>
      <w:r w:rsidRPr="007A4E1E">
        <w:rPr>
          <w:rFonts w:ascii="Arial" w:hAnsi="Arial" w:cs="Arial"/>
          <w:color w:val="0D0D0D"/>
          <w:sz w:val="20"/>
          <w:szCs w:val="20"/>
          <w:lang w:val="en-IN"/>
        </w:rPr>
        <w:t xml:space="preserve">, and </w:t>
      </w:r>
      <w:proofErr w:type="spellStart"/>
      <w:r w:rsidRPr="007A4E1E">
        <w:rPr>
          <w:rFonts w:ascii="Arial" w:hAnsi="Arial" w:cs="Arial"/>
          <w:color w:val="0D0D0D"/>
          <w:sz w:val="20"/>
          <w:szCs w:val="20"/>
          <w:lang w:val="en-IN"/>
        </w:rPr>
        <w:t>Tingkhong</w:t>
      </w:r>
      <w:proofErr w:type="spellEnd"/>
      <w:r w:rsidRPr="007A4E1E">
        <w:rPr>
          <w:rFonts w:ascii="Arial" w:hAnsi="Arial" w:cs="Arial"/>
          <w:color w:val="0D0D0D"/>
          <w:sz w:val="20"/>
          <w:szCs w:val="20"/>
          <w:lang w:val="en-IN"/>
        </w:rPr>
        <w:t xml:space="preserve">. For the purpose of this research, </w:t>
      </w:r>
      <w:proofErr w:type="spellStart"/>
      <w:r w:rsidRPr="007A4E1E">
        <w:rPr>
          <w:rFonts w:ascii="Arial" w:hAnsi="Arial" w:cs="Arial"/>
          <w:color w:val="0D0D0D"/>
          <w:sz w:val="20"/>
          <w:szCs w:val="20"/>
          <w:lang w:val="en-IN"/>
        </w:rPr>
        <w:t>Panitola</w:t>
      </w:r>
      <w:proofErr w:type="spellEnd"/>
      <w:r w:rsidRPr="007A4E1E">
        <w:rPr>
          <w:rFonts w:ascii="Arial" w:hAnsi="Arial" w:cs="Arial"/>
          <w:color w:val="0D0D0D"/>
          <w:sz w:val="20"/>
          <w:szCs w:val="20"/>
          <w:lang w:val="en-IN"/>
        </w:rPr>
        <w:t xml:space="preserve"> and </w:t>
      </w:r>
      <w:proofErr w:type="spellStart"/>
      <w:r w:rsidRPr="007A4E1E">
        <w:rPr>
          <w:rFonts w:ascii="Arial" w:hAnsi="Arial" w:cs="Arial"/>
          <w:color w:val="0D0D0D"/>
          <w:sz w:val="20"/>
          <w:szCs w:val="20"/>
          <w:lang w:val="en-IN"/>
        </w:rPr>
        <w:t>Lahoal</w:t>
      </w:r>
      <w:proofErr w:type="spellEnd"/>
      <w:r w:rsidRPr="007A4E1E">
        <w:rPr>
          <w:rFonts w:ascii="Arial" w:hAnsi="Arial" w:cs="Arial"/>
          <w:color w:val="0D0D0D"/>
          <w:sz w:val="20"/>
          <w:szCs w:val="20"/>
          <w:lang w:val="en-IN"/>
        </w:rPr>
        <w:t xml:space="preserve"> blocks were chosen</w:t>
      </w:r>
      <w:r>
        <w:rPr>
          <w:rFonts w:ascii="Arial" w:hAnsi="Arial" w:cs="Arial"/>
          <w:color w:val="0D0D0D"/>
          <w:sz w:val="20"/>
          <w:szCs w:val="20"/>
          <w:lang w:val="en-IN"/>
        </w:rPr>
        <w:t xml:space="preserve"> purposively</w:t>
      </w:r>
      <w:r w:rsidRPr="007A4E1E">
        <w:rPr>
          <w:rFonts w:ascii="Arial" w:hAnsi="Arial" w:cs="Arial"/>
          <w:color w:val="0D0D0D"/>
          <w:sz w:val="20"/>
          <w:szCs w:val="20"/>
          <w:lang w:val="en-IN"/>
        </w:rPr>
        <w:t>, as they also host a significant number of small-tea cultivators.</w:t>
      </w:r>
    </w:p>
    <w:p w14:paraId="27A3145C" w14:textId="58FEC894" w:rsidR="007A4E1E" w:rsidRPr="007A4E1E" w:rsidRDefault="007A4E1E" w:rsidP="007A4E1E">
      <w:pPr>
        <w:pStyle w:val="ListParagraph"/>
        <w:numPr>
          <w:ilvl w:val="1"/>
          <w:numId w:val="11"/>
        </w:numPr>
        <w:autoSpaceDE w:val="0"/>
        <w:autoSpaceDN w:val="0"/>
        <w:adjustRightInd w:val="0"/>
        <w:spacing w:after="0" w:line="360" w:lineRule="auto"/>
        <w:jc w:val="both"/>
        <w:rPr>
          <w:rFonts w:ascii="Arial" w:hAnsi="Arial" w:cs="Arial"/>
          <w:b/>
          <w:bCs/>
          <w:color w:val="0D0D0D"/>
          <w:sz w:val="20"/>
          <w:szCs w:val="20"/>
        </w:rPr>
      </w:pPr>
      <w:r w:rsidRPr="007A4E1E">
        <w:rPr>
          <w:rFonts w:ascii="Arial" w:hAnsi="Arial" w:cs="Arial"/>
          <w:b/>
          <w:bCs/>
          <w:color w:val="0D0D0D"/>
          <w:sz w:val="20"/>
          <w:szCs w:val="20"/>
        </w:rPr>
        <w:t>Selection of respondents</w:t>
      </w:r>
    </w:p>
    <w:p w14:paraId="60773A27" w14:textId="668511BA" w:rsidR="007A4E1E" w:rsidRPr="007A4E1E" w:rsidRDefault="007A4E1E" w:rsidP="007A4E1E">
      <w:pPr>
        <w:autoSpaceDE w:val="0"/>
        <w:autoSpaceDN w:val="0"/>
        <w:adjustRightInd w:val="0"/>
        <w:spacing w:after="0" w:line="360" w:lineRule="auto"/>
        <w:jc w:val="both"/>
        <w:rPr>
          <w:rFonts w:ascii="Arial" w:hAnsi="Arial" w:cs="Arial"/>
          <w:color w:val="0D0D0D"/>
          <w:sz w:val="20"/>
          <w:szCs w:val="20"/>
        </w:rPr>
      </w:pPr>
      <w:r w:rsidRPr="007A4E1E">
        <w:rPr>
          <w:rFonts w:ascii="Arial" w:hAnsi="Arial" w:cs="Arial"/>
          <w:color w:val="0D0D0D"/>
          <w:sz w:val="20"/>
          <w:szCs w:val="20"/>
        </w:rPr>
        <w:t>From the selected blocks in both districts, small tea growers were randomly chosen, forming the final sampling units for the study. These growers were then categorized into three distinct groups based on the size of their tea plantation holdings.</w:t>
      </w:r>
    </w:p>
    <w:p w14:paraId="578E54FA" w14:textId="77777777" w:rsidR="007A4E1E" w:rsidRPr="00D20F15" w:rsidRDefault="007A4E1E" w:rsidP="007A4E1E">
      <w:pPr>
        <w:numPr>
          <w:ilvl w:val="0"/>
          <w:numId w:val="15"/>
        </w:num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t>Marginal-small growers: 0-2.5 hectares</w:t>
      </w:r>
    </w:p>
    <w:p w14:paraId="0A5EEB4B" w14:textId="77777777" w:rsidR="007A4E1E" w:rsidRPr="00D20F15" w:rsidRDefault="007A4E1E" w:rsidP="007A4E1E">
      <w:pPr>
        <w:numPr>
          <w:ilvl w:val="0"/>
          <w:numId w:val="15"/>
        </w:num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t>Small-scale growers:</w:t>
      </w:r>
      <w:r>
        <w:rPr>
          <w:rFonts w:ascii="Arial" w:hAnsi="Arial" w:cs="Arial"/>
          <w:color w:val="0D0D0D"/>
          <w:sz w:val="20"/>
          <w:szCs w:val="20"/>
        </w:rPr>
        <w:t xml:space="preserve"> </w:t>
      </w:r>
      <w:r w:rsidRPr="00D20F15">
        <w:rPr>
          <w:rFonts w:ascii="Arial" w:hAnsi="Arial" w:cs="Arial"/>
          <w:color w:val="0D0D0D"/>
          <w:sz w:val="20"/>
          <w:szCs w:val="20"/>
        </w:rPr>
        <w:t>2.5-5.00 hectares</w:t>
      </w:r>
    </w:p>
    <w:p w14:paraId="76754202" w14:textId="77777777" w:rsidR="007A4E1E" w:rsidRPr="00D20F15" w:rsidRDefault="007A4E1E" w:rsidP="007A4E1E">
      <w:pPr>
        <w:numPr>
          <w:ilvl w:val="0"/>
          <w:numId w:val="15"/>
        </w:num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t xml:space="preserve">Medium small growers: 5.0 hectares and above. </w:t>
      </w:r>
    </w:p>
    <w:p w14:paraId="0B72358D" w14:textId="77777777"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lastRenderedPageBreak/>
        <w:t xml:space="preserve">The sample size of small tea growers from </w:t>
      </w:r>
      <w:proofErr w:type="spellStart"/>
      <w:r w:rsidRPr="00D20F15">
        <w:rPr>
          <w:rFonts w:ascii="Arial" w:hAnsi="Arial" w:cs="Arial"/>
          <w:color w:val="0D0D0D"/>
          <w:sz w:val="20"/>
          <w:szCs w:val="20"/>
        </w:rPr>
        <w:t>Guijan</w:t>
      </w:r>
      <w:proofErr w:type="spellEnd"/>
      <w:r w:rsidRPr="00D20F15">
        <w:rPr>
          <w:rFonts w:ascii="Arial" w:hAnsi="Arial" w:cs="Arial"/>
          <w:color w:val="0D0D0D"/>
          <w:sz w:val="20"/>
          <w:szCs w:val="20"/>
        </w:rPr>
        <w:t xml:space="preserve"> and </w:t>
      </w:r>
      <w:proofErr w:type="spellStart"/>
      <w:r w:rsidRPr="00D20F15">
        <w:rPr>
          <w:rFonts w:ascii="Arial" w:hAnsi="Arial" w:cs="Arial"/>
          <w:color w:val="0D0D0D"/>
          <w:sz w:val="20"/>
          <w:szCs w:val="20"/>
        </w:rPr>
        <w:t>Itakhuli</w:t>
      </w:r>
      <w:proofErr w:type="spellEnd"/>
      <w:r w:rsidRPr="00D20F15">
        <w:rPr>
          <w:rFonts w:ascii="Arial" w:hAnsi="Arial" w:cs="Arial"/>
          <w:color w:val="0D0D0D"/>
          <w:sz w:val="20"/>
          <w:szCs w:val="20"/>
        </w:rPr>
        <w:t xml:space="preserve"> blocks of Tinsukia district was 92. Consequently, 105 small-tea growers were selected from </w:t>
      </w:r>
      <w:proofErr w:type="spellStart"/>
      <w:r w:rsidRPr="00D20F15">
        <w:rPr>
          <w:rFonts w:ascii="Arial" w:hAnsi="Arial" w:cs="Arial"/>
          <w:color w:val="0D0D0D"/>
          <w:sz w:val="20"/>
          <w:szCs w:val="20"/>
        </w:rPr>
        <w:t>Panitola</w:t>
      </w:r>
      <w:proofErr w:type="spellEnd"/>
      <w:r w:rsidRPr="00D20F15">
        <w:rPr>
          <w:rFonts w:ascii="Arial" w:hAnsi="Arial" w:cs="Arial"/>
          <w:color w:val="0D0D0D"/>
          <w:sz w:val="20"/>
          <w:szCs w:val="20"/>
        </w:rPr>
        <w:t xml:space="preserve"> and </w:t>
      </w:r>
      <w:proofErr w:type="spellStart"/>
      <w:r w:rsidRPr="00D20F15">
        <w:rPr>
          <w:rFonts w:ascii="Arial" w:hAnsi="Arial" w:cs="Arial"/>
          <w:color w:val="0D0D0D"/>
          <w:sz w:val="20"/>
          <w:szCs w:val="20"/>
        </w:rPr>
        <w:t>Lahoal</w:t>
      </w:r>
      <w:proofErr w:type="spellEnd"/>
      <w:r w:rsidRPr="00D20F15">
        <w:rPr>
          <w:rFonts w:ascii="Arial" w:hAnsi="Arial" w:cs="Arial"/>
          <w:color w:val="0D0D0D"/>
          <w:sz w:val="20"/>
          <w:szCs w:val="20"/>
        </w:rPr>
        <w:t xml:space="preserve"> blocks of Dibrugarh district randomly. The sample size was constituted of 197 respondents.</w:t>
      </w:r>
    </w:p>
    <w:p w14:paraId="05C53146"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2.4. Data collection</w:t>
      </w:r>
    </w:p>
    <w:p w14:paraId="79000851" w14:textId="50FB2174"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The data was gathered through use of primary and secondary sources.</w:t>
      </w:r>
      <w:r>
        <w:rPr>
          <w:rFonts w:ascii="Arial" w:hAnsi="Arial" w:cs="Arial"/>
          <w:color w:val="0D0D0D"/>
          <w:sz w:val="20"/>
          <w:szCs w:val="20"/>
        </w:rPr>
        <w:t xml:space="preserve"> </w:t>
      </w:r>
      <w:r w:rsidRPr="00BF6EAA">
        <w:rPr>
          <w:rFonts w:ascii="Arial" w:hAnsi="Arial" w:cs="Arial"/>
          <w:color w:val="0D0D0D"/>
          <w:sz w:val="20"/>
          <w:szCs w:val="20"/>
        </w:rPr>
        <w:t>The</w:t>
      </w:r>
      <w:r>
        <w:rPr>
          <w:rFonts w:ascii="Arial" w:hAnsi="Arial" w:cs="Arial"/>
          <w:color w:val="0D0D0D"/>
          <w:sz w:val="20"/>
          <w:szCs w:val="20"/>
        </w:rPr>
        <w:t xml:space="preserve"> </w:t>
      </w:r>
      <w:r w:rsidRPr="00BF6EAA">
        <w:rPr>
          <w:rFonts w:ascii="Arial" w:hAnsi="Arial" w:cs="Arial"/>
          <w:color w:val="0D0D0D"/>
          <w:sz w:val="20"/>
          <w:szCs w:val="20"/>
        </w:rPr>
        <w:t>primary</w:t>
      </w:r>
      <w:r>
        <w:rPr>
          <w:rFonts w:ascii="Arial" w:hAnsi="Arial" w:cs="Arial"/>
          <w:color w:val="0D0D0D"/>
          <w:sz w:val="20"/>
          <w:szCs w:val="20"/>
        </w:rPr>
        <w:t xml:space="preserve"> </w:t>
      </w:r>
      <w:r w:rsidRPr="00BF6EAA">
        <w:rPr>
          <w:rFonts w:ascii="Arial" w:hAnsi="Arial" w:cs="Arial"/>
          <w:color w:val="0D0D0D"/>
          <w:sz w:val="20"/>
          <w:szCs w:val="20"/>
        </w:rPr>
        <w:t>data from</w:t>
      </w:r>
      <w:r>
        <w:rPr>
          <w:rFonts w:ascii="Arial" w:hAnsi="Arial" w:cs="Arial"/>
          <w:color w:val="0D0D0D"/>
          <w:sz w:val="20"/>
          <w:szCs w:val="20"/>
        </w:rPr>
        <w:t xml:space="preserve"> </w:t>
      </w:r>
      <w:r w:rsidRPr="00BF6EAA">
        <w:rPr>
          <w:rFonts w:ascii="Arial" w:hAnsi="Arial" w:cs="Arial"/>
          <w:color w:val="0D0D0D"/>
          <w:sz w:val="20"/>
          <w:szCs w:val="20"/>
        </w:rPr>
        <w:t>the</w:t>
      </w:r>
      <w:r>
        <w:rPr>
          <w:rFonts w:ascii="Arial" w:hAnsi="Arial" w:cs="Arial"/>
          <w:color w:val="0D0D0D"/>
          <w:sz w:val="20"/>
          <w:szCs w:val="20"/>
        </w:rPr>
        <w:t xml:space="preserve"> </w:t>
      </w:r>
      <w:r w:rsidRPr="00BF6EAA">
        <w:rPr>
          <w:rFonts w:ascii="Arial" w:hAnsi="Arial" w:cs="Arial"/>
          <w:color w:val="0D0D0D"/>
          <w:sz w:val="20"/>
          <w:szCs w:val="20"/>
        </w:rPr>
        <w:t>respondents w</w:t>
      </w:r>
      <w:r>
        <w:rPr>
          <w:rFonts w:ascii="Arial" w:hAnsi="Arial" w:cs="Arial"/>
          <w:color w:val="0D0D0D"/>
          <w:sz w:val="20"/>
          <w:szCs w:val="20"/>
        </w:rPr>
        <w:t>ere</w:t>
      </w:r>
      <w:r w:rsidRPr="00BF6EAA">
        <w:rPr>
          <w:rFonts w:ascii="Arial" w:hAnsi="Arial" w:cs="Arial"/>
          <w:color w:val="0D0D0D"/>
          <w:sz w:val="20"/>
          <w:szCs w:val="20"/>
        </w:rPr>
        <w:t xml:space="preserve"> collected using a personal</w:t>
      </w:r>
      <w:r>
        <w:rPr>
          <w:rFonts w:ascii="Arial" w:hAnsi="Arial" w:cs="Arial"/>
          <w:color w:val="0D0D0D"/>
          <w:sz w:val="20"/>
          <w:szCs w:val="20"/>
        </w:rPr>
        <w:t xml:space="preserve"> </w:t>
      </w:r>
      <w:r w:rsidRPr="00BF6EAA">
        <w:rPr>
          <w:rFonts w:ascii="Arial" w:hAnsi="Arial" w:cs="Arial"/>
          <w:color w:val="0D0D0D"/>
          <w:sz w:val="20"/>
          <w:szCs w:val="20"/>
        </w:rPr>
        <w:t>interview</w:t>
      </w:r>
      <w:r>
        <w:rPr>
          <w:rFonts w:ascii="Arial" w:hAnsi="Arial" w:cs="Arial"/>
          <w:color w:val="0D0D0D"/>
          <w:sz w:val="20"/>
          <w:szCs w:val="20"/>
        </w:rPr>
        <w:t xml:space="preserve"> </w:t>
      </w:r>
      <w:r w:rsidRPr="00BF6EAA">
        <w:rPr>
          <w:rFonts w:ascii="Arial" w:hAnsi="Arial" w:cs="Arial"/>
          <w:color w:val="0D0D0D"/>
          <w:sz w:val="20"/>
          <w:szCs w:val="20"/>
        </w:rPr>
        <w:t>method. The study utilized secondary data obtained from various publications and official reports of T</w:t>
      </w:r>
      <w:r>
        <w:rPr>
          <w:rFonts w:ascii="Arial" w:hAnsi="Arial" w:cs="Arial"/>
          <w:color w:val="0D0D0D"/>
          <w:sz w:val="20"/>
          <w:szCs w:val="20"/>
        </w:rPr>
        <w:t>ea</w:t>
      </w:r>
      <w:r w:rsidRPr="00BF6EAA">
        <w:rPr>
          <w:rFonts w:ascii="Arial" w:hAnsi="Arial" w:cs="Arial"/>
          <w:color w:val="0D0D0D"/>
          <w:sz w:val="20"/>
          <w:szCs w:val="20"/>
        </w:rPr>
        <w:t xml:space="preserve"> Board. of India, Indian Tea Association, publications of Industry and Commerce Department, Govt. of Assam; All Assam/Small Tea/Growers’ Association, Statistical Handbook, Assam (2023). Various other works such as Ph.D. Theses, Research Reports, Books, Journal Articles etc. were referred to for collecting relevant secondary information.</w:t>
      </w:r>
    </w:p>
    <w:p w14:paraId="114C0CFB"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2.5. Period of study</w:t>
      </w:r>
    </w:p>
    <w:p w14:paraId="4D301772" w14:textId="7F29BEE5"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The information pertaining to the present study was collected and gathered during the year 2023-</w:t>
      </w:r>
      <w:r>
        <w:rPr>
          <w:rFonts w:ascii="Arial" w:hAnsi="Arial" w:cs="Arial"/>
          <w:color w:val="0D0D0D"/>
          <w:sz w:val="20"/>
          <w:szCs w:val="20"/>
        </w:rPr>
        <w:t xml:space="preserve"> 24.</w:t>
      </w:r>
    </w:p>
    <w:p w14:paraId="636C6F38"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2.6. Analytical Framework</w:t>
      </w:r>
    </w:p>
    <w:p w14:paraId="51F3A3C4" w14:textId="77777777" w:rsidR="007A4E1E" w:rsidRPr="00BF6EAA" w:rsidRDefault="007A4E1E" w:rsidP="007A4E1E">
      <w:pPr>
        <w:pStyle w:val="ListParagraph"/>
        <w:numPr>
          <w:ilvl w:val="0"/>
          <w:numId w:val="16"/>
        </w:numPr>
        <w:autoSpaceDE w:val="0"/>
        <w:autoSpaceDN w:val="0"/>
        <w:adjustRightInd w:val="0"/>
        <w:spacing w:after="0" w:line="360" w:lineRule="auto"/>
        <w:jc w:val="both"/>
        <w:rPr>
          <w:rFonts w:ascii="Arial" w:hAnsi="Arial" w:cs="Arial"/>
          <w:b/>
          <w:bCs/>
          <w:color w:val="0D0D0D"/>
          <w:sz w:val="20"/>
          <w:szCs w:val="20"/>
        </w:rPr>
      </w:pPr>
      <w:r w:rsidRPr="00BF6EAA">
        <w:rPr>
          <w:rFonts w:ascii="Arial" w:hAnsi="Arial" w:cs="Arial"/>
          <w:b/>
          <w:bCs/>
          <w:color w:val="0D0D0D"/>
          <w:sz w:val="20"/>
          <w:szCs w:val="20"/>
        </w:rPr>
        <w:t>Tabular analysis</w:t>
      </w:r>
    </w:p>
    <w:p w14:paraId="0ADE69AD" w14:textId="1DD7690B" w:rsidR="007A4E1E" w:rsidRPr="00BF6EAA"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To provide information related to the objectives under study, the primary and secondar data gathered was presented in simple tabular form to analy</w:t>
      </w:r>
      <w:r>
        <w:rPr>
          <w:rFonts w:ascii="Arial" w:hAnsi="Arial" w:cs="Arial"/>
          <w:color w:val="0D0D0D"/>
          <w:sz w:val="20"/>
          <w:szCs w:val="20"/>
        </w:rPr>
        <w:t>z</w:t>
      </w:r>
      <w:r w:rsidRPr="00BF6EAA">
        <w:rPr>
          <w:rFonts w:ascii="Arial" w:hAnsi="Arial" w:cs="Arial"/>
          <w:color w:val="0D0D0D"/>
          <w:sz w:val="20"/>
          <w:szCs w:val="20"/>
        </w:rPr>
        <w:t>e and infer conclusions from it.</w:t>
      </w:r>
    </w:p>
    <w:p w14:paraId="1188D2AA" w14:textId="77777777" w:rsidR="007A4E1E" w:rsidRPr="00BF6EAA" w:rsidRDefault="007A4E1E" w:rsidP="007A4E1E">
      <w:pPr>
        <w:pStyle w:val="ListParagraph"/>
        <w:numPr>
          <w:ilvl w:val="0"/>
          <w:numId w:val="16"/>
        </w:numPr>
        <w:autoSpaceDE w:val="0"/>
        <w:autoSpaceDN w:val="0"/>
        <w:adjustRightInd w:val="0"/>
        <w:spacing w:after="0" w:line="360" w:lineRule="auto"/>
        <w:jc w:val="both"/>
        <w:rPr>
          <w:rFonts w:ascii="Arial" w:hAnsi="Arial" w:cs="Arial"/>
          <w:b/>
          <w:bCs/>
          <w:color w:val="0D0D0D"/>
          <w:sz w:val="20"/>
          <w:szCs w:val="20"/>
        </w:rPr>
      </w:pPr>
      <w:r w:rsidRPr="00BF6EAA">
        <w:rPr>
          <w:rFonts w:ascii="Arial" w:hAnsi="Arial" w:cs="Arial"/>
          <w:b/>
          <w:bCs/>
          <w:color w:val="0D0D0D"/>
          <w:sz w:val="20"/>
          <w:szCs w:val="20"/>
        </w:rPr>
        <w:t>Descriptive statistics</w:t>
      </w:r>
    </w:p>
    <w:p w14:paraId="49067BCE" w14:textId="77777777"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The collected information was summarized through descriptive statistical techniques like averages, means, and percentages to produce significant findings.</w:t>
      </w:r>
    </w:p>
    <w:p w14:paraId="7796FE36" w14:textId="1EF12FDC" w:rsidR="00517B39" w:rsidRPr="00517B39" w:rsidRDefault="00517B39" w:rsidP="00517B39">
      <w:pPr>
        <w:pStyle w:val="Pa10"/>
        <w:numPr>
          <w:ilvl w:val="0"/>
          <w:numId w:val="16"/>
        </w:numPr>
        <w:spacing w:before="220" w:line="360" w:lineRule="auto"/>
        <w:jc w:val="both"/>
        <w:rPr>
          <w:rFonts w:ascii="Arial" w:hAnsi="Arial" w:cs="Arial"/>
          <w:b/>
          <w:bCs/>
          <w:color w:val="000000"/>
          <w:sz w:val="20"/>
          <w:szCs w:val="20"/>
        </w:rPr>
      </w:pPr>
      <w:r w:rsidRPr="00517B39">
        <w:rPr>
          <w:rFonts w:ascii="Arial" w:hAnsi="Arial" w:cs="Arial"/>
          <w:b/>
          <w:bCs/>
          <w:color w:val="000000"/>
          <w:sz w:val="20"/>
          <w:szCs w:val="20"/>
        </w:rPr>
        <w:t xml:space="preserve">Marketing efficiency </w:t>
      </w:r>
    </w:p>
    <w:p w14:paraId="76A365AF" w14:textId="77777777" w:rsidR="00517B39" w:rsidRPr="00517B39" w:rsidRDefault="00517B39" w:rsidP="00517B39">
      <w:pPr>
        <w:pStyle w:val="Pa71"/>
        <w:spacing w:line="360" w:lineRule="auto"/>
        <w:jc w:val="both"/>
        <w:rPr>
          <w:rFonts w:ascii="Arial" w:hAnsi="Arial" w:cs="Arial"/>
          <w:sz w:val="20"/>
          <w:szCs w:val="20"/>
        </w:rPr>
      </w:pPr>
      <w:r w:rsidRPr="00517B39">
        <w:rPr>
          <w:rFonts w:ascii="Arial" w:hAnsi="Arial" w:cs="Arial"/>
          <w:sz w:val="20"/>
          <w:szCs w:val="20"/>
        </w:rPr>
        <w:t>The effectiveness of the various marketing channels was assessed by- Shepherd’s technique, and a successful marketing channel was identified using the Shepherd ratio.</w:t>
      </w:r>
    </w:p>
    <w:p w14:paraId="7580E561" w14:textId="77777777" w:rsidR="00517B39" w:rsidRPr="00517B39" w:rsidRDefault="00517B39" w:rsidP="00517B39">
      <w:pPr>
        <w:rPr>
          <w:rFonts w:ascii="Arial" w:hAnsi="Arial" w:cs="Arial"/>
          <w:sz w:val="20"/>
          <w:szCs w:val="20"/>
        </w:rPr>
      </w:pPr>
    </w:p>
    <w:p w14:paraId="6CECAF59" w14:textId="77777777" w:rsidR="00517B39" w:rsidRPr="00517B39" w:rsidRDefault="00517B39" w:rsidP="00517B39">
      <w:pPr>
        <w:pStyle w:val="Pa71"/>
        <w:spacing w:line="360" w:lineRule="auto"/>
        <w:ind w:left="567"/>
        <w:jc w:val="center"/>
        <w:rPr>
          <w:rFonts w:ascii="Arial" w:eastAsiaTheme="minorEastAsia" w:hAnsi="Arial" w:cs="Arial"/>
          <w:sz w:val="20"/>
          <w:szCs w:val="20"/>
        </w:rPr>
      </w:pPr>
      <w:r w:rsidRPr="00517B39">
        <w:rPr>
          <w:rFonts w:ascii="Arial" w:hAnsi="Arial" w:cs="Arial"/>
          <w:sz w:val="20"/>
          <w:szCs w:val="20"/>
        </w:rPr>
        <w:t xml:space="preserve">Shepherd ratio = </w:t>
      </w:r>
      <m:oMath>
        <m:f>
          <m:fPr>
            <m:ctrlPr>
              <w:rPr>
                <w:rFonts w:ascii="Cambria Math" w:hAnsi="Cambria Math" w:cs="Arial"/>
                <w:i/>
                <w:color w:val="000000"/>
                <w:sz w:val="20"/>
                <w:szCs w:val="20"/>
              </w:rPr>
            </m:ctrlPr>
          </m:fPr>
          <m:num>
            <m:r>
              <w:rPr>
                <w:rFonts w:ascii="Cambria Math" w:hAnsi="Cambria Math" w:cs="Arial"/>
                <w:sz w:val="20"/>
                <w:szCs w:val="20"/>
              </w:rPr>
              <m:t>price paid by consumer</m:t>
            </m:r>
          </m:num>
          <m:den>
            <m:r>
              <w:rPr>
                <w:rFonts w:ascii="Cambria Math" w:hAnsi="Cambria Math" w:cs="Arial"/>
                <w:sz w:val="20"/>
                <w:szCs w:val="20"/>
              </w:rPr>
              <m:t>total marketing cost</m:t>
            </m:r>
          </m:den>
        </m:f>
      </m:oMath>
      <w:r w:rsidRPr="00517B39">
        <w:rPr>
          <w:rFonts w:ascii="Arial" w:eastAsiaTheme="minorEastAsia" w:hAnsi="Arial" w:cs="Arial"/>
          <w:sz w:val="20"/>
          <w:szCs w:val="20"/>
        </w:rPr>
        <w:t xml:space="preserve"> – 1</w:t>
      </w:r>
    </w:p>
    <w:p w14:paraId="655DEFBF" w14:textId="3245C442" w:rsidR="00517B39" w:rsidRPr="00517B39" w:rsidRDefault="00517B39" w:rsidP="00517B39">
      <w:pPr>
        <w:autoSpaceDE w:val="0"/>
        <w:autoSpaceDN w:val="0"/>
        <w:adjustRightInd w:val="0"/>
        <w:spacing w:after="0" w:line="360" w:lineRule="auto"/>
        <w:jc w:val="both"/>
        <w:rPr>
          <w:rFonts w:ascii="Arial" w:hAnsi="Arial" w:cs="Arial"/>
          <w:color w:val="000000"/>
          <w:sz w:val="20"/>
          <w:szCs w:val="20"/>
        </w:rPr>
      </w:pPr>
      <w:r w:rsidRPr="00517B39">
        <w:rPr>
          <w:rFonts w:ascii="Arial" w:hAnsi="Arial" w:cs="Arial"/>
          <w:color w:val="000000"/>
          <w:sz w:val="20"/>
          <w:szCs w:val="20"/>
        </w:rPr>
        <w:t>The higher ratio, the greater would be the marketing efficiency and vice versa.</w:t>
      </w:r>
    </w:p>
    <w:p w14:paraId="6B02BF29" w14:textId="0971B1F5" w:rsidR="007A4E1E" w:rsidRDefault="007A4E1E" w:rsidP="007A4E1E">
      <w:pPr>
        <w:pStyle w:val="ListParagraph"/>
        <w:numPr>
          <w:ilvl w:val="0"/>
          <w:numId w:val="16"/>
        </w:num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Garrett Ranking technique</w:t>
      </w:r>
    </w:p>
    <w:p w14:paraId="4CF2F409"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For the analysis of the problems faced by the growers in production and the marketing of green leaf in Assam, Garrett’s ranking method was employed.</w:t>
      </w:r>
    </w:p>
    <w:p w14:paraId="1F88C92D"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 xml:space="preserve"> </w:t>
      </w:r>
    </w:p>
    <w:p w14:paraId="5D9A76E6"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m:oMathPara>
        <m:oMath>
          <m:r>
            <w:rPr>
              <w:rFonts w:ascii="Cambria Math" w:hAnsi="Cambria Math" w:cs="Arial"/>
              <w:color w:val="000000"/>
              <w:sz w:val="20"/>
              <w:szCs w:val="20"/>
            </w:rPr>
            <m:t xml:space="preserve">Percent position= </m:t>
          </m:r>
          <m:f>
            <m:fPr>
              <m:ctrlPr>
                <w:rPr>
                  <w:rFonts w:ascii="Cambria Math" w:hAnsi="Cambria Math" w:cs="Arial"/>
                  <w:i/>
                  <w:color w:val="000000"/>
                  <w:sz w:val="20"/>
                  <w:szCs w:val="20"/>
                </w:rPr>
              </m:ctrlPr>
            </m:fPr>
            <m:num>
              <m:r>
                <w:rPr>
                  <w:rFonts w:ascii="Cambria Math" w:hAnsi="Cambria Math" w:cs="Arial"/>
                  <w:color w:val="000000"/>
                  <w:sz w:val="20"/>
                  <w:szCs w:val="20"/>
                </w:rPr>
                <m:t>100 (Rij-0.5)</m:t>
              </m:r>
            </m:num>
            <m:den>
              <m:r>
                <w:rPr>
                  <w:rFonts w:ascii="Cambria Math" w:hAnsi="Cambria Math" w:cs="Arial"/>
                  <w:color w:val="000000"/>
                  <w:sz w:val="20"/>
                  <w:szCs w:val="20"/>
                </w:rPr>
                <m:t>Nj</m:t>
              </m:r>
            </m:den>
          </m:f>
        </m:oMath>
      </m:oMathPara>
    </w:p>
    <w:p w14:paraId="09D02E33"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w:p>
    <w:p w14:paraId="12890970" w14:textId="77777777" w:rsidR="007A4E1E" w:rsidRPr="007A4E1E" w:rsidRDefault="007A4E1E" w:rsidP="007A4E1E">
      <w:pPr>
        <w:pStyle w:val="ListParagraph"/>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 xml:space="preserve">Where, </w:t>
      </w:r>
      <w:proofErr w:type="spellStart"/>
      <w:r w:rsidRPr="007A4E1E">
        <w:rPr>
          <w:rFonts w:ascii="Arial" w:hAnsi="Arial" w:cs="Arial"/>
          <w:color w:val="000000"/>
          <w:sz w:val="20"/>
          <w:szCs w:val="20"/>
        </w:rPr>
        <w:t>R</w:t>
      </w:r>
      <w:r w:rsidRPr="007A4E1E">
        <w:rPr>
          <w:rFonts w:ascii="Arial" w:hAnsi="Arial" w:cs="Arial"/>
          <w:color w:val="000000"/>
          <w:sz w:val="20"/>
          <w:szCs w:val="20"/>
          <w:vertAlign w:val="subscript"/>
        </w:rPr>
        <w:t>ij</w:t>
      </w:r>
      <w:proofErr w:type="spellEnd"/>
      <w:r w:rsidRPr="007A4E1E">
        <w:rPr>
          <w:rFonts w:ascii="Arial" w:hAnsi="Arial" w:cs="Arial"/>
          <w:color w:val="000000"/>
          <w:sz w:val="20"/>
          <w:szCs w:val="20"/>
        </w:rPr>
        <w:t xml:space="preserve">= Rank given for the </w:t>
      </w:r>
      <w:proofErr w:type="spellStart"/>
      <w:r w:rsidRPr="007A4E1E">
        <w:rPr>
          <w:rFonts w:ascii="Arial" w:hAnsi="Arial" w:cs="Arial"/>
          <w:color w:val="000000"/>
          <w:sz w:val="20"/>
          <w:szCs w:val="20"/>
        </w:rPr>
        <w:t>i</w:t>
      </w:r>
      <w:r w:rsidRPr="007A4E1E">
        <w:rPr>
          <w:rFonts w:ascii="Arial" w:hAnsi="Arial" w:cs="Arial"/>
          <w:color w:val="000000"/>
          <w:sz w:val="20"/>
          <w:szCs w:val="20"/>
          <w:vertAlign w:val="superscript"/>
        </w:rPr>
        <w:t>th</w:t>
      </w:r>
      <w:proofErr w:type="spellEnd"/>
      <w:r w:rsidRPr="007A4E1E">
        <w:rPr>
          <w:rFonts w:ascii="Arial" w:hAnsi="Arial" w:cs="Arial"/>
          <w:color w:val="000000"/>
          <w:sz w:val="20"/>
          <w:szCs w:val="20"/>
        </w:rPr>
        <w:t xml:space="preserve"> item by the </w:t>
      </w:r>
      <w:proofErr w:type="spellStart"/>
      <w:r w:rsidRPr="007A4E1E">
        <w:rPr>
          <w:rFonts w:ascii="Arial" w:hAnsi="Arial" w:cs="Arial"/>
          <w:color w:val="000000"/>
          <w:sz w:val="20"/>
          <w:szCs w:val="20"/>
        </w:rPr>
        <w:t>j</w:t>
      </w:r>
      <w:r w:rsidRPr="007A4E1E">
        <w:rPr>
          <w:rFonts w:ascii="Arial" w:hAnsi="Arial" w:cs="Arial"/>
          <w:color w:val="000000"/>
          <w:sz w:val="20"/>
          <w:szCs w:val="20"/>
          <w:vertAlign w:val="superscript"/>
        </w:rPr>
        <w:t>th</w:t>
      </w:r>
      <w:proofErr w:type="spellEnd"/>
      <w:r w:rsidRPr="007A4E1E">
        <w:rPr>
          <w:rFonts w:ascii="Arial" w:hAnsi="Arial" w:cs="Arial"/>
          <w:color w:val="000000"/>
          <w:sz w:val="20"/>
          <w:szCs w:val="20"/>
          <w:vertAlign w:val="superscript"/>
        </w:rPr>
        <w:t xml:space="preserve"> </w:t>
      </w:r>
      <w:r w:rsidRPr="007A4E1E">
        <w:rPr>
          <w:rFonts w:ascii="Arial" w:hAnsi="Arial" w:cs="Arial"/>
          <w:color w:val="000000"/>
          <w:sz w:val="20"/>
          <w:szCs w:val="20"/>
        </w:rPr>
        <w:t>individual</w:t>
      </w:r>
    </w:p>
    <w:p w14:paraId="2E3BB5ED" w14:textId="77777777" w:rsidR="007A4E1E" w:rsidRPr="007A4E1E" w:rsidRDefault="007A4E1E" w:rsidP="007A4E1E">
      <w:pPr>
        <w:pStyle w:val="ListParagraph"/>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N</w:t>
      </w:r>
      <w:r w:rsidRPr="007A4E1E">
        <w:rPr>
          <w:rFonts w:ascii="Arial" w:hAnsi="Arial" w:cs="Arial"/>
          <w:color w:val="000000"/>
          <w:sz w:val="20"/>
          <w:szCs w:val="20"/>
          <w:vertAlign w:val="subscript"/>
        </w:rPr>
        <w:t>j</w:t>
      </w:r>
      <w:r w:rsidRPr="007A4E1E">
        <w:rPr>
          <w:rFonts w:ascii="Arial" w:hAnsi="Arial" w:cs="Arial"/>
          <w:color w:val="000000"/>
          <w:sz w:val="20"/>
          <w:szCs w:val="20"/>
        </w:rPr>
        <w:t xml:space="preserve">= No. of items ranked by </w:t>
      </w:r>
      <w:proofErr w:type="spellStart"/>
      <w:r w:rsidRPr="007A4E1E">
        <w:rPr>
          <w:rFonts w:ascii="Arial" w:hAnsi="Arial" w:cs="Arial"/>
          <w:color w:val="000000"/>
          <w:sz w:val="20"/>
          <w:szCs w:val="20"/>
        </w:rPr>
        <w:t>j</w:t>
      </w:r>
      <w:r w:rsidRPr="007A4E1E">
        <w:rPr>
          <w:rFonts w:ascii="Arial" w:hAnsi="Arial" w:cs="Arial"/>
          <w:color w:val="000000"/>
          <w:sz w:val="20"/>
          <w:szCs w:val="20"/>
          <w:vertAlign w:val="superscript"/>
        </w:rPr>
        <w:t>th</w:t>
      </w:r>
      <w:proofErr w:type="spellEnd"/>
      <w:r w:rsidRPr="007A4E1E">
        <w:rPr>
          <w:rFonts w:ascii="Arial" w:hAnsi="Arial" w:cs="Arial"/>
          <w:color w:val="000000"/>
          <w:sz w:val="20"/>
          <w:szCs w:val="20"/>
        </w:rPr>
        <w:t xml:space="preserve"> individuals.</w:t>
      </w:r>
    </w:p>
    <w:p w14:paraId="136F2D41" w14:textId="77777777" w:rsidR="007A4E1E" w:rsidRDefault="007A4E1E" w:rsidP="007A4E1E">
      <w:pPr>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lastRenderedPageBreak/>
        <w:t>Using Garrett’s table as a guide, the estimated percentage position was transformed into specific scores. The percentage position for every rank was changed into a score, based on Garrett’s table. For each of the constraints, the</w:t>
      </w:r>
      <w:r w:rsidRPr="007A4E1E">
        <w:rPr>
          <w:rFonts w:ascii="Arial" w:hAnsi="Arial" w:cs="Arial"/>
          <w:color w:val="FFFFFF" w:themeColor="background1"/>
          <w:sz w:val="20"/>
          <w:szCs w:val="20"/>
        </w:rPr>
        <w:t>-</w:t>
      </w:r>
      <w:r w:rsidRPr="007A4E1E">
        <w:rPr>
          <w:rFonts w:ascii="Arial" w:hAnsi="Arial" w:cs="Arial"/>
          <w:color w:val="000000"/>
          <w:sz w:val="20"/>
          <w:szCs w:val="20"/>
        </w:rPr>
        <w:t>scores from each respondent</w:t>
      </w:r>
      <w:r w:rsidRPr="007A4E1E">
        <w:rPr>
          <w:rFonts w:ascii="Arial" w:hAnsi="Arial" w:cs="Arial"/>
          <w:color w:val="FFFFFF" w:themeColor="background1"/>
          <w:sz w:val="20"/>
          <w:szCs w:val="20"/>
        </w:rPr>
        <w:t>-</w:t>
      </w:r>
      <w:r w:rsidRPr="007A4E1E">
        <w:rPr>
          <w:rFonts w:ascii="Arial" w:hAnsi="Arial" w:cs="Arial"/>
          <w:color w:val="000000"/>
          <w:sz w:val="20"/>
          <w:szCs w:val="20"/>
        </w:rPr>
        <w:t>were</w:t>
      </w:r>
      <w:r w:rsidRPr="007A4E1E">
        <w:rPr>
          <w:rFonts w:ascii="Arial" w:hAnsi="Arial" w:cs="Arial"/>
          <w:color w:val="FFFFFF" w:themeColor="background1"/>
          <w:sz w:val="20"/>
          <w:szCs w:val="20"/>
        </w:rPr>
        <w:t>-</w:t>
      </w:r>
      <w:r w:rsidRPr="007A4E1E">
        <w:rPr>
          <w:rFonts w:ascii="Arial" w:hAnsi="Arial" w:cs="Arial"/>
          <w:color w:val="000000"/>
          <w:sz w:val="20"/>
          <w:szCs w:val="20"/>
        </w:rPr>
        <w:t>summed</w:t>
      </w:r>
      <w:r w:rsidRPr="007A4E1E">
        <w:rPr>
          <w:rFonts w:ascii="Arial" w:hAnsi="Arial" w:cs="Arial"/>
          <w:color w:val="FFFFFF" w:themeColor="background1"/>
          <w:sz w:val="20"/>
          <w:szCs w:val="20"/>
        </w:rPr>
        <w:t>-</w:t>
      </w:r>
      <w:r w:rsidRPr="007A4E1E">
        <w:rPr>
          <w:rFonts w:ascii="Arial" w:hAnsi="Arial" w:cs="Arial"/>
          <w:color w:val="000000"/>
          <w:sz w:val="20"/>
          <w:szCs w:val="20"/>
        </w:rPr>
        <w:t>up and</w:t>
      </w:r>
      <w:r w:rsidRPr="007A4E1E">
        <w:rPr>
          <w:rFonts w:ascii="Arial" w:hAnsi="Arial" w:cs="Arial"/>
          <w:color w:val="FFFFFF" w:themeColor="background1"/>
          <w:sz w:val="20"/>
          <w:szCs w:val="20"/>
        </w:rPr>
        <w:t>-</w:t>
      </w:r>
      <w:r w:rsidRPr="007A4E1E">
        <w:rPr>
          <w:rFonts w:ascii="Arial" w:hAnsi="Arial" w:cs="Arial"/>
          <w:color w:val="000000"/>
          <w:sz w:val="20"/>
          <w:szCs w:val="20"/>
        </w:rPr>
        <w:t xml:space="preserve">then divided by the overall number </w:t>
      </w:r>
      <w:r w:rsidRPr="007A4E1E">
        <w:rPr>
          <w:rFonts w:ascii="Arial" w:hAnsi="Arial" w:cs="Arial"/>
          <w:color w:val="FFFFFF" w:themeColor="background1"/>
          <w:sz w:val="20"/>
          <w:szCs w:val="20"/>
        </w:rPr>
        <w:t>_</w:t>
      </w:r>
      <w:r w:rsidRPr="007A4E1E">
        <w:rPr>
          <w:rFonts w:ascii="Arial" w:hAnsi="Arial" w:cs="Arial"/>
          <w:color w:val="000000"/>
          <w:sz w:val="20"/>
          <w:szCs w:val="20"/>
        </w:rPr>
        <w:t>of respondents. Therefore, ranking was carried out according to the Garrett mean score.</w:t>
      </w:r>
    </w:p>
    <w:p w14:paraId="2B27D302" w14:textId="00BB1F41" w:rsidR="007A4E1E" w:rsidRDefault="00517B39" w:rsidP="00517B39">
      <w:pPr>
        <w:pStyle w:val="ListParagraph"/>
        <w:numPr>
          <w:ilvl w:val="0"/>
          <w:numId w:val="11"/>
        </w:numPr>
        <w:autoSpaceDE w:val="0"/>
        <w:autoSpaceDN w:val="0"/>
        <w:adjustRightInd w:val="0"/>
        <w:spacing w:after="0" w:line="360" w:lineRule="auto"/>
        <w:jc w:val="both"/>
        <w:rPr>
          <w:rFonts w:ascii="Arial" w:hAnsi="Arial" w:cs="Arial"/>
          <w:b/>
          <w:bCs/>
          <w:color w:val="000000"/>
        </w:rPr>
      </w:pPr>
      <w:r>
        <w:rPr>
          <w:rFonts w:ascii="Arial" w:hAnsi="Arial" w:cs="Arial"/>
          <w:b/>
          <w:bCs/>
          <w:color w:val="000000"/>
        </w:rPr>
        <w:t>RESULTS AND DISCUSSION</w:t>
      </w:r>
    </w:p>
    <w:p w14:paraId="2155A1D3" w14:textId="0A80CB49" w:rsidR="00517B39" w:rsidRDefault="00517B39" w:rsidP="00517B39">
      <w:pPr>
        <w:pStyle w:val="ListParagraph"/>
        <w:numPr>
          <w:ilvl w:val="1"/>
          <w:numId w:val="11"/>
        </w:num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Present marketing channels and their efficiencies</w:t>
      </w:r>
    </w:p>
    <w:p w14:paraId="769F475E" w14:textId="7D4AAB18"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Tea</w:t>
      </w:r>
      <w:r>
        <w:rPr>
          <w:rFonts w:ascii="Arial" w:hAnsi="Arial" w:cs="Arial"/>
          <w:color w:val="FFFFFF" w:themeColor="background1"/>
          <w:sz w:val="20"/>
          <w:szCs w:val="20"/>
        </w:rPr>
        <w:t xml:space="preserve"> </w:t>
      </w:r>
      <w:r w:rsidRPr="00517B39">
        <w:rPr>
          <w:rFonts w:ascii="Arial" w:hAnsi="Arial" w:cs="Arial"/>
          <w:color w:val="0D0D0D"/>
          <w:sz w:val="20"/>
          <w:szCs w:val="20"/>
        </w:rPr>
        <w:t>is</w:t>
      </w:r>
      <w:r>
        <w:rPr>
          <w:rFonts w:ascii="Arial" w:hAnsi="Arial" w:cs="Arial"/>
          <w:color w:val="FFFFFF" w:themeColor="background1"/>
          <w:sz w:val="20"/>
          <w:szCs w:val="20"/>
        </w:rPr>
        <w:t xml:space="preserve"> </w:t>
      </w:r>
      <w:r w:rsidRPr="00517B39">
        <w:rPr>
          <w:rFonts w:ascii="Arial" w:hAnsi="Arial" w:cs="Arial"/>
          <w:color w:val="0D0D0D"/>
          <w:sz w:val="20"/>
          <w:szCs w:val="20"/>
        </w:rPr>
        <w:t xml:space="preserve">significant agricultural product that needs an effective marketing system for its sale. The three main methods for selling tea that have been identified are: (a) via auction, (b) direct sales from the garden, and (c) forward contracts. In </w:t>
      </w:r>
      <w:r>
        <w:rPr>
          <w:rFonts w:ascii="Arial" w:hAnsi="Arial" w:cs="Arial"/>
          <w:color w:val="0D0D0D"/>
          <w:sz w:val="20"/>
          <w:szCs w:val="20"/>
        </w:rPr>
        <w:t>India</w:t>
      </w:r>
      <w:r w:rsidRPr="00517B39">
        <w:rPr>
          <w:rFonts w:ascii="Arial" w:hAnsi="Arial" w:cs="Arial"/>
          <w:color w:val="0D0D0D"/>
          <w:sz w:val="20"/>
          <w:szCs w:val="20"/>
        </w:rPr>
        <w:t>, the tea marketing process can mainly be divided into primary and secondary markets. Primary marketing channels play a crucial role in transferring made-tea from growers, whether small farmers or estates, to large tea buyers. This outlines how tea moves straight from producers to buyers, both domestically and internationally. The channel takes tea from producers to auction locations, where it is sold to larger buyers through brokers. The secondary marketing channel involves the sale of bulk tea bought from the primary markets via auction to the final consumers. During this stage, tea goes through various intermediaries such as wholesalers, commission agents, blenders, packers, and retailers.</w:t>
      </w:r>
    </w:p>
    <w:p w14:paraId="5781D2F7" w14:textId="2E9EA5BA"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Typically, small tea producers sell their harvested leaves to collectors or purchasing centers. Due to not having their own processing facilities, they send their products to Bought Leaf Factories for additional processing. Among 197 small tea producers surveyed from the Dibrugarh and Tinsukia districts, only 15 percent (30 producers) had a direct connection with the factories, while 85 percent (167 producers) sold</w:t>
      </w:r>
      <w:r>
        <w:rPr>
          <w:rFonts w:ascii="Arial" w:hAnsi="Arial" w:cs="Arial"/>
          <w:color w:val="FFFFFF" w:themeColor="background1"/>
          <w:sz w:val="20"/>
          <w:szCs w:val="20"/>
        </w:rPr>
        <w:t xml:space="preserve"> </w:t>
      </w:r>
      <w:r w:rsidRPr="00517B39">
        <w:rPr>
          <w:rFonts w:ascii="Arial" w:hAnsi="Arial" w:cs="Arial"/>
          <w:color w:val="0D0D0D"/>
          <w:sz w:val="20"/>
          <w:szCs w:val="20"/>
        </w:rPr>
        <w:t>the</w:t>
      </w:r>
      <w:r>
        <w:rPr>
          <w:rFonts w:ascii="Arial" w:hAnsi="Arial" w:cs="Arial"/>
          <w:color w:val="FFFFFF" w:themeColor="background1"/>
          <w:sz w:val="20"/>
          <w:szCs w:val="20"/>
        </w:rPr>
        <w:t xml:space="preserve"> </w:t>
      </w:r>
      <w:r w:rsidRPr="00517B39">
        <w:rPr>
          <w:rFonts w:ascii="Arial" w:hAnsi="Arial" w:cs="Arial"/>
          <w:color w:val="0D0D0D"/>
          <w:sz w:val="20"/>
          <w:szCs w:val="20"/>
        </w:rPr>
        <w:t>green</w:t>
      </w:r>
      <w:r>
        <w:rPr>
          <w:rFonts w:ascii="Arial" w:hAnsi="Arial" w:cs="Arial"/>
          <w:color w:val="0D0D0D"/>
          <w:sz w:val="20"/>
          <w:szCs w:val="20"/>
        </w:rPr>
        <w:t xml:space="preserve"> </w:t>
      </w:r>
      <w:r w:rsidRPr="00517B39">
        <w:rPr>
          <w:rFonts w:ascii="Arial" w:hAnsi="Arial" w:cs="Arial"/>
          <w:color w:val="0D0D0D"/>
          <w:sz w:val="20"/>
          <w:szCs w:val="20"/>
        </w:rPr>
        <w:t>tea</w:t>
      </w:r>
      <w:r>
        <w:rPr>
          <w:rFonts w:ascii="Arial" w:hAnsi="Arial" w:cs="Arial"/>
          <w:color w:val="FFFFFF" w:themeColor="background1"/>
          <w:sz w:val="20"/>
          <w:szCs w:val="20"/>
        </w:rPr>
        <w:t xml:space="preserve"> </w:t>
      </w:r>
      <w:r w:rsidRPr="00517B39">
        <w:rPr>
          <w:rFonts w:ascii="Arial" w:hAnsi="Arial" w:cs="Arial"/>
          <w:color w:val="0D0D0D"/>
          <w:sz w:val="20"/>
          <w:szCs w:val="20"/>
        </w:rPr>
        <w:t>leave</w:t>
      </w:r>
      <w:r>
        <w:rPr>
          <w:rFonts w:ascii="Arial" w:hAnsi="Arial" w:cs="Arial"/>
          <w:color w:val="0D0D0D"/>
          <w:sz w:val="20"/>
          <w:szCs w:val="20"/>
        </w:rPr>
        <w:t>s</w:t>
      </w:r>
      <w:r>
        <w:rPr>
          <w:rFonts w:ascii="Arial" w:hAnsi="Arial" w:cs="Arial"/>
          <w:color w:val="FFFFFF" w:themeColor="background1"/>
          <w:sz w:val="20"/>
          <w:szCs w:val="20"/>
        </w:rPr>
        <w:t xml:space="preserve"> </w:t>
      </w:r>
      <w:r w:rsidRPr="00517B39">
        <w:rPr>
          <w:rFonts w:ascii="Arial" w:hAnsi="Arial" w:cs="Arial"/>
          <w:color w:val="0D0D0D"/>
          <w:sz w:val="20"/>
          <w:szCs w:val="20"/>
        </w:rPr>
        <w:t>through commission agents. This shows that agents are essential for the marketing</w:t>
      </w:r>
      <w:r>
        <w:rPr>
          <w:rFonts w:ascii="Arial" w:hAnsi="Arial" w:cs="Arial"/>
          <w:color w:val="FFFFFF" w:themeColor="background1"/>
          <w:sz w:val="20"/>
          <w:szCs w:val="20"/>
        </w:rPr>
        <w:t xml:space="preserve"> </w:t>
      </w:r>
      <w:r w:rsidRPr="00517B39">
        <w:rPr>
          <w:rFonts w:ascii="Arial" w:hAnsi="Arial" w:cs="Arial"/>
          <w:color w:val="0D0D0D"/>
          <w:sz w:val="20"/>
          <w:szCs w:val="20"/>
        </w:rPr>
        <w:t>of green</w:t>
      </w:r>
      <w:r>
        <w:rPr>
          <w:rFonts w:ascii="Arial" w:hAnsi="Arial" w:cs="Arial"/>
          <w:color w:val="0D0D0D"/>
          <w:sz w:val="20"/>
          <w:szCs w:val="20"/>
        </w:rPr>
        <w:t xml:space="preserve"> </w:t>
      </w:r>
      <w:r w:rsidRPr="00517B39">
        <w:rPr>
          <w:rFonts w:ascii="Arial" w:hAnsi="Arial" w:cs="Arial"/>
          <w:color w:val="0D0D0D"/>
          <w:sz w:val="20"/>
          <w:szCs w:val="20"/>
        </w:rPr>
        <w:t>tea</w:t>
      </w:r>
      <w:r w:rsidRPr="00517B39">
        <w:rPr>
          <w:rFonts w:ascii="Arial" w:hAnsi="Arial" w:cs="Arial"/>
          <w:color w:val="FFFFFF" w:themeColor="background1"/>
          <w:sz w:val="20"/>
          <w:szCs w:val="20"/>
        </w:rPr>
        <w:t>-</w:t>
      </w:r>
      <w:r w:rsidRPr="00517B39">
        <w:rPr>
          <w:rFonts w:ascii="Arial" w:hAnsi="Arial" w:cs="Arial"/>
          <w:color w:val="0D0D0D"/>
          <w:sz w:val="20"/>
          <w:szCs w:val="20"/>
        </w:rPr>
        <w:t>leaves from small tea producers. Two distinct marketing channels were discovered in the distribution</w:t>
      </w:r>
      <w:r>
        <w:rPr>
          <w:rFonts w:ascii="Arial" w:hAnsi="Arial" w:cs="Arial"/>
          <w:color w:val="FFFFFF" w:themeColor="background1"/>
          <w:sz w:val="20"/>
          <w:szCs w:val="20"/>
        </w:rPr>
        <w:t xml:space="preserve"> </w:t>
      </w:r>
      <w:r w:rsidRPr="00517B39">
        <w:rPr>
          <w:rFonts w:ascii="Arial" w:hAnsi="Arial" w:cs="Arial"/>
          <w:color w:val="0D0D0D"/>
          <w:sz w:val="20"/>
          <w:szCs w:val="20"/>
        </w:rPr>
        <w:t>of</w:t>
      </w:r>
      <w:r>
        <w:rPr>
          <w:rFonts w:ascii="Arial" w:hAnsi="Arial" w:cs="Arial"/>
          <w:sz w:val="20"/>
          <w:szCs w:val="20"/>
        </w:rPr>
        <w:t xml:space="preserve"> t</w:t>
      </w:r>
      <w:r w:rsidRPr="00517B39">
        <w:rPr>
          <w:rFonts w:ascii="Arial" w:hAnsi="Arial" w:cs="Arial"/>
          <w:color w:val="0D0D0D"/>
          <w:sz w:val="20"/>
          <w:szCs w:val="20"/>
        </w:rPr>
        <w:t>ea leaves in the surveyed area.</w:t>
      </w:r>
    </w:p>
    <w:p w14:paraId="2A872FD0" w14:textId="6376E37F"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Channel</w:t>
      </w:r>
      <w:r>
        <w:rPr>
          <w:rFonts w:ascii="Arial" w:hAnsi="Arial" w:cs="Arial"/>
          <w:color w:val="FFFFFF" w:themeColor="background1"/>
          <w:sz w:val="20"/>
          <w:szCs w:val="20"/>
        </w:rPr>
        <w:t xml:space="preserve"> </w:t>
      </w:r>
      <w:r w:rsidRPr="00517B39">
        <w:rPr>
          <w:rFonts w:ascii="Arial" w:hAnsi="Arial" w:cs="Arial"/>
          <w:color w:val="0D0D0D"/>
          <w:sz w:val="20"/>
          <w:szCs w:val="20"/>
        </w:rPr>
        <w:t>I: Small-</w:t>
      </w:r>
      <w:r w:rsidRPr="00517B39">
        <w:rPr>
          <w:rFonts w:ascii="Arial" w:hAnsi="Arial" w:cs="Arial"/>
          <w:color w:val="FFFFFF" w:themeColor="background1"/>
          <w:sz w:val="20"/>
          <w:szCs w:val="20"/>
        </w:rPr>
        <w:t>-</w:t>
      </w:r>
      <w:r w:rsidRPr="00517B39">
        <w:rPr>
          <w:rFonts w:ascii="Arial" w:hAnsi="Arial" w:cs="Arial"/>
          <w:color w:val="0D0D0D"/>
          <w:sz w:val="20"/>
          <w:szCs w:val="20"/>
        </w:rPr>
        <w:t>tea growers (producers) → Factory</w:t>
      </w:r>
      <w:r>
        <w:rPr>
          <w:rFonts w:ascii="Arial" w:hAnsi="Arial" w:cs="Arial"/>
          <w:color w:val="FFFFFF" w:themeColor="background1"/>
          <w:sz w:val="20"/>
          <w:szCs w:val="20"/>
        </w:rPr>
        <w:t xml:space="preserve"> </w:t>
      </w:r>
      <w:r w:rsidRPr="00517B39">
        <w:rPr>
          <w:rFonts w:ascii="Arial" w:hAnsi="Arial" w:cs="Arial"/>
          <w:color w:val="0D0D0D"/>
          <w:sz w:val="20"/>
          <w:szCs w:val="20"/>
        </w:rPr>
        <w:t>(direct</w:t>
      </w:r>
      <w:r>
        <w:rPr>
          <w:rFonts w:ascii="Arial" w:hAnsi="Arial" w:cs="Arial"/>
          <w:color w:val="FFFFFF" w:themeColor="background1"/>
          <w:sz w:val="20"/>
          <w:szCs w:val="20"/>
        </w:rPr>
        <w:t xml:space="preserve"> </w:t>
      </w:r>
      <w:r w:rsidRPr="00517B39">
        <w:rPr>
          <w:rFonts w:ascii="Arial" w:hAnsi="Arial" w:cs="Arial"/>
          <w:color w:val="0D0D0D"/>
          <w:sz w:val="20"/>
          <w:szCs w:val="20"/>
        </w:rPr>
        <w:t>sale)</w:t>
      </w:r>
    </w:p>
    <w:p w14:paraId="1F420F7D" w14:textId="779DA98F"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Channel</w:t>
      </w:r>
      <w:r>
        <w:rPr>
          <w:rFonts w:ascii="Arial" w:hAnsi="Arial" w:cs="Arial"/>
          <w:color w:val="FFFFFF" w:themeColor="background1"/>
          <w:sz w:val="20"/>
          <w:szCs w:val="20"/>
        </w:rPr>
        <w:t xml:space="preserve"> </w:t>
      </w:r>
      <w:r w:rsidRPr="00517B39">
        <w:rPr>
          <w:rFonts w:ascii="Arial" w:hAnsi="Arial" w:cs="Arial"/>
          <w:color w:val="0D0D0D"/>
          <w:sz w:val="20"/>
          <w:szCs w:val="20"/>
        </w:rPr>
        <w:t>II: Small-</w:t>
      </w:r>
      <w:r w:rsidRPr="00517B39">
        <w:rPr>
          <w:rFonts w:ascii="Arial" w:hAnsi="Arial" w:cs="Arial"/>
          <w:color w:val="FFFFFF" w:themeColor="background1"/>
          <w:sz w:val="20"/>
          <w:szCs w:val="20"/>
        </w:rPr>
        <w:t>-</w:t>
      </w:r>
      <w:r w:rsidRPr="00517B39">
        <w:rPr>
          <w:rFonts w:ascii="Arial" w:hAnsi="Arial" w:cs="Arial"/>
          <w:color w:val="0D0D0D"/>
          <w:sz w:val="20"/>
          <w:szCs w:val="20"/>
        </w:rPr>
        <w:t>tea growers → Commission</w:t>
      </w:r>
      <w:r>
        <w:rPr>
          <w:rFonts w:ascii="Arial" w:hAnsi="Arial" w:cs="Arial"/>
          <w:color w:val="0D0D0D"/>
          <w:sz w:val="20"/>
          <w:szCs w:val="20"/>
        </w:rPr>
        <w:t xml:space="preserve"> </w:t>
      </w:r>
      <w:r w:rsidRPr="00517B39">
        <w:rPr>
          <w:rFonts w:ascii="Arial" w:hAnsi="Arial" w:cs="Arial"/>
          <w:color w:val="0D0D0D"/>
          <w:sz w:val="20"/>
          <w:szCs w:val="20"/>
        </w:rPr>
        <w:t xml:space="preserve">Agent→ </w:t>
      </w:r>
      <w:r w:rsidRPr="00517B39">
        <w:rPr>
          <w:rFonts w:ascii="Arial" w:hAnsi="Arial" w:cs="Arial"/>
          <w:color w:val="FFFFFF" w:themeColor="background1"/>
          <w:sz w:val="20"/>
          <w:szCs w:val="20"/>
        </w:rPr>
        <w:t>_</w:t>
      </w:r>
      <w:r w:rsidRPr="00517B39">
        <w:rPr>
          <w:rFonts w:ascii="Arial" w:hAnsi="Arial" w:cs="Arial"/>
          <w:color w:val="0D0D0D"/>
          <w:sz w:val="20"/>
          <w:szCs w:val="20"/>
        </w:rPr>
        <w:t>Factory</w:t>
      </w:r>
    </w:p>
    <w:p w14:paraId="6D69B17D" w14:textId="7B0AE6AB" w:rsid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The small tea growers use both the channels for marketing the green tea leaves, but Channel II serves as the common marketing channel used by majority of the</w:t>
      </w:r>
      <w:r>
        <w:rPr>
          <w:rFonts w:ascii="Arial" w:hAnsi="Arial" w:cs="Arial"/>
          <w:color w:val="FFFFFF" w:themeColor="background1"/>
          <w:sz w:val="20"/>
          <w:szCs w:val="20"/>
        </w:rPr>
        <w:t xml:space="preserve"> </w:t>
      </w:r>
      <w:r w:rsidRPr="00517B39">
        <w:rPr>
          <w:rFonts w:ascii="Arial" w:hAnsi="Arial" w:cs="Arial"/>
          <w:color w:val="0D0D0D"/>
          <w:sz w:val="20"/>
          <w:szCs w:val="20"/>
        </w:rPr>
        <w:t>small- tea grower</w:t>
      </w:r>
      <w:r>
        <w:rPr>
          <w:rFonts w:ascii="Arial" w:hAnsi="Arial" w:cs="Arial"/>
          <w:color w:val="0D0D0D"/>
          <w:sz w:val="20"/>
          <w:szCs w:val="20"/>
        </w:rPr>
        <w:t>s.</w:t>
      </w:r>
    </w:p>
    <w:p w14:paraId="7E7749EE" w14:textId="1AE2FAF8" w:rsidR="00C61C41" w:rsidRPr="00C61C41" w:rsidRDefault="00C61C41" w:rsidP="00C61C41">
      <w:pPr>
        <w:spacing w:line="360" w:lineRule="auto"/>
        <w:jc w:val="both"/>
        <w:rPr>
          <w:rFonts w:ascii="Arial" w:hAnsi="Arial" w:cs="Arial"/>
          <w:b/>
          <w:bCs/>
          <w:color w:val="0D0D0D"/>
          <w:sz w:val="20"/>
          <w:szCs w:val="20"/>
          <w:lang w:val="en-IN"/>
        </w:rPr>
      </w:pPr>
      <w:r w:rsidRPr="00C61C41">
        <w:rPr>
          <w:rFonts w:ascii="Arial" w:hAnsi="Arial" w:cs="Arial"/>
          <w:b/>
          <w:bCs/>
          <w:color w:val="0D0D0D"/>
          <w:sz w:val="20"/>
          <w:szCs w:val="20"/>
          <w:lang w:val="en-IN"/>
        </w:rPr>
        <w:t>Price</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spread</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and marketing</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efficiency analysis in the marketing</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channels</w:t>
      </w:r>
    </w:p>
    <w:p w14:paraId="415C204E" w14:textId="13C6BD41" w:rsidR="00C61C41" w:rsidRPr="00C61C41" w:rsidRDefault="00C61C41" w:rsidP="00C61C41">
      <w:pPr>
        <w:spacing w:line="360" w:lineRule="auto"/>
        <w:jc w:val="both"/>
        <w:rPr>
          <w:rFonts w:ascii="Arial" w:hAnsi="Arial" w:cs="Arial"/>
          <w:color w:val="0D0D0D"/>
          <w:sz w:val="20"/>
          <w:szCs w:val="20"/>
          <w:lang w:val="en-IN"/>
        </w:rPr>
      </w:pPr>
      <w:r w:rsidRPr="00C61C41">
        <w:rPr>
          <w:rFonts w:ascii="Arial" w:hAnsi="Arial" w:cs="Arial"/>
          <w:color w:val="0D0D0D"/>
          <w:sz w:val="20"/>
          <w:szCs w:val="20"/>
          <w:lang w:val="en-IN"/>
        </w:rPr>
        <w:t>The examination of price spread looks at the disparity between consumer payments and the earnings of growers for identical amounts of green tea leaves. Consumers pay Rs 340. 00 for one kilogram of processed tea, which comes from 3 kilograms of green tea leaves. To find out how much of the consumer price corresponds to 1 kilogram of tea leaves, the</w:t>
      </w:r>
      <w:r>
        <w:rPr>
          <w:rFonts w:ascii="Arial" w:hAnsi="Arial" w:cs="Arial"/>
          <w:color w:val="0D0D0D"/>
          <w:sz w:val="20"/>
          <w:szCs w:val="20"/>
          <w:lang w:val="en-IN"/>
        </w:rPr>
        <w:t xml:space="preserve"> </w:t>
      </w:r>
      <w:r w:rsidRPr="00C61C41">
        <w:rPr>
          <w:rFonts w:ascii="Arial" w:hAnsi="Arial" w:cs="Arial"/>
          <w:color w:val="0D0D0D"/>
          <w:sz w:val="20"/>
          <w:szCs w:val="20"/>
          <w:lang w:val="en-IN"/>
        </w:rPr>
        <w:t xml:space="preserve">price for one kilogram of processed tea is divided by 3. In-Channel- I, the share of the selling price that goes to the grower </w:t>
      </w:r>
      <w:r w:rsidRPr="00C61C41">
        <w:rPr>
          <w:rFonts w:ascii="Arial" w:hAnsi="Arial" w:cs="Arial"/>
          <w:color w:val="0D0D0D"/>
          <w:sz w:val="20"/>
          <w:szCs w:val="20"/>
          <w:lang w:val="en-IN"/>
        </w:rPr>
        <w:lastRenderedPageBreak/>
        <w:t>was Rs 24. 78, and in Channel-II, it was Rs 23. 89. The price spread was lower in Channel- I as</w:t>
      </w:r>
      <w:r>
        <w:rPr>
          <w:rFonts w:ascii="Arial" w:hAnsi="Arial" w:cs="Arial"/>
          <w:color w:val="0D0D0D"/>
          <w:sz w:val="20"/>
          <w:szCs w:val="20"/>
          <w:lang w:val="en-IN"/>
        </w:rPr>
        <w:t xml:space="preserve"> </w:t>
      </w:r>
      <w:r w:rsidRPr="00C61C41">
        <w:rPr>
          <w:rFonts w:ascii="Arial" w:hAnsi="Arial" w:cs="Arial"/>
          <w:color w:val="0D0D0D"/>
          <w:sz w:val="20"/>
          <w:szCs w:val="20"/>
          <w:lang w:val="en-IN"/>
        </w:rPr>
        <w:t>compared to Channel- II.</w:t>
      </w:r>
    </w:p>
    <w:p w14:paraId="06501918" w14:textId="51C6AD55" w:rsidR="00C61C41" w:rsidRDefault="00C61C41" w:rsidP="00C61C41">
      <w:pPr>
        <w:spacing w:line="360" w:lineRule="auto"/>
        <w:jc w:val="both"/>
        <w:rPr>
          <w:rFonts w:ascii="Arial" w:hAnsi="Arial" w:cs="Arial"/>
          <w:color w:val="0D0D0D"/>
          <w:sz w:val="20"/>
          <w:szCs w:val="20"/>
          <w:lang w:val="en-IN"/>
        </w:rPr>
      </w:pPr>
      <w:r w:rsidRPr="00C61C41">
        <w:rPr>
          <w:rFonts w:ascii="Arial" w:hAnsi="Arial" w:cs="Arial"/>
          <w:color w:val="0D0D0D"/>
          <w:sz w:val="20"/>
          <w:szCs w:val="20"/>
          <w:lang w:val="en-IN"/>
        </w:rPr>
        <w:t>The connection between the worth of items sold and the entire cost of marketing is what defines marketing</w:t>
      </w:r>
      <w:r>
        <w:rPr>
          <w:rFonts w:ascii="Arial" w:hAnsi="Arial" w:cs="Arial"/>
          <w:color w:val="0D0D0D"/>
          <w:sz w:val="20"/>
          <w:szCs w:val="20"/>
          <w:lang w:val="en-IN"/>
        </w:rPr>
        <w:t xml:space="preserve"> </w:t>
      </w:r>
      <w:r w:rsidRPr="00C61C41">
        <w:rPr>
          <w:rFonts w:ascii="Arial" w:hAnsi="Arial" w:cs="Arial"/>
          <w:color w:val="0D0D0D"/>
          <w:sz w:val="20"/>
          <w:szCs w:val="20"/>
          <w:lang w:val="en-IN"/>
        </w:rPr>
        <w:t>efficiency. A comprehensive analysis of marketing efficiency regarding the produce of selected small tea growers has been carried out.</w:t>
      </w:r>
      <w:r>
        <w:rPr>
          <w:rFonts w:ascii="Arial" w:hAnsi="Arial" w:cs="Arial"/>
          <w:color w:val="0D0D0D"/>
          <w:sz w:val="20"/>
          <w:szCs w:val="20"/>
          <w:lang w:val="en-IN"/>
        </w:rPr>
        <w:t xml:space="preserve"> </w:t>
      </w:r>
      <w:r w:rsidRPr="00C61C41">
        <w:rPr>
          <w:rFonts w:ascii="Arial" w:hAnsi="Arial" w:cs="Arial"/>
          <w:color w:val="0D0D0D"/>
          <w:sz w:val="20"/>
          <w:szCs w:val="20"/>
          <w:lang w:val="en-IN"/>
        </w:rPr>
        <w:t>Shepherd's method was applied to ass</w:t>
      </w:r>
      <w:r>
        <w:rPr>
          <w:rFonts w:ascii="Arial" w:hAnsi="Arial" w:cs="Arial"/>
          <w:color w:val="0D0D0D"/>
          <w:sz w:val="20"/>
          <w:szCs w:val="20"/>
          <w:lang w:val="en-IN"/>
        </w:rPr>
        <w:t xml:space="preserve">ess </w:t>
      </w:r>
      <w:r w:rsidRPr="00C61C41">
        <w:rPr>
          <w:rFonts w:ascii="Arial" w:hAnsi="Arial" w:cs="Arial"/>
          <w:color w:val="0D0D0D"/>
          <w:sz w:val="20"/>
          <w:szCs w:val="20"/>
          <w:lang w:val="en-IN"/>
        </w:rPr>
        <w:t>the</w:t>
      </w:r>
      <w:r>
        <w:rPr>
          <w:rFonts w:ascii="Arial" w:hAnsi="Arial" w:cs="Arial"/>
          <w:color w:val="0D0D0D"/>
          <w:sz w:val="20"/>
          <w:szCs w:val="20"/>
          <w:lang w:val="en-IN"/>
        </w:rPr>
        <w:t xml:space="preserve"> </w:t>
      </w:r>
      <w:r w:rsidRPr="00C61C41">
        <w:rPr>
          <w:rFonts w:ascii="Arial" w:hAnsi="Arial" w:cs="Arial"/>
          <w:color w:val="0D0D0D"/>
          <w:sz w:val="20"/>
          <w:szCs w:val="20"/>
          <w:lang w:val="en-IN"/>
        </w:rPr>
        <w:t>efficiency</w:t>
      </w:r>
      <w:r>
        <w:rPr>
          <w:rFonts w:ascii="Arial" w:hAnsi="Arial" w:cs="Arial"/>
          <w:color w:val="0D0D0D"/>
          <w:sz w:val="20"/>
          <w:szCs w:val="20"/>
          <w:lang w:val="en-IN"/>
        </w:rPr>
        <w:t xml:space="preserve"> </w:t>
      </w:r>
      <w:r w:rsidRPr="00C61C41">
        <w:rPr>
          <w:rFonts w:ascii="Arial" w:hAnsi="Arial" w:cs="Arial"/>
          <w:color w:val="0D0D0D"/>
          <w:sz w:val="20"/>
          <w:szCs w:val="20"/>
          <w:lang w:val="en-IN"/>
        </w:rPr>
        <w:t>of the two marketing</w:t>
      </w:r>
      <w:r>
        <w:rPr>
          <w:rFonts w:ascii="Arial" w:hAnsi="Arial" w:cs="Arial"/>
          <w:color w:val="0D0D0D"/>
          <w:sz w:val="20"/>
          <w:szCs w:val="20"/>
          <w:lang w:val="en-IN"/>
        </w:rPr>
        <w:t xml:space="preserve"> </w:t>
      </w:r>
      <w:r w:rsidRPr="00C61C41">
        <w:rPr>
          <w:rFonts w:ascii="Arial" w:hAnsi="Arial" w:cs="Arial"/>
          <w:color w:val="0D0D0D"/>
          <w:sz w:val="20"/>
          <w:szCs w:val="20"/>
          <w:lang w:val="en-IN"/>
        </w:rPr>
        <w:t xml:space="preserve">channels. An efficiency score of 8.13 was recorded for Channel- I, while in Channel-II it was calculated at 7. 60. Therefore, it can be concluded that Channel-I outperforms Channel-II in terms of efficiency suggesting that as the number of mediators rises between the producer or grower and the processing unit, marketing efficiency tends to decline. A table representation is provided in Table </w:t>
      </w:r>
      <w:r>
        <w:rPr>
          <w:rFonts w:ascii="Arial" w:hAnsi="Arial" w:cs="Arial"/>
          <w:color w:val="0D0D0D"/>
          <w:sz w:val="20"/>
          <w:szCs w:val="20"/>
          <w:lang w:val="en-IN"/>
        </w:rPr>
        <w:t>1</w:t>
      </w:r>
      <w:r w:rsidRPr="00C61C41">
        <w:rPr>
          <w:rFonts w:ascii="Arial" w:hAnsi="Arial" w:cs="Arial"/>
          <w:color w:val="0D0D0D"/>
          <w:sz w:val="20"/>
          <w:szCs w:val="20"/>
          <w:lang w:val="en-IN"/>
        </w:rPr>
        <w:t>.</w:t>
      </w:r>
    </w:p>
    <w:p w14:paraId="3E123DD3" w14:textId="4DF46FF1" w:rsidR="00C61C41" w:rsidRDefault="00C61C41" w:rsidP="00C61C41">
      <w:pPr>
        <w:spacing w:line="360" w:lineRule="auto"/>
        <w:jc w:val="both"/>
        <w:rPr>
          <w:rFonts w:ascii="Arial" w:hAnsi="Arial" w:cs="Arial"/>
          <w:b/>
          <w:bCs/>
          <w:color w:val="0D0D0D"/>
          <w:sz w:val="20"/>
          <w:szCs w:val="20"/>
          <w:lang w:val="en-IN"/>
        </w:rPr>
      </w:pPr>
      <w:r>
        <w:rPr>
          <w:rFonts w:ascii="Arial" w:hAnsi="Arial" w:cs="Arial"/>
          <w:b/>
          <w:bCs/>
          <w:color w:val="0D0D0D"/>
          <w:sz w:val="20"/>
          <w:szCs w:val="20"/>
          <w:lang w:val="en-IN"/>
        </w:rPr>
        <w:t xml:space="preserve">Table 1.: </w:t>
      </w:r>
      <w:r w:rsidRPr="00C61C41">
        <w:rPr>
          <w:rFonts w:ascii="Arial" w:hAnsi="Arial" w:cs="Arial"/>
          <w:b/>
          <w:bCs/>
          <w:color w:val="0D0D0D"/>
          <w:sz w:val="20"/>
          <w:szCs w:val="20"/>
          <w:lang w:val="en-IN"/>
        </w:rPr>
        <w:t>Price-spread and marketing efficiency</w:t>
      </w:r>
    </w:p>
    <w:tbl>
      <w:tblPr>
        <w:tblW w:w="8661" w:type="dxa"/>
        <w:jc w:val="center"/>
        <w:tblLook w:val="04A0" w:firstRow="1" w:lastRow="0" w:firstColumn="1" w:lastColumn="0" w:noHBand="0" w:noVBand="1"/>
      </w:tblPr>
      <w:tblGrid>
        <w:gridCol w:w="811"/>
        <w:gridCol w:w="4241"/>
        <w:gridCol w:w="1872"/>
        <w:gridCol w:w="1737"/>
      </w:tblGrid>
      <w:tr w:rsidR="00C61C41" w:rsidRPr="00C61C41" w14:paraId="01FCE698" w14:textId="77777777" w:rsidTr="00C61C41">
        <w:trPr>
          <w:trHeight w:val="340"/>
          <w:jc w:val="center"/>
        </w:trPr>
        <w:tc>
          <w:tcPr>
            <w:tcW w:w="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65099"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Sl. No.</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14:paraId="045ED999"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Particulars</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14:paraId="45CE7828"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Channel I</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CE46B81"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Channel II</w:t>
            </w:r>
          </w:p>
        </w:tc>
      </w:tr>
      <w:tr w:rsidR="00C61C41" w:rsidRPr="00C61C41" w14:paraId="2CF663EB"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5E27079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w:t>
            </w:r>
          </w:p>
        </w:tc>
        <w:tc>
          <w:tcPr>
            <w:tcW w:w="4241" w:type="dxa"/>
            <w:tcBorders>
              <w:top w:val="nil"/>
              <w:left w:val="nil"/>
              <w:bottom w:val="single" w:sz="4" w:space="0" w:color="auto"/>
              <w:right w:val="single" w:sz="4" w:space="0" w:color="auto"/>
            </w:tcBorders>
            <w:shd w:val="clear" w:color="auto" w:fill="auto"/>
            <w:noWrap/>
            <w:vAlign w:val="center"/>
            <w:hideMark/>
          </w:tcPr>
          <w:p w14:paraId="1A5A4848"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Grower's Price (per kg)</w:t>
            </w:r>
          </w:p>
        </w:tc>
        <w:tc>
          <w:tcPr>
            <w:tcW w:w="1872" w:type="dxa"/>
            <w:tcBorders>
              <w:top w:val="nil"/>
              <w:left w:val="nil"/>
              <w:bottom w:val="single" w:sz="4" w:space="0" w:color="auto"/>
              <w:right w:val="single" w:sz="4" w:space="0" w:color="auto"/>
            </w:tcBorders>
            <w:shd w:val="clear" w:color="auto" w:fill="auto"/>
            <w:noWrap/>
            <w:vAlign w:val="center"/>
            <w:hideMark/>
          </w:tcPr>
          <w:p w14:paraId="1493AD47"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28</w:t>
            </w:r>
          </w:p>
        </w:tc>
        <w:tc>
          <w:tcPr>
            <w:tcW w:w="1737" w:type="dxa"/>
            <w:tcBorders>
              <w:top w:val="nil"/>
              <w:left w:val="nil"/>
              <w:bottom w:val="single" w:sz="4" w:space="0" w:color="auto"/>
              <w:right w:val="single" w:sz="4" w:space="0" w:color="auto"/>
            </w:tcBorders>
            <w:shd w:val="clear" w:color="auto" w:fill="auto"/>
            <w:noWrap/>
            <w:vAlign w:val="center"/>
            <w:hideMark/>
          </w:tcPr>
          <w:p w14:paraId="006B3C5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27</w:t>
            </w:r>
          </w:p>
        </w:tc>
      </w:tr>
      <w:tr w:rsidR="00C61C41" w:rsidRPr="00C61C41" w14:paraId="7FAABF03"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363FC74"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w:t>
            </w:r>
          </w:p>
        </w:tc>
        <w:tc>
          <w:tcPr>
            <w:tcW w:w="4241" w:type="dxa"/>
            <w:tcBorders>
              <w:top w:val="nil"/>
              <w:left w:val="nil"/>
              <w:bottom w:val="single" w:sz="4" w:space="0" w:color="auto"/>
              <w:right w:val="single" w:sz="4" w:space="0" w:color="auto"/>
            </w:tcBorders>
            <w:shd w:val="clear" w:color="auto" w:fill="auto"/>
            <w:noWrap/>
            <w:vAlign w:val="center"/>
            <w:hideMark/>
          </w:tcPr>
          <w:p w14:paraId="2DD8911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Total marketing cost</w:t>
            </w:r>
          </w:p>
        </w:tc>
        <w:tc>
          <w:tcPr>
            <w:tcW w:w="1872" w:type="dxa"/>
            <w:tcBorders>
              <w:top w:val="nil"/>
              <w:left w:val="nil"/>
              <w:bottom w:val="single" w:sz="4" w:space="0" w:color="auto"/>
              <w:right w:val="single" w:sz="4" w:space="0" w:color="auto"/>
            </w:tcBorders>
            <w:shd w:val="clear" w:color="auto" w:fill="auto"/>
            <w:noWrap/>
            <w:vAlign w:val="center"/>
            <w:hideMark/>
          </w:tcPr>
          <w:p w14:paraId="6843289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13.9</w:t>
            </w:r>
          </w:p>
        </w:tc>
        <w:tc>
          <w:tcPr>
            <w:tcW w:w="1737" w:type="dxa"/>
            <w:tcBorders>
              <w:top w:val="nil"/>
              <w:left w:val="nil"/>
              <w:bottom w:val="single" w:sz="4" w:space="0" w:color="auto"/>
              <w:right w:val="single" w:sz="4" w:space="0" w:color="auto"/>
            </w:tcBorders>
            <w:shd w:val="clear" w:color="auto" w:fill="auto"/>
            <w:noWrap/>
            <w:vAlign w:val="center"/>
            <w:hideMark/>
          </w:tcPr>
          <w:p w14:paraId="7378E30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14.85</w:t>
            </w:r>
          </w:p>
        </w:tc>
      </w:tr>
      <w:tr w:rsidR="00C61C41" w:rsidRPr="00C61C41" w14:paraId="1650EAC4"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546EC1E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3</w:t>
            </w:r>
          </w:p>
        </w:tc>
        <w:tc>
          <w:tcPr>
            <w:tcW w:w="4241" w:type="dxa"/>
            <w:tcBorders>
              <w:top w:val="nil"/>
              <w:left w:val="nil"/>
              <w:bottom w:val="single" w:sz="4" w:space="0" w:color="auto"/>
              <w:right w:val="single" w:sz="4" w:space="0" w:color="auto"/>
            </w:tcBorders>
            <w:shd w:val="clear" w:color="auto" w:fill="auto"/>
            <w:noWrap/>
            <w:vAlign w:val="center"/>
            <w:hideMark/>
          </w:tcPr>
          <w:p w14:paraId="3811F02C"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Consumer's price (processed dry leaf)</w:t>
            </w:r>
          </w:p>
        </w:tc>
        <w:tc>
          <w:tcPr>
            <w:tcW w:w="1872" w:type="dxa"/>
            <w:tcBorders>
              <w:top w:val="nil"/>
              <w:left w:val="nil"/>
              <w:bottom w:val="single" w:sz="4" w:space="0" w:color="auto"/>
              <w:right w:val="single" w:sz="4" w:space="0" w:color="auto"/>
            </w:tcBorders>
            <w:shd w:val="clear" w:color="auto" w:fill="auto"/>
            <w:noWrap/>
            <w:vAlign w:val="center"/>
            <w:hideMark/>
          </w:tcPr>
          <w:p w14:paraId="23378A5F"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113</w:t>
            </w:r>
          </w:p>
        </w:tc>
        <w:tc>
          <w:tcPr>
            <w:tcW w:w="1737" w:type="dxa"/>
            <w:tcBorders>
              <w:top w:val="nil"/>
              <w:left w:val="nil"/>
              <w:bottom w:val="single" w:sz="4" w:space="0" w:color="auto"/>
              <w:right w:val="single" w:sz="4" w:space="0" w:color="auto"/>
            </w:tcBorders>
            <w:shd w:val="clear" w:color="auto" w:fill="auto"/>
            <w:noWrap/>
            <w:vAlign w:val="center"/>
            <w:hideMark/>
          </w:tcPr>
          <w:p w14:paraId="24C435CE"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113</w:t>
            </w:r>
          </w:p>
        </w:tc>
      </w:tr>
      <w:tr w:rsidR="00C61C41" w:rsidRPr="00C61C41" w14:paraId="56C623C8"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394B2D4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4</w:t>
            </w:r>
          </w:p>
        </w:tc>
        <w:tc>
          <w:tcPr>
            <w:tcW w:w="4241" w:type="dxa"/>
            <w:tcBorders>
              <w:top w:val="nil"/>
              <w:left w:val="nil"/>
              <w:bottom w:val="single" w:sz="4" w:space="0" w:color="auto"/>
              <w:right w:val="single" w:sz="4" w:space="0" w:color="auto"/>
            </w:tcBorders>
            <w:shd w:val="clear" w:color="auto" w:fill="auto"/>
            <w:noWrap/>
            <w:vAlign w:val="center"/>
            <w:hideMark/>
          </w:tcPr>
          <w:p w14:paraId="1413FE78"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Producer's share in Consumer's rupee</w:t>
            </w:r>
          </w:p>
        </w:tc>
        <w:tc>
          <w:tcPr>
            <w:tcW w:w="1872" w:type="dxa"/>
            <w:tcBorders>
              <w:top w:val="nil"/>
              <w:left w:val="nil"/>
              <w:bottom w:val="single" w:sz="4" w:space="0" w:color="auto"/>
              <w:right w:val="single" w:sz="4" w:space="0" w:color="auto"/>
            </w:tcBorders>
            <w:shd w:val="clear" w:color="auto" w:fill="auto"/>
            <w:noWrap/>
            <w:vAlign w:val="center"/>
            <w:hideMark/>
          </w:tcPr>
          <w:p w14:paraId="5E15EBA1"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24.78</w:t>
            </w:r>
          </w:p>
        </w:tc>
        <w:tc>
          <w:tcPr>
            <w:tcW w:w="1737" w:type="dxa"/>
            <w:tcBorders>
              <w:top w:val="nil"/>
              <w:left w:val="nil"/>
              <w:bottom w:val="single" w:sz="4" w:space="0" w:color="auto"/>
              <w:right w:val="single" w:sz="4" w:space="0" w:color="auto"/>
            </w:tcBorders>
            <w:shd w:val="clear" w:color="auto" w:fill="auto"/>
            <w:noWrap/>
            <w:vAlign w:val="center"/>
            <w:hideMark/>
          </w:tcPr>
          <w:p w14:paraId="09FD558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23.89</w:t>
            </w:r>
          </w:p>
        </w:tc>
      </w:tr>
      <w:tr w:rsidR="00C61C41" w:rsidRPr="00C61C41" w14:paraId="51A6B992"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A579B68"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5</w:t>
            </w:r>
          </w:p>
        </w:tc>
        <w:tc>
          <w:tcPr>
            <w:tcW w:w="4241" w:type="dxa"/>
            <w:tcBorders>
              <w:top w:val="nil"/>
              <w:left w:val="nil"/>
              <w:bottom w:val="single" w:sz="4" w:space="0" w:color="auto"/>
              <w:right w:val="single" w:sz="4" w:space="0" w:color="auto"/>
            </w:tcBorders>
            <w:shd w:val="clear" w:color="auto" w:fill="auto"/>
            <w:noWrap/>
            <w:vAlign w:val="center"/>
            <w:hideMark/>
          </w:tcPr>
          <w:p w14:paraId="5DF19FE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Price spread</w:t>
            </w:r>
          </w:p>
        </w:tc>
        <w:tc>
          <w:tcPr>
            <w:tcW w:w="1872" w:type="dxa"/>
            <w:tcBorders>
              <w:top w:val="nil"/>
              <w:left w:val="nil"/>
              <w:bottom w:val="single" w:sz="4" w:space="0" w:color="auto"/>
              <w:right w:val="single" w:sz="4" w:space="0" w:color="auto"/>
            </w:tcBorders>
            <w:shd w:val="clear" w:color="auto" w:fill="auto"/>
            <w:noWrap/>
            <w:vAlign w:val="center"/>
            <w:hideMark/>
          </w:tcPr>
          <w:p w14:paraId="1990207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85</w:t>
            </w:r>
          </w:p>
        </w:tc>
        <w:tc>
          <w:tcPr>
            <w:tcW w:w="1737" w:type="dxa"/>
            <w:tcBorders>
              <w:top w:val="nil"/>
              <w:left w:val="nil"/>
              <w:bottom w:val="single" w:sz="4" w:space="0" w:color="auto"/>
              <w:right w:val="single" w:sz="4" w:space="0" w:color="auto"/>
            </w:tcBorders>
            <w:shd w:val="clear" w:color="auto" w:fill="auto"/>
            <w:noWrap/>
            <w:vAlign w:val="center"/>
            <w:hideMark/>
          </w:tcPr>
          <w:p w14:paraId="493A038B"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86</w:t>
            </w:r>
          </w:p>
        </w:tc>
      </w:tr>
      <w:tr w:rsidR="00C61C41" w:rsidRPr="00C61C41" w14:paraId="7D68C54F"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429FA3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6</w:t>
            </w:r>
          </w:p>
        </w:tc>
        <w:tc>
          <w:tcPr>
            <w:tcW w:w="4241" w:type="dxa"/>
            <w:tcBorders>
              <w:top w:val="nil"/>
              <w:left w:val="nil"/>
              <w:bottom w:val="single" w:sz="4" w:space="0" w:color="auto"/>
              <w:right w:val="single" w:sz="4" w:space="0" w:color="auto"/>
            </w:tcBorders>
            <w:shd w:val="clear" w:color="auto" w:fill="auto"/>
            <w:noWrap/>
            <w:vAlign w:val="center"/>
            <w:hideMark/>
          </w:tcPr>
          <w:p w14:paraId="59710A90"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Marketing Efficiency</w:t>
            </w:r>
          </w:p>
        </w:tc>
        <w:tc>
          <w:tcPr>
            <w:tcW w:w="1872" w:type="dxa"/>
            <w:tcBorders>
              <w:top w:val="nil"/>
              <w:left w:val="nil"/>
              <w:bottom w:val="single" w:sz="4" w:space="0" w:color="auto"/>
              <w:right w:val="single" w:sz="4" w:space="0" w:color="auto"/>
            </w:tcBorders>
            <w:shd w:val="clear" w:color="auto" w:fill="auto"/>
            <w:noWrap/>
            <w:vAlign w:val="center"/>
            <w:hideMark/>
          </w:tcPr>
          <w:p w14:paraId="60AF167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8.13</w:t>
            </w:r>
          </w:p>
        </w:tc>
        <w:tc>
          <w:tcPr>
            <w:tcW w:w="1737" w:type="dxa"/>
            <w:tcBorders>
              <w:top w:val="nil"/>
              <w:left w:val="nil"/>
              <w:bottom w:val="single" w:sz="4" w:space="0" w:color="auto"/>
              <w:right w:val="single" w:sz="4" w:space="0" w:color="auto"/>
            </w:tcBorders>
            <w:shd w:val="clear" w:color="auto" w:fill="auto"/>
            <w:noWrap/>
            <w:vAlign w:val="center"/>
            <w:hideMark/>
          </w:tcPr>
          <w:p w14:paraId="37FCEEFA"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7.60</w:t>
            </w:r>
          </w:p>
        </w:tc>
      </w:tr>
    </w:tbl>
    <w:p w14:paraId="140FB993" w14:textId="77777777" w:rsidR="00C61C41" w:rsidRDefault="00C61C41" w:rsidP="00C61C41">
      <w:pPr>
        <w:spacing w:line="360" w:lineRule="auto"/>
        <w:jc w:val="both"/>
        <w:rPr>
          <w:rFonts w:ascii="Arial" w:hAnsi="Arial" w:cs="Arial"/>
          <w:b/>
          <w:bCs/>
          <w:color w:val="0D0D0D"/>
          <w:sz w:val="20"/>
          <w:szCs w:val="20"/>
          <w:lang w:val="en-IN"/>
        </w:rPr>
      </w:pPr>
    </w:p>
    <w:p w14:paraId="0DE9684D" w14:textId="26F836DF" w:rsidR="00C61C41" w:rsidRDefault="00C61C41" w:rsidP="00C61C41">
      <w:pPr>
        <w:pStyle w:val="ListParagraph"/>
        <w:numPr>
          <w:ilvl w:val="1"/>
          <w:numId w:val="11"/>
        </w:numPr>
        <w:rPr>
          <w:rFonts w:ascii="Arial" w:hAnsi="Arial" w:cs="Arial"/>
          <w:b/>
          <w:bCs/>
          <w:color w:val="0D0D0D"/>
          <w:sz w:val="20"/>
          <w:szCs w:val="20"/>
          <w:lang w:val="en-IN"/>
        </w:rPr>
      </w:pPr>
      <w:r w:rsidRPr="00C61C41">
        <w:rPr>
          <w:rFonts w:ascii="Arial" w:hAnsi="Arial" w:cs="Arial"/>
          <w:b/>
          <w:bCs/>
          <w:color w:val="0D0D0D"/>
          <w:sz w:val="20"/>
          <w:szCs w:val="20"/>
          <w:lang w:val="en-IN"/>
        </w:rPr>
        <w:t xml:space="preserve">Constraints </w:t>
      </w:r>
      <w:r>
        <w:rPr>
          <w:rFonts w:ascii="Arial" w:hAnsi="Arial" w:cs="Arial"/>
          <w:b/>
          <w:bCs/>
          <w:color w:val="0D0D0D"/>
          <w:sz w:val="20"/>
          <w:szCs w:val="20"/>
          <w:lang w:val="en-IN"/>
        </w:rPr>
        <w:t>faced by the</w:t>
      </w:r>
      <w:r w:rsidRPr="00C61C41">
        <w:rPr>
          <w:rFonts w:ascii="Arial" w:hAnsi="Arial" w:cs="Arial"/>
          <w:b/>
          <w:bCs/>
          <w:color w:val="0D0D0D"/>
          <w:sz w:val="20"/>
          <w:szCs w:val="20"/>
          <w:lang w:val="en-IN"/>
        </w:rPr>
        <w:t xml:space="preserve"> small tea growers in production and marketing of green leaf</w:t>
      </w:r>
    </w:p>
    <w:p w14:paraId="78DAD923" w14:textId="6B3E24C2" w:rsidR="00C61C41" w:rsidRPr="00882685" w:rsidRDefault="00C61C41" w:rsidP="00C61C41">
      <w:pPr>
        <w:pStyle w:val="ListParagraph"/>
        <w:numPr>
          <w:ilvl w:val="0"/>
          <w:numId w:val="18"/>
        </w:numPr>
        <w:rPr>
          <w:rFonts w:ascii="Arial" w:hAnsi="Arial" w:cs="Arial"/>
          <w:b/>
          <w:bCs/>
          <w:color w:val="0D0D0D"/>
          <w:sz w:val="20"/>
          <w:szCs w:val="20"/>
        </w:rPr>
      </w:pPr>
      <w:r w:rsidRPr="00882685">
        <w:rPr>
          <w:rFonts w:ascii="Arial" w:hAnsi="Arial" w:cs="Arial"/>
          <w:b/>
          <w:bCs/>
          <w:color w:val="0D0D0D"/>
          <w:sz w:val="20"/>
          <w:szCs w:val="20"/>
        </w:rPr>
        <w:t>Production constraints</w:t>
      </w:r>
    </w:p>
    <w:p w14:paraId="464FEF9A" w14:textId="35775721" w:rsidR="00C61C41" w:rsidRPr="00882685" w:rsidRDefault="00C61C41" w:rsidP="00C61C41">
      <w:pPr>
        <w:spacing w:before="100" w:beforeAutospacing="1" w:after="100" w:afterAutospacing="1" w:line="360" w:lineRule="auto"/>
        <w:jc w:val="both"/>
        <w:rPr>
          <w:rFonts w:ascii="Arial" w:hAnsi="Arial" w:cs="Arial"/>
          <w:sz w:val="20"/>
          <w:szCs w:val="20"/>
        </w:rPr>
      </w:pPr>
      <w:r w:rsidRPr="00882685">
        <w:rPr>
          <w:rFonts w:ascii="Arial" w:hAnsi="Arial" w:cs="Arial"/>
          <w:sz w:val="20"/>
          <w:szCs w:val="20"/>
        </w:rPr>
        <w:t>The table</w:t>
      </w:r>
      <w:r w:rsidR="008E59C8">
        <w:rPr>
          <w:rFonts w:ascii="Arial" w:hAnsi="Arial" w:cs="Arial"/>
          <w:sz w:val="20"/>
          <w:szCs w:val="20"/>
        </w:rPr>
        <w:t>.2.</w:t>
      </w:r>
      <w:r w:rsidRPr="00882685">
        <w:rPr>
          <w:rFonts w:ascii="Arial" w:hAnsi="Arial" w:cs="Arial"/>
          <w:sz w:val="20"/>
          <w:szCs w:val="20"/>
        </w:rPr>
        <w:t xml:space="preserve"> presents a ranking of various production constraints faced by farmers, based on Garrett mean scores. This method quantifies farmers’ perceptions to identify which issues are most pressing in their agricultural activities. Each constraint is scored and ranked accordingly — a higher Garrett score indicates a more severe constraint.</w:t>
      </w:r>
      <w:r w:rsidR="00882685">
        <w:rPr>
          <w:rFonts w:ascii="Arial" w:hAnsi="Arial" w:cs="Arial"/>
          <w:sz w:val="20"/>
          <w:szCs w:val="20"/>
        </w:rPr>
        <w:t xml:space="preserve"> </w:t>
      </w:r>
      <w:r w:rsidRPr="00882685">
        <w:rPr>
          <w:rFonts w:ascii="Arial" w:hAnsi="Arial" w:cs="Arial"/>
          <w:sz w:val="20"/>
          <w:szCs w:val="20"/>
        </w:rPr>
        <w:t>Weather unpredictability emerged as the most critical issue with a Garrett score of 57.82. This includes irregular rainfall, droughts, floods, and temperature extremes that directly impact crop yields. Since weather is beyond human control and highly influential in agriculture, it's understandable why farmers see it as their biggest challenge.</w:t>
      </w:r>
    </w:p>
    <w:p w14:paraId="054CD8E1" w14:textId="2596070A" w:rsidR="00C61C41" w:rsidRPr="00882685" w:rsidRDefault="00C61C41" w:rsidP="00C61C41">
      <w:pPr>
        <w:spacing w:before="100" w:beforeAutospacing="1" w:after="100" w:afterAutospacing="1" w:line="360" w:lineRule="auto"/>
        <w:jc w:val="both"/>
        <w:rPr>
          <w:rFonts w:ascii="Arial" w:hAnsi="Arial" w:cs="Arial"/>
          <w:sz w:val="20"/>
          <w:szCs w:val="20"/>
        </w:rPr>
      </w:pPr>
      <w:r w:rsidRPr="00882685">
        <w:rPr>
          <w:rFonts w:ascii="Arial" w:hAnsi="Arial" w:cs="Arial"/>
          <w:sz w:val="20"/>
          <w:szCs w:val="20"/>
        </w:rPr>
        <w:t>Farmers also face uncertainty in market prices for their produce</w:t>
      </w:r>
      <w:r w:rsidR="00882685">
        <w:rPr>
          <w:rFonts w:ascii="Arial" w:hAnsi="Arial" w:cs="Arial"/>
          <w:sz w:val="20"/>
          <w:szCs w:val="20"/>
        </w:rPr>
        <w:t xml:space="preserve">. </w:t>
      </w:r>
      <w:r w:rsidRPr="00882685">
        <w:rPr>
          <w:rFonts w:ascii="Arial" w:hAnsi="Arial" w:cs="Arial"/>
          <w:sz w:val="20"/>
          <w:szCs w:val="20"/>
        </w:rPr>
        <w:t xml:space="preserve">When prices drop unexpectedly after harvest, their incomes suffer, making this the second most significant constraint. This economic instability can discourage farmers from investing in quality inputs for future seasons. </w:t>
      </w:r>
      <w:proofErr w:type="spellStart"/>
      <w:r w:rsidRPr="00882685">
        <w:rPr>
          <w:rFonts w:ascii="Arial" w:hAnsi="Arial" w:cs="Arial"/>
          <w:sz w:val="20"/>
          <w:szCs w:val="20"/>
        </w:rPr>
        <w:t>Labour</w:t>
      </w:r>
      <w:proofErr w:type="spellEnd"/>
      <w:r w:rsidRPr="00882685">
        <w:rPr>
          <w:rFonts w:ascii="Arial" w:hAnsi="Arial" w:cs="Arial"/>
          <w:sz w:val="20"/>
          <w:szCs w:val="20"/>
        </w:rPr>
        <w:t xml:space="preserve"> shortages, especially during peak farming seasons like sowing and harvesting, create </w:t>
      </w:r>
      <w:r w:rsidRPr="00882685">
        <w:rPr>
          <w:rFonts w:ascii="Arial" w:hAnsi="Arial" w:cs="Arial"/>
          <w:sz w:val="20"/>
          <w:szCs w:val="20"/>
        </w:rPr>
        <w:lastRenderedPageBreak/>
        <w:t>delays and inefficiencies. Urban migration and lack of skilled workers contribute to this issue, making it a major concern for smooth farm operations.</w:t>
      </w:r>
    </w:p>
    <w:p w14:paraId="0CBF3F31" w14:textId="49F4FB5B" w:rsidR="00882685" w:rsidRPr="00882685" w:rsidRDefault="00C61C41" w:rsidP="00882685">
      <w:pPr>
        <w:spacing w:before="100" w:beforeAutospacing="1" w:after="100" w:afterAutospacing="1" w:line="360" w:lineRule="auto"/>
        <w:jc w:val="both"/>
        <w:rPr>
          <w:rFonts w:ascii="Arial" w:hAnsi="Arial" w:cs="Arial"/>
          <w:sz w:val="20"/>
          <w:szCs w:val="20"/>
        </w:rPr>
      </w:pPr>
      <w:r w:rsidRPr="00882685">
        <w:rPr>
          <w:rFonts w:ascii="Arial" w:hAnsi="Arial" w:cs="Arial"/>
          <w:sz w:val="20"/>
          <w:szCs w:val="20"/>
        </w:rPr>
        <w:t>Many farmers struggle to access credit or sufficient financial resources</w:t>
      </w:r>
      <w:r w:rsidR="00882685" w:rsidRPr="00882685">
        <w:rPr>
          <w:rFonts w:ascii="Arial" w:hAnsi="Arial" w:cs="Arial"/>
          <w:sz w:val="20"/>
          <w:szCs w:val="20"/>
        </w:rPr>
        <w:t xml:space="preserve"> which was another challenge faced by the growers</w:t>
      </w:r>
      <w:r w:rsidRPr="00882685">
        <w:rPr>
          <w:rFonts w:ascii="Arial" w:hAnsi="Arial" w:cs="Arial"/>
          <w:sz w:val="20"/>
          <w:szCs w:val="20"/>
        </w:rPr>
        <w:t>. Without adequate capital, they</w:t>
      </w:r>
      <w:r w:rsidR="00882685" w:rsidRPr="00882685">
        <w:rPr>
          <w:rFonts w:ascii="Arial" w:hAnsi="Arial" w:cs="Arial"/>
          <w:sz w:val="20"/>
          <w:szCs w:val="20"/>
        </w:rPr>
        <w:t xml:space="preserve"> were facing difficulty to</w:t>
      </w:r>
      <w:r w:rsidRPr="00882685">
        <w:rPr>
          <w:rFonts w:ascii="Arial" w:hAnsi="Arial" w:cs="Arial"/>
          <w:sz w:val="20"/>
          <w:szCs w:val="20"/>
        </w:rPr>
        <w:t xml:space="preserve"> buy seeds, fertilizers, machinery, or pay for </w:t>
      </w:r>
      <w:proofErr w:type="spellStart"/>
      <w:r w:rsidRPr="00882685">
        <w:rPr>
          <w:rFonts w:ascii="Arial" w:hAnsi="Arial" w:cs="Arial"/>
          <w:sz w:val="20"/>
          <w:szCs w:val="20"/>
        </w:rPr>
        <w:t>labour</w:t>
      </w:r>
      <w:proofErr w:type="spellEnd"/>
      <w:r w:rsidRPr="00882685">
        <w:rPr>
          <w:rFonts w:ascii="Arial" w:hAnsi="Arial" w:cs="Arial"/>
          <w:sz w:val="20"/>
          <w:szCs w:val="20"/>
        </w:rPr>
        <w:t>, leading to compromised productivity.</w:t>
      </w:r>
      <w:r w:rsidR="00882685" w:rsidRPr="00882685">
        <w:rPr>
          <w:rFonts w:ascii="Arial" w:hAnsi="Arial" w:cs="Arial"/>
          <w:sz w:val="20"/>
          <w:szCs w:val="20"/>
        </w:rPr>
        <w:t xml:space="preserve"> </w:t>
      </w:r>
    </w:p>
    <w:p w14:paraId="1C26907D" w14:textId="645CDAEE" w:rsidR="00C61C41" w:rsidRPr="00882685" w:rsidRDefault="00C61C41" w:rsidP="00882685">
      <w:pPr>
        <w:spacing w:before="100" w:beforeAutospacing="1" w:after="100" w:afterAutospacing="1" w:line="360" w:lineRule="auto"/>
        <w:jc w:val="both"/>
        <w:rPr>
          <w:rFonts w:ascii="Arial" w:hAnsi="Arial" w:cs="Arial"/>
          <w:sz w:val="20"/>
          <w:szCs w:val="20"/>
        </w:rPr>
      </w:pPr>
      <w:r w:rsidRPr="00882685">
        <w:rPr>
          <w:rFonts w:ascii="Arial" w:hAnsi="Arial" w:cs="Arial"/>
          <w:sz w:val="20"/>
          <w:szCs w:val="20"/>
        </w:rPr>
        <w:t>A gap in awareness or training regarding modern farming practices, new technologies, and scientific methods limits the ability of farmers to improve their yields. This constraint points to the need for better agricultural extension services and farmer education.</w:t>
      </w:r>
      <w:r w:rsidR="00882685" w:rsidRPr="00882685">
        <w:rPr>
          <w:rFonts w:ascii="Arial" w:hAnsi="Arial" w:cs="Arial"/>
          <w:sz w:val="20"/>
          <w:szCs w:val="20"/>
        </w:rPr>
        <w:t xml:space="preserve"> </w:t>
      </w:r>
      <w:r w:rsidRPr="00882685">
        <w:rPr>
          <w:rFonts w:ascii="Arial" w:hAnsi="Arial" w:cs="Arial"/>
          <w:sz w:val="20"/>
          <w:szCs w:val="20"/>
        </w:rPr>
        <w:t xml:space="preserve">Crop damage from pests and plant diseases </w:t>
      </w:r>
      <w:r w:rsidR="00882685" w:rsidRPr="00882685">
        <w:rPr>
          <w:rFonts w:ascii="Arial" w:hAnsi="Arial" w:cs="Arial"/>
          <w:sz w:val="20"/>
          <w:szCs w:val="20"/>
        </w:rPr>
        <w:t xml:space="preserve">was seen to </w:t>
      </w:r>
      <w:r w:rsidRPr="00882685">
        <w:rPr>
          <w:rFonts w:ascii="Arial" w:hAnsi="Arial" w:cs="Arial"/>
          <w:sz w:val="20"/>
          <w:szCs w:val="20"/>
        </w:rPr>
        <w:t>continue to be a serious</w:t>
      </w:r>
      <w:r w:rsidR="00882685">
        <w:rPr>
          <w:rFonts w:ascii="Arial" w:hAnsi="Arial" w:cs="Arial"/>
          <w:sz w:val="20"/>
          <w:szCs w:val="20"/>
        </w:rPr>
        <w:t xml:space="preserve"> </w:t>
      </w:r>
      <w:r w:rsidRPr="00882685">
        <w:rPr>
          <w:rFonts w:ascii="Arial" w:hAnsi="Arial" w:cs="Arial"/>
          <w:sz w:val="20"/>
          <w:szCs w:val="20"/>
        </w:rPr>
        <w:t xml:space="preserve">concern. </w:t>
      </w:r>
      <w:r w:rsidRPr="00882685">
        <w:rPr>
          <w:rFonts w:ascii="Arial" w:hAnsi="Arial" w:cs="Arial"/>
          <w:sz w:val="20"/>
          <w:szCs w:val="20"/>
        </w:rPr>
        <w:br/>
        <w:t>Sometimes, essential fertilizers are either unavailable locally or arrive too late in the season. Delayed or insufficient access can severely affect plant growth and productivity.</w:t>
      </w:r>
      <w:r w:rsidRPr="00882685">
        <w:rPr>
          <w:rFonts w:ascii="Arial" w:hAnsi="Arial" w:cs="Arial"/>
          <w:sz w:val="20"/>
          <w:szCs w:val="20"/>
        </w:rPr>
        <w:br/>
        <w:t>While rainfall is a primary</w:t>
      </w:r>
      <w:r w:rsidR="00882685" w:rsidRPr="00882685">
        <w:rPr>
          <w:rFonts w:ascii="Arial" w:hAnsi="Arial" w:cs="Arial"/>
          <w:sz w:val="20"/>
          <w:szCs w:val="20"/>
        </w:rPr>
        <w:t xml:space="preserve"> </w:t>
      </w:r>
      <w:r w:rsidRPr="00882685">
        <w:rPr>
          <w:rFonts w:ascii="Arial" w:hAnsi="Arial" w:cs="Arial"/>
          <w:sz w:val="20"/>
          <w:szCs w:val="20"/>
        </w:rPr>
        <w:t xml:space="preserve">source </w:t>
      </w:r>
      <w:r w:rsidR="00882685" w:rsidRPr="00882685">
        <w:rPr>
          <w:rFonts w:ascii="Arial" w:hAnsi="Arial" w:cs="Arial"/>
          <w:sz w:val="20"/>
          <w:szCs w:val="20"/>
        </w:rPr>
        <w:t xml:space="preserve">of irrigation </w:t>
      </w:r>
      <w:r w:rsidRPr="00882685">
        <w:rPr>
          <w:rFonts w:ascii="Arial" w:hAnsi="Arial" w:cs="Arial"/>
          <w:sz w:val="20"/>
          <w:szCs w:val="20"/>
        </w:rPr>
        <w:t>for</w:t>
      </w:r>
      <w:r w:rsidR="00882685" w:rsidRPr="00882685">
        <w:rPr>
          <w:rFonts w:ascii="Arial" w:hAnsi="Arial" w:cs="Arial"/>
          <w:sz w:val="20"/>
          <w:szCs w:val="20"/>
        </w:rPr>
        <w:t xml:space="preserve"> the small tea growers in the study area</w:t>
      </w:r>
      <w:r w:rsidRPr="00882685">
        <w:rPr>
          <w:rFonts w:ascii="Arial" w:hAnsi="Arial" w:cs="Arial"/>
          <w:sz w:val="20"/>
          <w:szCs w:val="20"/>
        </w:rPr>
        <w:t>, lack of supplementary irrigation infrastructure limits their ability to sustain crops during dry spells. This constraint is more prominent in rainfed areas.</w:t>
      </w:r>
      <w:r w:rsidR="00882685">
        <w:rPr>
          <w:rFonts w:ascii="Arial" w:hAnsi="Arial" w:cs="Arial"/>
          <w:sz w:val="20"/>
          <w:szCs w:val="20"/>
        </w:rPr>
        <w:t xml:space="preserve"> </w:t>
      </w:r>
      <w:r w:rsidRPr="00882685">
        <w:rPr>
          <w:rFonts w:ascii="Arial" w:hAnsi="Arial" w:cs="Arial"/>
          <w:sz w:val="20"/>
          <w:szCs w:val="20"/>
        </w:rPr>
        <w:t>Like fertilizers, access to timely and effective pesticides is crucial. Farmers ranked this issue lower compared to others but still considered it a barrier, particularly when pest outbreaks occur.</w:t>
      </w:r>
    </w:p>
    <w:p w14:paraId="0E81D119" w14:textId="1287065F" w:rsidR="00C61C41" w:rsidRPr="00882685" w:rsidRDefault="00C61C41" w:rsidP="00882685">
      <w:pPr>
        <w:spacing w:before="100" w:beforeAutospacing="1" w:after="100" w:afterAutospacing="1" w:line="360" w:lineRule="auto"/>
        <w:jc w:val="both"/>
        <w:rPr>
          <w:rFonts w:ascii="Arial" w:hAnsi="Arial" w:cs="Arial"/>
          <w:sz w:val="20"/>
          <w:szCs w:val="20"/>
        </w:rPr>
      </w:pPr>
      <w:r w:rsidRPr="00882685">
        <w:rPr>
          <w:rFonts w:ascii="Arial" w:hAnsi="Arial" w:cs="Arial"/>
          <w:sz w:val="20"/>
          <w:szCs w:val="20"/>
        </w:rPr>
        <w:t>Poor roads and lack of reliable transport make it difficult to move produce to markets, leading to spoilage or delays. Although it ranks last, this factor still affects profitability, especially for perishable goods.</w:t>
      </w:r>
    </w:p>
    <w:p w14:paraId="6EB9B595" w14:textId="3E565A04" w:rsidR="004411F1" w:rsidRDefault="004411F1" w:rsidP="00C61C41">
      <w:pPr>
        <w:spacing w:before="100" w:beforeAutospacing="1" w:after="100" w:afterAutospacing="1" w:line="360" w:lineRule="auto"/>
        <w:jc w:val="both"/>
        <w:rPr>
          <w:rFonts w:ascii="Arial" w:hAnsi="Arial" w:cs="Arial"/>
          <w:b/>
          <w:bCs/>
          <w:sz w:val="20"/>
          <w:szCs w:val="20"/>
        </w:rPr>
      </w:pPr>
      <w:r>
        <w:rPr>
          <w:rFonts w:ascii="Arial" w:hAnsi="Arial" w:cs="Arial"/>
          <w:b/>
          <w:bCs/>
          <w:sz w:val="20"/>
          <w:szCs w:val="20"/>
        </w:rPr>
        <w:t>Table.</w:t>
      </w:r>
      <w:r w:rsidR="008E59C8">
        <w:rPr>
          <w:rFonts w:ascii="Arial" w:hAnsi="Arial" w:cs="Arial"/>
          <w:b/>
          <w:bCs/>
          <w:sz w:val="20"/>
          <w:szCs w:val="20"/>
        </w:rPr>
        <w:t>2</w:t>
      </w:r>
      <w:r>
        <w:rPr>
          <w:rFonts w:ascii="Arial" w:hAnsi="Arial" w:cs="Arial"/>
          <w:b/>
          <w:bCs/>
          <w:sz w:val="20"/>
          <w:szCs w:val="20"/>
        </w:rPr>
        <w:t>.: Production constraints faced by small tea growers</w:t>
      </w:r>
    </w:p>
    <w:tbl>
      <w:tblPr>
        <w:tblStyle w:val="TableGrid"/>
        <w:tblW w:w="8940" w:type="dxa"/>
        <w:tblLook w:val="04A0" w:firstRow="1" w:lastRow="0" w:firstColumn="1" w:lastColumn="0" w:noHBand="0" w:noVBand="1"/>
      </w:tblPr>
      <w:tblGrid>
        <w:gridCol w:w="999"/>
        <w:gridCol w:w="3652"/>
        <w:gridCol w:w="2524"/>
        <w:gridCol w:w="1765"/>
      </w:tblGrid>
      <w:tr w:rsidR="004411F1" w:rsidRPr="004411F1" w14:paraId="3F5F1CBD" w14:textId="77777777" w:rsidTr="005C1D99">
        <w:trPr>
          <w:trHeight w:val="243"/>
        </w:trPr>
        <w:tc>
          <w:tcPr>
            <w:tcW w:w="999" w:type="dxa"/>
            <w:vAlign w:val="center"/>
          </w:tcPr>
          <w:p w14:paraId="292E17AD"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Sl. No.</w:t>
            </w:r>
          </w:p>
        </w:tc>
        <w:tc>
          <w:tcPr>
            <w:tcW w:w="3652" w:type="dxa"/>
            <w:vAlign w:val="center"/>
          </w:tcPr>
          <w:p w14:paraId="684F1EFD"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Production Constraint</w:t>
            </w:r>
          </w:p>
        </w:tc>
        <w:tc>
          <w:tcPr>
            <w:tcW w:w="2524" w:type="dxa"/>
            <w:vAlign w:val="center"/>
          </w:tcPr>
          <w:p w14:paraId="3E64B344"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 xml:space="preserve">Garrett </w:t>
            </w:r>
            <w:proofErr w:type="gramStart"/>
            <w:r w:rsidRPr="004411F1">
              <w:rPr>
                <w:rFonts w:ascii="Arial" w:hAnsi="Arial" w:cs="Arial"/>
                <w:b/>
                <w:bCs/>
                <w:color w:val="0D0D0D"/>
                <w:sz w:val="20"/>
                <w:szCs w:val="20"/>
              </w:rPr>
              <w:t>mean</w:t>
            </w:r>
            <w:proofErr w:type="gramEnd"/>
            <w:r w:rsidRPr="004411F1">
              <w:rPr>
                <w:rFonts w:ascii="Arial" w:hAnsi="Arial" w:cs="Arial"/>
                <w:b/>
                <w:bCs/>
                <w:color w:val="0D0D0D"/>
                <w:sz w:val="20"/>
                <w:szCs w:val="20"/>
              </w:rPr>
              <w:t xml:space="preserve"> score</w:t>
            </w:r>
          </w:p>
        </w:tc>
        <w:tc>
          <w:tcPr>
            <w:tcW w:w="1765" w:type="dxa"/>
            <w:vAlign w:val="center"/>
          </w:tcPr>
          <w:p w14:paraId="383E0C00"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Rank</w:t>
            </w:r>
          </w:p>
        </w:tc>
      </w:tr>
      <w:tr w:rsidR="004411F1" w:rsidRPr="004411F1" w14:paraId="655E0342" w14:textId="77777777" w:rsidTr="005C1D99">
        <w:trPr>
          <w:trHeight w:val="243"/>
        </w:trPr>
        <w:tc>
          <w:tcPr>
            <w:tcW w:w="999" w:type="dxa"/>
            <w:vAlign w:val="center"/>
          </w:tcPr>
          <w:p w14:paraId="3EDE561A"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1</w:t>
            </w:r>
          </w:p>
        </w:tc>
        <w:tc>
          <w:tcPr>
            <w:tcW w:w="3652" w:type="dxa"/>
            <w:vAlign w:val="center"/>
          </w:tcPr>
          <w:p w14:paraId="7299FC4F" w14:textId="77777777" w:rsidR="004411F1" w:rsidRPr="004411F1" w:rsidRDefault="004411F1" w:rsidP="0022574E">
            <w:pPr>
              <w:spacing w:line="360" w:lineRule="auto"/>
              <w:jc w:val="center"/>
              <w:rPr>
                <w:rFonts w:ascii="Arial" w:hAnsi="Arial" w:cs="Arial"/>
                <w:color w:val="0D0D0D"/>
                <w:sz w:val="20"/>
                <w:szCs w:val="20"/>
              </w:rPr>
            </w:pPr>
            <w:proofErr w:type="spellStart"/>
            <w:r w:rsidRPr="004411F1">
              <w:rPr>
                <w:rFonts w:ascii="Arial" w:hAnsi="Arial" w:cs="Arial"/>
                <w:color w:val="0D0D0D"/>
                <w:sz w:val="20"/>
                <w:szCs w:val="20"/>
              </w:rPr>
              <w:t>Unfavourable</w:t>
            </w:r>
            <w:proofErr w:type="spellEnd"/>
            <w:r w:rsidRPr="004411F1">
              <w:rPr>
                <w:rFonts w:ascii="Arial" w:hAnsi="Arial" w:cs="Arial"/>
                <w:color w:val="0D0D0D"/>
                <w:sz w:val="20"/>
                <w:szCs w:val="20"/>
              </w:rPr>
              <w:t xml:space="preserve"> weather</w:t>
            </w:r>
          </w:p>
        </w:tc>
        <w:tc>
          <w:tcPr>
            <w:tcW w:w="2524" w:type="dxa"/>
            <w:vAlign w:val="center"/>
          </w:tcPr>
          <w:p w14:paraId="18714CE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57.82</w:t>
            </w:r>
          </w:p>
        </w:tc>
        <w:tc>
          <w:tcPr>
            <w:tcW w:w="1765" w:type="dxa"/>
            <w:vAlign w:val="center"/>
          </w:tcPr>
          <w:p w14:paraId="4D9EEFB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w:t>
            </w:r>
          </w:p>
        </w:tc>
      </w:tr>
      <w:tr w:rsidR="004411F1" w:rsidRPr="004411F1" w14:paraId="1256BC1F" w14:textId="77777777" w:rsidTr="005C1D99">
        <w:trPr>
          <w:trHeight w:val="243"/>
        </w:trPr>
        <w:tc>
          <w:tcPr>
            <w:tcW w:w="999" w:type="dxa"/>
            <w:vAlign w:val="center"/>
          </w:tcPr>
          <w:p w14:paraId="62AFF06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2</w:t>
            </w:r>
          </w:p>
        </w:tc>
        <w:tc>
          <w:tcPr>
            <w:tcW w:w="3652" w:type="dxa"/>
            <w:vAlign w:val="center"/>
          </w:tcPr>
          <w:p w14:paraId="12A5F80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High output price fluctuations</w:t>
            </w:r>
          </w:p>
        </w:tc>
        <w:tc>
          <w:tcPr>
            <w:tcW w:w="2524" w:type="dxa"/>
            <w:vAlign w:val="center"/>
          </w:tcPr>
          <w:p w14:paraId="042829BD"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56.11</w:t>
            </w:r>
          </w:p>
        </w:tc>
        <w:tc>
          <w:tcPr>
            <w:tcW w:w="1765" w:type="dxa"/>
            <w:vAlign w:val="center"/>
          </w:tcPr>
          <w:p w14:paraId="13D5F64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w:t>
            </w:r>
          </w:p>
        </w:tc>
      </w:tr>
      <w:tr w:rsidR="004411F1" w:rsidRPr="004411F1" w14:paraId="1B0645C1" w14:textId="77777777" w:rsidTr="005C1D99">
        <w:trPr>
          <w:trHeight w:val="243"/>
        </w:trPr>
        <w:tc>
          <w:tcPr>
            <w:tcW w:w="999" w:type="dxa"/>
            <w:vAlign w:val="center"/>
          </w:tcPr>
          <w:p w14:paraId="247BA41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3</w:t>
            </w:r>
          </w:p>
        </w:tc>
        <w:tc>
          <w:tcPr>
            <w:tcW w:w="3652" w:type="dxa"/>
            <w:vAlign w:val="center"/>
          </w:tcPr>
          <w:p w14:paraId="3651D97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 xml:space="preserve">Non-availability of </w:t>
            </w:r>
            <w:proofErr w:type="spellStart"/>
            <w:r w:rsidRPr="004411F1">
              <w:rPr>
                <w:rFonts w:ascii="Arial" w:hAnsi="Arial" w:cs="Arial"/>
                <w:color w:val="0D0D0D"/>
                <w:sz w:val="20"/>
                <w:szCs w:val="20"/>
              </w:rPr>
              <w:t>labour</w:t>
            </w:r>
            <w:proofErr w:type="spellEnd"/>
          </w:p>
        </w:tc>
        <w:tc>
          <w:tcPr>
            <w:tcW w:w="2524" w:type="dxa"/>
            <w:vAlign w:val="center"/>
          </w:tcPr>
          <w:p w14:paraId="7D11B54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52.70</w:t>
            </w:r>
          </w:p>
        </w:tc>
        <w:tc>
          <w:tcPr>
            <w:tcW w:w="1765" w:type="dxa"/>
            <w:vAlign w:val="center"/>
          </w:tcPr>
          <w:p w14:paraId="2B634978"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III</w:t>
            </w:r>
          </w:p>
        </w:tc>
      </w:tr>
      <w:tr w:rsidR="004411F1" w:rsidRPr="004411F1" w14:paraId="24D90F98" w14:textId="77777777" w:rsidTr="005C1D99">
        <w:trPr>
          <w:trHeight w:val="243"/>
        </w:trPr>
        <w:tc>
          <w:tcPr>
            <w:tcW w:w="999" w:type="dxa"/>
            <w:vAlign w:val="center"/>
          </w:tcPr>
          <w:p w14:paraId="5AAEC9B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w:t>
            </w:r>
          </w:p>
        </w:tc>
        <w:tc>
          <w:tcPr>
            <w:tcW w:w="3652" w:type="dxa"/>
            <w:vAlign w:val="center"/>
          </w:tcPr>
          <w:p w14:paraId="7E7C573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adequate finance</w:t>
            </w:r>
          </w:p>
        </w:tc>
        <w:tc>
          <w:tcPr>
            <w:tcW w:w="2524" w:type="dxa"/>
            <w:vAlign w:val="center"/>
          </w:tcPr>
          <w:p w14:paraId="032A3FC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50.69</w:t>
            </w:r>
          </w:p>
        </w:tc>
        <w:tc>
          <w:tcPr>
            <w:tcW w:w="1765" w:type="dxa"/>
            <w:vAlign w:val="center"/>
          </w:tcPr>
          <w:p w14:paraId="06DE9A7B"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IV</w:t>
            </w:r>
          </w:p>
        </w:tc>
      </w:tr>
      <w:tr w:rsidR="004411F1" w:rsidRPr="004411F1" w14:paraId="6CF64A1B" w14:textId="77777777" w:rsidTr="005C1D99">
        <w:trPr>
          <w:trHeight w:val="243"/>
        </w:trPr>
        <w:tc>
          <w:tcPr>
            <w:tcW w:w="999" w:type="dxa"/>
            <w:vAlign w:val="center"/>
          </w:tcPr>
          <w:p w14:paraId="3637F97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w:t>
            </w:r>
          </w:p>
        </w:tc>
        <w:tc>
          <w:tcPr>
            <w:tcW w:w="3652" w:type="dxa"/>
            <w:vAlign w:val="center"/>
          </w:tcPr>
          <w:p w14:paraId="1C69870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technical knowledge</w:t>
            </w:r>
          </w:p>
        </w:tc>
        <w:tc>
          <w:tcPr>
            <w:tcW w:w="2524" w:type="dxa"/>
            <w:vAlign w:val="center"/>
          </w:tcPr>
          <w:p w14:paraId="176F172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49.72</w:t>
            </w:r>
          </w:p>
        </w:tc>
        <w:tc>
          <w:tcPr>
            <w:tcW w:w="1765" w:type="dxa"/>
            <w:vAlign w:val="center"/>
          </w:tcPr>
          <w:p w14:paraId="1BD8F33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w:t>
            </w:r>
          </w:p>
        </w:tc>
      </w:tr>
      <w:tr w:rsidR="004411F1" w:rsidRPr="004411F1" w14:paraId="44D61823" w14:textId="77777777" w:rsidTr="005C1D99">
        <w:trPr>
          <w:trHeight w:val="243"/>
        </w:trPr>
        <w:tc>
          <w:tcPr>
            <w:tcW w:w="999" w:type="dxa"/>
            <w:vAlign w:val="center"/>
          </w:tcPr>
          <w:p w14:paraId="3F85ED9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w:t>
            </w:r>
          </w:p>
        </w:tc>
        <w:tc>
          <w:tcPr>
            <w:tcW w:w="3652" w:type="dxa"/>
            <w:vAlign w:val="center"/>
          </w:tcPr>
          <w:p w14:paraId="0FF77B9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Incidence of pests and diseases</w:t>
            </w:r>
          </w:p>
        </w:tc>
        <w:tc>
          <w:tcPr>
            <w:tcW w:w="2524" w:type="dxa"/>
            <w:vAlign w:val="center"/>
          </w:tcPr>
          <w:p w14:paraId="244E08C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48.68</w:t>
            </w:r>
          </w:p>
        </w:tc>
        <w:tc>
          <w:tcPr>
            <w:tcW w:w="1765" w:type="dxa"/>
            <w:vAlign w:val="center"/>
          </w:tcPr>
          <w:p w14:paraId="60B2C25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w:t>
            </w:r>
          </w:p>
        </w:tc>
      </w:tr>
      <w:tr w:rsidR="004411F1" w:rsidRPr="004411F1" w14:paraId="606C6F16" w14:textId="77777777" w:rsidTr="005C1D99">
        <w:trPr>
          <w:trHeight w:val="243"/>
        </w:trPr>
        <w:tc>
          <w:tcPr>
            <w:tcW w:w="999" w:type="dxa"/>
            <w:vAlign w:val="center"/>
          </w:tcPr>
          <w:p w14:paraId="6468C7B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7</w:t>
            </w:r>
          </w:p>
        </w:tc>
        <w:tc>
          <w:tcPr>
            <w:tcW w:w="3652" w:type="dxa"/>
            <w:vAlign w:val="center"/>
          </w:tcPr>
          <w:p w14:paraId="22C2788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Inadequate availability of fertilizers</w:t>
            </w:r>
          </w:p>
        </w:tc>
        <w:tc>
          <w:tcPr>
            <w:tcW w:w="2524" w:type="dxa"/>
            <w:vAlign w:val="center"/>
          </w:tcPr>
          <w:p w14:paraId="1996534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47.71</w:t>
            </w:r>
          </w:p>
        </w:tc>
        <w:tc>
          <w:tcPr>
            <w:tcW w:w="1765" w:type="dxa"/>
            <w:vAlign w:val="center"/>
          </w:tcPr>
          <w:p w14:paraId="3705467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VII</w:t>
            </w:r>
          </w:p>
        </w:tc>
      </w:tr>
      <w:tr w:rsidR="004411F1" w:rsidRPr="004411F1" w14:paraId="686A39E9" w14:textId="77777777" w:rsidTr="005C1D99">
        <w:trPr>
          <w:trHeight w:val="243"/>
        </w:trPr>
        <w:tc>
          <w:tcPr>
            <w:tcW w:w="999" w:type="dxa"/>
            <w:vAlign w:val="center"/>
          </w:tcPr>
          <w:p w14:paraId="3AEE798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8</w:t>
            </w:r>
          </w:p>
        </w:tc>
        <w:tc>
          <w:tcPr>
            <w:tcW w:w="3652" w:type="dxa"/>
            <w:vAlign w:val="center"/>
          </w:tcPr>
          <w:p w14:paraId="69B833E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irrigation facilities</w:t>
            </w:r>
          </w:p>
        </w:tc>
        <w:tc>
          <w:tcPr>
            <w:tcW w:w="2524" w:type="dxa"/>
            <w:vAlign w:val="center"/>
          </w:tcPr>
          <w:p w14:paraId="5AAB662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47.01</w:t>
            </w:r>
          </w:p>
        </w:tc>
        <w:tc>
          <w:tcPr>
            <w:tcW w:w="1765" w:type="dxa"/>
            <w:vAlign w:val="center"/>
          </w:tcPr>
          <w:p w14:paraId="7C79D19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VIII</w:t>
            </w:r>
          </w:p>
        </w:tc>
      </w:tr>
      <w:tr w:rsidR="004411F1" w:rsidRPr="004411F1" w14:paraId="0CEEFCF6" w14:textId="77777777" w:rsidTr="005C1D99">
        <w:trPr>
          <w:trHeight w:val="243"/>
        </w:trPr>
        <w:tc>
          <w:tcPr>
            <w:tcW w:w="999" w:type="dxa"/>
            <w:vAlign w:val="center"/>
          </w:tcPr>
          <w:p w14:paraId="4E3C985A"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9</w:t>
            </w:r>
          </w:p>
        </w:tc>
        <w:tc>
          <w:tcPr>
            <w:tcW w:w="3652" w:type="dxa"/>
            <w:vAlign w:val="center"/>
          </w:tcPr>
          <w:p w14:paraId="05ADA67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Unavailability of pesticides</w:t>
            </w:r>
          </w:p>
        </w:tc>
        <w:tc>
          <w:tcPr>
            <w:tcW w:w="2524" w:type="dxa"/>
            <w:vAlign w:val="center"/>
          </w:tcPr>
          <w:p w14:paraId="71D6E62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46.41</w:t>
            </w:r>
          </w:p>
        </w:tc>
        <w:tc>
          <w:tcPr>
            <w:tcW w:w="1765" w:type="dxa"/>
            <w:vAlign w:val="center"/>
          </w:tcPr>
          <w:p w14:paraId="5C498E8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IX</w:t>
            </w:r>
          </w:p>
        </w:tc>
      </w:tr>
      <w:tr w:rsidR="004411F1" w:rsidRPr="004411F1" w14:paraId="70D85A17" w14:textId="77777777" w:rsidTr="005C1D99">
        <w:trPr>
          <w:trHeight w:val="243"/>
        </w:trPr>
        <w:tc>
          <w:tcPr>
            <w:tcW w:w="999" w:type="dxa"/>
            <w:vAlign w:val="center"/>
          </w:tcPr>
          <w:p w14:paraId="476B2A4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10</w:t>
            </w:r>
          </w:p>
        </w:tc>
        <w:tc>
          <w:tcPr>
            <w:tcW w:w="3652" w:type="dxa"/>
            <w:vAlign w:val="center"/>
          </w:tcPr>
          <w:p w14:paraId="7540E4FD"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Inadequate transportation facilities</w:t>
            </w:r>
          </w:p>
        </w:tc>
        <w:tc>
          <w:tcPr>
            <w:tcW w:w="2524" w:type="dxa"/>
            <w:vAlign w:val="center"/>
          </w:tcPr>
          <w:p w14:paraId="559DB4E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41.14</w:t>
            </w:r>
          </w:p>
        </w:tc>
        <w:tc>
          <w:tcPr>
            <w:tcW w:w="1765" w:type="dxa"/>
            <w:vAlign w:val="center"/>
          </w:tcPr>
          <w:p w14:paraId="1E31A01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X</w:t>
            </w:r>
          </w:p>
        </w:tc>
      </w:tr>
    </w:tbl>
    <w:p w14:paraId="39C01097" w14:textId="6F30F6A4" w:rsidR="00882685" w:rsidRPr="00603B2D" w:rsidRDefault="00882685" w:rsidP="00603B2D">
      <w:pPr>
        <w:pStyle w:val="ListParagraph"/>
        <w:numPr>
          <w:ilvl w:val="0"/>
          <w:numId w:val="18"/>
        </w:numPr>
        <w:spacing w:before="100" w:beforeAutospacing="1" w:after="100" w:afterAutospacing="1" w:line="360" w:lineRule="auto"/>
        <w:jc w:val="both"/>
        <w:rPr>
          <w:rFonts w:ascii="Arial" w:hAnsi="Arial" w:cs="Arial"/>
          <w:b/>
          <w:bCs/>
          <w:sz w:val="20"/>
          <w:szCs w:val="20"/>
        </w:rPr>
      </w:pPr>
      <w:r w:rsidRPr="00603B2D">
        <w:rPr>
          <w:rFonts w:ascii="Arial" w:hAnsi="Arial" w:cs="Arial"/>
          <w:b/>
          <w:bCs/>
          <w:sz w:val="20"/>
          <w:szCs w:val="20"/>
        </w:rPr>
        <w:t>Marketing constraints</w:t>
      </w:r>
    </w:p>
    <w:p w14:paraId="1FB1EEA5" w14:textId="11C81ACE" w:rsidR="004411F1" w:rsidRPr="004411F1" w:rsidRDefault="004411F1" w:rsidP="004411F1">
      <w:pPr>
        <w:spacing w:line="360" w:lineRule="auto"/>
        <w:jc w:val="both"/>
        <w:rPr>
          <w:rFonts w:ascii="Arial" w:hAnsi="Arial" w:cs="Arial"/>
          <w:color w:val="0D0D0D"/>
          <w:sz w:val="20"/>
          <w:szCs w:val="20"/>
        </w:rPr>
      </w:pPr>
      <w:r w:rsidRPr="004411F1">
        <w:rPr>
          <w:rFonts w:ascii="Arial" w:hAnsi="Arial" w:cs="Arial"/>
          <w:color w:val="0D0D0D"/>
          <w:sz w:val="20"/>
          <w:szCs w:val="20"/>
        </w:rPr>
        <w:lastRenderedPageBreak/>
        <w:t xml:space="preserve">The </w:t>
      </w:r>
      <w:r w:rsidRPr="004411F1">
        <w:rPr>
          <w:rFonts w:ascii="Arial" w:hAnsi="Arial" w:cs="Arial"/>
          <w:sz w:val="20"/>
          <w:szCs w:val="20"/>
        </w:rPr>
        <w:t>small-tea</w:t>
      </w:r>
      <w:r w:rsidRPr="004411F1">
        <w:rPr>
          <w:rFonts w:ascii="Arial" w:hAnsi="Arial" w:cs="Arial"/>
          <w:color w:val="0D0D0D"/>
          <w:sz w:val="20"/>
          <w:szCs w:val="20"/>
        </w:rPr>
        <w:t xml:space="preserve"> cultivators </w:t>
      </w:r>
      <w:r w:rsidRPr="004411F1">
        <w:rPr>
          <w:rFonts w:ascii="Arial" w:hAnsi="Arial" w:cs="Arial"/>
          <w:color w:val="FFFFFF" w:themeColor="background1"/>
          <w:sz w:val="20"/>
          <w:szCs w:val="20"/>
        </w:rPr>
        <w:t>/</w:t>
      </w:r>
      <w:r w:rsidRPr="004411F1">
        <w:rPr>
          <w:rFonts w:ascii="Arial" w:hAnsi="Arial" w:cs="Arial"/>
          <w:color w:val="0D0D0D"/>
          <w:sz w:val="20"/>
          <w:szCs w:val="20"/>
        </w:rPr>
        <w:t>in</w:t>
      </w:r>
      <w:r w:rsidRPr="004411F1">
        <w:rPr>
          <w:rFonts w:ascii="Arial" w:hAnsi="Arial" w:cs="Arial"/>
          <w:color w:val="FFFFFF" w:themeColor="background1"/>
          <w:sz w:val="20"/>
          <w:szCs w:val="20"/>
        </w:rPr>
        <w:t>/</w:t>
      </w:r>
      <w:r w:rsidRPr="004411F1">
        <w:rPr>
          <w:rFonts w:ascii="Arial" w:hAnsi="Arial" w:cs="Arial"/>
          <w:color w:val="0D0D0D"/>
          <w:sz w:val="20"/>
          <w:szCs w:val="20"/>
        </w:rPr>
        <w:t>the</w:t>
      </w:r>
      <w:r w:rsidRPr="004411F1">
        <w:rPr>
          <w:rFonts w:ascii="Arial" w:hAnsi="Arial" w:cs="Arial"/>
          <w:color w:val="FFFFFF" w:themeColor="background1"/>
          <w:sz w:val="20"/>
          <w:szCs w:val="20"/>
        </w:rPr>
        <w:t>/</w:t>
      </w:r>
      <w:r w:rsidRPr="004411F1">
        <w:rPr>
          <w:rFonts w:ascii="Arial" w:hAnsi="Arial" w:cs="Arial"/>
          <w:color w:val="0D0D0D"/>
          <w:sz w:val="20"/>
          <w:szCs w:val="20"/>
        </w:rPr>
        <w:t>study area encountered issues in</w:t>
      </w:r>
      <w:r>
        <w:rPr>
          <w:rFonts w:ascii="Arial" w:hAnsi="Arial" w:cs="Arial"/>
          <w:color w:val="0D0D0D"/>
          <w:sz w:val="20"/>
          <w:szCs w:val="20"/>
        </w:rPr>
        <w:t xml:space="preserve"> </w:t>
      </w:r>
      <w:r w:rsidRPr="004411F1">
        <w:rPr>
          <w:rFonts w:ascii="Arial" w:hAnsi="Arial" w:cs="Arial"/>
          <w:color w:val="0D0D0D"/>
          <w:sz w:val="20"/>
          <w:szCs w:val="20"/>
        </w:rPr>
        <w:t>selling</w:t>
      </w:r>
      <w:r w:rsidRPr="004411F1">
        <w:rPr>
          <w:rFonts w:ascii="Arial" w:hAnsi="Arial" w:cs="Arial"/>
          <w:color w:val="FFFFFF" w:themeColor="background1"/>
          <w:sz w:val="20"/>
          <w:szCs w:val="20"/>
        </w:rPr>
        <w:t xml:space="preserve"> </w:t>
      </w:r>
      <w:r w:rsidRPr="004411F1">
        <w:rPr>
          <w:rFonts w:ascii="Arial" w:hAnsi="Arial" w:cs="Arial"/>
          <w:color w:val="0D0D0D"/>
          <w:sz w:val="20"/>
          <w:szCs w:val="20"/>
        </w:rPr>
        <w:t>green leaves. These problems were identified, examined</w:t>
      </w:r>
      <w:r>
        <w:rPr>
          <w:rFonts w:ascii="Arial" w:hAnsi="Arial" w:cs="Arial"/>
          <w:color w:val="0D0D0D"/>
          <w:sz w:val="20"/>
          <w:szCs w:val="20"/>
        </w:rPr>
        <w:t xml:space="preserve"> </w:t>
      </w:r>
      <w:r w:rsidRPr="004411F1">
        <w:rPr>
          <w:rFonts w:ascii="Arial" w:hAnsi="Arial" w:cs="Arial"/>
          <w:color w:val="0D0D0D"/>
          <w:sz w:val="20"/>
          <w:szCs w:val="20"/>
        </w:rPr>
        <w:t>and are shown in Table</w:t>
      </w:r>
      <w:r>
        <w:rPr>
          <w:rFonts w:ascii="Arial" w:hAnsi="Arial" w:cs="Arial"/>
          <w:color w:val="0D0D0D"/>
          <w:sz w:val="20"/>
          <w:szCs w:val="20"/>
        </w:rPr>
        <w:t>.</w:t>
      </w:r>
      <w:r w:rsidR="008E59C8">
        <w:rPr>
          <w:rFonts w:ascii="Arial" w:hAnsi="Arial" w:cs="Arial"/>
          <w:color w:val="0D0D0D"/>
          <w:sz w:val="20"/>
          <w:szCs w:val="20"/>
        </w:rPr>
        <w:t>3</w:t>
      </w:r>
      <w:r w:rsidRPr="004411F1">
        <w:rPr>
          <w:rFonts w:ascii="Arial" w:hAnsi="Arial" w:cs="Arial"/>
          <w:color w:val="0D0D0D"/>
          <w:sz w:val="20"/>
          <w:szCs w:val="20"/>
        </w:rPr>
        <w:t>.</w:t>
      </w:r>
    </w:p>
    <w:p w14:paraId="081D036A" w14:textId="44B91206" w:rsidR="004411F1" w:rsidRPr="004411F1" w:rsidRDefault="004411F1" w:rsidP="004411F1">
      <w:pPr>
        <w:spacing w:line="360" w:lineRule="auto"/>
        <w:jc w:val="both"/>
        <w:rPr>
          <w:rFonts w:ascii="Arial" w:hAnsi="Arial" w:cs="Arial"/>
          <w:color w:val="0D0D0D"/>
          <w:sz w:val="20"/>
          <w:szCs w:val="20"/>
        </w:rPr>
      </w:pPr>
      <w:r>
        <w:rPr>
          <w:rFonts w:ascii="Arial" w:hAnsi="Arial" w:cs="Arial"/>
          <w:color w:val="0D0D0D"/>
          <w:sz w:val="20"/>
          <w:szCs w:val="20"/>
        </w:rPr>
        <w:t xml:space="preserve">From </w:t>
      </w:r>
      <w:r w:rsidRPr="004411F1">
        <w:rPr>
          <w:rFonts w:ascii="Arial" w:hAnsi="Arial" w:cs="Arial"/>
          <w:color w:val="0D0D0D"/>
          <w:sz w:val="20"/>
          <w:szCs w:val="20"/>
        </w:rPr>
        <w:t xml:space="preserve">Table </w:t>
      </w:r>
      <w:r>
        <w:rPr>
          <w:rFonts w:ascii="Arial" w:hAnsi="Arial" w:cs="Arial"/>
          <w:color w:val="0D0D0D"/>
          <w:sz w:val="20"/>
          <w:szCs w:val="20"/>
        </w:rPr>
        <w:t>3.</w:t>
      </w:r>
      <w:r w:rsidRPr="004411F1">
        <w:rPr>
          <w:rFonts w:ascii="Arial" w:hAnsi="Arial" w:cs="Arial"/>
          <w:color w:val="0D0D0D"/>
          <w:sz w:val="20"/>
          <w:szCs w:val="20"/>
        </w:rPr>
        <w:t xml:space="preserve">, it is portrayed, the small tea growers mostly struggle with changing prices of tea leaves, which had a Garrett mean score of 62.16. Nearly all small tea farmers sell the green leaves to nearby large gardens or </w:t>
      </w:r>
      <w:r w:rsidRPr="004411F1">
        <w:rPr>
          <w:rFonts w:ascii="Arial" w:hAnsi="Arial" w:cs="Arial"/>
          <w:sz w:val="20"/>
          <w:szCs w:val="20"/>
        </w:rPr>
        <w:t>bought- leaf factories</w:t>
      </w:r>
      <w:r w:rsidRPr="004411F1">
        <w:rPr>
          <w:rFonts w:ascii="Arial" w:hAnsi="Arial" w:cs="Arial"/>
          <w:color w:val="0D0D0D"/>
          <w:sz w:val="20"/>
          <w:szCs w:val="20"/>
        </w:rPr>
        <w:t>, and the average price for these leaves differs across various seasons and locations. The small growers of Assam do not get remunerative prices as there is no uniform formula or regulation on determining and fixing rate of green leaves. Thus, the price of te</w:t>
      </w:r>
      <w:r>
        <w:rPr>
          <w:rFonts w:ascii="Arial" w:hAnsi="Arial" w:cs="Arial"/>
          <w:color w:val="0D0D0D"/>
          <w:sz w:val="20"/>
          <w:szCs w:val="20"/>
        </w:rPr>
        <w:t>a</w:t>
      </w:r>
      <w:r w:rsidRPr="004411F1">
        <w:rPr>
          <w:rFonts w:ascii="Arial" w:hAnsi="Arial" w:cs="Arial"/>
          <w:color w:val="0D0D0D"/>
          <w:sz w:val="20"/>
          <w:szCs w:val="20"/>
        </w:rPr>
        <w:t xml:space="preserve"> leaf varies from time to time, place to place, quality to quality even from buyer to buyer. </w:t>
      </w:r>
    </w:p>
    <w:p w14:paraId="5BE59B4D" w14:textId="77777777" w:rsidR="004411F1" w:rsidRDefault="004411F1" w:rsidP="004411F1">
      <w:pPr>
        <w:spacing w:line="360" w:lineRule="auto"/>
        <w:jc w:val="both"/>
        <w:rPr>
          <w:rFonts w:ascii="Arial" w:hAnsi="Arial" w:cs="Arial"/>
          <w:color w:val="0D0D0D"/>
          <w:sz w:val="20"/>
          <w:szCs w:val="20"/>
        </w:rPr>
      </w:pPr>
      <w:r w:rsidRPr="004411F1">
        <w:rPr>
          <w:rFonts w:ascii="Arial" w:hAnsi="Arial" w:cs="Arial"/>
          <w:color w:val="0D0D0D"/>
          <w:sz w:val="20"/>
          <w:szCs w:val="20"/>
        </w:rPr>
        <w:t>Delayed payments and exploitation by the middlemen were the next major constraints with mean scores of 61.04 and 59.43 respectively faced</w:t>
      </w:r>
      <w:r w:rsidRPr="004411F1">
        <w:rPr>
          <w:rFonts w:ascii="Arial" w:hAnsi="Arial" w:cs="Arial"/>
          <w:color w:val="FFFFFF" w:themeColor="background1"/>
          <w:sz w:val="20"/>
          <w:szCs w:val="20"/>
        </w:rPr>
        <w:t>.</w:t>
      </w:r>
      <w:r w:rsidRPr="004411F1">
        <w:rPr>
          <w:rFonts w:ascii="Arial" w:hAnsi="Arial" w:cs="Arial"/>
          <w:color w:val="0D0D0D"/>
          <w:sz w:val="20"/>
          <w:szCs w:val="20"/>
        </w:rPr>
        <w:t>by the</w:t>
      </w:r>
      <w:r>
        <w:rPr>
          <w:rFonts w:ascii="Arial" w:hAnsi="Arial" w:cs="Arial"/>
          <w:color w:val="FFFFFF" w:themeColor="background1"/>
          <w:sz w:val="20"/>
          <w:szCs w:val="20"/>
        </w:rPr>
        <w:t xml:space="preserve"> </w:t>
      </w:r>
      <w:r w:rsidRPr="004411F1">
        <w:rPr>
          <w:rFonts w:ascii="Arial" w:hAnsi="Arial" w:cs="Arial"/>
          <w:color w:val="0D0D0D"/>
          <w:sz w:val="20"/>
          <w:szCs w:val="20"/>
        </w:rPr>
        <w:t>small</w:t>
      </w:r>
      <w:r>
        <w:rPr>
          <w:rFonts w:ascii="Arial" w:hAnsi="Arial" w:cs="Arial"/>
          <w:color w:val="FFFFFF" w:themeColor="background1"/>
          <w:sz w:val="20"/>
          <w:szCs w:val="20"/>
        </w:rPr>
        <w:t xml:space="preserve"> </w:t>
      </w:r>
      <w:r w:rsidRPr="004411F1">
        <w:rPr>
          <w:rFonts w:ascii="Arial" w:hAnsi="Arial" w:cs="Arial"/>
          <w:color w:val="0D0D0D"/>
          <w:sz w:val="20"/>
          <w:szCs w:val="20"/>
        </w:rPr>
        <w:t>growers</w:t>
      </w:r>
      <w:r w:rsidRPr="004411F1">
        <w:rPr>
          <w:rFonts w:ascii="Arial" w:hAnsi="Arial" w:cs="Arial"/>
          <w:color w:val="FFFFFF" w:themeColor="background1"/>
          <w:sz w:val="20"/>
          <w:szCs w:val="20"/>
        </w:rPr>
        <w:t>/</w:t>
      </w:r>
      <w:r w:rsidRPr="004411F1">
        <w:rPr>
          <w:rFonts w:ascii="Arial" w:hAnsi="Arial" w:cs="Arial"/>
          <w:color w:val="0D0D0D"/>
          <w:sz w:val="20"/>
          <w:szCs w:val="20"/>
        </w:rPr>
        <w:t>in</w:t>
      </w:r>
      <w:r>
        <w:rPr>
          <w:rFonts w:ascii="Arial" w:hAnsi="Arial" w:cs="Arial"/>
          <w:color w:val="FFFFFF" w:themeColor="background1"/>
          <w:sz w:val="20"/>
          <w:szCs w:val="20"/>
        </w:rPr>
        <w:t xml:space="preserve"> </w:t>
      </w:r>
      <w:r w:rsidRPr="004411F1">
        <w:rPr>
          <w:rFonts w:ascii="Arial" w:hAnsi="Arial" w:cs="Arial"/>
          <w:color w:val="0D0D0D"/>
          <w:sz w:val="20"/>
          <w:szCs w:val="20"/>
        </w:rPr>
        <w:t xml:space="preserve">the selling process of green leaves. Lack of market information to the growers was yet another problem. Small-tea growers are also affected due to inadequacy of processing facilities which with a mean score of 57.44 is considered to be a major problem. There is acute shortage of tea processing plants to process the raw tea leaves obtained from smallholder tea farmers. </w:t>
      </w:r>
    </w:p>
    <w:p w14:paraId="73CB2397" w14:textId="03403A2C" w:rsidR="004411F1" w:rsidRDefault="004411F1" w:rsidP="004411F1">
      <w:pPr>
        <w:spacing w:line="360" w:lineRule="auto"/>
        <w:jc w:val="both"/>
        <w:rPr>
          <w:rFonts w:ascii="Arial" w:hAnsi="Arial" w:cs="Arial"/>
          <w:color w:val="0D0D0D"/>
          <w:sz w:val="20"/>
          <w:szCs w:val="20"/>
        </w:rPr>
      </w:pPr>
      <w:r w:rsidRPr="004411F1">
        <w:rPr>
          <w:rFonts w:ascii="Arial" w:hAnsi="Arial" w:cs="Arial"/>
          <w:color w:val="0D0D0D"/>
          <w:sz w:val="20"/>
          <w:szCs w:val="20"/>
        </w:rPr>
        <w:t>The</w:t>
      </w:r>
      <w:r>
        <w:rPr>
          <w:rFonts w:ascii="Arial" w:hAnsi="Arial" w:cs="Arial"/>
          <w:color w:val="0D0D0D"/>
          <w:sz w:val="20"/>
          <w:szCs w:val="20"/>
        </w:rPr>
        <w:t xml:space="preserve"> </w:t>
      </w:r>
      <w:r w:rsidRPr="004411F1">
        <w:rPr>
          <w:rFonts w:ascii="Arial" w:hAnsi="Arial" w:cs="Arial"/>
          <w:color w:val="0D0D0D"/>
          <w:sz w:val="20"/>
          <w:szCs w:val="20"/>
        </w:rPr>
        <w:t>small</w:t>
      </w:r>
      <w:r>
        <w:rPr>
          <w:rFonts w:ascii="Arial" w:hAnsi="Arial" w:cs="Arial"/>
          <w:color w:val="FFFFFF" w:themeColor="background1"/>
          <w:sz w:val="20"/>
          <w:szCs w:val="20"/>
        </w:rPr>
        <w:t xml:space="preserve"> </w:t>
      </w:r>
      <w:r w:rsidRPr="004411F1">
        <w:rPr>
          <w:rFonts w:ascii="Arial" w:hAnsi="Arial" w:cs="Arial"/>
          <w:color w:val="0D0D0D"/>
          <w:sz w:val="20"/>
          <w:szCs w:val="20"/>
        </w:rPr>
        <w:t>growers were often seen to forcefully dispose their green leaf to the non-estate tea factories or tea estates which are seen to be exploiting them. An increasing number</w:t>
      </w:r>
      <w:r w:rsidRPr="004411F1">
        <w:rPr>
          <w:rFonts w:ascii="Arial" w:hAnsi="Arial" w:cs="Arial"/>
          <w:color w:val="FFFFFF" w:themeColor="background1"/>
          <w:sz w:val="20"/>
          <w:szCs w:val="20"/>
        </w:rPr>
        <w:t>-</w:t>
      </w:r>
      <w:r w:rsidRPr="004411F1">
        <w:rPr>
          <w:rFonts w:ascii="Arial" w:hAnsi="Arial" w:cs="Arial"/>
          <w:color w:val="0D0D0D"/>
          <w:sz w:val="20"/>
          <w:szCs w:val="20"/>
        </w:rPr>
        <w:t>of</w:t>
      </w:r>
      <w:r>
        <w:rPr>
          <w:rFonts w:ascii="Arial" w:hAnsi="Arial" w:cs="Arial"/>
          <w:color w:val="FFFFFF" w:themeColor="background1"/>
          <w:sz w:val="20"/>
          <w:szCs w:val="20"/>
        </w:rPr>
        <w:t xml:space="preserve"> </w:t>
      </w:r>
      <w:r w:rsidRPr="004411F1">
        <w:rPr>
          <w:rFonts w:ascii="Arial" w:hAnsi="Arial" w:cs="Arial"/>
          <w:color w:val="0D0D0D"/>
          <w:sz w:val="20"/>
          <w:szCs w:val="20"/>
        </w:rPr>
        <w:t>small tea producers in a community adds to the issue of factory shortages. Typically, these small growers being based in rural regions, which often lack proper roads or reliable communication methods. Consequently, the absence of adequate transportation and effective communication has been identified as another limitation for selling the products of these small producers. Another problem identified during the study was faulty weighing of green leaves reported to be practiced by the commission agents thereby paying lower prices to the small-tea growers.</w:t>
      </w:r>
    </w:p>
    <w:p w14:paraId="66468F7E" w14:textId="0AF54B12" w:rsidR="004411F1" w:rsidRDefault="004411F1" w:rsidP="004411F1">
      <w:pPr>
        <w:spacing w:line="360" w:lineRule="auto"/>
        <w:jc w:val="both"/>
        <w:rPr>
          <w:rFonts w:ascii="Arial" w:hAnsi="Arial" w:cs="Arial"/>
          <w:b/>
          <w:bCs/>
          <w:color w:val="0D0D0D"/>
          <w:sz w:val="20"/>
          <w:szCs w:val="20"/>
        </w:rPr>
      </w:pPr>
      <w:r>
        <w:rPr>
          <w:rFonts w:ascii="Arial" w:hAnsi="Arial" w:cs="Arial"/>
          <w:b/>
          <w:bCs/>
          <w:color w:val="0D0D0D"/>
          <w:sz w:val="20"/>
          <w:szCs w:val="20"/>
        </w:rPr>
        <w:t xml:space="preserve">Table </w:t>
      </w:r>
      <w:r w:rsidR="008E59C8">
        <w:rPr>
          <w:rFonts w:ascii="Arial" w:hAnsi="Arial" w:cs="Arial"/>
          <w:b/>
          <w:bCs/>
          <w:color w:val="0D0D0D"/>
          <w:sz w:val="20"/>
          <w:szCs w:val="20"/>
        </w:rPr>
        <w:t>3</w:t>
      </w:r>
      <w:r>
        <w:rPr>
          <w:rFonts w:ascii="Arial" w:hAnsi="Arial" w:cs="Arial"/>
          <w:b/>
          <w:bCs/>
          <w:color w:val="0D0D0D"/>
          <w:sz w:val="20"/>
          <w:szCs w:val="20"/>
        </w:rPr>
        <w:t>.: Marketing Constraints faced by the small tea growers</w:t>
      </w:r>
    </w:p>
    <w:tbl>
      <w:tblPr>
        <w:tblStyle w:val="TableGrid"/>
        <w:tblW w:w="8887" w:type="dxa"/>
        <w:tblLook w:val="04A0" w:firstRow="1" w:lastRow="0" w:firstColumn="1" w:lastColumn="0" w:noHBand="0" w:noVBand="1"/>
      </w:tblPr>
      <w:tblGrid>
        <w:gridCol w:w="1252"/>
        <w:gridCol w:w="3914"/>
        <w:gridCol w:w="2391"/>
        <w:gridCol w:w="1330"/>
      </w:tblGrid>
      <w:tr w:rsidR="004411F1" w:rsidRPr="004411F1" w14:paraId="22BCCD72" w14:textId="77777777" w:rsidTr="004411F1">
        <w:trPr>
          <w:trHeight w:val="227"/>
        </w:trPr>
        <w:tc>
          <w:tcPr>
            <w:tcW w:w="1252" w:type="dxa"/>
            <w:vAlign w:val="center"/>
          </w:tcPr>
          <w:p w14:paraId="38B13529"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Sl. No.</w:t>
            </w:r>
          </w:p>
        </w:tc>
        <w:tc>
          <w:tcPr>
            <w:tcW w:w="3914" w:type="dxa"/>
            <w:vAlign w:val="center"/>
          </w:tcPr>
          <w:p w14:paraId="015136BF"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Marketing constraints</w:t>
            </w:r>
          </w:p>
        </w:tc>
        <w:tc>
          <w:tcPr>
            <w:tcW w:w="2391" w:type="dxa"/>
            <w:vAlign w:val="center"/>
          </w:tcPr>
          <w:p w14:paraId="23ADF07D"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Garett mean score</w:t>
            </w:r>
          </w:p>
        </w:tc>
        <w:tc>
          <w:tcPr>
            <w:tcW w:w="1330" w:type="dxa"/>
            <w:vAlign w:val="center"/>
          </w:tcPr>
          <w:p w14:paraId="62EFC09A"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 xml:space="preserve">Rank </w:t>
            </w:r>
          </w:p>
        </w:tc>
      </w:tr>
      <w:tr w:rsidR="004411F1" w:rsidRPr="004411F1" w14:paraId="36BB7460" w14:textId="77777777" w:rsidTr="004411F1">
        <w:trPr>
          <w:trHeight w:val="227"/>
        </w:trPr>
        <w:tc>
          <w:tcPr>
            <w:tcW w:w="1252" w:type="dxa"/>
            <w:vAlign w:val="center"/>
          </w:tcPr>
          <w:p w14:paraId="40224304"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1</w:t>
            </w:r>
          </w:p>
        </w:tc>
        <w:tc>
          <w:tcPr>
            <w:tcW w:w="3914" w:type="dxa"/>
            <w:vAlign w:val="center"/>
          </w:tcPr>
          <w:p w14:paraId="7D71B78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Price fluctuation of green leaves</w:t>
            </w:r>
          </w:p>
        </w:tc>
        <w:tc>
          <w:tcPr>
            <w:tcW w:w="2391" w:type="dxa"/>
            <w:vAlign w:val="center"/>
          </w:tcPr>
          <w:p w14:paraId="0E9BD14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62.16</w:t>
            </w:r>
          </w:p>
        </w:tc>
        <w:tc>
          <w:tcPr>
            <w:tcW w:w="1330" w:type="dxa"/>
            <w:vAlign w:val="center"/>
          </w:tcPr>
          <w:p w14:paraId="0AB75819"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w:t>
            </w:r>
          </w:p>
        </w:tc>
      </w:tr>
      <w:tr w:rsidR="004411F1" w:rsidRPr="004411F1" w14:paraId="73A4DC22" w14:textId="77777777" w:rsidTr="004411F1">
        <w:trPr>
          <w:trHeight w:val="227"/>
        </w:trPr>
        <w:tc>
          <w:tcPr>
            <w:tcW w:w="1252" w:type="dxa"/>
            <w:vAlign w:val="center"/>
          </w:tcPr>
          <w:p w14:paraId="506C50A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2</w:t>
            </w:r>
          </w:p>
        </w:tc>
        <w:tc>
          <w:tcPr>
            <w:tcW w:w="3914" w:type="dxa"/>
            <w:vAlign w:val="center"/>
          </w:tcPr>
          <w:p w14:paraId="665FF9D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Delayed payment</w:t>
            </w:r>
          </w:p>
        </w:tc>
        <w:tc>
          <w:tcPr>
            <w:tcW w:w="2391" w:type="dxa"/>
            <w:vAlign w:val="center"/>
          </w:tcPr>
          <w:p w14:paraId="0B0012F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61.04</w:t>
            </w:r>
          </w:p>
        </w:tc>
        <w:tc>
          <w:tcPr>
            <w:tcW w:w="1330" w:type="dxa"/>
            <w:vAlign w:val="center"/>
          </w:tcPr>
          <w:p w14:paraId="1CE40BC9"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w:t>
            </w:r>
          </w:p>
        </w:tc>
      </w:tr>
      <w:tr w:rsidR="004411F1" w:rsidRPr="004411F1" w14:paraId="42D6484B" w14:textId="77777777" w:rsidTr="004411F1">
        <w:trPr>
          <w:trHeight w:val="227"/>
        </w:trPr>
        <w:tc>
          <w:tcPr>
            <w:tcW w:w="1252" w:type="dxa"/>
            <w:vAlign w:val="center"/>
          </w:tcPr>
          <w:p w14:paraId="169DF47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3</w:t>
            </w:r>
          </w:p>
        </w:tc>
        <w:tc>
          <w:tcPr>
            <w:tcW w:w="3914" w:type="dxa"/>
            <w:vAlign w:val="center"/>
          </w:tcPr>
          <w:p w14:paraId="44B7891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Exploitation by middlemen</w:t>
            </w:r>
          </w:p>
        </w:tc>
        <w:tc>
          <w:tcPr>
            <w:tcW w:w="2391" w:type="dxa"/>
            <w:vAlign w:val="center"/>
          </w:tcPr>
          <w:p w14:paraId="501207D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59.43</w:t>
            </w:r>
          </w:p>
        </w:tc>
        <w:tc>
          <w:tcPr>
            <w:tcW w:w="1330" w:type="dxa"/>
            <w:vAlign w:val="center"/>
          </w:tcPr>
          <w:p w14:paraId="5EC4E6C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III</w:t>
            </w:r>
          </w:p>
        </w:tc>
      </w:tr>
      <w:tr w:rsidR="004411F1" w:rsidRPr="004411F1" w14:paraId="28FF03BF" w14:textId="77777777" w:rsidTr="004411F1">
        <w:trPr>
          <w:trHeight w:val="227"/>
        </w:trPr>
        <w:tc>
          <w:tcPr>
            <w:tcW w:w="1252" w:type="dxa"/>
            <w:vAlign w:val="center"/>
          </w:tcPr>
          <w:p w14:paraId="31A0439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w:t>
            </w:r>
          </w:p>
        </w:tc>
        <w:tc>
          <w:tcPr>
            <w:tcW w:w="3914" w:type="dxa"/>
            <w:vAlign w:val="center"/>
          </w:tcPr>
          <w:p w14:paraId="6C4D78E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market information</w:t>
            </w:r>
          </w:p>
        </w:tc>
        <w:tc>
          <w:tcPr>
            <w:tcW w:w="2391" w:type="dxa"/>
            <w:vAlign w:val="center"/>
          </w:tcPr>
          <w:p w14:paraId="7324249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59.3</w:t>
            </w:r>
          </w:p>
        </w:tc>
        <w:tc>
          <w:tcPr>
            <w:tcW w:w="1330" w:type="dxa"/>
            <w:vAlign w:val="center"/>
          </w:tcPr>
          <w:p w14:paraId="4C9C734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IV</w:t>
            </w:r>
          </w:p>
        </w:tc>
      </w:tr>
      <w:tr w:rsidR="004411F1" w:rsidRPr="004411F1" w14:paraId="26432201" w14:textId="77777777" w:rsidTr="004411F1">
        <w:trPr>
          <w:trHeight w:val="227"/>
        </w:trPr>
        <w:tc>
          <w:tcPr>
            <w:tcW w:w="1252" w:type="dxa"/>
            <w:vAlign w:val="center"/>
          </w:tcPr>
          <w:p w14:paraId="5A3F7C8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w:t>
            </w:r>
          </w:p>
        </w:tc>
        <w:tc>
          <w:tcPr>
            <w:tcW w:w="3914" w:type="dxa"/>
            <w:vAlign w:val="center"/>
          </w:tcPr>
          <w:p w14:paraId="5098D4C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adequate processing facilities</w:t>
            </w:r>
          </w:p>
        </w:tc>
        <w:tc>
          <w:tcPr>
            <w:tcW w:w="2391" w:type="dxa"/>
            <w:vAlign w:val="center"/>
          </w:tcPr>
          <w:p w14:paraId="1226D32C"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57.44</w:t>
            </w:r>
          </w:p>
        </w:tc>
        <w:tc>
          <w:tcPr>
            <w:tcW w:w="1330" w:type="dxa"/>
            <w:vAlign w:val="center"/>
          </w:tcPr>
          <w:p w14:paraId="767FF76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w:t>
            </w:r>
          </w:p>
        </w:tc>
      </w:tr>
      <w:tr w:rsidR="004411F1" w:rsidRPr="004411F1" w14:paraId="4A85F3BF" w14:textId="77777777" w:rsidTr="004411F1">
        <w:trPr>
          <w:trHeight w:val="227"/>
        </w:trPr>
        <w:tc>
          <w:tcPr>
            <w:tcW w:w="1252" w:type="dxa"/>
            <w:vAlign w:val="center"/>
          </w:tcPr>
          <w:p w14:paraId="787C564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w:t>
            </w:r>
          </w:p>
        </w:tc>
        <w:tc>
          <w:tcPr>
            <w:tcW w:w="3914" w:type="dxa"/>
            <w:vAlign w:val="center"/>
          </w:tcPr>
          <w:p w14:paraId="5507D549"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High transportation cost</w:t>
            </w:r>
          </w:p>
        </w:tc>
        <w:tc>
          <w:tcPr>
            <w:tcW w:w="2391" w:type="dxa"/>
            <w:vAlign w:val="center"/>
          </w:tcPr>
          <w:p w14:paraId="288E418A"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54.23</w:t>
            </w:r>
          </w:p>
        </w:tc>
        <w:tc>
          <w:tcPr>
            <w:tcW w:w="1330" w:type="dxa"/>
            <w:vAlign w:val="center"/>
          </w:tcPr>
          <w:p w14:paraId="747513C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w:t>
            </w:r>
          </w:p>
        </w:tc>
      </w:tr>
      <w:tr w:rsidR="004411F1" w:rsidRPr="004411F1" w14:paraId="47BBE88F" w14:textId="77777777" w:rsidTr="004411F1">
        <w:trPr>
          <w:trHeight w:val="227"/>
        </w:trPr>
        <w:tc>
          <w:tcPr>
            <w:tcW w:w="1252" w:type="dxa"/>
            <w:vAlign w:val="center"/>
          </w:tcPr>
          <w:p w14:paraId="0FE4B07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7</w:t>
            </w:r>
          </w:p>
        </w:tc>
        <w:tc>
          <w:tcPr>
            <w:tcW w:w="3914" w:type="dxa"/>
            <w:vAlign w:val="center"/>
          </w:tcPr>
          <w:p w14:paraId="53539DE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Faulty weighing of green leaves</w:t>
            </w:r>
          </w:p>
        </w:tc>
        <w:tc>
          <w:tcPr>
            <w:tcW w:w="2391" w:type="dxa"/>
            <w:vAlign w:val="center"/>
          </w:tcPr>
          <w:p w14:paraId="49DD6F6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52.83</w:t>
            </w:r>
          </w:p>
        </w:tc>
        <w:tc>
          <w:tcPr>
            <w:tcW w:w="1330" w:type="dxa"/>
            <w:vAlign w:val="center"/>
          </w:tcPr>
          <w:p w14:paraId="4F06822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VII</w:t>
            </w:r>
          </w:p>
        </w:tc>
      </w:tr>
    </w:tbl>
    <w:p w14:paraId="3CE39B2C" w14:textId="1A3F6703" w:rsidR="004411F1" w:rsidRPr="005C1D99" w:rsidRDefault="00603B2D" w:rsidP="005C1D99">
      <w:pPr>
        <w:pStyle w:val="ListParagraph"/>
        <w:numPr>
          <w:ilvl w:val="0"/>
          <w:numId w:val="11"/>
        </w:numPr>
        <w:spacing w:line="360" w:lineRule="auto"/>
        <w:jc w:val="both"/>
        <w:rPr>
          <w:rFonts w:ascii="Arial" w:hAnsi="Arial" w:cs="Arial"/>
          <w:b/>
          <w:bCs/>
          <w:color w:val="0D0D0D"/>
        </w:rPr>
      </w:pPr>
      <w:r w:rsidRPr="005C1D99">
        <w:rPr>
          <w:rFonts w:ascii="Arial" w:hAnsi="Arial" w:cs="Arial"/>
          <w:b/>
          <w:bCs/>
          <w:color w:val="0D0D0D"/>
        </w:rPr>
        <w:t>CONCLUSION</w:t>
      </w:r>
    </w:p>
    <w:p w14:paraId="0C7F69AD" w14:textId="7112DFAF" w:rsidR="00603B2D" w:rsidRPr="00A679C6" w:rsidRDefault="00603B2D" w:rsidP="00A679C6">
      <w:pPr>
        <w:spacing w:line="36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lastRenderedPageBreak/>
        <w:t>In conclusion, while it was observed that</w:t>
      </w:r>
      <w:r w:rsidRPr="00603B2D">
        <w:rPr>
          <w:rFonts w:ascii="Arial" w:eastAsia="Times New Roman" w:hAnsi="Arial" w:cs="Arial"/>
          <w:color w:val="000000"/>
          <w:sz w:val="20"/>
          <w:szCs w:val="20"/>
          <w:lang w:eastAsia="en-IN"/>
        </w:rPr>
        <w:t xml:space="preserve"> Channel-I was more marketing- efficient, </w:t>
      </w:r>
      <w:r w:rsidRPr="00603B2D">
        <w:rPr>
          <w:rFonts w:ascii="Arial" w:hAnsi="Arial" w:cs="Arial"/>
          <w:color w:val="0D0D0D"/>
          <w:sz w:val="20"/>
          <w:szCs w:val="20"/>
        </w:rPr>
        <w:t xml:space="preserve">it was seen that the small- growers preferred to dispose the leaf produce through Channel-II </w:t>
      </w:r>
      <w:r w:rsidRPr="00603B2D">
        <w:rPr>
          <w:rFonts w:ascii="Arial" w:eastAsia="Times New Roman" w:hAnsi="Arial" w:cs="Arial"/>
          <w:color w:val="000000"/>
          <w:sz w:val="20"/>
          <w:szCs w:val="20"/>
          <w:lang w:eastAsia="en-IN"/>
        </w:rPr>
        <w:t>indicating easy and potential accessibility or trust-based factors.</w:t>
      </w:r>
      <w:r w:rsidRPr="00603B2D">
        <w:rPr>
          <w:rFonts w:ascii="Times New Roman" w:eastAsiaTheme="minorHAnsi" w:hAnsi="Times New Roman" w:cs="Times New Roman"/>
          <w:color w:val="0D0D0D"/>
          <w:sz w:val="24"/>
          <w:szCs w:val="24"/>
          <w:lang w:val="en-IN"/>
          <w14:ligatures w14:val="standardContextual"/>
        </w:rPr>
        <w:t xml:space="preserve"> </w:t>
      </w:r>
      <w:r w:rsidRPr="00603B2D">
        <w:rPr>
          <w:rFonts w:ascii="Arial" w:eastAsia="Times New Roman" w:hAnsi="Arial" w:cs="Arial"/>
          <w:color w:val="000000"/>
          <w:sz w:val="20"/>
          <w:szCs w:val="20"/>
          <w:lang w:val="en-IN" w:eastAsia="en-IN"/>
        </w:rPr>
        <w:t>There were several inherent obstacles in the growth and dev</w:t>
      </w:r>
      <w:r>
        <w:rPr>
          <w:rFonts w:ascii="Arial" w:eastAsia="Times New Roman" w:hAnsi="Arial" w:cs="Arial"/>
          <w:color w:val="000000"/>
          <w:sz w:val="20"/>
          <w:szCs w:val="20"/>
          <w:lang w:val="en-IN" w:eastAsia="en-IN"/>
        </w:rPr>
        <w:t>e</w:t>
      </w:r>
      <w:r w:rsidRPr="00603B2D">
        <w:rPr>
          <w:rFonts w:ascii="Arial" w:eastAsia="Times New Roman" w:hAnsi="Arial" w:cs="Arial"/>
          <w:color w:val="000000"/>
          <w:sz w:val="20"/>
          <w:szCs w:val="20"/>
          <w:lang w:val="en-IN" w:eastAsia="en-IN"/>
        </w:rPr>
        <w:t xml:space="preserve">lopment of small tea farms in both production and marketing aspects. </w:t>
      </w:r>
      <w:r w:rsidRPr="00603B2D">
        <w:rPr>
          <w:rFonts w:ascii="Arial" w:eastAsia="Times New Roman" w:hAnsi="Arial" w:cs="Arial"/>
          <w:color w:val="000000"/>
          <w:sz w:val="20"/>
          <w:szCs w:val="20"/>
          <w:lang w:eastAsia="en-IN"/>
        </w:rPr>
        <w:t xml:space="preserve"> </w:t>
      </w:r>
      <w:r w:rsidRPr="00C61C41">
        <w:rPr>
          <w:rFonts w:ascii="Arial" w:hAnsi="Arial" w:cs="Arial"/>
          <w:sz w:val="20"/>
          <w:szCs w:val="20"/>
        </w:rPr>
        <w:t xml:space="preserve">The </w:t>
      </w:r>
      <w:r>
        <w:rPr>
          <w:rFonts w:ascii="Arial" w:hAnsi="Arial" w:cs="Arial"/>
          <w:sz w:val="20"/>
          <w:szCs w:val="20"/>
        </w:rPr>
        <w:t>study</w:t>
      </w:r>
      <w:r w:rsidRPr="00C61C41">
        <w:rPr>
          <w:rFonts w:ascii="Arial" w:hAnsi="Arial" w:cs="Arial"/>
          <w:sz w:val="20"/>
          <w:szCs w:val="20"/>
        </w:rPr>
        <w:t xml:space="preserve"> clearly highlights that</w:t>
      </w:r>
      <w:r>
        <w:rPr>
          <w:rFonts w:ascii="Arial" w:hAnsi="Arial" w:cs="Arial"/>
          <w:sz w:val="20"/>
          <w:szCs w:val="20"/>
        </w:rPr>
        <w:t xml:space="preserve"> </w:t>
      </w:r>
      <w:r w:rsidRPr="00C61C41">
        <w:rPr>
          <w:rFonts w:ascii="Arial" w:hAnsi="Arial" w:cs="Arial"/>
          <w:sz w:val="20"/>
          <w:szCs w:val="20"/>
        </w:rPr>
        <w:t>environmental</w:t>
      </w:r>
      <w:r>
        <w:rPr>
          <w:rFonts w:ascii="Arial" w:hAnsi="Arial" w:cs="Arial"/>
          <w:sz w:val="20"/>
          <w:szCs w:val="20"/>
        </w:rPr>
        <w:t xml:space="preserve"> </w:t>
      </w:r>
      <w:r w:rsidRPr="00C61C41">
        <w:rPr>
          <w:rFonts w:ascii="Arial" w:hAnsi="Arial" w:cs="Arial"/>
          <w:sz w:val="20"/>
          <w:szCs w:val="20"/>
        </w:rPr>
        <w:t>and economic factor</w:t>
      </w:r>
      <w:r>
        <w:rPr>
          <w:rFonts w:ascii="Arial" w:hAnsi="Arial" w:cs="Arial"/>
          <w:sz w:val="20"/>
          <w:szCs w:val="20"/>
        </w:rPr>
        <w:t xml:space="preserve"> </w:t>
      </w:r>
      <w:r w:rsidRPr="00C61C41">
        <w:rPr>
          <w:rFonts w:ascii="Arial" w:hAnsi="Arial" w:cs="Arial"/>
          <w:sz w:val="20"/>
          <w:szCs w:val="20"/>
        </w:rPr>
        <w:t xml:space="preserve">—such as weather and market price fluctuations—pose the biggest threats to agricultural productivity. However, operational issues like </w:t>
      </w:r>
      <w:proofErr w:type="spellStart"/>
      <w:r w:rsidRPr="00C61C41">
        <w:rPr>
          <w:rFonts w:ascii="Arial" w:hAnsi="Arial" w:cs="Arial"/>
          <w:sz w:val="20"/>
          <w:szCs w:val="20"/>
        </w:rPr>
        <w:t>labour</w:t>
      </w:r>
      <w:proofErr w:type="spellEnd"/>
      <w:r w:rsidRPr="00C61C41">
        <w:rPr>
          <w:rFonts w:ascii="Arial" w:hAnsi="Arial" w:cs="Arial"/>
          <w:sz w:val="20"/>
          <w:szCs w:val="20"/>
        </w:rPr>
        <w:t xml:space="preserve"> shortages, lack of finance, and access to farm inputs also play a substantial role. </w:t>
      </w:r>
      <w:r w:rsidR="00A679C6">
        <w:rPr>
          <w:rFonts w:ascii="Arial" w:hAnsi="Arial" w:cs="Arial"/>
          <w:sz w:val="20"/>
          <w:szCs w:val="20"/>
        </w:rPr>
        <w:t>The</w:t>
      </w:r>
      <w:r w:rsidR="00A679C6" w:rsidRPr="00A679C6">
        <w:rPr>
          <w:rFonts w:ascii="Arial" w:hAnsi="Arial" w:cs="Arial"/>
          <w:sz w:val="20"/>
          <w:szCs w:val="20"/>
        </w:rPr>
        <w:t xml:space="preserve"> issues</w:t>
      </w:r>
      <w:r w:rsidR="00A679C6">
        <w:rPr>
          <w:rFonts w:ascii="Arial" w:hAnsi="Arial" w:cs="Arial"/>
          <w:sz w:val="20"/>
          <w:szCs w:val="20"/>
        </w:rPr>
        <w:t xml:space="preserve"> in the marketing of green tea leaves</w:t>
      </w:r>
      <w:r w:rsidR="00A679C6" w:rsidRPr="00A679C6">
        <w:rPr>
          <w:rFonts w:ascii="Arial" w:hAnsi="Arial" w:cs="Arial"/>
          <w:sz w:val="20"/>
          <w:szCs w:val="20"/>
        </w:rPr>
        <w:t xml:space="preserve"> highlight the volatility and inefficiencies in the marketing channels available to small tea growers. Other challenges such as inadequate market information, lack of processing facilities, and high transportation costs also pose considerable barriers to efficient market access.</w:t>
      </w:r>
    </w:p>
    <w:p w14:paraId="42F3ED4C" w14:textId="6B51C3DA" w:rsidR="00603B2D" w:rsidRPr="00603B2D" w:rsidRDefault="00603B2D" w:rsidP="00603B2D">
      <w:pPr>
        <w:spacing w:line="360" w:lineRule="auto"/>
        <w:jc w:val="both"/>
        <w:rPr>
          <w:rFonts w:ascii="Arial" w:eastAsia="Times New Roman" w:hAnsi="Arial" w:cs="Arial"/>
          <w:color w:val="000000"/>
          <w:sz w:val="20"/>
          <w:szCs w:val="20"/>
          <w:lang w:eastAsia="en-IN"/>
        </w:rPr>
      </w:pPr>
      <w:r w:rsidRPr="00603B2D">
        <w:rPr>
          <w:rFonts w:ascii="Arial" w:eastAsia="Times New Roman" w:hAnsi="Arial" w:cs="Arial"/>
          <w:color w:val="000000"/>
          <w:sz w:val="20"/>
          <w:szCs w:val="20"/>
          <w:lang w:eastAsia="en-IN"/>
        </w:rPr>
        <w:t>Addressing these multi-dimensional challenges will require strategic interventions at the policy level, including infrastructure development, improved market access, and institutional support mechanisms to strengthen small tea growers’ position.</w:t>
      </w:r>
      <w:r w:rsidRPr="00603B2D">
        <w:rPr>
          <w:rFonts w:ascii="Arial" w:hAnsi="Arial" w:cs="Arial"/>
          <w:color w:val="0D0D0D"/>
          <w:sz w:val="20"/>
          <w:szCs w:val="20"/>
        </w:rPr>
        <w:t xml:space="preserve"> The solution to the multi-dimensional problems would require effective interventions at the state or central level in order to facilitate better opportunities for the small tea growers.</w:t>
      </w:r>
    </w:p>
    <w:p w14:paraId="3B78EF81" w14:textId="77777777" w:rsidR="0053181A" w:rsidRDefault="0053181A" w:rsidP="00A679C6">
      <w:pPr>
        <w:spacing w:line="360" w:lineRule="auto"/>
        <w:jc w:val="both"/>
        <w:rPr>
          <w:rFonts w:ascii="Arial" w:hAnsi="Arial" w:cs="Arial"/>
          <w:b/>
          <w:bCs/>
          <w:color w:val="0D0D0D"/>
        </w:rPr>
      </w:pPr>
    </w:p>
    <w:p w14:paraId="795EB80B" w14:textId="32888C3E" w:rsidR="002F264D" w:rsidRDefault="00603B2D" w:rsidP="00A679C6">
      <w:pPr>
        <w:spacing w:line="360" w:lineRule="auto"/>
        <w:jc w:val="both"/>
        <w:rPr>
          <w:rFonts w:ascii="Arial" w:hAnsi="Arial" w:cs="Arial"/>
          <w:b/>
          <w:bCs/>
          <w:color w:val="0D0D0D"/>
        </w:rPr>
      </w:pPr>
      <w:r>
        <w:rPr>
          <w:rFonts w:ascii="Arial" w:hAnsi="Arial" w:cs="Arial"/>
          <w:b/>
          <w:bCs/>
          <w:color w:val="0D0D0D"/>
        </w:rPr>
        <w:t>REFERENCE</w:t>
      </w:r>
      <w:r w:rsidR="00A679C6">
        <w:rPr>
          <w:rFonts w:ascii="Arial" w:hAnsi="Arial" w:cs="Arial"/>
          <w:b/>
          <w:bCs/>
          <w:color w:val="0D0D0D"/>
        </w:rPr>
        <w:t>S</w:t>
      </w:r>
    </w:p>
    <w:p w14:paraId="0AC8CCEA"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Baruah, B.K. (2008). Small Tea Cultivation in Assam: An Economic Analysis. Guwahati: EBH Publishers.</w:t>
      </w:r>
    </w:p>
    <w:p w14:paraId="5469F0D1" w14:textId="77777777" w:rsidR="00A679C6" w:rsidRPr="00A679C6" w:rsidRDefault="00A679C6" w:rsidP="00A679C6">
      <w:pPr>
        <w:jc w:val="both"/>
        <w:rPr>
          <w:rFonts w:ascii="Arial" w:hAnsi="Arial" w:cs="Arial"/>
          <w:color w:val="0D0D0D"/>
          <w:sz w:val="20"/>
          <w:szCs w:val="20"/>
        </w:rPr>
      </w:pPr>
      <w:r w:rsidRPr="00A679C6">
        <w:rPr>
          <w:rFonts w:ascii="Arial" w:hAnsi="Arial" w:cs="Arial"/>
          <w:color w:val="0D0D0D"/>
          <w:sz w:val="20"/>
          <w:szCs w:val="20"/>
        </w:rPr>
        <w:t>Baruah, S. (2021). Challenges and opportunities for small tea growers in Assam. Indian Journal of Agricultural Economics, 76(3), 412–420.</w:t>
      </w:r>
    </w:p>
    <w:p w14:paraId="7F486A86"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 xml:space="preserve">Bhowmik, S.K. (2011). Lives of Small Tea Growers: A Study of North Bengal and Assam. Indian Journal of </w:t>
      </w:r>
      <w:proofErr w:type="spellStart"/>
      <w:r w:rsidRPr="00A679C6">
        <w:rPr>
          <w:rFonts w:ascii="Arial" w:hAnsi="Arial" w:cs="Arial"/>
          <w:sz w:val="20"/>
          <w:szCs w:val="20"/>
        </w:rPr>
        <w:t>Labour</w:t>
      </w:r>
      <w:proofErr w:type="spellEnd"/>
      <w:r w:rsidRPr="00A679C6">
        <w:rPr>
          <w:rFonts w:ascii="Arial" w:hAnsi="Arial" w:cs="Arial"/>
          <w:sz w:val="20"/>
          <w:szCs w:val="20"/>
        </w:rPr>
        <w:t xml:space="preserve"> Economics, 54(3), 457-473.</w:t>
      </w:r>
    </w:p>
    <w:p w14:paraId="182B8667"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 xml:space="preserve">Borah, M., &amp; Kalita, B. (2019). Pricing mechanism of green tea leaves and its impact on small tea growers in Assam. </w:t>
      </w:r>
      <w:r w:rsidRPr="00A679C6">
        <w:rPr>
          <w:rFonts w:ascii="Arial" w:hAnsi="Arial" w:cs="Arial"/>
          <w:i/>
          <w:iCs/>
          <w:sz w:val="20"/>
          <w:szCs w:val="20"/>
        </w:rPr>
        <w:t xml:space="preserve">Economic Affairs, </w:t>
      </w:r>
      <w:r w:rsidRPr="00A679C6">
        <w:rPr>
          <w:rFonts w:ascii="Arial" w:hAnsi="Arial" w:cs="Arial"/>
          <w:sz w:val="20"/>
          <w:szCs w:val="20"/>
        </w:rPr>
        <w:t>64(3). 517-526.</w:t>
      </w:r>
    </w:p>
    <w:p w14:paraId="58CFCA4D" w14:textId="77777777" w:rsidR="00A679C6" w:rsidRPr="00A679C6" w:rsidRDefault="00A679C6" w:rsidP="00A679C6">
      <w:pPr>
        <w:jc w:val="both"/>
        <w:rPr>
          <w:rFonts w:ascii="Arial" w:hAnsi="Arial" w:cs="Arial"/>
          <w:color w:val="0D0D0D"/>
          <w:sz w:val="20"/>
          <w:szCs w:val="20"/>
        </w:rPr>
      </w:pPr>
      <w:r w:rsidRPr="00A679C6">
        <w:rPr>
          <w:rFonts w:ascii="Arial" w:hAnsi="Arial" w:cs="Arial"/>
          <w:color w:val="0D0D0D"/>
          <w:sz w:val="20"/>
          <w:szCs w:val="20"/>
        </w:rPr>
        <w:t>Borah, P. (2022). Marketing constraints in small tea plantations of Assam: A study on STG perspectives. Journal of Rural Development, 41(1), 55–68.</w:t>
      </w:r>
    </w:p>
    <w:p w14:paraId="3690BE3F"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Chakraborty, S., &amp; Das, B. (2019). Marketing Constraints of Small Tea Growers in Assam. Asian Journal of Agricultural Extension, Economics &amp; Sociology, 30(3), 1–11.</w:t>
      </w:r>
    </w:p>
    <w:p w14:paraId="69DF3B4B" w14:textId="77777777" w:rsidR="00A679C6" w:rsidRPr="00A679C6" w:rsidRDefault="00A679C6" w:rsidP="00A679C6">
      <w:pPr>
        <w:jc w:val="both"/>
        <w:rPr>
          <w:rFonts w:ascii="Arial" w:hAnsi="Arial" w:cs="Arial"/>
          <w:color w:val="0D0D0D"/>
          <w:sz w:val="20"/>
          <w:szCs w:val="20"/>
        </w:rPr>
      </w:pPr>
      <w:r w:rsidRPr="00A679C6">
        <w:rPr>
          <w:rFonts w:ascii="Arial" w:hAnsi="Arial" w:cs="Arial"/>
          <w:color w:val="0D0D0D"/>
          <w:sz w:val="20"/>
          <w:szCs w:val="20"/>
        </w:rPr>
        <w:t>Das, M. (2023). Climate change and its impact on small tea farming in Assam. Environmental Research and Policy Review, 28(2), 201–214.</w:t>
      </w:r>
    </w:p>
    <w:p w14:paraId="33F2A63B" w14:textId="77777777" w:rsidR="00A679C6" w:rsidRPr="00A679C6" w:rsidRDefault="00A679C6" w:rsidP="00A679C6">
      <w:pPr>
        <w:jc w:val="both"/>
        <w:rPr>
          <w:rFonts w:ascii="Arial" w:hAnsi="Arial" w:cs="Arial"/>
          <w:color w:val="0D0D0D"/>
          <w:sz w:val="20"/>
          <w:szCs w:val="20"/>
        </w:rPr>
      </w:pPr>
      <w:r w:rsidRPr="00A679C6">
        <w:rPr>
          <w:rFonts w:ascii="Arial" w:hAnsi="Arial" w:cs="Arial"/>
          <w:color w:val="0D0D0D"/>
          <w:sz w:val="20"/>
          <w:szCs w:val="20"/>
        </w:rPr>
        <w:t>Gogoi, R., Ahmed, N., &amp; Saikia, J. (2021). Production and quality challenges faced by small tea growers: A case from Upper Assam. Journal of Plantation Crops, 49(4), 322–330.</w:t>
      </w:r>
    </w:p>
    <w:p w14:paraId="7EDFF42E"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lastRenderedPageBreak/>
        <w:t>Karmakar, K.G. and Banerjee, G.D. (2005). The Tea Industry in India: A Survey. National Bank for Agriculture and Rural Development, Mumbai. 39:1-165</w:t>
      </w:r>
    </w:p>
    <w:p w14:paraId="70A7853D"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Mazumdar, R. (2021). Digital Potential in Green Leaf Marketing for Small Tea Growers. Journal of Rural Innovations, 5(1), 56–66.</w:t>
      </w:r>
    </w:p>
    <w:p w14:paraId="65AF712A"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 xml:space="preserve">Rai, J &amp; Baruah, A. (2013). An economic study of small tea growers of Jorhat district of Assam. </w:t>
      </w:r>
      <w:r w:rsidRPr="00A679C6">
        <w:rPr>
          <w:rFonts w:ascii="Arial" w:hAnsi="Arial" w:cs="Arial"/>
          <w:i/>
          <w:iCs/>
          <w:sz w:val="20"/>
          <w:szCs w:val="20"/>
        </w:rPr>
        <w:t>Environment and Ecology.</w:t>
      </w:r>
      <w:r w:rsidRPr="00A679C6">
        <w:rPr>
          <w:rFonts w:ascii="Arial" w:hAnsi="Arial" w:cs="Arial"/>
          <w:sz w:val="20"/>
          <w:szCs w:val="20"/>
        </w:rPr>
        <w:t xml:space="preserve"> 32 (1A). 250-254.</w:t>
      </w:r>
    </w:p>
    <w:p w14:paraId="169549C7" w14:textId="77777777" w:rsidR="00A679C6" w:rsidRPr="00A679C6" w:rsidRDefault="00A679C6" w:rsidP="00A679C6">
      <w:pPr>
        <w:jc w:val="both"/>
        <w:rPr>
          <w:rFonts w:ascii="Arial" w:hAnsi="Arial" w:cs="Arial"/>
          <w:color w:val="0D0D0D"/>
          <w:sz w:val="20"/>
          <w:szCs w:val="20"/>
        </w:rPr>
      </w:pPr>
      <w:r w:rsidRPr="00A679C6">
        <w:rPr>
          <w:rFonts w:ascii="Arial" w:hAnsi="Arial" w:cs="Arial"/>
          <w:color w:val="0D0D0D"/>
          <w:sz w:val="20"/>
          <w:szCs w:val="20"/>
        </w:rPr>
        <w:t>Saikia, A., &amp; Dutta, R. (2020). Market linkages and value chain inefficiencies in Assam’s small tea sector. Assam Economic Review, 15(2), 89–103.</w:t>
      </w:r>
    </w:p>
    <w:p w14:paraId="783C11E2"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Saikia, J. (2012). Economics of small tea cultivation in Assam. Economic Affairs, 57(3), 239–246.</w:t>
      </w:r>
    </w:p>
    <w:p w14:paraId="33870CF4"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Sarkar, S., &amp; Bhowmik, S.K. (2015). Cost analysis and marketing of small tea growers in Darjeeling. Journal of Rural Development, 34(1), 73-89.</w:t>
      </w:r>
    </w:p>
    <w:p w14:paraId="5F08BE3C" w14:textId="77777777" w:rsidR="00A679C6" w:rsidRPr="00A679C6" w:rsidRDefault="00A679C6" w:rsidP="00A679C6">
      <w:pPr>
        <w:jc w:val="both"/>
        <w:rPr>
          <w:rFonts w:ascii="Arial" w:hAnsi="Arial" w:cs="Arial"/>
          <w:sz w:val="20"/>
          <w:szCs w:val="20"/>
        </w:rPr>
      </w:pPr>
      <w:r w:rsidRPr="00A679C6">
        <w:rPr>
          <w:rFonts w:ascii="Arial" w:hAnsi="Arial" w:cs="Arial"/>
          <w:sz w:val="20"/>
          <w:szCs w:val="20"/>
        </w:rPr>
        <w:t xml:space="preserve">Sharma, V. P., &amp; Singh, R. V. (2007). Re-governing Markets: India meso-level study. </w:t>
      </w:r>
      <w:r w:rsidRPr="00A679C6">
        <w:rPr>
          <w:rFonts w:ascii="Arial" w:hAnsi="Arial" w:cs="Arial"/>
          <w:i/>
          <w:iCs/>
          <w:sz w:val="20"/>
          <w:szCs w:val="20"/>
        </w:rPr>
        <w:t>Re-governing markets project report</w:t>
      </w:r>
      <w:r w:rsidRPr="00A679C6">
        <w:rPr>
          <w:rFonts w:ascii="Arial" w:hAnsi="Arial" w:cs="Arial"/>
          <w:sz w:val="20"/>
          <w:szCs w:val="20"/>
        </w:rPr>
        <w:t>. Indian Institute of Management.</w:t>
      </w:r>
    </w:p>
    <w:p w14:paraId="6D76FC94" w14:textId="77777777" w:rsidR="00A679C6" w:rsidRPr="00A679C6" w:rsidRDefault="00A679C6" w:rsidP="00A679C6">
      <w:pPr>
        <w:jc w:val="both"/>
        <w:rPr>
          <w:rFonts w:ascii="Arial" w:hAnsi="Arial" w:cs="Arial"/>
          <w:color w:val="0D0D0D"/>
          <w:sz w:val="20"/>
          <w:szCs w:val="20"/>
        </w:rPr>
      </w:pPr>
      <w:r w:rsidRPr="00A679C6">
        <w:rPr>
          <w:rFonts w:ascii="Arial" w:hAnsi="Arial" w:cs="Arial"/>
          <w:color w:val="0D0D0D"/>
          <w:sz w:val="20"/>
          <w:szCs w:val="20"/>
        </w:rPr>
        <w:t xml:space="preserve">Tea Board of India. (2023). Annual Report 2022–2023. </w:t>
      </w:r>
    </w:p>
    <w:p w14:paraId="2613861E" w14:textId="77777777" w:rsidR="00A679C6" w:rsidRPr="00A679C6" w:rsidRDefault="00A679C6" w:rsidP="00A679C6">
      <w:pPr>
        <w:spacing w:line="360" w:lineRule="auto"/>
        <w:jc w:val="both"/>
        <w:rPr>
          <w:rFonts w:ascii="Arial" w:hAnsi="Arial" w:cs="Arial"/>
          <w:b/>
          <w:bCs/>
          <w:color w:val="0D0D0D"/>
        </w:rPr>
      </w:pPr>
    </w:p>
    <w:sectPr w:rsidR="00A679C6" w:rsidRPr="00A679C6"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2323" w14:textId="77777777" w:rsidR="00A028B7" w:rsidRDefault="00A028B7" w:rsidP="003A44C2">
      <w:pPr>
        <w:spacing w:after="0" w:line="240" w:lineRule="auto"/>
      </w:pPr>
      <w:r>
        <w:separator/>
      </w:r>
    </w:p>
  </w:endnote>
  <w:endnote w:type="continuationSeparator" w:id="0">
    <w:p w14:paraId="7BAE0D16" w14:textId="77777777" w:rsidR="00A028B7" w:rsidRDefault="00A028B7" w:rsidP="003A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FF93" w14:textId="77777777" w:rsidR="0053181A" w:rsidRDefault="00531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2C21" w14:textId="77777777" w:rsidR="0053181A" w:rsidRDefault="0053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1705" w14:textId="77777777" w:rsidR="0053181A" w:rsidRDefault="0053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DBFE" w14:textId="77777777" w:rsidR="00A028B7" w:rsidRDefault="00A028B7" w:rsidP="003A44C2">
      <w:pPr>
        <w:spacing w:after="0" w:line="240" w:lineRule="auto"/>
      </w:pPr>
      <w:r>
        <w:separator/>
      </w:r>
    </w:p>
  </w:footnote>
  <w:footnote w:type="continuationSeparator" w:id="0">
    <w:p w14:paraId="070E9C91" w14:textId="77777777" w:rsidR="00A028B7" w:rsidRDefault="00A028B7" w:rsidP="003A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0775" w14:textId="084B08A7" w:rsidR="0053181A" w:rsidRDefault="0053181A">
    <w:pPr>
      <w:pStyle w:val="Header"/>
    </w:pPr>
    <w:r>
      <w:rPr>
        <w:noProof/>
      </w:rPr>
      <w:pict w14:anchorId="4AADC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391"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856E" w14:textId="4533D90D" w:rsidR="0053181A" w:rsidRDefault="0053181A">
    <w:pPr>
      <w:pStyle w:val="Header"/>
    </w:pPr>
    <w:r>
      <w:rPr>
        <w:noProof/>
      </w:rPr>
      <w:pict w14:anchorId="24CF7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392"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54C1" w14:textId="506D0AB0" w:rsidR="0053181A" w:rsidRDefault="0053181A">
    <w:pPr>
      <w:pStyle w:val="Header"/>
    </w:pPr>
    <w:r>
      <w:rPr>
        <w:noProof/>
      </w:rPr>
      <w:pict w14:anchorId="6044F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390"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7E3B76"/>
    <w:multiLevelType w:val="hybridMultilevel"/>
    <w:tmpl w:val="C150B42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B3D44F1"/>
    <w:multiLevelType w:val="hybridMultilevel"/>
    <w:tmpl w:val="C1382A46"/>
    <w:lvl w:ilvl="0" w:tplc="40090011">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1" w15:restartNumberingAfterBreak="0">
    <w:nsid w:val="0BBC5EEC"/>
    <w:multiLevelType w:val="multilevel"/>
    <w:tmpl w:val="685E3C4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B6C2F"/>
    <w:multiLevelType w:val="multilevel"/>
    <w:tmpl w:val="20B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6045F5"/>
    <w:multiLevelType w:val="hybridMultilevel"/>
    <w:tmpl w:val="81E826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430F25"/>
    <w:multiLevelType w:val="hybridMultilevel"/>
    <w:tmpl w:val="7C36AC8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4A208C"/>
    <w:multiLevelType w:val="hybridMultilevel"/>
    <w:tmpl w:val="B5344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0E026C"/>
    <w:multiLevelType w:val="hybridMultilevel"/>
    <w:tmpl w:val="CD70F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0856B5"/>
    <w:multiLevelType w:val="multilevel"/>
    <w:tmpl w:val="38AC9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BA4F1E"/>
    <w:multiLevelType w:val="hybridMultilevel"/>
    <w:tmpl w:val="195432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25905046">
    <w:abstractNumId w:val="8"/>
  </w:num>
  <w:num w:numId="2" w16cid:durableId="2091464315">
    <w:abstractNumId w:val="6"/>
  </w:num>
  <w:num w:numId="3" w16cid:durableId="1735153258">
    <w:abstractNumId w:val="5"/>
  </w:num>
  <w:num w:numId="4" w16cid:durableId="792596769">
    <w:abstractNumId w:val="4"/>
  </w:num>
  <w:num w:numId="5" w16cid:durableId="173619573">
    <w:abstractNumId w:val="7"/>
  </w:num>
  <w:num w:numId="6" w16cid:durableId="2123843698">
    <w:abstractNumId w:val="3"/>
  </w:num>
  <w:num w:numId="7" w16cid:durableId="1479568707">
    <w:abstractNumId w:val="2"/>
  </w:num>
  <w:num w:numId="8" w16cid:durableId="494613301">
    <w:abstractNumId w:val="1"/>
  </w:num>
  <w:num w:numId="9" w16cid:durableId="1711219899">
    <w:abstractNumId w:val="0"/>
  </w:num>
  <w:num w:numId="10" w16cid:durableId="1421946341">
    <w:abstractNumId w:val="16"/>
  </w:num>
  <w:num w:numId="11" w16cid:durableId="2010448281">
    <w:abstractNumId w:val="17"/>
  </w:num>
  <w:num w:numId="12" w16cid:durableId="674891087">
    <w:abstractNumId w:val="14"/>
  </w:num>
  <w:num w:numId="13" w16cid:durableId="1473210073">
    <w:abstractNumId w:val="10"/>
  </w:num>
  <w:num w:numId="14" w16cid:durableId="28458450">
    <w:abstractNumId w:val="18"/>
  </w:num>
  <w:num w:numId="15" w16cid:durableId="743839703">
    <w:abstractNumId w:val="15"/>
  </w:num>
  <w:num w:numId="16" w16cid:durableId="168564141">
    <w:abstractNumId w:val="13"/>
  </w:num>
  <w:num w:numId="17" w16cid:durableId="1317303430">
    <w:abstractNumId w:val="11"/>
  </w:num>
  <w:num w:numId="18" w16cid:durableId="1567490968">
    <w:abstractNumId w:val="9"/>
  </w:num>
  <w:num w:numId="19" w16cid:durableId="843086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1786"/>
    <w:rsid w:val="0029639D"/>
    <w:rsid w:val="002F264D"/>
    <w:rsid w:val="00326F90"/>
    <w:rsid w:val="003A44C2"/>
    <w:rsid w:val="0040302E"/>
    <w:rsid w:val="004411F1"/>
    <w:rsid w:val="0046131B"/>
    <w:rsid w:val="0049429D"/>
    <w:rsid w:val="00517B39"/>
    <w:rsid w:val="0053181A"/>
    <w:rsid w:val="005C1D99"/>
    <w:rsid w:val="00603B2D"/>
    <w:rsid w:val="00645CAD"/>
    <w:rsid w:val="00655035"/>
    <w:rsid w:val="00735A0F"/>
    <w:rsid w:val="007A4E1E"/>
    <w:rsid w:val="00856981"/>
    <w:rsid w:val="00882685"/>
    <w:rsid w:val="008C6BA2"/>
    <w:rsid w:val="008E59C8"/>
    <w:rsid w:val="00936E9D"/>
    <w:rsid w:val="009422F1"/>
    <w:rsid w:val="00961E66"/>
    <w:rsid w:val="00A028B7"/>
    <w:rsid w:val="00A679C6"/>
    <w:rsid w:val="00AA1D8D"/>
    <w:rsid w:val="00B473C5"/>
    <w:rsid w:val="00B47730"/>
    <w:rsid w:val="00C16AB6"/>
    <w:rsid w:val="00C35A27"/>
    <w:rsid w:val="00C61C4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19F2CD"/>
  <w14:defaultImageDpi w14:val="300"/>
  <w15:docId w15:val="{4F1BCAF8-E279-4E53-89A9-715BA7D2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10">
    <w:name w:val="Pa10"/>
    <w:basedOn w:val="Normal"/>
    <w:next w:val="Normal"/>
    <w:uiPriority w:val="99"/>
    <w:rsid w:val="00517B39"/>
    <w:pPr>
      <w:autoSpaceDE w:val="0"/>
      <w:autoSpaceDN w:val="0"/>
      <w:adjustRightInd w:val="0"/>
      <w:spacing w:after="0" w:line="241" w:lineRule="atLeast"/>
    </w:pPr>
    <w:rPr>
      <w:rFonts w:ascii="Times New Roman" w:eastAsiaTheme="minorHAnsi" w:hAnsi="Times New Roman" w:cs="Times New Roman"/>
      <w:sz w:val="24"/>
      <w:szCs w:val="24"/>
      <w:lang w:val="en-IN"/>
      <w14:ligatures w14:val="standardContextual"/>
    </w:rPr>
  </w:style>
  <w:style w:type="paragraph" w:customStyle="1" w:styleId="Pa71">
    <w:name w:val="Pa7+1"/>
    <w:basedOn w:val="Normal"/>
    <w:next w:val="Normal"/>
    <w:uiPriority w:val="99"/>
    <w:rsid w:val="00517B39"/>
    <w:pPr>
      <w:autoSpaceDE w:val="0"/>
      <w:autoSpaceDN w:val="0"/>
      <w:adjustRightInd w:val="0"/>
      <w:spacing w:after="0" w:line="241" w:lineRule="atLeast"/>
    </w:pPr>
    <w:rPr>
      <w:rFonts w:ascii="Times New Roman" w:eastAsiaTheme="minorHAnsi" w:hAnsi="Times New Roman" w:cs="Times New Roman"/>
      <w:sz w:val="24"/>
      <w:szCs w:val="24"/>
      <w:lang w:val="en-IN"/>
      <w14:ligatures w14:val="standardContextual"/>
    </w:rPr>
  </w:style>
  <w:style w:type="character" w:styleId="Hyperlink">
    <w:name w:val="Hyperlink"/>
    <w:basedOn w:val="DefaultParagraphFont"/>
    <w:uiPriority w:val="99"/>
    <w:unhideWhenUsed/>
    <w:rsid w:val="008C6B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45835">
      <w:bodyDiv w:val="1"/>
      <w:marLeft w:val="0"/>
      <w:marRight w:val="0"/>
      <w:marTop w:val="0"/>
      <w:marBottom w:val="0"/>
      <w:divBdr>
        <w:top w:val="none" w:sz="0" w:space="0" w:color="auto"/>
        <w:left w:val="none" w:sz="0" w:space="0" w:color="auto"/>
        <w:bottom w:val="none" w:sz="0" w:space="0" w:color="auto"/>
        <w:right w:val="none" w:sz="0" w:space="0" w:color="auto"/>
      </w:divBdr>
    </w:div>
    <w:div w:id="414322748">
      <w:bodyDiv w:val="1"/>
      <w:marLeft w:val="0"/>
      <w:marRight w:val="0"/>
      <w:marTop w:val="0"/>
      <w:marBottom w:val="0"/>
      <w:divBdr>
        <w:top w:val="none" w:sz="0" w:space="0" w:color="auto"/>
        <w:left w:val="none" w:sz="0" w:space="0" w:color="auto"/>
        <w:bottom w:val="none" w:sz="0" w:space="0" w:color="auto"/>
        <w:right w:val="none" w:sz="0" w:space="0" w:color="auto"/>
      </w:divBdr>
    </w:div>
    <w:div w:id="510998594">
      <w:bodyDiv w:val="1"/>
      <w:marLeft w:val="0"/>
      <w:marRight w:val="0"/>
      <w:marTop w:val="0"/>
      <w:marBottom w:val="0"/>
      <w:divBdr>
        <w:top w:val="none" w:sz="0" w:space="0" w:color="auto"/>
        <w:left w:val="none" w:sz="0" w:space="0" w:color="auto"/>
        <w:bottom w:val="none" w:sz="0" w:space="0" w:color="auto"/>
        <w:right w:val="none" w:sz="0" w:space="0" w:color="auto"/>
      </w:divBdr>
    </w:div>
    <w:div w:id="1100763172">
      <w:bodyDiv w:val="1"/>
      <w:marLeft w:val="0"/>
      <w:marRight w:val="0"/>
      <w:marTop w:val="0"/>
      <w:marBottom w:val="0"/>
      <w:divBdr>
        <w:top w:val="none" w:sz="0" w:space="0" w:color="auto"/>
        <w:left w:val="none" w:sz="0" w:space="0" w:color="auto"/>
        <w:bottom w:val="none" w:sz="0" w:space="0" w:color="auto"/>
        <w:right w:val="none" w:sz="0" w:space="0" w:color="auto"/>
      </w:divBdr>
    </w:div>
    <w:div w:id="1361785236">
      <w:bodyDiv w:val="1"/>
      <w:marLeft w:val="0"/>
      <w:marRight w:val="0"/>
      <w:marTop w:val="0"/>
      <w:marBottom w:val="0"/>
      <w:divBdr>
        <w:top w:val="none" w:sz="0" w:space="0" w:color="auto"/>
        <w:left w:val="none" w:sz="0" w:space="0" w:color="auto"/>
        <w:bottom w:val="none" w:sz="0" w:space="0" w:color="auto"/>
        <w:right w:val="none" w:sz="0" w:space="0" w:color="auto"/>
      </w:divBdr>
    </w:div>
    <w:div w:id="1839543508">
      <w:bodyDiv w:val="1"/>
      <w:marLeft w:val="0"/>
      <w:marRight w:val="0"/>
      <w:marTop w:val="0"/>
      <w:marBottom w:val="0"/>
      <w:divBdr>
        <w:top w:val="none" w:sz="0" w:space="0" w:color="auto"/>
        <w:left w:val="none" w:sz="0" w:space="0" w:color="auto"/>
        <w:bottom w:val="none" w:sz="0" w:space="0" w:color="auto"/>
        <w:right w:val="none" w:sz="0" w:space="0" w:color="auto"/>
      </w:divBdr>
    </w:div>
    <w:div w:id="2040273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Editor-22</cp:lastModifiedBy>
  <cp:revision>9</cp:revision>
  <dcterms:created xsi:type="dcterms:W3CDTF">2013-12-23T23:15:00Z</dcterms:created>
  <dcterms:modified xsi:type="dcterms:W3CDTF">2025-05-12T12:51:00Z</dcterms:modified>
  <cp:category/>
</cp:coreProperties>
</file>