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CBE7F" w14:textId="59E6E3F8" w:rsidR="000C59CF" w:rsidRPr="000C59CF" w:rsidRDefault="000C59CF" w:rsidP="000B45C6">
      <w:pPr>
        <w:pStyle w:val="Tableentry"/>
        <w:spacing w:before="160" w:after="160"/>
        <w:rPr>
          <w:rStyle w:val="cf01"/>
          <w:rFonts w:asciiTheme="minorBidi" w:hAnsiTheme="minorBidi" w:cstheme="minorBidi"/>
          <w:b/>
          <w:bCs w:val="0"/>
          <w:sz w:val="20"/>
          <w:szCs w:val="20"/>
          <w:u w:val="single"/>
        </w:rPr>
      </w:pPr>
      <w:r w:rsidRPr="000C59CF">
        <w:rPr>
          <w:rStyle w:val="cf01"/>
          <w:rFonts w:asciiTheme="minorBidi" w:hAnsiTheme="minorBidi" w:cstheme="minorBidi"/>
          <w:b/>
          <w:bCs w:val="0"/>
          <w:sz w:val="20"/>
          <w:szCs w:val="20"/>
          <w:u w:val="single"/>
        </w:rPr>
        <w:t>Study Protocol and pre-protocol</w:t>
      </w:r>
    </w:p>
    <w:p w14:paraId="647234C9" w14:textId="1DD64409" w:rsidR="000B45C6" w:rsidRPr="00B56140" w:rsidRDefault="000B45C6" w:rsidP="000B45C6">
      <w:pPr>
        <w:pStyle w:val="Tableentry"/>
        <w:spacing w:before="160" w:after="160"/>
        <w:rPr>
          <w:rStyle w:val="cf01"/>
          <w:rFonts w:asciiTheme="minorBidi" w:hAnsiTheme="minorBidi" w:cstheme="minorBidi"/>
          <w:sz w:val="20"/>
          <w:szCs w:val="20"/>
        </w:rPr>
      </w:pPr>
      <w:r w:rsidRPr="00B56140">
        <w:rPr>
          <w:rStyle w:val="cf01"/>
          <w:rFonts w:asciiTheme="minorBidi" w:hAnsiTheme="minorBidi" w:cstheme="minorBidi"/>
          <w:sz w:val="20"/>
          <w:szCs w:val="20"/>
        </w:rPr>
        <w:t xml:space="preserve">The </w:t>
      </w:r>
      <w:r w:rsidR="00575168" w:rsidRPr="00B56140">
        <w:rPr>
          <w:rStyle w:val="cf01"/>
          <w:rFonts w:asciiTheme="minorBidi" w:hAnsiTheme="minorBidi" w:cstheme="minorBidi"/>
          <w:sz w:val="20"/>
          <w:szCs w:val="20"/>
        </w:rPr>
        <w:t>I</w:t>
      </w:r>
      <w:r w:rsidRPr="00B56140">
        <w:rPr>
          <w:rStyle w:val="cf01"/>
          <w:rFonts w:asciiTheme="minorBidi" w:hAnsiTheme="minorBidi" w:cstheme="minorBidi"/>
          <w:sz w:val="20"/>
          <w:szCs w:val="20"/>
        </w:rPr>
        <w:t xml:space="preserve">mpact of HbA1c </w:t>
      </w:r>
      <w:r w:rsidR="00575168" w:rsidRPr="00B56140">
        <w:rPr>
          <w:rStyle w:val="cf01"/>
          <w:rFonts w:asciiTheme="minorBidi" w:hAnsiTheme="minorBidi" w:cstheme="minorBidi"/>
          <w:sz w:val="20"/>
          <w:szCs w:val="20"/>
        </w:rPr>
        <w:t>L</w:t>
      </w:r>
      <w:r w:rsidRPr="00B56140">
        <w:rPr>
          <w:rStyle w:val="cf01"/>
          <w:rFonts w:asciiTheme="minorBidi" w:hAnsiTheme="minorBidi" w:cstheme="minorBidi"/>
          <w:sz w:val="20"/>
          <w:szCs w:val="20"/>
        </w:rPr>
        <w:t xml:space="preserve">evel on </w:t>
      </w:r>
      <w:r w:rsidR="003E24F8" w:rsidRPr="00B56140">
        <w:rPr>
          <w:rStyle w:val="cf01"/>
          <w:rFonts w:asciiTheme="minorBidi" w:hAnsiTheme="minorBidi" w:cstheme="minorBidi"/>
          <w:sz w:val="20"/>
          <w:szCs w:val="20"/>
        </w:rPr>
        <w:t xml:space="preserve">The </w:t>
      </w:r>
      <w:r w:rsidR="00575168" w:rsidRPr="00B56140">
        <w:rPr>
          <w:rStyle w:val="cf01"/>
          <w:rFonts w:asciiTheme="minorBidi" w:hAnsiTheme="minorBidi" w:cstheme="minorBidi"/>
          <w:sz w:val="20"/>
          <w:szCs w:val="20"/>
        </w:rPr>
        <w:t>R</w:t>
      </w:r>
      <w:r w:rsidRPr="00B56140">
        <w:rPr>
          <w:rStyle w:val="cf01"/>
          <w:rFonts w:asciiTheme="minorBidi" w:hAnsiTheme="minorBidi" w:cstheme="minorBidi"/>
          <w:sz w:val="20"/>
          <w:szCs w:val="20"/>
        </w:rPr>
        <w:t xml:space="preserve">isk of </w:t>
      </w:r>
      <w:r w:rsidR="00575168" w:rsidRPr="00B56140">
        <w:rPr>
          <w:rStyle w:val="cf01"/>
          <w:rFonts w:asciiTheme="minorBidi" w:hAnsiTheme="minorBidi" w:cstheme="minorBidi"/>
          <w:sz w:val="20"/>
          <w:szCs w:val="20"/>
        </w:rPr>
        <w:t>E</w:t>
      </w:r>
      <w:r w:rsidRPr="00B56140">
        <w:rPr>
          <w:rStyle w:val="cf01"/>
          <w:rFonts w:asciiTheme="minorBidi" w:hAnsiTheme="minorBidi" w:cstheme="minorBidi"/>
          <w:sz w:val="20"/>
          <w:szCs w:val="20"/>
        </w:rPr>
        <w:t xml:space="preserve">nd </w:t>
      </w:r>
      <w:r w:rsidR="00575168" w:rsidRPr="00B56140">
        <w:rPr>
          <w:rStyle w:val="cf01"/>
          <w:rFonts w:asciiTheme="minorBidi" w:hAnsiTheme="minorBidi" w:cstheme="minorBidi"/>
          <w:sz w:val="20"/>
          <w:szCs w:val="20"/>
        </w:rPr>
        <w:t>S</w:t>
      </w:r>
      <w:r w:rsidRPr="00B56140">
        <w:rPr>
          <w:rStyle w:val="cf01"/>
          <w:rFonts w:asciiTheme="minorBidi" w:hAnsiTheme="minorBidi" w:cstheme="minorBidi"/>
          <w:sz w:val="20"/>
          <w:szCs w:val="20"/>
        </w:rPr>
        <w:t xml:space="preserve">tage </w:t>
      </w:r>
      <w:r w:rsidR="00575168" w:rsidRPr="00B56140">
        <w:rPr>
          <w:rStyle w:val="cf01"/>
          <w:rFonts w:asciiTheme="minorBidi" w:hAnsiTheme="minorBidi" w:cstheme="minorBidi"/>
          <w:sz w:val="20"/>
          <w:szCs w:val="20"/>
        </w:rPr>
        <w:t>R</w:t>
      </w:r>
      <w:r w:rsidRPr="00B56140">
        <w:rPr>
          <w:rStyle w:val="cf01"/>
          <w:rFonts w:asciiTheme="minorBidi" w:hAnsiTheme="minorBidi" w:cstheme="minorBidi"/>
          <w:sz w:val="20"/>
          <w:szCs w:val="20"/>
        </w:rPr>
        <w:t xml:space="preserve">enal </w:t>
      </w:r>
      <w:r w:rsidR="00575168" w:rsidRPr="00B56140">
        <w:rPr>
          <w:rStyle w:val="cf01"/>
          <w:rFonts w:asciiTheme="minorBidi" w:hAnsiTheme="minorBidi" w:cstheme="minorBidi"/>
          <w:sz w:val="20"/>
          <w:szCs w:val="20"/>
        </w:rPr>
        <w:t>D</w:t>
      </w:r>
      <w:r w:rsidRPr="00B56140">
        <w:rPr>
          <w:rStyle w:val="cf01"/>
          <w:rFonts w:asciiTheme="minorBidi" w:hAnsiTheme="minorBidi" w:cstheme="minorBidi"/>
          <w:sz w:val="20"/>
          <w:szCs w:val="20"/>
        </w:rPr>
        <w:t xml:space="preserve">isease in T2DM </w:t>
      </w:r>
      <w:r w:rsidR="00575168" w:rsidRPr="00B56140">
        <w:rPr>
          <w:rStyle w:val="cf01"/>
          <w:rFonts w:asciiTheme="minorBidi" w:hAnsiTheme="minorBidi" w:cstheme="minorBidi"/>
          <w:sz w:val="20"/>
          <w:szCs w:val="20"/>
        </w:rPr>
        <w:t>P</w:t>
      </w:r>
      <w:r w:rsidRPr="00B56140">
        <w:rPr>
          <w:rStyle w:val="cf01"/>
          <w:rFonts w:asciiTheme="minorBidi" w:hAnsiTheme="minorBidi" w:cstheme="minorBidi"/>
          <w:sz w:val="20"/>
          <w:szCs w:val="20"/>
        </w:rPr>
        <w:t xml:space="preserve">atients </w:t>
      </w:r>
      <w:r w:rsidR="00605A8C" w:rsidRPr="00B56140">
        <w:rPr>
          <w:rStyle w:val="cf01"/>
          <w:rFonts w:asciiTheme="minorBidi" w:hAnsiTheme="minorBidi" w:cstheme="minorBidi"/>
        </w:rPr>
        <w:t>with</w:t>
      </w:r>
      <w:r w:rsidRPr="00B56140">
        <w:rPr>
          <w:rStyle w:val="cf01"/>
          <w:rFonts w:asciiTheme="minorBidi" w:hAnsiTheme="minorBidi" w:cstheme="minorBidi"/>
        </w:rPr>
        <w:t xml:space="preserve"> or </w:t>
      </w:r>
      <w:r w:rsidR="00575168" w:rsidRPr="00B56140">
        <w:rPr>
          <w:rStyle w:val="cf01"/>
          <w:rFonts w:asciiTheme="minorBidi" w:hAnsiTheme="minorBidi" w:cstheme="minorBidi"/>
        </w:rPr>
        <w:t>W</w:t>
      </w:r>
      <w:r w:rsidRPr="00B56140">
        <w:rPr>
          <w:rStyle w:val="cf01"/>
          <w:rFonts w:asciiTheme="minorBidi" w:hAnsiTheme="minorBidi" w:cstheme="minorBidi"/>
        </w:rPr>
        <w:t xml:space="preserve">ithout </w:t>
      </w:r>
      <w:r w:rsidR="00575168" w:rsidRPr="00B56140">
        <w:rPr>
          <w:rStyle w:val="cf01"/>
          <w:rFonts w:asciiTheme="minorBidi" w:hAnsiTheme="minorBidi" w:cstheme="minorBidi"/>
        </w:rPr>
        <w:t>H</w:t>
      </w:r>
      <w:r w:rsidRPr="00B56140">
        <w:rPr>
          <w:rStyle w:val="cf01"/>
          <w:rFonts w:asciiTheme="minorBidi" w:hAnsiTheme="minorBidi" w:cstheme="minorBidi"/>
        </w:rPr>
        <w:t>ypertension</w:t>
      </w:r>
      <w:r w:rsidRPr="00B56140">
        <w:rPr>
          <w:rStyle w:val="cf01"/>
          <w:rFonts w:asciiTheme="minorBidi" w:hAnsiTheme="minorBidi" w:cstheme="minorBidi"/>
          <w:sz w:val="20"/>
          <w:szCs w:val="20"/>
        </w:rPr>
        <w:t xml:space="preserve"> - what is </w:t>
      </w:r>
      <w:r w:rsidR="003E24F8" w:rsidRPr="00B56140">
        <w:rPr>
          <w:rStyle w:val="cf01"/>
          <w:rFonts w:asciiTheme="minorBidi" w:hAnsiTheme="minorBidi" w:cstheme="minorBidi"/>
          <w:sz w:val="20"/>
          <w:szCs w:val="20"/>
        </w:rPr>
        <w:t>T</w:t>
      </w:r>
      <w:r w:rsidRPr="00B56140">
        <w:rPr>
          <w:rStyle w:val="cf01"/>
          <w:rFonts w:asciiTheme="minorBidi" w:hAnsiTheme="minorBidi" w:cstheme="minorBidi"/>
          <w:sz w:val="20"/>
          <w:szCs w:val="20"/>
        </w:rPr>
        <w:t xml:space="preserve">he </w:t>
      </w:r>
      <w:r w:rsidR="003E24F8" w:rsidRPr="00B56140">
        <w:rPr>
          <w:rStyle w:val="cf01"/>
          <w:rFonts w:asciiTheme="minorBidi" w:hAnsiTheme="minorBidi" w:cstheme="minorBidi"/>
          <w:sz w:val="20"/>
          <w:szCs w:val="20"/>
        </w:rPr>
        <w:t>T</w:t>
      </w:r>
      <w:r w:rsidRPr="00B56140">
        <w:rPr>
          <w:rStyle w:val="cf01"/>
          <w:rFonts w:asciiTheme="minorBidi" w:hAnsiTheme="minorBidi" w:cstheme="minorBidi"/>
          <w:sz w:val="20"/>
          <w:szCs w:val="20"/>
        </w:rPr>
        <w:t xml:space="preserve">herapeutic </w:t>
      </w:r>
      <w:r w:rsidR="003E24F8" w:rsidRPr="00B56140">
        <w:rPr>
          <w:rStyle w:val="cf01"/>
          <w:rFonts w:asciiTheme="minorBidi" w:hAnsiTheme="minorBidi" w:cstheme="minorBidi"/>
          <w:sz w:val="20"/>
          <w:szCs w:val="20"/>
        </w:rPr>
        <w:t>T</w:t>
      </w:r>
      <w:r w:rsidRPr="00B56140">
        <w:rPr>
          <w:rStyle w:val="cf01"/>
          <w:rFonts w:asciiTheme="minorBidi" w:hAnsiTheme="minorBidi" w:cstheme="minorBidi"/>
          <w:sz w:val="20"/>
          <w:szCs w:val="20"/>
        </w:rPr>
        <w:t>arget?</w:t>
      </w:r>
      <w:r w:rsidR="00A83CD7" w:rsidRPr="00B56140">
        <w:rPr>
          <w:rStyle w:val="cf01"/>
          <w:rFonts w:asciiTheme="minorBidi" w:hAnsiTheme="minorBidi" w:cstheme="minorBidi"/>
          <w:sz w:val="20"/>
          <w:szCs w:val="20"/>
        </w:rPr>
        <w:t xml:space="preserve"> </w:t>
      </w:r>
    </w:p>
    <w:p w14:paraId="6F283D16" w14:textId="77777777" w:rsidR="007408AF" w:rsidRDefault="007408AF" w:rsidP="000B45C6">
      <w:pPr>
        <w:spacing w:after="240"/>
        <w:rPr>
          <w:rFonts w:asciiTheme="minorBidi" w:hAnsiTheme="minorBidi" w:cstheme="minorBidi"/>
          <w:b/>
          <w:bCs/>
          <w:szCs w:val="22"/>
          <w:lang w:val="en-GB"/>
        </w:rPr>
      </w:pPr>
    </w:p>
    <w:p w14:paraId="03286F18" w14:textId="3409FE26" w:rsidR="000B45C6" w:rsidRPr="00595441" w:rsidRDefault="000B45C6" w:rsidP="000B45C6">
      <w:pPr>
        <w:spacing w:after="240"/>
        <w:rPr>
          <w:rFonts w:asciiTheme="minorBidi" w:hAnsiTheme="minorBidi" w:cstheme="minorBidi"/>
          <w:b/>
          <w:bCs/>
          <w:szCs w:val="22"/>
        </w:rPr>
      </w:pPr>
      <w:r w:rsidRPr="00595441">
        <w:rPr>
          <w:rFonts w:asciiTheme="minorBidi" w:hAnsiTheme="minorBidi" w:cstheme="minorBidi"/>
          <w:b/>
          <w:bCs/>
          <w:szCs w:val="22"/>
        </w:rPr>
        <w:t xml:space="preserve">Abstract: </w:t>
      </w:r>
      <w:r w:rsidR="00563B12" w:rsidRPr="00595441">
        <w:rPr>
          <w:rFonts w:asciiTheme="minorBidi" w:hAnsiTheme="minorBidi" w:cstheme="minorBidi"/>
          <w:b/>
          <w:bCs/>
          <w:szCs w:val="22"/>
        </w:rPr>
        <w:t xml:space="preserve">  </w:t>
      </w:r>
      <w:r w:rsidR="00BA7FBE" w:rsidRPr="00595441">
        <w:rPr>
          <w:rFonts w:asciiTheme="minorBidi" w:hAnsiTheme="minorBidi" w:cstheme="minorBidi"/>
          <w:b/>
          <w:bCs/>
          <w:szCs w:val="22"/>
        </w:rPr>
        <w:t xml:space="preserve"> </w:t>
      </w:r>
    </w:p>
    <w:p w14:paraId="6E1FAF53" w14:textId="7B2A4021" w:rsidR="003324CD" w:rsidRPr="00595441" w:rsidRDefault="00293B9D" w:rsidP="00F44C67">
      <w:pPr>
        <w:rPr>
          <w:rFonts w:asciiTheme="minorBidi" w:hAnsiTheme="minorBidi" w:cstheme="minorBidi"/>
          <w:sz w:val="20"/>
          <w:u w:val="single"/>
        </w:rPr>
      </w:pPr>
      <w:r w:rsidRPr="00595441">
        <w:rPr>
          <w:rFonts w:asciiTheme="minorBidi" w:hAnsiTheme="minorBidi" w:cstheme="minorBidi"/>
          <w:sz w:val="20"/>
          <w:u w:val="single"/>
        </w:rPr>
        <w:t>Objectives</w:t>
      </w:r>
      <w:r w:rsidR="000B45C6" w:rsidRPr="00595441">
        <w:rPr>
          <w:rFonts w:asciiTheme="minorBidi" w:hAnsiTheme="minorBidi" w:cstheme="minorBidi"/>
          <w:sz w:val="20"/>
          <w:u w:val="single"/>
        </w:rPr>
        <w:t xml:space="preserve">: </w:t>
      </w:r>
    </w:p>
    <w:p w14:paraId="431B4EF7" w14:textId="4F1FE55D" w:rsidR="000B45C6" w:rsidRPr="00595441" w:rsidRDefault="000B45C6" w:rsidP="00FB1E79">
      <w:pPr>
        <w:spacing w:after="240"/>
        <w:rPr>
          <w:rFonts w:asciiTheme="minorBidi" w:hAnsiTheme="minorBidi" w:cstheme="minorBidi"/>
          <w:sz w:val="20"/>
        </w:rPr>
      </w:pPr>
      <w:r w:rsidRPr="00595441">
        <w:rPr>
          <w:rFonts w:asciiTheme="minorBidi" w:hAnsiTheme="minorBidi" w:cstheme="minorBidi"/>
          <w:sz w:val="20"/>
        </w:rPr>
        <w:t xml:space="preserve">This protocol is planned to determine the relationship between good control of </w:t>
      </w:r>
      <w:proofErr w:type="spellStart"/>
      <w:r w:rsidR="00D31E70" w:rsidRPr="00595441">
        <w:rPr>
          <w:rFonts w:asciiTheme="minorBidi" w:hAnsiTheme="minorBidi" w:cstheme="minorBidi"/>
          <w:sz w:val="20"/>
        </w:rPr>
        <w:t>hyperglycemia</w:t>
      </w:r>
      <w:proofErr w:type="spellEnd"/>
      <w:r w:rsidRPr="00595441">
        <w:rPr>
          <w:rFonts w:asciiTheme="minorBidi" w:hAnsiTheme="minorBidi" w:cstheme="minorBidi"/>
          <w:sz w:val="20"/>
        </w:rPr>
        <w:t xml:space="preserve"> and the prevention </w:t>
      </w:r>
      <w:r w:rsidR="003324CD" w:rsidRPr="00595441">
        <w:rPr>
          <w:rFonts w:asciiTheme="minorBidi" w:hAnsiTheme="minorBidi" w:cstheme="minorBidi"/>
          <w:sz w:val="20"/>
        </w:rPr>
        <w:t xml:space="preserve">of renal failure </w:t>
      </w:r>
      <w:r w:rsidRPr="00595441">
        <w:rPr>
          <w:rFonts w:asciiTheme="minorBidi" w:hAnsiTheme="minorBidi" w:cstheme="minorBidi"/>
          <w:sz w:val="20"/>
        </w:rPr>
        <w:t xml:space="preserve">and/or kidney damage. </w:t>
      </w:r>
      <w:r w:rsidR="00EE0785" w:rsidRPr="00595441">
        <w:rPr>
          <w:rFonts w:asciiTheme="minorBidi" w:hAnsiTheme="minorBidi" w:cstheme="minorBidi"/>
          <w:sz w:val="20"/>
        </w:rPr>
        <w:t xml:space="preserve">While the relationship between poor control of high blood pressure in Type II Diabetes Mellitus (T2DM) and progression to kidney failure is clear, the ideal blood glucose marker measurement, glycosylated haemoglobin (HbA1c) target level to protect the kidneys is, as yet, unknown and there is an obvious need to identify this ideal HbA1c target. The design of this protocol will also investigate whether </w:t>
      </w:r>
      <w:r w:rsidR="00D31E70" w:rsidRPr="00595441">
        <w:rPr>
          <w:rFonts w:asciiTheme="minorBidi" w:hAnsiTheme="minorBidi" w:cstheme="minorBidi"/>
          <w:sz w:val="20"/>
        </w:rPr>
        <w:t xml:space="preserve">coexistence of </w:t>
      </w:r>
      <w:r w:rsidR="00EE0785" w:rsidRPr="00595441">
        <w:rPr>
          <w:rFonts w:asciiTheme="minorBidi" w:hAnsiTheme="minorBidi" w:cstheme="minorBidi"/>
          <w:sz w:val="20"/>
        </w:rPr>
        <w:t xml:space="preserve">high blood pressure </w:t>
      </w:r>
      <w:r w:rsidR="00D31E70" w:rsidRPr="00595441">
        <w:rPr>
          <w:rFonts w:asciiTheme="minorBidi" w:hAnsiTheme="minorBidi" w:cstheme="minorBidi"/>
          <w:sz w:val="20"/>
        </w:rPr>
        <w:t xml:space="preserve">would </w:t>
      </w:r>
      <w:r w:rsidR="00EE0785" w:rsidRPr="00595441">
        <w:rPr>
          <w:rFonts w:asciiTheme="minorBidi" w:hAnsiTheme="minorBidi" w:cstheme="minorBidi"/>
          <w:sz w:val="20"/>
        </w:rPr>
        <w:t xml:space="preserve">exacerbate kidney damage in T2DM. </w:t>
      </w:r>
    </w:p>
    <w:p w14:paraId="0AC31B62" w14:textId="77777777" w:rsidR="003324CD" w:rsidRPr="00595441" w:rsidRDefault="000B45C6" w:rsidP="00F44C67">
      <w:pPr>
        <w:rPr>
          <w:rFonts w:asciiTheme="minorBidi" w:hAnsiTheme="minorBidi" w:cstheme="minorBidi"/>
          <w:sz w:val="20"/>
        </w:rPr>
      </w:pPr>
      <w:r w:rsidRPr="00595441">
        <w:rPr>
          <w:rFonts w:asciiTheme="minorBidi" w:hAnsiTheme="minorBidi" w:cstheme="minorBidi"/>
          <w:sz w:val="20"/>
          <w:u w:val="single"/>
        </w:rPr>
        <w:t>Methods:</w:t>
      </w:r>
      <w:r w:rsidRPr="00595441">
        <w:rPr>
          <w:rFonts w:asciiTheme="minorBidi" w:hAnsiTheme="minorBidi" w:cstheme="minorBidi"/>
          <w:sz w:val="20"/>
        </w:rPr>
        <w:t xml:space="preserve"> </w:t>
      </w:r>
    </w:p>
    <w:p w14:paraId="3BA6839A" w14:textId="2545078E" w:rsidR="00293B9D" w:rsidRPr="00595441" w:rsidRDefault="00491C52" w:rsidP="00F90245">
      <w:pPr>
        <w:rPr>
          <w:rFonts w:asciiTheme="minorBidi" w:hAnsiTheme="minorBidi" w:cstheme="minorBidi"/>
          <w:sz w:val="20"/>
        </w:rPr>
      </w:pPr>
      <w:r w:rsidRPr="00595441">
        <w:rPr>
          <w:rFonts w:asciiTheme="minorBidi" w:hAnsiTheme="minorBidi" w:cstheme="minorBidi"/>
          <w:sz w:val="20"/>
        </w:rPr>
        <w:t>This protocol will examine different treatment intensity options to control hyperglycaemia and hypertension (if it is present) until a specific HbA1c target is reached in each group to identify the relation between level of glycaemic control and progression into chronic kidney disease.</w:t>
      </w:r>
    </w:p>
    <w:p w14:paraId="06F82D1D" w14:textId="7558F148" w:rsidR="00500643" w:rsidRPr="00595441" w:rsidRDefault="00293B9D" w:rsidP="00293B9D">
      <w:pPr>
        <w:spacing w:after="240"/>
        <w:rPr>
          <w:rFonts w:asciiTheme="minorBidi" w:hAnsiTheme="minorBidi" w:cstheme="minorBidi"/>
          <w:sz w:val="20"/>
        </w:rPr>
      </w:pPr>
      <w:r w:rsidRPr="00595441">
        <w:rPr>
          <w:rFonts w:asciiTheme="minorBidi" w:hAnsiTheme="minorBidi" w:cstheme="minorBidi"/>
          <w:sz w:val="20"/>
        </w:rPr>
        <w:t>Participa</w:t>
      </w:r>
      <w:r w:rsidR="00500643" w:rsidRPr="00595441">
        <w:rPr>
          <w:rFonts w:asciiTheme="minorBidi" w:hAnsiTheme="minorBidi" w:cstheme="minorBidi"/>
          <w:sz w:val="20"/>
        </w:rPr>
        <w:t>nts</w:t>
      </w:r>
      <w:r w:rsidRPr="00595441">
        <w:rPr>
          <w:rFonts w:asciiTheme="minorBidi" w:hAnsiTheme="minorBidi" w:cstheme="minorBidi"/>
          <w:sz w:val="20"/>
        </w:rPr>
        <w:t xml:space="preserve"> will be from the Middle East </w:t>
      </w:r>
      <w:r w:rsidR="00F90245" w:rsidRPr="00595441">
        <w:rPr>
          <w:rFonts w:asciiTheme="minorBidi" w:hAnsiTheme="minorBidi" w:cstheme="minorBidi"/>
          <w:sz w:val="20"/>
        </w:rPr>
        <w:t>&amp; North Africa region (MENA)</w:t>
      </w:r>
      <w:r w:rsidRPr="00595441">
        <w:rPr>
          <w:rFonts w:asciiTheme="minorBidi" w:hAnsiTheme="minorBidi" w:cstheme="minorBidi"/>
          <w:sz w:val="20"/>
        </w:rPr>
        <w:t xml:space="preserve">, especially Egypt, Saudi </w:t>
      </w:r>
      <w:r w:rsidR="00500643" w:rsidRPr="00595441">
        <w:rPr>
          <w:rFonts w:asciiTheme="minorBidi" w:hAnsiTheme="minorBidi" w:cstheme="minorBidi"/>
          <w:sz w:val="20"/>
        </w:rPr>
        <w:t>Arabia, Kuwait and UAE</w:t>
      </w:r>
      <w:r w:rsidRPr="00595441">
        <w:rPr>
          <w:rFonts w:asciiTheme="minorBidi" w:hAnsiTheme="minorBidi" w:cstheme="minorBidi"/>
          <w:sz w:val="20"/>
        </w:rPr>
        <w:t>.</w:t>
      </w:r>
      <w:r w:rsidR="009513D0" w:rsidRPr="00595441">
        <w:rPr>
          <w:rFonts w:asciiTheme="minorBidi" w:hAnsiTheme="minorBidi" w:cstheme="minorBidi"/>
          <w:sz w:val="20"/>
        </w:rPr>
        <w:t xml:space="preserve"> </w:t>
      </w:r>
    </w:p>
    <w:p w14:paraId="1C3E1DDD" w14:textId="443119D4" w:rsidR="0005194B" w:rsidRPr="00595441" w:rsidRDefault="009513D0" w:rsidP="00FB1E79">
      <w:pPr>
        <w:spacing w:after="240"/>
        <w:rPr>
          <w:rFonts w:asciiTheme="minorBidi" w:hAnsiTheme="minorBidi" w:cstheme="minorBidi"/>
          <w:sz w:val="20"/>
        </w:rPr>
      </w:pPr>
      <w:r w:rsidRPr="00595441">
        <w:rPr>
          <w:rFonts w:asciiTheme="minorBidi" w:hAnsiTheme="minorBidi" w:cstheme="minorBidi"/>
          <w:sz w:val="20"/>
        </w:rPr>
        <w:t xml:space="preserve">Those patients should have been confirmed with diagnosis for at least 10 years, with an HbA1c level of ≥ </w:t>
      </w:r>
      <w:r w:rsidR="00D31E70" w:rsidRPr="00595441">
        <w:rPr>
          <w:rFonts w:asciiTheme="minorBidi" w:hAnsiTheme="minorBidi" w:cstheme="minorBidi"/>
          <w:sz w:val="20"/>
        </w:rPr>
        <w:t>8</w:t>
      </w:r>
      <w:r w:rsidRPr="00595441">
        <w:rPr>
          <w:rFonts w:asciiTheme="minorBidi" w:hAnsiTheme="minorBidi" w:cstheme="minorBidi"/>
          <w:sz w:val="20"/>
        </w:rPr>
        <w:t>%</w:t>
      </w:r>
      <w:r w:rsidR="008B5AA6" w:rsidRPr="00595441">
        <w:rPr>
          <w:rFonts w:asciiTheme="minorBidi" w:hAnsiTheme="minorBidi" w:cstheme="minorBidi"/>
          <w:sz w:val="20"/>
        </w:rPr>
        <w:t xml:space="preserve"> with no history of cardiovascular events or diabetic foot disease. Patients with </w:t>
      </w:r>
      <w:r w:rsidR="00D31E70" w:rsidRPr="00595441">
        <w:rPr>
          <w:rFonts w:asciiTheme="minorBidi" w:hAnsiTheme="minorBidi" w:cstheme="minorBidi"/>
          <w:sz w:val="20"/>
        </w:rPr>
        <w:t>or without a confirmed</w:t>
      </w:r>
      <w:r w:rsidR="008B5AA6" w:rsidRPr="00595441">
        <w:rPr>
          <w:rFonts w:asciiTheme="minorBidi" w:hAnsiTheme="minorBidi" w:cstheme="minorBidi"/>
          <w:sz w:val="20"/>
        </w:rPr>
        <w:t xml:space="preserve"> coexistence of high blood pressure </w:t>
      </w:r>
      <w:r w:rsidR="001106E3" w:rsidRPr="00595441">
        <w:rPr>
          <w:rFonts w:asciiTheme="minorBidi" w:hAnsiTheme="minorBidi" w:cstheme="minorBidi"/>
          <w:sz w:val="20"/>
        </w:rPr>
        <w:t xml:space="preserve">will be eligible to participate in this study. </w:t>
      </w:r>
    </w:p>
    <w:p w14:paraId="6D9F5E9A" w14:textId="4DF513F4" w:rsidR="00F90245" w:rsidRPr="00595441" w:rsidRDefault="00F90245" w:rsidP="00F90245">
      <w:pPr>
        <w:pStyle w:val="BodyText"/>
        <w:rPr>
          <w:rFonts w:asciiTheme="minorBidi" w:hAnsiTheme="minorBidi" w:cstheme="minorBidi"/>
          <w:sz w:val="20"/>
          <w:u w:val="single"/>
          <w:shd w:val="clear" w:color="auto" w:fill="FFFFFF"/>
        </w:rPr>
      </w:pPr>
      <w:r w:rsidRPr="00595441">
        <w:rPr>
          <w:rFonts w:asciiTheme="minorBidi" w:hAnsiTheme="minorBidi" w:cstheme="minorBidi"/>
          <w:sz w:val="20"/>
          <w:u w:val="single"/>
          <w:shd w:val="clear" w:color="auto" w:fill="FFFFFF"/>
        </w:rPr>
        <w:t>Conclusion:</w:t>
      </w:r>
    </w:p>
    <w:p w14:paraId="2EC95442" w14:textId="1AE25609" w:rsidR="00F90245" w:rsidRPr="00595441" w:rsidRDefault="00F90245" w:rsidP="000B45C6">
      <w:pPr>
        <w:pStyle w:val="BodyText"/>
        <w:spacing w:after="240"/>
        <w:rPr>
          <w:rFonts w:asciiTheme="minorBidi" w:hAnsiTheme="minorBidi" w:cstheme="minorBidi"/>
          <w:sz w:val="20"/>
          <w:shd w:val="clear" w:color="auto" w:fill="FFFFFF"/>
        </w:rPr>
      </w:pPr>
      <w:r w:rsidRPr="00595441">
        <w:rPr>
          <w:rFonts w:asciiTheme="minorBidi" w:hAnsiTheme="minorBidi" w:cstheme="minorBidi"/>
          <w:sz w:val="20"/>
          <w:shd w:val="clear" w:color="auto" w:fill="FFFFFF"/>
        </w:rPr>
        <w:t xml:space="preserve">This study is designed to determine a clear-cut target HbA1c </w:t>
      </w:r>
      <w:r w:rsidRPr="00595441">
        <w:rPr>
          <w:rFonts w:asciiTheme="minorBidi" w:hAnsiTheme="minorBidi" w:cstheme="minorBidi"/>
          <w:sz w:val="20"/>
        </w:rPr>
        <w:t xml:space="preserve">and recommendations for healthcare providers, and insurers to provide the best level of care for subjects living with T2DM. Despite the numerous publications that studied this important topic, none of them were aiming in the primary end point to determine the HbA1c target with the best kidney functions or less likely progressing to renal failure.   </w:t>
      </w:r>
    </w:p>
    <w:p w14:paraId="0648408B" w14:textId="15FD3AE6" w:rsidR="000B45C6" w:rsidRPr="00595441" w:rsidRDefault="000B45C6" w:rsidP="000B45C6">
      <w:pPr>
        <w:pStyle w:val="BodyText"/>
        <w:spacing w:after="240"/>
        <w:rPr>
          <w:rFonts w:asciiTheme="minorBidi" w:hAnsiTheme="minorBidi" w:cstheme="minorBidi"/>
          <w:b/>
          <w:bCs/>
          <w:szCs w:val="22"/>
          <w:shd w:val="clear" w:color="auto" w:fill="FFFFFF"/>
        </w:rPr>
      </w:pPr>
      <w:r w:rsidRPr="00595441">
        <w:rPr>
          <w:rFonts w:asciiTheme="minorBidi" w:hAnsiTheme="minorBidi" w:cstheme="minorBidi"/>
          <w:b/>
          <w:bCs/>
          <w:szCs w:val="22"/>
          <w:shd w:val="clear" w:color="auto" w:fill="FFFFFF"/>
        </w:rPr>
        <w:t xml:space="preserve">key words: </w:t>
      </w:r>
    </w:p>
    <w:p w14:paraId="3FDC46A0" w14:textId="62F70F81" w:rsidR="00C3256E" w:rsidRPr="00595441" w:rsidRDefault="000B45C6" w:rsidP="000B45C6">
      <w:pPr>
        <w:spacing w:after="240"/>
        <w:jc w:val="left"/>
        <w:rPr>
          <w:rFonts w:asciiTheme="minorBidi" w:hAnsiTheme="minorBidi" w:cstheme="minorBidi"/>
          <w:sz w:val="20"/>
          <w:shd w:val="clear" w:color="auto" w:fill="FFFFFF"/>
        </w:rPr>
      </w:pPr>
      <w:r w:rsidRPr="00595441">
        <w:rPr>
          <w:rFonts w:asciiTheme="minorBidi" w:hAnsiTheme="minorBidi" w:cstheme="minorBidi"/>
          <w:sz w:val="20"/>
          <w:shd w:val="clear" w:color="auto" w:fill="FFFFFF"/>
        </w:rPr>
        <w:t xml:space="preserve">{T2DM OR type 2 diabetes mellitus, non-insulin dependent diabetes mellitus, ESRD (End Stage Renal Disease), CKD (chronic kidney disease), CRI, (chronic renal insufficiency), renal failure, Hypertension, high blood pressure, systolic hypertension, elevated blood pressure, Glycated haemoglobin, HbA1c (HbA1c)}, these words were used to search for the relevant materials on Zotero software to track relevant studies and select the most suitable ones to reference. </w:t>
      </w:r>
    </w:p>
    <w:p w14:paraId="09C85066" w14:textId="3391EBAB" w:rsidR="000B45C6" w:rsidRPr="00595441" w:rsidRDefault="000B45C6" w:rsidP="000B45C6">
      <w:pPr>
        <w:spacing w:after="240"/>
        <w:jc w:val="left"/>
        <w:rPr>
          <w:rFonts w:asciiTheme="minorBidi" w:hAnsiTheme="minorBidi" w:cstheme="minorBidi"/>
          <w:b/>
          <w:bCs/>
          <w:szCs w:val="22"/>
          <w:lang w:val="en-GB"/>
        </w:rPr>
      </w:pPr>
      <w:r w:rsidRPr="00595441">
        <w:rPr>
          <w:rFonts w:asciiTheme="minorBidi" w:hAnsiTheme="minorBidi" w:cstheme="minorBidi"/>
          <w:b/>
          <w:bCs/>
          <w:szCs w:val="22"/>
          <w:lang w:val="en-GB"/>
        </w:rPr>
        <w:t xml:space="preserve">Introduction: </w:t>
      </w:r>
    </w:p>
    <w:p w14:paraId="0C45106B" w14:textId="77777777" w:rsidR="00FB1E79" w:rsidRPr="00595441" w:rsidRDefault="00FB1E79" w:rsidP="00FB1E79">
      <w:pPr>
        <w:spacing w:after="240"/>
        <w:rPr>
          <w:rFonts w:asciiTheme="minorBidi" w:hAnsiTheme="minorBidi" w:cstheme="minorBidi"/>
          <w:sz w:val="20"/>
        </w:rPr>
      </w:pPr>
      <w:r w:rsidRPr="00595441">
        <w:rPr>
          <w:rFonts w:asciiTheme="minorBidi" w:hAnsiTheme="minorBidi" w:cstheme="minorBidi"/>
          <w:sz w:val="20"/>
        </w:rPr>
        <w:t xml:space="preserve">The reason for conducting the study in this region is the high prevalence of T2DM in the MENA region, in </w:t>
      </w:r>
      <w:r w:rsidRPr="00595441">
        <w:rPr>
          <w:rFonts w:asciiTheme="minorBidi" w:hAnsiTheme="minorBidi" w:cstheme="minorBidi"/>
          <w:b/>
          <w:bCs/>
          <w:sz w:val="20"/>
        </w:rPr>
        <w:t>figure 1,</w:t>
      </w:r>
      <w:r w:rsidRPr="00595441">
        <w:rPr>
          <w:rFonts w:asciiTheme="minorBidi" w:hAnsiTheme="minorBidi" w:cstheme="minorBidi"/>
          <w:sz w:val="20"/>
        </w:rPr>
        <w:t xml:space="preserve"> you will see the prevalence of T2DM in MENA countries in the year 2008, and the International Diabetes Federation expected that number of diabetic patients will be doubled by the year 2030. They also stated that one of each 5 diabetic patients has two or more diabetes related complications. (1) </w:t>
      </w:r>
    </w:p>
    <w:p w14:paraId="3CC5D339" w14:textId="3CE08B6D" w:rsidR="00FB1E79" w:rsidRPr="00595441" w:rsidRDefault="00FB1E79" w:rsidP="000B45C6">
      <w:pPr>
        <w:spacing w:after="240"/>
        <w:rPr>
          <w:rFonts w:asciiTheme="minorBidi" w:hAnsiTheme="minorBidi" w:cstheme="minorBidi"/>
          <w:sz w:val="20"/>
        </w:rPr>
      </w:pPr>
      <w:r w:rsidRPr="00595441">
        <w:rPr>
          <w:rFonts w:asciiTheme="minorBidi" w:hAnsiTheme="minorBidi" w:cstheme="minorBidi"/>
          <w:noProof/>
        </w:rPr>
        <w:lastRenderedPageBreak/>
        <w:drawing>
          <wp:inline distT="0" distB="0" distL="0" distR="0" wp14:anchorId="0D51A8D3" wp14:editId="10C65111">
            <wp:extent cx="4835525" cy="2257425"/>
            <wp:effectExtent l="0" t="0" r="0" b="0"/>
            <wp:docPr id="1794135421" name="Chart 1">
              <a:extLst xmlns:a="http://schemas.openxmlformats.org/drawingml/2006/main">
                <a:ext uri="{FF2B5EF4-FFF2-40B4-BE49-F238E27FC236}">
                  <a16:creationId xmlns:a16="http://schemas.microsoft.com/office/drawing/2014/main" id="{9F46958E-EEB4-4410-2662-C6BDD21B1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A91DD5" w14:textId="77777777" w:rsidR="00FB1E79" w:rsidRPr="00595441" w:rsidRDefault="00FB1E79" w:rsidP="00FB1E79">
      <w:pPr>
        <w:spacing w:after="240"/>
        <w:rPr>
          <w:rFonts w:asciiTheme="minorBidi" w:hAnsiTheme="minorBidi" w:cstheme="minorBidi"/>
          <w:sz w:val="20"/>
        </w:rPr>
      </w:pPr>
      <w:r w:rsidRPr="00595441">
        <w:rPr>
          <w:rFonts w:asciiTheme="minorBidi" w:hAnsiTheme="minorBidi" w:cstheme="minorBidi"/>
          <w:b/>
          <w:bCs/>
          <w:sz w:val="18"/>
          <w:szCs w:val="18"/>
        </w:rPr>
        <w:t>Figure 1:</w:t>
      </w:r>
      <w:r w:rsidRPr="00595441">
        <w:rPr>
          <w:rFonts w:asciiTheme="minorBidi" w:hAnsiTheme="minorBidi" w:cstheme="minorBidi"/>
          <w:sz w:val="18"/>
          <w:szCs w:val="18"/>
        </w:rPr>
        <w:t xml:space="preserve"> </w:t>
      </w:r>
      <w:r w:rsidRPr="00595441">
        <w:rPr>
          <w:rFonts w:asciiTheme="minorBidi" w:hAnsiTheme="minorBidi" w:cstheme="minorBidi"/>
          <w:color w:val="333333"/>
          <w:sz w:val="18"/>
          <w:szCs w:val="18"/>
          <w:shd w:val="clear" w:color="auto" w:fill="FFFCF0"/>
        </w:rPr>
        <w:t xml:space="preserve">Prevalence of diabetes in Middle East and North Africa region, represented by 4 countries as defined by the World Bank arranged in increasing prevalence of diabetes; </w:t>
      </w:r>
    </w:p>
    <w:p w14:paraId="332D8435" w14:textId="77777777" w:rsidR="00FB1E79" w:rsidRPr="00595441" w:rsidRDefault="00FB1E79" w:rsidP="00FB1E79">
      <w:pPr>
        <w:spacing w:after="240"/>
        <w:rPr>
          <w:rFonts w:asciiTheme="minorBidi" w:hAnsiTheme="minorBidi" w:cstheme="minorBidi"/>
          <w:sz w:val="20"/>
        </w:rPr>
      </w:pPr>
      <w:r w:rsidRPr="00595441">
        <w:rPr>
          <w:rFonts w:asciiTheme="minorBidi" w:hAnsiTheme="minorBidi" w:cstheme="minorBidi"/>
          <w:sz w:val="20"/>
        </w:rPr>
        <w:t xml:space="preserve">Another study showed that highest prevalence of diabetes in the world was in the middle East, with an average prevalence of 12.2%, it compared the prevalence change in each country from the year 2000 to the year 2014 to reflect on the importance to find a way of better management and minimizing the potential complications. (2) see </w:t>
      </w:r>
      <w:r w:rsidRPr="00595441">
        <w:rPr>
          <w:rFonts w:asciiTheme="minorBidi" w:hAnsiTheme="minorBidi" w:cstheme="minorBidi"/>
          <w:b/>
          <w:bCs/>
          <w:sz w:val="20"/>
        </w:rPr>
        <w:t>figure 2</w:t>
      </w:r>
      <w:r w:rsidRPr="00595441">
        <w:rPr>
          <w:rFonts w:asciiTheme="minorBidi" w:hAnsiTheme="minorBidi" w:cstheme="minorBidi"/>
          <w:sz w:val="20"/>
        </w:rPr>
        <w:t>.</w:t>
      </w:r>
    </w:p>
    <w:p w14:paraId="36DD739D" w14:textId="65320B11" w:rsidR="00FB1E79" w:rsidRPr="00595441" w:rsidRDefault="00FB1E79" w:rsidP="000B45C6">
      <w:pPr>
        <w:spacing w:after="240"/>
        <w:rPr>
          <w:rFonts w:asciiTheme="minorBidi" w:hAnsiTheme="minorBidi" w:cstheme="minorBidi"/>
          <w:sz w:val="20"/>
        </w:rPr>
      </w:pPr>
      <w:r w:rsidRPr="00595441">
        <w:rPr>
          <w:rFonts w:asciiTheme="minorBidi" w:hAnsiTheme="minorBidi" w:cstheme="minorBidi"/>
          <w:noProof/>
        </w:rPr>
        <w:drawing>
          <wp:inline distT="0" distB="0" distL="0" distR="0" wp14:anchorId="4BDF6C0F" wp14:editId="55414FF8">
            <wp:extent cx="4572000" cy="2286000"/>
            <wp:effectExtent l="0" t="0" r="0" b="0"/>
            <wp:docPr id="608096395" name="Chart 1">
              <a:extLst xmlns:a="http://schemas.openxmlformats.org/drawingml/2006/main">
                <a:ext uri="{FF2B5EF4-FFF2-40B4-BE49-F238E27FC236}">
                  <a16:creationId xmlns:a16="http://schemas.microsoft.com/office/drawing/2014/main" id="{FDDA562C-DDFF-7773-C5EF-F43714CC5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B8B761" w14:textId="77777777" w:rsidR="00FB1E79" w:rsidRPr="00595441" w:rsidRDefault="00FB1E79" w:rsidP="00FB1E79">
      <w:pPr>
        <w:rPr>
          <w:rFonts w:asciiTheme="minorBidi" w:hAnsiTheme="minorBidi" w:cstheme="minorBidi"/>
          <w:b/>
          <w:bCs/>
          <w:sz w:val="18"/>
          <w:szCs w:val="18"/>
        </w:rPr>
      </w:pPr>
      <w:r w:rsidRPr="00595441">
        <w:rPr>
          <w:rStyle w:val="Strong"/>
          <w:rFonts w:asciiTheme="minorBidi" w:hAnsiTheme="minorBidi" w:cstheme="minorBidi"/>
          <w:color w:val="333333"/>
          <w:sz w:val="18"/>
          <w:szCs w:val="18"/>
          <w:shd w:val="clear" w:color="auto" w:fill="FFFCF0"/>
        </w:rPr>
        <w:t>Figure 2:</w:t>
      </w:r>
      <w:r w:rsidRPr="00595441">
        <w:rPr>
          <w:rStyle w:val="Strong"/>
          <w:rFonts w:asciiTheme="minorBidi" w:hAnsiTheme="minorBidi" w:cstheme="minorBidi"/>
          <w:b w:val="0"/>
          <w:bCs w:val="0"/>
          <w:color w:val="333333"/>
          <w:sz w:val="18"/>
          <w:szCs w:val="18"/>
          <w:shd w:val="clear" w:color="auto" w:fill="FFFCF0"/>
        </w:rPr>
        <w:t xml:space="preserve"> Middle East and North Africa countries ranked by prevalence of type 2 diabetes in 2000 and 2014 in %. </w:t>
      </w:r>
    </w:p>
    <w:p w14:paraId="4FB95A68" w14:textId="74DDE30A" w:rsidR="000B45C6" w:rsidRPr="00595441" w:rsidRDefault="000B45C6" w:rsidP="00FB1E79">
      <w:pPr>
        <w:spacing w:before="240" w:after="240"/>
        <w:rPr>
          <w:rFonts w:asciiTheme="minorBidi" w:hAnsiTheme="minorBidi" w:cstheme="minorBidi"/>
          <w:sz w:val="20"/>
        </w:rPr>
      </w:pPr>
      <w:r w:rsidRPr="00595441">
        <w:rPr>
          <w:rFonts w:asciiTheme="minorBidi" w:hAnsiTheme="minorBidi" w:cstheme="minorBidi"/>
          <w:sz w:val="20"/>
        </w:rPr>
        <w:t>It has been demonstrated in previous research that diabetic kidney disease (DKD) is the main predisposing factor leading to kidney failure, and that poor control of diabetes can enhance the progression to kidney failure, even before the development of retinopathy, which is usually the first microvascular complication to appear in diabetic patients. (</w:t>
      </w:r>
      <w:r w:rsidR="002E6CAF" w:rsidRPr="00595441">
        <w:rPr>
          <w:rFonts w:asciiTheme="minorBidi" w:hAnsiTheme="minorBidi" w:cstheme="minorBidi"/>
          <w:sz w:val="20"/>
        </w:rPr>
        <w:t>3</w:t>
      </w:r>
      <w:r w:rsidRPr="00595441">
        <w:rPr>
          <w:rFonts w:asciiTheme="minorBidi" w:hAnsiTheme="minorBidi" w:cstheme="minorBidi"/>
          <w:sz w:val="20"/>
        </w:rPr>
        <w:t xml:space="preserve">) Despite the good control of hyperglycaemia, about 20% of diabetic patients will develop diabetic kidney disease, but that should not prevent us from </w:t>
      </w:r>
      <w:r w:rsidR="00613021" w:rsidRPr="00595441">
        <w:rPr>
          <w:rFonts w:asciiTheme="minorBidi" w:hAnsiTheme="minorBidi" w:cstheme="minorBidi"/>
          <w:sz w:val="20"/>
        </w:rPr>
        <w:t>maintain</w:t>
      </w:r>
      <w:r w:rsidRPr="00595441">
        <w:rPr>
          <w:rFonts w:asciiTheme="minorBidi" w:hAnsiTheme="minorBidi" w:cstheme="minorBidi"/>
          <w:sz w:val="20"/>
        </w:rPr>
        <w:t>ing good control of diabetes. (</w:t>
      </w:r>
      <w:r w:rsidR="00BE728D" w:rsidRPr="00595441">
        <w:rPr>
          <w:rFonts w:asciiTheme="minorBidi" w:hAnsiTheme="minorBidi" w:cstheme="minorBidi"/>
          <w:sz w:val="20"/>
        </w:rPr>
        <w:t>4</w:t>
      </w:r>
      <w:r w:rsidR="002E6CAF" w:rsidRPr="00595441">
        <w:rPr>
          <w:rFonts w:asciiTheme="minorBidi" w:hAnsiTheme="minorBidi" w:cstheme="minorBidi"/>
          <w:sz w:val="20"/>
        </w:rPr>
        <w:t>,5</w:t>
      </w:r>
      <w:r w:rsidRPr="00595441">
        <w:rPr>
          <w:rFonts w:asciiTheme="minorBidi" w:hAnsiTheme="minorBidi" w:cstheme="minorBidi"/>
          <w:sz w:val="20"/>
        </w:rPr>
        <w:t xml:space="preserve">) Clinical trials data have </w:t>
      </w:r>
      <w:r w:rsidR="00595441" w:rsidRPr="00595441">
        <w:rPr>
          <w:rFonts w:asciiTheme="minorBidi" w:hAnsiTheme="minorBidi" w:cstheme="minorBidi"/>
          <w:sz w:val="20"/>
        </w:rPr>
        <w:t>demonstrated</w:t>
      </w:r>
      <w:r w:rsidRPr="00595441">
        <w:rPr>
          <w:rFonts w:asciiTheme="minorBidi" w:hAnsiTheme="minorBidi" w:cstheme="minorBidi"/>
          <w:sz w:val="20"/>
        </w:rPr>
        <w:t xml:space="preserve"> that early </w:t>
      </w:r>
      <w:r w:rsidR="00595441" w:rsidRPr="00595441">
        <w:rPr>
          <w:rFonts w:asciiTheme="minorBidi" w:hAnsiTheme="minorBidi" w:cstheme="minorBidi"/>
          <w:sz w:val="20"/>
        </w:rPr>
        <w:t>aggressive</w:t>
      </w:r>
      <w:r w:rsidRPr="00595441">
        <w:rPr>
          <w:rFonts w:asciiTheme="minorBidi" w:hAnsiTheme="minorBidi" w:cstheme="minorBidi"/>
          <w:sz w:val="20"/>
        </w:rPr>
        <w:t xml:space="preserve"> blood glucose control can </w:t>
      </w:r>
      <w:r w:rsidRPr="00595441">
        <w:rPr>
          <w:rStyle w:val="cf01"/>
          <w:rFonts w:asciiTheme="minorBidi" w:hAnsiTheme="minorBidi" w:cstheme="minorBidi"/>
          <w:sz w:val="20"/>
          <w:szCs w:val="20"/>
        </w:rPr>
        <w:t>achieve normal glucose levels</w:t>
      </w:r>
      <w:r w:rsidR="00595441" w:rsidRPr="00595441">
        <w:rPr>
          <w:rFonts w:asciiTheme="minorBidi" w:hAnsiTheme="minorBidi" w:cstheme="minorBidi"/>
          <w:sz w:val="20"/>
        </w:rPr>
        <w:t xml:space="preserve"> and</w:t>
      </w:r>
      <w:r w:rsidRPr="00595441">
        <w:rPr>
          <w:rFonts w:asciiTheme="minorBidi" w:hAnsiTheme="minorBidi" w:cstheme="minorBidi"/>
          <w:sz w:val="20"/>
        </w:rPr>
        <w:t xml:space="preserve"> also delay the </w:t>
      </w:r>
      <w:r w:rsidR="00595441" w:rsidRPr="00595441">
        <w:rPr>
          <w:rFonts w:asciiTheme="minorBidi" w:hAnsiTheme="minorBidi" w:cstheme="minorBidi"/>
          <w:sz w:val="20"/>
        </w:rPr>
        <w:t xml:space="preserve">deterioration of kidney function </w:t>
      </w:r>
      <w:r w:rsidRPr="00595441">
        <w:rPr>
          <w:rFonts w:asciiTheme="minorBidi" w:hAnsiTheme="minorBidi" w:cstheme="minorBidi"/>
          <w:sz w:val="20"/>
        </w:rPr>
        <w:t xml:space="preserve">and </w:t>
      </w:r>
      <w:r w:rsidR="00595441" w:rsidRPr="00595441">
        <w:rPr>
          <w:rFonts w:asciiTheme="minorBidi" w:hAnsiTheme="minorBidi" w:cstheme="minorBidi"/>
          <w:sz w:val="20"/>
        </w:rPr>
        <w:t xml:space="preserve">the </w:t>
      </w:r>
      <w:r w:rsidRPr="00595441">
        <w:rPr>
          <w:rFonts w:asciiTheme="minorBidi" w:hAnsiTheme="minorBidi" w:cstheme="minorBidi"/>
          <w:sz w:val="20"/>
        </w:rPr>
        <w:t>development of microalbuminuria</w:t>
      </w:r>
      <w:r w:rsidR="00595441" w:rsidRPr="00595441">
        <w:rPr>
          <w:rFonts w:asciiTheme="minorBidi" w:hAnsiTheme="minorBidi" w:cstheme="minorBidi"/>
          <w:sz w:val="20"/>
        </w:rPr>
        <w:t xml:space="preserve"> and</w:t>
      </w:r>
      <w:r w:rsidRPr="00595441">
        <w:rPr>
          <w:rFonts w:asciiTheme="minorBidi" w:hAnsiTheme="minorBidi" w:cstheme="minorBidi"/>
          <w:sz w:val="20"/>
        </w:rPr>
        <w:t xml:space="preserve"> decrease </w:t>
      </w:r>
      <w:r w:rsidR="00595441" w:rsidRPr="00595441">
        <w:rPr>
          <w:rFonts w:asciiTheme="minorBidi" w:hAnsiTheme="minorBidi" w:cstheme="minorBidi"/>
          <w:sz w:val="20"/>
        </w:rPr>
        <w:t>the</w:t>
      </w:r>
      <w:r w:rsidRPr="00595441">
        <w:rPr>
          <w:rFonts w:asciiTheme="minorBidi" w:hAnsiTheme="minorBidi" w:cstheme="minorBidi"/>
          <w:sz w:val="20"/>
        </w:rPr>
        <w:t xml:space="preserve"> estimated glomerular filtration rate (eGFR) in</w:t>
      </w:r>
      <w:r w:rsidR="009C16B8" w:rsidRPr="00595441">
        <w:rPr>
          <w:rFonts w:asciiTheme="minorBidi" w:hAnsiTheme="minorBidi" w:cstheme="minorBidi"/>
          <w:sz w:val="20"/>
        </w:rPr>
        <w:t xml:space="preserve"> type 2</w:t>
      </w:r>
      <w:r w:rsidRPr="00595441">
        <w:rPr>
          <w:rFonts w:asciiTheme="minorBidi" w:hAnsiTheme="minorBidi" w:cstheme="minorBidi"/>
          <w:sz w:val="20"/>
        </w:rPr>
        <w:t xml:space="preserve"> Diabetes Mellitus (</w:t>
      </w:r>
      <w:r w:rsidR="009C16B8" w:rsidRPr="00595441">
        <w:rPr>
          <w:rFonts w:asciiTheme="minorBidi" w:hAnsiTheme="minorBidi" w:cstheme="minorBidi"/>
          <w:sz w:val="20"/>
        </w:rPr>
        <w:t>T2</w:t>
      </w:r>
      <w:r w:rsidRPr="00595441">
        <w:rPr>
          <w:rFonts w:asciiTheme="minorBidi" w:hAnsiTheme="minorBidi" w:cstheme="minorBidi"/>
          <w:sz w:val="20"/>
        </w:rPr>
        <w:t>DM) patients to a certain extent. (</w:t>
      </w:r>
      <w:r w:rsidR="00BE728D" w:rsidRPr="00595441">
        <w:rPr>
          <w:rFonts w:asciiTheme="minorBidi" w:hAnsiTheme="minorBidi" w:cstheme="minorBidi"/>
          <w:sz w:val="20"/>
        </w:rPr>
        <w:t>6</w:t>
      </w:r>
      <w:r w:rsidR="002E6CAF" w:rsidRPr="00595441">
        <w:rPr>
          <w:rFonts w:asciiTheme="minorBidi" w:hAnsiTheme="minorBidi" w:cstheme="minorBidi"/>
          <w:sz w:val="20"/>
        </w:rPr>
        <w:t>,7</w:t>
      </w:r>
      <w:r w:rsidRPr="00595441">
        <w:rPr>
          <w:rFonts w:asciiTheme="minorBidi" w:hAnsiTheme="minorBidi" w:cstheme="minorBidi"/>
          <w:sz w:val="20"/>
        </w:rPr>
        <w:t>) While many guidelines state that aggressive treatment of diabetes from diagnosis to a target HbA1c of 7% or less can protect the kidneys and reduce the progression to diabetic kidney disease, some other studies concluded that both very low HbA1c of &lt;6% or very high &gt;9% will increase the risk of death. (</w:t>
      </w:r>
      <w:r w:rsidR="00BE728D" w:rsidRPr="00595441">
        <w:rPr>
          <w:rFonts w:asciiTheme="minorBidi" w:hAnsiTheme="minorBidi" w:cstheme="minorBidi"/>
          <w:sz w:val="20"/>
        </w:rPr>
        <w:t>8</w:t>
      </w:r>
      <w:r w:rsidR="002E6CAF" w:rsidRPr="00595441">
        <w:rPr>
          <w:rFonts w:asciiTheme="minorBidi" w:hAnsiTheme="minorBidi" w:cstheme="minorBidi"/>
          <w:sz w:val="20"/>
        </w:rPr>
        <w:t>,9</w:t>
      </w:r>
      <w:r w:rsidRPr="00595441">
        <w:rPr>
          <w:rFonts w:asciiTheme="minorBidi" w:hAnsiTheme="minorBidi" w:cstheme="minorBidi"/>
          <w:sz w:val="20"/>
        </w:rPr>
        <w:t>)</w:t>
      </w:r>
    </w:p>
    <w:p w14:paraId="14CE2572" w14:textId="1F2480BD" w:rsidR="000B45C6" w:rsidRPr="00595441" w:rsidRDefault="000B45C6" w:rsidP="000B45C6">
      <w:pPr>
        <w:spacing w:after="240"/>
        <w:rPr>
          <w:rFonts w:asciiTheme="minorBidi" w:hAnsiTheme="minorBidi" w:cstheme="minorBidi"/>
          <w:sz w:val="20"/>
        </w:rPr>
      </w:pPr>
      <w:r w:rsidRPr="00595441">
        <w:rPr>
          <w:rFonts w:asciiTheme="minorBidi" w:hAnsiTheme="minorBidi" w:cstheme="minorBidi"/>
          <w:sz w:val="20"/>
        </w:rPr>
        <w:lastRenderedPageBreak/>
        <w:t xml:space="preserve">Hypertension has been shown to be a predisposing factor leading to kidney failure in patients with </w:t>
      </w:r>
      <w:r w:rsidR="00D31E70" w:rsidRPr="00595441">
        <w:rPr>
          <w:rFonts w:asciiTheme="minorBidi" w:hAnsiTheme="minorBidi" w:cstheme="minorBidi"/>
          <w:sz w:val="20"/>
        </w:rPr>
        <w:t xml:space="preserve">type 2 </w:t>
      </w:r>
      <w:r w:rsidRPr="00595441">
        <w:rPr>
          <w:rFonts w:asciiTheme="minorBidi" w:hAnsiTheme="minorBidi" w:cstheme="minorBidi"/>
          <w:sz w:val="20"/>
        </w:rPr>
        <w:t>diabetes, and this has been demonstrated in many publications, including the ADVANCE study where more than 11,000 diabetic patients were randomized to either placebo or ACE inhibitors treatments (Perindopril-indapamide) regardless of their blood pressure baseline, with a median follow up of 4.3 years. Treatment with ACE inhibitors reduced the risk of renal events by 21%- through reduction of the rate of development of microalbuminuria and macroalbuminuria. (</w:t>
      </w:r>
      <w:r w:rsidR="002E6CAF" w:rsidRPr="00595441">
        <w:rPr>
          <w:rFonts w:asciiTheme="minorBidi" w:hAnsiTheme="minorBidi" w:cstheme="minorBidi"/>
          <w:sz w:val="20"/>
        </w:rPr>
        <w:t>10</w:t>
      </w:r>
      <w:r w:rsidRPr="00595441">
        <w:rPr>
          <w:rFonts w:asciiTheme="minorBidi" w:hAnsiTheme="minorBidi" w:cstheme="minorBidi"/>
          <w:sz w:val="20"/>
        </w:rPr>
        <w:t xml:space="preserve">) </w:t>
      </w:r>
    </w:p>
    <w:p w14:paraId="498FA254" w14:textId="3CA4651F" w:rsidR="000B45C6" w:rsidRPr="00595441" w:rsidRDefault="000B45C6" w:rsidP="00613021">
      <w:pPr>
        <w:rPr>
          <w:rFonts w:asciiTheme="minorBidi" w:hAnsiTheme="minorBidi" w:cstheme="minorBidi"/>
          <w:b/>
          <w:bCs/>
          <w:sz w:val="20"/>
        </w:rPr>
      </w:pPr>
      <w:r w:rsidRPr="00595441">
        <w:rPr>
          <w:rFonts w:asciiTheme="minorBidi" w:hAnsiTheme="minorBidi" w:cstheme="minorBidi"/>
          <w:sz w:val="20"/>
        </w:rPr>
        <w:t>In another study of type T2DM and hypertension, it was demonstrated that if T2DM and hypertension exist together in the same patient, there is an increased risk of end stage renal disease</w:t>
      </w:r>
      <w:r w:rsidR="00F5150E" w:rsidRPr="00595441">
        <w:rPr>
          <w:rFonts w:asciiTheme="minorBidi" w:hAnsiTheme="minorBidi" w:cstheme="minorBidi"/>
          <w:sz w:val="20"/>
        </w:rPr>
        <w:t xml:space="preserve"> (ESRD)</w:t>
      </w:r>
      <w:r w:rsidRPr="00595441">
        <w:rPr>
          <w:rFonts w:asciiTheme="minorBidi" w:hAnsiTheme="minorBidi" w:cstheme="minorBidi"/>
          <w:sz w:val="20"/>
        </w:rPr>
        <w:t xml:space="preserve"> and cardiovascular disease by </w:t>
      </w:r>
      <w:proofErr w:type="gramStart"/>
      <w:r w:rsidRPr="00595441">
        <w:rPr>
          <w:rFonts w:asciiTheme="minorBidi" w:hAnsiTheme="minorBidi" w:cstheme="minorBidi"/>
          <w:sz w:val="20"/>
        </w:rPr>
        <w:t>2-4 fold</w:t>
      </w:r>
      <w:proofErr w:type="gramEnd"/>
      <w:r w:rsidRPr="00595441">
        <w:rPr>
          <w:rFonts w:asciiTheme="minorBidi" w:hAnsiTheme="minorBidi" w:cstheme="minorBidi"/>
          <w:sz w:val="20"/>
        </w:rPr>
        <w:t xml:space="preserve">, so it is important </w:t>
      </w:r>
      <w:r w:rsidR="009C16B8" w:rsidRPr="00595441">
        <w:rPr>
          <w:rFonts w:asciiTheme="minorBidi" w:hAnsiTheme="minorBidi" w:cstheme="minorBidi"/>
          <w:sz w:val="20"/>
        </w:rPr>
        <w:t xml:space="preserve">to </w:t>
      </w:r>
      <w:r w:rsidRPr="00595441">
        <w:rPr>
          <w:rFonts w:asciiTheme="minorBidi" w:hAnsiTheme="minorBidi" w:cstheme="minorBidi"/>
          <w:sz w:val="20"/>
        </w:rPr>
        <w:t>understand the correlation between both diseases. (</w:t>
      </w:r>
      <w:r w:rsidR="00BE728D" w:rsidRPr="00595441">
        <w:rPr>
          <w:rFonts w:asciiTheme="minorBidi" w:hAnsiTheme="minorBidi" w:cstheme="minorBidi"/>
          <w:sz w:val="20"/>
        </w:rPr>
        <w:t>1</w:t>
      </w:r>
      <w:r w:rsidR="002E6CAF" w:rsidRPr="00595441">
        <w:rPr>
          <w:rFonts w:asciiTheme="minorBidi" w:hAnsiTheme="minorBidi" w:cstheme="minorBidi"/>
          <w:sz w:val="20"/>
        </w:rPr>
        <w:t>1</w:t>
      </w:r>
      <w:r w:rsidRPr="00595441">
        <w:rPr>
          <w:rFonts w:asciiTheme="minorBidi" w:hAnsiTheme="minorBidi" w:cstheme="minorBidi"/>
          <w:sz w:val="20"/>
        </w:rPr>
        <w:t>)</w:t>
      </w:r>
      <w:r w:rsidR="00613021" w:rsidRPr="00595441">
        <w:rPr>
          <w:rFonts w:asciiTheme="minorBidi" w:hAnsiTheme="minorBidi" w:cstheme="minorBidi"/>
          <w:sz w:val="20"/>
        </w:rPr>
        <w:t xml:space="preserve"> </w:t>
      </w:r>
      <w:r w:rsidR="005D2FBC" w:rsidRPr="00595441">
        <w:rPr>
          <w:rFonts w:asciiTheme="minorBidi" w:hAnsiTheme="minorBidi" w:cstheme="minorBidi"/>
          <w:sz w:val="20"/>
          <w:lang w:val="en-GB"/>
        </w:rPr>
        <w:t>M</w:t>
      </w:r>
      <w:r w:rsidRPr="00595441">
        <w:rPr>
          <w:rFonts w:asciiTheme="minorBidi" w:hAnsiTheme="minorBidi" w:cstheme="minorBidi"/>
          <w:sz w:val="20"/>
        </w:rPr>
        <w:t>any publications</w:t>
      </w:r>
      <w:r w:rsidR="005D2FBC" w:rsidRPr="00595441">
        <w:rPr>
          <w:rFonts w:asciiTheme="minorBidi" w:hAnsiTheme="minorBidi" w:cstheme="minorBidi"/>
          <w:sz w:val="20"/>
        </w:rPr>
        <w:t xml:space="preserve"> have been published</w:t>
      </w:r>
      <w:r w:rsidRPr="00595441">
        <w:rPr>
          <w:rFonts w:asciiTheme="minorBidi" w:hAnsiTheme="minorBidi" w:cstheme="minorBidi"/>
          <w:sz w:val="20"/>
        </w:rPr>
        <w:t xml:space="preserve"> on the relationship between good control of HbA1c (with or without hypertension) and deterioration to kidney failure, but few of them have sought to identify the range of HbA1c that we should be targeting to offset poor renal outcomes. (1</w:t>
      </w:r>
      <w:r w:rsidR="002E6CAF" w:rsidRPr="00595441">
        <w:rPr>
          <w:rFonts w:asciiTheme="minorBidi" w:hAnsiTheme="minorBidi" w:cstheme="minorBidi"/>
          <w:sz w:val="20"/>
        </w:rPr>
        <w:t>2</w:t>
      </w:r>
      <w:r w:rsidRPr="00595441">
        <w:rPr>
          <w:rFonts w:asciiTheme="minorBidi" w:hAnsiTheme="minorBidi" w:cstheme="minorBidi"/>
          <w:sz w:val="20"/>
        </w:rPr>
        <w:t xml:space="preserve">) </w:t>
      </w:r>
      <w:r w:rsidR="00613021" w:rsidRPr="00595441">
        <w:rPr>
          <w:rFonts w:asciiTheme="minorBidi" w:hAnsiTheme="minorBidi" w:cstheme="minorBidi"/>
          <w:sz w:val="20"/>
        </w:rPr>
        <w:t xml:space="preserve"> </w:t>
      </w:r>
      <w:r w:rsidRPr="00595441">
        <w:rPr>
          <w:rStyle w:val="cf01"/>
          <w:rFonts w:asciiTheme="minorBidi" w:hAnsiTheme="minorBidi" w:cstheme="minorBidi"/>
          <w:sz w:val="20"/>
          <w:szCs w:val="20"/>
        </w:rPr>
        <w:t xml:space="preserve">Microalbuminuria was the first established marker for renal outcome and has been utilized in clinical trials testing the effects of SGLT2 inhibitors and GLP-1 </w:t>
      </w:r>
      <w:r w:rsidRPr="00595441">
        <w:rPr>
          <w:rFonts w:asciiTheme="minorBidi" w:hAnsiTheme="minorBidi" w:cstheme="minorBidi"/>
          <w:sz w:val="20"/>
        </w:rPr>
        <w:t xml:space="preserve">on the </w:t>
      </w:r>
      <w:proofErr w:type="spellStart"/>
      <w:r w:rsidRPr="00595441">
        <w:rPr>
          <w:rFonts w:asciiTheme="minorBidi" w:hAnsiTheme="minorBidi" w:cstheme="minorBidi"/>
          <w:sz w:val="20"/>
        </w:rPr>
        <w:t>glycemic</w:t>
      </w:r>
      <w:proofErr w:type="spellEnd"/>
      <w:r w:rsidRPr="00595441">
        <w:rPr>
          <w:rFonts w:asciiTheme="minorBidi" w:hAnsiTheme="minorBidi" w:cstheme="minorBidi"/>
          <w:sz w:val="20"/>
        </w:rPr>
        <w:t xml:space="preserve"> control and deterioration to E</w:t>
      </w:r>
      <w:r w:rsidR="00F5150E" w:rsidRPr="00595441">
        <w:rPr>
          <w:rFonts w:asciiTheme="minorBidi" w:hAnsiTheme="minorBidi" w:cstheme="minorBidi"/>
          <w:sz w:val="20"/>
        </w:rPr>
        <w:t>SRD</w:t>
      </w:r>
      <w:r w:rsidRPr="00595441">
        <w:rPr>
          <w:rFonts w:asciiTheme="minorBidi" w:hAnsiTheme="minorBidi" w:cstheme="minorBidi"/>
          <w:sz w:val="20"/>
        </w:rPr>
        <w:t>. (1</w:t>
      </w:r>
      <w:r w:rsidR="002E6CAF" w:rsidRPr="00595441">
        <w:rPr>
          <w:rFonts w:asciiTheme="minorBidi" w:hAnsiTheme="minorBidi" w:cstheme="minorBidi"/>
          <w:sz w:val="20"/>
        </w:rPr>
        <w:t>3</w:t>
      </w:r>
      <w:r w:rsidRPr="00595441">
        <w:rPr>
          <w:rFonts w:asciiTheme="minorBidi" w:hAnsiTheme="minorBidi" w:cstheme="minorBidi"/>
          <w:sz w:val="20"/>
        </w:rPr>
        <w:t>)</w:t>
      </w:r>
    </w:p>
    <w:p w14:paraId="637540F2" w14:textId="5CB12C3B" w:rsidR="000B45C6" w:rsidRPr="00595441" w:rsidRDefault="000B45C6" w:rsidP="00613021">
      <w:pPr>
        <w:pStyle w:val="NormalWeb"/>
        <w:spacing w:after="0" w:afterAutospacing="0"/>
        <w:rPr>
          <w:rFonts w:asciiTheme="minorBidi" w:hAnsiTheme="minorBidi" w:cstheme="minorBidi"/>
          <w:sz w:val="20"/>
          <w:szCs w:val="20"/>
        </w:rPr>
      </w:pPr>
      <w:r w:rsidRPr="00595441">
        <w:rPr>
          <w:rFonts w:asciiTheme="minorBidi" w:hAnsiTheme="minorBidi" w:cstheme="minorBidi"/>
          <w:sz w:val="20"/>
          <w:szCs w:val="20"/>
        </w:rPr>
        <w:t xml:space="preserve">Perkovic </w:t>
      </w:r>
      <w:r w:rsidRPr="00595441">
        <w:rPr>
          <w:rFonts w:asciiTheme="minorBidi" w:hAnsiTheme="minorBidi" w:cstheme="minorBidi"/>
          <w:i/>
          <w:iCs/>
          <w:sz w:val="20"/>
          <w:szCs w:val="20"/>
        </w:rPr>
        <w:t>et al</w:t>
      </w:r>
      <w:r w:rsidRPr="00595441">
        <w:rPr>
          <w:rFonts w:asciiTheme="minorBidi" w:hAnsiTheme="minorBidi" w:cstheme="minorBidi"/>
          <w:sz w:val="20"/>
          <w:szCs w:val="20"/>
        </w:rPr>
        <w:t xml:space="preserve"> have analyzed the ADVANCE study from a different perspective and </w:t>
      </w:r>
      <w:r w:rsidR="009C16B8" w:rsidRPr="00595441">
        <w:rPr>
          <w:rFonts w:asciiTheme="minorBidi" w:hAnsiTheme="minorBidi" w:cstheme="minorBidi"/>
          <w:sz w:val="20"/>
          <w:szCs w:val="20"/>
        </w:rPr>
        <w:t>stat</w:t>
      </w:r>
      <w:r w:rsidRPr="00595441">
        <w:rPr>
          <w:rFonts w:asciiTheme="minorBidi" w:hAnsiTheme="minorBidi" w:cstheme="minorBidi"/>
          <w:sz w:val="20"/>
          <w:szCs w:val="20"/>
        </w:rPr>
        <w:t>ed that macroalbuminuria and doubled serum creatinine level are surrogate end points, but they provided an early warning on the reliability of albuminuria as a confirmed renal outcome and still debatable because some diabetic patients have developed progressive kidney disease without having albuminuria.</w:t>
      </w:r>
      <w:r w:rsidR="00613021" w:rsidRPr="00595441">
        <w:rPr>
          <w:rFonts w:asciiTheme="minorBidi" w:hAnsiTheme="minorBidi" w:cstheme="minorBidi"/>
          <w:sz w:val="20"/>
          <w:szCs w:val="20"/>
        </w:rPr>
        <w:t xml:space="preserve"> </w:t>
      </w:r>
      <w:r w:rsidRPr="00595441">
        <w:rPr>
          <w:rFonts w:asciiTheme="minorBidi" w:hAnsiTheme="minorBidi" w:cstheme="minorBidi"/>
          <w:sz w:val="20"/>
          <w:szCs w:val="20"/>
        </w:rPr>
        <w:t>In a 2-arm comparison between intensive glucose lowering versus standard glucose lowering, there was a 65% reduction of the progression into end stage renal disease in the intensive glucose lowering arm. Since the total number of events that occurred in both groups was low, the number needed to treat</w:t>
      </w:r>
      <w:r w:rsidR="005D2FBC" w:rsidRPr="00595441">
        <w:rPr>
          <w:rFonts w:asciiTheme="minorBidi" w:hAnsiTheme="minorBidi" w:cstheme="minorBidi"/>
          <w:sz w:val="20"/>
          <w:szCs w:val="20"/>
        </w:rPr>
        <w:t xml:space="preserve"> (NNT</w:t>
      </w:r>
      <w:r w:rsidRPr="00595441">
        <w:rPr>
          <w:rFonts w:asciiTheme="minorBidi" w:hAnsiTheme="minorBidi" w:cstheme="minorBidi"/>
          <w:sz w:val="20"/>
          <w:szCs w:val="20"/>
        </w:rPr>
        <w:t xml:space="preserve">) over 5 years to prevent one </w:t>
      </w:r>
      <w:r w:rsidR="00F213B1" w:rsidRPr="00595441">
        <w:rPr>
          <w:rFonts w:asciiTheme="minorBidi" w:hAnsiTheme="minorBidi" w:cstheme="minorBidi"/>
          <w:sz w:val="20"/>
          <w:szCs w:val="20"/>
        </w:rPr>
        <w:t xml:space="preserve">incident </w:t>
      </w:r>
      <w:proofErr w:type="gramStart"/>
      <w:r w:rsidR="00F213B1" w:rsidRPr="00595441">
        <w:rPr>
          <w:rFonts w:asciiTheme="minorBidi" w:hAnsiTheme="minorBidi" w:cstheme="minorBidi"/>
          <w:sz w:val="20"/>
          <w:szCs w:val="20"/>
        </w:rPr>
        <w:t xml:space="preserve">of  </w:t>
      </w:r>
      <w:r w:rsidRPr="00595441">
        <w:rPr>
          <w:rFonts w:asciiTheme="minorBidi" w:hAnsiTheme="minorBidi" w:cstheme="minorBidi"/>
          <w:sz w:val="20"/>
          <w:szCs w:val="20"/>
        </w:rPr>
        <w:t>ESRD</w:t>
      </w:r>
      <w:proofErr w:type="gramEnd"/>
      <w:r w:rsidRPr="00595441">
        <w:rPr>
          <w:rFonts w:asciiTheme="minorBidi" w:hAnsiTheme="minorBidi" w:cstheme="minorBidi"/>
          <w:sz w:val="20"/>
          <w:szCs w:val="20"/>
        </w:rPr>
        <w:t xml:space="preserve"> was 410 patients, it seems a high number and does not justify the intention of the study, however, in a subpopulation at high renal risk, the NNT over 5 years to prevent one incident of ESRD was only 85, more acceptable. (1</w:t>
      </w:r>
      <w:r w:rsidR="002E6CAF" w:rsidRPr="00595441">
        <w:rPr>
          <w:rFonts w:asciiTheme="minorBidi" w:hAnsiTheme="minorBidi" w:cstheme="minorBidi"/>
          <w:sz w:val="20"/>
          <w:szCs w:val="20"/>
        </w:rPr>
        <w:t>4</w:t>
      </w:r>
      <w:r w:rsidRPr="00595441">
        <w:rPr>
          <w:rFonts w:asciiTheme="minorBidi" w:hAnsiTheme="minorBidi" w:cstheme="minorBidi"/>
          <w:sz w:val="20"/>
          <w:szCs w:val="20"/>
        </w:rPr>
        <w:t xml:space="preserve">) </w:t>
      </w:r>
    </w:p>
    <w:p w14:paraId="24496FF6" w14:textId="178A91EB" w:rsidR="000B45C6" w:rsidRPr="00595441" w:rsidRDefault="000B45C6" w:rsidP="000B45C6">
      <w:pPr>
        <w:pStyle w:val="NormalWeb"/>
        <w:spacing w:after="240" w:afterAutospacing="0"/>
        <w:rPr>
          <w:rFonts w:asciiTheme="minorBidi" w:hAnsiTheme="minorBidi" w:cstheme="minorBidi"/>
          <w:b/>
          <w:bCs/>
          <w:sz w:val="20"/>
          <w:szCs w:val="20"/>
        </w:rPr>
      </w:pPr>
      <w:r w:rsidRPr="00595441">
        <w:rPr>
          <w:rFonts w:asciiTheme="minorBidi" w:hAnsiTheme="minorBidi" w:cstheme="minorBidi"/>
          <w:sz w:val="20"/>
          <w:szCs w:val="20"/>
        </w:rPr>
        <w:t>The DISCOVER study was a global prospective observational study where patients were recruited from over 38 countries. Results demonstrated a positive relationship between HbA1c and microvascular complications. Chronic kidney disease had a prevalence of 5% and albuminuria at 4.3%, suggesting urgent modification of risk factors in addition to the good control of hyperglycemia is needed. (1</w:t>
      </w:r>
      <w:r w:rsidR="002E6CAF" w:rsidRPr="00595441">
        <w:rPr>
          <w:rFonts w:asciiTheme="minorBidi" w:hAnsiTheme="minorBidi" w:cstheme="minorBidi"/>
          <w:sz w:val="20"/>
          <w:szCs w:val="20"/>
        </w:rPr>
        <w:t>5</w:t>
      </w:r>
      <w:r w:rsidRPr="00595441">
        <w:rPr>
          <w:rFonts w:asciiTheme="minorBidi" w:hAnsiTheme="minorBidi" w:cstheme="minorBidi"/>
          <w:sz w:val="20"/>
          <w:szCs w:val="20"/>
        </w:rPr>
        <w:t xml:space="preserve">) </w:t>
      </w:r>
      <w:r w:rsidR="00FE21B5" w:rsidRPr="00595441">
        <w:rPr>
          <w:rFonts w:asciiTheme="minorBidi" w:hAnsiTheme="minorBidi" w:cstheme="minorBidi"/>
          <w:sz w:val="20"/>
          <w:szCs w:val="20"/>
        </w:rPr>
        <w:t xml:space="preserve">  </w:t>
      </w:r>
    </w:p>
    <w:p w14:paraId="3059075C" w14:textId="100A92EE" w:rsidR="000B45C6" w:rsidRPr="00595441" w:rsidRDefault="000B45C6" w:rsidP="000B45C6">
      <w:pPr>
        <w:spacing w:after="240"/>
        <w:rPr>
          <w:rFonts w:asciiTheme="minorBidi" w:hAnsiTheme="minorBidi" w:cstheme="minorBidi"/>
          <w:sz w:val="20"/>
        </w:rPr>
      </w:pPr>
      <w:r w:rsidRPr="00595441">
        <w:rPr>
          <w:rFonts w:asciiTheme="minorBidi" w:hAnsiTheme="minorBidi" w:cstheme="minorBidi"/>
          <w:sz w:val="20"/>
        </w:rPr>
        <w:t>To estimate the prevalence of hypertension in people living with diabetes in Jordan, a cross-sectional study was performed in the outpatient’s diabetes clinics and included 1000 patients with diabetes. The study used a questionnaire to determine whether participants were aware of having high blood pressure and then measured their blood pressure. It was found that almost 72% of patients in the study had hypertension of above 130/80. Hypertension was associated with age, Body Mass Index</w:t>
      </w:r>
      <w:r w:rsidR="00322F91" w:rsidRPr="00595441">
        <w:rPr>
          <w:rFonts w:asciiTheme="minorBidi" w:hAnsiTheme="minorBidi" w:cstheme="minorBidi"/>
          <w:sz w:val="20"/>
        </w:rPr>
        <w:t xml:space="preserve"> (MBI)</w:t>
      </w:r>
      <w:r w:rsidRPr="00595441">
        <w:rPr>
          <w:rFonts w:asciiTheme="minorBidi" w:hAnsiTheme="minorBidi" w:cstheme="minorBidi"/>
          <w:sz w:val="20"/>
        </w:rPr>
        <w:t xml:space="preserve"> and duration of diabetes (p=0.001). It also demonstrated that half of the patients were aware of having hypertension, but failed to control their high blood pressure, which prove that T2DM is a predisposing factor for developing hypertension. (1</w:t>
      </w:r>
      <w:r w:rsidR="002E6CAF" w:rsidRPr="00595441">
        <w:rPr>
          <w:rFonts w:asciiTheme="minorBidi" w:hAnsiTheme="minorBidi" w:cstheme="minorBidi"/>
          <w:sz w:val="20"/>
        </w:rPr>
        <w:t>6</w:t>
      </w:r>
      <w:r w:rsidRPr="00595441">
        <w:rPr>
          <w:rFonts w:asciiTheme="minorBidi" w:hAnsiTheme="minorBidi" w:cstheme="minorBidi"/>
          <w:sz w:val="20"/>
        </w:rPr>
        <w:t xml:space="preserve">) </w:t>
      </w:r>
    </w:p>
    <w:p w14:paraId="5049CB70" w14:textId="7EA1489B" w:rsidR="000B45C6" w:rsidRPr="00595441" w:rsidRDefault="000B45C6" w:rsidP="000B45C6">
      <w:pPr>
        <w:spacing w:after="240"/>
        <w:rPr>
          <w:rFonts w:asciiTheme="minorBidi" w:hAnsiTheme="minorBidi" w:cstheme="minorBidi"/>
          <w:sz w:val="20"/>
        </w:rPr>
      </w:pPr>
      <w:r w:rsidRPr="00595441">
        <w:rPr>
          <w:rFonts w:asciiTheme="minorBidi" w:hAnsiTheme="minorBidi" w:cstheme="minorBidi"/>
          <w:sz w:val="20"/>
        </w:rPr>
        <w:t>A Japanese study tested four different groups of patients to estimate the HbA1c level that could protect against diabetic nephropathy, and concluded that in all groups, maintenance of HbA1c lower than 7% (together with targeting BMI of &lt;25) was beneficial in delaying the progression into end stage renal disease. (1</w:t>
      </w:r>
      <w:r w:rsidR="002E6CAF" w:rsidRPr="00595441">
        <w:rPr>
          <w:rFonts w:asciiTheme="minorBidi" w:hAnsiTheme="minorBidi" w:cstheme="minorBidi"/>
          <w:sz w:val="20"/>
        </w:rPr>
        <w:t>7</w:t>
      </w:r>
      <w:r w:rsidRPr="00595441">
        <w:rPr>
          <w:rFonts w:asciiTheme="minorBidi" w:hAnsiTheme="minorBidi" w:cstheme="minorBidi"/>
          <w:sz w:val="20"/>
        </w:rPr>
        <w:t xml:space="preserve">) </w:t>
      </w:r>
    </w:p>
    <w:p w14:paraId="3A0E79F4" w14:textId="0CA11079" w:rsidR="000B45C6" w:rsidRPr="00595441" w:rsidRDefault="000B45C6" w:rsidP="000B45C6">
      <w:pPr>
        <w:spacing w:after="240"/>
        <w:rPr>
          <w:rFonts w:asciiTheme="minorBidi" w:hAnsiTheme="minorBidi" w:cstheme="minorBidi"/>
          <w:b/>
          <w:bCs/>
          <w:sz w:val="20"/>
        </w:rPr>
      </w:pPr>
      <w:r w:rsidRPr="00595441">
        <w:rPr>
          <w:rFonts w:asciiTheme="minorBidi" w:hAnsiTheme="minorBidi" w:cstheme="minorBidi"/>
          <w:sz w:val="20"/>
        </w:rPr>
        <w:t>In another HbA1c variability study conducted in Japan, Patients were monitored for a median of 9.5 years, they tested HbA1c from two angles, mean HbA1c and standard deviation HbA1c. it showed that patients with increased HbA1c-mean and HbA1c-SD had a significantly increased risk of developing diabetes-related complications, which were listed as our six study endpoints. After full adjustment of the model, increased HbA1c-mean was associated with a significantly increased risk of a UACR &gt; 300 mg/g and advanced retinopathy, while increased HbA1c-SD was associated with a significantly increased risk of a UACR &gt; 300 mg/g, doubling of serum creatinine, and all-cause mortality and CVD mortality. (1</w:t>
      </w:r>
      <w:r w:rsidR="002E6CAF" w:rsidRPr="00595441">
        <w:rPr>
          <w:rFonts w:asciiTheme="minorBidi" w:hAnsiTheme="minorBidi" w:cstheme="minorBidi"/>
          <w:sz w:val="20"/>
        </w:rPr>
        <w:t>8</w:t>
      </w:r>
      <w:r w:rsidRPr="00595441">
        <w:rPr>
          <w:rFonts w:asciiTheme="minorBidi" w:hAnsiTheme="minorBidi" w:cstheme="minorBidi"/>
          <w:sz w:val="20"/>
        </w:rPr>
        <w:t xml:space="preserve">) This can only add to previous study referenced above and confirms that increased HbA1c will always lead to ESRD. </w:t>
      </w:r>
    </w:p>
    <w:p w14:paraId="36C879DD" w14:textId="5A9E844A" w:rsidR="000B45C6" w:rsidRPr="00595441" w:rsidRDefault="000B45C6" w:rsidP="000B45C6">
      <w:pPr>
        <w:spacing w:after="240"/>
        <w:jc w:val="left"/>
        <w:rPr>
          <w:rStyle w:val="cf01"/>
          <w:rFonts w:asciiTheme="minorBidi" w:hAnsiTheme="minorBidi" w:cstheme="minorBidi"/>
          <w:sz w:val="20"/>
          <w:szCs w:val="20"/>
        </w:rPr>
      </w:pPr>
      <w:r w:rsidRPr="00595441">
        <w:rPr>
          <w:rStyle w:val="cf01"/>
          <w:rFonts w:asciiTheme="minorBidi" w:hAnsiTheme="minorBidi" w:cstheme="minorBidi"/>
          <w:sz w:val="20"/>
          <w:szCs w:val="20"/>
        </w:rPr>
        <w:lastRenderedPageBreak/>
        <w:t xml:space="preserve">To conclude, poor glycaemic control and uncontrolled hypertension are risk factors for the development of ESRD. There is an urgent need to establish clear HbA1c targets to offset the risk of substantial morbidity and mortality. </w:t>
      </w:r>
    </w:p>
    <w:p w14:paraId="5A136F75" w14:textId="1738934A" w:rsidR="000B45C6" w:rsidRPr="00595441" w:rsidRDefault="000B45C6" w:rsidP="000B45C6">
      <w:pPr>
        <w:spacing w:after="240"/>
        <w:jc w:val="left"/>
        <w:rPr>
          <w:rStyle w:val="cf01"/>
          <w:rFonts w:asciiTheme="minorBidi" w:hAnsiTheme="minorBidi" w:cstheme="minorBidi"/>
          <w:b/>
          <w:bCs/>
          <w:sz w:val="22"/>
          <w:szCs w:val="22"/>
        </w:rPr>
      </w:pPr>
      <w:r w:rsidRPr="00595441">
        <w:rPr>
          <w:rStyle w:val="cf01"/>
          <w:rFonts w:asciiTheme="minorBidi" w:hAnsiTheme="minorBidi" w:cstheme="minorBidi"/>
          <w:b/>
          <w:bCs/>
          <w:sz w:val="22"/>
          <w:szCs w:val="22"/>
        </w:rPr>
        <w:t xml:space="preserve">Rationale: </w:t>
      </w:r>
    </w:p>
    <w:p w14:paraId="34357BA2" w14:textId="77777777" w:rsidR="000B45C6" w:rsidRPr="00595441" w:rsidRDefault="000B45C6" w:rsidP="000B45C6">
      <w:pPr>
        <w:spacing w:after="240"/>
        <w:rPr>
          <w:rFonts w:asciiTheme="minorBidi" w:hAnsiTheme="minorBidi" w:cstheme="minorBidi"/>
          <w:b/>
          <w:bCs/>
          <w:sz w:val="20"/>
        </w:rPr>
      </w:pPr>
      <w:r w:rsidRPr="00595441">
        <w:rPr>
          <w:rFonts w:asciiTheme="minorBidi" w:hAnsiTheme="minorBidi" w:cstheme="minorBidi"/>
          <w:sz w:val="20"/>
        </w:rPr>
        <w:t xml:space="preserve">With diabetic nephropathy as one of the most serious complications of type2 diabetes, it is important to understand the causality in diabetic patients and how to prevent or delay such serious outcomes. </w:t>
      </w:r>
    </w:p>
    <w:p w14:paraId="02D4B28C" w14:textId="3D2D0823" w:rsidR="000B45C6" w:rsidRPr="00595441" w:rsidRDefault="000B45C6" w:rsidP="000B45C6">
      <w:pPr>
        <w:spacing w:after="240"/>
        <w:rPr>
          <w:rFonts w:asciiTheme="minorBidi" w:hAnsiTheme="minorBidi" w:cstheme="minorBidi"/>
          <w:b/>
          <w:bCs/>
          <w:sz w:val="20"/>
        </w:rPr>
      </w:pPr>
      <w:r w:rsidRPr="00595441">
        <w:rPr>
          <w:rFonts w:asciiTheme="minorBidi" w:hAnsiTheme="minorBidi" w:cstheme="minorBidi"/>
          <w:sz w:val="20"/>
        </w:rPr>
        <w:t xml:space="preserve">The aim of this protocol is to determine </w:t>
      </w:r>
      <w:r w:rsidR="00CD5923" w:rsidRPr="00595441">
        <w:rPr>
          <w:rFonts w:asciiTheme="minorBidi" w:hAnsiTheme="minorBidi" w:cstheme="minorBidi"/>
          <w:sz w:val="20"/>
        </w:rPr>
        <w:t>the</w:t>
      </w:r>
      <w:r w:rsidRPr="00595441">
        <w:rPr>
          <w:rFonts w:asciiTheme="minorBidi" w:hAnsiTheme="minorBidi" w:cstheme="minorBidi"/>
          <w:sz w:val="20"/>
        </w:rPr>
        <w:t xml:space="preserve"> precise</w:t>
      </w:r>
      <w:r w:rsidR="00CD5923" w:rsidRPr="00595441">
        <w:rPr>
          <w:rFonts w:asciiTheme="minorBidi" w:hAnsiTheme="minorBidi" w:cstheme="minorBidi"/>
          <w:sz w:val="20"/>
        </w:rPr>
        <w:t xml:space="preserve"> target</w:t>
      </w:r>
      <w:r w:rsidRPr="00595441">
        <w:rPr>
          <w:rFonts w:asciiTheme="minorBidi" w:hAnsiTheme="minorBidi" w:cstheme="minorBidi"/>
          <w:sz w:val="20"/>
        </w:rPr>
        <w:t xml:space="preserve"> in terms of controlling hyperglycaemia, here there will be a need to show that HbA1c -as a major marker for diabetes control- of lower than &lt;7% would prevent and/or delay the progression to end stage renal disease. The primary end points will be monitored until we reach to a certain number of events that will be specified in the statistical analysis plan</w:t>
      </w:r>
      <w:r w:rsidR="001026C5" w:rsidRPr="00595441">
        <w:rPr>
          <w:rFonts w:asciiTheme="minorBidi" w:hAnsiTheme="minorBidi" w:cstheme="minorBidi"/>
          <w:sz w:val="20"/>
        </w:rPr>
        <w:t>, in other words, this is an event driven study</w:t>
      </w:r>
      <w:r w:rsidRPr="00595441">
        <w:rPr>
          <w:rFonts w:asciiTheme="minorBidi" w:hAnsiTheme="minorBidi" w:cstheme="minorBidi"/>
          <w:sz w:val="20"/>
        </w:rPr>
        <w:t>.</w:t>
      </w:r>
    </w:p>
    <w:p w14:paraId="34D25D48" w14:textId="00CBD669" w:rsidR="000B45C6" w:rsidRPr="00595441" w:rsidRDefault="000B45C6" w:rsidP="000B45C6">
      <w:pPr>
        <w:spacing w:after="240"/>
        <w:rPr>
          <w:rFonts w:asciiTheme="minorBidi" w:hAnsiTheme="minorBidi" w:cstheme="minorBidi"/>
          <w:sz w:val="20"/>
        </w:rPr>
      </w:pPr>
      <w:r w:rsidRPr="00595441">
        <w:rPr>
          <w:rFonts w:asciiTheme="minorBidi" w:hAnsiTheme="minorBidi" w:cstheme="minorBidi"/>
          <w:sz w:val="20"/>
        </w:rPr>
        <w:t>Additionally, the p</w:t>
      </w:r>
      <w:r w:rsidR="00B85819" w:rsidRPr="00595441">
        <w:rPr>
          <w:rFonts w:asciiTheme="minorBidi" w:hAnsiTheme="minorBidi" w:cstheme="minorBidi"/>
          <w:sz w:val="20"/>
        </w:rPr>
        <w:t>rotocol</w:t>
      </w:r>
      <w:r w:rsidRPr="00595441">
        <w:rPr>
          <w:rFonts w:asciiTheme="minorBidi" w:hAnsiTheme="minorBidi" w:cstheme="minorBidi"/>
          <w:sz w:val="20"/>
        </w:rPr>
        <w:t xml:space="preserve"> will study subgroups of patients having other comorbidities at the recruitment time e.g., hypertension.</w:t>
      </w:r>
    </w:p>
    <w:p w14:paraId="54A1439B" w14:textId="77777777" w:rsidR="000B45C6" w:rsidRPr="00595441" w:rsidRDefault="000B45C6" w:rsidP="000B45C6">
      <w:pPr>
        <w:spacing w:after="240"/>
        <w:rPr>
          <w:rStyle w:val="cf01"/>
          <w:rFonts w:asciiTheme="minorBidi" w:hAnsiTheme="minorBidi" w:cstheme="minorBidi"/>
          <w:b/>
          <w:bCs/>
          <w:sz w:val="22"/>
          <w:szCs w:val="22"/>
        </w:rPr>
      </w:pPr>
      <w:r w:rsidRPr="00595441">
        <w:rPr>
          <w:rFonts w:asciiTheme="minorBidi" w:hAnsiTheme="minorBidi" w:cstheme="minorBidi"/>
          <w:b/>
          <w:bCs/>
          <w:szCs w:val="22"/>
        </w:rPr>
        <w:t>Objectives:</w:t>
      </w:r>
    </w:p>
    <w:p w14:paraId="49AB6CF2" w14:textId="3CDEA99B" w:rsidR="000B45C6" w:rsidRPr="00595441" w:rsidRDefault="000B45C6" w:rsidP="000B45C6">
      <w:pPr>
        <w:pStyle w:val="ListParagraph"/>
        <w:numPr>
          <w:ilvl w:val="0"/>
          <w:numId w:val="1"/>
        </w:numPr>
        <w:spacing w:line="259" w:lineRule="auto"/>
        <w:rPr>
          <w:rStyle w:val="cf01"/>
          <w:rFonts w:asciiTheme="minorBidi" w:hAnsiTheme="minorBidi" w:cstheme="minorBidi"/>
          <w:b/>
          <w:bCs/>
          <w:sz w:val="20"/>
          <w:szCs w:val="20"/>
        </w:rPr>
      </w:pPr>
      <w:r w:rsidRPr="00595441">
        <w:rPr>
          <w:rFonts w:asciiTheme="minorBidi" w:hAnsiTheme="minorBidi"/>
          <w:sz w:val="20"/>
          <w:szCs w:val="20"/>
          <w:shd w:val="clear" w:color="auto" w:fill="FFFFFF"/>
        </w:rPr>
        <w:t xml:space="preserve">Identify the HbA1c </w:t>
      </w:r>
      <w:r w:rsidR="000B2650" w:rsidRPr="00595441">
        <w:rPr>
          <w:rFonts w:asciiTheme="minorBidi" w:hAnsiTheme="minorBidi"/>
          <w:sz w:val="20"/>
          <w:szCs w:val="20"/>
          <w:shd w:val="clear" w:color="auto" w:fill="FFFFFF"/>
        </w:rPr>
        <w:t>arm with the</w:t>
      </w:r>
      <w:r w:rsidRPr="00595441">
        <w:rPr>
          <w:rFonts w:asciiTheme="minorBidi" w:hAnsiTheme="minorBidi"/>
          <w:sz w:val="20"/>
          <w:szCs w:val="20"/>
          <w:shd w:val="clear" w:color="auto" w:fill="FFFFFF"/>
        </w:rPr>
        <w:t xml:space="preserve"> highest </w:t>
      </w:r>
      <w:r w:rsidR="000B2650" w:rsidRPr="00595441">
        <w:rPr>
          <w:rFonts w:asciiTheme="minorBidi" w:hAnsiTheme="minorBidi"/>
          <w:sz w:val="20"/>
          <w:szCs w:val="20"/>
          <w:shd w:val="clear" w:color="auto" w:fill="FFFFFF"/>
        </w:rPr>
        <w:t xml:space="preserve">mean </w:t>
      </w:r>
      <w:r w:rsidRPr="00595441">
        <w:rPr>
          <w:rFonts w:asciiTheme="minorBidi" w:hAnsiTheme="minorBidi"/>
          <w:sz w:val="20"/>
          <w:szCs w:val="20"/>
          <w:shd w:val="clear" w:color="auto" w:fill="FFFFFF"/>
        </w:rPr>
        <w:t>eGFR</w:t>
      </w:r>
      <w:r w:rsidR="001026C5" w:rsidRPr="00595441">
        <w:rPr>
          <w:rFonts w:asciiTheme="minorBidi" w:hAnsiTheme="minorBidi"/>
          <w:sz w:val="20"/>
          <w:szCs w:val="20"/>
          <w:shd w:val="clear" w:color="auto" w:fill="FFFFFF"/>
        </w:rPr>
        <w:t xml:space="preserve"> </w:t>
      </w:r>
      <w:r w:rsidR="000B2650" w:rsidRPr="00595441">
        <w:rPr>
          <w:rFonts w:asciiTheme="minorBidi" w:hAnsiTheme="minorBidi"/>
          <w:sz w:val="20"/>
          <w:szCs w:val="20"/>
          <w:shd w:val="clear" w:color="auto" w:fill="FFFFFF"/>
        </w:rPr>
        <w:t>at</w:t>
      </w:r>
      <w:r w:rsidR="001026C5" w:rsidRPr="00595441">
        <w:rPr>
          <w:rFonts w:asciiTheme="minorBidi" w:hAnsiTheme="minorBidi"/>
          <w:sz w:val="20"/>
          <w:szCs w:val="20"/>
          <w:shd w:val="clear" w:color="auto" w:fill="FFFFFF"/>
        </w:rPr>
        <w:t xml:space="preserve"> the end of the study</w:t>
      </w:r>
      <w:r w:rsidRPr="00595441">
        <w:rPr>
          <w:rFonts w:asciiTheme="minorBidi" w:hAnsiTheme="minorBidi"/>
          <w:sz w:val="20"/>
          <w:szCs w:val="20"/>
          <w:shd w:val="clear" w:color="auto" w:fill="FFFFFF"/>
        </w:rPr>
        <w:t>.</w:t>
      </w:r>
    </w:p>
    <w:p w14:paraId="507F6DC2" w14:textId="0F968830" w:rsidR="000B45C6" w:rsidRPr="00595441" w:rsidRDefault="00563E81" w:rsidP="000B45C6">
      <w:pPr>
        <w:pStyle w:val="ListParagraph"/>
        <w:numPr>
          <w:ilvl w:val="0"/>
          <w:numId w:val="1"/>
        </w:numPr>
        <w:spacing w:after="240"/>
        <w:rPr>
          <w:rStyle w:val="cf01"/>
          <w:rFonts w:asciiTheme="minorBidi" w:hAnsiTheme="minorBidi" w:cstheme="minorBidi"/>
          <w:b/>
          <w:bCs/>
          <w:sz w:val="20"/>
          <w:szCs w:val="20"/>
        </w:rPr>
      </w:pPr>
      <w:r w:rsidRPr="00595441">
        <w:rPr>
          <w:rStyle w:val="cf01"/>
          <w:rFonts w:asciiTheme="minorBidi" w:hAnsiTheme="minorBidi" w:cstheme="minorBidi"/>
          <w:sz w:val="20"/>
          <w:szCs w:val="20"/>
        </w:rPr>
        <w:t>To identify a well-defined HbA1c target to offset risk of DKD</w:t>
      </w:r>
      <w:r w:rsidR="000B45C6" w:rsidRPr="00595441">
        <w:rPr>
          <w:rStyle w:val="cf01"/>
          <w:rFonts w:asciiTheme="minorBidi" w:hAnsiTheme="minorBidi" w:cstheme="minorBidi"/>
          <w:sz w:val="20"/>
          <w:szCs w:val="20"/>
        </w:rPr>
        <w:t>.</w:t>
      </w:r>
    </w:p>
    <w:p w14:paraId="43A29041" w14:textId="77777777" w:rsidR="000B45C6" w:rsidRPr="00595441" w:rsidRDefault="000B45C6" w:rsidP="000B45C6">
      <w:pPr>
        <w:pStyle w:val="ListParagraph"/>
        <w:numPr>
          <w:ilvl w:val="0"/>
          <w:numId w:val="1"/>
        </w:numPr>
        <w:spacing w:after="240"/>
        <w:rPr>
          <w:rStyle w:val="cf01"/>
          <w:rFonts w:asciiTheme="minorBidi" w:hAnsiTheme="minorBidi" w:cstheme="minorBidi"/>
          <w:b/>
          <w:bCs/>
          <w:sz w:val="20"/>
          <w:szCs w:val="20"/>
        </w:rPr>
      </w:pPr>
      <w:r w:rsidRPr="00595441">
        <w:rPr>
          <w:rStyle w:val="cf01"/>
          <w:rFonts w:asciiTheme="minorBidi" w:hAnsiTheme="minorBidi" w:cstheme="minorBidi"/>
          <w:sz w:val="20"/>
          <w:szCs w:val="20"/>
        </w:rPr>
        <w:t xml:space="preserve">Collect data which relates HbA1c levels to kidney disease. </w:t>
      </w:r>
    </w:p>
    <w:p w14:paraId="55439EA0" w14:textId="68BD4E93" w:rsidR="000B45C6" w:rsidRPr="00595441" w:rsidRDefault="000B45C6" w:rsidP="00133626">
      <w:pPr>
        <w:pStyle w:val="BodyText"/>
        <w:rPr>
          <w:rFonts w:asciiTheme="minorBidi" w:hAnsiTheme="minorBidi" w:cstheme="minorBidi"/>
          <w:b/>
          <w:bCs/>
        </w:rPr>
      </w:pPr>
      <w:r w:rsidRPr="00595441">
        <w:rPr>
          <w:rFonts w:asciiTheme="minorBidi" w:hAnsiTheme="minorBidi" w:cstheme="minorBidi"/>
          <w:b/>
          <w:bCs/>
        </w:rPr>
        <w:t xml:space="preserve">Hypothesis: </w:t>
      </w:r>
    </w:p>
    <w:p w14:paraId="1E2951B8" w14:textId="149C6AD5"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As continuous control of hyperglycaemia is inversely proportional to progression to </w:t>
      </w:r>
      <w:r w:rsidR="0079085D" w:rsidRPr="00595441">
        <w:rPr>
          <w:rFonts w:asciiTheme="minorBidi" w:hAnsiTheme="minorBidi" w:cstheme="minorBidi"/>
          <w:sz w:val="20"/>
        </w:rPr>
        <w:t>ESRD</w:t>
      </w:r>
      <w:r w:rsidRPr="00595441">
        <w:rPr>
          <w:rFonts w:asciiTheme="minorBidi" w:hAnsiTheme="minorBidi" w:cstheme="minorBidi"/>
          <w:sz w:val="20"/>
        </w:rPr>
        <w:t>, it is expected that good glycaemic control will benefit the kidney, but the HbA1c target level is, as yet, unknown.</w:t>
      </w:r>
    </w:p>
    <w:p w14:paraId="3230C168" w14:textId="77777777" w:rsidR="000B45C6" w:rsidRPr="00595441" w:rsidRDefault="000B45C6" w:rsidP="000B45C6">
      <w:pPr>
        <w:pStyle w:val="BodyText"/>
        <w:spacing w:after="240"/>
        <w:rPr>
          <w:rFonts w:asciiTheme="minorBidi" w:hAnsiTheme="minorBidi" w:cstheme="minorBidi"/>
          <w:b/>
          <w:bCs/>
          <w:sz w:val="20"/>
        </w:rPr>
      </w:pPr>
      <w:r w:rsidRPr="00595441">
        <w:rPr>
          <w:rFonts w:asciiTheme="minorBidi" w:hAnsiTheme="minorBidi" w:cstheme="minorBidi"/>
          <w:sz w:val="20"/>
        </w:rPr>
        <w:t xml:space="preserve">The null hypothesis is that HbA1c level is thought to be around 7% to achieve the highest average of eGFR and kidney protection. So, at the end of the trial, eGFR will be similar in both groups.   </w:t>
      </w:r>
    </w:p>
    <w:p w14:paraId="13788A27" w14:textId="77777777" w:rsidR="000B45C6" w:rsidRPr="00595441" w:rsidRDefault="000B45C6" w:rsidP="00133626">
      <w:pPr>
        <w:spacing w:line="259" w:lineRule="auto"/>
        <w:rPr>
          <w:rFonts w:asciiTheme="minorBidi" w:hAnsiTheme="minorBidi" w:cstheme="minorBidi"/>
          <w:b/>
          <w:bCs/>
        </w:rPr>
      </w:pPr>
      <w:r w:rsidRPr="00595441">
        <w:rPr>
          <w:rFonts w:asciiTheme="minorBidi" w:hAnsiTheme="minorBidi" w:cstheme="minorBidi"/>
          <w:b/>
          <w:bCs/>
        </w:rPr>
        <w:t>Methodology:</w:t>
      </w:r>
    </w:p>
    <w:p w14:paraId="3D096E61" w14:textId="77777777" w:rsidR="00702D14" w:rsidRPr="00595441" w:rsidRDefault="00702D14" w:rsidP="00702D14">
      <w:pPr>
        <w:pStyle w:val="BodyText"/>
        <w:spacing w:after="240"/>
        <w:rPr>
          <w:rFonts w:asciiTheme="minorBidi" w:hAnsiTheme="minorBidi" w:cstheme="minorBidi"/>
          <w:b/>
          <w:bCs/>
        </w:rPr>
      </w:pPr>
      <w:r w:rsidRPr="00595441">
        <w:rPr>
          <w:rFonts w:asciiTheme="minorBidi" w:hAnsiTheme="minorBidi" w:cstheme="minorBidi"/>
          <w:b/>
          <w:bCs/>
        </w:rPr>
        <w:t>Study description:</w:t>
      </w:r>
    </w:p>
    <w:p w14:paraId="53B67D94" w14:textId="7326BBBF" w:rsidR="00A57848" w:rsidRPr="00595441" w:rsidRDefault="00702D14" w:rsidP="00702D14">
      <w:pPr>
        <w:pStyle w:val="BodyText"/>
        <w:spacing w:after="240"/>
        <w:rPr>
          <w:rFonts w:asciiTheme="minorBidi" w:hAnsiTheme="minorBidi" w:cstheme="minorBidi"/>
          <w:sz w:val="20"/>
        </w:rPr>
      </w:pPr>
      <w:r w:rsidRPr="00595441">
        <w:rPr>
          <w:rFonts w:asciiTheme="minorBidi" w:hAnsiTheme="minorBidi" w:cstheme="minorBidi"/>
          <w:sz w:val="20"/>
        </w:rPr>
        <w:t xml:space="preserve">The study will be an open label randomized clinical trial. It will also look at different therapeutic targets and </w:t>
      </w:r>
      <w:r w:rsidR="00A57848" w:rsidRPr="00595441">
        <w:rPr>
          <w:rFonts w:asciiTheme="minorBidi" w:hAnsiTheme="minorBidi" w:cstheme="minorBidi"/>
          <w:sz w:val="20"/>
        </w:rPr>
        <w:t xml:space="preserve">allow the drop out of not more than 10%, and termination of participation of any patient from the study at the discretion of the physician if they see it appropriate. The randomization will prevent any bias from happening and ensure fair allocation of eligible patients into different study arms. As the study is open label, the end points will be objective and not subjective, in other words, there will not be any patient’s preference or quality of life questionnaires, again to avoid potential bias.  </w:t>
      </w:r>
    </w:p>
    <w:p w14:paraId="1AFC8763" w14:textId="77777777" w:rsidR="00A57848" w:rsidRPr="00595441" w:rsidRDefault="00A57848" w:rsidP="00A57848">
      <w:pPr>
        <w:pStyle w:val="BodyText"/>
        <w:rPr>
          <w:rFonts w:asciiTheme="minorBidi" w:hAnsiTheme="minorBidi" w:cstheme="minorBidi"/>
          <w:b/>
          <w:bCs/>
        </w:rPr>
      </w:pPr>
      <w:r w:rsidRPr="00595441">
        <w:rPr>
          <w:rFonts w:asciiTheme="minorBidi" w:hAnsiTheme="minorBidi" w:cstheme="minorBidi"/>
          <w:b/>
          <w:bCs/>
        </w:rPr>
        <w:t>Study Population:</w:t>
      </w:r>
    </w:p>
    <w:p w14:paraId="64E294AA" w14:textId="77777777" w:rsidR="00A57848" w:rsidRPr="00595441" w:rsidRDefault="00A57848" w:rsidP="00A57848">
      <w:pPr>
        <w:pStyle w:val="BodyText"/>
        <w:spacing w:after="240"/>
        <w:rPr>
          <w:rFonts w:asciiTheme="minorBidi" w:hAnsiTheme="minorBidi" w:cstheme="minorBidi"/>
          <w:sz w:val="20"/>
        </w:rPr>
      </w:pPr>
      <w:r w:rsidRPr="00595441">
        <w:rPr>
          <w:rFonts w:asciiTheme="minorBidi" w:hAnsiTheme="minorBidi" w:cstheme="minorBidi"/>
          <w:i/>
          <w:iCs/>
          <w:sz w:val="20"/>
        </w:rPr>
        <w:t>Inclusion &amp; Exclusion criteria</w:t>
      </w:r>
      <w:r w:rsidRPr="00595441">
        <w:rPr>
          <w:rFonts w:asciiTheme="minorBidi" w:hAnsiTheme="minorBidi" w:cstheme="minorBidi"/>
          <w:sz w:val="20"/>
        </w:rPr>
        <w:t>:</w:t>
      </w:r>
    </w:p>
    <w:p w14:paraId="636E2455" w14:textId="77777777" w:rsidR="00A57848" w:rsidRPr="00595441" w:rsidRDefault="00A57848" w:rsidP="00A57848">
      <w:pPr>
        <w:pStyle w:val="BodyText"/>
        <w:rPr>
          <w:rFonts w:asciiTheme="minorBidi" w:hAnsiTheme="minorBidi" w:cstheme="minorBidi"/>
          <w:sz w:val="20"/>
        </w:rPr>
      </w:pPr>
      <w:r w:rsidRPr="00595441">
        <w:rPr>
          <w:rFonts w:asciiTheme="minorBidi" w:hAnsiTheme="minorBidi" w:cstheme="minorBidi"/>
          <w:sz w:val="20"/>
        </w:rPr>
        <w:t>Inclusion and exclusion criteria will be based on the hypothesis and objective of the study. Screening of patients will carefully investigate these criteria and make sure each successfully screened patient will meet the eligibility criteria as per the protocol and any deviation will lead to termination of patient participation and will not be counted in the analysis (see table 1).</w:t>
      </w:r>
    </w:p>
    <w:p w14:paraId="1374C446" w14:textId="77777777" w:rsidR="00A57848" w:rsidRPr="00595441" w:rsidRDefault="00A57848" w:rsidP="00A57848">
      <w:pPr>
        <w:pStyle w:val="BodyText"/>
        <w:rPr>
          <w:rFonts w:asciiTheme="minorBidi" w:hAnsiTheme="minorBidi" w:cstheme="minorBidi"/>
          <w:sz w:val="20"/>
        </w:rPr>
      </w:pPr>
    </w:p>
    <w:p w14:paraId="51A9E990" w14:textId="77777777" w:rsidR="00070F0D" w:rsidRPr="00595441" w:rsidRDefault="00070F0D" w:rsidP="00A57848">
      <w:pPr>
        <w:pStyle w:val="BodyText"/>
        <w:rPr>
          <w:rFonts w:asciiTheme="minorBidi" w:hAnsiTheme="minorBidi" w:cstheme="minorBidi"/>
          <w:sz w:val="20"/>
        </w:rPr>
      </w:pPr>
    </w:p>
    <w:tbl>
      <w:tblPr>
        <w:tblStyle w:val="TableGrid"/>
        <w:tblW w:w="0" w:type="auto"/>
        <w:tblLook w:val="04A0" w:firstRow="1" w:lastRow="0" w:firstColumn="1" w:lastColumn="0" w:noHBand="0" w:noVBand="1"/>
      </w:tblPr>
      <w:tblGrid>
        <w:gridCol w:w="4700"/>
        <w:gridCol w:w="4694"/>
      </w:tblGrid>
      <w:tr w:rsidR="00A57848" w:rsidRPr="00595441" w14:paraId="17232657" w14:textId="77777777" w:rsidTr="00CD24CA">
        <w:trPr>
          <w:trHeight w:val="471"/>
        </w:trPr>
        <w:tc>
          <w:tcPr>
            <w:tcW w:w="4810" w:type="dxa"/>
          </w:tcPr>
          <w:p w14:paraId="019A5A6B" w14:textId="77777777" w:rsidR="00A57848" w:rsidRPr="00595441" w:rsidRDefault="00A57848" w:rsidP="00CD24CA">
            <w:pPr>
              <w:pStyle w:val="BodyText"/>
              <w:jc w:val="center"/>
              <w:rPr>
                <w:rFonts w:asciiTheme="minorBidi" w:hAnsiTheme="minorBidi" w:cstheme="minorBidi"/>
                <w:b/>
                <w:bCs/>
                <w:szCs w:val="22"/>
              </w:rPr>
            </w:pPr>
            <w:r w:rsidRPr="00595441">
              <w:rPr>
                <w:rFonts w:asciiTheme="minorBidi" w:hAnsiTheme="minorBidi" w:cstheme="minorBidi"/>
                <w:b/>
                <w:bCs/>
                <w:i/>
                <w:iCs/>
                <w:szCs w:val="22"/>
              </w:rPr>
              <w:t>Inclusion Criteria</w:t>
            </w:r>
          </w:p>
        </w:tc>
        <w:tc>
          <w:tcPr>
            <w:tcW w:w="4810" w:type="dxa"/>
          </w:tcPr>
          <w:p w14:paraId="198B7C10" w14:textId="77777777" w:rsidR="00A57848" w:rsidRPr="00595441" w:rsidRDefault="00A57848" w:rsidP="00CD24CA">
            <w:pPr>
              <w:pStyle w:val="BodyText"/>
              <w:jc w:val="center"/>
              <w:rPr>
                <w:rFonts w:asciiTheme="minorBidi" w:hAnsiTheme="minorBidi" w:cstheme="minorBidi"/>
                <w:b/>
                <w:bCs/>
                <w:sz w:val="20"/>
              </w:rPr>
            </w:pPr>
            <w:r w:rsidRPr="00595441">
              <w:rPr>
                <w:rFonts w:asciiTheme="minorBidi" w:hAnsiTheme="minorBidi" w:cstheme="minorBidi"/>
                <w:b/>
                <w:bCs/>
                <w:i/>
                <w:iCs/>
                <w:sz w:val="20"/>
              </w:rPr>
              <w:t>Exclusion Criteria</w:t>
            </w:r>
          </w:p>
        </w:tc>
      </w:tr>
      <w:tr w:rsidR="00A57848" w:rsidRPr="00595441" w14:paraId="4061A724" w14:textId="77777777" w:rsidTr="00CD24CA">
        <w:tc>
          <w:tcPr>
            <w:tcW w:w="4810" w:type="dxa"/>
          </w:tcPr>
          <w:p w14:paraId="3A82A33F"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lastRenderedPageBreak/>
              <w:t>Patients with longstanding diabetes &gt;10 years (with or without hypertension) will be recruited.</w:t>
            </w:r>
          </w:p>
        </w:tc>
        <w:tc>
          <w:tcPr>
            <w:tcW w:w="4810" w:type="dxa"/>
          </w:tcPr>
          <w:p w14:paraId="40BD7C98" w14:textId="77777777" w:rsidR="00A57848" w:rsidRPr="00595441" w:rsidRDefault="00A57848" w:rsidP="00CD24CA">
            <w:pPr>
              <w:pStyle w:val="BodyText"/>
              <w:numPr>
                <w:ilvl w:val="0"/>
                <w:numId w:val="3"/>
              </w:numPr>
              <w:rPr>
                <w:rFonts w:asciiTheme="minorBidi" w:hAnsiTheme="minorBidi" w:cstheme="minorBidi"/>
                <w:sz w:val="20"/>
              </w:rPr>
            </w:pPr>
            <w:r w:rsidRPr="00595441">
              <w:rPr>
                <w:rFonts w:asciiTheme="minorBidi" w:hAnsiTheme="minorBidi" w:cstheme="minorBidi"/>
                <w:sz w:val="20"/>
              </w:rPr>
              <w:t>Patients who are participating in another clinical trials, currently or in the past 90 days.</w:t>
            </w:r>
          </w:p>
        </w:tc>
      </w:tr>
      <w:tr w:rsidR="00A57848" w:rsidRPr="00595441" w14:paraId="3A199506" w14:textId="77777777" w:rsidTr="00CD24CA">
        <w:tc>
          <w:tcPr>
            <w:tcW w:w="4810" w:type="dxa"/>
          </w:tcPr>
          <w:p w14:paraId="7D55D456"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Age between 40 - 65 years old. </w:t>
            </w:r>
          </w:p>
        </w:tc>
        <w:tc>
          <w:tcPr>
            <w:tcW w:w="4810" w:type="dxa"/>
          </w:tcPr>
          <w:p w14:paraId="60BFD34A"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Patients with history of coronary artery disease. </w:t>
            </w:r>
          </w:p>
        </w:tc>
      </w:tr>
      <w:tr w:rsidR="00A57848" w:rsidRPr="00595441" w14:paraId="39F572EB" w14:textId="77777777" w:rsidTr="00CD24CA">
        <w:tc>
          <w:tcPr>
            <w:tcW w:w="4810" w:type="dxa"/>
          </w:tcPr>
          <w:p w14:paraId="0276EA8A"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Patients on two or three types of medications and with HbA1c of &gt;8%. </w:t>
            </w:r>
          </w:p>
        </w:tc>
        <w:tc>
          <w:tcPr>
            <w:tcW w:w="4810" w:type="dxa"/>
          </w:tcPr>
          <w:p w14:paraId="27105E11"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Previous incident of diabetic kidney disease.</w:t>
            </w:r>
          </w:p>
        </w:tc>
      </w:tr>
      <w:tr w:rsidR="00A57848" w:rsidRPr="00595441" w14:paraId="523C202F" w14:textId="77777777" w:rsidTr="00CD24CA">
        <w:tc>
          <w:tcPr>
            <w:tcW w:w="4810" w:type="dxa"/>
          </w:tcPr>
          <w:p w14:paraId="18466974"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Recruitment from different countries in the Middle East. </w:t>
            </w:r>
          </w:p>
        </w:tc>
        <w:tc>
          <w:tcPr>
            <w:tcW w:w="4810" w:type="dxa"/>
          </w:tcPr>
          <w:p w14:paraId="604856F0"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Previous incident of strokes or Transient Ischaemic Attacks.</w:t>
            </w:r>
          </w:p>
        </w:tc>
      </w:tr>
      <w:tr w:rsidR="00A57848" w:rsidRPr="00595441" w14:paraId="071FBD2D" w14:textId="77777777" w:rsidTr="00CD24CA">
        <w:tc>
          <w:tcPr>
            <w:tcW w:w="4810" w:type="dxa"/>
          </w:tcPr>
          <w:p w14:paraId="67AB9399" w14:textId="77777777" w:rsidR="00A57848" w:rsidRPr="00595441" w:rsidRDefault="00A57848" w:rsidP="00CD24CA">
            <w:pPr>
              <w:pStyle w:val="BodyText"/>
              <w:numPr>
                <w:ilvl w:val="0"/>
                <w:numId w:val="3"/>
              </w:numPr>
              <w:rPr>
                <w:rFonts w:asciiTheme="minorBidi" w:hAnsiTheme="minorBidi" w:cstheme="minorBidi"/>
                <w:sz w:val="20"/>
              </w:rPr>
            </w:pPr>
            <w:r w:rsidRPr="00595441">
              <w:rPr>
                <w:rFonts w:asciiTheme="minorBidi" w:hAnsiTheme="minorBidi" w:cstheme="minorBidi"/>
                <w:sz w:val="20"/>
              </w:rPr>
              <w:t>eGFR should be &gt;60 ml/min/1.73 m2 at screening time</w:t>
            </w:r>
          </w:p>
        </w:tc>
        <w:tc>
          <w:tcPr>
            <w:tcW w:w="4810" w:type="dxa"/>
          </w:tcPr>
          <w:p w14:paraId="3C4A3D55" w14:textId="77777777" w:rsidR="00A57848" w:rsidRPr="00595441" w:rsidRDefault="00A57848" w:rsidP="00CD24CA">
            <w:pPr>
              <w:pStyle w:val="BodyText"/>
              <w:numPr>
                <w:ilvl w:val="0"/>
                <w:numId w:val="3"/>
              </w:numPr>
              <w:ind w:right="0"/>
              <w:rPr>
                <w:rFonts w:asciiTheme="minorBidi" w:hAnsiTheme="minorBidi" w:cstheme="minorBidi"/>
                <w:b/>
                <w:bCs/>
                <w:sz w:val="20"/>
              </w:rPr>
            </w:pPr>
            <w:r w:rsidRPr="00595441">
              <w:rPr>
                <w:rFonts w:asciiTheme="minorBidi" w:hAnsiTheme="minorBidi" w:cstheme="minorBidi"/>
                <w:sz w:val="20"/>
              </w:rPr>
              <w:t xml:space="preserve">Any foot disorders related to their current diabetes. </w:t>
            </w:r>
          </w:p>
        </w:tc>
      </w:tr>
    </w:tbl>
    <w:p w14:paraId="67A90BE9" w14:textId="77777777" w:rsidR="00A57848" w:rsidRPr="00595441" w:rsidRDefault="00A57848" w:rsidP="00A57848">
      <w:pPr>
        <w:pStyle w:val="BodyText"/>
        <w:spacing w:after="240"/>
        <w:rPr>
          <w:rFonts w:asciiTheme="minorBidi" w:hAnsiTheme="minorBidi" w:cstheme="minorBidi"/>
          <w:b/>
          <w:bCs/>
          <w:sz w:val="18"/>
          <w:szCs w:val="18"/>
        </w:rPr>
      </w:pPr>
      <w:r w:rsidRPr="00595441">
        <w:rPr>
          <w:rFonts w:asciiTheme="minorBidi" w:hAnsiTheme="minorBidi" w:cstheme="minorBidi"/>
          <w:b/>
          <w:bCs/>
          <w:sz w:val="18"/>
          <w:szCs w:val="18"/>
        </w:rPr>
        <w:t xml:space="preserve">Table 1: </w:t>
      </w:r>
      <w:r w:rsidRPr="00595441">
        <w:rPr>
          <w:rFonts w:asciiTheme="minorBidi" w:hAnsiTheme="minorBidi" w:cstheme="minorBidi"/>
          <w:sz w:val="18"/>
          <w:szCs w:val="18"/>
        </w:rPr>
        <w:t>Inclusion &amp; Exclusion criteria</w:t>
      </w:r>
    </w:p>
    <w:p w14:paraId="5526E81E" w14:textId="77777777" w:rsidR="00070F0D" w:rsidRPr="00595441" w:rsidRDefault="00702D14" w:rsidP="00070F0D">
      <w:pPr>
        <w:spacing w:line="259" w:lineRule="auto"/>
        <w:rPr>
          <w:rFonts w:asciiTheme="minorBidi" w:hAnsiTheme="minorBidi" w:cstheme="minorBidi"/>
          <w:b/>
          <w:bCs/>
        </w:rPr>
      </w:pPr>
      <w:r w:rsidRPr="00595441">
        <w:rPr>
          <w:rFonts w:asciiTheme="minorBidi" w:hAnsiTheme="minorBidi" w:cstheme="minorBidi"/>
          <w:b/>
          <w:bCs/>
        </w:rPr>
        <w:t>Intervention and Analysis:</w:t>
      </w:r>
    </w:p>
    <w:p w14:paraId="74509D7B" w14:textId="390A247F" w:rsidR="00A57848" w:rsidRPr="00595441" w:rsidRDefault="00702D14" w:rsidP="00070F0D">
      <w:pPr>
        <w:spacing w:after="240" w:line="259" w:lineRule="auto"/>
        <w:rPr>
          <w:rFonts w:asciiTheme="minorBidi" w:hAnsiTheme="minorBidi" w:cstheme="minorBidi"/>
          <w:b/>
          <w:bCs/>
        </w:rPr>
      </w:pPr>
      <w:r w:rsidRPr="00595441">
        <w:rPr>
          <w:rFonts w:asciiTheme="minorBidi" w:hAnsiTheme="minorBidi" w:cstheme="minorBidi"/>
          <w:sz w:val="20"/>
        </w:rPr>
        <w:t>Patients who meet eligibility criteria of the study will be randomly and equally assigned to one of the patient arms demonstrated above. The study will initiate therapy with the same regimen in all groups, then adjust the doses and/or add more medications according to the planned goal of control of HbA1c as per the study design below. (see figure 3)</w:t>
      </w:r>
    </w:p>
    <w:p w14:paraId="6DD9B252" w14:textId="0CA67605" w:rsidR="000B45C6" w:rsidRPr="00595441" w:rsidRDefault="000B45C6" w:rsidP="007B1490">
      <w:pPr>
        <w:spacing w:line="259" w:lineRule="auto"/>
        <w:rPr>
          <w:rFonts w:asciiTheme="minorBidi" w:hAnsiTheme="minorBidi" w:cstheme="minorBidi"/>
          <w:b/>
          <w:bCs/>
          <w:sz w:val="20"/>
        </w:rPr>
      </w:pPr>
      <w:r w:rsidRPr="00595441">
        <w:rPr>
          <w:rFonts w:asciiTheme="minorBidi" w:hAnsiTheme="minorBidi" w:cstheme="minorBidi"/>
          <w:sz w:val="20"/>
        </w:rPr>
        <w:t>An event driven study with open label randomization to four treatment arms, as follows.</w:t>
      </w:r>
    </w:p>
    <w:p w14:paraId="539ADC03" w14:textId="77777777" w:rsidR="000B45C6" w:rsidRPr="00595441" w:rsidRDefault="000B45C6" w:rsidP="000B45C6">
      <w:pPr>
        <w:pStyle w:val="ListParagraph"/>
        <w:numPr>
          <w:ilvl w:val="0"/>
          <w:numId w:val="2"/>
        </w:numPr>
        <w:spacing w:line="259" w:lineRule="auto"/>
        <w:rPr>
          <w:rFonts w:asciiTheme="minorBidi" w:hAnsiTheme="minorBidi"/>
          <w:b/>
          <w:bCs/>
          <w:sz w:val="20"/>
          <w:szCs w:val="20"/>
        </w:rPr>
      </w:pPr>
      <w:r w:rsidRPr="00595441">
        <w:rPr>
          <w:rFonts w:asciiTheme="minorBidi" w:hAnsiTheme="minorBidi"/>
          <w:sz w:val="20"/>
          <w:szCs w:val="20"/>
        </w:rPr>
        <w:t>Study arm 1a: Patients with T2DM alone and A1c target of 6.5% - 7%</w:t>
      </w:r>
    </w:p>
    <w:p w14:paraId="76F75267" w14:textId="77777777" w:rsidR="000B45C6" w:rsidRPr="00595441" w:rsidRDefault="000B45C6" w:rsidP="000B45C6">
      <w:pPr>
        <w:pStyle w:val="ListParagraph"/>
        <w:numPr>
          <w:ilvl w:val="0"/>
          <w:numId w:val="2"/>
        </w:numPr>
        <w:spacing w:line="259" w:lineRule="auto"/>
        <w:rPr>
          <w:rFonts w:asciiTheme="minorBidi" w:hAnsiTheme="minorBidi"/>
          <w:b/>
          <w:bCs/>
          <w:sz w:val="20"/>
          <w:szCs w:val="20"/>
        </w:rPr>
      </w:pPr>
      <w:r w:rsidRPr="00595441">
        <w:rPr>
          <w:rFonts w:asciiTheme="minorBidi" w:hAnsiTheme="minorBidi"/>
          <w:sz w:val="20"/>
          <w:szCs w:val="20"/>
        </w:rPr>
        <w:t>Study arm 1b: Patients with combined T2DM &amp; Hypertension and A1c target of 6.5% - 7%</w:t>
      </w:r>
    </w:p>
    <w:p w14:paraId="0921282A" w14:textId="77777777" w:rsidR="000B45C6" w:rsidRPr="00595441" w:rsidRDefault="000B45C6" w:rsidP="000B45C6">
      <w:pPr>
        <w:pStyle w:val="ListParagraph"/>
        <w:numPr>
          <w:ilvl w:val="0"/>
          <w:numId w:val="2"/>
        </w:numPr>
        <w:spacing w:line="259" w:lineRule="auto"/>
        <w:rPr>
          <w:rFonts w:asciiTheme="minorBidi" w:hAnsiTheme="minorBidi"/>
          <w:b/>
          <w:bCs/>
          <w:sz w:val="20"/>
          <w:szCs w:val="20"/>
        </w:rPr>
      </w:pPr>
      <w:r w:rsidRPr="00595441">
        <w:rPr>
          <w:rFonts w:asciiTheme="minorBidi" w:hAnsiTheme="minorBidi"/>
          <w:sz w:val="20"/>
          <w:szCs w:val="20"/>
        </w:rPr>
        <w:t>Study arm 2a: Patients with T2DM alone and A1c target of 7% - 7.5%</w:t>
      </w:r>
    </w:p>
    <w:p w14:paraId="580E98B7" w14:textId="77777777" w:rsidR="000B45C6" w:rsidRPr="00595441" w:rsidRDefault="000B45C6" w:rsidP="000B45C6">
      <w:pPr>
        <w:pStyle w:val="ListParagraph"/>
        <w:numPr>
          <w:ilvl w:val="0"/>
          <w:numId w:val="2"/>
        </w:numPr>
        <w:spacing w:after="240" w:line="259" w:lineRule="auto"/>
        <w:rPr>
          <w:rFonts w:asciiTheme="minorBidi" w:hAnsiTheme="minorBidi"/>
          <w:b/>
          <w:bCs/>
          <w:sz w:val="20"/>
          <w:szCs w:val="20"/>
        </w:rPr>
      </w:pPr>
      <w:r w:rsidRPr="00595441">
        <w:rPr>
          <w:rFonts w:asciiTheme="minorBidi" w:hAnsiTheme="minorBidi"/>
          <w:sz w:val="20"/>
          <w:szCs w:val="20"/>
        </w:rPr>
        <w:t>Study arm 2b: Patients with combined T2DM &amp; Hypertension and A1c target of 7% - 7.5%</w:t>
      </w:r>
    </w:p>
    <w:p w14:paraId="5C37EDEF" w14:textId="54B1F7F3"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Randomization will be prepared in a central store as sealed envelopes, then eligible patients will be assigned randomly using Interactive Voice Response System.  </w:t>
      </w:r>
    </w:p>
    <w:p w14:paraId="6AB1AFA9" w14:textId="77777777" w:rsidR="00BB4B91" w:rsidRPr="00595441" w:rsidRDefault="00BB4B91" w:rsidP="00070F0D">
      <w:pPr>
        <w:pStyle w:val="BodyText"/>
        <w:rPr>
          <w:rFonts w:asciiTheme="minorBidi" w:hAnsiTheme="minorBidi" w:cstheme="minorBidi"/>
          <w:b/>
          <w:bCs/>
        </w:rPr>
      </w:pPr>
      <w:r w:rsidRPr="00595441">
        <w:rPr>
          <w:rFonts w:asciiTheme="minorBidi" w:hAnsiTheme="minorBidi" w:cstheme="minorBidi"/>
          <w:b/>
          <w:bCs/>
        </w:rPr>
        <w:t>Study design:</w:t>
      </w:r>
    </w:p>
    <w:p w14:paraId="55A65FAF" w14:textId="71FB9000" w:rsidR="00BB4B91" w:rsidRPr="00595441" w:rsidRDefault="00BB4B91" w:rsidP="00BB4B91">
      <w:pPr>
        <w:pStyle w:val="BodyText"/>
        <w:spacing w:after="240"/>
        <w:rPr>
          <w:rFonts w:asciiTheme="minorBidi" w:hAnsiTheme="minorBidi" w:cstheme="minorBidi"/>
          <w:b/>
          <w:bCs/>
          <w:sz w:val="20"/>
        </w:rPr>
      </w:pPr>
      <w:r w:rsidRPr="00595441">
        <w:rPr>
          <w:rFonts w:asciiTheme="minorBidi" w:hAnsiTheme="minorBidi" w:cstheme="minorBidi"/>
          <w:sz w:val="20"/>
        </w:rPr>
        <w:t>Patients will be assigned to one of several study arms, according to the intensity of management of hyperglycaemia, in each arm we should allow doses to increase every 3 months until we reach the desired HbA1c target for each arm, then once the HbA1c target is achieved, the latest medications and doses used will be maintained until progression to end stage renal disease. The main 2 study arms according to the target HbA1c will be 1) Between 6.5% - 7.%. 2) Between 7% - 7.5%, in addition to two more arms for patients who have also high blood pressure at the baseline, as other comorbidity with T2DM. HbA1c will continue to be monitored every 6 months until the end of the study.</w:t>
      </w:r>
      <w:r w:rsidRPr="00595441">
        <w:rPr>
          <w:rFonts w:asciiTheme="minorBidi" w:hAnsiTheme="minorBidi" w:cstheme="minorBidi"/>
          <w:b/>
          <w:bCs/>
          <w:sz w:val="20"/>
        </w:rPr>
        <w:t xml:space="preserve"> </w:t>
      </w:r>
    </w:p>
    <w:p w14:paraId="501CB38C" w14:textId="15078B60" w:rsidR="00391B75" w:rsidRPr="00595441" w:rsidRDefault="000F6BFD" w:rsidP="00BB4B91">
      <w:pPr>
        <w:pStyle w:val="BodyText"/>
        <w:spacing w:after="240"/>
        <w:rPr>
          <w:rFonts w:asciiTheme="minorBidi" w:hAnsiTheme="minorBidi" w:cstheme="minorBidi"/>
          <w:b/>
          <w:bCs/>
          <w:sz w:val="20"/>
        </w:rPr>
      </w:pPr>
      <w:r w:rsidRPr="00595441">
        <w:rPr>
          <w:rFonts w:asciiTheme="minorBidi" w:hAnsiTheme="minorBidi" w:cstheme="minorBidi"/>
          <w:b/>
          <w:bCs/>
          <w:noProof/>
          <w:sz w:val="20"/>
        </w:rPr>
        <w:drawing>
          <wp:inline distT="0" distB="0" distL="0" distR="0" wp14:anchorId="5D7A9C18" wp14:editId="604B2A62">
            <wp:extent cx="5971540" cy="2158365"/>
            <wp:effectExtent l="0" t="0" r="0" b="0"/>
            <wp:docPr id="1115044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44977" name=""/>
                    <pic:cNvPicPr/>
                  </pic:nvPicPr>
                  <pic:blipFill>
                    <a:blip r:embed="rId13"/>
                    <a:stretch>
                      <a:fillRect/>
                    </a:stretch>
                  </pic:blipFill>
                  <pic:spPr>
                    <a:xfrm>
                      <a:off x="0" y="0"/>
                      <a:ext cx="5971540" cy="2158365"/>
                    </a:xfrm>
                    <a:prstGeom prst="rect">
                      <a:avLst/>
                    </a:prstGeom>
                  </pic:spPr>
                </pic:pic>
              </a:graphicData>
            </a:graphic>
          </wp:inline>
        </w:drawing>
      </w:r>
    </w:p>
    <w:p w14:paraId="6E62F44D" w14:textId="0D3D1278" w:rsidR="00FE21B5" w:rsidRDefault="00FE21B5" w:rsidP="00FE21B5">
      <w:pPr>
        <w:pStyle w:val="BodyText"/>
        <w:spacing w:after="240"/>
        <w:rPr>
          <w:rFonts w:asciiTheme="minorBidi" w:hAnsiTheme="minorBidi" w:cstheme="minorBidi"/>
          <w:sz w:val="18"/>
          <w:szCs w:val="18"/>
        </w:rPr>
      </w:pPr>
      <w:r w:rsidRPr="00595441">
        <w:rPr>
          <w:rFonts w:asciiTheme="minorBidi" w:hAnsiTheme="minorBidi" w:cstheme="minorBidi"/>
          <w:b/>
          <w:bCs/>
          <w:sz w:val="18"/>
          <w:szCs w:val="18"/>
        </w:rPr>
        <w:lastRenderedPageBreak/>
        <w:t xml:space="preserve">Figure </w:t>
      </w:r>
      <w:r w:rsidR="007C26A4" w:rsidRPr="00595441">
        <w:rPr>
          <w:rFonts w:asciiTheme="minorBidi" w:hAnsiTheme="minorBidi" w:cstheme="minorBidi"/>
          <w:b/>
          <w:bCs/>
          <w:sz w:val="18"/>
          <w:szCs w:val="18"/>
        </w:rPr>
        <w:t>3</w:t>
      </w:r>
      <w:r w:rsidRPr="00595441">
        <w:rPr>
          <w:rFonts w:asciiTheme="minorBidi" w:hAnsiTheme="minorBidi" w:cstheme="minorBidi"/>
          <w:b/>
          <w:bCs/>
          <w:sz w:val="18"/>
          <w:szCs w:val="18"/>
        </w:rPr>
        <w:t>:</w:t>
      </w:r>
      <w:r w:rsidRPr="00595441">
        <w:rPr>
          <w:rFonts w:asciiTheme="minorBidi" w:hAnsiTheme="minorBidi" w:cstheme="minorBidi"/>
          <w:sz w:val="18"/>
          <w:szCs w:val="18"/>
        </w:rPr>
        <w:t xml:space="preserve">  this diagram illustrates the study design and the randomization to each arm </w:t>
      </w:r>
      <w:r w:rsidR="005420A3" w:rsidRPr="00595441">
        <w:rPr>
          <w:rFonts w:asciiTheme="minorBidi" w:hAnsiTheme="minorBidi" w:cstheme="minorBidi"/>
          <w:sz w:val="18"/>
          <w:szCs w:val="18"/>
        </w:rPr>
        <w:t>of the study</w:t>
      </w:r>
      <w:r w:rsidRPr="00595441">
        <w:rPr>
          <w:rFonts w:asciiTheme="minorBidi" w:hAnsiTheme="minorBidi" w:cstheme="minorBidi"/>
          <w:sz w:val="18"/>
          <w:szCs w:val="18"/>
        </w:rPr>
        <w:t>. Also, it show</w:t>
      </w:r>
      <w:r w:rsidR="007C26A4" w:rsidRPr="00595441">
        <w:rPr>
          <w:rFonts w:asciiTheme="minorBidi" w:hAnsiTheme="minorBidi" w:cstheme="minorBidi"/>
          <w:sz w:val="18"/>
          <w:szCs w:val="18"/>
        </w:rPr>
        <w:t>s</w:t>
      </w:r>
      <w:r w:rsidRPr="00595441">
        <w:rPr>
          <w:rFonts w:asciiTheme="minorBidi" w:hAnsiTheme="minorBidi" w:cstheme="minorBidi"/>
          <w:sz w:val="18"/>
          <w:szCs w:val="18"/>
        </w:rPr>
        <w:t xml:space="preserve"> the two subcategories of each arm (with or without baseline hypertension), until each patient group reaches their desired or planned HbA1c target. </w:t>
      </w:r>
      <w:r w:rsidR="000A5D0A" w:rsidRPr="00595441">
        <w:rPr>
          <w:rFonts w:asciiTheme="minorBidi" w:hAnsiTheme="minorBidi" w:cstheme="minorBidi"/>
          <w:sz w:val="18"/>
          <w:szCs w:val="18"/>
        </w:rPr>
        <w:t xml:space="preserve"> </w:t>
      </w:r>
    </w:p>
    <w:p w14:paraId="5DA6918F" w14:textId="77777777" w:rsidR="00C743D9" w:rsidRPr="0029363A" w:rsidRDefault="00C743D9" w:rsidP="00FE21B5">
      <w:pPr>
        <w:pStyle w:val="BodyText"/>
        <w:spacing w:after="240"/>
        <w:rPr>
          <w:rFonts w:asciiTheme="minorBidi" w:hAnsiTheme="minorBidi" w:cstheme="minorBidi"/>
          <w:b/>
          <w:bCs/>
          <w:szCs w:val="22"/>
        </w:rPr>
      </w:pPr>
    </w:p>
    <w:p w14:paraId="33813360" w14:textId="1B7F67B7" w:rsidR="000B45C6" w:rsidRPr="00595441" w:rsidRDefault="000B45C6" w:rsidP="000B369F">
      <w:pPr>
        <w:pStyle w:val="BodyText"/>
        <w:spacing w:after="240"/>
        <w:rPr>
          <w:rFonts w:asciiTheme="minorBidi" w:hAnsiTheme="minorBidi" w:cstheme="minorBidi"/>
          <w:b/>
          <w:bCs/>
          <w:lang w:val="en-US"/>
        </w:rPr>
      </w:pPr>
      <w:r w:rsidRPr="00595441">
        <w:rPr>
          <w:rFonts w:asciiTheme="minorBidi" w:hAnsiTheme="minorBidi" w:cstheme="minorBidi"/>
          <w:b/>
          <w:bCs/>
          <w:lang w:val="en-US"/>
        </w:rPr>
        <w:t xml:space="preserve">Suggested interventions: </w:t>
      </w:r>
    </w:p>
    <w:p w14:paraId="7E9CAF1B" w14:textId="069FD084" w:rsidR="000B45C6" w:rsidRPr="00595441" w:rsidRDefault="000B45C6" w:rsidP="00D859A9">
      <w:pPr>
        <w:pStyle w:val="BodyText"/>
        <w:numPr>
          <w:ilvl w:val="0"/>
          <w:numId w:val="4"/>
        </w:numPr>
        <w:ind w:right="0"/>
        <w:rPr>
          <w:rFonts w:asciiTheme="minorBidi" w:hAnsiTheme="minorBidi" w:cstheme="minorBidi"/>
          <w:b/>
          <w:bCs/>
          <w:sz w:val="20"/>
          <w:lang w:val="en-US"/>
        </w:rPr>
      </w:pPr>
      <w:r w:rsidRPr="00595441">
        <w:rPr>
          <w:rFonts w:asciiTheme="minorBidi" w:hAnsiTheme="minorBidi" w:cstheme="minorBidi"/>
          <w:sz w:val="20"/>
        </w:rPr>
        <w:t xml:space="preserve">Medications of study arm 1a: SGLT2i (Dapagliflozin 10mg) + </w:t>
      </w:r>
      <w:r w:rsidR="001A2695" w:rsidRPr="00595441">
        <w:rPr>
          <w:rFonts w:asciiTheme="minorBidi" w:hAnsiTheme="minorBidi" w:cstheme="minorBidi"/>
          <w:sz w:val="20"/>
        </w:rPr>
        <w:t xml:space="preserve">DPP4i </w:t>
      </w:r>
      <w:r w:rsidRPr="00595441">
        <w:rPr>
          <w:rFonts w:asciiTheme="minorBidi" w:hAnsiTheme="minorBidi" w:cstheme="minorBidi"/>
          <w:sz w:val="20"/>
        </w:rPr>
        <w:t>(Vildagliptin + metformin 50/1000 X2) + basal insulin (+/- GLP1 in</w:t>
      </w:r>
      <w:r w:rsidR="00E21307" w:rsidRPr="00595441">
        <w:rPr>
          <w:rFonts w:asciiTheme="minorBidi" w:hAnsiTheme="minorBidi" w:cstheme="minorBidi"/>
          <w:sz w:val="20"/>
        </w:rPr>
        <w:t xml:space="preserve"> </w:t>
      </w:r>
      <w:r w:rsidR="00FC45A5" w:rsidRPr="00595441">
        <w:rPr>
          <w:rFonts w:asciiTheme="minorBidi" w:hAnsiTheme="minorBidi" w:cstheme="minorBidi"/>
          <w:sz w:val="20"/>
        </w:rPr>
        <w:t xml:space="preserve"> </w:t>
      </w:r>
      <w:r w:rsidR="005E437E" w:rsidRPr="00595441">
        <w:rPr>
          <w:rFonts w:asciiTheme="minorBidi" w:hAnsiTheme="minorBidi" w:cstheme="minorBidi"/>
          <w:sz w:val="20"/>
        </w:rPr>
        <w:t xml:space="preserve"> </w:t>
      </w:r>
      <w:proofErr w:type="spellStart"/>
      <w:r w:rsidRPr="00595441">
        <w:rPr>
          <w:rFonts w:asciiTheme="minorBidi" w:hAnsiTheme="minorBidi" w:cstheme="minorBidi"/>
          <w:sz w:val="20"/>
        </w:rPr>
        <w:t>jection</w:t>
      </w:r>
      <w:proofErr w:type="spellEnd"/>
      <w:r w:rsidRPr="00595441">
        <w:rPr>
          <w:rFonts w:asciiTheme="minorBidi" w:hAnsiTheme="minorBidi" w:cstheme="minorBidi"/>
          <w:sz w:val="20"/>
        </w:rPr>
        <w:t>)</w:t>
      </w:r>
    </w:p>
    <w:p w14:paraId="5BF698B7" w14:textId="4441A8E3" w:rsidR="000B45C6" w:rsidRPr="00595441" w:rsidRDefault="000B45C6" w:rsidP="000B45C6">
      <w:pPr>
        <w:pStyle w:val="BodyText"/>
        <w:numPr>
          <w:ilvl w:val="0"/>
          <w:numId w:val="4"/>
        </w:numPr>
        <w:spacing w:before="120"/>
        <w:ind w:right="0"/>
        <w:rPr>
          <w:rFonts w:asciiTheme="minorBidi" w:hAnsiTheme="minorBidi" w:cstheme="minorBidi"/>
          <w:b/>
          <w:bCs/>
          <w:sz w:val="20"/>
          <w:lang w:val="en-US"/>
        </w:rPr>
      </w:pPr>
      <w:r w:rsidRPr="00595441">
        <w:rPr>
          <w:rFonts w:asciiTheme="minorBidi" w:hAnsiTheme="minorBidi" w:cstheme="minorBidi"/>
          <w:sz w:val="20"/>
        </w:rPr>
        <w:t xml:space="preserve">Medications of study arm 1b: SGLT2i (Dapagliflozin 10mg) + </w:t>
      </w:r>
      <w:r w:rsidR="001A2695" w:rsidRPr="00595441">
        <w:rPr>
          <w:rFonts w:asciiTheme="minorBidi" w:hAnsiTheme="minorBidi" w:cstheme="minorBidi"/>
          <w:sz w:val="20"/>
        </w:rPr>
        <w:t xml:space="preserve">DPP4i </w:t>
      </w:r>
      <w:r w:rsidRPr="00595441">
        <w:rPr>
          <w:rFonts w:asciiTheme="minorBidi" w:hAnsiTheme="minorBidi" w:cstheme="minorBidi"/>
          <w:sz w:val="20"/>
        </w:rPr>
        <w:t xml:space="preserve">(Vildagliptin + metformin 50/1000 X2) + basal insulin (+/- GLP1 injection) + </w:t>
      </w:r>
      <w:proofErr w:type="spellStart"/>
      <w:r w:rsidRPr="00595441">
        <w:rPr>
          <w:rFonts w:asciiTheme="minorBidi" w:hAnsiTheme="minorBidi" w:cstheme="minorBidi"/>
          <w:sz w:val="20"/>
        </w:rPr>
        <w:t>ACEi</w:t>
      </w:r>
      <w:proofErr w:type="spellEnd"/>
    </w:p>
    <w:p w14:paraId="1E4D92B4" w14:textId="71E37878" w:rsidR="000B45C6" w:rsidRPr="00595441" w:rsidRDefault="000B45C6" w:rsidP="000B45C6">
      <w:pPr>
        <w:pStyle w:val="BodyText"/>
        <w:numPr>
          <w:ilvl w:val="0"/>
          <w:numId w:val="4"/>
        </w:numPr>
        <w:spacing w:before="120"/>
        <w:ind w:right="0"/>
        <w:rPr>
          <w:rFonts w:asciiTheme="minorBidi" w:hAnsiTheme="minorBidi" w:cstheme="minorBidi"/>
          <w:b/>
          <w:bCs/>
          <w:sz w:val="20"/>
          <w:lang w:val="en-US"/>
        </w:rPr>
      </w:pPr>
      <w:r w:rsidRPr="00595441">
        <w:rPr>
          <w:rFonts w:asciiTheme="minorBidi" w:hAnsiTheme="minorBidi" w:cstheme="minorBidi"/>
          <w:sz w:val="20"/>
        </w:rPr>
        <w:t xml:space="preserve">Medications of study arm 2a: SGLT2i (Dapagliflozin 10mg) + </w:t>
      </w:r>
      <w:r w:rsidR="001A2695" w:rsidRPr="00595441">
        <w:rPr>
          <w:rFonts w:asciiTheme="minorBidi" w:hAnsiTheme="minorBidi" w:cstheme="minorBidi"/>
          <w:sz w:val="20"/>
        </w:rPr>
        <w:t xml:space="preserve">biguanide </w:t>
      </w:r>
      <w:r w:rsidRPr="00595441">
        <w:rPr>
          <w:rFonts w:asciiTheme="minorBidi" w:hAnsiTheme="minorBidi" w:cstheme="minorBidi"/>
          <w:sz w:val="20"/>
        </w:rPr>
        <w:t xml:space="preserve">(metformin 2gm/day) + basal insulin (+/- GLP1 injection or </w:t>
      </w:r>
      <w:proofErr w:type="spellStart"/>
      <w:r w:rsidRPr="00595441">
        <w:rPr>
          <w:rFonts w:asciiTheme="minorBidi" w:hAnsiTheme="minorBidi" w:cstheme="minorBidi"/>
          <w:sz w:val="20"/>
        </w:rPr>
        <w:t>Galvus</w:t>
      </w:r>
      <w:proofErr w:type="spellEnd"/>
      <w:r w:rsidRPr="00595441">
        <w:rPr>
          <w:rFonts w:asciiTheme="minorBidi" w:hAnsiTheme="minorBidi" w:cstheme="minorBidi"/>
          <w:sz w:val="20"/>
        </w:rPr>
        <w:t xml:space="preserve">) </w:t>
      </w:r>
    </w:p>
    <w:p w14:paraId="5AEDC784" w14:textId="5AF73C1A" w:rsidR="000B45C6" w:rsidRPr="00595441" w:rsidRDefault="000B45C6" w:rsidP="00C4295B">
      <w:pPr>
        <w:pStyle w:val="BodyText"/>
        <w:numPr>
          <w:ilvl w:val="0"/>
          <w:numId w:val="4"/>
        </w:numPr>
        <w:spacing w:before="120"/>
        <w:ind w:right="0"/>
        <w:rPr>
          <w:rFonts w:asciiTheme="minorBidi" w:hAnsiTheme="minorBidi" w:cstheme="minorBidi"/>
          <w:b/>
          <w:bCs/>
          <w:sz w:val="20"/>
          <w:lang w:val="en-US"/>
        </w:rPr>
      </w:pPr>
      <w:r w:rsidRPr="00595441">
        <w:rPr>
          <w:rFonts w:asciiTheme="minorBidi" w:hAnsiTheme="minorBidi" w:cstheme="minorBidi"/>
          <w:sz w:val="20"/>
        </w:rPr>
        <w:t xml:space="preserve">Medications of study arm 2b: SGLT2i (Dapagliflozin 10mg) + </w:t>
      </w:r>
      <w:r w:rsidR="001A2695" w:rsidRPr="00595441">
        <w:rPr>
          <w:rFonts w:asciiTheme="minorBidi" w:hAnsiTheme="minorBidi" w:cstheme="minorBidi"/>
          <w:sz w:val="20"/>
        </w:rPr>
        <w:t xml:space="preserve">biguanide </w:t>
      </w:r>
      <w:r w:rsidRPr="00595441">
        <w:rPr>
          <w:rFonts w:asciiTheme="minorBidi" w:hAnsiTheme="minorBidi" w:cstheme="minorBidi"/>
          <w:sz w:val="20"/>
        </w:rPr>
        <w:t xml:space="preserve">(metformin 2gm/day) + basal insulin (+/- GLP1 injection or </w:t>
      </w:r>
      <w:proofErr w:type="spellStart"/>
      <w:r w:rsidRPr="00595441">
        <w:rPr>
          <w:rFonts w:asciiTheme="minorBidi" w:hAnsiTheme="minorBidi" w:cstheme="minorBidi"/>
          <w:sz w:val="20"/>
        </w:rPr>
        <w:t>Galvus</w:t>
      </w:r>
      <w:proofErr w:type="spellEnd"/>
      <w:r w:rsidRPr="00595441">
        <w:rPr>
          <w:rFonts w:asciiTheme="minorBidi" w:hAnsiTheme="minorBidi" w:cstheme="minorBidi"/>
          <w:sz w:val="20"/>
        </w:rPr>
        <w:t xml:space="preserve">) + </w:t>
      </w:r>
      <w:proofErr w:type="spellStart"/>
      <w:r w:rsidRPr="00595441">
        <w:rPr>
          <w:rFonts w:asciiTheme="minorBidi" w:hAnsiTheme="minorBidi" w:cstheme="minorBidi"/>
          <w:sz w:val="20"/>
        </w:rPr>
        <w:t>ACEi</w:t>
      </w:r>
      <w:proofErr w:type="spellEnd"/>
      <w:r w:rsidRPr="00595441">
        <w:rPr>
          <w:rFonts w:asciiTheme="minorBidi" w:hAnsiTheme="minorBidi" w:cstheme="minorBidi"/>
          <w:sz w:val="20"/>
        </w:rPr>
        <w:t xml:space="preserve"> </w:t>
      </w:r>
      <w:r w:rsidR="001A2695" w:rsidRPr="00595441">
        <w:rPr>
          <w:rFonts w:asciiTheme="minorBidi" w:hAnsiTheme="minorBidi" w:cstheme="minorBidi"/>
          <w:sz w:val="20"/>
        </w:rPr>
        <w:t xml:space="preserve"> </w:t>
      </w:r>
    </w:p>
    <w:p w14:paraId="6F0BFA5A" w14:textId="77777777" w:rsidR="000B45C6" w:rsidRPr="00595441" w:rsidRDefault="000B45C6" w:rsidP="00C4295B">
      <w:pPr>
        <w:pStyle w:val="BodyText"/>
        <w:spacing w:before="240" w:after="240"/>
        <w:rPr>
          <w:rFonts w:asciiTheme="minorBidi" w:hAnsiTheme="minorBidi" w:cstheme="minorBidi"/>
          <w:sz w:val="20"/>
        </w:rPr>
      </w:pPr>
      <w:r w:rsidRPr="00595441">
        <w:rPr>
          <w:rFonts w:asciiTheme="minorBidi" w:hAnsiTheme="minorBidi" w:cstheme="minorBidi"/>
          <w:sz w:val="20"/>
        </w:rPr>
        <w:t xml:space="preserve">HbA1c will be measured every 3 months and adjust doses up or down when needed or add a new medication (GLP1 injection) to achieve the desired HbA1c target of each treatment arm, then it will be measured every 6 months onward in the maintenance phase. </w:t>
      </w:r>
    </w:p>
    <w:p w14:paraId="39904203" w14:textId="4F15AC51"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For the control of hypertension, the </w:t>
      </w:r>
      <w:r w:rsidR="00345249" w:rsidRPr="00595441">
        <w:rPr>
          <w:rFonts w:asciiTheme="minorBidi" w:hAnsiTheme="minorBidi" w:cstheme="minorBidi"/>
          <w:sz w:val="20"/>
        </w:rPr>
        <w:t>goal</w:t>
      </w:r>
      <w:r w:rsidRPr="00595441">
        <w:rPr>
          <w:rFonts w:asciiTheme="minorBidi" w:hAnsiTheme="minorBidi" w:cstheme="minorBidi"/>
          <w:sz w:val="20"/>
        </w:rPr>
        <w:t xml:space="preserve"> is to achieve a blood pressure of &lt;130/80 mmHg, we will start with </w:t>
      </w:r>
      <w:proofErr w:type="spellStart"/>
      <w:r w:rsidRPr="00595441">
        <w:rPr>
          <w:rFonts w:asciiTheme="minorBidi" w:hAnsiTheme="minorBidi" w:cstheme="minorBidi"/>
          <w:sz w:val="20"/>
        </w:rPr>
        <w:t>ACEi</w:t>
      </w:r>
      <w:proofErr w:type="spellEnd"/>
      <w:r w:rsidRPr="00595441">
        <w:rPr>
          <w:rFonts w:asciiTheme="minorBidi" w:hAnsiTheme="minorBidi" w:cstheme="minorBidi"/>
          <w:sz w:val="20"/>
        </w:rPr>
        <w:t xml:space="preserve"> and increase the dose until we reach blood pressure target, if necessary, we may also add </w:t>
      </w:r>
      <w:r w:rsidR="008A1B2C" w:rsidRPr="00595441">
        <w:rPr>
          <w:rFonts w:asciiTheme="minorBidi" w:hAnsiTheme="minorBidi" w:cstheme="minorBidi"/>
          <w:sz w:val="20"/>
        </w:rPr>
        <w:t>C</w:t>
      </w:r>
      <w:r w:rsidRPr="00595441">
        <w:rPr>
          <w:rFonts w:asciiTheme="minorBidi" w:hAnsiTheme="minorBidi" w:cstheme="minorBidi"/>
          <w:sz w:val="20"/>
        </w:rPr>
        <w:t xml:space="preserve">alcium </w:t>
      </w:r>
      <w:r w:rsidR="008A1B2C" w:rsidRPr="00595441">
        <w:rPr>
          <w:rFonts w:asciiTheme="minorBidi" w:hAnsiTheme="minorBidi" w:cstheme="minorBidi"/>
          <w:sz w:val="20"/>
        </w:rPr>
        <w:t>C</w:t>
      </w:r>
      <w:r w:rsidRPr="00595441">
        <w:rPr>
          <w:rFonts w:asciiTheme="minorBidi" w:hAnsiTheme="minorBidi" w:cstheme="minorBidi"/>
          <w:sz w:val="20"/>
        </w:rPr>
        <w:t xml:space="preserve">hannel </w:t>
      </w:r>
      <w:r w:rsidR="008A1B2C" w:rsidRPr="00595441">
        <w:rPr>
          <w:rFonts w:asciiTheme="minorBidi" w:hAnsiTheme="minorBidi" w:cstheme="minorBidi"/>
          <w:sz w:val="20"/>
        </w:rPr>
        <w:t>B</w:t>
      </w:r>
      <w:r w:rsidRPr="00595441">
        <w:rPr>
          <w:rFonts w:asciiTheme="minorBidi" w:hAnsiTheme="minorBidi" w:cstheme="minorBidi"/>
          <w:sz w:val="20"/>
        </w:rPr>
        <w:t xml:space="preserve">lockers. </w:t>
      </w:r>
    </w:p>
    <w:p w14:paraId="7A83D8BA" w14:textId="217F5CF2" w:rsidR="008B3214" w:rsidRPr="00595441" w:rsidRDefault="008B3214" w:rsidP="000B45C6">
      <w:pPr>
        <w:pStyle w:val="BodyText"/>
        <w:spacing w:after="240"/>
        <w:rPr>
          <w:rFonts w:asciiTheme="minorBidi" w:hAnsiTheme="minorBidi" w:cstheme="minorBidi"/>
          <w:sz w:val="20"/>
        </w:rPr>
      </w:pPr>
      <w:r w:rsidRPr="00595441">
        <w:rPr>
          <w:rFonts w:asciiTheme="minorBidi" w:hAnsiTheme="minorBidi" w:cstheme="minorBidi"/>
          <w:sz w:val="20"/>
        </w:rPr>
        <w:t>The materials for intervention will be monitored/counted for all patients in every visit to insure they are adherent to their respective medications. Periodic telephone check may take place in between visits to see how they are adherent to their medications.</w:t>
      </w:r>
    </w:p>
    <w:p w14:paraId="6E41358B" w14:textId="77777777"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All patients’ groups participating in the study will be advised to perform physical exercise at least walking for 30 min per day and will be encouraged to keep an acceptable body weight through following a diet plan and perhaps change their eating habits. </w:t>
      </w:r>
    </w:p>
    <w:p w14:paraId="1C6AA094" w14:textId="419EFED8" w:rsidR="00F574B0" w:rsidRPr="00595441" w:rsidRDefault="000B45C6" w:rsidP="00F574B0">
      <w:pPr>
        <w:pStyle w:val="BodyText"/>
        <w:spacing w:after="240"/>
        <w:rPr>
          <w:rFonts w:asciiTheme="minorBidi" w:hAnsiTheme="minorBidi" w:cstheme="minorBidi"/>
          <w:sz w:val="20"/>
        </w:rPr>
      </w:pPr>
      <w:r w:rsidRPr="00595441">
        <w:rPr>
          <w:rFonts w:asciiTheme="minorBidi" w:hAnsiTheme="minorBidi" w:cstheme="minorBidi"/>
          <w:sz w:val="20"/>
        </w:rPr>
        <w:t xml:space="preserve">All patients’ groups will be trained on glucose self-monitoring and measure their fasting and post prandial blood sugar levels at least 2-3 times a week and will be trained on how to adjust their basal insulin level accordingly. </w:t>
      </w:r>
    </w:p>
    <w:p w14:paraId="565756BB" w14:textId="60735AC2" w:rsidR="005420A3" w:rsidRPr="00595441" w:rsidRDefault="005420A3" w:rsidP="00F574B0">
      <w:pPr>
        <w:pStyle w:val="BodyText"/>
        <w:spacing w:after="240"/>
        <w:rPr>
          <w:rFonts w:asciiTheme="minorBidi" w:hAnsiTheme="minorBidi" w:cstheme="minorBidi"/>
          <w:sz w:val="20"/>
        </w:rPr>
      </w:pPr>
      <w:r w:rsidRPr="00595441">
        <w:rPr>
          <w:rFonts w:asciiTheme="minorBidi" w:hAnsiTheme="minorBidi" w:cstheme="minorBidi"/>
          <w:sz w:val="20"/>
        </w:rPr>
        <w:t xml:space="preserve">Patients not able to achieve their planned HbA1c target for 3 or more consecutive visits, will be forced to exit the study, </w:t>
      </w:r>
      <w:r w:rsidR="000B369F" w:rsidRPr="00595441">
        <w:rPr>
          <w:rFonts w:asciiTheme="minorBidi" w:hAnsiTheme="minorBidi" w:cstheme="minorBidi"/>
          <w:sz w:val="20"/>
        </w:rPr>
        <w:t>because</w:t>
      </w:r>
      <w:r w:rsidRPr="00595441">
        <w:rPr>
          <w:rFonts w:asciiTheme="minorBidi" w:hAnsiTheme="minorBidi" w:cstheme="minorBidi"/>
          <w:sz w:val="20"/>
        </w:rPr>
        <w:t xml:space="preserve"> this will only reflect their non-compliance to the assigned therapy.</w:t>
      </w:r>
      <w:r w:rsidR="000B369F" w:rsidRPr="00595441">
        <w:rPr>
          <w:rFonts w:asciiTheme="minorBidi" w:hAnsiTheme="minorBidi" w:cstheme="minorBidi"/>
          <w:sz w:val="20"/>
        </w:rPr>
        <w:t xml:space="preserve"> </w:t>
      </w:r>
    </w:p>
    <w:p w14:paraId="259E1127" w14:textId="1D70EEDC" w:rsidR="000B369F" w:rsidRPr="00595441" w:rsidRDefault="000B369F" w:rsidP="007F5F62">
      <w:pPr>
        <w:pStyle w:val="BodyText"/>
        <w:rPr>
          <w:rFonts w:asciiTheme="minorBidi" w:hAnsiTheme="minorBidi" w:cstheme="minorBidi"/>
          <w:szCs w:val="22"/>
        </w:rPr>
      </w:pPr>
      <w:r w:rsidRPr="00595441">
        <w:rPr>
          <w:rFonts w:asciiTheme="minorBidi" w:hAnsiTheme="minorBidi" w:cstheme="minorBidi"/>
          <w:b/>
          <w:bCs/>
          <w:szCs w:val="22"/>
        </w:rPr>
        <w:t xml:space="preserve">Schedule of enrolment, interventions and timelines: </w:t>
      </w:r>
    </w:p>
    <w:p w14:paraId="52783AB6" w14:textId="11BF3BB6" w:rsidR="00F574B0" w:rsidRPr="00595441" w:rsidRDefault="000B369F" w:rsidP="007F5F62">
      <w:pPr>
        <w:pStyle w:val="BodyText"/>
        <w:spacing w:after="240"/>
        <w:rPr>
          <w:rFonts w:asciiTheme="minorBidi" w:hAnsiTheme="minorBidi" w:cstheme="minorBidi"/>
          <w:szCs w:val="22"/>
        </w:rPr>
      </w:pPr>
      <w:r w:rsidRPr="00595441">
        <w:rPr>
          <w:rFonts w:asciiTheme="minorBidi" w:hAnsiTheme="minorBidi" w:cstheme="minorBidi"/>
          <w:noProof/>
          <w:szCs w:val="22"/>
        </w:rPr>
        <w:lastRenderedPageBreak/>
        <w:drawing>
          <wp:inline distT="0" distB="0" distL="0" distR="0" wp14:anchorId="6896629C" wp14:editId="0B2BDCAA">
            <wp:extent cx="6181090" cy="2476500"/>
            <wp:effectExtent l="0" t="0" r="0" b="0"/>
            <wp:docPr id="1529014784" name="Picture 1" descr="A white sheet with black lines and a black check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14784" name="Picture 1" descr="A white sheet with black lines and a black check box&#10;&#10;Description automatically generated"/>
                    <pic:cNvPicPr/>
                  </pic:nvPicPr>
                  <pic:blipFill>
                    <a:blip r:embed="rId14"/>
                    <a:stretch>
                      <a:fillRect/>
                    </a:stretch>
                  </pic:blipFill>
                  <pic:spPr>
                    <a:xfrm>
                      <a:off x="0" y="0"/>
                      <a:ext cx="6190840" cy="2480406"/>
                    </a:xfrm>
                    <a:prstGeom prst="rect">
                      <a:avLst/>
                    </a:prstGeom>
                  </pic:spPr>
                </pic:pic>
              </a:graphicData>
            </a:graphic>
          </wp:inline>
        </w:drawing>
      </w:r>
    </w:p>
    <w:p w14:paraId="1DBB3D5F" w14:textId="2F7495FB" w:rsidR="007F5F62" w:rsidRPr="00595441" w:rsidRDefault="007F5F62" w:rsidP="007F5F62">
      <w:pPr>
        <w:pStyle w:val="BodyText"/>
        <w:rPr>
          <w:rFonts w:asciiTheme="minorBidi" w:hAnsiTheme="minorBidi" w:cstheme="minorBidi"/>
          <w:sz w:val="16"/>
          <w:szCs w:val="16"/>
        </w:rPr>
      </w:pPr>
      <w:r w:rsidRPr="00595441">
        <w:rPr>
          <w:rFonts w:asciiTheme="minorBidi" w:hAnsiTheme="minorBidi" w:cstheme="minorBidi"/>
          <w:b/>
          <w:bCs/>
          <w:sz w:val="16"/>
          <w:szCs w:val="16"/>
        </w:rPr>
        <w:t xml:space="preserve">Table </w:t>
      </w:r>
      <w:r w:rsidR="00F46A45">
        <w:rPr>
          <w:rFonts w:asciiTheme="minorBidi" w:hAnsiTheme="minorBidi" w:cstheme="minorBidi"/>
          <w:b/>
          <w:bCs/>
          <w:sz w:val="16"/>
          <w:szCs w:val="16"/>
        </w:rPr>
        <w:t>2</w:t>
      </w:r>
      <w:r w:rsidRPr="00595441">
        <w:rPr>
          <w:rFonts w:asciiTheme="minorBidi" w:hAnsiTheme="minorBidi" w:cstheme="minorBidi"/>
          <w:b/>
          <w:bCs/>
          <w:sz w:val="16"/>
          <w:szCs w:val="16"/>
        </w:rPr>
        <w:t>:</w:t>
      </w:r>
      <w:r w:rsidRPr="00595441">
        <w:rPr>
          <w:rFonts w:asciiTheme="minorBidi" w:hAnsiTheme="minorBidi" w:cstheme="minorBidi"/>
          <w:sz w:val="16"/>
          <w:szCs w:val="16"/>
        </w:rPr>
        <w:t xml:space="preserve"> Showing the sequence of events and procedure of the study. </w:t>
      </w:r>
    </w:p>
    <w:p w14:paraId="2CFF7320" w14:textId="77777777" w:rsidR="007F5F62" w:rsidRPr="00595441" w:rsidRDefault="007F5F62" w:rsidP="007F5F62">
      <w:pPr>
        <w:pStyle w:val="BodyText"/>
        <w:rPr>
          <w:rFonts w:asciiTheme="minorBidi" w:hAnsiTheme="minorBidi" w:cstheme="minorBidi"/>
          <w:sz w:val="16"/>
          <w:szCs w:val="16"/>
        </w:rPr>
      </w:pPr>
    </w:p>
    <w:p w14:paraId="5BB5002B" w14:textId="39735D4B" w:rsidR="000B45C6" w:rsidRPr="00595441" w:rsidRDefault="00C61090" w:rsidP="000B45C6">
      <w:pPr>
        <w:pStyle w:val="BodyText"/>
        <w:spacing w:after="240"/>
        <w:rPr>
          <w:rFonts w:asciiTheme="minorBidi" w:hAnsiTheme="minorBidi" w:cstheme="minorBidi"/>
          <w:b/>
          <w:bCs/>
        </w:rPr>
      </w:pPr>
      <w:r w:rsidRPr="00595441">
        <w:rPr>
          <w:rFonts w:asciiTheme="minorBidi" w:hAnsiTheme="minorBidi" w:cstheme="minorBidi"/>
          <w:b/>
          <w:bCs/>
        </w:rPr>
        <w:t xml:space="preserve">  </w:t>
      </w:r>
      <w:r w:rsidR="000B45C6" w:rsidRPr="00595441">
        <w:rPr>
          <w:rFonts w:asciiTheme="minorBidi" w:hAnsiTheme="minorBidi" w:cstheme="minorBidi"/>
          <w:b/>
          <w:bCs/>
        </w:rPr>
        <w:t xml:space="preserve">Sample Size &amp; Power Calculation: </w:t>
      </w:r>
    </w:p>
    <w:p w14:paraId="49D44E02" w14:textId="351D30F3" w:rsidR="000B45C6" w:rsidRPr="00595441" w:rsidRDefault="000B45C6" w:rsidP="000B45C6">
      <w:pPr>
        <w:pStyle w:val="BodyText"/>
        <w:spacing w:after="240"/>
        <w:rPr>
          <w:rFonts w:asciiTheme="minorBidi" w:hAnsiTheme="minorBidi" w:cstheme="minorBidi"/>
          <w:b/>
          <w:bCs/>
          <w:sz w:val="20"/>
        </w:rPr>
      </w:pPr>
      <w:r w:rsidRPr="00595441">
        <w:rPr>
          <w:rFonts w:asciiTheme="minorBidi" w:hAnsiTheme="minorBidi" w:cstheme="minorBidi"/>
          <w:sz w:val="20"/>
        </w:rPr>
        <w:t>At a 5% level of significance, in order to achieve 80% power and a difference of 12% (1</w:t>
      </w:r>
      <w:r w:rsidR="00BE728D" w:rsidRPr="00595441">
        <w:rPr>
          <w:rFonts w:asciiTheme="minorBidi" w:hAnsiTheme="minorBidi" w:cstheme="minorBidi"/>
          <w:sz w:val="20"/>
        </w:rPr>
        <w:t>9</w:t>
      </w:r>
      <w:r w:rsidRPr="00595441">
        <w:rPr>
          <w:rFonts w:asciiTheme="minorBidi" w:hAnsiTheme="minorBidi" w:cstheme="minorBidi"/>
          <w:sz w:val="20"/>
        </w:rPr>
        <w:t>,</w:t>
      </w:r>
      <w:r w:rsidR="00BE728D" w:rsidRPr="00595441">
        <w:rPr>
          <w:rFonts w:asciiTheme="minorBidi" w:hAnsiTheme="minorBidi" w:cstheme="minorBidi"/>
          <w:sz w:val="20"/>
        </w:rPr>
        <w:t>20</w:t>
      </w:r>
      <w:r w:rsidR="002E6CAF" w:rsidRPr="00595441">
        <w:rPr>
          <w:rFonts w:asciiTheme="minorBidi" w:hAnsiTheme="minorBidi" w:cstheme="minorBidi"/>
          <w:sz w:val="20"/>
        </w:rPr>
        <w:t>,21</w:t>
      </w:r>
      <w:r w:rsidRPr="00595441">
        <w:rPr>
          <w:rFonts w:asciiTheme="minorBidi" w:hAnsiTheme="minorBidi" w:cstheme="minorBidi"/>
          <w:sz w:val="20"/>
        </w:rPr>
        <w:t>) in the number of patients reaching the definition of ESRD, 241 eligible patients</w:t>
      </w:r>
      <w:r w:rsidR="00AA4A23" w:rsidRPr="00595441">
        <w:rPr>
          <w:rFonts w:asciiTheme="minorBidi" w:hAnsiTheme="minorBidi" w:cstheme="minorBidi"/>
          <w:sz w:val="20"/>
        </w:rPr>
        <w:t xml:space="preserve"> will be needed</w:t>
      </w:r>
      <w:r w:rsidRPr="00595441">
        <w:rPr>
          <w:rFonts w:asciiTheme="minorBidi" w:hAnsiTheme="minorBidi" w:cstheme="minorBidi"/>
          <w:sz w:val="20"/>
        </w:rPr>
        <w:t xml:space="preserve"> to be enrolled in each of the 2 arms.</w:t>
      </w:r>
      <w:r w:rsidR="00AA4A23" w:rsidRPr="00595441">
        <w:rPr>
          <w:rFonts w:asciiTheme="minorBidi" w:hAnsiTheme="minorBidi" w:cstheme="minorBidi"/>
          <w:sz w:val="20"/>
        </w:rPr>
        <w:t xml:space="preserve"> 250 patients per arm might be recruited to compensate for those patients not achieving the HbA1c goal.</w:t>
      </w:r>
    </w:p>
    <w:p w14:paraId="70C17B24" w14:textId="77777777" w:rsidR="000B45C6" w:rsidRPr="00595441" w:rsidRDefault="000B45C6" w:rsidP="008668CD">
      <w:pPr>
        <w:pStyle w:val="BodyText"/>
        <w:rPr>
          <w:rFonts w:asciiTheme="minorBidi" w:hAnsiTheme="minorBidi" w:cstheme="minorBidi"/>
          <w:b/>
          <w:bCs/>
          <w:i/>
          <w:iCs/>
          <w:sz w:val="20"/>
        </w:rPr>
      </w:pPr>
      <w:r w:rsidRPr="00595441">
        <w:rPr>
          <w:rFonts w:asciiTheme="minorBidi" w:hAnsiTheme="minorBidi" w:cstheme="minorBidi"/>
          <w:b/>
          <w:bCs/>
          <w:i/>
          <w:iCs/>
          <w:sz w:val="20"/>
        </w:rPr>
        <w:t>Justification of sample size calculation:</w:t>
      </w:r>
    </w:p>
    <w:p w14:paraId="6C21DE73" w14:textId="4FAF4881" w:rsidR="000B45C6" w:rsidRPr="00595441" w:rsidRDefault="000B45C6" w:rsidP="0046459F">
      <w:pPr>
        <w:pStyle w:val="BodyText"/>
        <w:spacing w:after="240"/>
        <w:rPr>
          <w:rFonts w:asciiTheme="minorBidi" w:hAnsiTheme="minorBidi" w:cstheme="minorBidi"/>
          <w:sz w:val="20"/>
        </w:rPr>
      </w:pPr>
      <w:r w:rsidRPr="00595441">
        <w:rPr>
          <w:rFonts w:asciiTheme="minorBidi" w:hAnsiTheme="minorBidi" w:cstheme="minorBidi"/>
          <w:sz w:val="20"/>
        </w:rPr>
        <w:t xml:space="preserve">In a meta-analysis of randomized Controlled Trials, </w:t>
      </w:r>
      <w:proofErr w:type="spellStart"/>
      <w:proofErr w:type="gramStart"/>
      <w:r w:rsidRPr="00595441">
        <w:rPr>
          <w:rFonts w:asciiTheme="minorBidi" w:hAnsiTheme="minorBidi" w:cstheme="minorBidi"/>
          <w:sz w:val="20"/>
        </w:rPr>
        <w:t>B.Sinha</w:t>
      </w:r>
      <w:proofErr w:type="spellEnd"/>
      <w:proofErr w:type="gramEnd"/>
      <w:r w:rsidRPr="00595441">
        <w:rPr>
          <w:rFonts w:asciiTheme="minorBidi" w:hAnsiTheme="minorBidi" w:cstheme="minorBidi"/>
          <w:sz w:val="20"/>
        </w:rPr>
        <w:t xml:space="preserve"> and </w:t>
      </w:r>
      <w:proofErr w:type="spellStart"/>
      <w:proofErr w:type="gramStart"/>
      <w:r w:rsidRPr="00595441">
        <w:rPr>
          <w:rFonts w:asciiTheme="minorBidi" w:hAnsiTheme="minorBidi" w:cstheme="minorBidi"/>
          <w:sz w:val="20"/>
        </w:rPr>
        <w:t>S.Ghosal</w:t>
      </w:r>
      <w:proofErr w:type="spellEnd"/>
      <w:proofErr w:type="gramEnd"/>
      <w:r w:rsidR="00C4295B" w:rsidRPr="00595441">
        <w:rPr>
          <w:rFonts w:asciiTheme="minorBidi" w:hAnsiTheme="minorBidi" w:cstheme="minorBidi"/>
          <w:sz w:val="20"/>
        </w:rPr>
        <w:t>, they</w:t>
      </w:r>
      <w:r w:rsidRPr="00595441">
        <w:rPr>
          <w:rFonts w:asciiTheme="minorBidi" w:hAnsiTheme="minorBidi" w:cstheme="minorBidi"/>
          <w:sz w:val="20"/>
        </w:rPr>
        <w:t xml:space="preserve"> made a conclusion that a target HbA1c of 7.1% - 7.7% will reduce the risk of both macrovascular and microvascular complications including end stage renal disease and macroalbuminuria, it showed reduction of 32% of ESRD, and reduction of 18% in the incidence of macroalbuminuria. (1</w:t>
      </w:r>
      <w:r w:rsidR="002E6CAF" w:rsidRPr="00595441">
        <w:rPr>
          <w:rFonts w:asciiTheme="minorBidi" w:hAnsiTheme="minorBidi" w:cstheme="minorBidi"/>
          <w:sz w:val="20"/>
        </w:rPr>
        <w:t>9</w:t>
      </w:r>
      <w:r w:rsidRPr="00595441">
        <w:rPr>
          <w:rFonts w:asciiTheme="minorBidi" w:hAnsiTheme="minorBidi" w:cstheme="minorBidi"/>
          <w:sz w:val="20"/>
        </w:rPr>
        <w:t xml:space="preserve">) </w:t>
      </w:r>
      <w:proofErr w:type="spellStart"/>
      <w:r w:rsidRPr="00595441">
        <w:rPr>
          <w:rFonts w:asciiTheme="minorBidi" w:hAnsiTheme="minorBidi" w:cstheme="minorBidi"/>
          <w:sz w:val="20"/>
        </w:rPr>
        <w:t>Zoungas</w:t>
      </w:r>
      <w:proofErr w:type="spellEnd"/>
      <w:r w:rsidRPr="00595441">
        <w:rPr>
          <w:rFonts w:asciiTheme="minorBidi" w:hAnsiTheme="minorBidi" w:cstheme="minorBidi"/>
          <w:sz w:val="20"/>
        </w:rPr>
        <w:t xml:space="preserve"> and colleagues, conducted a meta-analysis of four major studies and reported that intensive </w:t>
      </w:r>
      <w:r w:rsidR="00C4295B" w:rsidRPr="00595441">
        <w:rPr>
          <w:rFonts w:asciiTheme="minorBidi" w:hAnsiTheme="minorBidi" w:cstheme="minorBidi"/>
          <w:sz w:val="20"/>
        </w:rPr>
        <w:t>glycaemic</w:t>
      </w:r>
      <w:r w:rsidRPr="00595441">
        <w:rPr>
          <w:rFonts w:asciiTheme="minorBidi" w:hAnsiTheme="minorBidi" w:cstheme="minorBidi"/>
          <w:sz w:val="20"/>
        </w:rPr>
        <w:t xml:space="preserve"> control can offer up to 20% reduction in the risk of the composite of end stage renal disease, macroalbuminuria and death. (</w:t>
      </w:r>
      <w:r w:rsidR="002E6CAF" w:rsidRPr="00595441">
        <w:rPr>
          <w:rFonts w:asciiTheme="minorBidi" w:hAnsiTheme="minorBidi" w:cstheme="minorBidi"/>
          <w:sz w:val="20"/>
        </w:rPr>
        <w:t>20</w:t>
      </w:r>
      <w:r w:rsidRPr="00595441">
        <w:rPr>
          <w:rFonts w:asciiTheme="minorBidi" w:hAnsiTheme="minorBidi" w:cstheme="minorBidi"/>
          <w:sz w:val="20"/>
        </w:rPr>
        <w:t xml:space="preserve">) </w:t>
      </w:r>
      <w:r w:rsidR="0046459F" w:rsidRPr="00595441">
        <w:rPr>
          <w:rFonts w:asciiTheme="minorBidi" w:hAnsiTheme="minorBidi" w:cstheme="minorBidi"/>
          <w:sz w:val="20"/>
        </w:rPr>
        <w:t xml:space="preserve"> </w:t>
      </w:r>
      <w:r w:rsidRPr="00595441">
        <w:rPr>
          <w:rFonts w:asciiTheme="minorBidi" w:hAnsiTheme="minorBidi" w:cstheme="minorBidi"/>
          <w:sz w:val="20"/>
        </w:rPr>
        <w:t>In another Chinese study, they stated that patients with HbA1c of &lt;6% were associated with highest risk of end stage renal disease, followed by patients with an HbA1c of &gt;7%, and concluded that the group of patients with HbA1c between 6%-6.9% were associated with the lowest risk of ESRD. (</w:t>
      </w:r>
      <w:r w:rsidR="00BE728D" w:rsidRPr="00595441">
        <w:rPr>
          <w:rFonts w:asciiTheme="minorBidi" w:hAnsiTheme="minorBidi" w:cstheme="minorBidi"/>
          <w:sz w:val="20"/>
        </w:rPr>
        <w:t>2</w:t>
      </w:r>
      <w:r w:rsidR="002E6CAF" w:rsidRPr="00595441">
        <w:rPr>
          <w:rFonts w:asciiTheme="minorBidi" w:hAnsiTheme="minorBidi" w:cstheme="minorBidi"/>
          <w:sz w:val="20"/>
        </w:rPr>
        <w:t>1</w:t>
      </w:r>
      <w:r w:rsidRPr="00595441">
        <w:rPr>
          <w:rFonts w:asciiTheme="minorBidi" w:hAnsiTheme="minorBidi" w:cstheme="minorBidi"/>
          <w:sz w:val="20"/>
        </w:rPr>
        <w:t xml:space="preserve">) </w:t>
      </w:r>
    </w:p>
    <w:p w14:paraId="6A5FC5F4" w14:textId="520E256E" w:rsidR="000B45C6" w:rsidRPr="00595441" w:rsidRDefault="000B45C6" w:rsidP="000B45C6">
      <w:pPr>
        <w:pStyle w:val="BodyText"/>
        <w:spacing w:after="240"/>
        <w:rPr>
          <w:rFonts w:asciiTheme="minorBidi" w:hAnsiTheme="minorBidi" w:cstheme="minorBidi"/>
          <w:b/>
          <w:bCs/>
          <w:sz w:val="20"/>
        </w:rPr>
      </w:pPr>
      <w:r w:rsidRPr="00595441">
        <w:rPr>
          <w:rFonts w:asciiTheme="minorBidi" w:hAnsiTheme="minorBidi" w:cstheme="minorBidi"/>
          <w:sz w:val="20"/>
        </w:rPr>
        <w:t xml:space="preserve">It is now obvious that lower HbA1c target is associated with a better outcome in terms of macroalbuminuria and end stage renal disease. According to different studies and meta-analysis, they concluded that risk reduction of ESRD ranges between 20%-32% and sometimes reach to 40%, and risk reduction of macroalbuminuria ranges between 18% and 30%. </w:t>
      </w:r>
      <w:r w:rsidR="004748BC" w:rsidRPr="00595441">
        <w:rPr>
          <w:rFonts w:asciiTheme="minorBidi" w:hAnsiTheme="minorBidi" w:cstheme="minorBidi"/>
          <w:sz w:val="20"/>
        </w:rPr>
        <w:t>So,</w:t>
      </w:r>
      <w:r w:rsidRPr="00595441">
        <w:rPr>
          <w:rFonts w:asciiTheme="minorBidi" w:hAnsiTheme="minorBidi" w:cstheme="minorBidi"/>
          <w:sz w:val="20"/>
        </w:rPr>
        <w:t xml:space="preserve"> our sample size calculation is based on an average difference of 12% between the 2 arms in </w:t>
      </w:r>
      <w:r w:rsidR="004748BC" w:rsidRPr="00595441">
        <w:rPr>
          <w:rFonts w:asciiTheme="minorBidi" w:hAnsiTheme="minorBidi" w:cstheme="minorBidi"/>
          <w:sz w:val="20"/>
        </w:rPr>
        <w:t>this</w:t>
      </w:r>
      <w:r w:rsidRPr="00595441">
        <w:rPr>
          <w:rFonts w:asciiTheme="minorBidi" w:hAnsiTheme="minorBidi" w:cstheme="minorBidi"/>
          <w:sz w:val="20"/>
        </w:rPr>
        <w:t xml:space="preserve"> study. </w:t>
      </w:r>
    </w:p>
    <w:p w14:paraId="773A1C4C" w14:textId="77777777"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The study can be event driven study, where a specific numbers of end points should occur to conclude the study, as we cannot wait for all subjects to develop CKD, it may last for decades. The protocol is to set an average time of 5 or 6 years as the length of the study, then we can evaluate the end points by then. </w:t>
      </w:r>
    </w:p>
    <w:p w14:paraId="0B5C76B7" w14:textId="77777777" w:rsidR="000B45C6" w:rsidRPr="00595441" w:rsidRDefault="000B45C6" w:rsidP="008668CD">
      <w:pPr>
        <w:pStyle w:val="BodyText"/>
        <w:rPr>
          <w:rFonts w:asciiTheme="minorBidi" w:hAnsiTheme="minorBidi" w:cstheme="minorBidi"/>
          <w:b/>
          <w:bCs/>
        </w:rPr>
      </w:pPr>
      <w:r w:rsidRPr="00595441">
        <w:rPr>
          <w:rFonts w:asciiTheme="minorBidi" w:hAnsiTheme="minorBidi" w:cstheme="minorBidi"/>
          <w:b/>
          <w:bCs/>
        </w:rPr>
        <w:t xml:space="preserve">Data Collection: </w:t>
      </w:r>
    </w:p>
    <w:p w14:paraId="7542FB8E" w14:textId="2BAEA575" w:rsidR="000B45C6" w:rsidRPr="00595441" w:rsidRDefault="000B45C6" w:rsidP="000B45C6">
      <w:pPr>
        <w:pStyle w:val="BodyText"/>
        <w:spacing w:after="240"/>
        <w:rPr>
          <w:rFonts w:asciiTheme="minorBidi" w:hAnsiTheme="minorBidi" w:cstheme="minorBidi"/>
          <w:b/>
          <w:bCs/>
          <w:sz w:val="20"/>
        </w:rPr>
      </w:pPr>
      <w:r w:rsidRPr="00595441">
        <w:rPr>
          <w:rFonts w:asciiTheme="minorBidi" w:hAnsiTheme="minorBidi" w:cstheme="minorBidi"/>
          <w:sz w:val="20"/>
        </w:rPr>
        <w:t xml:space="preserve">Patients’ data will be collected on a CRF (case report form) which will most likely be in an electronic form (eCRF) to make life of investigators and study teams easier. Periodic and random monitoring will be performed on regular bases, where queries will be generated -when needed- and </w:t>
      </w:r>
      <w:r w:rsidR="004748BC" w:rsidRPr="00595441">
        <w:rPr>
          <w:rFonts w:asciiTheme="minorBidi" w:hAnsiTheme="minorBidi" w:cstheme="minorBidi"/>
          <w:sz w:val="20"/>
        </w:rPr>
        <w:t xml:space="preserve">will be </w:t>
      </w:r>
      <w:r w:rsidRPr="00595441">
        <w:rPr>
          <w:rFonts w:asciiTheme="minorBidi" w:hAnsiTheme="minorBidi" w:cstheme="minorBidi"/>
          <w:sz w:val="20"/>
        </w:rPr>
        <w:t xml:space="preserve">sent to study investigators to answer. When data is clean, it can be submitted to data management centre. </w:t>
      </w:r>
    </w:p>
    <w:p w14:paraId="25B975D1" w14:textId="77777777" w:rsidR="000B45C6" w:rsidRPr="00595441" w:rsidRDefault="000B45C6" w:rsidP="008668CD">
      <w:pPr>
        <w:pStyle w:val="BodyText"/>
        <w:rPr>
          <w:rFonts w:asciiTheme="minorBidi" w:hAnsiTheme="minorBidi" w:cstheme="minorBidi"/>
          <w:b/>
          <w:bCs/>
        </w:rPr>
      </w:pPr>
      <w:r w:rsidRPr="00595441">
        <w:rPr>
          <w:rFonts w:asciiTheme="minorBidi" w:hAnsiTheme="minorBidi" w:cstheme="minorBidi"/>
          <w:b/>
          <w:bCs/>
        </w:rPr>
        <w:t xml:space="preserve">Study Outcomes: </w:t>
      </w:r>
    </w:p>
    <w:p w14:paraId="56E996E2" w14:textId="147B4083"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lastRenderedPageBreak/>
        <w:t xml:space="preserve">Since the protocol is open label, none controlled study, all outcomes will be quantitative in nature (numerical) and no patient questionnaires will be used to avoid bias. </w:t>
      </w:r>
      <w:r w:rsidR="00A63C80" w:rsidRPr="00595441">
        <w:rPr>
          <w:rFonts w:asciiTheme="minorBidi" w:hAnsiTheme="minorBidi" w:cstheme="minorBidi"/>
          <w:sz w:val="20"/>
        </w:rPr>
        <w:t xml:space="preserve">(see table </w:t>
      </w:r>
      <w:r w:rsidR="007F5F62" w:rsidRPr="00595441">
        <w:rPr>
          <w:rFonts w:asciiTheme="minorBidi" w:hAnsiTheme="minorBidi" w:cstheme="minorBidi"/>
          <w:sz w:val="20"/>
        </w:rPr>
        <w:t>3</w:t>
      </w:r>
      <w:r w:rsidR="00A63C80" w:rsidRPr="00595441">
        <w:rPr>
          <w:rFonts w:asciiTheme="minorBidi" w:hAnsiTheme="minorBidi" w:cstheme="minorBidi"/>
          <w:sz w:val="20"/>
        </w:rPr>
        <w:t>)</w:t>
      </w:r>
    </w:p>
    <w:tbl>
      <w:tblPr>
        <w:tblStyle w:val="TableGrid"/>
        <w:tblW w:w="10260" w:type="dxa"/>
        <w:tblInd w:w="-252" w:type="dxa"/>
        <w:tblLook w:val="04A0" w:firstRow="1" w:lastRow="0" w:firstColumn="1" w:lastColumn="0" w:noHBand="0" w:noVBand="1"/>
      </w:tblPr>
      <w:tblGrid>
        <w:gridCol w:w="3240"/>
        <w:gridCol w:w="3487"/>
        <w:gridCol w:w="3533"/>
      </w:tblGrid>
      <w:tr w:rsidR="00541812" w:rsidRPr="00595441" w14:paraId="26B858A8" w14:textId="77777777" w:rsidTr="00BA7D2B">
        <w:tc>
          <w:tcPr>
            <w:tcW w:w="3240" w:type="dxa"/>
          </w:tcPr>
          <w:p w14:paraId="509ACC62" w14:textId="573C0372" w:rsidR="00541812" w:rsidRPr="00595441" w:rsidRDefault="00541812" w:rsidP="00541812">
            <w:pPr>
              <w:pStyle w:val="BodyText"/>
              <w:numPr>
                <w:ilvl w:val="0"/>
                <w:numId w:val="13"/>
              </w:numPr>
              <w:spacing w:after="240"/>
              <w:rPr>
                <w:rFonts w:asciiTheme="minorBidi" w:hAnsiTheme="minorBidi" w:cstheme="minorBidi"/>
                <w:b/>
                <w:bCs/>
                <w:sz w:val="20"/>
              </w:rPr>
            </w:pPr>
            <w:r w:rsidRPr="00595441">
              <w:rPr>
                <w:rFonts w:asciiTheme="minorBidi" w:hAnsiTheme="minorBidi" w:cstheme="minorBidi"/>
                <w:b/>
                <w:bCs/>
                <w:i/>
                <w:iCs/>
                <w:sz w:val="20"/>
              </w:rPr>
              <w:t>Primary endpoints</w:t>
            </w:r>
          </w:p>
        </w:tc>
        <w:tc>
          <w:tcPr>
            <w:tcW w:w="3487" w:type="dxa"/>
          </w:tcPr>
          <w:p w14:paraId="5D9F99C0" w14:textId="0E0D3487" w:rsidR="00541812" w:rsidRPr="00595441" w:rsidRDefault="00541812" w:rsidP="00541812">
            <w:pPr>
              <w:pStyle w:val="BodyText"/>
              <w:numPr>
                <w:ilvl w:val="0"/>
                <w:numId w:val="13"/>
              </w:numPr>
              <w:spacing w:after="240"/>
              <w:rPr>
                <w:rFonts w:asciiTheme="minorBidi" w:hAnsiTheme="minorBidi" w:cstheme="minorBidi"/>
                <w:b/>
                <w:bCs/>
                <w:sz w:val="20"/>
              </w:rPr>
            </w:pPr>
            <w:r w:rsidRPr="00595441">
              <w:rPr>
                <w:rFonts w:asciiTheme="minorBidi" w:hAnsiTheme="minorBidi" w:cstheme="minorBidi"/>
                <w:b/>
                <w:bCs/>
                <w:i/>
                <w:iCs/>
                <w:sz w:val="20"/>
              </w:rPr>
              <w:t>Secondary endpoints</w:t>
            </w:r>
          </w:p>
        </w:tc>
        <w:tc>
          <w:tcPr>
            <w:tcW w:w="3533" w:type="dxa"/>
          </w:tcPr>
          <w:p w14:paraId="4EDA45E6" w14:textId="0CFD3A4F" w:rsidR="00541812" w:rsidRPr="00595441" w:rsidRDefault="00541812" w:rsidP="00541812">
            <w:pPr>
              <w:pStyle w:val="BodyText"/>
              <w:numPr>
                <w:ilvl w:val="0"/>
                <w:numId w:val="13"/>
              </w:numPr>
              <w:spacing w:after="240"/>
              <w:rPr>
                <w:rFonts w:asciiTheme="minorBidi" w:hAnsiTheme="minorBidi" w:cstheme="minorBidi"/>
                <w:b/>
                <w:bCs/>
                <w:i/>
                <w:iCs/>
                <w:sz w:val="20"/>
              </w:rPr>
            </w:pPr>
            <w:r w:rsidRPr="00595441">
              <w:rPr>
                <w:rFonts w:asciiTheme="minorBidi" w:hAnsiTheme="minorBidi" w:cstheme="minorBidi"/>
                <w:b/>
                <w:bCs/>
                <w:i/>
                <w:iCs/>
                <w:sz w:val="20"/>
              </w:rPr>
              <w:t xml:space="preserve">Safety endpoints: </w:t>
            </w:r>
          </w:p>
        </w:tc>
      </w:tr>
      <w:tr w:rsidR="00541812" w:rsidRPr="00595441" w14:paraId="05E5E830" w14:textId="77777777" w:rsidTr="00BA7D2B">
        <w:tc>
          <w:tcPr>
            <w:tcW w:w="3240" w:type="dxa"/>
            <w:vMerge w:val="restart"/>
          </w:tcPr>
          <w:p w14:paraId="092DDF2E" w14:textId="06A2250B" w:rsidR="00541812" w:rsidRPr="00595441" w:rsidRDefault="00541812" w:rsidP="00541812">
            <w:pPr>
              <w:pStyle w:val="ListParagraph"/>
              <w:numPr>
                <w:ilvl w:val="0"/>
                <w:numId w:val="14"/>
              </w:numPr>
              <w:spacing w:line="259" w:lineRule="auto"/>
              <w:rPr>
                <w:rFonts w:asciiTheme="minorBidi" w:hAnsiTheme="minorBidi"/>
                <w:b/>
                <w:bCs/>
                <w:sz w:val="20"/>
              </w:rPr>
            </w:pPr>
            <w:r w:rsidRPr="00595441">
              <w:rPr>
                <w:rFonts w:asciiTheme="minorBidi" w:hAnsiTheme="minorBidi"/>
                <w:sz w:val="20"/>
              </w:rPr>
              <w:t xml:space="preserve">Median </w:t>
            </w:r>
            <w:r w:rsidR="00202977" w:rsidRPr="00595441">
              <w:rPr>
                <w:rFonts w:asciiTheme="minorBidi" w:hAnsiTheme="minorBidi"/>
                <w:sz w:val="20"/>
              </w:rPr>
              <w:t>number of patients with</w:t>
            </w:r>
            <w:r w:rsidRPr="00595441">
              <w:rPr>
                <w:rFonts w:asciiTheme="minorBidi" w:hAnsiTheme="minorBidi"/>
                <w:sz w:val="20"/>
              </w:rPr>
              <w:t xml:space="preserve"> eGFR below 20 </w:t>
            </w:r>
            <w:r w:rsidRPr="00595441">
              <w:rPr>
                <w:rFonts w:asciiTheme="minorBidi" w:hAnsiTheme="minorBidi"/>
                <w:color w:val="202124"/>
                <w:sz w:val="20"/>
                <w:shd w:val="clear" w:color="auto" w:fill="FFFFFF"/>
              </w:rPr>
              <w:t xml:space="preserve">mL/min/1.73m2 in each arm. </w:t>
            </w:r>
          </w:p>
        </w:tc>
        <w:tc>
          <w:tcPr>
            <w:tcW w:w="3487" w:type="dxa"/>
          </w:tcPr>
          <w:p w14:paraId="3FD79964" w14:textId="070EB1D6" w:rsidR="00541812" w:rsidRPr="00595441" w:rsidRDefault="00541812" w:rsidP="00541812">
            <w:pPr>
              <w:pStyle w:val="ListParagraph"/>
              <w:numPr>
                <w:ilvl w:val="0"/>
                <w:numId w:val="14"/>
              </w:numPr>
              <w:spacing w:line="259" w:lineRule="auto"/>
              <w:rPr>
                <w:rFonts w:asciiTheme="minorBidi" w:hAnsiTheme="minorBidi"/>
                <w:b/>
                <w:bCs/>
                <w:sz w:val="20"/>
                <w:szCs w:val="20"/>
              </w:rPr>
            </w:pPr>
            <w:r w:rsidRPr="00595441">
              <w:rPr>
                <w:rFonts w:asciiTheme="minorBidi" w:hAnsiTheme="minorBidi"/>
                <w:sz w:val="20"/>
                <w:szCs w:val="20"/>
              </w:rPr>
              <w:t>Percentage of patients who needed incident dialysis in each arm.</w:t>
            </w:r>
          </w:p>
        </w:tc>
        <w:tc>
          <w:tcPr>
            <w:tcW w:w="3533" w:type="dxa"/>
          </w:tcPr>
          <w:p w14:paraId="4D245536" w14:textId="3507F9CA" w:rsidR="00541812" w:rsidRPr="00595441" w:rsidRDefault="00541812" w:rsidP="00541812">
            <w:pPr>
              <w:pStyle w:val="ListParagraph"/>
              <w:numPr>
                <w:ilvl w:val="0"/>
                <w:numId w:val="14"/>
              </w:numPr>
              <w:spacing w:line="259" w:lineRule="auto"/>
              <w:rPr>
                <w:rFonts w:asciiTheme="minorBidi" w:hAnsiTheme="minorBidi"/>
                <w:sz w:val="20"/>
              </w:rPr>
            </w:pPr>
            <w:r w:rsidRPr="00595441">
              <w:rPr>
                <w:rFonts w:asciiTheme="minorBidi" w:hAnsiTheme="minorBidi"/>
                <w:sz w:val="20"/>
              </w:rPr>
              <w:t>Reporting any serious adverse events (SAEs) that might occur.</w:t>
            </w:r>
          </w:p>
        </w:tc>
      </w:tr>
      <w:tr w:rsidR="00541812" w:rsidRPr="00595441" w14:paraId="6BF62C39" w14:textId="77777777" w:rsidTr="00BA7D2B">
        <w:trPr>
          <w:trHeight w:val="930"/>
        </w:trPr>
        <w:tc>
          <w:tcPr>
            <w:tcW w:w="3240" w:type="dxa"/>
            <w:vMerge/>
          </w:tcPr>
          <w:p w14:paraId="60093EAB" w14:textId="77777777" w:rsidR="00541812" w:rsidRPr="00595441" w:rsidRDefault="00541812" w:rsidP="000B45C6">
            <w:pPr>
              <w:pStyle w:val="BodyText"/>
              <w:spacing w:after="240"/>
              <w:rPr>
                <w:rFonts w:asciiTheme="minorBidi" w:hAnsiTheme="minorBidi" w:cstheme="minorBidi"/>
                <w:sz w:val="20"/>
              </w:rPr>
            </w:pPr>
          </w:p>
        </w:tc>
        <w:tc>
          <w:tcPr>
            <w:tcW w:w="3487" w:type="dxa"/>
          </w:tcPr>
          <w:p w14:paraId="5DB62007" w14:textId="3EAFE973" w:rsidR="00541812" w:rsidRPr="00595441" w:rsidRDefault="00541812" w:rsidP="00541812">
            <w:pPr>
              <w:pStyle w:val="BodyText"/>
              <w:numPr>
                <w:ilvl w:val="0"/>
                <w:numId w:val="14"/>
              </w:numPr>
              <w:rPr>
                <w:rFonts w:asciiTheme="minorBidi" w:hAnsiTheme="minorBidi" w:cstheme="minorBidi"/>
                <w:sz w:val="20"/>
              </w:rPr>
            </w:pPr>
            <w:r w:rsidRPr="00595441">
              <w:rPr>
                <w:rFonts w:asciiTheme="minorBidi" w:hAnsiTheme="minorBidi" w:cstheme="minorBidi"/>
                <w:sz w:val="20"/>
              </w:rPr>
              <w:t>Percentage of patients who developed MACE</w:t>
            </w:r>
            <w:r w:rsidR="00BA7D2B" w:rsidRPr="00595441">
              <w:rPr>
                <w:rFonts w:asciiTheme="minorBidi" w:hAnsiTheme="minorBidi" w:cstheme="minorBidi"/>
                <w:color w:val="FF0000"/>
                <w:sz w:val="20"/>
              </w:rPr>
              <w:t>*</w:t>
            </w:r>
            <w:r w:rsidRPr="00595441">
              <w:rPr>
                <w:rFonts w:asciiTheme="minorBidi" w:hAnsiTheme="minorBidi" w:cstheme="minorBidi"/>
                <w:sz w:val="20"/>
              </w:rPr>
              <w:t xml:space="preserve"> (major adverse cardiovascular events) in each arm.</w:t>
            </w:r>
          </w:p>
        </w:tc>
        <w:tc>
          <w:tcPr>
            <w:tcW w:w="3533" w:type="dxa"/>
            <w:vMerge w:val="restart"/>
          </w:tcPr>
          <w:p w14:paraId="2EF79AB0" w14:textId="5F10F7B6" w:rsidR="00541812" w:rsidRPr="00595441" w:rsidRDefault="00541812" w:rsidP="00541812">
            <w:pPr>
              <w:pStyle w:val="ListParagraph"/>
              <w:numPr>
                <w:ilvl w:val="0"/>
                <w:numId w:val="14"/>
              </w:numPr>
              <w:spacing w:line="259" w:lineRule="auto"/>
              <w:rPr>
                <w:rFonts w:asciiTheme="minorBidi" w:hAnsiTheme="minorBidi"/>
                <w:sz w:val="20"/>
              </w:rPr>
            </w:pPr>
            <w:r w:rsidRPr="00595441">
              <w:rPr>
                <w:rFonts w:asciiTheme="minorBidi" w:hAnsiTheme="minorBidi"/>
                <w:sz w:val="20"/>
              </w:rPr>
              <w:t>Reporting the common adverse events (AEs) related to any of the interventional drugs e.g., hypoglycaemia, urinary tract infection, nausea, vomiting or cough.</w:t>
            </w:r>
          </w:p>
        </w:tc>
      </w:tr>
      <w:tr w:rsidR="00541812" w:rsidRPr="00595441" w14:paraId="7C102986" w14:textId="77777777" w:rsidTr="00BA7D2B">
        <w:tc>
          <w:tcPr>
            <w:tcW w:w="3240" w:type="dxa"/>
            <w:vMerge w:val="restart"/>
          </w:tcPr>
          <w:p w14:paraId="5E0B8230" w14:textId="7AD17CA7" w:rsidR="00541812" w:rsidRPr="00595441" w:rsidRDefault="00541812" w:rsidP="00541812">
            <w:pPr>
              <w:pStyle w:val="ListParagraph"/>
              <w:numPr>
                <w:ilvl w:val="0"/>
                <w:numId w:val="14"/>
              </w:numPr>
              <w:spacing w:line="259" w:lineRule="auto"/>
              <w:rPr>
                <w:rFonts w:asciiTheme="minorBidi" w:hAnsiTheme="minorBidi"/>
                <w:b/>
                <w:bCs/>
                <w:sz w:val="20"/>
              </w:rPr>
            </w:pPr>
            <w:r w:rsidRPr="00595441">
              <w:rPr>
                <w:rFonts w:asciiTheme="minorBidi" w:hAnsiTheme="minorBidi"/>
                <w:sz w:val="20"/>
                <w:shd w:val="clear" w:color="auto" w:fill="FFFFFF"/>
              </w:rPr>
              <w:t xml:space="preserve">Median </w:t>
            </w:r>
            <w:r w:rsidR="00202977" w:rsidRPr="00595441">
              <w:rPr>
                <w:rFonts w:asciiTheme="minorBidi" w:hAnsiTheme="minorBidi"/>
                <w:sz w:val="20"/>
                <w:shd w:val="clear" w:color="auto" w:fill="FFFFFF"/>
              </w:rPr>
              <w:t xml:space="preserve">number of </w:t>
            </w:r>
            <w:r w:rsidR="00367BC4" w:rsidRPr="00595441">
              <w:rPr>
                <w:rFonts w:asciiTheme="minorBidi" w:hAnsiTheme="minorBidi"/>
                <w:sz w:val="20"/>
                <w:shd w:val="clear" w:color="auto" w:fill="FFFFFF"/>
              </w:rPr>
              <w:t>occurrences</w:t>
            </w:r>
            <w:r w:rsidRPr="00595441">
              <w:rPr>
                <w:rFonts w:asciiTheme="minorBidi" w:hAnsiTheme="minorBidi"/>
                <w:sz w:val="20"/>
                <w:shd w:val="clear" w:color="auto" w:fill="FFFFFF"/>
              </w:rPr>
              <w:t xml:space="preserve"> of macroalbuminuria (urine albumin excretion rate (AER)≥300 mg/d) in each arm.</w:t>
            </w:r>
          </w:p>
        </w:tc>
        <w:tc>
          <w:tcPr>
            <w:tcW w:w="3487" w:type="dxa"/>
          </w:tcPr>
          <w:p w14:paraId="7A8E5276" w14:textId="2BBC0E2C" w:rsidR="00541812" w:rsidRPr="00595441" w:rsidRDefault="00541812" w:rsidP="00541812">
            <w:pPr>
              <w:pStyle w:val="BodyText"/>
              <w:numPr>
                <w:ilvl w:val="0"/>
                <w:numId w:val="14"/>
              </w:numPr>
              <w:rPr>
                <w:rFonts w:asciiTheme="minorBidi" w:hAnsiTheme="minorBidi" w:cstheme="minorBidi"/>
                <w:sz w:val="20"/>
              </w:rPr>
            </w:pPr>
            <w:r w:rsidRPr="00595441">
              <w:rPr>
                <w:rFonts w:asciiTheme="minorBidi" w:hAnsiTheme="minorBidi" w:cstheme="minorBidi"/>
                <w:sz w:val="20"/>
              </w:rPr>
              <w:t>Percentage of hospitalization due to hypoglycaemia in each arm.</w:t>
            </w:r>
          </w:p>
        </w:tc>
        <w:tc>
          <w:tcPr>
            <w:tcW w:w="3533" w:type="dxa"/>
            <w:vMerge/>
          </w:tcPr>
          <w:p w14:paraId="40FE6FB4" w14:textId="77777777" w:rsidR="00541812" w:rsidRPr="00595441" w:rsidRDefault="00541812" w:rsidP="000B45C6">
            <w:pPr>
              <w:pStyle w:val="BodyText"/>
              <w:spacing w:after="240"/>
              <w:rPr>
                <w:rFonts w:asciiTheme="minorBidi" w:hAnsiTheme="minorBidi" w:cstheme="minorBidi"/>
                <w:sz w:val="20"/>
              </w:rPr>
            </w:pPr>
          </w:p>
        </w:tc>
      </w:tr>
      <w:tr w:rsidR="00A63C80" w:rsidRPr="00595441" w14:paraId="55F719E2" w14:textId="77777777" w:rsidTr="00BA7D2B">
        <w:trPr>
          <w:trHeight w:val="950"/>
        </w:trPr>
        <w:tc>
          <w:tcPr>
            <w:tcW w:w="3240" w:type="dxa"/>
            <w:vMerge/>
          </w:tcPr>
          <w:p w14:paraId="1315F16B" w14:textId="77777777" w:rsidR="00A63C80" w:rsidRPr="00595441" w:rsidRDefault="00A63C80" w:rsidP="000B45C6">
            <w:pPr>
              <w:pStyle w:val="BodyText"/>
              <w:spacing w:after="240"/>
              <w:rPr>
                <w:rFonts w:asciiTheme="minorBidi" w:hAnsiTheme="minorBidi" w:cstheme="minorBidi"/>
                <w:sz w:val="20"/>
              </w:rPr>
            </w:pPr>
          </w:p>
        </w:tc>
        <w:tc>
          <w:tcPr>
            <w:tcW w:w="3487" w:type="dxa"/>
          </w:tcPr>
          <w:p w14:paraId="4BDB5389" w14:textId="752B9E6C" w:rsidR="00A63C80" w:rsidRPr="00595441" w:rsidRDefault="00A63C80" w:rsidP="00541812">
            <w:pPr>
              <w:pStyle w:val="BodyText"/>
              <w:numPr>
                <w:ilvl w:val="0"/>
                <w:numId w:val="14"/>
              </w:numPr>
              <w:rPr>
                <w:rFonts w:asciiTheme="minorBidi" w:hAnsiTheme="minorBidi" w:cstheme="minorBidi"/>
                <w:sz w:val="20"/>
              </w:rPr>
            </w:pPr>
            <w:r w:rsidRPr="00595441">
              <w:rPr>
                <w:rFonts w:asciiTheme="minorBidi" w:hAnsiTheme="minorBidi" w:cstheme="minorBidi"/>
                <w:sz w:val="20"/>
              </w:rPr>
              <w:t>Percentage of hospitalization due to any cause in each arm.</w:t>
            </w:r>
          </w:p>
        </w:tc>
        <w:tc>
          <w:tcPr>
            <w:tcW w:w="3533" w:type="dxa"/>
          </w:tcPr>
          <w:p w14:paraId="38209B6B" w14:textId="1CBF891B" w:rsidR="00A63C80" w:rsidRPr="00595441" w:rsidRDefault="00A63C80" w:rsidP="00A63C80">
            <w:pPr>
              <w:pStyle w:val="BodyText"/>
              <w:numPr>
                <w:ilvl w:val="0"/>
                <w:numId w:val="14"/>
              </w:numPr>
              <w:rPr>
                <w:rFonts w:asciiTheme="minorBidi" w:hAnsiTheme="minorBidi" w:cstheme="minorBidi"/>
                <w:sz w:val="20"/>
              </w:rPr>
            </w:pPr>
            <w:r w:rsidRPr="00595441">
              <w:rPr>
                <w:rFonts w:asciiTheme="minorBidi" w:hAnsiTheme="minorBidi" w:cstheme="minorBidi"/>
                <w:sz w:val="20"/>
              </w:rPr>
              <w:t>Each of the common AEs will receive a code to facilitate reporting in the eCRF.</w:t>
            </w:r>
          </w:p>
        </w:tc>
      </w:tr>
    </w:tbl>
    <w:p w14:paraId="5B8A8D0A" w14:textId="15380170" w:rsidR="00541812" w:rsidRPr="00595441" w:rsidRDefault="00A63C80" w:rsidP="00F90245">
      <w:pPr>
        <w:pStyle w:val="BodyText"/>
        <w:rPr>
          <w:rFonts w:asciiTheme="minorBidi" w:hAnsiTheme="minorBidi" w:cstheme="minorBidi"/>
          <w:sz w:val="16"/>
          <w:szCs w:val="16"/>
        </w:rPr>
      </w:pPr>
      <w:r w:rsidRPr="00595441">
        <w:rPr>
          <w:rFonts w:asciiTheme="minorBidi" w:hAnsiTheme="minorBidi" w:cstheme="minorBidi"/>
          <w:b/>
          <w:bCs/>
          <w:sz w:val="16"/>
          <w:szCs w:val="16"/>
        </w:rPr>
        <w:t xml:space="preserve">Table </w:t>
      </w:r>
      <w:r w:rsidR="007F5F62" w:rsidRPr="00595441">
        <w:rPr>
          <w:rFonts w:asciiTheme="minorBidi" w:hAnsiTheme="minorBidi" w:cstheme="minorBidi"/>
          <w:b/>
          <w:bCs/>
          <w:sz w:val="16"/>
          <w:szCs w:val="16"/>
        </w:rPr>
        <w:t>3</w:t>
      </w:r>
      <w:r w:rsidRPr="00595441">
        <w:rPr>
          <w:rFonts w:asciiTheme="minorBidi" w:hAnsiTheme="minorBidi" w:cstheme="minorBidi"/>
          <w:b/>
          <w:bCs/>
          <w:sz w:val="16"/>
          <w:szCs w:val="16"/>
        </w:rPr>
        <w:t>:</w:t>
      </w:r>
      <w:r w:rsidRPr="00595441">
        <w:rPr>
          <w:rFonts w:asciiTheme="minorBidi" w:hAnsiTheme="minorBidi" w:cstheme="minorBidi"/>
          <w:sz w:val="16"/>
          <w:szCs w:val="16"/>
        </w:rPr>
        <w:t xml:space="preserve"> Showing the study outcomes/endpoints, from primary, secondary and safety endpoints.</w:t>
      </w:r>
      <w:r w:rsidR="00BA7D2B" w:rsidRPr="00595441">
        <w:rPr>
          <w:rFonts w:asciiTheme="minorBidi" w:hAnsiTheme="minorBidi" w:cstheme="minorBidi"/>
          <w:sz w:val="16"/>
          <w:szCs w:val="16"/>
        </w:rPr>
        <w:t xml:space="preserve"> </w:t>
      </w:r>
    </w:p>
    <w:p w14:paraId="2CA01041" w14:textId="7198A60D" w:rsidR="00BA7D2B" w:rsidRPr="00595441" w:rsidRDefault="00BA7D2B" w:rsidP="00BA7D2B">
      <w:pPr>
        <w:pStyle w:val="BodyText"/>
        <w:numPr>
          <w:ilvl w:val="0"/>
          <w:numId w:val="8"/>
        </w:numPr>
        <w:ind w:right="0"/>
        <w:rPr>
          <w:rFonts w:asciiTheme="minorBidi" w:hAnsiTheme="minorBidi" w:cstheme="minorBidi"/>
          <w:b/>
          <w:bCs/>
          <w:sz w:val="16"/>
          <w:szCs w:val="16"/>
          <w:u w:val="single"/>
        </w:rPr>
      </w:pPr>
      <w:r w:rsidRPr="00595441">
        <w:rPr>
          <w:rFonts w:asciiTheme="minorBidi" w:hAnsiTheme="minorBidi" w:cstheme="minorBidi"/>
          <w:color w:val="FF0000"/>
          <w:sz w:val="16"/>
          <w:szCs w:val="16"/>
        </w:rPr>
        <w:t xml:space="preserve"> *</w:t>
      </w:r>
      <w:r w:rsidRPr="00595441">
        <w:rPr>
          <w:rFonts w:asciiTheme="minorBidi" w:hAnsiTheme="minorBidi" w:cstheme="minorBidi"/>
          <w:color w:val="000000" w:themeColor="text1"/>
          <w:sz w:val="16"/>
          <w:szCs w:val="16"/>
        </w:rPr>
        <w:t xml:space="preserve"> </w:t>
      </w:r>
      <w:r w:rsidRPr="00595441">
        <w:rPr>
          <w:rFonts w:asciiTheme="minorBidi" w:hAnsiTheme="minorBidi" w:cstheme="minorBidi"/>
          <w:sz w:val="16"/>
          <w:szCs w:val="16"/>
          <w:u w:val="single"/>
        </w:rPr>
        <w:t>MACE:</w:t>
      </w:r>
      <w:r w:rsidRPr="00595441">
        <w:rPr>
          <w:rFonts w:asciiTheme="minorBidi" w:hAnsiTheme="minorBidi" w:cstheme="minorBidi"/>
          <w:sz w:val="16"/>
          <w:szCs w:val="16"/>
        </w:rPr>
        <w:t xml:space="preserve"> the composite of total death, myocardial infarction, coronary revascularization, stroke, and hospitalization because of heart failure. </w:t>
      </w:r>
    </w:p>
    <w:p w14:paraId="0AB513B6" w14:textId="139C6342" w:rsidR="00BA7D2B" w:rsidRPr="00595441" w:rsidRDefault="00BA7D2B" w:rsidP="00A63C80">
      <w:pPr>
        <w:pStyle w:val="BodyText"/>
        <w:spacing w:after="240"/>
        <w:rPr>
          <w:rFonts w:asciiTheme="minorBidi" w:hAnsiTheme="minorBidi" w:cstheme="minorBidi"/>
          <w:color w:val="000000" w:themeColor="text1"/>
          <w:sz w:val="18"/>
          <w:szCs w:val="18"/>
        </w:rPr>
      </w:pPr>
    </w:p>
    <w:p w14:paraId="541016B9" w14:textId="0737740A" w:rsidR="000B45C6" w:rsidRPr="00595441" w:rsidRDefault="000B45C6" w:rsidP="000B45C6">
      <w:pPr>
        <w:pStyle w:val="BodyText"/>
        <w:spacing w:after="240"/>
        <w:rPr>
          <w:rFonts w:asciiTheme="minorBidi" w:hAnsiTheme="minorBidi" w:cstheme="minorBidi"/>
          <w:b/>
          <w:bCs/>
          <w:szCs w:val="22"/>
          <w:u w:val="single"/>
        </w:rPr>
      </w:pPr>
      <w:r w:rsidRPr="00595441">
        <w:rPr>
          <w:rFonts w:asciiTheme="minorBidi" w:hAnsiTheme="minorBidi" w:cstheme="minorBidi"/>
          <w:b/>
          <w:bCs/>
          <w:szCs w:val="22"/>
          <w:u w:val="single"/>
        </w:rPr>
        <w:t>Statistical Analysis Plan</w:t>
      </w:r>
      <w:r w:rsidR="00D75A49" w:rsidRPr="00595441">
        <w:rPr>
          <w:rFonts w:asciiTheme="minorBidi" w:hAnsiTheme="minorBidi" w:cstheme="minorBidi"/>
          <w:b/>
          <w:bCs/>
          <w:szCs w:val="22"/>
        </w:rPr>
        <w:t>:</w:t>
      </w:r>
      <w:r w:rsidR="00291EE7" w:rsidRPr="00595441">
        <w:rPr>
          <w:rFonts w:asciiTheme="minorBidi" w:hAnsiTheme="minorBidi" w:cstheme="minorBidi"/>
          <w:b/>
          <w:bCs/>
          <w:szCs w:val="22"/>
          <w:u w:val="single"/>
        </w:rPr>
        <w:t xml:space="preserve"> </w:t>
      </w:r>
    </w:p>
    <w:p w14:paraId="08449CAA" w14:textId="12BBB2BA"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Simple descriptive statistics will initially be employed to summarize the outcome of each arm of the study. Two sample proportion tests will be used to assess for the significance of any differences between arms: 1a and 2a; 1b and 2b as well as overall </w:t>
      </w:r>
      <w:r w:rsidR="00367BC4" w:rsidRPr="00595441">
        <w:rPr>
          <w:rFonts w:asciiTheme="minorBidi" w:hAnsiTheme="minorBidi" w:cstheme="minorBidi"/>
          <w:sz w:val="20"/>
        </w:rPr>
        <w:t xml:space="preserve">difference </w:t>
      </w:r>
      <w:r w:rsidRPr="00595441">
        <w:rPr>
          <w:rFonts w:asciiTheme="minorBidi" w:hAnsiTheme="minorBidi" w:cstheme="minorBidi"/>
          <w:sz w:val="20"/>
        </w:rPr>
        <w:t xml:space="preserve">between arms 1 and 2. </w:t>
      </w:r>
    </w:p>
    <w:p w14:paraId="4B3AD6FC" w14:textId="77777777" w:rsidR="000B45C6" w:rsidRPr="00595441" w:rsidRDefault="000B45C6" w:rsidP="000B45C6">
      <w:pPr>
        <w:pStyle w:val="BodyText"/>
        <w:spacing w:after="240"/>
        <w:rPr>
          <w:rFonts w:asciiTheme="minorBidi" w:hAnsiTheme="minorBidi" w:cstheme="minorBidi"/>
          <w:sz w:val="20"/>
        </w:rPr>
      </w:pPr>
      <w:r w:rsidRPr="00595441">
        <w:rPr>
          <w:rFonts w:asciiTheme="minorBidi" w:hAnsiTheme="minorBidi" w:cstheme="minorBidi"/>
          <w:sz w:val="20"/>
        </w:rPr>
        <w:t xml:space="preserve">Bonferroni corrections will be used due to multiple testing. A 5% level of significance will be set, and test will be performed using IBM SPSS v28.0. </w:t>
      </w:r>
    </w:p>
    <w:p w14:paraId="0D73FF35" w14:textId="0829B4CB" w:rsidR="0032007F" w:rsidRPr="00595441" w:rsidRDefault="0032007F" w:rsidP="008B2168">
      <w:pPr>
        <w:pStyle w:val="BodyText"/>
        <w:spacing w:after="240"/>
        <w:rPr>
          <w:rFonts w:asciiTheme="minorBidi" w:hAnsiTheme="minorBidi" w:cstheme="minorBidi"/>
          <w:b/>
          <w:bCs/>
          <w:i/>
          <w:iCs/>
          <w:sz w:val="20"/>
        </w:rPr>
      </w:pPr>
      <w:r w:rsidRPr="00595441">
        <w:rPr>
          <w:rFonts w:asciiTheme="minorBidi" w:hAnsiTheme="minorBidi" w:cstheme="minorBidi"/>
          <w:b/>
          <w:bCs/>
          <w:i/>
          <w:iCs/>
          <w:sz w:val="20"/>
        </w:rPr>
        <w:t xml:space="preserve">Prespecified Eligibility </w:t>
      </w:r>
      <w:r w:rsidR="008B2168" w:rsidRPr="00595441">
        <w:rPr>
          <w:rFonts w:asciiTheme="minorBidi" w:hAnsiTheme="minorBidi" w:cstheme="minorBidi"/>
          <w:b/>
          <w:bCs/>
          <w:i/>
          <w:iCs/>
          <w:sz w:val="20"/>
        </w:rPr>
        <w:t>for</w:t>
      </w:r>
      <w:r w:rsidRPr="00595441">
        <w:rPr>
          <w:rFonts w:asciiTheme="minorBidi" w:hAnsiTheme="minorBidi" w:cstheme="minorBidi"/>
          <w:b/>
          <w:bCs/>
          <w:i/>
          <w:iCs/>
          <w:sz w:val="20"/>
        </w:rPr>
        <w:t xml:space="preserve"> Analysis:</w:t>
      </w:r>
    </w:p>
    <w:p w14:paraId="1569D799" w14:textId="4F1DADCF" w:rsidR="008B2168" w:rsidRPr="00595441" w:rsidRDefault="008B2168" w:rsidP="008B2168">
      <w:pPr>
        <w:pStyle w:val="BodyText"/>
        <w:spacing w:after="240"/>
        <w:rPr>
          <w:rFonts w:asciiTheme="minorBidi" w:hAnsiTheme="minorBidi" w:cstheme="minorBidi"/>
          <w:sz w:val="20"/>
        </w:rPr>
      </w:pPr>
      <w:r w:rsidRPr="00595441">
        <w:rPr>
          <w:rFonts w:asciiTheme="minorBidi" w:hAnsiTheme="minorBidi" w:cstheme="minorBidi"/>
          <w:sz w:val="20"/>
        </w:rPr>
        <w:t>Patients will be non-compliant for 3 or more visits and will not achieve their assigned HbA1c target, will be excluded from the study and will not be eligible for analysis.</w:t>
      </w:r>
    </w:p>
    <w:p w14:paraId="110D1693" w14:textId="77777777" w:rsidR="008B2168" w:rsidRPr="00595441" w:rsidRDefault="008B2168" w:rsidP="008B2168">
      <w:pPr>
        <w:pStyle w:val="BodyText"/>
        <w:spacing w:after="240"/>
        <w:rPr>
          <w:rFonts w:asciiTheme="minorBidi" w:hAnsiTheme="minorBidi" w:cstheme="minorBidi"/>
          <w:sz w:val="20"/>
        </w:rPr>
      </w:pPr>
    </w:p>
    <w:p w14:paraId="2B56685A" w14:textId="77777777" w:rsidR="000B45C6" w:rsidRPr="00595441" w:rsidRDefault="000B45C6" w:rsidP="000B45C6">
      <w:pPr>
        <w:pStyle w:val="BodyText"/>
        <w:rPr>
          <w:rFonts w:asciiTheme="minorBidi" w:hAnsiTheme="minorBidi" w:cstheme="minorBidi"/>
          <w:b/>
          <w:bCs/>
          <w:color w:val="000000" w:themeColor="text1"/>
        </w:rPr>
      </w:pPr>
      <w:r w:rsidRPr="00595441">
        <w:rPr>
          <w:rFonts w:asciiTheme="minorBidi" w:hAnsiTheme="minorBidi" w:cstheme="minorBidi"/>
          <w:b/>
          <w:bCs/>
          <w:color w:val="000000" w:themeColor="text1"/>
        </w:rPr>
        <w:t>Study Assumptions:</w:t>
      </w:r>
    </w:p>
    <w:p w14:paraId="2CEE0044" w14:textId="77777777" w:rsidR="000B45C6" w:rsidRPr="00595441" w:rsidRDefault="000B45C6" w:rsidP="000B45C6">
      <w:pPr>
        <w:pStyle w:val="BodyText"/>
        <w:rPr>
          <w:rFonts w:asciiTheme="minorBidi" w:hAnsiTheme="minorBidi" w:cstheme="minorBidi"/>
          <w:b/>
          <w:bCs/>
          <w:color w:val="000000" w:themeColor="text1"/>
        </w:rPr>
      </w:pPr>
    </w:p>
    <w:p w14:paraId="418CF3B0" w14:textId="77777777" w:rsidR="000B45C6" w:rsidRPr="00595441" w:rsidRDefault="000B45C6" w:rsidP="000B45C6">
      <w:pPr>
        <w:pStyle w:val="BodyText"/>
        <w:rPr>
          <w:rFonts w:asciiTheme="minorBidi" w:hAnsiTheme="minorBidi" w:cstheme="minorBidi"/>
          <w:b/>
          <w:bCs/>
          <w:color w:val="000000" w:themeColor="text1"/>
          <w:sz w:val="20"/>
        </w:rPr>
      </w:pPr>
      <w:r w:rsidRPr="00595441">
        <w:rPr>
          <w:rFonts w:asciiTheme="minorBidi" w:hAnsiTheme="minorBidi" w:cstheme="minorBidi"/>
          <w:color w:val="000000" w:themeColor="text1"/>
          <w:sz w:val="20"/>
        </w:rPr>
        <w:t>Total number of patients: 482</w:t>
      </w:r>
    </w:p>
    <w:p w14:paraId="576D8F9C" w14:textId="77777777" w:rsidR="000B45C6" w:rsidRPr="00595441" w:rsidRDefault="000B45C6" w:rsidP="000B45C6">
      <w:pPr>
        <w:pStyle w:val="BodyText"/>
        <w:rPr>
          <w:rFonts w:asciiTheme="minorBidi" w:hAnsiTheme="minorBidi" w:cstheme="minorBidi"/>
          <w:b/>
          <w:bCs/>
          <w:color w:val="000000" w:themeColor="text1"/>
          <w:sz w:val="20"/>
        </w:rPr>
      </w:pPr>
      <w:r w:rsidRPr="00595441">
        <w:rPr>
          <w:rFonts w:asciiTheme="minorBidi" w:hAnsiTheme="minorBidi" w:cstheme="minorBidi"/>
          <w:color w:val="000000" w:themeColor="text1"/>
          <w:sz w:val="20"/>
        </w:rPr>
        <w:t>Recruitment period: 12 months</w:t>
      </w:r>
    </w:p>
    <w:p w14:paraId="212B4A5C" w14:textId="15A4E2C3" w:rsidR="000B45C6" w:rsidRPr="00595441" w:rsidRDefault="000B45C6" w:rsidP="000B45C6">
      <w:pPr>
        <w:pStyle w:val="BodyText"/>
        <w:rPr>
          <w:rFonts w:asciiTheme="minorBidi" w:hAnsiTheme="minorBidi" w:cstheme="minorBidi"/>
          <w:color w:val="000000" w:themeColor="text1"/>
          <w:sz w:val="20"/>
        </w:rPr>
      </w:pPr>
      <w:r w:rsidRPr="00595441">
        <w:rPr>
          <w:rFonts w:asciiTheme="minorBidi" w:hAnsiTheme="minorBidi" w:cstheme="minorBidi"/>
          <w:color w:val="000000" w:themeColor="text1"/>
          <w:sz w:val="20"/>
        </w:rPr>
        <w:t xml:space="preserve">Accrual intervals: </w:t>
      </w:r>
      <w:r w:rsidR="008E159A" w:rsidRPr="00595441">
        <w:rPr>
          <w:rFonts w:asciiTheme="minorBidi" w:hAnsiTheme="minorBidi" w:cstheme="minorBidi"/>
          <w:color w:val="000000" w:themeColor="text1"/>
          <w:sz w:val="20"/>
        </w:rPr>
        <w:t>9.3 patients per week</w:t>
      </w:r>
    </w:p>
    <w:p w14:paraId="14D07A79" w14:textId="77777777" w:rsidR="000B45C6" w:rsidRPr="00595441" w:rsidRDefault="000B45C6" w:rsidP="000B45C6">
      <w:pPr>
        <w:pStyle w:val="BodyText"/>
        <w:rPr>
          <w:rFonts w:asciiTheme="minorBidi" w:hAnsiTheme="minorBidi" w:cstheme="minorBidi"/>
          <w:color w:val="000000" w:themeColor="text1"/>
          <w:sz w:val="20"/>
        </w:rPr>
      </w:pPr>
      <w:r w:rsidRPr="00595441">
        <w:rPr>
          <w:rFonts w:asciiTheme="minorBidi" w:hAnsiTheme="minorBidi" w:cstheme="minorBidi"/>
          <w:color w:val="000000" w:themeColor="text1"/>
          <w:sz w:val="20"/>
        </w:rPr>
        <w:t>Follow-up intervals: 60 months</w:t>
      </w:r>
    </w:p>
    <w:p w14:paraId="1CF73FA3" w14:textId="77777777" w:rsidR="000B45C6" w:rsidRPr="00595441" w:rsidRDefault="000B45C6" w:rsidP="000B45C6">
      <w:pPr>
        <w:pStyle w:val="BodyText"/>
        <w:spacing w:after="240"/>
        <w:rPr>
          <w:rFonts w:asciiTheme="minorBidi" w:hAnsiTheme="minorBidi" w:cstheme="minorBidi"/>
          <w:b/>
          <w:bCs/>
          <w:color w:val="000000" w:themeColor="text1"/>
          <w:sz w:val="20"/>
        </w:rPr>
      </w:pPr>
      <w:r w:rsidRPr="00595441">
        <w:rPr>
          <w:rFonts w:asciiTheme="minorBidi" w:hAnsiTheme="minorBidi" w:cstheme="minorBidi"/>
          <w:color w:val="000000" w:themeColor="text1"/>
          <w:sz w:val="20"/>
        </w:rPr>
        <w:t>Median time to an event (best estimate): 7.5 years</w:t>
      </w:r>
    </w:p>
    <w:p w14:paraId="54511539" w14:textId="03C74F23" w:rsidR="000B45C6" w:rsidRPr="00595441" w:rsidRDefault="000B45C6" w:rsidP="000B45C6">
      <w:pPr>
        <w:pStyle w:val="BodyText"/>
        <w:spacing w:after="240"/>
        <w:rPr>
          <w:rFonts w:asciiTheme="minorBidi" w:hAnsiTheme="minorBidi" w:cstheme="minorBidi"/>
          <w:b/>
          <w:bCs/>
          <w:color w:val="000000" w:themeColor="text1"/>
          <w:sz w:val="20"/>
        </w:rPr>
      </w:pPr>
      <w:r w:rsidRPr="00595441">
        <w:rPr>
          <w:rFonts w:asciiTheme="minorBidi" w:hAnsiTheme="minorBidi" w:cstheme="minorBidi"/>
          <w:color w:val="000000" w:themeColor="text1"/>
          <w:sz w:val="20"/>
        </w:rPr>
        <w:t xml:space="preserve">A total of 482 patients will enter this </w:t>
      </w:r>
      <w:r w:rsidR="00A03E6E" w:rsidRPr="00595441">
        <w:rPr>
          <w:rFonts w:asciiTheme="minorBidi" w:hAnsiTheme="minorBidi" w:cstheme="minorBidi"/>
          <w:color w:val="000000" w:themeColor="text1"/>
          <w:sz w:val="20"/>
        </w:rPr>
        <w:t>two-treatment</w:t>
      </w:r>
      <w:r w:rsidRPr="00595441">
        <w:rPr>
          <w:rFonts w:asciiTheme="minorBidi" w:hAnsiTheme="minorBidi" w:cstheme="minorBidi"/>
          <w:color w:val="000000" w:themeColor="text1"/>
          <w:sz w:val="20"/>
        </w:rPr>
        <w:t xml:space="preserve"> parallel-design </w:t>
      </w:r>
      <w:r w:rsidR="00A03E6E" w:rsidRPr="00595441">
        <w:rPr>
          <w:rFonts w:asciiTheme="minorBidi" w:hAnsiTheme="minorBidi" w:cstheme="minorBidi"/>
          <w:color w:val="000000" w:themeColor="text1"/>
          <w:sz w:val="20"/>
        </w:rPr>
        <w:t>study. The</w:t>
      </w:r>
      <w:r w:rsidRPr="00595441">
        <w:rPr>
          <w:rFonts w:asciiTheme="minorBidi" w:hAnsiTheme="minorBidi" w:cstheme="minorBidi"/>
          <w:color w:val="000000" w:themeColor="text1"/>
          <w:sz w:val="20"/>
        </w:rPr>
        <w:t xml:space="preserve"> probability is 80 percent that the study will detect a treatment difference at a </w:t>
      </w:r>
      <w:r w:rsidR="00A03E6E" w:rsidRPr="00595441">
        <w:rPr>
          <w:rFonts w:asciiTheme="minorBidi" w:hAnsiTheme="minorBidi" w:cstheme="minorBidi"/>
          <w:color w:val="000000" w:themeColor="text1"/>
          <w:sz w:val="20"/>
        </w:rPr>
        <w:t>two-sided</w:t>
      </w:r>
      <w:r w:rsidRPr="00595441">
        <w:rPr>
          <w:rFonts w:asciiTheme="minorBidi" w:hAnsiTheme="minorBidi" w:cstheme="minorBidi"/>
          <w:color w:val="000000" w:themeColor="text1"/>
          <w:sz w:val="20"/>
        </w:rPr>
        <w:t xml:space="preserve"> 5.0 percent significance </w:t>
      </w:r>
      <w:r w:rsidR="00A03E6E" w:rsidRPr="00595441">
        <w:rPr>
          <w:rFonts w:asciiTheme="minorBidi" w:hAnsiTheme="minorBidi" w:cstheme="minorBidi"/>
          <w:color w:val="000000" w:themeColor="text1"/>
          <w:sz w:val="20"/>
        </w:rPr>
        <w:t>level if</w:t>
      </w:r>
      <w:r w:rsidRPr="00595441">
        <w:rPr>
          <w:rFonts w:asciiTheme="minorBidi" w:hAnsiTheme="minorBidi" w:cstheme="minorBidi"/>
          <w:color w:val="000000" w:themeColor="text1"/>
          <w:sz w:val="20"/>
        </w:rPr>
        <w:t xml:space="preserve"> the true hazard ratio is 1.555. This is based on the assumption that the accrual period will be 12 Months and the follow up period will be 60 Months and the median survival is 90 Months. The total number of events will be 158.</w:t>
      </w:r>
    </w:p>
    <w:p w14:paraId="45A810B6" w14:textId="77777777" w:rsidR="000B45C6" w:rsidRPr="00595441" w:rsidRDefault="000B45C6" w:rsidP="00F5150E">
      <w:pPr>
        <w:pStyle w:val="BodyText"/>
        <w:spacing w:before="240" w:after="240"/>
        <w:rPr>
          <w:rFonts w:asciiTheme="minorBidi" w:hAnsiTheme="minorBidi" w:cstheme="minorBidi"/>
          <w:b/>
          <w:bCs/>
        </w:rPr>
      </w:pPr>
      <w:r w:rsidRPr="00595441">
        <w:rPr>
          <w:rFonts w:asciiTheme="minorBidi" w:hAnsiTheme="minorBidi" w:cstheme="minorBidi"/>
          <w:b/>
          <w:bCs/>
        </w:rPr>
        <w:t xml:space="preserve">Ethical Approval (EC): </w:t>
      </w:r>
    </w:p>
    <w:p w14:paraId="77D649E3" w14:textId="36D1543B" w:rsidR="000B45C6" w:rsidRPr="00595441" w:rsidRDefault="0020133C" w:rsidP="000B45C6">
      <w:pPr>
        <w:pStyle w:val="BodyText"/>
        <w:spacing w:after="240"/>
        <w:rPr>
          <w:rFonts w:asciiTheme="minorBidi" w:hAnsiTheme="minorBidi" w:cstheme="minorBidi"/>
          <w:sz w:val="20"/>
        </w:rPr>
      </w:pPr>
      <w:r w:rsidRPr="00595441">
        <w:rPr>
          <w:rFonts w:asciiTheme="minorBidi" w:hAnsiTheme="minorBidi" w:cstheme="minorBidi"/>
          <w:sz w:val="20"/>
        </w:rPr>
        <w:lastRenderedPageBreak/>
        <w:t xml:space="preserve">As this is </w:t>
      </w:r>
      <w:r w:rsidR="00A03E6E" w:rsidRPr="00595441">
        <w:rPr>
          <w:rFonts w:asciiTheme="minorBidi" w:hAnsiTheme="minorBidi" w:cstheme="minorBidi"/>
          <w:sz w:val="20"/>
        </w:rPr>
        <w:t xml:space="preserve">currently </w:t>
      </w:r>
      <w:r w:rsidRPr="00595441">
        <w:rPr>
          <w:rFonts w:asciiTheme="minorBidi" w:hAnsiTheme="minorBidi" w:cstheme="minorBidi"/>
          <w:sz w:val="20"/>
        </w:rPr>
        <w:t>a protocol and the study will not be conducted</w:t>
      </w:r>
      <w:r w:rsidR="00A03E6E" w:rsidRPr="00595441">
        <w:rPr>
          <w:rFonts w:asciiTheme="minorBidi" w:hAnsiTheme="minorBidi" w:cstheme="minorBidi"/>
          <w:sz w:val="20"/>
        </w:rPr>
        <w:t xml:space="preserve"> now</w:t>
      </w:r>
      <w:r w:rsidRPr="00595441">
        <w:rPr>
          <w:rFonts w:asciiTheme="minorBidi" w:hAnsiTheme="minorBidi" w:cstheme="minorBidi"/>
          <w:sz w:val="20"/>
        </w:rPr>
        <w:t>, the EC approval will not be needed at this phase. If someone would like to conduct this protocol, an informed consent should be created and submitted to the regulatory authorities and hospital committees together with copy of the protocol to seek their approval.</w:t>
      </w:r>
    </w:p>
    <w:p w14:paraId="268C41CF" w14:textId="7F182841" w:rsidR="003324CD" w:rsidRPr="00595441" w:rsidRDefault="00345249" w:rsidP="00F5150E">
      <w:pPr>
        <w:spacing w:before="240" w:after="240"/>
        <w:jc w:val="left"/>
        <w:rPr>
          <w:rFonts w:asciiTheme="minorBidi" w:hAnsiTheme="minorBidi" w:cstheme="minorBidi"/>
          <w:b/>
          <w:bCs/>
          <w:szCs w:val="22"/>
          <w:lang w:val="en-GB"/>
        </w:rPr>
      </w:pPr>
      <w:r w:rsidRPr="00595441">
        <w:rPr>
          <w:rFonts w:asciiTheme="minorBidi" w:hAnsiTheme="minorBidi" w:cstheme="minorBidi"/>
          <w:b/>
          <w:bCs/>
          <w:szCs w:val="22"/>
          <w:lang w:val="en-GB"/>
        </w:rPr>
        <w:t xml:space="preserve">Discussion:  </w:t>
      </w:r>
    </w:p>
    <w:p w14:paraId="60029833" w14:textId="22E080B0" w:rsidR="00345249" w:rsidRPr="00595441" w:rsidRDefault="00F15EE5" w:rsidP="001A77F9">
      <w:pPr>
        <w:spacing w:after="240"/>
        <w:jc w:val="left"/>
        <w:rPr>
          <w:rFonts w:asciiTheme="minorBidi" w:hAnsiTheme="minorBidi" w:cstheme="minorBidi"/>
          <w:sz w:val="20"/>
          <w:lang w:val="en-GB"/>
        </w:rPr>
      </w:pPr>
      <w:r w:rsidRPr="00595441">
        <w:rPr>
          <w:rFonts w:asciiTheme="minorBidi" w:hAnsiTheme="minorBidi" w:cstheme="minorBidi"/>
          <w:szCs w:val="22"/>
          <w:lang w:val="en-GB"/>
        </w:rPr>
        <w:t xml:space="preserve"> </w:t>
      </w:r>
      <w:r w:rsidR="007D4E0A" w:rsidRPr="00595441">
        <w:rPr>
          <w:rFonts w:asciiTheme="minorBidi" w:hAnsiTheme="minorBidi" w:cstheme="minorBidi"/>
          <w:szCs w:val="22"/>
          <w:lang w:val="en-GB"/>
        </w:rPr>
        <w:t xml:space="preserve"> </w:t>
      </w:r>
      <w:r w:rsidR="007D4E0A" w:rsidRPr="00595441">
        <w:rPr>
          <w:rFonts w:asciiTheme="minorBidi" w:hAnsiTheme="minorBidi" w:cstheme="minorBidi"/>
          <w:sz w:val="20"/>
          <w:lang w:val="en-GB"/>
        </w:rPr>
        <w:t xml:space="preserve">As was described in the introduction, huge number of trials </w:t>
      </w:r>
      <w:r w:rsidR="00AA4A23" w:rsidRPr="00595441">
        <w:rPr>
          <w:rFonts w:asciiTheme="minorBidi" w:hAnsiTheme="minorBidi" w:cstheme="minorBidi"/>
          <w:sz w:val="20"/>
          <w:lang w:val="en-GB"/>
        </w:rPr>
        <w:t xml:space="preserve">have been </w:t>
      </w:r>
      <w:r w:rsidR="007D4E0A" w:rsidRPr="00595441">
        <w:rPr>
          <w:rFonts w:asciiTheme="minorBidi" w:hAnsiTheme="minorBidi" w:cstheme="minorBidi"/>
          <w:sz w:val="20"/>
          <w:lang w:val="en-GB"/>
        </w:rPr>
        <w:t xml:space="preserve">conducted by respected authors for the benefits of good control of </w:t>
      </w:r>
      <w:r w:rsidR="00CC6069" w:rsidRPr="00595441">
        <w:rPr>
          <w:rFonts w:asciiTheme="minorBidi" w:hAnsiTheme="minorBidi" w:cstheme="minorBidi"/>
          <w:sz w:val="20"/>
          <w:lang w:val="en-GB"/>
        </w:rPr>
        <w:t>hyperglycaemia</w:t>
      </w:r>
      <w:r w:rsidR="007D4E0A" w:rsidRPr="00595441">
        <w:rPr>
          <w:rFonts w:asciiTheme="minorBidi" w:hAnsiTheme="minorBidi" w:cstheme="minorBidi"/>
          <w:sz w:val="20"/>
          <w:lang w:val="en-GB"/>
        </w:rPr>
        <w:t xml:space="preserve"> and hypertension and how this control will benefit type II diabetes patients in the prevention and/or delay of microvascular complications, including the progression into end stage renal disease, which is the topic of this study. </w:t>
      </w:r>
    </w:p>
    <w:p w14:paraId="4FF7B77D" w14:textId="4ADED1FB" w:rsidR="000D75B3" w:rsidRPr="00595441" w:rsidRDefault="007D4E0A" w:rsidP="000B45C6">
      <w:pPr>
        <w:jc w:val="left"/>
        <w:rPr>
          <w:rFonts w:asciiTheme="minorBidi" w:hAnsiTheme="minorBidi" w:cstheme="minorBidi"/>
          <w:sz w:val="20"/>
          <w:lang w:val="en-GB"/>
        </w:rPr>
      </w:pPr>
      <w:r w:rsidRPr="00595441">
        <w:rPr>
          <w:rFonts w:asciiTheme="minorBidi" w:hAnsiTheme="minorBidi" w:cstheme="minorBidi"/>
          <w:sz w:val="20"/>
          <w:lang w:val="en-GB"/>
        </w:rPr>
        <w:t xml:space="preserve">There was no consistency in the literature for the level of HbA1c that we should target to get the maximum benefits. They all agreed that HbA1c above 8% is directly </w:t>
      </w:r>
      <w:r w:rsidR="00204020" w:rsidRPr="00595441">
        <w:rPr>
          <w:rFonts w:asciiTheme="minorBidi" w:hAnsiTheme="minorBidi" w:cstheme="minorBidi"/>
          <w:sz w:val="20"/>
          <w:lang w:val="en-GB"/>
        </w:rPr>
        <w:t>link</w:t>
      </w:r>
      <w:r w:rsidRPr="00595441">
        <w:rPr>
          <w:rFonts w:asciiTheme="minorBidi" w:hAnsiTheme="minorBidi" w:cstheme="minorBidi"/>
          <w:sz w:val="20"/>
          <w:lang w:val="en-GB"/>
        </w:rPr>
        <w:t xml:space="preserve">ed </w:t>
      </w:r>
      <w:r w:rsidR="000D75B3" w:rsidRPr="00595441">
        <w:rPr>
          <w:rFonts w:asciiTheme="minorBidi" w:hAnsiTheme="minorBidi" w:cstheme="minorBidi"/>
          <w:sz w:val="20"/>
          <w:lang w:val="en-GB"/>
        </w:rPr>
        <w:t>to</w:t>
      </w:r>
      <w:r w:rsidRPr="00595441">
        <w:rPr>
          <w:rFonts w:asciiTheme="minorBidi" w:hAnsiTheme="minorBidi" w:cstheme="minorBidi"/>
          <w:sz w:val="20"/>
          <w:lang w:val="en-GB"/>
        </w:rPr>
        <w:t xml:space="preserve"> renal failure</w:t>
      </w:r>
      <w:r w:rsidR="000D75B3" w:rsidRPr="00595441">
        <w:rPr>
          <w:rFonts w:asciiTheme="minorBidi" w:hAnsiTheme="minorBidi" w:cstheme="minorBidi"/>
          <w:sz w:val="20"/>
          <w:lang w:val="en-GB"/>
        </w:rPr>
        <w:t xml:space="preserve"> and mortality.</w:t>
      </w:r>
      <w:r w:rsidRPr="00595441">
        <w:rPr>
          <w:rFonts w:asciiTheme="minorBidi" w:hAnsiTheme="minorBidi" w:cstheme="minorBidi"/>
          <w:sz w:val="20"/>
          <w:lang w:val="en-GB"/>
        </w:rPr>
        <w:t xml:space="preserve"> </w:t>
      </w:r>
    </w:p>
    <w:p w14:paraId="23FC804E" w14:textId="0E62349C" w:rsidR="000D75B3" w:rsidRPr="00595441" w:rsidRDefault="000D75B3" w:rsidP="000B45C6">
      <w:pPr>
        <w:jc w:val="left"/>
        <w:rPr>
          <w:rFonts w:asciiTheme="minorBidi" w:hAnsiTheme="minorBidi" w:cstheme="minorBidi"/>
          <w:sz w:val="20"/>
          <w:lang w:val="en-GB"/>
        </w:rPr>
      </w:pPr>
      <w:r w:rsidRPr="00595441">
        <w:rPr>
          <w:rFonts w:asciiTheme="minorBidi" w:hAnsiTheme="minorBidi" w:cstheme="minorBidi"/>
          <w:sz w:val="20"/>
          <w:lang w:val="en-GB"/>
        </w:rPr>
        <w:t>A</w:t>
      </w:r>
      <w:r w:rsidR="007D4E0A" w:rsidRPr="00595441">
        <w:rPr>
          <w:rFonts w:asciiTheme="minorBidi" w:hAnsiTheme="minorBidi" w:cstheme="minorBidi"/>
          <w:sz w:val="20"/>
          <w:lang w:val="en-GB"/>
        </w:rPr>
        <w:t xml:space="preserve">nd </w:t>
      </w:r>
      <w:r w:rsidRPr="00595441">
        <w:rPr>
          <w:rFonts w:asciiTheme="minorBidi" w:hAnsiTheme="minorBidi" w:cstheme="minorBidi"/>
          <w:sz w:val="20"/>
          <w:lang w:val="en-GB"/>
        </w:rPr>
        <w:t xml:space="preserve">the majority also stated that </w:t>
      </w:r>
      <w:r w:rsidR="007D4E0A" w:rsidRPr="00595441">
        <w:rPr>
          <w:rFonts w:asciiTheme="minorBidi" w:hAnsiTheme="minorBidi" w:cstheme="minorBidi"/>
          <w:sz w:val="20"/>
          <w:lang w:val="en-GB"/>
        </w:rPr>
        <w:t xml:space="preserve">target of less than </w:t>
      </w:r>
      <w:r w:rsidRPr="00595441">
        <w:rPr>
          <w:rFonts w:asciiTheme="minorBidi" w:hAnsiTheme="minorBidi" w:cstheme="minorBidi"/>
          <w:sz w:val="20"/>
          <w:lang w:val="en-GB"/>
        </w:rPr>
        <w:t>6</w:t>
      </w:r>
      <w:r w:rsidR="007D4E0A" w:rsidRPr="00595441">
        <w:rPr>
          <w:rFonts w:asciiTheme="minorBidi" w:hAnsiTheme="minorBidi" w:cstheme="minorBidi"/>
          <w:sz w:val="20"/>
          <w:lang w:val="en-GB"/>
        </w:rPr>
        <w:t>% is</w:t>
      </w:r>
      <w:r w:rsidRPr="00595441">
        <w:rPr>
          <w:rFonts w:asciiTheme="minorBidi" w:hAnsiTheme="minorBidi" w:cstheme="minorBidi"/>
          <w:sz w:val="20"/>
          <w:lang w:val="en-GB"/>
        </w:rPr>
        <w:t xml:space="preserve"> also </w:t>
      </w:r>
      <w:r w:rsidR="00204020" w:rsidRPr="00595441">
        <w:rPr>
          <w:rFonts w:asciiTheme="minorBidi" w:hAnsiTheme="minorBidi" w:cstheme="minorBidi"/>
          <w:sz w:val="20"/>
          <w:lang w:val="en-GB"/>
        </w:rPr>
        <w:t>link</w:t>
      </w:r>
      <w:r w:rsidRPr="00595441">
        <w:rPr>
          <w:rFonts w:asciiTheme="minorBidi" w:hAnsiTheme="minorBidi" w:cstheme="minorBidi"/>
          <w:sz w:val="20"/>
          <w:lang w:val="en-GB"/>
        </w:rPr>
        <w:t>ed to higher mortality.</w:t>
      </w:r>
      <w:r w:rsidR="007D4E0A" w:rsidRPr="00595441">
        <w:rPr>
          <w:rFonts w:asciiTheme="minorBidi" w:hAnsiTheme="minorBidi" w:cstheme="minorBidi"/>
          <w:sz w:val="20"/>
          <w:lang w:val="en-GB"/>
        </w:rPr>
        <w:t xml:space="preserve"> </w:t>
      </w:r>
      <w:r w:rsidRPr="00595441">
        <w:rPr>
          <w:rFonts w:asciiTheme="minorBidi" w:hAnsiTheme="minorBidi" w:cstheme="minorBidi"/>
          <w:sz w:val="20"/>
          <w:lang w:val="en-GB"/>
        </w:rPr>
        <w:t xml:space="preserve">      </w:t>
      </w:r>
    </w:p>
    <w:p w14:paraId="64DFC281" w14:textId="04886142" w:rsidR="007D4E0A" w:rsidRPr="00595441" w:rsidRDefault="000D75B3" w:rsidP="001A77F9">
      <w:pPr>
        <w:spacing w:after="240"/>
        <w:jc w:val="left"/>
        <w:rPr>
          <w:rFonts w:asciiTheme="minorBidi" w:hAnsiTheme="minorBidi" w:cstheme="minorBidi"/>
          <w:sz w:val="20"/>
          <w:lang w:val="en-GB"/>
        </w:rPr>
      </w:pPr>
      <w:r w:rsidRPr="00595441">
        <w:rPr>
          <w:rFonts w:asciiTheme="minorBidi" w:hAnsiTheme="minorBidi" w:cstheme="minorBidi"/>
          <w:sz w:val="20"/>
          <w:lang w:val="en-GB"/>
        </w:rPr>
        <w:t xml:space="preserve">On the other hand, there was a consensus that target HbA1c of less </w:t>
      </w:r>
      <w:proofErr w:type="spellStart"/>
      <w:r w:rsidRPr="00595441">
        <w:rPr>
          <w:rFonts w:asciiTheme="minorBidi" w:hAnsiTheme="minorBidi" w:cstheme="minorBidi"/>
          <w:sz w:val="20"/>
          <w:lang w:val="en-GB"/>
        </w:rPr>
        <w:t>tha</w:t>
      </w:r>
      <w:proofErr w:type="spellEnd"/>
      <w:r w:rsidR="00A57E3E" w:rsidRPr="00595441">
        <w:rPr>
          <w:rFonts w:asciiTheme="minorBidi" w:hAnsiTheme="minorBidi" w:cstheme="minorBidi"/>
          <w:sz w:val="20"/>
          <w:lang w:val="en-GB"/>
        </w:rPr>
        <w:t xml:space="preserve"> </w:t>
      </w:r>
      <w:r w:rsidRPr="00595441">
        <w:rPr>
          <w:rFonts w:asciiTheme="minorBidi" w:hAnsiTheme="minorBidi" w:cstheme="minorBidi"/>
          <w:sz w:val="20"/>
          <w:lang w:val="en-GB"/>
        </w:rPr>
        <w:t xml:space="preserve">n 7.5% is </w:t>
      </w:r>
      <w:r w:rsidR="007D4E0A" w:rsidRPr="00595441">
        <w:rPr>
          <w:rFonts w:asciiTheme="minorBidi" w:hAnsiTheme="minorBidi" w:cstheme="minorBidi"/>
          <w:sz w:val="20"/>
          <w:lang w:val="en-GB"/>
        </w:rPr>
        <w:t>beneficial to protect against ESRD</w:t>
      </w:r>
      <w:r w:rsidRPr="00595441">
        <w:rPr>
          <w:rFonts w:asciiTheme="minorBidi" w:hAnsiTheme="minorBidi" w:cstheme="minorBidi"/>
          <w:sz w:val="20"/>
          <w:lang w:val="en-GB"/>
        </w:rPr>
        <w:t xml:space="preserve">, but it was not very clear whether </w:t>
      </w:r>
      <w:r w:rsidR="00A03E6E" w:rsidRPr="00595441">
        <w:rPr>
          <w:rFonts w:asciiTheme="minorBidi" w:hAnsiTheme="minorBidi" w:cstheme="minorBidi"/>
          <w:sz w:val="20"/>
          <w:lang w:val="en-GB"/>
        </w:rPr>
        <w:t>a target of</w:t>
      </w:r>
      <w:r w:rsidRPr="00595441">
        <w:rPr>
          <w:rFonts w:asciiTheme="minorBidi" w:hAnsiTheme="minorBidi" w:cstheme="minorBidi"/>
          <w:sz w:val="20"/>
          <w:lang w:val="en-GB"/>
        </w:rPr>
        <w:t xml:space="preserve"> 7% to 7.5% is better or worse than a target of 6.5% to 7%. </w:t>
      </w:r>
    </w:p>
    <w:p w14:paraId="48B977B8" w14:textId="2DDBB09C" w:rsidR="000D75B3" w:rsidRPr="00595441" w:rsidRDefault="000D75B3" w:rsidP="001A77F9">
      <w:pPr>
        <w:spacing w:after="240"/>
        <w:jc w:val="left"/>
        <w:rPr>
          <w:rFonts w:asciiTheme="minorBidi" w:hAnsiTheme="minorBidi" w:cstheme="minorBidi"/>
          <w:sz w:val="20"/>
          <w:lang w:val="en-GB"/>
        </w:rPr>
      </w:pPr>
      <w:r w:rsidRPr="00595441">
        <w:rPr>
          <w:rFonts w:asciiTheme="minorBidi" w:hAnsiTheme="minorBidi" w:cstheme="minorBidi"/>
          <w:sz w:val="20"/>
          <w:lang w:val="en-GB"/>
        </w:rPr>
        <w:t xml:space="preserve">Hence came the need to specifically </w:t>
      </w:r>
      <w:r w:rsidR="001A77F9" w:rsidRPr="00595441">
        <w:rPr>
          <w:rFonts w:asciiTheme="minorBidi" w:hAnsiTheme="minorBidi" w:cstheme="minorBidi"/>
          <w:sz w:val="20"/>
          <w:lang w:val="en-GB"/>
        </w:rPr>
        <w:t>investigate</w:t>
      </w:r>
      <w:r w:rsidRPr="00595441">
        <w:rPr>
          <w:rFonts w:asciiTheme="minorBidi" w:hAnsiTheme="minorBidi" w:cstheme="minorBidi"/>
          <w:sz w:val="20"/>
          <w:lang w:val="en-GB"/>
        </w:rPr>
        <w:t xml:space="preserve"> those two target ranges </w:t>
      </w:r>
      <w:r w:rsidR="001A77F9" w:rsidRPr="00595441">
        <w:rPr>
          <w:rFonts w:asciiTheme="minorBidi" w:hAnsiTheme="minorBidi" w:cstheme="minorBidi"/>
          <w:sz w:val="20"/>
          <w:lang w:val="en-GB"/>
        </w:rPr>
        <w:t xml:space="preserve">through a randomized clinical trial with the primary objective to settle the </w:t>
      </w:r>
      <w:r w:rsidR="00A03E6E" w:rsidRPr="00595441">
        <w:rPr>
          <w:rFonts w:asciiTheme="minorBidi" w:hAnsiTheme="minorBidi" w:cstheme="minorBidi"/>
          <w:sz w:val="20"/>
          <w:lang w:val="en-GB"/>
        </w:rPr>
        <w:t>ideal</w:t>
      </w:r>
      <w:r w:rsidR="001A77F9" w:rsidRPr="00595441">
        <w:rPr>
          <w:rFonts w:asciiTheme="minorBidi" w:hAnsiTheme="minorBidi" w:cstheme="minorBidi"/>
          <w:sz w:val="20"/>
          <w:lang w:val="en-GB"/>
        </w:rPr>
        <w:t xml:space="preserve"> range</w:t>
      </w:r>
      <w:r w:rsidR="00103F66" w:rsidRPr="00595441">
        <w:rPr>
          <w:rFonts w:asciiTheme="minorBidi" w:hAnsiTheme="minorBidi" w:cstheme="minorBidi"/>
          <w:sz w:val="20"/>
          <w:lang w:val="en-GB"/>
        </w:rPr>
        <w:t xml:space="preserve"> of HbA1c target,</w:t>
      </w:r>
      <w:r w:rsidR="001A77F9" w:rsidRPr="00595441">
        <w:rPr>
          <w:rFonts w:asciiTheme="minorBidi" w:hAnsiTheme="minorBidi" w:cstheme="minorBidi"/>
          <w:sz w:val="20"/>
          <w:lang w:val="en-GB"/>
        </w:rPr>
        <w:t xml:space="preserve"> which can protect the kidneys of type II diabetic patients. </w:t>
      </w:r>
    </w:p>
    <w:p w14:paraId="5F3EB7EE" w14:textId="31770597" w:rsidR="006D7F3A" w:rsidRPr="00595441" w:rsidRDefault="00F5150E" w:rsidP="001A77F9">
      <w:pPr>
        <w:spacing w:after="240"/>
        <w:jc w:val="left"/>
        <w:rPr>
          <w:rFonts w:asciiTheme="minorBidi" w:hAnsiTheme="minorBidi" w:cstheme="minorBidi"/>
          <w:b/>
          <w:bCs/>
          <w:szCs w:val="22"/>
          <w:lang w:val="en-GB"/>
        </w:rPr>
      </w:pPr>
      <w:r w:rsidRPr="00595441">
        <w:rPr>
          <w:rFonts w:asciiTheme="minorBidi" w:hAnsiTheme="minorBidi" w:cstheme="minorBidi"/>
          <w:b/>
          <w:bCs/>
        </w:rPr>
        <w:t>Strengths and Limitations of This Study:</w:t>
      </w:r>
    </w:p>
    <w:p w14:paraId="4A90B030" w14:textId="2818EA16" w:rsidR="003324CD" w:rsidRPr="00595441" w:rsidRDefault="0009134A" w:rsidP="0009134A">
      <w:pPr>
        <w:pStyle w:val="ListParagraph"/>
        <w:numPr>
          <w:ilvl w:val="0"/>
          <w:numId w:val="12"/>
        </w:numPr>
        <w:rPr>
          <w:rFonts w:asciiTheme="minorBidi" w:hAnsiTheme="minorBidi"/>
          <w:sz w:val="20"/>
          <w:szCs w:val="20"/>
        </w:rPr>
      </w:pPr>
      <w:r w:rsidRPr="00595441">
        <w:rPr>
          <w:rFonts w:asciiTheme="minorBidi" w:hAnsiTheme="minorBidi"/>
          <w:sz w:val="20"/>
          <w:szCs w:val="20"/>
        </w:rPr>
        <w:t>It can be a landmark study for the Middle East T2DM patients due to lack of similar studies conducted in this population.</w:t>
      </w:r>
    </w:p>
    <w:p w14:paraId="5054955F" w14:textId="7FA05139" w:rsidR="0009134A" w:rsidRPr="00595441" w:rsidRDefault="0009134A" w:rsidP="0009134A">
      <w:pPr>
        <w:pStyle w:val="ListParagraph"/>
        <w:numPr>
          <w:ilvl w:val="0"/>
          <w:numId w:val="12"/>
        </w:numPr>
        <w:rPr>
          <w:rFonts w:asciiTheme="minorBidi" w:hAnsiTheme="minorBidi"/>
          <w:sz w:val="20"/>
          <w:szCs w:val="20"/>
        </w:rPr>
      </w:pPr>
      <w:r w:rsidRPr="00595441">
        <w:rPr>
          <w:rFonts w:asciiTheme="minorBidi" w:hAnsiTheme="minorBidi"/>
          <w:sz w:val="20"/>
          <w:szCs w:val="20"/>
        </w:rPr>
        <w:t xml:space="preserve">The cost of medications and proposed lab tests in both groups might not be encouraging for </w:t>
      </w:r>
      <w:r w:rsidR="00F97775" w:rsidRPr="00595441">
        <w:rPr>
          <w:rFonts w:asciiTheme="minorBidi" w:hAnsiTheme="minorBidi"/>
          <w:sz w:val="20"/>
          <w:szCs w:val="20"/>
        </w:rPr>
        <w:t>independent</w:t>
      </w:r>
      <w:r w:rsidRPr="00595441">
        <w:rPr>
          <w:rFonts w:asciiTheme="minorBidi" w:hAnsiTheme="minorBidi"/>
          <w:sz w:val="20"/>
          <w:szCs w:val="20"/>
        </w:rPr>
        <w:t xml:space="preserve"> institution to conduct it</w:t>
      </w:r>
      <w:r w:rsidR="00F97775" w:rsidRPr="00595441">
        <w:rPr>
          <w:rFonts w:asciiTheme="minorBidi" w:hAnsiTheme="minorBidi"/>
          <w:sz w:val="20"/>
          <w:szCs w:val="20"/>
        </w:rPr>
        <w:t xml:space="preserve">, it may need a </w:t>
      </w:r>
      <w:r w:rsidR="0046063E" w:rsidRPr="00595441">
        <w:rPr>
          <w:rFonts w:asciiTheme="minorBidi" w:hAnsiTheme="minorBidi"/>
          <w:sz w:val="20"/>
          <w:szCs w:val="20"/>
        </w:rPr>
        <w:t>collaborative study group</w:t>
      </w:r>
      <w:r w:rsidR="00F97775" w:rsidRPr="00595441">
        <w:rPr>
          <w:rFonts w:asciiTheme="minorBidi" w:hAnsiTheme="minorBidi"/>
          <w:sz w:val="20"/>
          <w:szCs w:val="20"/>
        </w:rPr>
        <w:t xml:space="preserve"> to minimize the cost per each site.</w:t>
      </w:r>
    </w:p>
    <w:p w14:paraId="167A7E6E" w14:textId="2255C7EA" w:rsidR="0009134A" w:rsidRDefault="0009134A" w:rsidP="0009134A">
      <w:pPr>
        <w:pStyle w:val="ListParagraph"/>
        <w:numPr>
          <w:ilvl w:val="0"/>
          <w:numId w:val="12"/>
        </w:numPr>
        <w:rPr>
          <w:rFonts w:asciiTheme="minorBidi" w:hAnsiTheme="minorBidi"/>
          <w:sz w:val="20"/>
          <w:szCs w:val="20"/>
        </w:rPr>
      </w:pPr>
      <w:r w:rsidRPr="00595441">
        <w:rPr>
          <w:rFonts w:asciiTheme="minorBidi" w:hAnsiTheme="minorBidi"/>
          <w:sz w:val="20"/>
          <w:szCs w:val="20"/>
        </w:rPr>
        <w:t>Almost half of the population in the G</w:t>
      </w:r>
      <w:r w:rsidR="00BC5A68" w:rsidRPr="00595441">
        <w:rPr>
          <w:rFonts w:asciiTheme="minorBidi" w:hAnsiTheme="minorBidi"/>
          <w:sz w:val="20"/>
          <w:szCs w:val="20"/>
        </w:rPr>
        <w:t xml:space="preserve">ulf </w:t>
      </w:r>
      <w:r w:rsidRPr="00595441">
        <w:rPr>
          <w:rFonts w:asciiTheme="minorBidi" w:hAnsiTheme="minorBidi"/>
          <w:sz w:val="20"/>
          <w:szCs w:val="20"/>
        </w:rPr>
        <w:t>C</w:t>
      </w:r>
      <w:r w:rsidR="00BC5A68" w:rsidRPr="00595441">
        <w:rPr>
          <w:rFonts w:asciiTheme="minorBidi" w:hAnsiTheme="minorBidi"/>
          <w:sz w:val="20"/>
          <w:szCs w:val="20"/>
        </w:rPr>
        <w:t xml:space="preserve">ounsel </w:t>
      </w:r>
      <w:r w:rsidRPr="00595441">
        <w:rPr>
          <w:rFonts w:asciiTheme="minorBidi" w:hAnsiTheme="minorBidi"/>
          <w:sz w:val="20"/>
          <w:szCs w:val="20"/>
        </w:rPr>
        <w:t>C</w:t>
      </w:r>
      <w:r w:rsidR="00BC5A68" w:rsidRPr="00595441">
        <w:rPr>
          <w:rFonts w:asciiTheme="minorBidi" w:hAnsiTheme="minorBidi"/>
          <w:sz w:val="20"/>
          <w:szCs w:val="20"/>
        </w:rPr>
        <w:t>orporation</w:t>
      </w:r>
      <w:r w:rsidR="00FA7D59" w:rsidRPr="00595441">
        <w:rPr>
          <w:rFonts w:asciiTheme="minorBidi" w:hAnsiTheme="minorBidi"/>
          <w:sz w:val="20"/>
          <w:szCs w:val="20"/>
        </w:rPr>
        <w:t xml:space="preserve"> (Saudi Arabia &amp; Gulf countries)</w:t>
      </w:r>
      <w:r w:rsidRPr="00595441">
        <w:rPr>
          <w:rFonts w:asciiTheme="minorBidi" w:hAnsiTheme="minorBidi"/>
          <w:sz w:val="20"/>
          <w:szCs w:val="20"/>
        </w:rPr>
        <w:t xml:space="preserve"> are expatriates and the probability of “lost follow up” is high due to people moving out back to their homes. </w:t>
      </w:r>
    </w:p>
    <w:p w14:paraId="36CDD4A1" w14:textId="77777777" w:rsidR="000853B4" w:rsidRDefault="000853B4" w:rsidP="000853B4">
      <w:pPr>
        <w:rPr>
          <w:rFonts w:asciiTheme="minorBidi" w:hAnsiTheme="minorBidi"/>
          <w:sz w:val="20"/>
        </w:rPr>
      </w:pPr>
    </w:p>
    <w:p w14:paraId="6797253E" w14:textId="77777777" w:rsidR="000853B4" w:rsidRPr="000853B4" w:rsidRDefault="000853B4" w:rsidP="000853B4">
      <w:pPr>
        <w:spacing w:after="200" w:line="276" w:lineRule="auto"/>
        <w:outlineLvl w:val="0"/>
        <w:rPr>
          <w:rFonts w:cs="Arial"/>
          <w:szCs w:val="22"/>
          <w:lang w:val="en-GB" w:eastAsia="en-GB"/>
        </w:rPr>
      </w:pPr>
      <w:r w:rsidRPr="000853B4">
        <w:rPr>
          <w:rFonts w:cs="Arial"/>
          <w:b/>
          <w:bCs/>
          <w:szCs w:val="22"/>
          <w:lang w:val="en-GB" w:eastAsia="en-GB"/>
        </w:rPr>
        <w:t>COMPETING INTERESTS DISCLAIMER:</w:t>
      </w:r>
    </w:p>
    <w:p w14:paraId="2C7CAE3D" w14:textId="77777777" w:rsidR="000853B4" w:rsidRPr="000853B4" w:rsidRDefault="000853B4" w:rsidP="000853B4">
      <w:pPr>
        <w:spacing w:after="200" w:line="276" w:lineRule="auto"/>
        <w:jc w:val="left"/>
        <w:rPr>
          <w:rFonts w:ascii="Calibri" w:hAnsi="Calibri"/>
          <w:szCs w:val="22"/>
          <w:lang w:val="en-GB" w:eastAsia="en-GB"/>
        </w:rPr>
      </w:pPr>
      <w:r w:rsidRPr="000853B4">
        <w:rPr>
          <w:rFonts w:ascii="Calibri" w:hAnsi="Calibri"/>
          <w:szCs w:val="22"/>
          <w:lang w:val="en-GB" w:eastAsia="en-GB"/>
        </w:rPr>
        <w:t>Authors have declared that they have no known competing financial interests OR non-financial interests OR personal relationships that could have appeared to influence the work reported in this paper.</w:t>
      </w:r>
    </w:p>
    <w:p w14:paraId="29F0BE91" w14:textId="77777777" w:rsidR="000853B4" w:rsidRDefault="000853B4" w:rsidP="000853B4">
      <w:pPr>
        <w:rPr>
          <w:rFonts w:asciiTheme="minorBidi" w:hAnsiTheme="minorBidi"/>
          <w:sz w:val="20"/>
        </w:rPr>
      </w:pPr>
    </w:p>
    <w:p w14:paraId="03B479FC" w14:textId="77777777" w:rsidR="000853B4" w:rsidRDefault="000853B4" w:rsidP="000853B4">
      <w:pPr>
        <w:rPr>
          <w:rFonts w:asciiTheme="minorBidi" w:hAnsiTheme="minorBidi"/>
          <w:sz w:val="20"/>
        </w:rPr>
      </w:pPr>
    </w:p>
    <w:p w14:paraId="669399AB" w14:textId="77777777" w:rsidR="000853B4" w:rsidRDefault="000853B4" w:rsidP="000853B4">
      <w:pPr>
        <w:rPr>
          <w:rFonts w:asciiTheme="minorBidi" w:hAnsiTheme="minorBidi"/>
          <w:sz w:val="20"/>
        </w:rPr>
      </w:pPr>
    </w:p>
    <w:p w14:paraId="5BB3EE97" w14:textId="77777777" w:rsidR="000853B4" w:rsidRPr="000853B4" w:rsidRDefault="000853B4" w:rsidP="000853B4">
      <w:pPr>
        <w:rPr>
          <w:rFonts w:asciiTheme="minorBidi" w:hAnsiTheme="minorBidi"/>
          <w:sz w:val="20"/>
        </w:rPr>
      </w:pPr>
    </w:p>
    <w:p w14:paraId="3F0A3E99" w14:textId="77777777" w:rsidR="0009134A" w:rsidRPr="00595441" w:rsidRDefault="0009134A" w:rsidP="000B45C6">
      <w:pPr>
        <w:jc w:val="left"/>
        <w:rPr>
          <w:rFonts w:asciiTheme="minorBidi" w:hAnsiTheme="minorBidi" w:cstheme="minorBidi"/>
          <w:sz w:val="20"/>
          <w:lang w:val="en-GB"/>
        </w:rPr>
      </w:pPr>
    </w:p>
    <w:p w14:paraId="1599CF61" w14:textId="77777777" w:rsidR="0009134A" w:rsidRPr="00595441" w:rsidRDefault="0009134A" w:rsidP="000B45C6">
      <w:pPr>
        <w:jc w:val="left"/>
        <w:rPr>
          <w:rFonts w:asciiTheme="minorBidi" w:hAnsiTheme="minorBidi" w:cstheme="minorBidi"/>
          <w:sz w:val="20"/>
          <w:lang w:val="en-GB"/>
        </w:rPr>
      </w:pPr>
    </w:p>
    <w:p w14:paraId="53E98F50" w14:textId="6DC57119" w:rsidR="000B45C6" w:rsidRPr="00595441" w:rsidRDefault="000B45C6" w:rsidP="000B45C6">
      <w:pPr>
        <w:jc w:val="left"/>
        <w:rPr>
          <w:rFonts w:asciiTheme="minorBidi" w:hAnsiTheme="minorBidi" w:cstheme="minorBidi"/>
          <w:b/>
          <w:bCs/>
          <w:szCs w:val="22"/>
          <w:lang w:val="en-GB"/>
        </w:rPr>
      </w:pPr>
      <w:r w:rsidRPr="00595441">
        <w:rPr>
          <w:rFonts w:asciiTheme="minorBidi" w:hAnsiTheme="minorBidi" w:cstheme="minorBidi"/>
          <w:b/>
          <w:bCs/>
          <w:szCs w:val="22"/>
          <w:lang w:val="en-GB"/>
        </w:rPr>
        <w:t xml:space="preserve">References: </w:t>
      </w:r>
    </w:p>
    <w:p w14:paraId="1F165353" w14:textId="1095B0A8" w:rsidR="00BE728D" w:rsidRPr="00595441" w:rsidRDefault="00BE728D" w:rsidP="00BE728D">
      <w:pPr>
        <w:pStyle w:val="NormalWeb"/>
        <w:numPr>
          <w:ilvl w:val="0"/>
          <w:numId w:val="9"/>
        </w:numPr>
        <w:rPr>
          <w:rFonts w:asciiTheme="minorBidi" w:hAnsiTheme="minorBidi" w:cstheme="minorBidi"/>
          <w:sz w:val="18"/>
          <w:szCs w:val="18"/>
        </w:rPr>
      </w:pPr>
      <w:r w:rsidRPr="00595441">
        <w:rPr>
          <w:rFonts w:asciiTheme="minorBidi" w:hAnsiTheme="minorBidi" w:cstheme="minorBidi"/>
          <w:sz w:val="18"/>
          <w:szCs w:val="18"/>
        </w:rPr>
        <w:t>Sherif S. Economic development and diabetes prevalence in MENA countries: Egypt and Saudi Arabia comparison. World Journal of Diabetes. 2015;6(2):304. doi:10.4239/</w:t>
      </w:r>
      <w:proofErr w:type="gramStart"/>
      <w:r w:rsidRPr="00595441">
        <w:rPr>
          <w:rFonts w:asciiTheme="minorBidi" w:hAnsiTheme="minorBidi" w:cstheme="minorBidi"/>
          <w:sz w:val="18"/>
          <w:szCs w:val="18"/>
        </w:rPr>
        <w:t>wjd.v6.i</w:t>
      </w:r>
      <w:proofErr w:type="gramEnd"/>
      <w:r w:rsidRPr="00595441">
        <w:rPr>
          <w:rFonts w:asciiTheme="minorBidi" w:hAnsiTheme="minorBidi" w:cstheme="minorBidi"/>
          <w:sz w:val="18"/>
          <w:szCs w:val="18"/>
        </w:rPr>
        <w:t xml:space="preserve">2.304 </w:t>
      </w:r>
    </w:p>
    <w:p w14:paraId="37061FAF" w14:textId="74E27279" w:rsidR="002E6CAF" w:rsidRPr="00595441" w:rsidRDefault="002E6CAF" w:rsidP="002E6CAF">
      <w:pPr>
        <w:pStyle w:val="NormalWeb"/>
        <w:numPr>
          <w:ilvl w:val="0"/>
          <w:numId w:val="9"/>
        </w:numPr>
        <w:rPr>
          <w:rFonts w:asciiTheme="minorBidi" w:hAnsiTheme="minorBidi" w:cstheme="minorBidi"/>
          <w:sz w:val="18"/>
          <w:szCs w:val="18"/>
        </w:rPr>
      </w:pPr>
      <w:r w:rsidRPr="00595441">
        <w:rPr>
          <w:rFonts w:asciiTheme="minorBidi" w:hAnsiTheme="minorBidi" w:cstheme="minorBidi"/>
          <w:sz w:val="18"/>
          <w:szCs w:val="18"/>
        </w:rPr>
        <w:t xml:space="preserve">El-Kebbi IM, </w:t>
      </w:r>
      <w:proofErr w:type="spellStart"/>
      <w:r w:rsidRPr="00595441">
        <w:rPr>
          <w:rFonts w:asciiTheme="minorBidi" w:hAnsiTheme="minorBidi" w:cstheme="minorBidi"/>
          <w:sz w:val="18"/>
          <w:szCs w:val="18"/>
        </w:rPr>
        <w:t>Bidikian</w:t>
      </w:r>
      <w:proofErr w:type="spellEnd"/>
      <w:r w:rsidRPr="00595441">
        <w:rPr>
          <w:rFonts w:asciiTheme="minorBidi" w:hAnsiTheme="minorBidi" w:cstheme="minorBidi"/>
          <w:sz w:val="18"/>
          <w:szCs w:val="18"/>
        </w:rPr>
        <w:t xml:space="preserve"> NH, </w:t>
      </w:r>
      <w:proofErr w:type="spellStart"/>
      <w:r w:rsidRPr="00595441">
        <w:rPr>
          <w:rFonts w:asciiTheme="minorBidi" w:hAnsiTheme="minorBidi" w:cstheme="minorBidi"/>
          <w:sz w:val="18"/>
          <w:szCs w:val="18"/>
        </w:rPr>
        <w:t>Hneiny</w:t>
      </w:r>
      <w:proofErr w:type="spellEnd"/>
      <w:r w:rsidRPr="00595441">
        <w:rPr>
          <w:rFonts w:asciiTheme="minorBidi" w:hAnsiTheme="minorBidi" w:cstheme="minorBidi"/>
          <w:sz w:val="18"/>
          <w:szCs w:val="18"/>
        </w:rPr>
        <w:t xml:space="preserve"> L, Nasrallah MP. Epidemiology of type 2 diabetes in the Middle East and North Africa: Challenges and call for action. World Journal of Diabetes. 2021;12(9):1401–25. doi:10.4239/</w:t>
      </w:r>
      <w:proofErr w:type="gramStart"/>
      <w:r w:rsidRPr="00595441">
        <w:rPr>
          <w:rFonts w:asciiTheme="minorBidi" w:hAnsiTheme="minorBidi" w:cstheme="minorBidi"/>
          <w:sz w:val="18"/>
          <w:szCs w:val="18"/>
        </w:rPr>
        <w:t>wjd.v12.i</w:t>
      </w:r>
      <w:proofErr w:type="gramEnd"/>
      <w:r w:rsidRPr="00595441">
        <w:rPr>
          <w:rFonts w:asciiTheme="minorBidi" w:hAnsiTheme="minorBidi" w:cstheme="minorBidi"/>
          <w:sz w:val="18"/>
          <w:szCs w:val="18"/>
        </w:rPr>
        <w:t xml:space="preserve">9.1401 </w:t>
      </w:r>
    </w:p>
    <w:p w14:paraId="5ABBAA76" w14:textId="4E83530F"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Bash LD, Selvin E, Steffes M, Coresh J, Astor BC. Poor glycemic control in diabetes and the risk of incident chronic kidney disease even in the absence of albuminuria and retinopathy. Archives of Internal Medicine. 2008;168(22):2440. </w:t>
      </w:r>
    </w:p>
    <w:p w14:paraId="6C876647"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lastRenderedPageBreak/>
        <w:t xml:space="preserve">Wang J, Xiang H, Lu Y, Wu T, Ji G. New progress in drugs treatment of diabetic kidney disease. Biomedicine &amp; Pharmacotherapy. </w:t>
      </w:r>
      <w:proofErr w:type="gramStart"/>
      <w:r w:rsidRPr="00595441">
        <w:rPr>
          <w:rFonts w:asciiTheme="minorBidi" w:hAnsiTheme="minorBidi" w:cstheme="minorBidi"/>
          <w:sz w:val="18"/>
          <w:szCs w:val="18"/>
        </w:rPr>
        <w:t>2021;141:111918</w:t>
      </w:r>
      <w:proofErr w:type="gramEnd"/>
      <w:r w:rsidRPr="00595441">
        <w:rPr>
          <w:rFonts w:asciiTheme="minorBidi" w:hAnsiTheme="minorBidi" w:cstheme="minorBidi"/>
          <w:sz w:val="18"/>
          <w:szCs w:val="18"/>
        </w:rPr>
        <w:t>.</w:t>
      </w:r>
    </w:p>
    <w:p w14:paraId="216BA3D6"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G.L. </w:t>
      </w:r>
      <w:proofErr w:type="spellStart"/>
      <w:r w:rsidRPr="00595441">
        <w:rPr>
          <w:rFonts w:asciiTheme="minorBidi" w:hAnsiTheme="minorBidi" w:cstheme="minorBidi"/>
          <w:sz w:val="18"/>
          <w:szCs w:val="18"/>
        </w:rPr>
        <w:t>Bakris</w:t>
      </w:r>
      <w:proofErr w:type="spellEnd"/>
      <w:r w:rsidRPr="00595441">
        <w:rPr>
          <w:rFonts w:asciiTheme="minorBidi" w:hAnsiTheme="minorBidi" w:cstheme="minorBidi"/>
          <w:sz w:val="18"/>
          <w:szCs w:val="18"/>
        </w:rPr>
        <w:t>, Recognition, pathogenesis, and treatment of different stages of nephropathy in patients with type 2 diabetes mellitus, Mayo Clin. Proc. 86 (5) (2011) 444–456.</w:t>
      </w:r>
    </w:p>
    <w:p w14:paraId="39790DE7"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KDOQI Clinical Practice Guideline for Diabetes and CKD: 2012 Update, Am. J. Kidney Dis. Off. J. Natl. Kidney Found., 60(5), 2012, pp. 850–886.</w:t>
      </w:r>
    </w:p>
    <w:p w14:paraId="7417237E"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M.J. Davies, D.A. D’Alessio, J. Fradkin, W.N. Kernan, C. Mathieu, G. Mingrone, P. Rossing, A. </w:t>
      </w:r>
      <w:proofErr w:type="spellStart"/>
      <w:r w:rsidRPr="00595441">
        <w:rPr>
          <w:rFonts w:asciiTheme="minorBidi" w:hAnsiTheme="minorBidi" w:cstheme="minorBidi"/>
          <w:sz w:val="18"/>
          <w:szCs w:val="18"/>
        </w:rPr>
        <w:t>Tsapas</w:t>
      </w:r>
      <w:proofErr w:type="spellEnd"/>
      <w:r w:rsidRPr="00595441">
        <w:rPr>
          <w:rFonts w:asciiTheme="minorBidi" w:hAnsiTheme="minorBidi" w:cstheme="minorBidi"/>
          <w:sz w:val="18"/>
          <w:szCs w:val="18"/>
        </w:rPr>
        <w:t>, D.J. Wexler, J.B. Buse, Management of hyperglycemia in type 2 diabetes, 2018. A consensus report by the American Diabetes Association (ADA) and the European Association for the Study of Diabetes (EASD), Diabetes Care 41 (12) (2018) 2669–2701.</w:t>
      </w:r>
    </w:p>
    <w:p w14:paraId="36B98B0A"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Y. </w:t>
      </w:r>
      <w:proofErr w:type="spellStart"/>
      <w:r w:rsidRPr="00595441">
        <w:rPr>
          <w:rFonts w:asciiTheme="minorBidi" w:hAnsiTheme="minorBidi" w:cstheme="minorBidi"/>
          <w:sz w:val="18"/>
          <w:szCs w:val="18"/>
        </w:rPr>
        <w:t>Slinin</w:t>
      </w:r>
      <w:proofErr w:type="spellEnd"/>
      <w:r w:rsidRPr="00595441">
        <w:rPr>
          <w:rFonts w:asciiTheme="minorBidi" w:hAnsiTheme="minorBidi" w:cstheme="minorBidi"/>
          <w:sz w:val="18"/>
          <w:szCs w:val="18"/>
        </w:rPr>
        <w:t xml:space="preserve">, A. Ishani, T. Rector, P. Fitzgerald, R. MacDonald, J. </w:t>
      </w:r>
      <w:proofErr w:type="spellStart"/>
      <w:r w:rsidRPr="00595441">
        <w:rPr>
          <w:rFonts w:asciiTheme="minorBidi" w:hAnsiTheme="minorBidi" w:cstheme="minorBidi"/>
          <w:sz w:val="18"/>
          <w:szCs w:val="18"/>
        </w:rPr>
        <w:t>Tacklind</w:t>
      </w:r>
      <w:proofErr w:type="spellEnd"/>
      <w:r w:rsidRPr="00595441">
        <w:rPr>
          <w:rFonts w:asciiTheme="minorBidi" w:hAnsiTheme="minorBidi" w:cstheme="minorBidi"/>
          <w:sz w:val="18"/>
          <w:szCs w:val="18"/>
        </w:rPr>
        <w:t xml:space="preserve">, I. </w:t>
      </w:r>
      <w:proofErr w:type="spellStart"/>
      <w:r w:rsidRPr="00595441">
        <w:rPr>
          <w:rFonts w:asciiTheme="minorBidi" w:hAnsiTheme="minorBidi" w:cstheme="minorBidi"/>
          <w:sz w:val="18"/>
          <w:szCs w:val="18"/>
        </w:rPr>
        <w:t>Rutks</w:t>
      </w:r>
      <w:proofErr w:type="spellEnd"/>
      <w:r w:rsidRPr="00595441">
        <w:rPr>
          <w:rFonts w:asciiTheme="minorBidi" w:hAnsiTheme="minorBidi" w:cstheme="minorBidi"/>
          <w:sz w:val="18"/>
          <w:szCs w:val="18"/>
        </w:rPr>
        <w:t xml:space="preserve">, T.J. Wilt, Management of hyperglycemia, dyslipidemia, and albuminuria in patients with diabetes and CKD: a systematic review for a KDOQI clinical practice guideline, Am. J. Kidney Dis. Off. J. Natl. Kidney Found. 60 (5) (2012) 747–769. </w:t>
      </w:r>
    </w:p>
    <w:p w14:paraId="0717D8A0"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E.S. Huang, J.Y. Liu, H.H. Moffet, P.M. John, A.J. Karter, Glycemic control, complications, and death in older diabetic patients: the diabetes and aging study, Diabetes Care 34 (6) (2011) 1329–1336.</w:t>
      </w:r>
    </w:p>
    <w:p w14:paraId="38DE2B5F"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de Galan BE, Perkovic V, Ninomiya T, Pillai A, Patel A, Cass A, et al. Lowering blood pressure reduces renal events in type 2 diabetes. Journal of the American Society of Nephrology. 2009;20(4):883–92. </w:t>
      </w:r>
    </w:p>
    <w:p w14:paraId="3E32ACA9"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Sun D, Zhou T, </w:t>
      </w:r>
      <w:proofErr w:type="spellStart"/>
      <w:r w:rsidRPr="00595441">
        <w:rPr>
          <w:rFonts w:asciiTheme="minorBidi" w:hAnsiTheme="minorBidi" w:cstheme="minorBidi"/>
          <w:sz w:val="18"/>
          <w:szCs w:val="18"/>
        </w:rPr>
        <w:t>Heianza</w:t>
      </w:r>
      <w:proofErr w:type="spellEnd"/>
      <w:r w:rsidRPr="00595441">
        <w:rPr>
          <w:rFonts w:asciiTheme="minorBidi" w:hAnsiTheme="minorBidi" w:cstheme="minorBidi"/>
          <w:sz w:val="18"/>
          <w:szCs w:val="18"/>
        </w:rPr>
        <w:t xml:space="preserve"> Y, Li X, Fan M, Fonseca VA, et al. Type 2 diabetes and hypertension. Circulation Research. 2019;124(6):930–7. </w:t>
      </w:r>
    </w:p>
    <w:p w14:paraId="39169E5F"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MacIsaac RJ, </w:t>
      </w:r>
      <w:proofErr w:type="spellStart"/>
      <w:r w:rsidRPr="00595441">
        <w:rPr>
          <w:rFonts w:asciiTheme="minorBidi" w:hAnsiTheme="minorBidi" w:cstheme="minorBidi"/>
          <w:sz w:val="18"/>
          <w:szCs w:val="18"/>
        </w:rPr>
        <w:t>Jerums</w:t>
      </w:r>
      <w:proofErr w:type="spellEnd"/>
      <w:r w:rsidRPr="00595441">
        <w:rPr>
          <w:rFonts w:asciiTheme="minorBidi" w:hAnsiTheme="minorBidi" w:cstheme="minorBidi"/>
          <w:sz w:val="18"/>
          <w:szCs w:val="18"/>
        </w:rPr>
        <w:t xml:space="preserve"> G, Ekinci EI. Effects of </w:t>
      </w:r>
      <w:proofErr w:type="spellStart"/>
      <w:r w:rsidRPr="00595441">
        <w:rPr>
          <w:rFonts w:asciiTheme="minorBidi" w:hAnsiTheme="minorBidi" w:cstheme="minorBidi"/>
          <w:sz w:val="18"/>
          <w:szCs w:val="18"/>
        </w:rPr>
        <w:t>glycaemic</w:t>
      </w:r>
      <w:proofErr w:type="spellEnd"/>
      <w:r w:rsidRPr="00595441">
        <w:rPr>
          <w:rFonts w:asciiTheme="minorBidi" w:hAnsiTheme="minorBidi" w:cstheme="minorBidi"/>
          <w:sz w:val="18"/>
          <w:szCs w:val="18"/>
        </w:rPr>
        <w:t xml:space="preserve"> management on diabetic kidney disease. World Journal of Diabetes. 2017;8(5):172.</w:t>
      </w:r>
    </w:p>
    <w:p w14:paraId="33C66739"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color w:val="212121"/>
          <w:sz w:val="18"/>
          <w:szCs w:val="18"/>
          <w:shd w:val="clear" w:color="auto" w:fill="FFFFFF"/>
        </w:rPr>
        <w:t xml:space="preserve">MacIsaac RJ, Ekinci EI, </w:t>
      </w:r>
      <w:proofErr w:type="spellStart"/>
      <w:r w:rsidRPr="00595441">
        <w:rPr>
          <w:rFonts w:asciiTheme="minorBidi" w:hAnsiTheme="minorBidi" w:cstheme="minorBidi"/>
          <w:color w:val="212121"/>
          <w:sz w:val="18"/>
          <w:szCs w:val="18"/>
          <w:shd w:val="clear" w:color="auto" w:fill="FFFFFF"/>
        </w:rPr>
        <w:t>Jerums</w:t>
      </w:r>
      <w:proofErr w:type="spellEnd"/>
      <w:r w:rsidRPr="00595441">
        <w:rPr>
          <w:rFonts w:asciiTheme="minorBidi" w:hAnsiTheme="minorBidi" w:cstheme="minorBidi"/>
          <w:color w:val="212121"/>
          <w:sz w:val="18"/>
          <w:szCs w:val="18"/>
          <w:shd w:val="clear" w:color="auto" w:fill="FFFFFF"/>
        </w:rPr>
        <w:t xml:space="preserve"> G. ‘Progressive diabetic nephropathy. How useful is </w:t>
      </w:r>
      <w:proofErr w:type="gramStart"/>
      <w:r w:rsidRPr="00595441">
        <w:rPr>
          <w:rFonts w:asciiTheme="minorBidi" w:hAnsiTheme="minorBidi" w:cstheme="minorBidi"/>
          <w:color w:val="212121"/>
          <w:sz w:val="18"/>
          <w:szCs w:val="18"/>
          <w:shd w:val="clear" w:color="auto" w:fill="FFFFFF"/>
        </w:rPr>
        <w:t>microalbuminuria?:</w:t>
      </w:r>
      <w:proofErr w:type="gramEnd"/>
      <w:r w:rsidRPr="00595441">
        <w:rPr>
          <w:rFonts w:asciiTheme="minorBidi" w:hAnsiTheme="minorBidi" w:cstheme="minorBidi"/>
          <w:color w:val="212121"/>
          <w:sz w:val="18"/>
          <w:szCs w:val="18"/>
          <w:shd w:val="clear" w:color="auto" w:fill="FFFFFF"/>
        </w:rPr>
        <w:t xml:space="preserve"> contra’ </w:t>
      </w:r>
      <w:r w:rsidRPr="00595441">
        <w:rPr>
          <w:rStyle w:val="ref-journal"/>
          <w:rFonts w:asciiTheme="minorBidi" w:hAnsiTheme="minorBidi" w:cstheme="minorBidi"/>
          <w:color w:val="212121"/>
          <w:sz w:val="18"/>
          <w:szCs w:val="18"/>
          <w:shd w:val="clear" w:color="auto" w:fill="FFFFFF"/>
        </w:rPr>
        <w:t>Kidney Int. </w:t>
      </w:r>
      <w:proofErr w:type="gramStart"/>
      <w:r w:rsidRPr="00595441">
        <w:rPr>
          <w:rFonts w:asciiTheme="minorBidi" w:hAnsiTheme="minorBidi" w:cstheme="minorBidi"/>
          <w:color w:val="212121"/>
          <w:sz w:val="18"/>
          <w:szCs w:val="18"/>
          <w:shd w:val="clear" w:color="auto" w:fill="FFFFFF"/>
        </w:rPr>
        <w:t>2014;</w:t>
      </w:r>
      <w:r w:rsidRPr="00595441">
        <w:rPr>
          <w:rStyle w:val="ref-vol"/>
          <w:rFonts w:asciiTheme="minorBidi" w:eastAsia="Calibri" w:hAnsiTheme="minorBidi" w:cstheme="minorBidi"/>
          <w:color w:val="212121"/>
          <w:sz w:val="18"/>
          <w:szCs w:val="18"/>
          <w:shd w:val="clear" w:color="auto" w:fill="FFFFFF"/>
        </w:rPr>
        <w:t>86</w:t>
      </w:r>
      <w:r w:rsidRPr="00595441">
        <w:rPr>
          <w:rFonts w:asciiTheme="minorBidi" w:hAnsiTheme="minorBidi" w:cstheme="minorBidi"/>
          <w:color w:val="212121"/>
          <w:sz w:val="18"/>
          <w:szCs w:val="18"/>
          <w:shd w:val="clear" w:color="auto" w:fill="FFFFFF"/>
        </w:rPr>
        <w:t>:50</w:t>
      </w:r>
      <w:proofErr w:type="gramEnd"/>
      <w:r w:rsidRPr="00595441">
        <w:rPr>
          <w:rFonts w:asciiTheme="minorBidi" w:hAnsiTheme="minorBidi" w:cstheme="minorBidi"/>
          <w:color w:val="212121"/>
          <w:sz w:val="18"/>
          <w:szCs w:val="18"/>
          <w:shd w:val="clear" w:color="auto" w:fill="FFFFFF"/>
        </w:rPr>
        <w:t xml:space="preserve">–57. </w:t>
      </w:r>
    </w:p>
    <w:p w14:paraId="5D72BED6"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color w:val="212121"/>
          <w:sz w:val="18"/>
          <w:szCs w:val="18"/>
          <w:shd w:val="clear" w:color="auto" w:fill="FFFFFF"/>
        </w:rPr>
        <w:t xml:space="preserve">Perkovic V, Heerspink HL, Chalmers J, Woodward M, Jun M, Li Q, </w:t>
      </w:r>
      <w:proofErr w:type="spellStart"/>
      <w:r w:rsidRPr="00595441">
        <w:rPr>
          <w:rFonts w:asciiTheme="minorBidi" w:hAnsiTheme="minorBidi" w:cstheme="minorBidi"/>
          <w:color w:val="212121"/>
          <w:sz w:val="18"/>
          <w:szCs w:val="18"/>
          <w:shd w:val="clear" w:color="auto" w:fill="FFFFFF"/>
        </w:rPr>
        <w:t>MacMahon</w:t>
      </w:r>
      <w:proofErr w:type="spellEnd"/>
      <w:r w:rsidRPr="00595441">
        <w:rPr>
          <w:rFonts w:asciiTheme="minorBidi" w:hAnsiTheme="minorBidi" w:cstheme="minorBidi"/>
          <w:color w:val="212121"/>
          <w:sz w:val="18"/>
          <w:szCs w:val="18"/>
          <w:shd w:val="clear" w:color="auto" w:fill="FFFFFF"/>
        </w:rPr>
        <w:t xml:space="preserve"> S, Cooper ME, Hamet P, Marre M, et al. Intensive glucose control improves kidney outcomes in patients with type 2 diabetes. </w:t>
      </w:r>
      <w:r w:rsidRPr="00595441">
        <w:rPr>
          <w:rStyle w:val="ref-journal"/>
          <w:rFonts w:asciiTheme="minorBidi" w:hAnsiTheme="minorBidi" w:cstheme="minorBidi"/>
          <w:color w:val="212121"/>
          <w:sz w:val="18"/>
          <w:szCs w:val="18"/>
          <w:shd w:val="clear" w:color="auto" w:fill="FFFFFF"/>
        </w:rPr>
        <w:t>Kidney Int. </w:t>
      </w:r>
      <w:proofErr w:type="gramStart"/>
      <w:r w:rsidRPr="00595441">
        <w:rPr>
          <w:rFonts w:asciiTheme="minorBidi" w:hAnsiTheme="minorBidi" w:cstheme="minorBidi"/>
          <w:color w:val="212121"/>
          <w:sz w:val="18"/>
          <w:szCs w:val="18"/>
          <w:shd w:val="clear" w:color="auto" w:fill="FFFFFF"/>
        </w:rPr>
        <w:t>2013;</w:t>
      </w:r>
      <w:r w:rsidRPr="00595441">
        <w:rPr>
          <w:rStyle w:val="ref-vol"/>
          <w:rFonts w:asciiTheme="minorBidi" w:eastAsia="Calibri" w:hAnsiTheme="minorBidi" w:cstheme="minorBidi"/>
          <w:color w:val="212121"/>
          <w:sz w:val="18"/>
          <w:szCs w:val="18"/>
          <w:shd w:val="clear" w:color="auto" w:fill="FFFFFF"/>
        </w:rPr>
        <w:t>83</w:t>
      </w:r>
      <w:r w:rsidRPr="00595441">
        <w:rPr>
          <w:rFonts w:asciiTheme="minorBidi" w:hAnsiTheme="minorBidi" w:cstheme="minorBidi"/>
          <w:color w:val="212121"/>
          <w:sz w:val="18"/>
          <w:szCs w:val="18"/>
          <w:shd w:val="clear" w:color="auto" w:fill="FFFFFF"/>
        </w:rPr>
        <w:t>:517</w:t>
      </w:r>
      <w:proofErr w:type="gramEnd"/>
      <w:r w:rsidRPr="00595441">
        <w:rPr>
          <w:rFonts w:asciiTheme="minorBidi" w:hAnsiTheme="minorBidi" w:cstheme="minorBidi"/>
          <w:color w:val="212121"/>
          <w:sz w:val="18"/>
          <w:szCs w:val="18"/>
          <w:shd w:val="clear" w:color="auto" w:fill="FFFFFF"/>
        </w:rPr>
        <w:t>–523.</w:t>
      </w:r>
    </w:p>
    <w:p w14:paraId="160FFC60" w14:textId="77777777" w:rsidR="000B45C6" w:rsidRPr="00595441" w:rsidRDefault="000B45C6" w:rsidP="000B45C6">
      <w:pPr>
        <w:pStyle w:val="NormalWeb"/>
        <w:numPr>
          <w:ilvl w:val="0"/>
          <w:numId w:val="9"/>
        </w:numPr>
        <w:rPr>
          <w:rFonts w:asciiTheme="minorBidi" w:hAnsiTheme="minorBidi" w:cstheme="minorBidi"/>
          <w:b/>
          <w:bCs/>
          <w:sz w:val="18"/>
          <w:szCs w:val="18"/>
        </w:rPr>
      </w:pPr>
      <w:proofErr w:type="spellStart"/>
      <w:r w:rsidRPr="00595441">
        <w:rPr>
          <w:rFonts w:asciiTheme="minorBidi" w:hAnsiTheme="minorBidi" w:cstheme="minorBidi"/>
          <w:sz w:val="18"/>
          <w:szCs w:val="18"/>
        </w:rPr>
        <w:t>Kosiborod</w:t>
      </w:r>
      <w:proofErr w:type="spellEnd"/>
      <w:r w:rsidRPr="00595441">
        <w:rPr>
          <w:rFonts w:asciiTheme="minorBidi" w:hAnsiTheme="minorBidi" w:cstheme="minorBidi"/>
          <w:sz w:val="18"/>
          <w:szCs w:val="18"/>
        </w:rPr>
        <w:t xml:space="preserve"> M, Gomes MB, Nicolucci A, Pocock S, Rathmann W, Shestakova MV, et al. Vascular complications in patients with type 2 diabetes: Prevalence and associated factors in 38 countries (the Discover Study Program). Cardiovascular Diabetology. 2018;17(1).</w:t>
      </w:r>
    </w:p>
    <w:p w14:paraId="7E51A02D"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Mubarak FM, Froelicher ES, </w:t>
      </w:r>
      <w:proofErr w:type="spellStart"/>
      <w:r w:rsidRPr="00595441">
        <w:rPr>
          <w:rFonts w:asciiTheme="minorBidi" w:hAnsiTheme="minorBidi" w:cstheme="minorBidi"/>
          <w:sz w:val="18"/>
          <w:szCs w:val="18"/>
        </w:rPr>
        <w:t>Jaddou</w:t>
      </w:r>
      <w:proofErr w:type="spellEnd"/>
      <w:r w:rsidRPr="00595441">
        <w:rPr>
          <w:rFonts w:asciiTheme="minorBidi" w:hAnsiTheme="minorBidi" w:cstheme="minorBidi"/>
          <w:sz w:val="18"/>
          <w:szCs w:val="18"/>
        </w:rPr>
        <w:t xml:space="preserve"> HY, </w:t>
      </w:r>
      <w:proofErr w:type="spellStart"/>
      <w:r w:rsidRPr="00595441">
        <w:rPr>
          <w:rFonts w:asciiTheme="minorBidi" w:hAnsiTheme="minorBidi" w:cstheme="minorBidi"/>
          <w:sz w:val="18"/>
          <w:szCs w:val="18"/>
        </w:rPr>
        <w:t>Ajlouni</w:t>
      </w:r>
      <w:proofErr w:type="spellEnd"/>
      <w:r w:rsidRPr="00595441">
        <w:rPr>
          <w:rFonts w:asciiTheme="minorBidi" w:hAnsiTheme="minorBidi" w:cstheme="minorBidi"/>
          <w:sz w:val="18"/>
          <w:szCs w:val="18"/>
        </w:rPr>
        <w:t xml:space="preserve"> KM. Hypertension among 1000 patients with type 2 diabetes attending a National Diabetes Center in Jordan. Annals of Saudi Medicine. 2008;28(5):346–51. </w:t>
      </w:r>
    </w:p>
    <w:p w14:paraId="1C7ACC1F"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Nakanishi S, </w:t>
      </w:r>
      <w:proofErr w:type="spellStart"/>
      <w:r w:rsidRPr="00595441">
        <w:rPr>
          <w:rFonts w:asciiTheme="minorBidi" w:hAnsiTheme="minorBidi" w:cstheme="minorBidi"/>
          <w:sz w:val="18"/>
          <w:szCs w:val="18"/>
        </w:rPr>
        <w:t>Hirukawa</w:t>
      </w:r>
      <w:proofErr w:type="spellEnd"/>
      <w:r w:rsidRPr="00595441">
        <w:rPr>
          <w:rFonts w:asciiTheme="minorBidi" w:hAnsiTheme="minorBidi" w:cstheme="minorBidi"/>
          <w:sz w:val="18"/>
          <w:szCs w:val="18"/>
        </w:rPr>
        <w:t xml:space="preserve"> H, Shimoda M, Tatsumi F, Kohara K, Obata A, et al. Comparison of hba1c levels and body mass index for prevention of diabetic kidney disease: A retrospective longitudinal study using outpatient clinical data in Japanese patients with type 2 diabetes mellitus. Diabetes Research and Clinical Practice. </w:t>
      </w:r>
      <w:proofErr w:type="gramStart"/>
      <w:r w:rsidRPr="00595441">
        <w:rPr>
          <w:rFonts w:asciiTheme="minorBidi" w:hAnsiTheme="minorBidi" w:cstheme="minorBidi"/>
          <w:sz w:val="18"/>
          <w:szCs w:val="18"/>
        </w:rPr>
        <w:t>2019;155:107807</w:t>
      </w:r>
      <w:proofErr w:type="gramEnd"/>
      <w:r w:rsidRPr="00595441">
        <w:rPr>
          <w:rFonts w:asciiTheme="minorBidi" w:hAnsiTheme="minorBidi" w:cstheme="minorBidi"/>
          <w:sz w:val="18"/>
          <w:szCs w:val="18"/>
        </w:rPr>
        <w:t xml:space="preserve">. </w:t>
      </w:r>
    </w:p>
    <w:p w14:paraId="2DF578C9"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Wu T-E, Su Y-W, Chen H-S. Mean hba1c and HbA1c variability are associated with differing diabetes-related complications in patients with type 2 diabetes mellitus. Diabetes Research and Clinical Practice. </w:t>
      </w:r>
      <w:proofErr w:type="gramStart"/>
      <w:r w:rsidRPr="00595441">
        <w:rPr>
          <w:rFonts w:asciiTheme="minorBidi" w:hAnsiTheme="minorBidi" w:cstheme="minorBidi"/>
          <w:sz w:val="18"/>
          <w:szCs w:val="18"/>
        </w:rPr>
        <w:t>2022;192:110069</w:t>
      </w:r>
      <w:proofErr w:type="gramEnd"/>
      <w:r w:rsidRPr="00595441">
        <w:rPr>
          <w:rFonts w:asciiTheme="minorBidi" w:hAnsiTheme="minorBidi" w:cstheme="minorBidi"/>
          <w:sz w:val="18"/>
          <w:szCs w:val="18"/>
        </w:rPr>
        <w:t xml:space="preserve">. </w:t>
      </w:r>
    </w:p>
    <w:p w14:paraId="3D278159" w14:textId="77777777"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sz w:val="18"/>
          <w:szCs w:val="18"/>
        </w:rPr>
        <w:t xml:space="preserve">Sinha B, Ghosal S. A target hba1c between 7 and 7.7% reduces microvascular and macrovascular events in T2D regardless of duration of diabetes: A meta-analysis of randomized controlled trials. Diabetes Therapy. 2021;12(6):1661–76. </w:t>
      </w:r>
    </w:p>
    <w:p w14:paraId="143E327C" w14:textId="77777777" w:rsidR="000B45C6" w:rsidRPr="00595441" w:rsidRDefault="000B45C6" w:rsidP="000B45C6">
      <w:pPr>
        <w:pStyle w:val="NormalWeb"/>
        <w:numPr>
          <w:ilvl w:val="0"/>
          <w:numId w:val="9"/>
        </w:numPr>
        <w:rPr>
          <w:rStyle w:val="Hyperlink"/>
          <w:rFonts w:asciiTheme="minorBidi" w:hAnsiTheme="minorBidi" w:cstheme="minorBidi"/>
          <w:b/>
          <w:bCs/>
          <w:color w:val="auto"/>
          <w:sz w:val="18"/>
          <w:szCs w:val="18"/>
          <w:u w:val="none"/>
        </w:rPr>
      </w:pPr>
      <w:proofErr w:type="spellStart"/>
      <w:r w:rsidRPr="00595441">
        <w:rPr>
          <w:rFonts w:asciiTheme="minorBidi" w:hAnsiTheme="minorBidi" w:cstheme="minorBidi"/>
          <w:sz w:val="18"/>
          <w:szCs w:val="18"/>
        </w:rPr>
        <w:t>Zoungas</w:t>
      </w:r>
      <w:proofErr w:type="spellEnd"/>
      <w:r w:rsidRPr="00595441">
        <w:rPr>
          <w:rFonts w:asciiTheme="minorBidi" w:hAnsiTheme="minorBidi" w:cstheme="minorBidi"/>
          <w:sz w:val="18"/>
          <w:szCs w:val="18"/>
        </w:rPr>
        <w:t xml:space="preserve"> S, Arima H, Gerstein HC, et al. Effects of intensive glucose control on microvascular outcomes in patients with type 2 diabetes: a meta-analysis of individual participant data from </w:t>
      </w:r>
      <w:proofErr w:type="spellStart"/>
      <w:r w:rsidRPr="00595441">
        <w:rPr>
          <w:rFonts w:asciiTheme="minorBidi" w:hAnsiTheme="minorBidi" w:cstheme="minorBidi"/>
          <w:sz w:val="18"/>
          <w:szCs w:val="18"/>
        </w:rPr>
        <w:t>randomised</w:t>
      </w:r>
      <w:proofErr w:type="spellEnd"/>
      <w:r w:rsidRPr="00595441">
        <w:rPr>
          <w:rFonts w:asciiTheme="minorBidi" w:hAnsiTheme="minorBidi" w:cstheme="minorBidi"/>
          <w:sz w:val="18"/>
          <w:szCs w:val="18"/>
        </w:rPr>
        <w:t xml:space="preserve"> controlled trials. Lancet Diabetes Endocrinol 2017. </w:t>
      </w:r>
      <w:hyperlink r:id="rId15" w:history="1">
        <w:r w:rsidRPr="00595441">
          <w:rPr>
            <w:rStyle w:val="Hyperlink"/>
            <w:rFonts w:asciiTheme="minorBidi" w:eastAsia="Calibri" w:hAnsiTheme="minorBidi" w:cstheme="minorBidi"/>
            <w:sz w:val="18"/>
            <w:szCs w:val="18"/>
          </w:rPr>
          <w:t>https://doi.org/10.1016/S2213-8587(17)30104-3</w:t>
        </w:r>
      </w:hyperlink>
    </w:p>
    <w:p w14:paraId="7E6AC9A3" w14:textId="11617884" w:rsidR="000B45C6" w:rsidRPr="00595441" w:rsidRDefault="000B45C6" w:rsidP="000B45C6">
      <w:pPr>
        <w:pStyle w:val="NormalWeb"/>
        <w:numPr>
          <w:ilvl w:val="0"/>
          <w:numId w:val="9"/>
        </w:numPr>
        <w:rPr>
          <w:rFonts w:asciiTheme="minorBidi" w:hAnsiTheme="minorBidi" w:cstheme="minorBidi"/>
          <w:b/>
          <w:bCs/>
          <w:sz w:val="18"/>
          <w:szCs w:val="18"/>
        </w:rPr>
      </w:pPr>
      <w:r w:rsidRPr="00595441">
        <w:rPr>
          <w:rFonts w:asciiTheme="minorBidi" w:hAnsiTheme="minorBidi" w:cstheme="minorBidi"/>
          <w:color w:val="212121"/>
          <w:sz w:val="18"/>
          <w:szCs w:val="18"/>
          <w:shd w:val="clear" w:color="auto" w:fill="FFFFFF"/>
        </w:rPr>
        <w:t xml:space="preserve">Liao LN, Li CI, Liu CS, Huang CC, Lin WY, Chiang JH, Lin CC, Li TC. Extreme Levels of HbA1c Increase Incident ESRD Risk in Chinese Patients with Type 2 Diabetes: Competing Risk Analysis in National Cohort of Taiwan Diabetes Study. </w:t>
      </w:r>
      <w:proofErr w:type="spellStart"/>
      <w:r w:rsidRPr="00595441">
        <w:rPr>
          <w:rFonts w:asciiTheme="minorBidi" w:hAnsiTheme="minorBidi" w:cstheme="minorBidi"/>
          <w:color w:val="212121"/>
          <w:sz w:val="18"/>
          <w:szCs w:val="18"/>
          <w:shd w:val="clear" w:color="auto" w:fill="FFFFFF"/>
        </w:rPr>
        <w:t>PLoS</w:t>
      </w:r>
      <w:proofErr w:type="spellEnd"/>
      <w:r w:rsidRPr="00595441">
        <w:rPr>
          <w:rFonts w:asciiTheme="minorBidi" w:hAnsiTheme="minorBidi" w:cstheme="minorBidi"/>
          <w:color w:val="212121"/>
          <w:sz w:val="18"/>
          <w:szCs w:val="18"/>
          <w:shd w:val="clear" w:color="auto" w:fill="FFFFFF"/>
        </w:rPr>
        <w:t xml:space="preserve"> One. 2015 Jun 22;10(6</w:t>
      </w:r>
      <w:proofErr w:type="gramStart"/>
      <w:r w:rsidRPr="00595441">
        <w:rPr>
          <w:rFonts w:asciiTheme="minorBidi" w:hAnsiTheme="minorBidi" w:cstheme="minorBidi"/>
          <w:color w:val="212121"/>
          <w:sz w:val="18"/>
          <w:szCs w:val="18"/>
          <w:shd w:val="clear" w:color="auto" w:fill="FFFFFF"/>
        </w:rPr>
        <w:t>):e</w:t>
      </w:r>
      <w:proofErr w:type="gramEnd"/>
      <w:r w:rsidRPr="00595441">
        <w:rPr>
          <w:rFonts w:asciiTheme="minorBidi" w:hAnsiTheme="minorBidi" w:cstheme="minorBidi"/>
          <w:color w:val="212121"/>
          <w:sz w:val="18"/>
          <w:szCs w:val="18"/>
          <w:shd w:val="clear" w:color="auto" w:fill="FFFFFF"/>
        </w:rPr>
        <w:t xml:space="preserve">0130828. </w:t>
      </w:r>
      <w:proofErr w:type="spellStart"/>
      <w:r w:rsidRPr="00595441">
        <w:rPr>
          <w:rFonts w:asciiTheme="minorBidi" w:hAnsiTheme="minorBidi" w:cstheme="minorBidi"/>
          <w:color w:val="212121"/>
          <w:sz w:val="18"/>
          <w:szCs w:val="18"/>
          <w:shd w:val="clear" w:color="auto" w:fill="FFFFFF"/>
        </w:rPr>
        <w:t>doi</w:t>
      </w:r>
      <w:proofErr w:type="spellEnd"/>
      <w:r w:rsidRPr="00595441">
        <w:rPr>
          <w:rFonts w:asciiTheme="minorBidi" w:hAnsiTheme="minorBidi" w:cstheme="minorBidi"/>
          <w:color w:val="212121"/>
          <w:sz w:val="18"/>
          <w:szCs w:val="18"/>
          <w:shd w:val="clear" w:color="auto" w:fill="FFFFFF"/>
        </w:rPr>
        <w:t>: 10.1371/journal.pone.0130828. PMID: 26098901; PMCID: PMC4476774.</w:t>
      </w:r>
      <w:r w:rsidR="00922E79" w:rsidRPr="00595441">
        <w:rPr>
          <w:rFonts w:asciiTheme="minorBidi" w:hAnsiTheme="minorBidi" w:cstheme="minorBidi"/>
          <w:color w:val="212121"/>
          <w:sz w:val="18"/>
          <w:szCs w:val="18"/>
          <w:shd w:val="clear" w:color="auto" w:fill="FFFFFF"/>
        </w:rPr>
        <w:t xml:space="preserve"> </w:t>
      </w:r>
    </w:p>
    <w:p w14:paraId="6DA119BB" w14:textId="77777777" w:rsidR="00922E79" w:rsidRPr="00595441" w:rsidRDefault="00922E79" w:rsidP="00922E79">
      <w:pPr>
        <w:pStyle w:val="NormalWeb"/>
        <w:rPr>
          <w:rFonts w:asciiTheme="minorBidi" w:hAnsiTheme="minorBidi" w:cstheme="minorBidi"/>
          <w:color w:val="212121"/>
          <w:sz w:val="18"/>
          <w:szCs w:val="18"/>
          <w:shd w:val="clear" w:color="auto" w:fill="FFFFFF"/>
        </w:rPr>
      </w:pPr>
    </w:p>
    <w:p w14:paraId="37C3B700" w14:textId="16B8DA40" w:rsidR="00922E79" w:rsidRPr="00595441" w:rsidRDefault="00922E79" w:rsidP="00922E79">
      <w:pPr>
        <w:pStyle w:val="NormalWeb"/>
        <w:rPr>
          <w:rFonts w:asciiTheme="minorBidi" w:hAnsiTheme="minorBidi" w:cstheme="minorBidi"/>
          <w:b/>
          <w:bCs/>
          <w:sz w:val="18"/>
          <w:szCs w:val="18"/>
        </w:rPr>
      </w:pPr>
    </w:p>
    <w:sectPr w:rsidR="00922E79" w:rsidRPr="00595441" w:rsidSect="002A416C">
      <w:headerReference w:type="even" r:id="rId16"/>
      <w:headerReference w:type="default" r:id="rId17"/>
      <w:footerReference w:type="even" r:id="rId18"/>
      <w:footerReference w:type="default" r:id="rId19"/>
      <w:headerReference w:type="first" r:id="rId20"/>
      <w:footerReference w:type="first" r:id="rId21"/>
      <w:pgSz w:w="12240" w:h="15840"/>
      <w:pgMar w:top="1418" w:right="1418" w:bottom="1418" w:left="1418" w:header="437" w:footer="2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09777" w14:textId="77777777" w:rsidR="00B44491" w:rsidRDefault="00B44491">
      <w:r>
        <w:separator/>
      </w:r>
    </w:p>
  </w:endnote>
  <w:endnote w:type="continuationSeparator" w:id="0">
    <w:p w14:paraId="45953B89" w14:textId="77777777" w:rsidR="00B44491" w:rsidRDefault="00B4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7A43" w14:textId="77777777" w:rsidR="00BF5DA3" w:rsidRDefault="00BF5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78B5" w14:textId="77777777" w:rsidR="00BF5DA3" w:rsidRDefault="00BF5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D392" w14:textId="77777777" w:rsidR="00BF5DA3" w:rsidRDefault="00BF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0C7AF" w14:textId="77777777" w:rsidR="00B44491" w:rsidRDefault="00B44491">
      <w:r>
        <w:separator/>
      </w:r>
    </w:p>
  </w:footnote>
  <w:footnote w:type="continuationSeparator" w:id="0">
    <w:p w14:paraId="2B453660" w14:textId="77777777" w:rsidR="00B44491" w:rsidRDefault="00B4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6EDF" w14:textId="4075E4CC" w:rsidR="00BF5DA3" w:rsidRDefault="00BF5DA3">
    <w:pPr>
      <w:pStyle w:val="Header"/>
    </w:pPr>
    <w:r>
      <w:rPr>
        <w:noProof/>
      </w:rPr>
      <w:pict w14:anchorId="0C3AA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7766" o:spid="_x0000_s1026" type="#_x0000_t136" style="position:absolute;left:0;text-align:left;margin-left:0;margin-top:0;width:596.55pt;height:66.2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5F38" w14:textId="2D9E2C18" w:rsidR="00BF5DA3" w:rsidRDefault="00BF5DA3">
    <w:pPr>
      <w:pStyle w:val="Header"/>
    </w:pPr>
    <w:r>
      <w:rPr>
        <w:noProof/>
      </w:rPr>
      <w:pict w14:anchorId="4D00A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7767" o:spid="_x0000_s1027" type="#_x0000_t136" style="position:absolute;left:0;text-align:left;margin-left:0;margin-top:0;width:596.55pt;height:66.2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45E5" w14:textId="4C45EB82" w:rsidR="00BF5DA3" w:rsidRDefault="00BF5DA3">
    <w:pPr>
      <w:pStyle w:val="Header"/>
    </w:pPr>
    <w:r>
      <w:rPr>
        <w:noProof/>
      </w:rPr>
      <w:pict w14:anchorId="252D0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7765" o:spid="_x0000_s1025"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FC3"/>
    <w:multiLevelType w:val="hybridMultilevel"/>
    <w:tmpl w:val="148E0984"/>
    <w:lvl w:ilvl="0" w:tplc="9A3C6A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C2A06"/>
    <w:multiLevelType w:val="hybridMultilevel"/>
    <w:tmpl w:val="EE549212"/>
    <w:lvl w:ilvl="0" w:tplc="51E088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F3127"/>
    <w:multiLevelType w:val="hybridMultilevel"/>
    <w:tmpl w:val="E3A02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540A74"/>
    <w:multiLevelType w:val="hybridMultilevel"/>
    <w:tmpl w:val="81866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853120"/>
    <w:multiLevelType w:val="hybridMultilevel"/>
    <w:tmpl w:val="BBBE1DB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1756A"/>
    <w:multiLevelType w:val="hybridMultilevel"/>
    <w:tmpl w:val="73B09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8F00AF"/>
    <w:multiLevelType w:val="hybridMultilevel"/>
    <w:tmpl w:val="EDFECBD0"/>
    <w:lvl w:ilvl="0" w:tplc="94F0291A">
      <w:start w:val="1"/>
      <w:numFmt w:val="bullet"/>
      <w:lvlText w:val="•"/>
      <w:lvlJc w:val="left"/>
      <w:pPr>
        <w:tabs>
          <w:tab w:val="num" w:pos="720"/>
        </w:tabs>
        <w:ind w:left="720" w:hanging="360"/>
      </w:pPr>
      <w:rPr>
        <w:rFonts w:ascii="Arial" w:hAnsi="Arial" w:hint="default"/>
      </w:rPr>
    </w:lvl>
    <w:lvl w:ilvl="1" w:tplc="56649A54" w:tentative="1">
      <w:start w:val="1"/>
      <w:numFmt w:val="bullet"/>
      <w:lvlText w:val="•"/>
      <w:lvlJc w:val="left"/>
      <w:pPr>
        <w:tabs>
          <w:tab w:val="num" w:pos="1440"/>
        </w:tabs>
        <w:ind w:left="1440" w:hanging="360"/>
      </w:pPr>
      <w:rPr>
        <w:rFonts w:ascii="Arial" w:hAnsi="Arial" w:hint="default"/>
      </w:rPr>
    </w:lvl>
    <w:lvl w:ilvl="2" w:tplc="06402A6A" w:tentative="1">
      <w:start w:val="1"/>
      <w:numFmt w:val="bullet"/>
      <w:lvlText w:val="•"/>
      <w:lvlJc w:val="left"/>
      <w:pPr>
        <w:tabs>
          <w:tab w:val="num" w:pos="2160"/>
        </w:tabs>
        <w:ind w:left="2160" w:hanging="360"/>
      </w:pPr>
      <w:rPr>
        <w:rFonts w:ascii="Arial" w:hAnsi="Arial" w:hint="default"/>
      </w:rPr>
    </w:lvl>
    <w:lvl w:ilvl="3" w:tplc="B310F778" w:tentative="1">
      <w:start w:val="1"/>
      <w:numFmt w:val="bullet"/>
      <w:lvlText w:val="•"/>
      <w:lvlJc w:val="left"/>
      <w:pPr>
        <w:tabs>
          <w:tab w:val="num" w:pos="2880"/>
        </w:tabs>
        <w:ind w:left="2880" w:hanging="360"/>
      </w:pPr>
      <w:rPr>
        <w:rFonts w:ascii="Arial" w:hAnsi="Arial" w:hint="default"/>
      </w:rPr>
    </w:lvl>
    <w:lvl w:ilvl="4" w:tplc="3FAC09B2" w:tentative="1">
      <w:start w:val="1"/>
      <w:numFmt w:val="bullet"/>
      <w:lvlText w:val="•"/>
      <w:lvlJc w:val="left"/>
      <w:pPr>
        <w:tabs>
          <w:tab w:val="num" w:pos="3600"/>
        </w:tabs>
        <w:ind w:left="3600" w:hanging="360"/>
      </w:pPr>
      <w:rPr>
        <w:rFonts w:ascii="Arial" w:hAnsi="Arial" w:hint="default"/>
      </w:rPr>
    </w:lvl>
    <w:lvl w:ilvl="5" w:tplc="60DC6B22" w:tentative="1">
      <w:start w:val="1"/>
      <w:numFmt w:val="bullet"/>
      <w:lvlText w:val="•"/>
      <w:lvlJc w:val="left"/>
      <w:pPr>
        <w:tabs>
          <w:tab w:val="num" w:pos="4320"/>
        </w:tabs>
        <w:ind w:left="4320" w:hanging="360"/>
      </w:pPr>
      <w:rPr>
        <w:rFonts w:ascii="Arial" w:hAnsi="Arial" w:hint="default"/>
      </w:rPr>
    </w:lvl>
    <w:lvl w:ilvl="6" w:tplc="59243A6E" w:tentative="1">
      <w:start w:val="1"/>
      <w:numFmt w:val="bullet"/>
      <w:lvlText w:val="•"/>
      <w:lvlJc w:val="left"/>
      <w:pPr>
        <w:tabs>
          <w:tab w:val="num" w:pos="5040"/>
        </w:tabs>
        <w:ind w:left="5040" w:hanging="360"/>
      </w:pPr>
      <w:rPr>
        <w:rFonts w:ascii="Arial" w:hAnsi="Arial" w:hint="default"/>
      </w:rPr>
    </w:lvl>
    <w:lvl w:ilvl="7" w:tplc="EE62BF88" w:tentative="1">
      <w:start w:val="1"/>
      <w:numFmt w:val="bullet"/>
      <w:lvlText w:val="•"/>
      <w:lvlJc w:val="left"/>
      <w:pPr>
        <w:tabs>
          <w:tab w:val="num" w:pos="5760"/>
        </w:tabs>
        <w:ind w:left="5760" w:hanging="360"/>
      </w:pPr>
      <w:rPr>
        <w:rFonts w:ascii="Arial" w:hAnsi="Arial" w:hint="default"/>
      </w:rPr>
    </w:lvl>
    <w:lvl w:ilvl="8" w:tplc="36000E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5F3CDD"/>
    <w:multiLevelType w:val="hybridMultilevel"/>
    <w:tmpl w:val="A89E2688"/>
    <w:lvl w:ilvl="0" w:tplc="43AA2BC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94556"/>
    <w:multiLevelType w:val="hybridMultilevel"/>
    <w:tmpl w:val="8732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87B75"/>
    <w:multiLevelType w:val="hybridMultilevel"/>
    <w:tmpl w:val="0A5E1F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7D23EB"/>
    <w:multiLevelType w:val="hybridMultilevel"/>
    <w:tmpl w:val="12C80392"/>
    <w:lvl w:ilvl="0" w:tplc="74A67670">
      <w:start w:val="1"/>
      <w:numFmt w:val="upperLetter"/>
      <w:lvlText w:val="%1)"/>
      <w:lvlJc w:val="left"/>
      <w:pPr>
        <w:ind w:left="720" w:hanging="360"/>
      </w:pPr>
      <w:rPr>
        <w:rFonts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728C4"/>
    <w:multiLevelType w:val="hybridMultilevel"/>
    <w:tmpl w:val="5F56C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E2050"/>
    <w:multiLevelType w:val="hybridMultilevel"/>
    <w:tmpl w:val="896A3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BA2093"/>
    <w:multiLevelType w:val="hybridMultilevel"/>
    <w:tmpl w:val="3A4A7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64425">
    <w:abstractNumId w:val="4"/>
  </w:num>
  <w:num w:numId="2" w16cid:durableId="16583886">
    <w:abstractNumId w:val="9"/>
  </w:num>
  <w:num w:numId="3" w16cid:durableId="332102462">
    <w:abstractNumId w:val="8"/>
  </w:num>
  <w:num w:numId="4" w16cid:durableId="975141503">
    <w:abstractNumId w:val="6"/>
  </w:num>
  <w:num w:numId="5" w16cid:durableId="452865236">
    <w:abstractNumId w:val="2"/>
  </w:num>
  <w:num w:numId="6" w16cid:durableId="1975524004">
    <w:abstractNumId w:val="0"/>
  </w:num>
  <w:num w:numId="7" w16cid:durableId="1037387293">
    <w:abstractNumId w:val="3"/>
  </w:num>
  <w:num w:numId="8" w16cid:durableId="5374366">
    <w:abstractNumId w:val="7"/>
  </w:num>
  <w:num w:numId="9" w16cid:durableId="1545754996">
    <w:abstractNumId w:val="1"/>
  </w:num>
  <w:num w:numId="10" w16cid:durableId="1603108046">
    <w:abstractNumId w:val="5"/>
  </w:num>
  <w:num w:numId="11" w16cid:durableId="1664318118">
    <w:abstractNumId w:val="12"/>
  </w:num>
  <w:num w:numId="12" w16cid:durableId="1056971706">
    <w:abstractNumId w:val="11"/>
  </w:num>
  <w:num w:numId="13" w16cid:durableId="1695686769">
    <w:abstractNumId w:val="10"/>
  </w:num>
  <w:num w:numId="14" w16cid:durableId="1667633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7"/>
    <w:rsid w:val="0000361A"/>
    <w:rsid w:val="00003A5D"/>
    <w:rsid w:val="00004E14"/>
    <w:rsid w:val="00004E49"/>
    <w:rsid w:val="000051A4"/>
    <w:rsid w:val="00006693"/>
    <w:rsid w:val="00007959"/>
    <w:rsid w:val="00007DB4"/>
    <w:rsid w:val="00012623"/>
    <w:rsid w:val="00012775"/>
    <w:rsid w:val="00012FFA"/>
    <w:rsid w:val="000137B6"/>
    <w:rsid w:val="000140ED"/>
    <w:rsid w:val="00014143"/>
    <w:rsid w:val="00014249"/>
    <w:rsid w:val="00015CA1"/>
    <w:rsid w:val="0001686B"/>
    <w:rsid w:val="00020581"/>
    <w:rsid w:val="00020DD4"/>
    <w:rsid w:val="00021D1A"/>
    <w:rsid w:val="00025CF8"/>
    <w:rsid w:val="00026887"/>
    <w:rsid w:val="00033C4E"/>
    <w:rsid w:val="00033CB4"/>
    <w:rsid w:val="00034FEB"/>
    <w:rsid w:val="00035294"/>
    <w:rsid w:val="00042EC8"/>
    <w:rsid w:val="000437BF"/>
    <w:rsid w:val="00043D3A"/>
    <w:rsid w:val="00044203"/>
    <w:rsid w:val="00044655"/>
    <w:rsid w:val="00044872"/>
    <w:rsid w:val="0004490B"/>
    <w:rsid w:val="00046BFC"/>
    <w:rsid w:val="00051016"/>
    <w:rsid w:val="0005194B"/>
    <w:rsid w:val="000528E1"/>
    <w:rsid w:val="00054690"/>
    <w:rsid w:val="0005472A"/>
    <w:rsid w:val="00054CF8"/>
    <w:rsid w:val="000572C6"/>
    <w:rsid w:val="00057C97"/>
    <w:rsid w:val="000605AB"/>
    <w:rsid w:val="000654BB"/>
    <w:rsid w:val="0006570D"/>
    <w:rsid w:val="00066A5B"/>
    <w:rsid w:val="00066D7B"/>
    <w:rsid w:val="00070F0D"/>
    <w:rsid w:val="00074ABD"/>
    <w:rsid w:val="00074C4A"/>
    <w:rsid w:val="00076F63"/>
    <w:rsid w:val="000811A8"/>
    <w:rsid w:val="0008254F"/>
    <w:rsid w:val="00083CB5"/>
    <w:rsid w:val="00084738"/>
    <w:rsid w:val="000850D2"/>
    <w:rsid w:val="000853B4"/>
    <w:rsid w:val="000855F1"/>
    <w:rsid w:val="00085869"/>
    <w:rsid w:val="00085ECE"/>
    <w:rsid w:val="00086EA5"/>
    <w:rsid w:val="0009134A"/>
    <w:rsid w:val="00091550"/>
    <w:rsid w:val="00091FA6"/>
    <w:rsid w:val="00092CC8"/>
    <w:rsid w:val="0009342C"/>
    <w:rsid w:val="00093F87"/>
    <w:rsid w:val="00094C45"/>
    <w:rsid w:val="000963F2"/>
    <w:rsid w:val="000A03BD"/>
    <w:rsid w:val="000A0C5F"/>
    <w:rsid w:val="000A1F19"/>
    <w:rsid w:val="000A2D9D"/>
    <w:rsid w:val="000A5386"/>
    <w:rsid w:val="000A566F"/>
    <w:rsid w:val="000A5D0A"/>
    <w:rsid w:val="000A726C"/>
    <w:rsid w:val="000A7A62"/>
    <w:rsid w:val="000B2650"/>
    <w:rsid w:val="000B369F"/>
    <w:rsid w:val="000B45C6"/>
    <w:rsid w:val="000B5530"/>
    <w:rsid w:val="000B63FB"/>
    <w:rsid w:val="000B70D1"/>
    <w:rsid w:val="000B7D67"/>
    <w:rsid w:val="000C0D29"/>
    <w:rsid w:val="000C2204"/>
    <w:rsid w:val="000C36CC"/>
    <w:rsid w:val="000C4889"/>
    <w:rsid w:val="000C59CF"/>
    <w:rsid w:val="000D0EE8"/>
    <w:rsid w:val="000D298D"/>
    <w:rsid w:val="000D2A8E"/>
    <w:rsid w:val="000D33E6"/>
    <w:rsid w:val="000D45D7"/>
    <w:rsid w:val="000D6F77"/>
    <w:rsid w:val="000D75B3"/>
    <w:rsid w:val="000D7B77"/>
    <w:rsid w:val="000E1528"/>
    <w:rsid w:val="000E17A6"/>
    <w:rsid w:val="000E41D0"/>
    <w:rsid w:val="000E754C"/>
    <w:rsid w:val="000F1775"/>
    <w:rsid w:val="000F1DFF"/>
    <w:rsid w:val="000F38F4"/>
    <w:rsid w:val="000F52BB"/>
    <w:rsid w:val="000F5345"/>
    <w:rsid w:val="000F6AAF"/>
    <w:rsid w:val="000F6BFD"/>
    <w:rsid w:val="001002CD"/>
    <w:rsid w:val="0010182B"/>
    <w:rsid w:val="001026C5"/>
    <w:rsid w:val="00103F66"/>
    <w:rsid w:val="00105C67"/>
    <w:rsid w:val="001072C0"/>
    <w:rsid w:val="001079D1"/>
    <w:rsid w:val="00107BB8"/>
    <w:rsid w:val="001106E3"/>
    <w:rsid w:val="00112DD3"/>
    <w:rsid w:val="001162B8"/>
    <w:rsid w:val="00116E32"/>
    <w:rsid w:val="001225AB"/>
    <w:rsid w:val="00122C7C"/>
    <w:rsid w:val="0012497A"/>
    <w:rsid w:val="001252D9"/>
    <w:rsid w:val="00125BAB"/>
    <w:rsid w:val="00132A68"/>
    <w:rsid w:val="001332A6"/>
    <w:rsid w:val="0013350B"/>
    <w:rsid w:val="00133626"/>
    <w:rsid w:val="00134254"/>
    <w:rsid w:val="00136DA5"/>
    <w:rsid w:val="00141832"/>
    <w:rsid w:val="00142CBB"/>
    <w:rsid w:val="00143264"/>
    <w:rsid w:val="0014381B"/>
    <w:rsid w:val="00143F5B"/>
    <w:rsid w:val="001463D5"/>
    <w:rsid w:val="00146411"/>
    <w:rsid w:val="00146DE0"/>
    <w:rsid w:val="0015189A"/>
    <w:rsid w:val="00153C1A"/>
    <w:rsid w:val="001545E5"/>
    <w:rsid w:val="00154BFA"/>
    <w:rsid w:val="00156315"/>
    <w:rsid w:val="00156BE1"/>
    <w:rsid w:val="00156F8A"/>
    <w:rsid w:val="00162D7E"/>
    <w:rsid w:val="00166A8D"/>
    <w:rsid w:val="0016728F"/>
    <w:rsid w:val="001675C3"/>
    <w:rsid w:val="001675DF"/>
    <w:rsid w:val="00171B7D"/>
    <w:rsid w:val="001720EF"/>
    <w:rsid w:val="0017578B"/>
    <w:rsid w:val="00177E18"/>
    <w:rsid w:val="00182226"/>
    <w:rsid w:val="0018760C"/>
    <w:rsid w:val="00187D48"/>
    <w:rsid w:val="001909EC"/>
    <w:rsid w:val="00192E8C"/>
    <w:rsid w:val="00193ADD"/>
    <w:rsid w:val="001942CC"/>
    <w:rsid w:val="001946F9"/>
    <w:rsid w:val="001948C6"/>
    <w:rsid w:val="0019791B"/>
    <w:rsid w:val="001A2695"/>
    <w:rsid w:val="001A2699"/>
    <w:rsid w:val="001A33C7"/>
    <w:rsid w:val="001A5AB8"/>
    <w:rsid w:val="001A5E64"/>
    <w:rsid w:val="001A77F9"/>
    <w:rsid w:val="001B2012"/>
    <w:rsid w:val="001B2C18"/>
    <w:rsid w:val="001B3B94"/>
    <w:rsid w:val="001B7DD9"/>
    <w:rsid w:val="001C00FB"/>
    <w:rsid w:val="001C597C"/>
    <w:rsid w:val="001C74EC"/>
    <w:rsid w:val="001D1B6D"/>
    <w:rsid w:val="001D452F"/>
    <w:rsid w:val="001D5826"/>
    <w:rsid w:val="001D5891"/>
    <w:rsid w:val="001E0C2E"/>
    <w:rsid w:val="001E1E87"/>
    <w:rsid w:val="001E2C53"/>
    <w:rsid w:val="001E3F3E"/>
    <w:rsid w:val="001E4E03"/>
    <w:rsid w:val="001E51D6"/>
    <w:rsid w:val="001F01CA"/>
    <w:rsid w:val="001F095E"/>
    <w:rsid w:val="001F0BB1"/>
    <w:rsid w:val="001F19F8"/>
    <w:rsid w:val="001F2D97"/>
    <w:rsid w:val="001F34FB"/>
    <w:rsid w:val="001F3EA4"/>
    <w:rsid w:val="001F76B7"/>
    <w:rsid w:val="00200927"/>
    <w:rsid w:val="00200E28"/>
    <w:rsid w:val="0020133C"/>
    <w:rsid w:val="00201B83"/>
    <w:rsid w:val="002024FB"/>
    <w:rsid w:val="00202977"/>
    <w:rsid w:val="002029CC"/>
    <w:rsid w:val="00203CB1"/>
    <w:rsid w:val="00203D81"/>
    <w:rsid w:val="00204020"/>
    <w:rsid w:val="0020513D"/>
    <w:rsid w:val="00205669"/>
    <w:rsid w:val="00205CCF"/>
    <w:rsid w:val="00206215"/>
    <w:rsid w:val="00210F0F"/>
    <w:rsid w:val="00210FA6"/>
    <w:rsid w:val="002117A2"/>
    <w:rsid w:val="0021380D"/>
    <w:rsid w:val="00213EE9"/>
    <w:rsid w:val="002173C8"/>
    <w:rsid w:val="002225B2"/>
    <w:rsid w:val="00222FDC"/>
    <w:rsid w:val="00224E63"/>
    <w:rsid w:val="002250C3"/>
    <w:rsid w:val="00225FAC"/>
    <w:rsid w:val="002267B1"/>
    <w:rsid w:val="00232FD0"/>
    <w:rsid w:val="00233F8F"/>
    <w:rsid w:val="002342A1"/>
    <w:rsid w:val="0023479C"/>
    <w:rsid w:val="00235603"/>
    <w:rsid w:val="002360C6"/>
    <w:rsid w:val="002363A9"/>
    <w:rsid w:val="00237C4A"/>
    <w:rsid w:val="00243F2E"/>
    <w:rsid w:val="00245B61"/>
    <w:rsid w:val="0024635F"/>
    <w:rsid w:val="002468EF"/>
    <w:rsid w:val="00246B36"/>
    <w:rsid w:val="00247666"/>
    <w:rsid w:val="002505B7"/>
    <w:rsid w:val="00251A8D"/>
    <w:rsid w:val="002534C5"/>
    <w:rsid w:val="0025350E"/>
    <w:rsid w:val="00254086"/>
    <w:rsid w:val="00254CAE"/>
    <w:rsid w:val="00254D7C"/>
    <w:rsid w:val="00254F17"/>
    <w:rsid w:val="00254F7D"/>
    <w:rsid w:val="00255374"/>
    <w:rsid w:val="002567C5"/>
    <w:rsid w:val="00256B8E"/>
    <w:rsid w:val="00260275"/>
    <w:rsid w:val="00261F59"/>
    <w:rsid w:val="002622FA"/>
    <w:rsid w:val="002636D7"/>
    <w:rsid w:val="002668D5"/>
    <w:rsid w:val="00266DD6"/>
    <w:rsid w:val="002678B9"/>
    <w:rsid w:val="00271351"/>
    <w:rsid w:val="0027334E"/>
    <w:rsid w:val="002739F8"/>
    <w:rsid w:val="00274141"/>
    <w:rsid w:val="00274C9B"/>
    <w:rsid w:val="00275088"/>
    <w:rsid w:val="0027582D"/>
    <w:rsid w:val="00287DF5"/>
    <w:rsid w:val="0029000B"/>
    <w:rsid w:val="00290EFE"/>
    <w:rsid w:val="00291EE7"/>
    <w:rsid w:val="00292E27"/>
    <w:rsid w:val="00293343"/>
    <w:rsid w:val="0029363A"/>
    <w:rsid w:val="0029381C"/>
    <w:rsid w:val="00293B9D"/>
    <w:rsid w:val="00294F40"/>
    <w:rsid w:val="00295016"/>
    <w:rsid w:val="00295244"/>
    <w:rsid w:val="002A23B3"/>
    <w:rsid w:val="002A2720"/>
    <w:rsid w:val="002A416C"/>
    <w:rsid w:val="002A735B"/>
    <w:rsid w:val="002A76FA"/>
    <w:rsid w:val="002B1F4A"/>
    <w:rsid w:val="002B343E"/>
    <w:rsid w:val="002B4D9B"/>
    <w:rsid w:val="002B53F1"/>
    <w:rsid w:val="002B5B7C"/>
    <w:rsid w:val="002B6DFA"/>
    <w:rsid w:val="002C3067"/>
    <w:rsid w:val="002C359F"/>
    <w:rsid w:val="002C3BA5"/>
    <w:rsid w:val="002D0129"/>
    <w:rsid w:val="002D08BD"/>
    <w:rsid w:val="002D1212"/>
    <w:rsid w:val="002D2428"/>
    <w:rsid w:val="002D3DBD"/>
    <w:rsid w:val="002D4B67"/>
    <w:rsid w:val="002D4C04"/>
    <w:rsid w:val="002D68EF"/>
    <w:rsid w:val="002D778C"/>
    <w:rsid w:val="002E0534"/>
    <w:rsid w:val="002E1182"/>
    <w:rsid w:val="002E2772"/>
    <w:rsid w:val="002E3D2D"/>
    <w:rsid w:val="002E46CF"/>
    <w:rsid w:val="002E48C9"/>
    <w:rsid w:val="002E5D6F"/>
    <w:rsid w:val="002E653E"/>
    <w:rsid w:val="002E6CAF"/>
    <w:rsid w:val="002F28A6"/>
    <w:rsid w:val="00304A6F"/>
    <w:rsid w:val="003053FC"/>
    <w:rsid w:val="003078E0"/>
    <w:rsid w:val="003119BA"/>
    <w:rsid w:val="00311A89"/>
    <w:rsid w:val="00313415"/>
    <w:rsid w:val="00316550"/>
    <w:rsid w:val="0032007F"/>
    <w:rsid w:val="00320901"/>
    <w:rsid w:val="00320ADA"/>
    <w:rsid w:val="00322B56"/>
    <w:rsid w:val="00322F91"/>
    <w:rsid w:val="00324584"/>
    <w:rsid w:val="00324B2A"/>
    <w:rsid w:val="00326655"/>
    <w:rsid w:val="00330663"/>
    <w:rsid w:val="00331194"/>
    <w:rsid w:val="003324CD"/>
    <w:rsid w:val="0033276D"/>
    <w:rsid w:val="003330A8"/>
    <w:rsid w:val="00333E50"/>
    <w:rsid w:val="00335F53"/>
    <w:rsid w:val="00335F6E"/>
    <w:rsid w:val="00341C73"/>
    <w:rsid w:val="00341CC2"/>
    <w:rsid w:val="00341ECC"/>
    <w:rsid w:val="00343321"/>
    <w:rsid w:val="003449BB"/>
    <w:rsid w:val="00345249"/>
    <w:rsid w:val="003479CC"/>
    <w:rsid w:val="00350001"/>
    <w:rsid w:val="00351BA3"/>
    <w:rsid w:val="003521D3"/>
    <w:rsid w:val="00357BD6"/>
    <w:rsid w:val="00364B2D"/>
    <w:rsid w:val="00364C92"/>
    <w:rsid w:val="00364E6E"/>
    <w:rsid w:val="003654CF"/>
    <w:rsid w:val="00367754"/>
    <w:rsid w:val="00367BC4"/>
    <w:rsid w:val="003703DC"/>
    <w:rsid w:val="00370C87"/>
    <w:rsid w:val="00370E22"/>
    <w:rsid w:val="00371867"/>
    <w:rsid w:val="00371B6B"/>
    <w:rsid w:val="003746CD"/>
    <w:rsid w:val="00381ED4"/>
    <w:rsid w:val="00382195"/>
    <w:rsid w:val="00386F3F"/>
    <w:rsid w:val="0039167E"/>
    <w:rsid w:val="00391B75"/>
    <w:rsid w:val="00391FFF"/>
    <w:rsid w:val="003931D3"/>
    <w:rsid w:val="00395752"/>
    <w:rsid w:val="003965FF"/>
    <w:rsid w:val="00397A1F"/>
    <w:rsid w:val="003A0C2B"/>
    <w:rsid w:val="003A2F00"/>
    <w:rsid w:val="003A4445"/>
    <w:rsid w:val="003A66E9"/>
    <w:rsid w:val="003A767A"/>
    <w:rsid w:val="003B0C03"/>
    <w:rsid w:val="003B101F"/>
    <w:rsid w:val="003B16C2"/>
    <w:rsid w:val="003B16FD"/>
    <w:rsid w:val="003B471C"/>
    <w:rsid w:val="003B4CF7"/>
    <w:rsid w:val="003B6ABC"/>
    <w:rsid w:val="003B7DA4"/>
    <w:rsid w:val="003C1BB9"/>
    <w:rsid w:val="003C1F57"/>
    <w:rsid w:val="003C3D98"/>
    <w:rsid w:val="003C7F0F"/>
    <w:rsid w:val="003D206A"/>
    <w:rsid w:val="003D49AA"/>
    <w:rsid w:val="003D534B"/>
    <w:rsid w:val="003D73A1"/>
    <w:rsid w:val="003E01BA"/>
    <w:rsid w:val="003E1544"/>
    <w:rsid w:val="003E2250"/>
    <w:rsid w:val="003E24F8"/>
    <w:rsid w:val="003E54F0"/>
    <w:rsid w:val="003E586A"/>
    <w:rsid w:val="003E6FE7"/>
    <w:rsid w:val="003F1A3A"/>
    <w:rsid w:val="003F1F01"/>
    <w:rsid w:val="003F2FD0"/>
    <w:rsid w:val="003F4B8B"/>
    <w:rsid w:val="003F65B8"/>
    <w:rsid w:val="003F6C95"/>
    <w:rsid w:val="003F764B"/>
    <w:rsid w:val="0040076B"/>
    <w:rsid w:val="004023D2"/>
    <w:rsid w:val="00404B00"/>
    <w:rsid w:val="004055CA"/>
    <w:rsid w:val="0040586D"/>
    <w:rsid w:val="004077AA"/>
    <w:rsid w:val="00407C2B"/>
    <w:rsid w:val="00410CDC"/>
    <w:rsid w:val="00411EEA"/>
    <w:rsid w:val="00412E23"/>
    <w:rsid w:val="004150EE"/>
    <w:rsid w:val="004165E6"/>
    <w:rsid w:val="00424EC6"/>
    <w:rsid w:val="00424F8A"/>
    <w:rsid w:val="004254EB"/>
    <w:rsid w:val="00425821"/>
    <w:rsid w:val="0042704E"/>
    <w:rsid w:val="00427363"/>
    <w:rsid w:val="00430183"/>
    <w:rsid w:val="00430F9D"/>
    <w:rsid w:val="00431A3C"/>
    <w:rsid w:val="0043475F"/>
    <w:rsid w:val="00435DAE"/>
    <w:rsid w:val="004416F7"/>
    <w:rsid w:val="00441B7F"/>
    <w:rsid w:val="00443EAC"/>
    <w:rsid w:val="0044688C"/>
    <w:rsid w:val="00452156"/>
    <w:rsid w:val="0045284B"/>
    <w:rsid w:val="004532BA"/>
    <w:rsid w:val="00453F79"/>
    <w:rsid w:val="00454288"/>
    <w:rsid w:val="00455160"/>
    <w:rsid w:val="00455349"/>
    <w:rsid w:val="0046063E"/>
    <w:rsid w:val="00460A66"/>
    <w:rsid w:val="00460BF8"/>
    <w:rsid w:val="00463C44"/>
    <w:rsid w:val="00464199"/>
    <w:rsid w:val="0046459F"/>
    <w:rsid w:val="004646C3"/>
    <w:rsid w:val="00465401"/>
    <w:rsid w:val="00467962"/>
    <w:rsid w:val="00471729"/>
    <w:rsid w:val="004723C8"/>
    <w:rsid w:val="00472416"/>
    <w:rsid w:val="004725E3"/>
    <w:rsid w:val="0047372E"/>
    <w:rsid w:val="00474098"/>
    <w:rsid w:val="00474554"/>
    <w:rsid w:val="004748BC"/>
    <w:rsid w:val="00475B0E"/>
    <w:rsid w:val="004767FA"/>
    <w:rsid w:val="00476975"/>
    <w:rsid w:val="00476D18"/>
    <w:rsid w:val="00480F83"/>
    <w:rsid w:val="00481AC7"/>
    <w:rsid w:val="00483055"/>
    <w:rsid w:val="004833BC"/>
    <w:rsid w:val="00483E87"/>
    <w:rsid w:val="00485884"/>
    <w:rsid w:val="00486C82"/>
    <w:rsid w:val="0048736D"/>
    <w:rsid w:val="004916B3"/>
    <w:rsid w:val="00491C52"/>
    <w:rsid w:val="00492001"/>
    <w:rsid w:val="00492845"/>
    <w:rsid w:val="00492DE9"/>
    <w:rsid w:val="0049484F"/>
    <w:rsid w:val="004966AF"/>
    <w:rsid w:val="00496B19"/>
    <w:rsid w:val="00496B60"/>
    <w:rsid w:val="004A0373"/>
    <w:rsid w:val="004A0D25"/>
    <w:rsid w:val="004A2EE4"/>
    <w:rsid w:val="004A3E5C"/>
    <w:rsid w:val="004B0218"/>
    <w:rsid w:val="004B0FFC"/>
    <w:rsid w:val="004B2D0E"/>
    <w:rsid w:val="004B33B2"/>
    <w:rsid w:val="004B5F0B"/>
    <w:rsid w:val="004B7D25"/>
    <w:rsid w:val="004B7ED4"/>
    <w:rsid w:val="004C1BC5"/>
    <w:rsid w:val="004C2829"/>
    <w:rsid w:val="004D19C4"/>
    <w:rsid w:val="004E09F5"/>
    <w:rsid w:val="004E27B3"/>
    <w:rsid w:val="004F0942"/>
    <w:rsid w:val="004F1BE7"/>
    <w:rsid w:val="004F42B0"/>
    <w:rsid w:val="004F5657"/>
    <w:rsid w:val="004F5660"/>
    <w:rsid w:val="004F6178"/>
    <w:rsid w:val="004F7444"/>
    <w:rsid w:val="004F79DE"/>
    <w:rsid w:val="005003EF"/>
    <w:rsid w:val="00500643"/>
    <w:rsid w:val="00501474"/>
    <w:rsid w:val="0050229E"/>
    <w:rsid w:val="00502CD3"/>
    <w:rsid w:val="005044CA"/>
    <w:rsid w:val="00505A87"/>
    <w:rsid w:val="00506678"/>
    <w:rsid w:val="005112D5"/>
    <w:rsid w:val="00512D22"/>
    <w:rsid w:val="005130C4"/>
    <w:rsid w:val="005135BB"/>
    <w:rsid w:val="005206EF"/>
    <w:rsid w:val="005223D5"/>
    <w:rsid w:val="0052406B"/>
    <w:rsid w:val="005245C8"/>
    <w:rsid w:val="00524B86"/>
    <w:rsid w:val="0052517C"/>
    <w:rsid w:val="005266CE"/>
    <w:rsid w:val="00530D80"/>
    <w:rsid w:val="005316C6"/>
    <w:rsid w:val="005346B8"/>
    <w:rsid w:val="00535E2A"/>
    <w:rsid w:val="00537206"/>
    <w:rsid w:val="00541812"/>
    <w:rsid w:val="005420A3"/>
    <w:rsid w:val="005439A9"/>
    <w:rsid w:val="00543E47"/>
    <w:rsid w:val="005440AE"/>
    <w:rsid w:val="005442C0"/>
    <w:rsid w:val="00545C10"/>
    <w:rsid w:val="00547C75"/>
    <w:rsid w:val="005511DD"/>
    <w:rsid w:val="00551F9E"/>
    <w:rsid w:val="005525BC"/>
    <w:rsid w:val="00555F8B"/>
    <w:rsid w:val="00560395"/>
    <w:rsid w:val="00562B87"/>
    <w:rsid w:val="00563A3D"/>
    <w:rsid w:val="00563B12"/>
    <w:rsid w:val="00563E81"/>
    <w:rsid w:val="00565B64"/>
    <w:rsid w:val="00566415"/>
    <w:rsid w:val="005719E4"/>
    <w:rsid w:val="0057238A"/>
    <w:rsid w:val="00572A4F"/>
    <w:rsid w:val="00575168"/>
    <w:rsid w:val="005754BC"/>
    <w:rsid w:val="00575C2D"/>
    <w:rsid w:val="00580BD3"/>
    <w:rsid w:val="00580F33"/>
    <w:rsid w:val="00581419"/>
    <w:rsid w:val="005816CA"/>
    <w:rsid w:val="00583734"/>
    <w:rsid w:val="00583BB5"/>
    <w:rsid w:val="0058716D"/>
    <w:rsid w:val="00587FDE"/>
    <w:rsid w:val="005904B8"/>
    <w:rsid w:val="00590E5E"/>
    <w:rsid w:val="00590EF7"/>
    <w:rsid w:val="0059287E"/>
    <w:rsid w:val="00594F86"/>
    <w:rsid w:val="00595441"/>
    <w:rsid w:val="00596E5E"/>
    <w:rsid w:val="005A4164"/>
    <w:rsid w:val="005A438C"/>
    <w:rsid w:val="005A4761"/>
    <w:rsid w:val="005A4894"/>
    <w:rsid w:val="005A5518"/>
    <w:rsid w:val="005A5C2C"/>
    <w:rsid w:val="005B0419"/>
    <w:rsid w:val="005B0BA6"/>
    <w:rsid w:val="005B0F3D"/>
    <w:rsid w:val="005B0F71"/>
    <w:rsid w:val="005B23A6"/>
    <w:rsid w:val="005B2978"/>
    <w:rsid w:val="005B4506"/>
    <w:rsid w:val="005B486A"/>
    <w:rsid w:val="005B571C"/>
    <w:rsid w:val="005B5EC2"/>
    <w:rsid w:val="005C0161"/>
    <w:rsid w:val="005C0189"/>
    <w:rsid w:val="005C0DCF"/>
    <w:rsid w:val="005C135C"/>
    <w:rsid w:val="005C1ACA"/>
    <w:rsid w:val="005C2142"/>
    <w:rsid w:val="005C378D"/>
    <w:rsid w:val="005C4A15"/>
    <w:rsid w:val="005C505B"/>
    <w:rsid w:val="005C5E82"/>
    <w:rsid w:val="005C6238"/>
    <w:rsid w:val="005D0786"/>
    <w:rsid w:val="005D0B26"/>
    <w:rsid w:val="005D0BB2"/>
    <w:rsid w:val="005D1C84"/>
    <w:rsid w:val="005D2FBC"/>
    <w:rsid w:val="005D3EC9"/>
    <w:rsid w:val="005D428A"/>
    <w:rsid w:val="005D4BFA"/>
    <w:rsid w:val="005D562E"/>
    <w:rsid w:val="005D581F"/>
    <w:rsid w:val="005D7EFE"/>
    <w:rsid w:val="005E2B14"/>
    <w:rsid w:val="005E437E"/>
    <w:rsid w:val="005E6245"/>
    <w:rsid w:val="005E7C8A"/>
    <w:rsid w:val="005F22BA"/>
    <w:rsid w:val="005F5B87"/>
    <w:rsid w:val="005F5B8C"/>
    <w:rsid w:val="005F68C0"/>
    <w:rsid w:val="005F72D3"/>
    <w:rsid w:val="0060031E"/>
    <w:rsid w:val="00602757"/>
    <w:rsid w:val="0060307E"/>
    <w:rsid w:val="00604FE7"/>
    <w:rsid w:val="00605A8C"/>
    <w:rsid w:val="00605D19"/>
    <w:rsid w:val="006060DA"/>
    <w:rsid w:val="00606F59"/>
    <w:rsid w:val="00610268"/>
    <w:rsid w:val="00610933"/>
    <w:rsid w:val="00610CCF"/>
    <w:rsid w:val="00613021"/>
    <w:rsid w:val="00613547"/>
    <w:rsid w:val="0061381D"/>
    <w:rsid w:val="00613E7E"/>
    <w:rsid w:val="00617715"/>
    <w:rsid w:val="00617ECD"/>
    <w:rsid w:val="00622EE0"/>
    <w:rsid w:val="006236CA"/>
    <w:rsid w:val="00624796"/>
    <w:rsid w:val="00625D83"/>
    <w:rsid w:val="00626424"/>
    <w:rsid w:val="006264BE"/>
    <w:rsid w:val="00627692"/>
    <w:rsid w:val="00630407"/>
    <w:rsid w:val="00631EBF"/>
    <w:rsid w:val="006324A6"/>
    <w:rsid w:val="00633B10"/>
    <w:rsid w:val="0063429A"/>
    <w:rsid w:val="00634384"/>
    <w:rsid w:val="006352C2"/>
    <w:rsid w:val="00635FCB"/>
    <w:rsid w:val="00636E11"/>
    <w:rsid w:val="006379EB"/>
    <w:rsid w:val="006419A1"/>
    <w:rsid w:val="00643055"/>
    <w:rsid w:val="00644369"/>
    <w:rsid w:val="00644BEF"/>
    <w:rsid w:val="00644E02"/>
    <w:rsid w:val="0064549A"/>
    <w:rsid w:val="00646B6B"/>
    <w:rsid w:val="00647323"/>
    <w:rsid w:val="006507C7"/>
    <w:rsid w:val="006537C7"/>
    <w:rsid w:val="00653C4E"/>
    <w:rsid w:val="00654B84"/>
    <w:rsid w:val="00657485"/>
    <w:rsid w:val="00657EC5"/>
    <w:rsid w:val="0066296D"/>
    <w:rsid w:val="006629F6"/>
    <w:rsid w:val="00663179"/>
    <w:rsid w:val="00672A86"/>
    <w:rsid w:val="006732B2"/>
    <w:rsid w:val="00673496"/>
    <w:rsid w:val="00673553"/>
    <w:rsid w:val="00673630"/>
    <w:rsid w:val="0067491C"/>
    <w:rsid w:val="006751A9"/>
    <w:rsid w:val="00680364"/>
    <w:rsid w:val="00682753"/>
    <w:rsid w:val="006862E8"/>
    <w:rsid w:val="0068756A"/>
    <w:rsid w:val="0069236A"/>
    <w:rsid w:val="00695488"/>
    <w:rsid w:val="00696531"/>
    <w:rsid w:val="006A05FC"/>
    <w:rsid w:val="006A2EA8"/>
    <w:rsid w:val="006A471B"/>
    <w:rsid w:val="006A48F7"/>
    <w:rsid w:val="006A64C3"/>
    <w:rsid w:val="006A684F"/>
    <w:rsid w:val="006A72AA"/>
    <w:rsid w:val="006B018F"/>
    <w:rsid w:val="006B01EB"/>
    <w:rsid w:val="006B0312"/>
    <w:rsid w:val="006B0D5E"/>
    <w:rsid w:val="006B1F96"/>
    <w:rsid w:val="006B2220"/>
    <w:rsid w:val="006B2D52"/>
    <w:rsid w:val="006B329B"/>
    <w:rsid w:val="006B53BB"/>
    <w:rsid w:val="006B61F8"/>
    <w:rsid w:val="006B6B1B"/>
    <w:rsid w:val="006B7561"/>
    <w:rsid w:val="006C2604"/>
    <w:rsid w:val="006C3598"/>
    <w:rsid w:val="006C367A"/>
    <w:rsid w:val="006C36A7"/>
    <w:rsid w:val="006C3AEB"/>
    <w:rsid w:val="006C4FE8"/>
    <w:rsid w:val="006C5893"/>
    <w:rsid w:val="006C602F"/>
    <w:rsid w:val="006C64EB"/>
    <w:rsid w:val="006C6A97"/>
    <w:rsid w:val="006D375C"/>
    <w:rsid w:val="006D4CDE"/>
    <w:rsid w:val="006D51C2"/>
    <w:rsid w:val="006D58C7"/>
    <w:rsid w:val="006D67FA"/>
    <w:rsid w:val="006D6A6E"/>
    <w:rsid w:val="006D7F3A"/>
    <w:rsid w:val="006E03EF"/>
    <w:rsid w:val="006E0D27"/>
    <w:rsid w:val="006E2CDA"/>
    <w:rsid w:val="006E2D23"/>
    <w:rsid w:val="006E3B72"/>
    <w:rsid w:val="006E3FE6"/>
    <w:rsid w:val="006E4F57"/>
    <w:rsid w:val="006E525B"/>
    <w:rsid w:val="006E70F5"/>
    <w:rsid w:val="006E7A73"/>
    <w:rsid w:val="006E7CC2"/>
    <w:rsid w:val="006F2708"/>
    <w:rsid w:val="006F3497"/>
    <w:rsid w:val="006F55CE"/>
    <w:rsid w:val="006F5E4B"/>
    <w:rsid w:val="00700574"/>
    <w:rsid w:val="00700E7B"/>
    <w:rsid w:val="00701684"/>
    <w:rsid w:val="00702D14"/>
    <w:rsid w:val="00703861"/>
    <w:rsid w:val="00705F1E"/>
    <w:rsid w:val="007060B1"/>
    <w:rsid w:val="007064CF"/>
    <w:rsid w:val="0070774E"/>
    <w:rsid w:val="00711216"/>
    <w:rsid w:val="007119CD"/>
    <w:rsid w:val="00712F9B"/>
    <w:rsid w:val="0071437E"/>
    <w:rsid w:val="00714C03"/>
    <w:rsid w:val="00717BF1"/>
    <w:rsid w:val="00717E9E"/>
    <w:rsid w:val="00720076"/>
    <w:rsid w:val="00720538"/>
    <w:rsid w:val="00720CE0"/>
    <w:rsid w:val="0072185C"/>
    <w:rsid w:val="0072356E"/>
    <w:rsid w:val="0072393D"/>
    <w:rsid w:val="00723CCC"/>
    <w:rsid w:val="00724B5B"/>
    <w:rsid w:val="00730C65"/>
    <w:rsid w:val="00733212"/>
    <w:rsid w:val="007346FA"/>
    <w:rsid w:val="0073743A"/>
    <w:rsid w:val="007408AF"/>
    <w:rsid w:val="0074121D"/>
    <w:rsid w:val="00741848"/>
    <w:rsid w:val="0074234D"/>
    <w:rsid w:val="00745072"/>
    <w:rsid w:val="007453A7"/>
    <w:rsid w:val="00746614"/>
    <w:rsid w:val="007468C4"/>
    <w:rsid w:val="007474E2"/>
    <w:rsid w:val="00750407"/>
    <w:rsid w:val="007518F7"/>
    <w:rsid w:val="00751A72"/>
    <w:rsid w:val="00753793"/>
    <w:rsid w:val="0075395D"/>
    <w:rsid w:val="00753A46"/>
    <w:rsid w:val="00754BFE"/>
    <w:rsid w:val="00756914"/>
    <w:rsid w:val="007579FA"/>
    <w:rsid w:val="00761F8F"/>
    <w:rsid w:val="007623F8"/>
    <w:rsid w:val="00762CA7"/>
    <w:rsid w:val="007632E0"/>
    <w:rsid w:val="00764E13"/>
    <w:rsid w:val="00765D32"/>
    <w:rsid w:val="007665FA"/>
    <w:rsid w:val="0077146B"/>
    <w:rsid w:val="00771D02"/>
    <w:rsid w:val="00774856"/>
    <w:rsid w:val="007753C6"/>
    <w:rsid w:val="007762B0"/>
    <w:rsid w:val="007767D4"/>
    <w:rsid w:val="007814BB"/>
    <w:rsid w:val="00781918"/>
    <w:rsid w:val="00782EC2"/>
    <w:rsid w:val="0078591F"/>
    <w:rsid w:val="007860C8"/>
    <w:rsid w:val="00786D1C"/>
    <w:rsid w:val="00787250"/>
    <w:rsid w:val="00790365"/>
    <w:rsid w:val="0079085D"/>
    <w:rsid w:val="0079168E"/>
    <w:rsid w:val="0079223C"/>
    <w:rsid w:val="007929AA"/>
    <w:rsid w:val="007929B6"/>
    <w:rsid w:val="0079533D"/>
    <w:rsid w:val="00795E82"/>
    <w:rsid w:val="007969E8"/>
    <w:rsid w:val="00796FF5"/>
    <w:rsid w:val="007973AB"/>
    <w:rsid w:val="0079756B"/>
    <w:rsid w:val="00797C1A"/>
    <w:rsid w:val="007A2611"/>
    <w:rsid w:val="007A2A49"/>
    <w:rsid w:val="007A369E"/>
    <w:rsid w:val="007A537C"/>
    <w:rsid w:val="007A6253"/>
    <w:rsid w:val="007A62D5"/>
    <w:rsid w:val="007B05EB"/>
    <w:rsid w:val="007B1490"/>
    <w:rsid w:val="007B4D30"/>
    <w:rsid w:val="007B52C8"/>
    <w:rsid w:val="007B52CE"/>
    <w:rsid w:val="007B5528"/>
    <w:rsid w:val="007B79B0"/>
    <w:rsid w:val="007C1267"/>
    <w:rsid w:val="007C1B43"/>
    <w:rsid w:val="007C26A4"/>
    <w:rsid w:val="007C3946"/>
    <w:rsid w:val="007C4B6E"/>
    <w:rsid w:val="007C4C9C"/>
    <w:rsid w:val="007C69FE"/>
    <w:rsid w:val="007C71EF"/>
    <w:rsid w:val="007C7ABE"/>
    <w:rsid w:val="007D00F1"/>
    <w:rsid w:val="007D1345"/>
    <w:rsid w:val="007D148B"/>
    <w:rsid w:val="007D3B5C"/>
    <w:rsid w:val="007D4E0A"/>
    <w:rsid w:val="007D5028"/>
    <w:rsid w:val="007D553D"/>
    <w:rsid w:val="007E15AB"/>
    <w:rsid w:val="007E43BD"/>
    <w:rsid w:val="007E73B8"/>
    <w:rsid w:val="007E764F"/>
    <w:rsid w:val="007F1398"/>
    <w:rsid w:val="007F2B29"/>
    <w:rsid w:val="007F5F62"/>
    <w:rsid w:val="007F730A"/>
    <w:rsid w:val="007F730F"/>
    <w:rsid w:val="007F79BF"/>
    <w:rsid w:val="00801BEA"/>
    <w:rsid w:val="008037AB"/>
    <w:rsid w:val="00805B99"/>
    <w:rsid w:val="00806034"/>
    <w:rsid w:val="00807943"/>
    <w:rsid w:val="00807C53"/>
    <w:rsid w:val="00810E24"/>
    <w:rsid w:val="00811FF9"/>
    <w:rsid w:val="00821B28"/>
    <w:rsid w:val="00822E8E"/>
    <w:rsid w:val="00823AC2"/>
    <w:rsid w:val="00826733"/>
    <w:rsid w:val="00826D2E"/>
    <w:rsid w:val="0083590F"/>
    <w:rsid w:val="00835EE7"/>
    <w:rsid w:val="008360AF"/>
    <w:rsid w:val="008375CA"/>
    <w:rsid w:val="00845C22"/>
    <w:rsid w:val="00845FBF"/>
    <w:rsid w:val="00846193"/>
    <w:rsid w:val="0084677B"/>
    <w:rsid w:val="00847930"/>
    <w:rsid w:val="00847B29"/>
    <w:rsid w:val="00850C25"/>
    <w:rsid w:val="00851851"/>
    <w:rsid w:val="00851E2B"/>
    <w:rsid w:val="0085212E"/>
    <w:rsid w:val="00855EB8"/>
    <w:rsid w:val="0086028D"/>
    <w:rsid w:val="00862B30"/>
    <w:rsid w:val="00865230"/>
    <w:rsid w:val="0086587E"/>
    <w:rsid w:val="008668CD"/>
    <w:rsid w:val="008675C3"/>
    <w:rsid w:val="008705F3"/>
    <w:rsid w:val="00870835"/>
    <w:rsid w:val="008724B8"/>
    <w:rsid w:val="008727A3"/>
    <w:rsid w:val="00872B53"/>
    <w:rsid w:val="00872EA8"/>
    <w:rsid w:val="0087383F"/>
    <w:rsid w:val="00873E59"/>
    <w:rsid w:val="00875454"/>
    <w:rsid w:val="00876414"/>
    <w:rsid w:val="00880AAC"/>
    <w:rsid w:val="008810A7"/>
    <w:rsid w:val="008855E3"/>
    <w:rsid w:val="00885795"/>
    <w:rsid w:val="00886082"/>
    <w:rsid w:val="0088670B"/>
    <w:rsid w:val="00890284"/>
    <w:rsid w:val="0089240E"/>
    <w:rsid w:val="00895953"/>
    <w:rsid w:val="008966FD"/>
    <w:rsid w:val="00896887"/>
    <w:rsid w:val="008A09EB"/>
    <w:rsid w:val="008A1B2C"/>
    <w:rsid w:val="008A3CA7"/>
    <w:rsid w:val="008A43C1"/>
    <w:rsid w:val="008A4884"/>
    <w:rsid w:val="008A5982"/>
    <w:rsid w:val="008A5C9E"/>
    <w:rsid w:val="008A635B"/>
    <w:rsid w:val="008A7DBD"/>
    <w:rsid w:val="008B098B"/>
    <w:rsid w:val="008B2168"/>
    <w:rsid w:val="008B3214"/>
    <w:rsid w:val="008B3869"/>
    <w:rsid w:val="008B4947"/>
    <w:rsid w:val="008B4F9E"/>
    <w:rsid w:val="008B5AA6"/>
    <w:rsid w:val="008B5E02"/>
    <w:rsid w:val="008C0B8B"/>
    <w:rsid w:val="008C11CC"/>
    <w:rsid w:val="008C1BF4"/>
    <w:rsid w:val="008C3332"/>
    <w:rsid w:val="008C4031"/>
    <w:rsid w:val="008C4E2C"/>
    <w:rsid w:val="008C5878"/>
    <w:rsid w:val="008D0896"/>
    <w:rsid w:val="008D2100"/>
    <w:rsid w:val="008D35A0"/>
    <w:rsid w:val="008D42E6"/>
    <w:rsid w:val="008E159A"/>
    <w:rsid w:val="008E17A0"/>
    <w:rsid w:val="008E1864"/>
    <w:rsid w:val="008E1EDC"/>
    <w:rsid w:val="008E2D42"/>
    <w:rsid w:val="008E6A3E"/>
    <w:rsid w:val="008E74BB"/>
    <w:rsid w:val="008E7D94"/>
    <w:rsid w:val="008F04A9"/>
    <w:rsid w:val="008F0733"/>
    <w:rsid w:val="008F0F0E"/>
    <w:rsid w:val="008F1A63"/>
    <w:rsid w:val="008F20C7"/>
    <w:rsid w:val="008F2933"/>
    <w:rsid w:val="008F2CB4"/>
    <w:rsid w:val="008F3FE9"/>
    <w:rsid w:val="008F429E"/>
    <w:rsid w:val="008F5EDF"/>
    <w:rsid w:val="008F73DC"/>
    <w:rsid w:val="008F7777"/>
    <w:rsid w:val="0090017F"/>
    <w:rsid w:val="009002FB"/>
    <w:rsid w:val="00902655"/>
    <w:rsid w:val="00904312"/>
    <w:rsid w:val="009064CC"/>
    <w:rsid w:val="0090697C"/>
    <w:rsid w:val="0091052B"/>
    <w:rsid w:val="00910A9E"/>
    <w:rsid w:val="00910B29"/>
    <w:rsid w:val="00911BE0"/>
    <w:rsid w:val="00912AC0"/>
    <w:rsid w:val="00912C96"/>
    <w:rsid w:val="00913ACD"/>
    <w:rsid w:val="00913BB2"/>
    <w:rsid w:val="00917CA3"/>
    <w:rsid w:val="00920324"/>
    <w:rsid w:val="00920BDB"/>
    <w:rsid w:val="00920D4B"/>
    <w:rsid w:val="00921216"/>
    <w:rsid w:val="00921F50"/>
    <w:rsid w:val="00922156"/>
    <w:rsid w:val="009225A8"/>
    <w:rsid w:val="00922D5C"/>
    <w:rsid w:val="00922E79"/>
    <w:rsid w:val="00923509"/>
    <w:rsid w:val="00923925"/>
    <w:rsid w:val="00924432"/>
    <w:rsid w:val="00925524"/>
    <w:rsid w:val="009275F2"/>
    <w:rsid w:val="00932A33"/>
    <w:rsid w:val="00932A45"/>
    <w:rsid w:val="00933833"/>
    <w:rsid w:val="00933895"/>
    <w:rsid w:val="00933905"/>
    <w:rsid w:val="00941CA8"/>
    <w:rsid w:val="00942305"/>
    <w:rsid w:val="00942394"/>
    <w:rsid w:val="009423CE"/>
    <w:rsid w:val="009433B1"/>
    <w:rsid w:val="00943876"/>
    <w:rsid w:val="00945628"/>
    <w:rsid w:val="009458FA"/>
    <w:rsid w:val="00945BE3"/>
    <w:rsid w:val="009513D0"/>
    <w:rsid w:val="00953A13"/>
    <w:rsid w:val="00954276"/>
    <w:rsid w:val="00954F2F"/>
    <w:rsid w:val="00955681"/>
    <w:rsid w:val="009560CD"/>
    <w:rsid w:val="00957D6C"/>
    <w:rsid w:val="00961F99"/>
    <w:rsid w:val="00967E69"/>
    <w:rsid w:val="009712B0"/>
    <w:rsid w:val="0097158A"/>
    <w:rsid w:val="00974172"/>
    <w:rsid w:val="00977353"/>
    <w:rsid w:val="009808C4"/>
    <w:rsid w:val="0098099F"/>
    <w:rsid w:val="00980CBB"/>
    <w:rsid w:val="0098385A"/>
    <w:rsid w:val="00983938"/>
    <w:rsid w:val="0098439A"/>
    <w:rsid w:val="009843B4"/>
    <w:rsid w:val="0098497E"/>
    <w:rsid w:val="009857AA"/>
    <w:rsid w:val="00985E3E"/>
    <w:rsid w:val="009861A1"/>
    <w:rsid w:val="00986809"/>
    <w:rsid w:val="00987510"/>
    <w:rsid w:val="0098769D"/>
    <w:rsid w:val="00987808"/>
    <w:rsid w:val="00990598"/>
    <w:rsid w:val="00990A86"/>
    <w:rsid w:val="0099184D"/>
    <w:rsid w:val="0099298E"/>
    <w:rsid w:val="009978AF"/>
    <w:rsid w:val="009A37E5"/>
    <w:rsid w:val="009A3905"/>
    <w:rsid w:val="009A6BE1"/>
    <w:rsid w:val="009A7E99"/>
    <w:rsid w:val="009B18FD"/>
    <w:rsid w:val="009B20D5"/>
    <w:rsid w:val="009B422E"/>
    <w:rsid w:val="009B7886"/>
    <w:rsid w:val="009C06F2"/>
    <w:rsid w:val="009C16B8"/>
    <w:rsid w:val="009C3507"/>
    <w:rsid w:val="009C35B7"/>
    <w:rsid w:val="009C4406"/>
    <w:rsid w:val="009C6068"/>
    <w:rsid w:val="009C7B60"/>
    <w:rsid w:val="009D0C09"/>
    <w:rsid w:val="009D158C"/>
    <w:rsid w:val="009D44BD"/>
    <w:rsid w:val="009D61C8"/>
    <w:rsid w:val="009D6745"/>
    <w:rsid w:val="009D6F34"/>
    <w:rsid w:val="009E3FD2"/>
    <w:rsid w:val="009E4E94"/>
    <w:rsid w:val="009E4F49"/>
    <w:rsid w:val="009E61BF"/>
    <w:rsid w:val="009E6D77"/>
    <w:rsid w:val="009F3E68"/>
    <w:rsid w:val="009F44A7"/>
    <w:rsid w:val="009F75AA"/>
    <w:rsid w:val="009F7F87"/>
    <w:rsid w:val="00A005BE"/>
    <w:rsid w:val="00A03357"/>
    <w:rsid w:val="00A03E6E"/>
    <w:rsid w:val="00A06949"/>
    <w:rsid w:val="00A11D4C"/>
    <w:rsid w:val="00A125A1"/>
    <w:rsid w:val="00A136B8"/>
    <w:rsid w:val="00A15062"/>
    <w:rsid w:val="00A151E7"/>
    <w:rsid w:val="00A15A24"/>
    <w:rsid w:val="00A16F9A"/>
    <w:rsid w:val="00A2006B"/>
    <w:rsid w:val="00A216B9"/>
    <w:rsid w:val="00A23AE8"/>
    <w:rsid w:val="00A23ECD"/>
    <w:rsid w:val="00A23EFD"/>
    <w:rsid w:val="00A24E58"/>
    <w:rsid w:val="00A260E7"/>
    <w:rsid w:val="00A275BC"/>
    <w:rsid w:val="00A31A76"/>
    <w:rsid w:val="00A324DA"/>
    <w:rsid w:val="00A33225"/>
    <w:rsid w:val="00A349B0"/>
    <w:rsid w:val="00A3641C"/>
    <w:rsid w:val="00A372AF"/>
    <w:rsid w:val="00A3785E"/>
    <w:rsid w:val="00A37B25"/>
    <w:rsid w:val="00A417B0"/>
    <w:rsid w:val="00A45CD6"/>
    <w:rsid w:val="00A479CE"/>
    <w:rsid w:val="00A50550"/>
    <w:rsid w:val="00A51DE6"/>
    <w:rsid w:val="00A54108"/>
    <w:rsid w:val="00A546DA"/>
    <w:rsid w:val="00A554CC"/>
    <w:rsid w:val="00A5582F"/>
    <w:rsid w:val="00A57848"/>
    <w:rsid w:val="00A57E3E"/>
    <w:rsid w:val="00A60CCB"/>
    <w:rsid w:val="00A63C2A"/>
    <w:rsid w:val="00A63C80"/>
    <w:rsid w:val="00A66DB0"/>
    <w:rsid w:val="00A675BC"/>
    <w:rsid w:val="00A7028E"/>
    <w:rsid w:val="00A72187"/>
    <w:rsid w:val="00A724AA"/>
    <w:rsid w:val="00A731C3"/>
    <w:rsid w:val="00A733BD"/>
    <w:rsid w:val="00A81A4D"/>
    <w:rsid w:val="00A8286D"/>
    <w:rsid w:val="00A82F2F"/>
    <w:rsid w:val="00A83CD7"/>
    <w:rsid w:val="00A8500D"/>
    <w:rsid w:val="00A930F7"/>
    <w:rsid w:val="00A93B3A"/>
    <w:rsid w:val="00A94155"/>
    <w:rsid w:val="00A949A6"/>
    <w:rsid w:val="00A97997"/>
    <w:rsid w:val="00AA0F95"/>
    <w:rsid w:val="00AA30B6"/>
    <w:rsid w:val="00AA39CB"/>
    <w:rsid w:val="00AA4A23"/>
    <w:rsid w:val="00AA6CD2"/>
    <w:rsid w:val="00AA71ED"/>
    <w:rsid w:val="00AA73AC"/>
    <w:rsid w:val="00AB1E59"/>
    <w:rsid w:val="00AB2CFF"/>
    <w:rsid w:val="00AB3B0D"/>
    <w:rsid w:val="00AB7520"/>
    <w:rsid w:val="00AC0E28"/>
    <w:rsid w:val="00AC0E79"/>
    <w:rsid w:val="00AC12C7"/>
    <w:rsid w:val="00AC6D59"/>
    <w:rsid w:val="00AD20AF"/>
    <w:rsid w:val="00AD2ECE"/>
    <w:rsid w:val="00AD2F7A"/>
    <w:rsid w:val="00AD591A"/>
    <w:rsid w:val="00AD76C6"/>
    <w:rsid w:val="00AD79AF"/>
    <w:rsid w:val="00AD7EB0"/>
    <w:rsid w:val="00AE0220"/>
    <w:rsid w:val="00AE0289"/>
    <w:rsid w:val="00AE0EBD"/>
    <w:rsid w:val="00AE23FD"/>
    <w:rsid w:val="00AE2804"/>
    <w:rsid w:val="00AE2BDB"/>
    <w:rsid w:val="00AE4290"/>
    <w:rsid w:val="00AE48F9"/>
    <w:rsid w:val="00AE5CA9"/>
    <w:rsid w:val="00AE6BB2"/>
    <w:rsid w:val="00AF13EC"/>
    <w:rsid w:val="00AF160A"/>
    <w:rsid w:val="00AF207C"/>
    <w:rsid w:val="00AF274B"/>
    <w:rsid w:val="00AF4BBB"/>
    <w:rsid w:val="00AF5716"/>
    <w:rsid w:val="00AF6A54"/>
    <w:rsid w:val="00AF78C0"/>
    <w:rsid w:val="00AF7D13"/>
    <w:rsid w:val="00B00F4F"/>
    <w:rsid w:val="00B0261F"/>
    <w:rsid w:val="00B0306E"/>
    <w:rsid w:val="00B039EA"/>
    <w:rsid w:val="00B07C6F"/>
    <w:rsid w:val="00B10176"/>
    <w:rsid w:val="00B10E05"/>
    <w:rsid w:val="00B11D1B"/>
    <w:rsid w:val="00B12D94"/>
    <w:rsid w:val="00B13CBA"/>
    <w:rsid w:val="00B15C48"/>
    <w:rsid w:val="00B174B4"/>
    <w:rsid w:val="00B200AA"/>
    <w:rsid w:val="00B201BB"/>
    <w:rsid w:val="00B20F5A"/>
    <w:rsid w:val="00B21E9F"/>
    <w:rsid w:val="00B221AE"/>
    <w:rsid w:val="00B228FF"/>
    <w:rsid w:val="00B22AF3"/>
    <w:rsid w:val="00B22E2C"/>
    <w:rsid w:val="00B23FA6"/>
    <w:rsid w:val="00B24560"/>
    <w:rsid w:val="00B24E43"/>
    <w:rsid w:val="00B250EA"/>
    <w:rsid w:val="00B27271"/>
    <w:rsid w:val="00B277A5"/>
    <w:rsid w:val="00B27E17"/>
    <w:rsid w:val="00B30BF7"/>
    <w:rsid w:val="00B34F09"/>
    <w:rsid w:val="00B359AF"/>
    <w:rsid w:val="00B36E39"/>
    <w:rsid w:val="00B4052D"/>
    <w:rsid w:val="00B44491"/>
    <w:rsid w:val="00B47304"/>
    <w:rsid w:val="00B52683"/>
    <w:rsid w:val="00B53576"/>
    <w:rsid w:val="00B56140"/>
    <w:rsid w:val="00B62B31"/>
    <w:rsid w:val="00B62E19"/>
    <w:rsid w:val="00B62F95"/>
    <w:rsid w:val="00B643E6"/>
    <w:rsid w:val="00B64908"/>
    <w:rsid w:val="00B64CA8"/>
    <w:rsid w:val="00B66950"/>
    <w:rsid w:val="00B6743C"/>
    <w:rsid w:val="00B704BF"/>
    <w:rsid w:val="00B71FEA"/>
    <w:rsid w:val="00B72714"/>
    <w:rsid w:val="00B73017"/>
    <w:rsid w:val="00B73743"/>
    <w:rsid w:val="00B73F8B"/>
    <w:rsid w:val="00B7506A"/>
    <w:rsid w:val="00B75EB8"/>
    <w:rsid w:val="00B77684"/>
    <w:rsid w:val="00B818C5"/>
    <w:rsid w:val="00B819BD"/>
    <w:rsid w:val="00B82524"/>
    <w:rsid w:val="00B838C4"/>
    <w:rsid w:val="00B8457C"/>
    <w:rsid w:val="00B8498F"/>
    <w:rsid w:val="00B85819"/>
    <w:rsid w:val="00B86636"/>
    <w:rsid w:val="00B86B39"/>
    <w:rsid w:val="00B8734D"/>
    <w:rsid w:val="00B877DD"/>
    <w:rsid w:val="00B90640"/>
    <w:rsid w:val="00B91A35"/>
    <w:rsid w:val="00B947C3"/>
    <w:rsid w:val="00B94EA6"/>
    <w:rsid w:val="00B95811"/>
    <w:rsid w:val="00B95AD1"/>
    <w:rsid w:val="00B967FD"/>
    <w:rsid w:val="00B974FF"/>
    <w:rsid w:val="00BA5513"/>
    <w:rsid w:val="00BA5893"/>
    <w:rsid w:val="00BA7D2B"/>
    <w:rsid w:val="00BA7FBE"/>
    <w:rsid w:val="00BB0162"/>
    <w:rsid w:val="00BB0C91"/>
    <w:rsid w:val="00BB4B91"/>
    <w:rsid w:val="00BB569C"/>
    <w:rsid w:val="00BB7137"/>
    <w:rsid w:val="00BB7321"/>
    <w:rsid w:val="00BC17B1"/>
    <w:rsid w:val="00BC3EAA"/>
    <w:rsid w:val="00BC57A8"/>
    <w:rsid w:val="00BC5A68"/>
    <w:rsid w:val="00BC65B9"/>
    <w:rsid w:val="00BC68BA"/>
    <w:rsid w:val="00BC6D94"/>
    <w:rsid w:val="00BD20B6"/>
    <w:rsid w:val="00BD21AA"/>
    <w:rsid w:val="00BD31D3"/>
    <w:rsid w:val="00BD32D0"/>
    <w:rsid w:val="00BD49AE"/>
    <w:rsid w:val="00BD4A1A"/>
    <w:rsid w:val="00BD5479"/>
    <w:rsid w:val="00BD6524"/>
    <w:rsid w:val="00BE08B6"/>
    <w:rsid w:val="00BE258F"/>
    <w:rsid w:val="00BE2BB3"/>
    <w:rsid w:val="00BE2D97"/>
    <w:rsid w:val="00BE64F2"/>
    <w:rsid w:val="00BE728D"/>
    <w:rsid w:val="00BF32BB"/>
    <w:rsid w:val="00BF5DA3"/>
    <w:rsid w:val="00BF7D27"/>
    <w:rsid w:val="00C0132C"/>
    <w:rsid w:val="00C016E3"/>
    <w:rsid w:val="00C0217D"/>
    <w:rsid w:val="00C04744"/>
    <w:rsid w:val="00C05E0F"/>
    <w:rsid w:val="00C07C58"/>
    <w:rsid w:val="00C10756"/>
    <w:rsid w:val="00C151B1"/>
    <w:rsid w:val="00C159FE"/>
    <w:rsid w:val="00C1611B"/>
    <w:rsid w:val="00C17427"/>
    <w:rsid w:val="00C1769D"/>
    <w:rsid w:val="00C179EC"/>
    <w:rsid w:val="00C21D4B"/>
    <w:rsid w:val="00C248B7"/>
    <w:rsid w:val="00C24AF0"/>
    <w:rsid w:val="00C301CA"/>
    <w:rsid w:val="00C321EC"/>
    <w:rsid w:val="00C3256E"/>
    <w:rsid w:val="00C3737F"/>
    <w:rsid w:val="00C40060"/>
    <w:rsid w:val="00C4295B"/>
    <w:rsid w:val="00C42F36"/>
    <w:rsid w:val="00C44DFA"/>
    <w:rsid w:val="00C479BB"/>
    <w:rsid w:val="00C50DC8"/>
    <w:rsid w:val="00C51410"/>
    <w:rsid w:val="00C51C0C"/>
    <w:rsid w:val="00C56CAF"/>
    <w:rsid w:val="00C60BAA"/>
    <w:rsid w:val="00C61090"/>
    <w:rsid w:val="00C62487"/>
    <w:rsid w:val="00C6293C"/>
    <w:rsid w:val="00C62F0A"/>
    <w:rsid w:val="00C62F4B"/>
    <w:rsid w:val="00C63F6A"/>
    <w:rsid w:val="00C65B9F"/>
    <w:rsid w:val="00C65F9A"/>
    <w:rsid w:val="00C67702"/>
    <w:rsid w:val="00C67B59"/>
    <w:rsid w:val="00C70862"/>
    <w:rsid w:val="00C718A8"/>
    <w:rsid w:val="00C743D9"/>
    <w:rsid w:val="00C754AD"/>
    <w:rsid w:val="00C75BA4"/>
    <w:rsid w:val="00C77576"/>
    <w:rsid w:val="00C80233"/>
    <w:rsid w:val="00C81805"/>
    <w:rsid w:val="00C8273B"/>
    <w:rsid w:val="00C842C3"/>
    <w:rsid w:val="00C849D8"/>
    <w:rsid w:val="00C85284"/>
    <w:rsid w:val="00C85689"/>
    <w:rsid w:val="00C86929"/>
    <w:rsid w:val="00C86A87"/>
    <w:rsid w:val="00C87BFD"/>
    <w:rsid w:val="00C903F6"/>
    <w:rsid w:val="00C90B36"/>
    <w:rsid w:val="00C91CAB"/>
    <w:rsid w:val="00C925CC"/>
    <w:rsid w:val="00C93549"/>
    <w:rsid w:val="00C93C93"/>
    <w:rsid w:val="00C95E91"/>
    <w:rsid w:val="00CA0ECD"/>
    <w:rsid w:val="00CA17D1"/>
    <w:rsid w:val="00CA2508"/>
    <w:rsid w:val="00CA25EF"/>
    <w:rsid w:val="00CA36DF"/>
    <w:rsid w:val="00CA54B5"/>
    <w:rsid w:val="00CA791C"/>
    <w:rsid w:val="00CA79B7"/>
    <w:rsid w:val="00CA7A25"/>
    <w:rsid w:val="00CB0189"/>
    <w:rsid w:val="00CB0A66"/>
    <w:rsid w:val="00CB0BA2"/>
    <w:rsid w:val="00CB0C51"/>
    <w:rsid w:val="00CB15AB"/>
    <w:rsid w:val="00CB287B"/>
    <w:rsid w:val="00CB2FF2"/>
    <w:rsid w:val="00CB785F"/>
    <w:rsid w:val="00CC2183"/>
    <w:rsid w:val="00CC332A"/>
    <w:rsid w:val="00CC421A"/>
    <w:rsid w:val="00CC46B7"/>
    <w:rsid w:val="00CC4882"/>
    <w:rsid w:val="00CC6069"/>
    <w:rsid w:val="00CD1DDF"/>
    <w:rsid w:val="00CD220A"/>
    <w:rsid w:val="00CD4A71"/>
    <w:rsid w:val="00CD5923"/>
    <w:rsid w:val="00CD5F83"/>
    <w:rsid w:val="00CE29C3"/>
    <w:rsid w:val="00CE4B2A"/>
    <w:rsid w:val="00CE4FA7"/>
    <w:rsid w:val="00CE5008"/>
    <w:rsid w:val="00CE5CAA"/>
    <w:rsid w:val="00CE644A"/>
    <w:rsid w:val="00CE7AA9"/>
    <w:rsid w:val="00CF3F8A"/>
    <w:rsid w:val="00CF4BAC"/>
    <w:rsid w:val="00CF4FB4"/>
    <w:rsid w:val="00CF5B1C"/>
    <w:rsid w:val="00CF604E"/>
    <w:rsid w:val="00D01210"/>
    <w:rsid w:val="00D03A4E"/>
    <w:rsid w:val="00D04456"/>
    <w:rsid w:val="00D0460A"/>
    <w:rsid w:val="00D07E08"/>
    <w:rsid w:val="00D10EFF"/>
    <w:rsid w:val="00D117FE"/>
    <w:rsid w:val="00D124DB"/>
    <w:rsid w:val="00D134EB"/>
    <w:rsid w:val="00D176A7"/>
    <w:rsid w:val="00D2117E"/>
    <w:rsid w:val="00D22CCB"/>
    <w:rsid w:val="00D239D8"/>
    <w:rsid w:val="00D2485D"/>
    <w:rsid w:val="00D25915"/>
    <w:rsid w:val="00D2639B"/>
    <w:rsid w:val="00D30E34"/>
    <w:rsid w:val="00D31E70"/>
    <w:rsid w:val="00D3380C"/>
    <w:rsid w:val="00D35DCD"/>
    <w:rsid w:val="00D36192"/>
    <w:rsid w:val="00D375DF"/>
    <w:rsid w:val="00D40555"/>
    <w:rsid w:val="00D43DC5"/>
    <w:rsid w:val="00D4420D"/>
    <w:rsid w:val="00D46156"/>
    <w:rsid w:val="00D46369"/>
    <w:rsid w:val="00D472EF"/>
    <w:rsid w:val="00D47A68"/>
    <w:rsid w:val="00D47DC5"/>
    <w:rsid w:val="00D5188F"/>
    <w:rsid w:val="00D523CC"/>
    <w:rsid w:val="00D53653"/>
    <w:rsid w:val="00D56441"/>
    <w:rsid w:val="00D60520"/>
    <w:rsid w:val="00D624F0"/>
    <w:rsid w:val="00D634F0"/>
    <w:rsid w:val="00D63DD2"/>
    <w:rsid w:val="00D64E01"/>
    <w:rsid w:val="00D65B7F"/>
    <w:rsid w:val="00D70341"/>
    <w:rsid w:val="00D71C99"/>
    <w:rsid w:val="00D72BB4"/>
    <w:rsid w:val="00D75A49"/>
    <w:rsid w:val="00D81B0F"/>
    <w:rsid w:val="00D81D60"/>
    <w:rsid w:val="00D835FF"/>
    <w:rsid w:val="00D859A9"/>
    <w:rsid w:val="00D86195"/>
    <w:rsid w:val="00D86FA6"/>
    <w:rsid w:val="00D8750C"/>
    <w:rsid w:val="00D87E2B"/>
    <w:rsid w:val="00D90B1B"/>
    <w:rsid w:val="00D90B1D"/>
    <w:rsid w:val="00D9227A"/>
    <w:rsid w:val="00D936CE"/>
    <w:rsid w:val="00D93C69"/>
    <w:rsid w:val="00D96152"/>
    <w:rsid w:val="00DA0263"/>
    <w:rsid w:val="00DA1722"/>
    <w:rsid w:val="00DA1CD9"/>
    <w:rsid w:val="00DA6C7C"/>
    <w:rsid w:val="00DB1939"/>
    <w:rsid w:val="00DB1CC2"/>
    <w:rsid w:val="00DB2196"/>
    <w:rsid w:val="00DB3E8E"/>
    <w:rsid w:val="00DB41C6"/>
    <w:rsid w:val="00DB5556"/>
    <w:rsid w:val="00DB55E8"/>
    <w:rsid w:val="00DB6348"/>
    <w:rsid w:val="00DB6DD7"/>
    <w:rsid w:val="00DB7532"/>
    <w:rsid w:val="00DB7787"/>
    <w:rsid w:val="00DC08D9"/>
    <w:rsid w:val="00DC288E"/>
    <w:rsid w:val="00DC2C96"/>
    <w:rsid w:val="00DC405F"/>
    <w:rsid w:val="00DC4AB2"/>
    <w:rsid w:val="00DC52F1"/>
    <w:rsid w:val="00DC7923"/>
    <w:rsid w:val="00DD05C3"/>
    <w:rsid w:val="00DD314D"/>
    <w:rsid w:val="00DD349E"/>
    <w:rsid w:val="00DD4E1B"/>
    <w:rsid w:val="00DD7ED5"/>
    <w:rsid w:val="00DE05C9"/>
    <w:rsid w:val="00DE0A47"/>
    <w:rsid w:val="00DE3244"/>
    <w:rsid w:val="00DE3B87"/>
    <w:rsid w:val="00DE3E33"/>
    <w:rsid w:val="00DE4ACA"/>
    <w:rsid w:val="00DE5537"/>
    <w:rsid w:val="00DE7806"/>
    <w:rsid w:val="00DF30D4"/>
    <w:rsid w:val="00DF4D38"/>
    <w:rsid w:val="00DF6F08"/>
    <w:rsid w:val="00DF73BE"/>
    <w:rsid w:val="00DF78EB"/>
    <w:rsid w:val="00DF79FC"/>
    <w:rsid w:val="00E008E7"/>
    <w:rsid w:val="00E01541"/>
    <w:rsid w:val="00E025C0"/>
    <w:rsid w:val="00E0269D"/>
    <w:rsid w:val="00E03AC9"/>
    <w:rsid w:val="00E05E76"/>
    <w:rsid w:val="00E13958"/>
    <w:rsid w:val="00E16B77"/>
    <w:rsid w:val="00E2009E"/>
    <w:rsid w:val="00E21307"/>
    <w:rsid w:val="00E21746"/>
    <w:rsid w:val="00E222D6"/>
    <w:rsid w:val="00E222EA"/>
    <w:rsid w:val="00E24517"/>
    <w:rsid w:val="00E24FA4"/>
    <w:rsid w:val="00E26D06"/>
    <w:rsid w:val="00E273A8"/>
    <w:rsid w:val="00E3009F"/>
    <w:rsid w:val="00E3034C"/>
    <w:rsid w:val="00E30BE1"/>
    <w:rsid w:val="00E30FC0"/>
    <w:rsid w:val="00E33A69"/>
    <w:rsid w:val="00E34172"/>
    <w:rsid w:val="00E3721F"/>
    <w:rsid w:val="00E37FD1"/>
    <w:rsid w:val="00E422F6"/>
    <w:rsid w:val="00E4470D"/>
    <w:rsid w:val="00E44C37"/>
    <w:rsid w:val="00E458E7"/>
    <w:rsid w:val="00E4753A"/>
    <w:rsid w:val="00E5017C"/>
    <w:rsid w:val="00E515FB"/>
    <w:rsid w:val="00E52751"/>
    <w:rsid w:val="00E542D8"/>
    <w:rsid w:val="00E56836"/>
    <w:rsid w:val="00E578D8"/>
    <w:rsid w:val="00E57ADE"/>
    <w:rsid w:val="00E57B56"/>
    <w:rsid w:val="00E6003A"/>
    <w:rsid w:val="00E612CE"/>
    <w:rsid w:val="00E62103"/>
    <w:rsid w:val="00E62666"/>
    <w:rsid w:val="00E64870"/>
    <w:rsid w:val="00E64A3B"/>
    <w:rsid w:val="00E65E63"/>
    <w:rsid w:val="00E65E9C"/>
    <w:rsid w:val="00E67C7C"/>
    <w:rsid w:val="00E67FB9"/>
    <w:rsid w:val="00E711C7"/>
    <w:rsid w:val="00E712D9"/>
    <w:rsid w:val="00E716A2"/>
    <w:rsid w:val="00E72925"/>
    <w:rsid w:val="00E7315A"/>
    <w:rsid w:val="00E73798"/>
    <w:rsid w:val="00E73F17"/>
    <w:rsid w:val="00E7537C"/>
    <w:rsid w:val="00E75557"/>
    <w:rsid w:val="00E80E70"/>
    <w:rsid w:val="00E8285B"/>
    <w:rsid w:val="00E83E54"/>
    <w:rsid w:val="00E850A9"/>
    <w:rsid w:val="00E86062"/>
    <w:rsid w:val="00E92E72"/>
    <w:rsid w:val="00E94EC7"/>
    <w:rsid w:val="00E95D4C"/>
    <w:rsid w:val="00E96E8A"/>
    <w:rsid w:val="00E978FF"/>
    <w:rsid w:val="00E97FD0"/>
    <w:rsid w:val="00EA1676"/>
    <w:rsid w:val="00EA2D5E"/>
    <w:rsid w:val="00EA362E"/>
    <w:rsid w:val="00EA4225"/>
    <w:rsid w:val="00EA5B63"/>
    <w:rsid w:val="00EB1A93"/>
    <w:rsid w:val="00EB379C"/>
    <w:rsid w:val="00EB539D"/>
    <w:rsid w:val="00EB5DAF"/>
    <w:rsid w:val="00EB6ADA"/>
    <w:rsid w:val="00EB6BD9"/>
    <w:rsid w:val="00EC024D"/>
    <w:rsid w:val="00EC0335"/>
    <w:rsid w:val="00EC068A"/>
    <w:rsid w:val="00EC12BD"/>
    <w:rsid w:val="00EC3FDF"/>
    <w:rsid w:val="00EC48C0"/>
    <w:rsid w:val="00EC6BD9"/>
    <w:rsid w:val="00EC7A1C"/>
    <w:rsid w:val="00ED15BC"/>
    <w:rsid w:val="00ED1794"/>
    <w:rsid w:val="00ED183E"/>
    <w:rsid w:val="00ED2A28"/>
    <w:rsid w:val="00ED4420"/>
    <w:rsid w:val="00ED4E48"/>
    <w:rsid w:val="00ED766B"/>
    <w:rsid w:val="00EE0785"/>
    <w:rsid w:val="00EE1B36"/>
    <w:rsid w:val="00EE1DD2"/>
    <w:rsid w:val="00EE3A6A"/>
    <w:rsid w:val="00EE6A42"/>
    <w:rsid w:val="00EE7BDA"/>
    <w:rsid w:val="00EF09F3"/>
    <w:rsid w:val="00EF1BC2"/>
    <w:rsid w:val="00EF22F1"/>
    <w:rsid w:val="00EF291D"/>
    <w:rsid w:val="00EF2F00"/>
    <w:rsid w:val="00EF385E"/>
    <w:rsid w:val="00EF5A81"/>
    <w:rsid w:val="00EF5A85"/>
    <w:rsid w:val="00F00C15"/>
    <w:rsid w:val="00F027B3"/>
    <w:rsid w:val="00F03D2E"/>
    <w:rsid w:val="00F041EA"/>
    <w:rsid w:val="00F051C2"/>
    <w:rsid w:val="00F071E0"/>
    <w:rsid w:val="00F078C9"/>
    <w:rsid w:val="00F131C4"/>
    <w:rsid w:val="00F134C5"/>
    <w:rsid w:val="00F1542D"/>
    <w:rsid w:val="00F157A1"/>
    <w:rsid w:val="00F15EE5"/>
    <w:rsid w:val="00F1775C"/>
    <w:rsid w:val="00F179CE"/>
    <w:rsid w:val="00F17DE4"/>
    <w:rsid w:val="00F207CF"/>
    <w:rsid w:val="00F213B1"/>
    <w:rsid w:val="00F21A27"/>
    <w:rsid w:val="00F21BB8"/>
    <w:rsid w:val="00F229CB"/>
    <w:rsid w:val="00F262CA"/>
    <w:rsid w:val="00F34244"/>
    <w:rsid w:val="00F3605E"/>
    <w:rsid w:val="00F369C7"/>
    <w:rsid w:val="00F40DFE"/>
    <w:rsid w:val="00F44C67"/>
    <w:rsid w:val="00F44CBB"/>
    <w:rsid w:val="00F45F7D"/>
    <w:rsid w:val="00F4604D"/>
    <w:rsid w:val="00F46A45"/>
    <w:rsid w:val="00F503DA"/>
    <w:rsid w:val="00F5150E"/>
    <w:rsid w:val="00F52BE3"/>
    <w:rsid w:val="00F54C47"/>
    <w:rsid w:val="00F54E45"/>
    <w:rsid w:val="00F554FF"/>
    <w:rsid w:val="00F574B0"/>
    <w:rsid w:val="00F6011C"/>
    <w:rsid w:val="00F6061F"/>
    <w:rsid w:val="00F60875"/>
    <w:rsid w:val="00F63193"/>
    <w:rsid w:val="00F67CA3"/>
    <w:rsid w:val="00F703A2"/>
    <w:rsid w:val="00F706FA"/>
    <w:rsid w:val="00F724E7"/>
    <w:rsid w:val="00F76864"/>
    <w:rsid w:val="00F80302"/>
    <w:rsid w:val="00F8432D"/>
    <w:rsid w:val="00F90245"/>
    <w:rsid w:val="00F93121"/>
    <w:rsid w:val="00F9546C"/>
    <w:rsid w:val="00F96AE6"/>
    <w:rsid w:val="00F97775"/>
    <w:rsid w:val="00F97809"/>
    <w:rsid w:val="00FA063B"/>
    <w:rsid w:val="00FA1CEB"/>
    <w:rsid w:val="00FA3FFC"/>
    <w:rsid w:val="00FA7397"/>
    <w:rsid w:val="00FA7D59"/>
    <w:rsid w:val="00FB1D49"/>
    <w:rsid w:val="00FB1E79"/>
    <w:rsid w:val="00FB1F4F"/>
    <w:rsid w:val="00FB3753"/>
    <w:rsid w:val="00FB5395"/>
    <w:rsid w:val="00FB6764"/>
    <w:rsid w:val="00FB71DE"/>
    <w:rsid w:val="00FC2C26"/>
    <w:rsid w:val="00FC3030"/>
    <w:rsid w:val="00FC4355"/>
    <w:rsid w:val="00FC45A5"/>
    <w:rsid w:val="00FC5554"/>
    <w:rsid w:val="00FC56E0"/>
    <w:rsid w:val="00FC5F3B"/>
    <w:rsid w:val="00FD047C"/>
    <w:rsid w:val="00FD17C3"/>
    <w:rsid w:val="00FD1A9C"/>
    <w:rsid w:val="00FD3C71"/>
    <w:rsid w:val="00FD4300"/>
    <w:rsid w:val="00FD4CA6"/>
    <w:rsid w:val="00FD4FE6"/>
    <w:rsid w:val="00FD5D30"/>
    <w:rsid w:val="00FD5EEF"/>
    <w:rsid w:val="00FD64EF"/>
    <w:rsid w:val="00FD669A"/>
    <w:rsid w:val="00FD6D5D"/>
    <w:rsid w:val="00FE00A4"/>
    <w:rsid w:val="00FE0831"/>
    <w:rsid w:val="00FE21B5"/>
    <w:rsid w:val="00FE2D29"/>
    <w:rsid w:val="00FE4A46"/>
    <w:rsid w:val="00FE4E2E"/>
    <w:rsid w:val="00FE63CC"/>
    <w:rsid w:val="00FF0C43"/>
    <w:rsid w:val="00FF1776"/>
    <w:rsid w:val="00FF2564"/>
    <w:rsid w:val="00FF3944"/>
    <w:rsid w:val="00FF3C3E"/>
    <w:rsid w:val="00FF4C3F"/>
    <w:rsid w:val="00FF5B89"/>
    <w:rsid w:val="1CE55B1B"/>
    <w:rsid w:val="3A382AD6"/>
    <w:rsid w:val="62A21177"/>
    <w:rsid w:val="765A761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447E2"/>
  <w15:docId w15:val="{45B737C9-052D-4B9E-A13D-9A333123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137"/>
    <w:pPr>
      <w:jc w:val="both"/>
    </w:pPr>
    <w:rPr>
      <w:rFonts w:ascii="Arial" w:hAnsi="Arial"/>
      <w:sz w:val="22"/>
      <w:lang w:val="en-AU" w:eastAsia="en-US"/>
    </w:rPr>
  </w:style>
  <w:style w:type="paragraph" w:styleId="Heading1">
    <w:name w:val="heading 1"/>
    <w:basedOn w:val="Normal"/>
    <w:next w:val="Normal"/>
    <w:link w:val="Heading1Char"/>
    <w:qFormat/>
    <w:rsid w:val="00A546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qFormat/>
    <w:rsid w:val="00BB7137"/>
    <w:pPr>
      <w:keepNext/>
      <w:autoSpaceDE w:val="0"/>
      <w:autoSpaceDN w:val="0"/>
      <w:adjustRightInd w:val="0"/>
      <w:jc w:val="left"/>
      <w:outlineLvl w:val="6"/>
    </w:pPr>
    <w:rPr>
      <w:rFonts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7137"/>
    <w:pPr>
      <w:ind w:right="-234"/>
      <w:jc w:val="left"/>
    </w:pPr>
    <w:rPr>
      <w:rFonts w:ascii="Times New Roman" w:hAnsi="Times New Roman"/>
    </w:rPr>
  </w:style>
  <w:style w:type="paragraph" w:styleId="Header">
    <w:name w:val="header"/>
    <w:basedOn w:val="Normal"/>
    <w:rsid w:val="00BB7137"/>
    <w:pPr>
      <w:tabs>
        <w:tab w:val="center" w:pos="4153"/>
        <w:tab w:val="right" w:pos="8306"/>
      </w:tabs>
    </w:pPr>
  </w:style>
  <w:style w:type="paragraph" w:styleId="BalloonText">
    <w:name w:val="Balloon Text"/>
    <w:basedOn w:val="Normal"/>
    <w:semiHidden/>
    <w:rsid w:val="00AE2804"/>
    <w:rPr>
      <w:rFonts w:ascii="Tahoma" w:hAnsi="Tahoma" w:cs="Tahoma"/>
      <w:sz w:val="16"/>
      <w:szCs w:val="16"/>
    </w:rPr>
  </w:style>
  <w:style w:type="character" w:customStyle="1" w:styleId="Heading1Char">
    <w:name w:val="Heading 1 Char"/>
    <w:basedOn w:val="DefaultParagraphFont"/>
    <w:link w:val="Heading1"/>
    <w:rsid w:val="00A546DA"/>
    <w:rPr>
      <w:rFonts w:asciiTheme="majorHAnsi" w:eastAsiaTheme="majorEastAsia" w:hAnsiTheme="majorHAnsi" w:cstheme="majorBidi"/>
      <w:color w:val="2F5496" w:themeColor="accent1" w:themeShade="BF"/>
      <w:sz w:val="32"/>
      <w:szCs w:val="32"/>
      <w:lang w:val="en-AU" w:eastAsia="en-US"/>
    </w:rPr>
  </w:style>
  <w:style w:type="paragraph" w:styleId="Footer">
    <w:name w:val="footer"/>
    <w:basedOn w:val="Normal"/>
    <w:link w:val="FooterChar"/>
    <w:rsid w:val="00C3256E"/>
    <w:pPr>
      <w:tabs>
        <w:tab w:val="center" w:pos="4513"/>
        <w:tab w:val="right" w:pos="9026"/>
      </w:tabs>
    </w:pPr>
  </w:style>
  <w:style w:type="character" w:customStyle="1" w:styleId="FooterChar">
    <w:name w:val="Footer Char"/>
    <w:basedOn w:val="DefaultParagraphFont"/>
    <w:link w:val="Footer"/>
    <w:rsid w:val="00C3256E"/>
    <w:rPr>
      <w:rFonts w:ascii="Arial" w:hAnsi="Arial"/>
      <w:sz w:val="22"/>
      <w:lang w:val="en-AU" w:eastAsia="en-US"/>
    </w:rPr>
  </w:style>
  <w:style w:type="paragraph" w:customStyle="1" w:styleId="Tableentry">
    <w:name w:val="Table entry"/>
    <w:basedOn w:val="Normal"/>
    <w:rsid w:val="000B45C6"/>
    <w:pPr>
      <w:jc w:val="left"/>
    </w:pPr>
    <w:rPr>
      <w:rFonts w:cs="Arial"/>
      <w:bCs/>
      <w:snapToGrid w:val="0"/>
      <w:szCs w:val="22"/>
      <w:lang w:val="en-GB"/>
    </w:rPr>
  </w:style>
  <w:style w:type="character" w:customStyle="1" w:styleId="cf01">
    <w:name w:val="cf01"/>
    <w:basedOn w:val="DefaultParagraphFont"/>
    <w:rsid w:val="000B45C6"/>
    <w:rPr>
      <w:rFonts w:ascii="Segoe UI" w:hAnsi="Segoe UI" w:cs="Segoe UI" w:hint="default"/>
      <w:sz w:val="18"/>
      <w:szCs w:val="18"/>
    </w:rPr>
  </w:style>
  <w:style w:type="paragraph" w:styleId="NormalWeb">
    <w:name w:val="Normal (Web)"/>
    <w:basedOn w:val="Normal"/>
    <w:uiPriority w:val="99"/>
    <w:unhideWhenUsed/>
    <w:rsid w:val="000B45C6"/>
    <w:pPr>
      <w:spacing w:before="100" w:beforeAutospacing="1" w:after="100" w:afterAutospacing="1"/>
      <w:jc w:val="left"/>
    </w:pPr>
    <w:rPr>
      <w:rFonts w:ascii="Times New Roman" w:hAnsi="Times New Roman"/>
      <w:sz w:val="24"/>
      <w:szCs w:val="24"/>
      <w:lang w:val="en-US"/>
    </w:rPr>
  </w:style>
  <w:style w:type="paragraph" w:styleId="ListParagraph">
    <w:name w:val="List Paragraph"/>
    <w:basedOn w:val="Normal"/>
    <w:uiPriority w:val="34"/>
    <w:qFormat/>
    <w:rsid w:val="000B45C6"/>
    <w:pPr>
      <w:ind w:left="720"/>
      <w:contextualSpacing/>
      <w:jc w:val="left"/>
    </w:pPr>
    <w:rPr>
      <w:rFonts w:eastAsiaTheme="minorEastAsia" w:cstheme="minorBidi"/>
      <w:szCs w:val="24"/>
      <w:lang w:val="en-GB"/>
    </w:rPr>
  </w:style>
  <w:style w:type="character" w:styleId="Hyperlink">
    <w:name w:val="Hyperlink"/>
    <w:basedOn w:val="DefaultParagraphFont"/>
    <w:uiPriority w:val="99"/>
    <w:unhideWhenUsed/>
    <w:rsid w:val="000B45C6"/>
    <w:rPr>
      <w:color w:val="0563C1" w:themeColor="hyperlink"/>
      <w:u w:val="single"/>
    </w:rPr>
  </w:style>
  <w:style w:type="character" w:customStyle="1" w:styleId="ref-journal">
    <w:name w:val="ref-journal"/>
    <w:basedOn w:val="DefaultParagraphFont"/>
    <w:rsid w:val="000B45C6"/>
  </w:style>
  <w:style w:type="character" w:customStyle="1" w:styleId="ref-vol">
    <w:name w:val="ref-vol"/>
    <w:basedOn w:val="DefaultParagraphFont"/>
    <w:rsid w:val="000B45C6"/>
  </w:style>
  <w:style w:type="table" w:styleId="TableGrid">
    <w:name w:val="Table Grid"/>
    <w:basedOn w:val="TableNormal"/>
    <w:rsid w:val="00FE2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26A4"/>
    <w:rPr>
      <w:b/>
      <w:bCs/>
    </w:rPr>
  </w:style>
  <w:style w:type="character" w:styleId="UnresolvedMention">
    <w:name w:val="Unresolved Mention"/>
    <w:basedOn w:val="DefaultParagraphFont"/>
    <w:uiPriority w:val="99"/>
    <w:semiHidden/>
    <w:unhideWhenUsed/>
    <w:rsid w:val="0074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562">
      <w:bodyDiv w:val="1"/>
      <w:marLeft w:val="0"/>
      <w:marRight w:val="0"/>
      <w:marTop w:val="0"/>
      <w:marBottom w:val="0"/>
      <w:divBdr>
        <w:top w:val="none" w:sz="0" w:space="0" w:color="auto"/>
        <w:left w:val="none" w:sz="0" w:space="0" w:color="auto"/>
        <w:bottom w:val="none" w:sz="0" w:space="0" w:color="auto"/>
        <w:right w:val="none" w:sz="0" w:space="0" w:color="auto"/>
      </w:divBdr>
    </w:div>
    <w:div w:id="512379871">
      <w:bodyDiv w:val="1"/>
      <w:marLeft w:val="0"/>
      <w:marRight w:val="0"/>
      <w:marTop w:val="0"/>
      <w:marBottom w:val="0"/>
      <w:divBdr>
        <w:top w:val="none" w:sz="0" w:space="0" w:color="auto"/>
        <w:left w:val="none" w:sz="0" w:space="0" w:color="auto"/>
        <w:bottom w:val="none" w:sz="0" w:space="0" w:color="auto"/>
        <w:right w:val="none" w:sz="0" w:space="0" w:color="auto"/>
      </w:divBdr>
    </w:div>
    <w:div w:id="1476071648">
      <w:bodyDiv w:val="1"/>
      <w:marLeft w:val="0"/>
      <w:marRight w:val="0"/>
      <w:marTop w:val="0"/>
      <w:marBottom w:val="0"/>
      <w:divBdr>
        <w:top w:val="none" w:sz="0" w:space="0" w:color="auto"/>
        <w:left w:val="none" w:sz="0" w:space="0" w:color="auto"/>
        <w:bottom w:val="none" w:sz="0" w:space="0" w:color="auto"/>
        <w:right w:val="none" w:sz="0" w:space="0" w:color="auto"/>
      </w:divBdr>
    </w:div>
    <w:div w:id="188621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doi.org/10.1016/S2213-8587(17)30104-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ssam\OneDrive\Desktop\Essam%20Documents\University%20of%20Warwick%20-%20Postgraduate%20Diploma\Master%20of%20Diabetes\Final%20Protocol%20-%20July-2023\Chart%20cre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Prevalence of T2DM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Sheet1!$D$3</c:f>
              <c:strCache>
                <c:ptCount val="1"/>
                <c:pt idx="0">
                  <c:v>Prevalence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Sheet1!$C$4:$C$7</c:f>
              <c:strCache>
                <c:ptCount val="4"/>
                <c:pt idx="0">
                  <c:v>Saudi Arabia</c:v>
                </c:pt>
                <c:pt idx="1">
                  <c:v>Kuwait</c:v>
                </c:pt>
                <c:pt idx="2">
                  <c:v>UAE</c:v>
                </c:pt>
                <c:pt idx="3">
                  <c:v>Egypt</c:v>
                </c:pt>
              </c:strCache>
            </c:strRef>
          </c:cat>
          <c:val>
            <c:numRef>
              <c:f>Sheet1!$D$4:$D$7</c:f>
              <c:numCache>
                <c:formatCode>General</c:formatCode>
                <c:ptCount val="4"/>
                <c:pt idx="0">
                  <c:v>21.8</c:v>
                </c:pt>
                <c:pt idx="1">
                  <c:v>16</c:v>
                </c:pt>
                <c:pt idx="2">
                  <c:v>15.1</c:v>
                </c:pt>
                <c:pt idx="3">
                  <c:v>7.2</c:v>
                </c:pt>
              </c:numCache>
            </c:numRef>
          </c:val>
          <c:extLst>
            <c:ext xmlns:c16="http://schemas.microsoft.com/office/drawing/2014/chart" uri="{C3380CC4-5D6E-409C-BE32-E72D297353CC}">
              <c16:uniqueId val="{00000000-0AA8-477D-AFB0-DC82F01F7181}"/>
            </c:ext>
          </c:extLst>
        </c:ser>
        <c:dLbls>
          <c:dLblPos val="outEnd"/>
          <c:showLegendKey val="0"/>
          <c:showVal val="1"/>
          <c:showCatName val="0"/>
          <c:showSerName val="0"/>
          <c:showPercent val="0"/>
          <c:showBubbleSize val="0"/>
        </c:dLbls>
        <c:gapWidth val="219"/>
        <c:overlap val="-27"/>
        <c:axId val="1949448848"/>
        <c:axId val="1949449808"/>
      </c:barChart>
      <c:catAx>
        <c:axId val="1949448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MENA</a:t>
                </a:r>
                <a:r>
                  <a:rPr lang="en-US" baseline="0"/>
                  <a:t> Countries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49808"/>
        <c:crosses val="autoZero"/>
        <c:auto val="1"/>
        <c:lblAlgn val="ctr"/>
        <c:lblOffset val="100"/>
        <c:noMultiLvlLbl val="0"/>
      </c:catAx>
      <c:valAx>
        <c:axId val="194944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Prevalence</a:t>
                </a:r>
                <a:r>
                  <a:rPr lang="en-US" baseline="0"/>
                  <a:t> of Diabetes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48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Diabetes Prevalence Between 2000 and 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Sheet1!$D$24</c:f>
              <c:strCache>
                <c:ptCount val="1"/>
                <c:pt idx="0">
                  <c:v>Year 2000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Sheet1!$C$25:$C$28</c:f>
              <c:strCache>
                <c:ptCount val="4"/>
                <c:pt idx="0">
                  <c:v>Kuwait</c:v>
                </c:pt>
                <c:pt idx="1">
                  <c:v>Saudi Arabia</c:v>
                </c:pt>
                <c:pt idx="2">
                  <c:v>Egypt</c:v>
                </c:pt>
                <c:pt idx="3">
                  <c:v>UAE</c:v>
                </c:pt>
              </c:strCache>
            </c:strRef>
          </c:cat>
          <c:val>
            <c:numRef>
              <c:f>Sheet1!$D$25:$D$28</c:f>
              <c:numCache>
                <c:formatCode>General</c:formatCode>
                <c:ptCount val="4"/>
                <c:pt idx="0">
                  <c:v>15.4</c:v>
                </c:pt>
                <c:pt idx="1">
                  <c:v>13.1</c:v>
                </c:pt>
                <c:pt idx="2">
                  <c:v>12.1</c:v>
                </c:pt>
                <c:pt idx="3">
                  <c:v>12</c:v>
                </c:pt>
              </c:numCache>
            </c:numRef>
          </c:val>
          <c:extLst>
            <c:ext xmlns:c16="http://schemas.microsoft.com/office/drawing/2014/chart" uri="{C3380CC4-5D6E-409C-BE32-E72D297353CC}">
              <c16:uniqueId val="{00000000-2D97-4BB2-94AF-D9EF0CC9B3F6}"/>
            </c:ext>
          </c:extLst>
        </c:ser>
        <c:ser>
          <c:idx val="1"/>
          <c:order val="1"/>
          <c:tx>
            <c:strRef>
              <c:f>Sheet1!$E$24</c:f>
              <c:strCache>
                <c:ptCount val="1"/>
                <c:pt idx="0">
                  <c:v>Year 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Sheet1!$C$25:$C$28</c:f>
              <c:strCache>
                <c:ptCount val="4"/>
                <c:pt idx="0">
                  <c:v>Kuwait</c:v>
                </c:pt>
                <c:pt idx="1">
                  <c:v>Saudi Arabia</c:v>
                </c:pt>
                <c:pt idx="2">
                  <c:v>Egypt</c:v>
                </c:pt>
                <c:pt idx="3">
                  <c:v>UAE</c:v>
                </c:pt>
              </c:strCache>
            </c:strRef>
          </c:cat>
          <c:val>
            <c:numRef>
              <c:f>Sheet1!$E$25:$E$28</c:f>
              <c:numCache>
                <c:formatCode>General</c:formatCode>
                <c:ptCount val="4"/>
                <c:pt idx="0">
                  <c:v>19.600000000000001</c:v>
                </c:pt>
                <c:pt idx="1">
                  <c:v>17.399999999999999</c:v>
                </c:pt>
                <c:pt idx="2">
                  <c:v>17.899999999999999</c:v>
                </c:pt>
                <c:pt idx="3">
                  <c:v>15.1</c:v>
                </c:pt>
              </c:numCache>
            </c:numRef>
          </c:val>
          <c:extLst>
            <c:ext xmlns:c16="http://schemas.microsoft.com/office/drawing/2014/chart" uri="{C3380CC4-5D6E-409C-BE32-E72D297353CC}">
              <c16:uniqueId val="{00000001-2D97-4BB2-94AF-D9EF0CC9B3F6}"/>
            </c:ext>
          </c:extLst>
        </c:ser>
        <c:dLbls>
          <c:dLblPos val="outEnd"/>
          <c:showLegendKey val="0"/>
          <c:showVal val="1"/>
          <c:showCatName val="0"/>
          <c:showSerName val="0"/>
          <c:showPercent val="0"/>
          <c:showBubbleSize val="0"/>
        </c:dLbls>
        <c:gapWidth val="219"/>
        <c:overlap val="-27"/>
        <c:axId val="978956512"/>
        <c:axId val="978954112"/>
      </c:barChart>
      <c:catAx>
        <c:axId val="978956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Top</a:t>
                </a:r>
                <a:r>
                  <a:rPr lang="en-US" baseline="0"/>
                  <a:t> </a:t>
                </a:r>
                <a:r>
                  <a:rPr lang="en-US"/>
                  <a:t>MENA Countries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954112"/>
        <c:crosses val="autoZero"/>
        <c:auto val="1"/>
        <c:lblAlgn val="ctr"/>
        <c:lblOffset val="100"/>
        <c:noMultiLvlLbl val="0"/>
      </c:catAx>
      <c:valAx>
        <c:axId val="97895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rPr>
                  <a:t>Prevalence of Diabetes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895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6deb12-caea-4b5f-a07c-9c0b32901384">
      <Terms xmlns="http://schemas.microsoft.com/office/infopath/2007/PartnerControls"/>
    </lcf76f155ced4ddcb4097134ff3c332f>
    <TaxCatchAll xmlns="99a5c855-f022-40f8-b903-31ff63a119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F65007FE5B547ABF6D768A8AD8561" ma:contentTypeVersion="20" ma:contentTypeDescription="Create a new document." ma:contentTypeScope="" ma:versionID="d100dee6dde653b309578eb30a8d98da">
  <xsd:schema xmlns:xsd="http://www.w3.org/2001/XMLSchema" xmlns:xs="http://www.w3.org/2001/XMLSchema" xmlns:p="http://schemas.microsoft.com/office/2006/metadata/properties" xmlns:ns2="99a5c855-f022-40f8-b903-31ff63a11949" xmlns:ns3="aa6deb12-caea-4b5f-a07c-9c0b32901384" targetNamespace="http://schemas.microsoft.com/office/2006/metadata/properties" ma:root="true" ma:fieldsID="01d2625163c45015d608e79ddb5e5744" ns2:_="" ns3:_="">
    <xsd:import namespace="99a5c855-f022-40f8-b903-31ff63a11949"/>
    <xsd:import namespace="aa6deb12-caea-4b5f-a07c-9c0b329013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5c855-f022-40f8-b903-31ff63a119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42d23b4-ea73-4bbc-a63d-57617821551e}" ma:internalName="TaxCatchAll" ma:showField="CatchAllData" ma:web="99a5c855-f022-40f8-b903-31ff63a11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6deb12-caea-4b5f-a07c-9c0b329013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75a2314-5fd7-4058-82f1-943c22d3dd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D93F-B5BA-46F5-B0A6-4400B1274AA7}">
  <ds:schemaRefs>
    <ds:schemaRef ds:uri="http://schemas.microsoft.com/office/2006/metadata/properties"/>
    <ds:schemaRef ds:uri="http://schemas.microsoft.com/office/infopath/2007/PartnerControls"/>
    <ds:schemaRef ds:uri="aa6deb12-caea-4b5f-a07c-9c0b32901384"/>
    <ds:schemaRef ds:uri="99a5c855-f022-40f8-b903-31ff63a11949"/>
  </ds:schemaRefs>
</ds:datastoreItem>
</file>

<file path=customXml/itemProps2.xml><?xml version="1.0" encoding="utf-8"?>
<ds:datastoreItem xmlns:ds="http://schemas.openxmlformats.org/officeDocument/2006/customXml" ds:itemID="{2A446BF0-A968-4585-802F-765E806B552D}">
  <ds:schemaRefs>
    <ds:schemaRef ds:uri="http://schemas.microsoft.com/sharepoint/v3/contenttype/forms"/>
  </ds:schemaRefs>
</ds:datastoreItem>
</file>

<file path=customXml/itemProps3.xml><?xml version="1.0" encoding="utf-8"?>
<ds:datastoreItem xmlns:ds="http://schemas.openxmlformats.org/officeDocument/2006/customXml" ds:itemID="{FEAA2AC9-4D3D-4681-A198-A10A6174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5c855-f022-40f8-b903-31ff63a11949"/>
    <ds:schemaRef ds:uri="aa6deb12-caea-4b5f-a07c-9c0b3290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EFC54-92E5-40AE-A54E-7B2A468E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International Diploma</vt:lpstr>
    </vt:vector>
  </TitlesOfParts>
  <Manager>Derrick Dykins</Manager>
  <Company>NCUK</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Diploma</dc:title>
  <dc:subject>Cover Sheet</dc:subject>
  <dc:creator>Suraiya Arshad</dc:creator>
  <cp:keywords/>
  <dc:description/>
  <cp:lastModifiedBy>Editor-22</cp:lastModifiedBy>
  <cp:revision>41</cp:revision>
  <cp:lastPrinted>2015-02-20T09:12:00Z</cp:lastPrinted>
  <dcterms:created xsi:type="dcterms:W3CDTF">2025-05-21T22:18:00Z</dcterms:created>
  <dcterms:modified xsi:type="dcterms:W3CDTF">2025-05-22T11:36:00Z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0x01010020FF65007FE5B547ABF6D768A8AD8561</vt:lpwstr>
  </property>
  <property fmtid="{D5CDD505-2E9C-101B-9397-08002B2CF9AE}" pid="3" name="MediaServiceImageTags">
    <vt:lpwstr/>
  </property>
</Properties>
</file>