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3F319" w14:textId="77777777" w:rsidR="00D56C91" w:rsidRDefault="00D56C91" w:rsidP="00D56C91">
      <w:pPr>
        <w:spacing w:line="480" w:lineRule="auto"/>
        <w:jc w:val="center"/>
        <w:rPr>
          <w:rFonts w:ascii="Arial" w:hAnsi="Arial" w:cs="Arial"/>
          <w:b/>
          <w:bCs/>
        </w:rPr>
      </w:pPr>
      <w:r w:rsidRPr="00AB3C8B">
        <w:rPr>
          <w:rFonts w:ascii="Arial" w:hAnsi="Arial" w:cs="Arial"/>
          <w:b/>
          <w:bCs/>
        </w:rPr>
        <w:t>Knowledge of Parents on Clinical Signs and Symptoms in Infants Exposed to Environmental Pollutants from Crude Oil Refineries in Eleme and Tai LGAs, Nigeria</w:t>
      </w:r>
    </w:p>
    <w:p w14:paraId="735EA18C" w14:textId="77777777" w:rsidR="00660C1A" w:rsidRDefault="00660C1A" w:rsidP="00D62E06">
      <w:pPr>
        <w:spacing w:line="480" w:lineRule="auto"/>
        <w:jc w:val="both"/>
        <w:rPr>
          <w:rFonts w:ascii="Arial" w:hAnsi="Arial" w:cs="Arial"/>
          <w:b/>
          <w:bCs/>
        </w:rPr>
      </w:pPr>
    </w:p>
    <w:p w14:paraId="11E71A2B" w14:textId="77777777" w:rsidR="00660C1A" w:rsidRDefault="00660C1A" w:rsidP="00D62E06">
      <w:pPr>
        <w:spacing w:line="480" w:lineRule="auto"/>
        <w:jc w:val="both"/>
        <w:rPr>
          <w:rFonts w:ascii="Arial" w:hAnsi="Arial" w:cs="Arial"/>
          <w:b/>
          <w:bCs/>
        </w:rPr>
      </w:pPr>
    </w:p>
    <w:p w14:paraId="5B08CD2D" w14:textId="77777777" w:rsidR="00660C1A" w:rsidRDefault="00660C1A" w:rsidP="00D62E06">
      <w:pPr>
        <w:spacing w:line="480" w:lineRule="auto"/>
        <w:jc w:val="both"/>
        <w:rPr>
          <w:rFonts w:ascii="Arial" w:hAnsi="Arial" w:cs="Arial"/>
          <w:b/>
          <w:bCs/>
        </w:rPr>
      </w:pPr>
    </w:p>
    <w:p w14:paraId="46FE44DC" w14:textId="77777777" w:rsidR="00660C1A" w:rsidRDefault="00660C1A" w:rsidP="00D62E06">
      <w:pPr>
        <w:spacing w:line="480" w:lineRule="auto"/>
        <w:jc w:val="both"/>
        <w:rPr>
          <w:rFonts w:ascii="Arial" w:hAnsi="Arial" w:cs="Arial"/>
          <w:b/>
          <w:bCs/>
        </w:rPr>
      </w:pPr>
    </w:p>
    <w:p w14:paraId="5A5A8665" w14:textId="7BB417B4" w:rsidR="00D56C91" w:rsidRPr="00D62E06" w:rsidRDefault="00D56C91" w:rsidP="00D62E06">
      <w:pPr>
        <w:spacing w:line="480" w:lineRule="auto"/>
        <w:jc w:val="both"/>
        <w:rPr>
          <w:rFonts w:ascii="Arial" w:hAnsi="Arial" w:cs="Arial"/>
          <w:b/>
          <w:bCs/>
        </w:rPr>
      </w:pPr>
      <w:r w:rsidRPr="00D62E06">
        <w:rPr>
          <w:rFonts w:ascii="Arial" w:hAnsi="Arial" w:cs="Arial"/>
          <w:b/>
          <w:bCs/>
        </w:rPr>
        <w:t>Abstract</w:t>
      </w:r>
    </w:p>
    <w:p w14:paraId="5DE2AC7A" w14:textId="77777777" w:rsidR="00D56C91" w:rsidRPr="00D62E06" w:rsidRDefault="00D56C91" w:rsidP="00D56C91">
      <w:pPr>
        <w:spacing w:after="0" w:line="240" w:lineRule="auto"/>
        <w:jc w:val="both"/>
        <w:rPr>
          <w:rFonts w:ascii="Arial" w:hAnsi="Arial" w:cs="Arial"/>
          <w:sz w:val="20"/>
          <w:szCs w:val="20"/>
        </w:rPr>
      </w:pPr>
      <w:r w:rsidRPr="00D62E06">
        <w:rPr>
          <w:rFonts w:ascii="Arial" w:hAnsi="Arial" w:cs="Arial"/>
          <w:sz w:val="20"/>
          <w:szCs w:val="20"/>
        </w:rPr>
        <w:t>Exposure to pollution from crude oil refining is linked to a spectrum of health challenges in infants, including observable clinical symptoms. Understanding parental knowledge of these signs is critical for early detection and management. This study aimed to evaluate the knowledge of parents concerning clinical signs and environmental symptoms of pollution-related health conditions in infants living in Eleme and Tai LGAs of Rivers State. A cross-sectional descriptive study involving 357 parents was conducted using structured questionnaires. Data were analyzed using descriptive statistics and inferential tests to assess knowledge levels across indicators of pollution-related signs in infants. Respondents demonstrated high knowledge of key symptoms, including pungent odors, discolored rainwater, poor soil yield, and noise-related headaches. The average weighted score was 3.18 in Eleme and 3.23 in Tai, indicating widespread awareness. Knowledge was marginally higher in Tai. Parents in both LGAs exhibit significant awareness of signs and symptoms of pollution-related health issues in infants. Tailored public health messaging and community clinical screening programs are needed to convert awareness into action.</w:t>
      </w:r>
    </w:p>
    <w:p w14:paraId="765EC5C4" w14:textId="77777777" w:rsidR="00660C1A" w:rsidRDefault="00660C1A" w:rsidP="00D56C91">
      <w:pPr>
        <w:spacing w:after="0" w:line="240" w:lineRule="auto"/>
        <w:jc w:val="both"/>
        <w:rPr>
          <w:rFonts w:ascii="Arial" w:hAnsi="Arial" w:cs="Arial"/>
          <w:b/>
          <w:bCs/>
          <w:sz w:val="20"/>
          <w:szCs w:val="20"/>
        </w:rPr>
      </w:pPr>
    </w:p>
    <w:p w14:paraId="5BFFB1B7" w14:textId="2429E5BA" w:rsidR="00D56C91" w:rsidRPr="00D62E06" w:rsidRDefault="00D56C91" w:rsidP="00D56C91">
      <w:pPr>
        <w:spacing w:after="0" w:line="240" w:lineRule="auto"/>
        <w:jc w:val="both"/>
        <w:rPr>
          <w:rFonts w:ascii="Arial" w:hAnsi="Arial" w:cs="Arial"/>
          <w:sz w:val="20"/>
          <w:szCs w:val="20"/>
        </w:rPr>
      </w:pPr>
      <w:r w:rsidRPr="00D62E06">
        <w:rPr>
          <w:rFonts w:ascii="Arial" w:hAnsi="Arial" w:cs="Arial"/>
          <w:b/>
          <w:bCs/>
          <w:sz w:val="20"/>
          <w:szCs w:val="20"/>
        </w:rPr>
        <w:t>Keywords</w:t>
      </w:r>
      <w:r w:rsidRPr="00D62E06">
        <w:rPr>
          <w:rFonts w:ascii="Arial" w:hAnsi="Arial" w:cs="Arial"/>
          <w:sz w:val="20"/>
          <w:szCs w:val="20"/>
        </w:rPr>
        <w:t>: Environmental pollution, infant health, parental knowledge, crude oil refining, symptoms, Niger Delta, Rivers State</w:t>
      </w:r>
    </w:p>
    <w:p w14:paraId="325E12B6" w14:textId="77777777" w:rsidR="00D62E06" w:rsidRDefault="00D62E06" w:rsidP="00D56C91">
      <w:pPr>
        <w:spacing w:line="480" w:lineRule="auto"/>
        <w:jc w:val="both"/>
        <w:rPr>
          <w:rFonts w:ascii="Arial" w:hAnsi="Arial" w:cs="Arial"/>
          <w:b/>
          <w:bCs/>
        </w:rPr>
      </w:pPr>
    </w:p>
    <w:p w14:paraId="5E009D38" w14:textId="77777777" w:rsidR="00D56C91" w:rsidRPr="00D62E06" w:rsidRDefault="00D62E06" w:rsidP="00D56C91">
      <w:pPr>
        <w:spacing w:line="480" w:lineRule="auto"/>
        <w:jc w:val="both"/>
        <w:rPr>
          <w:rFonts w:ascii="Arial" w:hAnsi="Arial" w:cs="Arial"/>
          <w:b/>
          <w:bCs/>
        </w:rPr>
      </w:pPr>
      <w:r>
        <w:rPr>
          <w:rFonts w:ascii="Arial" w:hAnsi="Arial" w:cs="Arial"/>
          <w:b/>
          <w:bCs/>
        </w:rPr>
        <w:t>1.</w:t>
      </w:r>
      <w:r>
        <w:rPr>
          <w:rFonts w:ascii="Arial" w:hAnsi="Arial" w:cs="Arial"/>
          <w:b/>
          <w:bCs/>
        </w:rPr>
        <w:tab/>
      </w:r>
      <w:r w:rsidRPr="00D62E06">
        <w:rPr>
          <w:rFonts w:ascii="Arial" w:hAnsi="Arial" w:cs="Arial"/>
          <w:b/>
          <w:bCs/>
        </w:rPr>
        <w:t>INTRODUCTION</w:t>
      </w:r>
    </w:p>
    <w:p w14:paraId="589C43A9" w14:textId="77777777" w:rsidR="00EA61DA" w:rsidRPr="00D62E06" w:rsidRDefault="00EA61DA" w:rsidP="00EA61DA">
      <w:pPr>
        <w:spacing w:after="0" w:line="480" w:lineRule="auto"/>
        <w:jc w:val="both"/>
        <w:rPr>
          <w:rFonts w:ascii="Arial" w:hAnsi="Arial" w:cs="Arial"/>
          <w:sz w:val="20"/>
          <w:szCs w:val="20"/>
        </w:rPr>
      </w:pPr>
      <w:r w:rsidRPr="00D62E06">
        <w:rPr>
          <w:rFonts w:ascii="Arial" w:hAnsi="Arial" w:cs="Arial"/>
          <w:sz w:val="20"/>
          <w:szCs w:val="20"/>
        </w:rPr>
        <w:t>Processing of crude oil continues to be a dominant economic operation in Nigeria's Niger Delta, accounting for the majority of revenue and jobs generated within the nation. However, the environmental footprint has serious associated public health challenges, especially within communities near areas where refineries are located. In Rivers State's Tai Local Government Area (LGA) and Eleme Local Government Area, individuals live in direct neighborhoods near both state and artisanal refineries. These activities readily release pollutants in the form of gas flaring, uncontrolled effluent release, and hydrocarbon residue contaminating soil. Poisonous fumes include sulfur dioxide (SO</w:t>
      </w:r>
      <w:r w:rsidRPr="00D62E06">
        <w:rPr>
          <w:rFonts w:ascii="Cambria Math" w:hAnsi="Cambria Math" w:cs="Cambria Math"/>
          <w:sz w:val="20"/>
          <w:szCs w:val="20"/>
        </w:rPr>
        <w:t>₂</w:t>
      </w:r>
      <w:r w:rsidRPr="00D62E06">
        <w:rPr>
          <w:rFonts w:ascii="Arial" w:hAnsi="Arial" w:cs="Arial"/>
          <w:sz w:val="20"/>
          <w:szCs w:val="20"/>
        </w:rPr>
        <w:t xml:space="preserve">), nitrogen oxides (NOₓ), benzene, </w:t>
      </w:r>
      <w:r w:rsidRPr="00D62E06">
        <w:rPr>
          <w:rFonts w:ascii="Arial" w:hAnsi="Arial" w:cs="Arial"/>
          <w:sz w:val="20"/>
          <w:szCs w:val="20"/>
        </w:rPr>
        <w:lastRenderedPageBreak/>
        <w:t>volatile organic compounds (VOCs), and particulate matter all reported to be inimical to human health (1–3).</w:t>
      </w:r>
    </w:p>
    <w:p w14:paraId="7DDC8DD2" w14:textId="77777777" w:rsidR="00EA61DA" w:rsidRPr="00D62E06" w:rsidRDefault="00EA61DA" w:rsidP="00EA61DA">
      <w:pPr>
        <w:spacing w:after="0" w:line="480" w:lineRule="auto"/>
        <w:jc w:val="both"/>
        <w:rPr>
          <w:rFonts w:ascii="Arial" w:hAnsi="Arial" w:cs="Arial"/>
          <w:sz w:val="20"/>
          <w:szCs w:val="20"/>
        </w:rPr>
      </w:pPr>
      <w:r w:rsidRPr="00D62E06">
        <w:rPr>
          <w:rFonts w:ascii="Arial" w:hAnsi="Arial" w:cs="Arial"/>
          <w:sz w:val="20"/>
          <w:szCs w:val="20"/>
        </w:rPr>
        <w:t>Infants are one of the most vulnerable subpopulations that are exposed to these environmental toxins. Their physiological properties such as immature organ systems, high respiratory rate, thinner skin, and immature immune systems make them more sensitive to toxic exposures compared to adults. Numerous studies have proven a high incidence of respiratory manifestations, cutaneous diseases, gastrointestinal disorders, and developmental impairments in children living in communities within the vicinity of crude oil production and processing sites (4–6). Also, as infants are unable to express pain, symptom identification at the initial stage relies heavily on parental observation and sensitivity.</w:t>
      </w:r>
    </w:p>
    <w:p w14:paraId="1139B2EB" w14:textId="77777777" w:rsidR="00EA61DA" w:rsidRPr="00D62E06" w:rsidRDefault="00EA61DA" w:rsidP="00EA61DA">
      <w:pPr>
        <w:spacing w:after="0" w:line="480" w:lineRule="auto"/>
        <w:jc w:val="both"/>
        <w:rPr>
          <w:rFonts w:ascii="Arial" w:hAnsi="Arial" w:cs="Arial"/>
          <w:sz w:val="20"/>
          <w:szCs w:val="20"/>
        </w:rPr>
      </w:pPr>
      <w:r w:rsidRPr="00D62E06">
        <w:rPr>
          <w:rFonts w:ascii="Arial" w:hAnsi="Arial" w:cs="Arial"/>
          <w:sz w:val="20"/>
          <w:szCs w:val="20"/>
        </w:rPr>
        <w:t>Though oil pollution's long-standing health hazards are known, few of the affected populations have environmental health education. The air and water quality monitoring systems are weak, and public health systems' interventions are reactive in nature and rarely preventive. Thus, the caregiver, primarily the parent, formally ends up with informally taking on the responsibility of finding out and responding to pollution-related signs. Parents' knowledge of environmental hazards and their possible impacts on child health in rural and semi-urban areas of the Niger Delta is not well studied and under-addressed (7,8).</w:t>
      </w:r>
    </w:p>
    <w:p w14:paraId="6D919E23" w14:textId="77777777" w:rsidR="00EA61DA" w:rsidRPr="00D62E06" w:rsidRDefault="00EA61DA" w:rsidP="00EA61DA">
      <w:pPr>
        <w:spacing w:after="0" w:line="480" w:lineRule="auto"/>
        <w:jc w:val="both"/>
        <w:rPr>
          <w:rFonts w:ascii="Arial" w:hAnsi="Arial" w:cs="Arial"/>
          <w:sz w:val="20"/>
          <w:szCs w:val="20"/>
        </w:rPr>
      </w:pPr>
      <w:r w:rsidRPr="00D62E06">
        <w:rPr>
          <w:rFonts w:ascii="Arial" w:hAnsi="Arial" w:cs="Arial"/>
          <w:sz w:val="20"/>
          <w:szCs w:val="20"/>
        </w:rPr>
        <w:t>It is crucial to have knowledge of parental awareness for several reasons. Firstly, it determines whether the caregivers can perceive and interpret environmental signals   such as pungent odors, colored water, or poor agricultural yields   as environmental cues. Secondly, it determines whether parents associate clinical presentations of persistent coughing, red eyes, and baby rashes with environmental cause. Third, it helps identify areas of knowledge gaps to be addressed by public health campaigns. Awareness is the first step towards the practice of preventive behaviors, access to timely medical care, and environmental activism.</w:t>
      </w:r>
    </w:p>
    <w:p w14:paraId="066C8A79" w14:textId="77777777" w:rsidR="00D56C91" w:rsidRPr="00D62E06" w:rsidRDefault="00EA61DA" w:rsidP="00EA61DA">
      <w:pPr>
        <w:spacing w:after="0" w:line="480" w:lineRule="auto"/>
        <w:jc w:val="both"/>
        <w:rPr>
          <w:rFonts w:ascii="Arial" w:hAnsi="Arial" w:cs="Arial"/>
          <w:sz w:val="20"/>
          <w:szCs w:val="20"/>
        </w:rPr>
      </w:pPr>
      <w:r w:rsidRPr="00D62E06">
        <w:rPr>
          <w:rFonts w:ascii="Arial" w:hAnsi="Arial" w:cs="Arial"/>
          <w:sz w:val="20"/>
          <w:szCs w:val="20"/>
        </w:rPr>
        <w:t>This research assesses the extent of environmental health awareness among parents of infant children in Tai and Eleme LGAs. Specifically, it assesses their awareness of causes of pollution and their associated risk, and how this affects the early detection of signs of bad health among children. The outcome of the research is anticipated to inform policymakers, healthcare professionals, and non-governmental organizations in their capacity to mitigate the impact on health from crude oil pollution through grassroots activities and sensitization</w:t>
      </w:r>
      <w:r w:rsidR="00D56C91" w:rsidRPr="00D62E06">
        <w:rPr>
          <w:rFonts w:ascii="Arial" w:hAnsi="Arial" w:cs="Arial"/>
          <w:sz w:val="20"/>
          <w:szCs w:val="20"/>
        </w:rPr>
        <w:t>.</w:t>
      </w:r>
    </w:p>
    <w:p w14:paraId="0D08EAD9" w14:textId="77777777" w:rsidR="00C42114" w:rsidRPr="00D62E06" w:rsidRDefault="00D62E06" w:rsidP="00EA61DA">
      <w:pPr>
        <w:spacing w:after="0" w:line="480" w:lineRule="auto"/>
        <w:jc w:val="both"/>
        <w:rPr>
          <w:rFonts w:ascii="Arial" w:hAnsi="Arial" w:cs="Arial"/>
          <w:b/>
          <w:bCs/>
          <w:sz w:val="20"/>
          <w:szCs w:val="20"/>
        </w:rPr>
      </w:pPr>
      <w:r>
        <w:rPr>
          <w:rFonts w:ascii="Arial" w:hAnsi="Arial" w:cs="Arial"/>
          <w:b/>
          <w:bCs/>
          <w:sz w:val="20"/>
          <w:szCs w:val="20"/>
        </w:rPr>
        <w:lastRenderedPageBreak/>
        <w:t>2.</w:t>
      </w:r>
      <w:r>
        <w:rPr>
          <w:rFonts w:ascii="Arial" w:hAnsi="Arial" w:cs="Arial"/>
          <w:b/>
          <w:bCs/>
          <w:sz w:val="20"/>
          <w:szCs w:val="20"/>
        </w:rPr>
        <w:tab/>
      </w:r>
      <w:r w:rsidRPr="00D62E06">
        <w:rPr>
          <w:rFonts w:ascii="Arial" w:hAnsi="Arial" w:cs="Arial"/>
          <w:b/>
          <w:bCs/>
          <w:sz w:val="20"/>
          <w:szCs w:val="20"/>
        </w:rPr>
        <w:t>METHODOLOGY</w:t>
      </w:r>
    </w:p>
    <w:p w14:paraId="2A2644B9" w14:textId="77777777" w:rsidR="00C42114" w:rsidRPr="00D62E06" w:rsidRDefault="00D62E06" w:rsidP="00C42114">
      <w:pPr>
        <w:spacing w:line="480" w:lineRule="auto"/>
        <w:jc w:val="both"/>
        <w:rPr>
          <w:rFonts w:ascii="Arial" w:hAnsi="Arial" w:cs="Arial"/>
          <w:b/>
          <w:bCs/>
          <w:sz w:val="20"/>
          <w:szCs w:val="20"/>
        </w:rPr>
      </w:pPr>
      <w:r>
        <w:rPr>
          <w:rFonts w:ascii="Arial" w:hAnsi="Arial" w:cs="Arial"/>
          <w:b/>
          <w:bCs/>
          <w:sz w:val="20"/>
          <w:szCs w:val="20"/>
        </w:rPr>
        <w:t>2.1</w:t>
      </w:r>
      <w:r>
        <w:rPr>
          <w:rFonts w:ascii="Arial" w:hAnsi="Arial" w:cs="Arial"/>
          <w:b/>
          <w:bCs/>
          <w:sz w:val="20"/>
          <w:szCs w:val="20"/>
        </w:rPr>
        <w:tab/>
      </w:r>
      <w:r w:rsidR="00C42114" w:rsidRPr="00D62E06">
        <w:rPr>
          <w:rFonts w:ascii="Arial" w:hAnsi="Arial" w:cs="Arial"/>
          <w:b/>
          <w:bCs/>
          <w:sz w:val="20"/>
          <w:szCs w:val="20"/>
        </w:rPr>
        <w:t>Study Design and Location</w:t>
      </w:r>
    </w:p>
    <w:p w14:paraId="19274866" w14:textId="77777777" w:rsidR="00C42114" w:rsidRPr="00D62E06" w:rsidRDefault="00BA3B2A" w:rsidP="00C42114">
      <w:pPr>
        <w:spacing w:line="480" w:lineRule="auto"/>
        <w:jc w:val="both"/>
        <w:rPr>
          <w:rFonts w:ascii="Arial" w:hAnsi="Arial" w:cs="Arial"/>
          <w:bCs/>
          <w:sz w:val="20"/>
          <w:szCs w:val="20"/>
        </w:rPr>
      </w:pPr>
      <w:r w:rsidRPr="00D62E06">
        <w:rPr>
          <w:rFonts w:ascii="Arial" w:hAnsi="Arial" w:cs="Arial"/>
          <w:bCs/>
          <w:sz w:val="20"/>
          <w:szCs w:val="20"/>
        </w:rPr>
        <w:t>This study used a descriptive cross-sectional survey to find out the level of awareness by parents on environmental pollution and potential health effects on infants. This study was carried out in two petroleum-producing Local Government Areas (LGAs) of Rivers State known as Eleme and Tai. These two are situated in the Niger Delta region and are well known hotspots for petroleum refining activities, both official and artisanal. Eleme and Tai LGAs were the strategic selections because of their reported environmental effects of crude oil production over the long term, gas flaring, and dumping of waste into the environments</w:t>
      </w:r>
      <w:r w:rsidR="00C42114" w:rsidRPr="00D62E06">
        <w:rPr>
          <w:rFonts w:ascii="Arial" w:hAnsi="Arial" w:cs="Arial"/>
          <w:bCs/>
          <w:sz w:val="20"/>
          <w:szCs w:val="20"/>
        </w:rPr>
        <w:t>.</w:t>
      </w:r>
    </w:p>
    <w:p w14:paraId="131126B5" w14:textId="77777777" w:rsidR="00C42114" w:rsidRPr="00D62E06" w:rsidRDefault="00D62E06" w:rsidP="00C42114">
      <w:pPr>
        <w:spacing w:line="480" w:lineRule="auto"/>
        <w:jc w:val="both"/>
        <w:rPr>
          <w:rFonts w:ascii="Arial" w:hAnsi="Arial" w:cs="Arial"/>
          <w:b/>
          <w:bCs/>
          <w:sz w:val="20"/>
          <w:szCs w:val="20"/>
        </w:rPr>
      </w:pPr>
      <w:r>
        <w:rPr>
          <w:rFonts w:ascii="Arial" w:hAnsi="Arial" w:cs="Arial"/>
          <w:b/>
          <w:bCs/>
          <w:sz w:val="20"/>
          <w:szCs w:val="20"/>
        </w:rPr>
        <w:t>2.1.1</w:t>
      </w:r>
      <w:r>
        <w:rPr>
          <w:rFonts w:ascii="Arial" w:hAnsi="Arial" w:cs="Arial"/>
          <w:b/>
          <w:bCs/>
          <w:sz w:val="20"/>
          <w:szCs w:val="20"/>
        </w:rPr>
        <w:tab/>
      </w:r>
      <w:r w:rsidR="00C42114" w:rsidRPr="00D62E06">
        <w:rPr>
          <w:rFonts w:ascii="Arial" w:hAnsi="Arial" w:cs="Arial"/>
          <w:b/>
          <w:bCs/>
          <w:sz w:val="20"/>
          <w:szCs w:val="20"/>
        </w:rPr>
        <w:t>Study Population and Eligibility Criteria</w:t>
      </w:r>
    </w:p>
    <w:p w14:paraId="1406A355" w14:textId="77777777" w:rsidR="00C42114" w:rsidRPr="00D62E06" w:rsidRDefault="00C42114" w:rsidP="00C42114">
      <w:pPr>
        <w:spacing w:line="480" w:lineRule="auto"/>
        <w:jc w:val="both"/>
        <w:rPr>
          <w:rFonts w:ascii="Arial" w:hAnsi="Arial" w:cs="Arial"/>
          <w:bCs/>
          <w:sz w:val="20"/>
          <w:szCs w:val="20"/>
        </w:rPr>
      </w:pPr>
      <w:r w:rsidRPr="00D62E06">
        <w:rPr>
          <w:rFonts w:ascii="Arial" w:hAnsi="Arial" w:cs="Arial"/>
          <w:bCs/>
          <w:sz w:val="20"/>
          <w:szCs w:val="20"/>
        </w:rPr>
        <w:t>The target population comprised biological parents (fathers and mothers) of infants aged 0 to 12 months residing in communities located within a five-kilometer radius of any active crude oil refining site. Eligibility criteria included permanent residency in the study areas for a minimum of one year and active caregiving responsibility for an infant. Exclusion criteria were temporary visitors, caregivers who were not biological parents, and individuals unable to provide informed consent or complete the questionnaire due to language or cognitive limitations.</w:t>
      </w:r>
    </w:p>
    <w:p w14:paraId="5DB4A27C" w14:textId="77777777" w:rsidR="00C42114" w:rsidRPr="00D62E06" w:rsidRDefault="00D62E06" w:rsidP="00C42114">
      <w:pPr>
        <w:spacing w:line="480" w:lineRule="auto"/>
        <w:jc w:val="both"/>
        <w:rPr>
          <w:rFonts w:ascii="Arial" w:hAnsi="Arial" w:cs="Arial"/>
          <w:b/>
          <w:bCs/>
          <w:sz w:val="20"/>
          <w:szCs w:val="20"/>
        </w:rPr>
      </w:pPr>
      <w:r>
        <w:rPr>
          <w:rFonts w:ascii="Arial" w:hAnsi="Arial" w:cs="Arial"/>
          <w:b/>
          <w:bCs/>
          <w:sz w:val="20"/>
          <w:szCs w:val="20"/>
        </w:rPr>
        <w:t>2.1.2</w:t>
      </w:r>
      <w:r>
        <w:rPr>
          <w:rFonts w:ascii="Arial" w:hAnsi="Arial" w:cs="Arial"/>
          <w:b/>
          <w:bCs/>
          <w:sz w:val="20"/>
          <w:szCs w:val="20"/>
        </w:rPr>
        <w:tab/>
      </w:r>
      <w:r w:rsidR="00C42114" w:rsidRPr="00D62E06">
        <w:rPr>
          <w:rFonts w:ascii="Arial" w:hAnsi="Arial" w:cs="Arial"/>
          <w:b/>
          <w:bCs/>
          <w:sz w:val="20"/>
          <w:szCs w:val="20"/>
        </w:rPr>
        <w:t>Sample Size Determination and Sampling Technique</w:t>
      </w:r>
    </w:p>
    <w:p w14:paraId="75CA4822" w14:textId="77777777" w:rsidR="00C42114" w:rsidRPr="00D62E06" w:rsidRDefault="00C42114" w:rsidP="00C42114">
      <w:pPr>
        <w:spacing w:line="480" w:lineRule="auto"/>
        <w:jc w:val="both"/>
        <w:rPr>
          <w:rFonts w:ascii="Arial" w:hAnsi="Arial" w:cs="Arial"/>
          <w:bCs/>
          <w:sz w:val="20"/>
          <w:szCs w:val="20"/>
        </w:rPr>
      </w:pPr>
      <w:r w:rsidRPr="00D62E06">
        <w:rPr>
          <w:rFonts w:ascii="Arial" w:hAnsi="Arial" w:cs="Arial"/>
          <w:bCs/>
          <w:sz w:val="20"/>
          <w:szCs w:val="20"/>
        </w:rPr>
        <w:t>A total of 400 questionnaires were administered using a multistage sampling approach. In the first stage, Eleme and Tai LGAs were purposively selected due to their high exposure to refining activities. The second stage involved random selection of four communities from each LGA. In the final stage, systematic random sampling was applied to select households within each community. At the household level, eligible parents were identified and invited to participate. After validation, 357 questionnaires (177 from Eleme and 180 from Tai) were returned and considered valid for analysis, resulting in a response rate of 89.25%.</w:t>
      </w:r>
    </w:p>
    <w:p w14:paraId="6C3E3F6D" w14:textId="77777777" w:rsidR="00C42114" w:rsidRPr="00D62E06" w:rsidRDefault="00D62E06" w:rsidP="00C42114">
      <w:pPr>
        <w:spacing w:line="480" w:lineRule="auto"/>
        <w:jc w:val="both"/>
        <w:rPr>
          <w:rFonts w:ascii="Arial" w:hAnsi="Arial" w:cs="Arial"/>
          <w:b/>
          <w:bCs/>
          <w:sz w:val="20"/>
          <w:szCs w:val="20"/>
        </w:rPr>
      </w:pPr>
      <w:r>
        <w:rPr>
          <w:rFonts w:ascii="Arial" w:hAnsi="Arial" w:cs="Arial"/>
          <w:b/>
          <w:bCs/>
          <w:sz w:val="20"/>
          <w:szCs w:val="20"/>
        </w:rPr>
        <w:t>2.1.3</w:t>
      </w:r>
      <w:r>
        <w:rPr>
          <w:rFonts w:ascii="Arial" w:hAnsi="Arial" w:cs="Arial"/>
          <w:b/>
          <w:bCs/>
          <w:sz w:val="20"/>
          <w:szCs w:val="20"/>
        </w:rPr>
        <w:tab/>
      </w:r>
      <w:r w:rsidR="00C42114" w:rsidRPr="00D62E06">
        <w:rPr>
          <w:rFonts w:ascii="Arial" w:hAnsi="Arial" w:cs="Arial"/>
          <w:b/>
          <w:bCs/>
          <w:sz w:val="20"/>
          <w:szCs w:val="20"/>
        </w:rPr>
        <w:t>Data Collection Instrument</w:t>
      </w:r>
    </w:p>
    <w:p w14:paraId="2B143B33" w14:textId="77777777" w:rsidR="00C42114" w:rsidRPr="00D62E06" w:rsidRDefault="00C42114" w:rsidP="00C42114">
      <w:pPr>
        <w:spacing w:line="480" w:lineRule="auto"/>
        <w:jc w:val="both"/>
        <w:rPr>
          <w:rFonts w:ascii="Arial" w:hAnsi="Arial" w:cs="Arial"/>
          <w:bCs/>
          <w:sz w:val="20"/>
          <w:szCs w:val="20"/>
        </w:rPr>
      </w:pPr>
      <w:r w:rsidRPr="00D62E06">
        <w:rPr>
          <w:rFonts w:ascii="Arial" w:hAnsi="Arial" w:cs="Arial"/>
          <w:bCs/>
          <w:sz w:val="20"/>
          <w:szCs w:val="20"/>
        </w:rPr>
        <w:lastRenderedPageBreak/>
        <w:t>A structured, interviewer-administered questionnaire was developed based on a literature review of similar environmental health studies in polluted regions. The instrument comprised four sections: (1) socio-demographic information, (2) awareness of environmental pollution sources (air, water, and soil), (3) knowledge of environmental symptoms (e.g., odor, water discoloration), and (4) perceived health impacts on infants. The questionnaire was pre-tested in a demographically similar LGA (</w:t>
      </w:r>
      <w:proofErr w:type="spellStart"/>
      <w:r w:rsidRPr="00D62E06">
        <w:rPr>
          <w:rFonts w:ascii="Arial" w:hAnsi="Arial" w:cs="Arial"/>
          <w:bCs/>
          <w:sz w:val="20"/>
          <w:szCs w:val="20"/>
        </w:rPr>
        <w:t>Etche</w:t>
      </w:r>
      <w:proofErr w:type="spellEnd"/>
      <w:r w:rsidRPr="00D62E06">
        <w:rPr>
          <w:rFonts w:ascii="Arial" w:hAnsi="Arial" w:cs="Arial"/>
          <w:bCs/>
          <w:sz w:val="20"/>
          <w:szCs w:val="20"/>
        </w:rPr>
        <w:t>) and refined for clarity and relevance. Internal consistency testing using Cronbach’s alpha yielded a reliability score of 0.82.</w:t>
      </w:r>
    </w:p>
    <w:p w14:paraId="422FDE15" w14:textId="77777777" w:rsidR="00C42114" w:rsidRPr="00D62E06" w:rsidRDefault="00D62E06" w:rsidP="00C42114">
      <w:pPr>
        <w:spacing w:line="480" w:lineRule="auto"/>
        <w:jc w:val="both"/>
        <w:rPr>
          <w:rFonts w:ascii="Arial" w:hAnsi="Arial" w:cs="Arial"/>
          <w:b/>
          <w:bCs/>
          <w:sz w:val="20"/>
          <w:szCs w:val="20"/>
        </w:rPr>
      </w:pPr>
      <w:r>
        <w:rPr>
          <w:rFonts w:ascii="Arial" w:hAnsi="Arial" w:cs="Arial"/>
          <w:b/>
          <w:bCs/>
          <w:sz w:val="20"/>
          <w:szCs w:val="20"/>
        </w:rPr>
        <w:t>2.1.4</w:t>
      </w:r>
      <w:r>
        <w:rPr>
          <w:rFonts w:ascii="Arial" w:hAnsi="Arial" w:cs="Arial"/>
          <w:b/>
          <w:bCs/>
          <w:sz w:val="20"/>
          <w:szCs w:val="20"/>
        </w:rPr>
        <w:tab/>
      </w:r>
      <w:r w:rsidR="00C42114" w:rsidRPr="00D62E06">
        <w:rPr>
          <w:rFonts w:ascii="Arial" w:hAnsi="Arial" w:cs="Arial"/>
          <w:b/>
          <w:bCs/>
          <w:sz w:val="20"/>
          <w:szCs w:val="20"/>
        </w:rPr>
        <w:t>Data Collection Procedure</w:t>
      </w:r>
    </w:p>
    <w:p w14:paraId="41679B34" w14:textId="77777777" w:rsidR="00C42114" w:rsidRPr="00D62E06" w:rsidRDefault="00C42114" w:rsidP="00C42114">
      <w:pPr>
        <w:spacing w:line="480" w:lineRule="auto"/>
        <w:jc w:val="both"/>
        <w:rPr>
          <w:rFonts w:ascii="Arial" w:hAnsi="Arial" w:cs="Arial"/>
          <w:bCs/>
          <w:sz w:val="20"/>
          <w:szCs w:val="20"/>
        </w:rPr>
      </w:pPr>
      <w:r w:rsidRPr="00D62E06">
        <w:rPr>
          <w:rFonts w:ascii="Arial" w:hAnsi="Arial" w:cs="Arial"/>
          <w:bCs/>
          <w:sz w:val="20"/>
          <w:szCs w:val="20"/>
        </w:rPr>
        <w:t>Data were collected over a two-month period (January–February 2024) by trained public health research assistants fluent in both English and local dialects. The questionnaire was administered in respondents' homes to minimize non-response and enhance data reliability. Written informed consent was obtained before participation.</w:t>
      </w:r>
    </w:p>
    <w:p w14:paraId="3EB9EFFC" w14:textId="77777777" w:rsidR="00C42114" w:rsidRPr="00D62E06" w:rsidRDefault="00D62E06" w:rsidP="00C42114">
      <w:pPr>
        <w:spacing w:line="480" w:lineRule="auto"/>
        <w:jc w:val="both"/>
        <w:rPr>
          <w:rFonts w:ascii="Arial" w:hAnsi="Arial" w:cs="Arial"/>
          <w:b/>
          <w:bCs/>
          <w:sz w:val="20"/>
          <w:szCs w:val="20"/>
        </w:rPr>
      </w:pPr>
      <w:r>
        <w:rPr>
          <w:rFonts w:ascii="Arial" w:hAnsi="Arial" w:cs="Arial"/>
          <w:b/>
          <w:bCs/>
          <w:sz w:val="20"/>
          <w:szCs w:val="20"/>
        </w:rPr>
        <w:t>2.1.5</w:t>
      </w:r>
      <w:r>
        <w:rPr>
          <w:rFonts w:ascii="Arial" w:hAnsi="Arial" w:cs="Arial"/>
          <w:b/>
          <w:bCs/>
          <w:sz w:val="20"/>
          <w:szCs w:val="20"/>
        </w:rPr>
        <w:tab/>
      </w:r>
      <w:r w:rsidR="00C42114" w:rsidRPr="00D62E06">
        <w:rPr>
          <w:rFonts w:ascii="Arial" w:hAnsi="Arial" w:cs="Arial"/>
          <w:b/>
          <w:bCs/>
          <w:sz w:val="20"/>
          <w:szCs w:val="20"/>
        </w:rPr>
        <w:t>Data Analysis</w:t>
      </w:r>
    </w:p>
    <w:p w14:paraId="7E386511" w14:textId="77777777" w:rsidR="00C42114" w:rsidRPr="00D62E06" w:rsidRDefault="00C42114" w:rsidP="00C42114">
      <w:pPr>
        <w:spacing w:line="480" w:lineRule="auto"/>
        <w:jc w:val="both"/>
        <w:rPr>
          <w:rFonts w:ascii="Arial" w:hAnsi="Arial" w:cs="Arial"/>
          <w:bCs/>
          <w:sz w:val="20"/>
          <w:szCs w:val="20"/>
        </w:rPr>
      </w:pPr>
      <w:r w:rsidRPr="00D62E06">
        <w:rPr>
          <w:rFonts w:ascii="Arial" w:hAnsi="Arial" w:cs="Arial"/>
          <w:bCs/>
          <w:sz w:val="20"/>
          <w:szCs w:val="20"/>
        </w:rPr>
        <w:t>Data were entered and analyzed using IBM SPSS version 28. Descriptive statistics such as frequencies, means, and percentages were used to summarize demographic and awareness variables. Likert-scale responses were analyzed using Weighted Averages (WA) to assess knowledge intensity. WA values ≥2.50 on a 4-point scale indicated sufficient awareness. Inferential statistics including ANOVA were used to test for differences in awareness by gender, education, and age. Statistical significance was set at p &lt; 0.05.</w:t>
      </w:r>
    </w:p>
    <w:p w14:paraId="548A4B2A" w14:textId="77777777" w:rsidR="00C42114" w:rsidRPr="00D62E06" w:rsidRDefault="00D62E06" w:rsidP="00C42114">
      <w:pPr>
        <w:spacing w:line="480" w:lineRule="auto"/>
        <w:jc w:val="both"/>
        <w:rPr>
          <w:rFonts w:ascii="Arial" w:hAnsi="Arial" w:cs="Arial"/>
          <w:b/>
          <w:bCs/>
          <w:sz w:val="20"/>
          <w:szCs w:val="20"/>
        </w:rPr>
      </w:pPr>
      <w:r>
        <w:rPr>
          <w:rFonts w:ascii="Arial" w:hAnsi="Arial" w:cs="Arial"/>
          <w:b/>
          <w:bCs/>
          <w:sz w:val="20"/>
          <w:szCs w:val="20"/>
        </w:rPr>
        <w:t>2.1.6</w:t>
      </w:r>
      <w:r>
        <w:rPr>
          <w:rFonts w:ascii="Arial" w:hAnsi="Arial" w:cs="Arial"/>
          <w:b/>
          <w:bCs/>
          <w:sz w:val="20"/>
          <w:szCs w:val="20"/>
        </w:rPr>
        <w:tab/>
      </w:r>
      <w:r w:rsidR="00C42114" w:rsidRPr="00D62E06">
        <w:rPr>
          <w:rFonts w:ascii="Arial" w:hAnsi="Arial" w:cs="Arial"/>
          <w:b/>
          <w:bCs/>
          <w:sz w:val="20"/>
          <w:szCs w:val="20"/>
        </w:rPr>
        <w:t>Ethical Considerations</w:t>
      </w:r>
    </w:p>
    <w:p w14:paraId="58726C30" w14:textId="77777777" w:rsidR="00D56C91" w:rsidRPr="00D62E06" w:rsidRDefault="00C42114" w:rsidP="00C42114">
      <w:pPr>
        <w:spacing w:line="480" w:lineRule="auto"/>
        <w:jc w:val="both"/>
        <w:rPr>
          <w:rFonts w:ascii="Arial" w:hAnsi="Arial" w:cs="Arial"/>
          <w:sz w:val="20"/>
          <w:szCs w:val="20"/>
        </w:rPr>
      </w:pPr>
      <w:r w:rsidRPr="00D62E06">
        <w:rPr>
          <w:rFonts w:ascii="Arial" w:hAnsi="Arial" w:cs="Arial"/>
          <w:bCs/>
          <w:sz w:val="20"/>
          <w:szCs w:val="20"/>
        </w:rPr>
        <w:t>Ethical clearance was obtained from the Institutional Review Board of [Insert University or Health Research Ethics Committee Name]. All participants were assured of the confidentiality of their responses and informed of their right to withdraw at any stage without consequence. Personal identifiers were not collected, and data were securely stored</w:t>
      </w:r>
      <w:r w:rsidR="00D56C91" w:rsidRPr="00D62E06">
        <w:rPr>
          <w:rFonts w:ascii="Arial" w:hAnsi="Arial" w:cs="Arial"/>
          <w:sz w:val="20"/>
          <w:szCs w:val="20"/>
        </w:rPr>
        <w:t>.</w:t>
      </w:r>
    </w:p>
    <w:p w14:paraId="38AD56CA" w14:textId="77777777" w:rsidR="00D56C91" w:rsidRPr="00D62E06" w:rsidRDefault="00D56C91" w:rsidP="00D56C91">
      <w:pPr>
        <w:spacing w:line="480" w:lineRule="auto"/>
        <w:jc w:val="both"/>
        <w:rPr>
          <w:rFonts w:ascii="Arial" w:hAnsi="Arial" w:cs="Arial"/>
          <w:sz w:val="20"/>
          <w:szCs w:val="20"/>
        </w:rPr>
      </w:pPr>
    </w:p>
    <w:p w14:paraId="6CE745B1" w14:textId="77777777" w:rsidR="00D62E06" w:rsidRDefault="00D62E06" w:rsidP="00D62E06">
      <w:pPr>
        <w:pStyle w:val="Head1"/>
        <w:spacing w:after="0"/>
        <w:jc w:val="both"/>
        <w:rPr>
          <w:rFonts w:ascii="Arial" w:hAnsi="Arial" w:cs="Arial"/>
        </w:rPr>
      </w:pPr>
      <w:r>
        <w:rPr>
          <w:rFonts w:ascii="Arial" w:hAnsi="Arial" w:cs="Arial"/>
        </w:rPr>
        <w:lastRenderedPageBreak/>
        <w:t>3</w:t>
      </w:r>
      <w:r w:rsidR="00ED1CAE">
        <w:rPr>
          <w:rFonts w:ascii="Arial" w:hAnsi="Arial" w:cs="Arial"/>
        </w:rPr>
        <w:t>.</w:t>
      </w:r>
      <w:r w:rsidR="00ED1CAE">
        <w:rPr>
          <w:rFonts w:ascii="Arial" w:hAnsi="Arial" w:cs="Arial"/>
        </w:rPr>
        <w:tab/>
      </w:r>
      <w:r>
        <w:rPr>
          <w:rFonts w:ascii="Arial" w:hAnsi="Arial" w:cs="Arial"/>
        </w:rPr>
        <w:t>results and discussion</w:t>
      </w:r>
    </w:p>
    <w:p w14:paraId="7F698DFC" w14:textId="77777777" w:rsidR="00D62E06" w:rsidRDefault="00D62E06" w:rsidP="00C42114">
      <w:pPr>
        <w:spacing w:line="480" w:lineRule="auto"/>
        <w:jc w:val="both"/>
        <w:rPr>
          <w:rFonts w:ascii="Arial" w:hAnsi="Arial" w:cs="Arial"/>
          <w:b/>
          <w:bCs/>
          <w:sz w:val="20"/>
          <w:szCs w:val="20"/>
        </w:rPr>
      </w:pPr>
    </w:p>
    <w:p w14:paraId="0F78F1F6" w14:textId="77777777" w:rsidR="00C42114" w:rsidRPr="00D62E06" w:rsidRDefault="00AB3C8B" w:rsidP="00C42114">
      <w:pPr>
        <w:spacing w:line="480" w:lineRule="auto"/>
        <w:jc w:val="both"/>
        <w:rPr>
          <w:rFonts w:ascii="Arial" w:hAnsi="Arial" w:cs="Arial"/>
          <w:b/>
          <w:bCs/>
          <w:sz w:val="20"/>
          <w:szCs w:val="20"/>
        </w:rPr>
      </w:pPr>
      <w:r>
        <w:rPr>
          <w:rFonts w:ascii="Arial" w:hAnsi="Arial" w:cs="Arial"/>
          <w:b/>
          <w:bCs/>
          <w:sz w:val="20"/>
          <w:szCs w:val="20"/>
        </w:rPr>
        <w:t>3.1</w:t>
      </w:r>
      <w:r>
        <w:rPr>
          <w:rFonts w:ascii="Arial" w:hAnsi="Arial" w:cs="Arial"/>
          <w:b/>
          <w:bCs/>
          <w:sz w:val="20"/>
          <w:szCs w:val="20"/>
        </w:rPr>
        <w:tab/>
      </w:r>
      <w:r w:rsidR="00C42114" w:rsidRPr="00D62E06">
        <w:rPr>
          <w:rFonts w:ascii="Arial" w:hAnsi="Arial" w:cs="Arial"/>
          <w:b/>
          <w:bCs/>
          <w:sz w:val="20"/>
          <w:szCs w:val="20"/>
        </w:rPr>
        <w:t>Response Rate</w:t>
      </w:r>
    </w:p>
    <w:p w14:paraId="2DE7361F" w14:textId="77777777" w:rsidR="00C42114" w:rsidRPr="00D62E06" w:rsidRDefault="00C42114" w:rsidP="00C42114">
      <w:pPr>
        <w:spacing w:line="480" w:lineRule="auto"/>
        <w:jc w:val="both"/>
        <w:rPr>
          <w:rFonts w:ascii="Arial" w:hAnsi="Arial" w:cs="Arial"/>
          <w:sz w:val="20"/>
          <w:szCs w:val="20"/>
        </w:rPr>
      </w:pPr>
      <w:r w:rsidRPr="00D62E06">
        <w:rPr>
          <w:rFonts w:ascii="Arial" w:hAnsi="Arial" w:cs="Arial"/>
          <w:sz w:val="20"/>
          <w:szCs w:val="20"/>
        </w:rPr>
        <w:t xml:space="preserve">A total of 400 structured questionnaires were administered across households in Eleme and Tai Local Government Areas (LGAs) of Rivers State. Of these, 357 were returned valid and complete, resulting in a high response rate of </w:t>
      </w:r>
      <w:r w:rsidRPr="00D62E06">
        <w:rPr>
          <w:rFonts w:ascii="Arial" w:hAnsi="Arial" w:cs="Arial"/>
          <w:b/>
          <w:bCs/>
          <w:sz w:val="20"/>
          <w:szCs w:val="20"/>
        </w:rPr>
        <w:t>89.25%</w:t>
      </w:r>
      <w:r w:rsidRPr="00D62E06">
        <w:rPr>
          <w:rFonts w:ascii="Arial" w:hAnsi="Arial" w:cs="Arial"/>
          <w:sz w:val="20"/>
          <w:szCs w:val="20"/>
        </w:rPr>
        <w:t>. Specifically, 177 valid responses were collected from Eleme LGA and 180 from Tai LGA.</w:t>
      </w:r>
    </w:p>
    <w:p w14:paraId="1A140F3E" w14:textId="77777777" w:rsidR="00C42114" w:rsidRPr="00D62E06" w:rsidRDefault="00AB3C8B" w:rsidP="00C42114">
      <w:pPr>
        <w:spacing w:line="480" w:lineRule="auto"/>
        <w:jc w:val="both"/>
        <w:rPr>
          <w:rFonts w:ascii="Arial" w:hAnsi="Arial" w:cs="Arial"/>
          <w:b/>
          <w:bCs/>
          <w:sz w:val="20"/>
          <w:szCs w:val="20"/>
        </w:rPr>
      </w:pPr>
      <w:r>
        <w:rPr>
          <w:rFonts w:ascii="Arial" w:hAnsi="Arial" w:cs="Arial"/>
          <w:b/>
          <w:bCs/>
          <w:sz w:val="20"/>
          <w:szCs w:val="20"/>
        </w:rPr>
        <w:t>3.2</w:t>
      </w:r>
      <w:r>
        <w:rPr>
          <w:rFonts w:ascii="Arial" w:hAnsi="Arial" w:cs="Arial"/>
          <w:b/>
          <w:bCs/>
          <w:sz w:val="20"/>
          <w:szCs w:val="20"/>
        </w:rPr>
        <w:tab/>
      </w:r>
      <w:r w:rsidR="00C42114" w:rsidRPr="00D62E06">
        <w:rPr>
          <w:rFonts w:ascii="Arial" w:hAnsi="Arial" w:cs="Arial"/>
          <w:b/>
          <w:bCs/>
          <w:sz w:val="20"/>
          <w:szCs w:val="20"/>
        </w:rPr>
        <w:t>Demographic Characteristics of Respondents</w:t>
      </w:r>
    </w:p>
    <w:p w14:paraId="0E99780C" w14:textId="77777777" w:rsidR="00C42114" w:rsidRPr="00D62E06" w:rsidRDefault="00C42114" w:rsidP="00C42114">
      <w:pPr>
        <w:spacing w:line="480" w:lineRule="auto"/>
        <w:jc w:val="both"/>
        <w:rPr>
          <w:rFonts w:ascii="Arial" w:hAnsi="Arial" w:cs="Arial"/>
          <w:sz w:val="20"/>
          <w:szCs w:val="20"/>
        </w:rPr>
      </w:pPr>
      <w:r w:rsidRPr="00D62E06">
        <w:rPr>
          <w:rFonts w:ascii="Arial" w:hAnsi="Arial" w:cs="Arial"/>
          <w:sz w:val="20"/>
          <w:szCs w:val="20"/>
        </w:rPr>
        <w:t xml:space="preserve">The socio-demographic characteristics of the parents who participated in the study are presented in Table 1. Gender distribution revealed that </w:t>
      </w:r>
      <w:r w:rsidRPr="00D62E06">
        <w:rPr>
          <w:rFonts w:ascii="Arial" w:hAnsi="Arial" w:cs="Arial"/>
          <w:bCs/>
          <w:sz w:val="20"/>
          <w:szCs w:val="20"/>
        </w:rPr>
        <w:t>52.70%</w:t>
      </w:r>
      <w:r w:rsidRPr="00D62E06">
        <w:rPr>
          <w:rFonts w:ascii="Arial" w:hAnsi="Arial" w:cs="Arial"/>
          <w:sz w:val="20"/>
          <w:szCs w:val="20"/>
        </w:rPr>
        <w:t xml:space="preserve"> of respondents were female (n = 188), while males constituted 47.30% (n = 169). The preponderance of mothers in the sample reflects domestic presence during survey hours, while male respondents were often accessed at their workplaces.</w:t>
      </w:r>
    </w:p>
    <w:p w14:paraId="309F1284" w14:textId="77777777" w:rsidR="00C42114" w:rsidRPr="00D62E06" w:rsidRDefault="00C42114" w:rsidP="00C42114">
      <w:pPr>
        <w:spacing w:line="480" w:lineRule="auto"/>
        <w:jc w:val="both"/>
        <w:rPr>
          <w:rFonts w:ascii="Arial" w:hAnsi="Arial" w:cs="Arial"/>
          <w:sz w:val="20"/>
          <w:szCs w:val="20"/>
        </w:rPr>
      </w:pPr>
      <w:r w:rsidRPr="00D62E06">
        <w:rPr>
          <w:rFonts w:ascii="Arial" w:hAnsi="Arial" w:cs="Arial"/>
          <w:sz w:val="20"/>
          <w:szCs w:val="20"/>
        </w:rPr>
        <w:t xml:space="preserve">With respect to educational attainment, </w:t>
      </w:r>
      <w:r w:rsidRPr="00D62E06">
        <w:rPr>
          <w:rFonts w:ascii="Arial" w:hAnsi="Arial" w:cs="Arial"/>
          <w:bCs/>
          <w:sz w:val="20"/>
          <w:szCs w:val="20"/>
        </w:rPr>
        <w:t>43.40%</w:t>
      </w:r>
      <w:r w:rsidRPr="00D62E06">
        <w:rPr>
          <w:rFonts w:ascii="Arial" w:hAnsi="Arial" w:cs="Arial"/>
          <w:sz w:val="20"/>
          <w:szCs w:val="20"/>
        </w:rPr>
        <w:t xml:space="preserve"> (n = 155) of respondents possessed OND or HND qualifications, followed by </w:t>
      </w:r>
      <w:r w:rsidRPr="00D62E06">
        <w:rPr>
          <w:rFonts w:ascii="Arial" w:hAnsi="Arial" w:cs="Arial"/>
          <w:bCs/>
          <w:sz w:val="20"/>
          <w:szCs w:val="20"/>
        </w:rPr>
        <w:t>33.33%</w:t>
      </w:r>
      <w:r w:rsidRPr="00D62E06">
        <w:rPr>
          <w:rFonts w:ascii="Arial" w:hAnsi="Arial" w:cs="Arial"/>
          <w:sz w:val="20"/>
          <w:szCs w:val="20"/>
        </w:rPr>
        <w:t xml:space="preserve"> (n = 119) with secondary school certificates (SSCE), and </w:t>
      </w:r>
      <w:r w:rsidRPr="00D62E06">
        <w:rPr>
          <w:rFonts w:ascii="Arial" w:hAnsi="Arial" w:cs="Arial"/>
          <w:bCs/>
          <w:sz w:val="20"/>
          <w:szCs w:val="20"/>
        </w:rPr>
        <w:t>14.20%</w:t>
      </w:r>
      <w:r w:rsidRPr="00D62E06">
        <w:rPr>
          <w:rFonts w:ascii="Arial" w:hAnsi="Arial" w:cs="Arial"/>
          <w:sz w:val="20"/>
          <w:szCs w:val="20"/>
        </w:rPr>
        <w:t xml:space="preserve"> (n = 51) holding bachelor’s degrees (</w:t>
      </w:r>
      <w:proofErr w:type="spellStart"/>
      <w:proofErr w:type="gramStart"/>
      <w:r w:rsidRPr="00D62E06">
        <w:rPr>
          <w:rFonts w:ascii="Arial" w:hAnsi="Arial" w:cs="Arial"/>
          <w:sz w:val="20"/>
          <w:szCs w:val="20"/>
        </w:rPr>
        <w:t>B.Sc</w:t>
      </w:r>
      <w:proofErr w:type="spellEnd"/>
      <w:proofErr w:type="gramEnd"/>
      <w:r w:rsidRPr="00D62E06">
        <w:rPr>
          <w:rFonts w:ascii="Arial" w:hAnsi="Arial" w:cs="Arial"/>
          <w:sz w:val="20"/>
          <w:szCs w:val="20"/>
        </w:rPr>
        <w:t xml:space="preserve">). Only </w:t>
      </w:r>
      <w:r w:rsidRPr="00D62E06">
        <w:rPr>
          <w:rFonts w:ascii="Arial" w:hAnsi="Arial" w:cs="Arial"/>
          <w:bCs/>
          <w:sz w:val="20"/>
          <w:szCs w:val="20"/>
        </w:rPr>
        <w:t>9.06%</w:t>
      </w:r>
      <w:r w:rsidRPr="00D62E06">
        <w:rPr>
          <w:rFonts w:ascii="Arial" w:hAnsi="Arial" w:cs="Arial"/>
          <w:sz w:val="20"/>
          <w:szCs w:val="20"/>
        </w:rPr>
        <w:t xml:space="preserve"> (n = 42) of the participants had no formal education. This suggests that the majority of caregivers had basic to intermediate education, potentially enhancing their environmental health literacy.</w:t>
      </w:r>
    </w:p>
    <w:p w14:paraId="61962798" w14:textId="77777777" w:rsidR="00C42114" w:rsidRPr="00D62E06" w:rsidRDefault="00C42114" w:rsidP="00C42114">
      <w:pPr>
        <w:spacing w:line="480" w:lineRule="auto"/>
        <w:jc w:val="both"/>
        <w:rPr>
          <w:rFonts w:ascii="Arial" w:hAnsi="Arial" w:cs="Arial"/>
          <w:sz w:val="20"/>
          <w:szCs w:val="20"/>
        </w:rPr>
      </w:pPr>
      <w:r w:rsidRPr="00D62E06">
        <w:rPr>
          <w:rFonts w:ascii="Arial" w:hAnsi="Arial" w:cs="Arial"/>
          <w:sz w:val="20"/>
          <w:szCs w:val="20"/>
        </w:rPr>
        <w:t>Age distribution showed that nearly half of the respondents (</w:t>
      </w:r>
      <w:r w:rsidRPr="00D62E06">
        <w:rPr>
          <w:rFonts w:ascii="Arial" w:hAnsi="Arial" w:cs="Arial"/>
          <w:bCs/>
          <w:sz w:val="20"/>
          <w:szCs w:val="20"/>
        </w:rPr>
        <w:t>48.73%</w:t>
      </w:r>
      <w:r w:rsidRPr="00D62E06">
        <w:rPr>
          <w:rFonts w:ascii="Arial" w:hAnsi="Arial" w:cs="Arial"/>
          <w:sz w:val="20"/>
          <w:szCs w:val="20"/>
        </w:rPr>
        <w:t xml:space="preserve">) were aged 26–35, </w:t>
      </w:r>
      <w:r w:rsidRPr="00D62E06">
        <w:rPr>
          <w:rFonts w:ascii="Arial" w:hAnsi="Arial" w:cs="Arial"/>
          <w:bCs/>
          <w:sz w:val="20"/>
          <w:szCs w:val="20"/>
        </w:rPr>
        <w:t>35.87%</w:t>
      </w:r>
      <w:r w:rsidRPr="00D62E06">
        <w:rPr>
          <w:rFonts w:ascii="Arial" w:hAnsi="Arial" w:cs="Arial"/>
          <w:sz w:val="20"/>
          <w:szCs w:val="20"/>
        </w:rPr>
        <w:t xml:space="preserve"> were 36 years and above, while the 18–25 group represented </w:t>
      </w:r>
      <w:r w:rsidRPr="00D62E06">
        <w:rPr>
          <w:rFonts w:ascii="Arial" w:hAnsi="Arial" w:cs="Arial"/>
          <w:bCs/>
          <w:sz w:val="20"/>
          <w:szCs w:val="20"/>
        </w:rPr>
        <w:t>15.40%</w:t>
      </w:r>
      <w:r w:rsidRPr="00D62E06">
        <w:rPr>
          <w:rFonts w:ascii="Arial" w:hAnsi="Arial" w:cs="Arial"/>
          <w:sz w:val="20"/>
          <w:szCs w:val="20"/>
        </w:rPr>
        <w:t>. This age pattern aligns with typical reproductive age ranges, indicating a largely youthful parent population.</w:t>
      </w:r>
    </w:p>
    <w:p w14:paraId="5879E3A9" w14:textId="77777777" w:rsidR="00C42114" w:rsidRPr="00D62E06" w:rsidRDefault="00C42114" w:rsidP="00C42114">
      <w:pPr>
        <w:spacing w:line="480" w:lineRule="auto"/>
        <w:jc w:val="both"/>
        <w:rPr>
          <w:rFonts w:ascii="Arial" w:hAnsi="Arial" w:cs="Arial"/>
          <w:sz w:val="20"/>
          <w:szCs w:val="20"/>
        </w:rPr>
      </w:pPr>
    </w:p>
    <w:p w14:paraId="571FA462" w14:textId="77777777" w:rsidR="00C42114" w:rsidRPr="00D62E06" w:rsidRDefault="00C42114" w:rsidP="00C42114">
      <w:pPr>
        <w:spacing w:line="480" w:lineRule="auto"/>
        <w:jc w:val="both"/>
        <w:rPr>
          <w:rFonts w:ascii="Arial" w:hAnsi="Arial" w:cs="Arial"/>
          <w:b/>
          <w:bCs/>
          <w:sz w:val="20"/>
          <w:szCs w:val="20"/>
        </w:rPr>
      </w:pPr>
      <w:r w:rsidRPr="00D62E06">
        <w:rPr>
          <w:rFonts w:ascii="Arial" w:hAnsi="Arial" w:cs="Arial"/>
          <w:b/>
          <w:bCs/>
          <w:sz w:val="20"/>
          <w:szCs w:val="20"/>
        </w:rPr>
        <w:t>Table 1: Demographic Characteristics of Sampled Parents in Eleme and Tai LGAs (n = 357)</w:t>
      </w:r>
    </w:p>
    <w:tbl>
      <w:tblPr>
        <w:tblW w:w="9738" w:type="dxa"/>
        <w:tblLook w:val="04A0" w:firstRow="1" w:lastRow="0" w:firstColumn="1" w:lastColumn="0" w:noHBand="0" w:noVBand="1"/>
      </w:tblPr>
      <w:tblGrid>
        <w:gridCol w:w="1728"/>
        <w:gridCol w:w="1440"/>
        <w:gridCol w:w="1710"/>
        <w:gridCol w:w="1620"/>
        <w:gridCol w:w="1620"/>
        <w:gridCol w:w="1620"/>
      </w:tblGrid>
      <w:tr w:rsidR="00C42114" w:rsidRPr="00D62E06" w14:paraId="76842F52" w14:textId="77777777" w:rsidTr="00C42114">
        <w:trPr>
          <w:trHeight w:val="881"/>
        </w:trPr>
        <w:tc>
          <w:tcPr>
            <w:tcW w:w="1728" w:type="dxa"/>
            <w:tcBorders>
              <w:top w:val="single" w:sz="4" w:space="0" w:color="auto"/>
              <w:bottom w:val="single" w:sz="4" w:space="0" w:color="auto"/>
            </w:tcBorders>
            <w:hideMark/>
          </w:tcPr>
          <w:p w14:paraId="73F22335" w14:textId="77777777" w:rsidR="00C42114" w:rsidRPr="00D62E06" w:rsidRDefault="00C42114" w:rsidP="00C42114">
            <w:pPr>
              <w:spacing w:after="0" w:line="240" w:lineRule="auto"/>
              <w:rPr>
                <w:rFonts w:ascii="Arial" w:hAnsi="Arial" w:cs="Arial"/>
                <w:b/>
                <w:bCs/>
                <w:sz w:val="20"/>
                <w:szCs w:val="20"/>
              </w:rPr>
            </w:pPr>
            <w:r w:rsidRPr="00D62E06">
              <w:rPr>
                <w:rFonts w:ascii="Arial" w:hAnsi="Arial" w:cs="Arial"/>
                <w:b/>
                <w:bCs/>
                <w:sz w:val="20"/>
                <w:szCs w:val="20"/>
              </w:rPr>
              <w:t>Variable</w:t>
            </w:r>
          </w:p>
        </w:tc>
        <w:tc>
          <w:tcPr>
            <w:tcW w:w="1440" w:type="dxa"/>
            <w:tcBorders>
              <w:top w:val="single" w:sz="4" w:space="0" w:color="auto"/>
              <w:bottom w:val="single" w:sz="4" w:space="0" w:color="auto"/>
            </w:tcBorders>
            <w:hideMark/>
          </w:tcPr>
          <w:p w14:paraId="2B3D9FC4" w14:textId="77777777" w:rsidR="00C42114" w:rsidRPr="00D62E06" w:rsidRDefault="00C42114" w:rsidP="00C42114">
            <w:pPr>
              <w:spacing w:after="0" w:line="240" w:lineRule="auto"/>
              <w:rPr>
                <w:rFonts w:ascii="Arial" w:hAnsi="Arial" w:cs="Arial"/>
                <w:b/>
                <w:bCs/>
                <w:sz w:val="20"/>
                <w:szCs w:val="20"/>
              </w:rPr>
            </w:pPr>
            <w:r w:rsidRPr="00D62E06">
              <w:rPr>
                <w:rFonts w:ascii="Arial" w:hAnsi="Arial" w:cs="Arial"/>
                <w:b/>
                <w:bCs/>
                <w:sz w:val="20"/>
                <w:szCs w:val="20"/>
              </w:rPr>
              <w:t>Category</w:t>
            </w:r>
          </w:p>
        </w:tc>
        <w:tc>
          <w:tcPr>
            <w:tcW w:w="1710" w:type="dxa"/>
            <w:tcBorders>
              <w:top w:val="single" w:sz="4" w:space="0" w:color="auto"/>
              <w:bottom w:val="single" w:sz="4" w:space="0" w:color="auto"/>
            </w:tcBorders>
            <w:hideMark/>
          </w:tcPr>
          <w:p w14:paraId="7626F140" w14:textId="77777777" w:rsidR="00C42114" w:rsidRPr="00D62E06" w:rsidRDefault="00C42114" w:rsidP="00C42114">
            <w:pPr>
              <w:spacing w:after="0" w:line="240" w:lineRule="auto"/>
              <w:rPr>
                <w:rFonts w:ascii="Arial" w:hAnsi="Arial" w:cs="Arial"/>
                <w:b/>
                <w:bCs/>
                <w:sz w:val="20"/>
                <w:szCs w:val="20"/>
              </w:rPr>
            </w:pPr>
            <w:r w:rsidRPr="00D62E06">
              <w:rPr>
                <w:rFonts w:ascii="Arial" w:hAnsi="Arial" w:cs="Arial"/>
                <w:b/>
                <w:bCs/>
                <w:sz w:val="20"/>
                <w:szCs w:val="20"/>
              </w:rPr>
              <w:t>Eleme (n = 177)</w:t>
            </w:r>
          </w:p>
        </w:tc>
        <w:tc>
          <w:tcPr>
            <w:tcW w:w="1620" w:type="dxa"/>
            <w:tcBorders>
              <w:top w:val="single" w:sz="4" w:space="0" w:color="auto"/>
              <w:bottom w:val="single" w:sz="4" w:space="0" w:color="auto"/>
            </w:tcBorders>
            <w:hideMark/>
          </w:tcPr>
          <w:p w14:paraId="4F02164A" w14:textId="77777777" w:rsidR="00C42114" w:rsidRPr="00D62E06" w:rsidRDefault="00C42114" w:rsidP="00C42114">
            <w:pPr>
              <w:spacing w:after="0" w:line="240" w:lineRule="auto"/>
              <w:rPr>
                <w:rFonts w:ascii="Arial" w:hAnsi="Arial" w:cs="Arial"/>
                <w:b/>
                <w:bCs/>
                <w:sz w:val="20"/>
                <w:szCs w:val="20"/>
              </w:rPr>
            </w:pPr>
            <w:r w:rsidRPr="00D62E06">
              <w:rPr>
                <w:rFonts w:ascii="Arial" w:hAnsi="Arial" w:cs="Arial"/>
                <w:b/>
                <w:bCs/>
                <w:sz w:val="20"/>
                <w:szCs w:val="20"/>
              </w:rPr>
              <w:t>Tai (n = 180)</w:t>
            </w:r>
          </w:p>
        </w:tc>
        <w:tc>
          <w:tcPr>
            <w:tcW w:w="1620" w:type="dxa"/>
            <w:tcBorders>
              <w:top w:val="single" w:sz="4" w:space="0" w:color="auto"/>
              <w:bottom w:val="single" w:sz="4" w:space="0" w:color="auto"/>
            </w:tcBorders>
            <w:hideMark/>
          </w:tcPr>
          <w:p w14:paraId="1E1E0068" w14:textId="77777777" w:rsidR="00C42114" w:rsidRPr="00D62E06" w:rsidRDefault="00C42114" w:rsidP="00C42114">
            <w:pPr>
              <w:spacing w:after="0" w:line="240" w:lineRule="auto"/>
              <w:rPr>
                <w:rFonts w:ascii="Arial" w:hAnsi="Arial" w:cs="Arial"/>
                <w:b/>
                <w:bCs/>
                <w:sz w:val="20"/>
                <w:szCs w:val="20"/>
              </w:rPr>
            </w:pPr>
            <w:r w:rsidRPr="00D62E06">
              <w:rPr>
                <w:rFonts w:ascii="Arial" w:hAnsi="Arial" w:cs="Arial"/>
                <w:b/>
                <w:bCs/>
                <w:sz w:val="20"/>
                <w:szCs w:val="20"/>
              </w:rPr>
              <w:t>Total (n = 357)</w:t>
            </w:r>
          </w:p>
        </w:tc>
        <w:tc>
          <w:tcPr>
            <w:tcW w:w="1620" w:type="dxa"/>
            <w:tcBorders>
              <w:top w:val="single" w:sz="4" w:space="0" w:color="auto"/>
              <w:bottom w:val="single" w:sz="4" w:space="0" w:color="auto"/>
            </w:tcBorders>
            <w:hideMark/>
          </w:tcPr>
          <w:p w14:paraId="0002625D" w14:textId="77777777" w:rsidR="00C42114" w:rsidRPr="00D62E06" w:rsidRDefault="00C42114" w:rsidP="00C42114">
            <w:pPr>
              <w:spacing w:after="0" w:line="240" w:lineRule="auto"/>
              <w:rPr>
                <w:rFonts w:ascii="Arial" w:hAnsi="Arial" w:cs="Arial"/>
                <w:b/>
                <w:bCs/>
                <w:sz w:val="20"/>
                <w:szCs w:val="20"/>
              </w:rPr>
            </w:pPr>
            <w:r w:rsidRPr="00D62E06">
              <w:rPr>
                <w:rFonts w:ascii="Arial" w:hAnsi="Arial" w:cs="Arial"/>
                <w:b/>
                <w:bCs/>
                <w:sz w:val="20"/>
                <w:szCs w:val="20"/>
              </w:rPr>
              <w:t>Percentage (%)</w:t>
            </w:r>
          </w:p>
        </w:tc>
      </w:tr>
      <w:tr w:rsidR="00C42114" w:rsidRPr="00D62E06" w14:paraId="4F1F998B" w14:textId="77777777" w:rsidTr="00C42114">
        <w:trPr>
          <w:trHeight w:val="242"/>
        </w:trPr>
        <w:tc>
          <w:tcPr>
            <w:tcW w:w="1728" w:type="dxa"/>
            <w:tcBorders>
              <w:top w:val="single" w:sz="4" w:space="0" w:color="auto"/>
            </w:tcBorders>
            <w:hideMark/>
          </w:tcPr>
          <w:p w14:paraId="48185D11" w14:textId="77777777" w:rsidR="00C42114" w:rsidRPr="00D62E06" w:rsidRDefault="00C42114" w:rsidP="00C42114">
            <w:pPr>
              <w:spacing w:after="0" w:line="240" w:lineRule="auto"/>
              <w:rPr>
                <w:rFonts w:ascii="Arial" w:hAnsi="Arial" w:cs="Arial"/>
                <w:sz w:val="20"/>
                <w:szCs w:val="20"/>
              </w:rPr>
            </w:pPr>
            <w:r w:rsidRPr="00D62E06">
              <w:rPr>
                <w:rFonts w:ascii="Arial" w:hAnsi="Arial" w:cs="Arial"/>
                <w:b/>
                <w:bCs/>
                <w:sz w:val="20"/>
                <w:szCs w:val="20"/>
              </w:rPr>
              <w:t>Gender</w:t>
            </w:r>
          </w:p>
        </w:tc>
        <w:tc>
          <w:tcPr>
            <w:tcW w:w="1440" w:type="dxa"/>
            <w:tcBorders>
              <w:top w:val="single" w:sz="4" w:space="0" w:color="auto"/>
            </w:tcBorders>
            <w:hideMark/>
          </w:tcPr>
          <w:p w14:paraId="69B73BC0" w14:textId="77777777" w:rsidR="00C42114" w:rsidRPr="00D62E06" w:rsidRDefault="00C42114" w:rsidP="00C42114">
            <w:pPr>
              <w:spacing w:after="0" w:line="240" w:lineRule="auto"/>
              <w:rPr>
                <w:rFonts w:ascii="Arial" w:hAnsi="Arial" w:cs="Arial"/>
                <w:sz w:val="20"/>
                <w:szCs w:val="20"/>
              </w:rPr>
            </w:pPr>
            <w:r w:rsidRPr="00D62E06">
              <w:rPr>
                <w:rFonts w:ascii="Arial" w:hAnsi="Arial" w:cs="Arial"/>
                <w:sz w:val="20"/>
                <w:szCs w:val="20"/>
              </w:rPr>
              <w:t>Male</w:t>
            </w:r>
          </w:p>
        </w:tc>
        <w:tc>
          <w:tcPr>
            <w:tcW w:w="1710" w:type="dxa"/>
            <w:tcBorders>
              <w:top w:val="single" w:sz="4" w:space="0" w:color="auto"/>
            </w:tcBorders>
            <w:hideMark/>
          </w:tcPr>
          <w:p w14:paraId="357C2824" w14:textId="77777777" w:rsidR="00C42114" w:rsidRPr="00D62E06" w:rsidRDefault="00C42114" w:rsidP="00C42114">
            <w:pPr>
              <w:spacing w:after="0" w:line="240" w:lineRule="auto"/>
              <w:rPr>
                <w:rFonts w:ascii="Arial" w:hAnsi="Arial" w:cs="Arial"/>
                <w:sz w:val="20"/>
                <w:szCs w:val="20"/>
              </w:rPr>
            </w:pPr>
            <w:r w:rsidRPr="00D62E06">
              <w:rPr>
                <w:rFonts w:ascii="Arial" w:hAnsi="Arial" w:cs="Arial"/>
                <w:sz w:val="20"/>
                <w:szCs w:val="20"/>
              </w:rPr>
              <w:t>87</w:t>
            </w:r>
          </w:p>
        </w:tc>
        <w:tc>
          <w:tcPr>
            <w:tcW w:w="1620" w:type="dxa"/>
            <w:tcBorders>
              <w:top w:val="single" w:sz="4" w:space="0" w:color="auto"/>
            </w:tcBorders>
            <w:hideMark/>
          </w:tcPr>
          <w:p w14:paraId="771CBC6D" w14:textId="77777777" w:rsidR="00C42114" w:rsidRPr="00D62E06" w:rsidRDefault="00C42114" w:rsidP="00C42114">
            <w:pPr>
              <w:spacing w:after="0" w:line="240" w:lineRule="auto"/>
              <w:rPr>
                <w:rFonts w:ascii="Arial" w:hAnsi="Arial" w:cs="Arial"/>
                <w:sz w:val="20"/>
                <w:szCs w:val="20"/>
              </w:rPr>
            </w:pPr>
            <w:r w:rsidRPr="00D62E06">
              <w:rPr>
                <w:rFonts w:ascii="Arial" w:hAnsi="Arial" w:cs="Arial"/>
                <w:sz w:val="20"/>
                <w:szCs w:val="20"/>
              </w:rPr>
              <w:t>82</w:t>
            </w:r>
          </w:p>
        </w:tc>
        <w:tc>
          <w:tcPr>
            <w:tcW w:w="1620" w:type="dxa"/>
            <w:tcBorders>
              <w:top w:val="single" w:sz="4" w:space="0" w:color="auto"/>
            </w:tcBorders>
            <w:hideMark/>
          </w:tcPr>
          <w:p w14:paraId="24758927" w14:textId="77777777" w:rsidR="00C42114" w:rsidRPr="00D62E06" w:rsidRDefault="00C42114" w:rsidP="00C42114">
            <w:pPr>
              <w:spacing w:after="0" w:line="240" w:lineRule="auto"/>
              <w:rPr>
                <w:rFonts w:ascii="Arial" w:hAnsi="Arial" w:cs="Arial"/>
                <w:sz w:val="20"/>
                <w:szCs w:val="20"/>
              </w:rPr>
            </w:pPr>
            <w:r w:rsidRPr="00D62E06">
              <w:rPr>
                <w:rFonts w:ascii="Arial" w:hAnsi="Arial" w:cs="Arial"/>
                <w:sz w:val="20"/>
                <w:szCs w:val="20"/>
              </w:rPr>
              <w:t>169</w:t>
            </w:r>
          </w:p>
        </w:tc>
        <w:tc>
          <w:tcPr>
            <w:tcW w:w="1620" w:type="dxa"/>
            <w:tcBorders>
              <w:top w:val="single" w:sz="4" w:space="0" w:color="auto"/>
            </w:tcBorders>
            <w:hideMark/>
          </w:tcPr>
          <w:p w14:paraId="4C1B51D8" w14:textId="77777777" w:rsidR="00C42114" w:rsidRPr="00D62E06" w:rsidRDefault="00C42114" w:rsidP="00C42114">
            <w:pPr>
              <w:spacing w:after="0" w:line="240" w:lineRule="auto"/>
              <w:rPr>
                <w:rFonts w:ascii="Arial" w:hAnsi="Arial" w:cs="Arial"/>
                <w:sz w:val="20"/>
                <w:szCs w:val="20"/>
              </w:rPr>
            </w:pPr>
            <w:r w:rsidRPr="00D62E06">
              <w:rPr>
                <w:rFonts w:ascii="Arial" w:hAnsi="Arial" w:cs="Arial"/>
                <w:sz w:val="20"/>
                <w:szCs w:val="20"/>
              </w:rPr>
              <w:t>47.30</w:t>
            </w:r>
          </w:p>
        </w:tc>
      </w:tr>
      <w:tr w:rsidR="00C42114" w:rsidRPr="00D62E06" w14:paraId="616F10F5" w14:textId="77777777" w:rsidTr="00C42114">
        <w:trPr>
          <w:trHeight w:val="531"/>
        </w:trPr>
        <w:tc>
          <w:tcPr>
            <w:tcW w:w="1728" w:type="dxa"/>
            <w:hideMark/>
          </w:tcPr>
          <w:p w14:paraId="0A524DAE" w14:textId="77777777" w:rsidR="00C42114" w:rsidRPr="00D62E06" w:rsidRDefault="00C42114" w:rsidP="00C42114">
            <w:pPr>
              <w:spacing w:after="0" w:line="240" w:lineRule="auto"/>
              <w:rPr>
                <w:rFonts w:ascii="Arial" w:hAnsi="Arial" w:cs="Arial"/>
                <w:sz w:val="20"/>
                <w:szCs w:val="20"/>
              </w:rPr>
            </w:pPr>
          </w:p>
        </w:tc>
        <w:tc>
          <w:tcPr>
            <w:tcW w:w="1440" w:type="dxa"/>
            <w:hideMark/>
          </w:tcPr>
          <w:p w14:paraId="127ABA12" w14:textId="77777777" w:rsidR="00C42114" w:rsidRPr="00D62E06" w:rsidRDefault="00C42114" w:rsidP="00C42114">
            <w:pPr>
              <w:spacing w:after="0" w:line="240" w:lineRule="auto"/>
              <w:rPr>
                <w:rFonts w:ascii="Arial" w:hAnsi="Arial" w:cs="Arial"/>
                <w:sz w:val="20"/>
                <w:szCs w:val="20"/>
              </w:rPr>
            </w:pPr>
            <w:r w:rsidRPr="00D62E06">
              <w:rPr>
                <w:rFonts w:ascii="Arial" w:hAnsi="Arial" w:cs="Arial"/>
                <w:sz w:val="20"/>
                <w:szCs w:val="20"/>
              </w:rPr>
              <w:t>Female</w:t>
            </w:r>
          </w:p>
        </w:tc>
        <w:tc>
          <w:tcPr>
            <w:tcW w:w="1710" w:type="dxa"/>
            <w:hideMark/>
          </w:tcPr>
          <w:p w14:paraId="0940FE50" w14:textId="77777777" w:rsidR="00C42114" w:rsidRPr="00D62E06" w:rsidRDefault="00C42114" w:rsidP="00C42114">
            <w:pPr>
              <w:spacing w:after="0" w:line="240" w:lineRule="auto"/>
              <w:rPr>
                <w:rFonts w:ascii="Arial" w:hAnsi="Arial" w:cs="Arial"/>
                <w:sz w:val="20"/>
                <w:szCs w:val="20"/>
              </w:rPr>
            </w:pPr>
            <w:r w:rsidRPr="00D62E06">
              <w:rPr>
                <w:rFonts w:ascii="Arial" w:hAnsi="Arial" w:cs="Arial"/>
                <w:sz w:val="20"/>
                <w:szCs w:val="20"/>
              </w:rPr>
              <w:t>90</w:t>
            </w:r>
          </w:p>
        </w:tc>
        <w:tc>
          <w:tcPr>
            <w:tcW w:w="1620" w:type="dxa"/>
            <w:hideMark/>
          </w:tcPr>
          <w:p w14:paraId="1D68F844" w14:textId="77777777" w:rsidR="00C42114" w:rsidRPr="00D62E06" w:rsidRDefault="00C42114" w:rsidP="00C42114">
            <w:pPr>
              <w:spacing w:after="0" w:line="240" w:lineRule="auto"/>
              <w:rPr>
                <w:rFonts w:ascii="Arial" w:hAnsi="Arial" w:cs="Arial"/>
                <w:sz w:val="20"/>
                <w:szCs w:val="20"/>
              </w:rPr>
            </w:pPr>
            <w:r w:rsidRPr="00D62E06">
              <w:rPr>
                <w:rFonts w:ascii="Arial" w:hAnsi="Arial" w:cs="Arial"/>
                <w:sz w:val="20"/>
                <w:szCs w:val="20"/>
              </w:rPr>
              <w:t>98</w:t>
            </w:r>
          </w:p>
        </w:tc>
        <w:tc>
          <w:tcPr>
            <w:tcW w:w="1620" w:type="dxa"/>
            <w:hideMark/>
          </w:tcPr>
          <w:p w14:paraId="5F08FAD4" w14:textId="77777777" w:rsidR="00C42114" w:rsidRPr="00D62E06" w:rsidRDefault="00C42114" w:rsidP="00C42114">
            <w:pPr>
              <w:spacing w:after="0" w:line="240" w:lineRule="auto"/>
              <w:rPr>
                <w:rFonts w:ascii="Arial" w:hAnsi="Arial" w:cs="Arial"/>
                <w:sz w:val="20"/>
                <w:szCs w:val="20"/>
              </w:rPr>
            </w:pPr>
            <w:r w:rsidRPr="00D62E06">
              <w:rPr>
                <w:rFonts w:ascii="Arial" w:hAnsi="Arial" w:cs="Arial"/>
                <w:sz w:val="20"/>
                <w:szCs w:val="20"/>
              </w:rPr>
              <w:t>188</w:t>
            </w:r>
          </w:p>
        </w:tc>
        <w:tc>
          <w:tcPr>
            <w:tcW w:w="1620" w:type="dxa"/>
            <w:hideMark/>
          </w:tcPr>
          <w:p w14:paraId="768B84B5" w14:textId="77777777" w:rsidR="00C42114" w:rsidRPr="00D62E06" w:rsidRDefault="00C42114" w:rsidP="00C42114">
            <w:pPr>
              <w:spacing w:after="0" w:line="240" w:lineRule="auto"/>
              <w:rPr>
                <w:rFonts w:ascii="Arial" w:hAnsi="Arial" w:cs="Arial"/>
                <w:sz w:val="20"/>
                <w:szCs w:val="20"/>
              </w:rPr>
            </w:pPr>
            <w:r w:rsidRPr="00D62E06">
              <w:rPr>
                <w:rFonts w:ascii="Arial" w:hAnsi="Arial" w:cs="Arial"/>
                <w:sz w:val="20"/>
                <w:szCs w:val="20"/>
              </w:rPr>
              <w:t>52.70</w:t>
            </w:r>
          </w:p>
        </w:tc>
      </w:tr>
      <w:tr w:rsidR="00C42114" w:rsidRPr="00D62E06" w14:paraId="2498D579" w14:textId="77777777" w:rsidTr="00C42114">
        <w:tc>
          <w:tcPr>
            <w:tcW w:w="1728" w:type="dxa"/>
            <w:hideMark/>
          </w:tcPr>
          <w:p w14:paraId="7CEA74EC" w14:textId="77777777" w:rsidR="00C42114" w:rsidRPr="00D62E06" w:rsidRDefault="00C42114" w:rsidP="00C42114">
            <w:pPr>
              <w:spacing w:after="0" w:line="240" w:lineRule="auto"/>
              <w:rPr>
                <w:rFonts w:ascii="Arial" w:hAnsi="Arial" w:cs="Arial"/>
                <w:sz w:val="20"/>
                <w:szCs w:val="20"/>
              </w:rPr>
            </w:pPr>
            <w:r w:rsidRPr="00D62E06">
              <w:rPr>
                <w:rFonts w:ascii="Arial" w:hAnsi="Arial" w:cs="Arial"/>
                <w:b/>
                <w:bCs/>
                <w:sz w:val="20"/>
                <w:szCs w:val="20"/>
              </w:rPr>
              <w:t>Educational Level</w:t>
            </w:r>
          </w:p>
        </w:tc>
        <w:tc>
          <w:tcPr>
            <w:tcW w:w="1440" w:type="dxa"/>
            <w:hideMark/>
          </w:tcPr>
          <w:p w14:paraId="49946D7B" w14:textId="77777777" w:rsidR="00C42114" w:rsidRPr="00D62E06" w:rsidRDefault="00C42114" w:rsidP="00C42114">
            <w:pPr>
              <w:spacing w:after="0" w:line="240" w:lineRule="auto"/>
              <w:rPr>
                <w:rFonts w:ascii="Arial" w:hAnsi="Arial" w:cs="Arial"/>
                <w:sz w:val="20"/>
                <w:szCs w:val="20"/>
              </w:rPr>
            </w:pPr>
            <w:r w:rsidRPr="00D62E06">
              <w:rPr>
                <w:rFonts w:ascii="Arial" w:hAnsi="Arial" w:cs="Arial"/>
                <w:sz w:val="20"/>
                <w:szCs w:val="20"/>
              </w:rPr>
              <w:t>None</w:t>
            </w:r>
          </w:p>
        </w:tc>
        <w:tc>
          <w:tcPr>
            <w:tcW w:w="1710" w:type="dxa"/>
            <w:hideMark/>
          </w:tcPr>
          <w:p w14:paraId="5E38E950" w14:textId="77777777" w:rsidR="00C42114" w:rsidRPr="00D62E06" w:rsidRDefault="00C42114" w:rsidP="00C42114">
            <w:pPr>
              <w:spacing w:after="0" w:line="240" w:lineRule="auto"/>
              <w:rPr>
                <w:rFonts w:ascii="Arial" w:hAnsi="Arial" w:cs="Arial"/>
                <w:sz w:val="20"/>
                <w:szCs w:val="20"/>
              </w:rPr>
            </w:pPr>
            <w:r w:rsidRPr="00D62E06">
              <w:rPr>
                <w:rFonts w:ascii="Arial" w:hAnsi="Arial" w:cs="Arial"/>
                <w:sz w:val="20"/>
                <w:szCs w:val="20"/>
              </w:rPr>
              <w:t>20</w:t>
            </w:r>
          </w:p>
        </w:tc>
        <w:tc>
          <w:tcPr>
            <w:tcW w:w="1620" w:type="dxa"/>
            <w:hideMark/>
          </w:tcPr>
          <w:p w14:paraId="485B95E7" w14:textId="77777777" w:rsidR="00C42114" w:rsidRPr="00D62E06" w:rsidRDefault="00C42114" w:rsidP="00C42114">
            <w:pPr>
              <w:spacing w:after="0" w:line="240" w:lineRule="auto"/>
              <w:rPr>
                <w:rFonts w:ascii="Arial" w:hAnsi="Arial" w:cs="Arial"/>
                <w:sz w:val="20"/>
                <w:szCs w:val="20"/>
              </w:rPr>
            </w:pPr>
            <w:r w:rsidRPr="00D62E06">
              <w:rPr>
                <w:rFonts w:ascii="Arial" w:hAnsi="Arial" w:cs="Arial"/>
                <w:sz w:val="20"/>
                <w:szCs w:val="20"/>
              </w:rPr>
              <w:t>12</w:t>
            </w:r>
          </w:p>
        </w:tc>
        <w:tc>
          <w:tcPr>
            <w:tcW w:w="1620" w:type="dxa"/>
            <w:hideMark/>
          </w:tcPr>
          <w:p w14:paraId="7C9291B6" w14:textId="77777777" w:rsidR="00C42114" w:rsidRPr="00D62E06" w:rsidRDefault="00C42114" w:rsidP="00C42114">
            <w:pPr>
              <w:spacing w:after="0" w:line="240" w:lineRule="auto"/>
              <w:rPr>
                <w:rFonts w:ascii="Arial" w:hAnsi="Arial" w:cs="Arial"/>
                <w:sz w:val="20"/>
                <w:szCs w:val="20"/>
              </w:rPr>
            </w:pPr>
            <w:r w:rsidRPr="00D62E06">
              <w:rPr>
                <w:rFonts w:ascii="Arial" w:hAnsi="Arial" w:cs="Arial"/>
                <w:sz w:val="20"/>
                <w:szCs w:val="20"/>
              </w:rPr>
              <w:t>42</w:t>
            </w:r>
          </w:p>
        </w:tc>
        <w:tc>
          <w:tcPr>
            <w:tcW w:w="1620" w:type="dxa"/>
            <w:hideMark/>
          </w:tcPr>
          <w:p w14:paraId="1DECE84F" w14:textId="77777777" w:rsidR="00C42114" w:rsidRPr="00D62E06" w:rsidRDefault="00C42114" w:rsidP="00C42114">
            <w:pPr>
              <w:spacing w:after="0" w:line="240" w:lineRule="auto"/>
              <w:rPr>
                <w:rFonts w:ascii="Arial" w:hAnsi="Arial" w:cs="Arial"/>
                <w:sz w:val="20"/>
                <w:szCs w:val="20"/>
              </w:rPr>
            </w:pPr>
            <w:r w:rsidRPr="00D62E06">
              <w:rPr>
                <w:rFonts w:ascii="Arial" w:hAnsi="Arial" w:cs="Arial"/>
                <w:sz w:val="20"/>
                <w:szCs w:val="20"/>
              </w:rPr>
              <w:t>9.06</w:t>
            </w:r>
          </w:p>
        </w:tc>
      </w:tr>
      <w:tr w:rsidR="00C42114" w:rsidRPr="00D62E06" w14:paraId="358706B7" w14:textId="77777777" w:rsidTr="00C42114">
        <w:tc>
          <w:tcPr>
            <w:tcW w:w="1728" w:type="dxa"/>
            <w:hideMark/>
          </w:tcPr>
          <w:p w14:paraId="16425455" w14:textId="77777777" w:rsidR="00C42114" w:rsidRPr="00D62E06" w:rsidRDefault="00C42114" w:rsidP="00C42114">
            <w:pPr>
              <w:spacing w:after="0" w:line="240" w:lineRule="auto"/>
              <w:rPr>
                <w:rFonts w:ascii="Arial" w:hAnsi="Arial" w:cs="Arial"/>
                <w:sz w:val="20"/>
                <w:szCs w:val="20"/>
              </w:rPr>
            </w:pPr>
          </w:p>
        </w:tc>
        <w:tc>
          <w:tcPr>
            <w:tcW w:w="1440" w:type="dxa"/>
            <w:hideMark/>
          </w:tcPr>
          <w:p w14:paraId="09A9FE66" w14:textId="77777777" w:rsidR="00C42114" w:rsidRPr="00D62E06" w:rsidRDefault="00C42114" w:rsidP="00C42114">
            <w:pPr>
              <w:spacing w:after="0" w:line="240" w:lineRule="auto"/>
              <w:rPr>
                <w:rFonts w:ascii="Arial" w:hAnsi="Arial" w:cs="Arial"/>
                <w:sz w:val="20"/>
                <w:szCs w:val="20"/>
              </w:rPr>
            </w:pPr>
            <w:r w:rsidRPr="00D62E06">
              <w:rPr>
                <w:rFonts w:ascii="Arial" w:hAnsi="Arial" w:cs="Arial"/>
                <w:sz w:val="20"/>
                <w:szCs w:val="20"/>
              </w:rPr>
              <w:t>SSCE</w:t>
            </w:r>
          </w:p>
        </w:tc>
        <w:tc>
          <w:tcPr>
            <w:tcW w:w="1710" w:type="dxa"/>
            <w:hideMark/>
          </w:tcPr>
          <w:p w14:paraId="59914766" w14:textId="77777777" w:rsidR="00C42114" w:rsidRPr="00D62E06" w:rsidRDefault="00C42114" w:rsidP="00C42114">
            <w:pPr>
              <w:spacing w:after="0" w:line="240" w:lineRule="auto"/>
              <w:rPr>
                <w:rFonts w:ascii="Arial" w:hAnsi="Arial" w:cs="Arial"/>
                <w:sz w:val="20"/>
                <w:szCs w:val="20"/>
              </w:rPr>
            </w:pPr>
            <w:r w:rsidRPr="00D62E06">
              <w:rPr>
                <w:rFonts w:ascii="Arial" w:hAnsi="Arial" w:cs="Arial"/>
                <w:sz w:val="20"/>
                <w:szCs w:val="20"/>
              </w:rPr>
              <w:t>57</w:t>
            </w:r>
          </w:p>
        </w:tc>
        <w:tc>
          <w:tcPr>
            <w:tcW w:w="1620" w:type="dxa"/>
            <w:hideMark/>
          </w:tcPr>
          <w:p w14:paraId="356D04AC" w14:textId="77777777" w:rsidR="00C42114" w:rsidRPr="00D62E06" w:rsidRDefault="00C42114" w:rsidP="00C42114">
            <w:pPr>
              <w:spacing w:after="0" w:line="240" w:lineRule="auto"/>
              <w:rPr>
                <w:rFonts w:ascii="Arial" w:hAnsi="Arial" w:cs="Arial"/>
                <w:sz w:val="20"/>
                <w:szCs w:val="20"/>
              </w:rPr>
            </w:pPr>
            <w:r w:rsidRPr="00D62E06">
              <w:rPr>
                <w:rFonts w:ascii="Arial" w:hAnsi="Arial" w:cs="Arial"/>
                <w:sz w:val="20"/>
                <w:szCs w:val="20"/>
              </w:rPr>
              <w:t>62</w:t>
            </w:r>
          </w:p>
        </w:tc>
        <w:tc>
          <w:tcPr>
            <w:tcW w:w="1620" w:type="dxa"/>
            <w:hideMark/>
          </w:tcPr>
          <w:p w14:paraId="3259148D" w14:textId="77777777" w:rsidR="00C42114" w:rsidRPr="00D62E06" w:rsidRDefault="00C42114" w:rsidP="00C42114">
            <w:pPr>
              <w:spacing w:after="0" w:line="240" w:lineRule="auto"/>
              <w:rPr>
                <w:rFonts w:ascii="Arial" w:hAnsi="Arial" w:cs="Arial"/>
                <w:sz w:val="20"/>
                <w:szCs w:val="20"/>
              </w:rPr>
            </w:pPr>
            <w:r w:rsidRPr="00D62E06">
              <w:rPr>
                <w:rFonts w:ascii="Arial" w:hAnsi="Arial" w:cs="Arial"/>
                <w:sz w:val="20"/>
                <w:szCs w:val="20"/>
              </w:rPr>
              <w:t>119</w:t>
            </w:r>
          </w:p>
        </w:tc>
        <w:tc>
          <w:tcPr>
            <w:tcW w:w="1620" w:type="dxa"/>
            <w:hideMark/>
          </w:tcPr>
          <w:p w14:paraId="1E762570" w14:textId="77777777" w:rsidR="00C42114" w:rsidRPr="00D62E06" w:rsidRDefault="00C42114" w:rsidP="00C42114">
            <w:pPr>
              <w:spacing w:after="0" w:line="240" w:lineRule="auto"/>
              <w:rPr>
                <w:rFonts w:ascii="Arial" w:hAnsi="Arial" w:cs="Arial"/>
                <w:sz w:val="20"/>
                <w:szCs w:val="20"/>
              </w:rPr>
            </w:pPr>
            <w:r w:rsidRPr="00D62E06">
              <w:rPr>
                <w:rFonts w:ascii="Arial" w:hAnsi="Arial" w:cs="Arial"/>
                <w:sz w:val="20"/>
                <w:szCs w:val="20"/>
              </w:rPr>
              <w:t>33.33</w:t>
            </w:r>
          </w:p>
        </w:tc>
      </w:tr>
      <w:tr w:rsidR="00C42114" w:rsidRPr="00D62E06" w14:paraId="2C12EEA2" w14:textId="77777777" w:rsidTr="00C42114">
        <w:tc>
          <w:tcPr>
            <w:tcW w:w="1728" w:type="dxa"/>
            <w:hideMark/>
          </w:tcPr>
          <w:p w14:paraId="181969D5" w14:textId="77777777" w:rsidR="00C42114" w:rsidRPr="00D62E06" w:rsidRDefault="00C42114" w:rsidP="00C42114">
            <w:pPr>
              <w:spacing w:after="0" w:line="240" w:lineRule="auto"/>
              <w:rPr>
                <w:rFonts w:ascii="Arial" w:hAnsi="Arial" w:cs="Arial"/>
                <w:sz w:val="20"/>
                <w:szCs w:val="20"/>
              </w:rPr>
            </w:pPr>
          </w:p>
        </w:tc>
        <w:tc>
          <w:tcPr>
            <w:tcW w:w="1440" w:type="dxa"/>
            <w:hideMark/>
          </w:tcPr>
          <w:p w14:paraId="21FDD192" w14:textId="77777777" w:rsidR="00C42114" w:rsidRPr="00D62E06" w:rsidRDefault="00C42114" w:rsidP="00C42114">
            <w:pPr>
              <w:spacing w:after="0" w:line="240" w:lineRule="auto"/>
              <w:rPr>
                <w:rFonts w:ascii="Arial" w:hAnsi="Arial" w:cs="Arial"/>
                <w:sz w:val="20"/>
                <w:szCs w:val="20"/>
              </w:rPr>
            </w:pPr>
            <w:r w:rsidRPr="00D62E06">
              <w:rPr>
                <w:rFonts w:ascii="Arial" w:hAnsi="Arial" w:cs="Arial"/>
                <w:sz w:val="20"/>
                <w:szCs w:val="20"/>
              </w:rPr>
              <w:t>OND/HND</w:t>
            </w:r>
          </w:p>
        </w:tc>
        <w:tc>
          <w:tcPr>
            <w:tcW w:w="1710" w:type="dxa"/>
            <w:hideMark/>
          </w:tcPr>
          <w:p w14:paraId="215D8291" w14:textId="77777777" w:rsidR="00C42114" w:rsidRPr="00D62E06" w:rsidRDefault="00C42114" w:rsidP="00C42114">
            <w:pPr>
              <w:spacing w:after="0" w:line="240" w:lineRule="auto"/>
              <w:rPr>
                <w:rFonts w:ascii="Arial" w:hAnsi="Arial" w:cs="Arial"/>
                <w:sz w:val="20"/>
                <w:szCs w:val="20"/>
              </w:rPr>
            </w:pPr>
            <w:r w:rsidRPr="00D62E06">
              <w:rPr>
                <w:rFonts w:ascii="Arial" w:hAnsi="Arial" w:cs="Arial"/>
                <w:sz w:val="20"/>
                <w:szCs w:val="20"/>
              </w:rPr>
              <w:t>68</w:t>
            </w:r>
          </w:p>
        </w:tc>
        <w:tc>
          <w:tcPr>
            <w:tcW w:w="1620" w:type="dxa"/>
            <w:hideMark/>
          </w:tcPr>
          <w:p w14:paraId="1B66B4D1" w14:textId="77777777" w:rsidR="00C42114" w:rsidRPr="00D62E06" w:rsidRDefault="00C42114" w:rsidP="00C42114">
            <w:pPr>
              <w:spacing w:after="0" w:line="240" w:lineRule="auto"/>
              <w:rPr>
                <w:rFonts w:ascii="Arial" w:hAnsi="Arial" w:cs="Arial"/>
                <w:sz w:val="20"/>
                <w:szCs w:val="20"/>
              </w:rPr>
            </w:pPr>
            <w:r w:rsidRPr="00D62E06">
              <w:rPr>
                <w:rFonts w:ascii="Arial" w:hAnsi="Arial" w:cs="Arial"/>
                <w:sz w:val="20"/>
                <w:szCs w:val="20"/>
              </w:rPr>
              <w:t>87</w:t>
            </w:r>
          </w:p>
        </w:tc>
        <w:tc>
          <w:tcPr>
            <w:tcW w:w="1620" w:type="dxa"/>
            <w:hideMark/>
          </w:tcPr>
          <w:p w14:paraId="4E337BFC" w14:textId="77777777" w:rsidR="00C42114" w:rsidRPr="00D62E06" w:rsidRDefault="00C42114" w:rsidP="00C42114">
            <w:pPr>
              <w:spacing w:after="0" w:line="240" w:lineRule="auto"/>
              <w:rPr>
                <w:rFonts w:ascii="Arial" w:hAnsi="Arial" w:cs="Arial"/>
                <w:sz w:val="20"/>
                <w:szCs w:val="20"/>
              </w:rPr>
            </w:pPr>
            <w:r w:rsidRPr="00D62E06">
              <w:rPr>
                <w:rFonts w:ascii="Arial" w:hAnsi="Arial" w:cs="Arial"/>
                <w:sz w:val="20"/>
                <w:szCs w:val="20"/>
              </w:rPr>
              <w:t>155</w:t>
            </w:r>
          </w:p>
        </w:tc>
        <w:tc>
          <w:tcPr>
            <w:tcW w:w="1620" w:type="dxa"/>
            <w:hideMark/>
          </w:tcPr>
          <w:p w14:paraId="28284605" w14:textId="77777777" w:rsidR="00C42114" w:rsidRPr="00D62E06" w:rsidRDefault="00C42114" w:rsidP="00C42114">
            <w:pPr>
              <w:spacing w:after="0" w:line="240" w:lineRule="auto"/>
              <w:rPr>
                <w:rFonts w:ascii="Arial" w:hAnsi="Arial" w:cs="Arial"/>
                <w:sz w:val="20"/>
                <w:szCs w:val="20"/>
              </w:rPr>
            </w:pPr>
            <w:r w:rsidRPr="00D62E06">
              <w:rPr>
                <w:rFonts w:ascii="Arial" w:hAnsi="Arial" w:cs="Arial"/>
                <w:sz w:val="20"/>
                <w:szCs w:val="20"/>
              </w:rPr>
              <w:t>43.40</w:t>
            </w:r>
          </w:p>
        </w:tc>
      </w:tr>
      <w:tr w:rsidR="00C42114" w:rsidRPr="00D62E06" w14:paraId="0796B52D" w14:textId="77777777" w:rsidTr="00C42114">
        <w:trPr>
          <w:trHeight w:val="513"/>
        </w:trPr>
        <w:tc>
          <w:tcPr>
            <w:tcW w:w="1728" w:type="dxa"/>
            <w:hideMark/>
          </w:tcPr>
          <w:p w14:paraId="6D5974E5" w14:textId="77777777" w:rsidR="00C42114" w:rsidRPr="00D62E06" w:rsidRDefault="00C42114" w:rsidP="00C42114">
            <w:pPr>
              <w:spacing w:after="0" w:line="240" w:lineRule="auto"/>
              <w:rPr>
                <w:rFonts w:ascii="Arial" w:hAnsi="Arial" w:cs="Arial"/>
                <w:sz w:val="20"/>
                <w:szCs w:val="20"/>
              </w:rPr>
            </w:pPr>
          </w:p>
        </w:tc>
        <w:tc>
          <w:tcPr>
            <w:tcW w:w="1440" w:type="dxa"/>
            <w:hideMark/>
          </w:tcPr>
          <w:p w14:paraId="1BE6704D" w14:textId="77777777" w:rsidR="00C42114" w:rsidRPr="00D62E06" w:rsidRDefault="00C42114" w:rsidP="00C42114">
            <w:pPr>
              <w:spacing w:after="0" w:line="240" w:lineRule="auto"/>
              <w:rPr>
                <w:rFonts w:ascii="Arial" w:hAnsi="Arial" w:cs="Arial"/>
                <w:sz w:val="20"/>
                <w:szCs w:val="20"/>
              </w:rPr>
            </w:pPr>
            <w:proofErr w:type="spellStart"/>
            <w:proofErr w:type="gramStart"/>
            <w:r w:rsidRPr="00D62E06">
              <w:rPr>
                <w:rFonts w:ascii="Arial" w:hAnsi="Arial" w:cs="Arial"/>
                <w:sz w:val="20"/>
                <w:szCs w:val="20"/>
              </w:rPr>
              <w:t>B.Sc</w:t>
            </w:r>
            <w:proofErr w:type="spellEnd"/>
            <w:proofErr w:type="gramEnd"/>
          </w:p>
        </w:tc>
        <w:tc>
          <w:tcPr>
            <w:tcW w:w="1710" w:type="dxa"/>
            <w:hideMark/>
          </w:tcPr>
          <w:p w14:paraId="726EFE3B" w14:textId="77777777" w:rsidR="00C42114" w:rsidRPr="00D62E06" w:rsidRDefault="00C42114" w:rsidP="00C42114">
            <w:pPr>
              <w:spacing w:after="0" w:line="240" w:lineRule="auto"/>
              <w:rPr>
                <w:rFonts w:ascii="Arial" w:hAnsi="Arial" w:cs="Arial"/>
                <w:sz w:val="20"/>
                <w:szCs w:val="20"/>
              </w:rPr>
            </w:pPr>
            <w:r w:rsidRPr="00D62E06">
              <w:rPr>
                <w:rFonts w:ascii="Arial" w:hAnsi="Arial" w:cs="Arial"/>
                <w:sz w:val="20"/>
                <w:szCs w:val="20"/>
              </w:rPr>
              <w:t>32</w:t>
            </w:r>
          </w:p>
        </w:tc>
        <w:tc>
          <w:tcPr>
            <w:tcW w:w="1620" w:type="dxa"/>
            <w:hideMark/>
          </w:tcPr>
          <w:p w14:paraId="271C097B" w14:textId="77777777" w:rsidR="00C42114" w:rsidRPr="00D62E06" w:rsidRDefault="00C42114" w:rsidP="00C42114">
            <w:pPr>
              <w:spacing w:after="0" w:line="240" w:lineRule="auto"/>
              <w:rPr>
                <w:rFonts w:ascii="Arial" w:hAnsi="Arial" w:cs="Arial"/>
                <w:sz w:val="20"/>
                <w:szCs w:val="20"/>
              </w:rPr>
            </w:pPr>
            <w:r w:rsidRPr="00D62E06">
              <w:rPr>
                <w:rFonts w:ascii="Arial" w:hAnsi="Arial" w:cs="Arial"/>
                <w:sz w:val="20"/>
                <w:szCs w:val="20"/>
              </w:rPr>
              <w:t>19</w:t>
            </w:r>
          </w:p>
        </w:tc>
        <w:tc>
          <w:tcPr>
            <w:tcW w:w="1620" w:type="dxa"/>
            <w:hideMark/>
          </w:tcPr>
          <w:p w14:paraId="79A48AD2" w14:textId="77777777" w:rsidR="00C42114" w:rsidRPr="00D62E06" w:rsidRDefault="00C42114" w:rsidP="00C42114">
            <w:pPr>
              <w:spacing w:after="0" w:line="240" w:lineRule="auto"/>
              <w:rPr>
                <w:rFonts w:ascii="Arial" w:hAnsi="Arial" w:cs="Arial"/>
                <w:sz w:val="20"/>
                <w:szCs w:val="20"/>
              </w:rPr>
            </w:pPr>
            <w:r w:rsidRPr="00D62E06">
              <w:rPr>
                <w:rFonts w:ascii="Arial" w:hAnsi="Arial" w:cs="Arial"/>
                <w:sz w:val="20"/>
                <w:szCs w:val="20"/>
              </w:rPr>
              <w:t>51</w:t>
            </w:r>
          </w:p>
        </w:tc>
        <w:tc>
          <w:tcPr>
            <w:tcW w:w="1620" w:type="dxa"/>
            <w:hideMark/>
          </w:tcPr>
          <w:p w14:paraId="386EA402" w14:textId="77777777" w:rsidR="00C42114" w:rsidRPr="00D62E06" w:rsidRDefault="00C42114" w:rsidP="00C42114">
            <w:pPr>
              <w:spacing w:after="0" w:line="240" w:lineRule="auto"/>
              <w:rPr>
                <w:rFonts w:ascii="Arial" w:hAnsi="Arial" w:cs="Arial"/>
                <w:sz w:val="20"/>
                <w:szCs w:val="20"/>
              </w:rPr>
            </w:pPr>
            <w:r w:rsidRPr="00D62E06">
              <w:rPr>
                <w:rFonts w:ascii="Arial" w:hAnsi="Arial" w:cs="Arial"/>
                <w:sz w:val="20"/>
                <w:szCs w:val="20"/>
              </w:rPr>
              <w:t>14.20</w:t>
            </w:r>
          </w:p>
        </w:tc>
      </w:tr>
      <w:tr w:rsidR="00C42114" w:rsidRPr="00D62E06" w14:paraId="61F797D6" w14:textId="77777777" w:rsidTr="00C42114">
        <w:tc>
          <w:tcPr>
            <w:tcW w:w="1728" w:type="dxa"/>
            <w:hideMark/>
          </w:tcPr>
          <w:p w14:paraId="3BB127A9" w14:textId="77777777" w:rsidR="00C42114" w:rsidRPr="00D62E06" w:rsidRDefault="00C42114" w:rsidP="00C42114">
            <w:pPr>
              <w:spacing w:after="0" w:line="240" w:lineRule="auto"/>
              <w:rPr>
                <w:rFonts w:ascii="Arial" w:hAnsi="Arial" w:cs="Arial"/>
                <w:sz w:val="20"/>
                <w:szCs w:val="20"/>
              </w:rPr>
            </w:pPr>
            <w:r w:rsidRPr="00D62E06">
              <w:rPr>
                <w:rFonts w:ascii="Arial" w:hAnsi="Arial" w:cs="Arial"/>
                <w:b/>
                <w:bCs/>
                <w:sz w:val="20"/>
                <w:szCs w:val="20"/>
              </w:rPr>
              <w:t>Age Group (Years)</w:t>
            </w:r>
          </w:p>
        </w:tc>
        <w:tc>
          <w:tcPr>
            <w:tcW w:w="1440" w:type="dxa"/>
            <w:hideMark/>
          </w:tcPr>
          <w:p w14:paraId="164B4D99" w14:textId="77777777" w:rsidR="00C42114" w:rsidRPr="00D62E06" w:rsidRDefault="00C42114" w:rsidP="00C42114">
            <w:pPr>
              <w:spacing w:after="0" w:line="240" w:lineRule="auto"/>
              <w:rPr>
                <w:rFonts w:ascii="Arial" w:hAnsi="Arial" w:cs="Arial"/>
                <w:sz w:val="20"/>
                <w:szCs w:val="20"/>
              </w:rPr>
            </w:pPr>
            <w:r w:rsidRPr="00D62E06">
              <w:rPr>
                <w:rFonts w:ascii="Arial" w:hAnsi="Arial" w:cs="Arial"/>
                <w:sz w:val="20"/>
                <w:szCs w:val="20"/>
              </w:rPr>
              <w:t>18–25</w:t>
            </w:r>
          </w:p>
        </w:tc>
        <w:tc>
          <w:tcPr>
            <w:tcW w:w="1710" w:type="dxa"/>
            <w:hideMark/>
          </w:tcPr>
          <w:p w14:paraId="61EC99D5" w14:textId="77777777" w:rsidR="00C42114" w:rsidRPr="00D62E06" w:rsidRDefault="00C42114" w:rsidP="00C42114">
            <w:pPr>
              <w:spacing w:after="0" w:line="240" w:lineRule="auto"/>
              <w:rPr>
                <w:rFonts w:ascii="Arial" w:hAnsi="Arial" w:cs="Arial"/>
                <w:sz w:val="20"/>
                <w:szCs w:val="20"/>
              </w:rPr>
            </w:pPr>
            <w:r w:rsidRPr="00D62E06">
              <w:rPr>
                <w:rFonts w:ascii="Arial" w:hAnsi="Arial" w:cs="Arial"/>
                <w:sz w:val="20"/>
                <w:szCs w:val="20"/>
              </w:rPr>
              <w:t>30</w:t>
            </w:r>
          </w:p>
        </w:tc>
        <w:tc>
          <w:tcPr>
            <w:tcW w:w="1620" w:type="dxa"/>
            <w:hideMark/>
          </w:tcPr>
          <w:p w14:paraId="4CD66382" w14:textId="77777777" w:rsidR="00C42114" w:rsidRPr="00D62E06" w:rsidRDefault="00C42114" w:rsidP="00C42114">
            <w:pPr>
              <w:spacing w:after="0" w:line="240" w:lineRule="auto"/>
              <w:rPr>
                <w:rFonts w:ascii="Arial" w:hAnsi="Arial" w:cs="Arial"/>
                <w:sz w:val="20"/>
                <w:szCs w:val="20"/>
              </w:rPr>
            </w:pPr>
            <w:r w:rsidRPr="00D62E06">
              <w:rPr>
                <w:rFonts w:ascii="Arial" w:hAnsi="Arial" w:cs="Arial"/>
                <w:sz w:val="20"/>
                <w:szCs w:val="20"/>
              </w:rPr>
              <w:t>25</w:t>
            </w:r>
          </w:p>
        </w:tc>
        <w:tc>
          <w:tcPr>
            <w:tcW w:w="1620" w:type="dxa"/>
            <w:hideMark/>
          </w:tcPr>
          <w:p w14:paraId="57B457FA" w14:textId="77777777" w:rsidR="00C42114" w:rsidRPr="00D62E06" w:rsidRDefault="00C42114" w:rsidP="00C42114">
            <w:pPr>
              <w:spacing w:after="0" w:line="240" w:lineRule="auto"/>
              <w:rPr>
                <w:rFonts w:ascii="Arial" w:hAnsi="Arial" w:cs="Arial"/>
                <w:sz w:val="20"/>
                <w:szCs w:val="20"/>
              </w:rPr>
            </w:pPr>
            <w:r w:rsidRPr="00D62E06">
              <w:rPr>
                <w:rFonts w:ascii="Arial" w:hAnsi="Arial" w:cs="Arial"/>
                <w:sz w:val="20"/>
                <w:szCs w:val="20"/>
              </w:rPr>
              <w:t>55</w:t>
            </w:r>
          </w:p>
        </w:tc>
        <w:tc>
          <w:tcPr>
            <w:tcW w:w="1620" w:type="dxa"/>
            <w:hideMark/>
          </w:tcPr>
          <w:p w14:paraId="3CA00549" w14:textId="77777777" w:rsidR="00C42114" w:rsidRPr="00D62E06" w:rsidRDefault="00C42114" w:rsidP="00C42114">
            <w:pPr>
              <w:spacing w:after="0" w:line="240" w:lineRule="auto"/>
              <w:rPr>
                <w:rFonts w:ascii="Arial" w:hAnsi="Arial" w:cs="Arial"/>
                <w:sz w:val="20"/>
                <w:szCs w:val="20"/>
              </w:rPr>
            </w:pPr>
            <w:r w:rsidRPr="00D62E06">
              <w:rPr>
                <w:rFonts w:ascii="Arial" w:hAnsi="Arial" w:cs="Arial"/>
                <w:sz w:val="20"/>
                <w:szCs w:val="20"/>
              </w:rPr>
              <w:t>15.40</w:t>
            </w:r>
          </w:p>
        </w:tc>
      </w:tr>
      <w:tr w:rsidR="00C42114" w:rsidRPr="00D62E06" w14:paraId="581F133C" w14:textId="77777777" w:rsidTr="00C42114">
        <w:tc>
          <w:tcPr>
            <w:tcW w:w="1728" w:type="dxa"/>
            <w:hideMark/>
          </w:tcPr>
          <w:p w14:paraId="7288D02B" w14:textId="77777777" w:rsidR="00C42114" w:rsidRPr="00D62E06" w:rsidRDefault="00C42114" w:rsidP="00C42114">
            <w:pPr>
              <w:spacing w:after="0" w:line="240" w:lineRule="auto"/>
              <w:jc w:val="both"/>
              <w:rPr>
                <w:rFonts w:ascii="Arial" w:hAnsi="Arial" w:cs="Arial"/>
                <w:sz w:val="20"/>
                <w:szCs w:val="20"/>
              </w:rPr>
            </w:pPr>
          </w:p>
        </w:tc>
        <w:tc>
          <w:tcPr>
            <w:tcW w:w="1440" w:type="dxa"/>
            <w:hideMark/>
          </w:tcPr>
          <w:p w14:paraId="05A70340" w14:textId="77777777" w:rsidR="00C42114" w:rsidRPr="00D62E06" w:rsidRDefault="00C42114" w:rsidP="00C42114">
            <w:pPr>
              <w:spacing w:after="0" w:line="240" w:lineRule="auto"/>
              <w:rPr>
                <w:rFonts w:ascii="Arial" w:hAnsi="Arial" w:cs="Arial"/>
                <w:sz w:val="20"/>
                <w:szCs w:val="20"/>
              </w:rPr>
            </w:pPr>
            <w:r w:rsidRPr="00D62E06">
              <w:rPr>
                <w:rFonts w:ascii="Arial" w:hAnsi="Arial" w:cs="Arial"/>
                <w:sz w:val="20"/>
                <w:szCs w:val="20"/>
              </w:rPr>
              <w:t>26–35</w:t>
            </w:r>
          </w:p>
        </w:tc>
        <w:tc>
          <w:tcPr>
            <w:tcW w:w="1710" w:type="dxa"/>
            <w:hideMark/>
          </w:tcPr>
          <w:p w14:paraId="73346B04" w14:textId="77777777" w:rsidR="00C42114" w:rsidRPr="00D62E06" w:rsidRDefault="00C42114" w:rsidP="00C42114">
            <w:pPr>
              <w:spacing w:after="0" w:line="240" w:lineRule="auto"/>
              <w:rPr>
                <w:rFonts w:ascii="Arial" w:hAnsi="Arial" w:cs="Arial"/>
                <w:sz w:val="20"/>
                <w:szCs w:val="20"/>
              </w:rPr>
            </w:pPr>
            <w:r w:rsidRPr="00D62E06">
              <w:rPr>
                <w:rFonts w:ascii="Arial" w:hAnsi="Arial" w:cs="Arial"/>
                <w:sz w:val="20"/>
                <w:szCs w:val="20"/>
              </w:rPr>
              <w:t>87</w:t>
            </w:r>
          </w:p>
        </w:tc>
        <w:tc>
          <w:tcPr>
            <w:tcW w:w="1620" w:type="dxa"/>
            <w:hideMark/>
          </w:tcPr>
          <w:p w14:paraId="3CFA5E35" w14:textId="77777777" w:rsidR="00C42114" w:rsidRPr="00D62E06" w:rsidRDefault="00C42114" w:rsidP="00C42114">
            <w:pPr>
              <w:spacing w:after="0" w:line="240" w:lineRule="auto"/>
              <w:rPr>
                <w:rFonts w:ascii="Arial" w:hAnsi="Arial" w:cs="Arial"/>
                <w:sz w:val="20"/>
                <w:szCs w:val="20"/>
              </w:rPr>
            </w:pPr>
            <w:r w:rsidRPr="00D62E06">
              <w:rPr>
                <w:rFonts w:ascii="Arial" w:hAnsi="Arial" w:cs="Arial"/>
                <w:sz w:val="20"/>
                <w:szCs w:val="20"/>
              </w:rPr>
              <w:t>87</w:t>
            </w:r>
          </w:p>
        </w:tc>
        <w:tc>
          <w:tcPr>
            <w:tcW w:w="1620" w:type="dxa"/>
            <w:hideMark/>
          </w:tcPr>
          <w:p w14:paraId="6BFCE481" w14:textId="77777777" w:rsidR="00C42114" w:rsidRPr="00D62E06" w:rsidRDefault="00C42114" w:rsidP="00C42114">
            <w:pPr>
              <w:spacing w:after="0" w:line="240" w:lineRule="auto"/>
              <w:rPr>
                <w:rFonts w:ascii="Arial" w:hAnsi="Arial" w:cs="Arial"/>
                <w:sz w:val="20"/>
                <w:szCs w:val="20"/>
              </w:rPr>
            </w:pPr>
            <w:r w:rsidRPr="00D62E06">
              <w:rPr>
                <w:rFonts w:ascii="Arial" w:hAnsi="Arial" w:cs="Arial"/>
                <w:sz w:val="20"/>
                <w:szCs w:val="20"/>
              </w:rPr>
              <w:t>174</w:t>
            </w:r>
          </w:p>
        </w:tc>
        <w:tc>
          <w:tcPr>
            <w:tcW w:w="1620" w:type="dxa"/>
            <w:hideMark/>
          </w:tcPr>
          <w:p w14:paraId="5FD70D1E" w14:textId="77777777" w:rsidR="00C42114" w:rsidRPr="00D62E06" w:rsidRDefault="00C42114" w:rsidP="00C42114">
            <w:pPr>
              <w:spacing w:after="0" w:line="240" w:lineRule="auto"/>
              <w:rPr>
                <w:rFonts w:ascii="Arial" w:hAnsi="Arial" w:cs="Arial"/>
                <w:sz w:val="20"/>
                <w:szCs w:val="20"/>
              </w:rPr>
            </w:pPr>
            <w:r w:rsidRPr="00D62E06">
              <w:rPr>
                <w:rFonts w:ascii="Arial" w:hAnsi="Arial" w:cs="Arial"/>
                <w:sz w:val="20"/>
                <w:szCs w:val="20"/>
              </w:rPr>
              <w:t>48.73</w:t>
            </w:r>
          </w:p>
        </w:tc>
      </w:tr>
      <w:tr w:rsidR="00C42114" w:rsidRPr="00D62E06" w14:paraId="4AE685A7" w14:textId="77777777" w:rsidTr="00C42114">
        <w:tc>
          <w:tcPr>
            <w:tcW w:w="1728" w:type="dxa"/>
            <w:tcBorders>
              <w:bottom w:val="single" w:sz="4" w:space="0" w:color="auto"/>
            </w:tcBorders>
            <w:hideMark/>
          </w:tcPr>
          <w:p w14:paraId="3B31CEBF" w14:textId="77777777" w:rsidR="00C42114" w:rsidRPr="00D62E06" w:rsidRDefault="00C42114" w:rsidP="00C42114">
            <w:pPr>
              <w:spacing w:after="0" w:line="240" w:lineRule="auto"/>
              <w:jc w:val="both"/>
              <w:rPr>
                <w:rFonts w:ascii="Arial" w:hAnsi="Arial" w:cs="Arial"/>
                <w:sz w:val="20"/>
                <w:szCs w:val="20"/>
              </w:rPr>
            </w:pPr>
          </w:p>
        </w:tc>
        <w:tc>
          <w:tcPr>
            <w:tcW w:w="1440" w:type="dxa"/>
            <w:tcBorders>
              <w:bottom w:val="single" w:sz="4" w:space="0" w:color="auto"/>
            </w:tcBorders>
            <w:hideMark/>
          </w:tcPr>
          <w:p w14:paraId="00D54916" w14:textId="77777777" w:rsidR="00C42114" w:rsidRPr="00D62E06" w:rsidRDefault="00C42114" w:rsidP="00C42114">
            <w:pPr>
              <w:spacing w:after="0" w:line="240" w:lineRule="auto"/>
              <w:rPr>
                <w:rFonts w:ascii="Arial" w:hAnsi="Arial" w:cs="Arial"/>
                <w:sz w:val="20"/>
                <w:szCs w:val="20"/>
              </w:rPr>
            </w:pPr>
            <w:r w:rsidRPr="00D62E06">
              <w:rPr>
                <w:rFonts w:ascii="Arial" w:hAnsi="Arial" w:cs="Arial"/>
                <w:sz w:val="20"/>
                <w:szCs w:val="20"/>
              </w:rPr>
              <w:t>36 and above</w:t>
            </w:r>
          </w:p>
        </w:tc>
        <w:tc>
          <w:tcPr>
            <w:tcW w:w="1710" w:type="dxa"/>
            <w:tcBorders>
              <w:bottom w:val="single" w:sz="4" w:space="0" w:color="auto"/>
            </w:tcBorders>
            <w:hideMark/>
          </w:tcPr>
          <w:p w14:paraId="1161805A" w14:textId="77777777" w:rsidR="00C42114" w:rsidRPr="00D62E06" w:rsidRDefault="00C42114" w:rsidP="00C42114">
            <w:pPr>
              <w:spacing w:after="0" w:line="240" w:lineRule="auto"/>
              <w:rPr>
                <w:rFonts w:ascii="Arial" w:hAnsi="Arial" w:cs="Arial"/>
                <w:sz w:val="20"/>
                <w:szCs w:val="20"/>
              </w:rPr>
            </w:pPr>
            <w:r w:rsidRPr="00D62E06">
              <w:rPr>
                <w:rFonts w:ascii="Arial" w:hAnsi="Arial" w:cs="Arial"/>
                <w:sz w:val="20"/>
                <w:szCs w:val="20"/>
              </w:rPr>
              <w:t>60</w:t>
            </w:r>
          </w:p>
        </w:tc>
        <w:tc>
          <w:tcPr>
            <w:tcW w:w="1620" w:type="dxa"/>
            <w:tcBorders>
              <w:bottom w:val="single" w:sz="4" w:space="0" w:color="auto"/>
            </w:tcBorders>
            <w:hideMark/>
          </w:tcPr>
          <w:p w14:paraId="6485A861" w14:textId="77777777" w:rsidR="00C42114" w:rsidRPr="00D62E06" w:rsidRDefault="00C42114" w:rsidP="00C42114">
            <w:pPr>
              <w:spacing w:after="0" w:line="240" w:lineRule="auto"/>
              <w:rPr>
                <w:rFonts w:ascii="Arial" w:hAnsi="Arial" w:cs="Arial"/>
                <w:sz w:val="20"/>
                <w:szCs w:val="20"/>
              </w:rPr>
            </w:pPr>
            <w:r w:rsidRPr="00D62E06">
              <w:rPr>
                <w:rFonts w:ascii="Arial" w:hAnsi="Arial" w:cs="Arial"/>
                <w:sz w:val="20"/>
                <w:szCs w:val="20"/>
              </w:rPr>
              <w:t>68</w:t>
            </w:r>
          </w:p>
        </w:tc>
        <w:tc>
          <w:tcPr>
            <w:tcW w:w="1620" w:type="dxa"/>
            <w:tcBorders>
              <w:bottom w:val="single" w:sz="4" w:space="0" w:color="auto"/>
            </w:tcBorders>
            <w:hideMark/>
          </w:tcPr>
          <w:p w14:paraId="7699729B" w14:textId="77777777" w:rsidR="00C42114" w:rsidRPr="00D62E06" w:rsidRDefault="00C42114" w:rsidP="00C42114">
            <w:pPr>
              <w:spacing w:after="0" w:line="240" w:lineRule="auto"/>
              <w:rPr>
                <w:rFonts w:ascii="Arial" w:hAnsi="Arial" w:cs="Arial"/>
                <w:sz w:val="20"/>
                <w:szCs w:val="20"/>
              </w:rPr>
            </w:pPr>
            <w:r w:rsidRPr="00D62E06">
              <w:rPr>
                <w:rFonts w:ascii="Arial" w:hAnsi="Arial" w:cs="Arial"/>
                <w:sz w:val="20"/>
                <w:szCs w:val="20"/>
              </w:rPr>
              <w:t>128</w:t>
            </w:r>
          </w:p>
        </w:tc>
        <w:tc>
          <w:tcPr>
            <w:tcW w:w="1620" w:type="dxa"/>
            <w:tcBorders>
              <w:bottom w:val="single" w:sz="4" w:space="0" w:color="auto"/>
            </w:tcBorders>
            <w:hideMark/>
          </w:tcPr>
          <w:p w14:paraId="77CE92E6" w14:textId="77777777" w:rsidR="00C42114" w:rsidRPr="00D62E06" w:rsidRDefault="00C42114" w:rsidP="00C42114">
            <w:pPr>
              <w:spacing w:after="0" w:line="240" w:lineRule="auto"/>
              <w:rPr>
                <w:rFonts w:ascii="Arial" w:hAnsi="Arial" w:cs="Arial"/>
                <w:sz w:val="20"/>
                <w:szCs w:val="20"/>
              </w:rPr>
            </w:pPr>
            <w:r w:rsidRPr="00D62E06">
              <w:rPr>
                <w:rFonts w:ascii="Arial" w:hAnsi="Arial" w:cs="Arial"/>
                <w:sz w:val="20"/>
                <w:szCs w:val="20"/>
              </w:rPr>
              <w:t>35.87</w:t>
            </w:r>
          </w:p>
        </w:tc>
      </w:tr>
    </w:tbl>
    <w:p w14:paraId="08A23A81" w14:textId="77777777" w:rsidR="00C42114" w:rsidRPr="00D62E06" w:rsidRDefault="00C42114" w:rsidP="00C42114">
      <w:pPr>
        <w:spacing w:after="0" w:line="480" w:lineRule="auto"/>
        <w:jc w:val="both"/>
        <w:rPr>
          <w:rFonts w:ascii="Arial" w:hAnsi="Arial" w:cs="Arial"/>
          <w:sz w:val="20"/>
          <w:szCs w:val="20"/>
        </w:rPr>
      </w:pPr>
    </w:p>
    <w:p w14:paraId="52AB0A61" w14:textId="77777777" w:rsidR="00C42114" w:rsidRPr="00D62E06" w:rsidRDefault="00AB3C8B" w:rsidP="00C42114">
      <w:pPr>
        <w:spacing w:line="480" w:lineRule="auto"/>
        <w:jc w:val="both"/>
        <w:rPr>
          <w:rFonts w:ascii="Arial" w:hAnsi="Arial" w:cs="Arial"/>
          <w:b/>
          <w:bCs/>
          <w:sz w:val="20"/>
          <w:szCs w:val="20"/>
        </w:rPr>
      </w:pPr>
      <w:r>
        <w:rPr>
          <w:rFonts w:ascii="Arial" w:hAnsi="Arial" w:cs="Arial"/>
          <w:b/>
          <w:bCs/>
          <w:sz w:val="20"/>
          <w:szCs w:val="20"/>
        </w:rPr>
        <w:t>3.3</w:t>
      </w:r>
      <w:r>
        <w:rPr>
          <w:rFonts w:ascii="Arial" w:hAnsi="Arial" w:cs="Arial"/>
          <w:b/>
          <w:bCs/>
          <w:sz w:val="20"/>
          <w:szCs w:val="20"/>
        </w:rPr>
        <w:tab/>
      </w:r>
      <w:r w:rsidR="00C42114" w:rsidRPr="00D62E06">
        <w:rPr>
          <w:rFonts w:ascii="Arial" w:hAnsi="Arial" w:cs="Arial"/>
          <w:b/>
          <w:bCs/>
          <w:sz w:val="20"/>
          <w:szCs w:val="20"/>
        </w:rPr>
        <w:t>Parental Awareness of Pollution-Related Signs and Symptoms</w:t>
      </w:r>
    </w:p>
    <w:p w14:paraId="06BA08D4" w14:textId="77777777" w:rsidR="00C42114" w:rsidRPr="00D62E06" w:rsidRDefault="00C42114" w:rsidP="00C42114">
      <w:pPr>
        <w:spacing w:line="480" w:lineRule="auto"/>
        <w:jc w:val="both"/>
        <w:rPr>
          <w:rFonts w:ascii="Arial" w:hAnsi="Arial" w:cs="Arial"/>
          <w:sz w:val="20"/>
          <w:szCs w:val="20"/>
        </w:rPr>
      </w:pPr>
      <w:r w:rsidRPr="00D62E06">
        <w:rPr>
          <w:rFonts w:ascii="Arial" w:hAnsi="Arial" w:cs="Arial"/>
          <w:sz w:val="20"/>
          <w:szCs w:val="20"/>
        </w:rPr>
        <w:t xml:space="preserve">Respondents were asked to identify specific environmental and health-related signs they associate with oil refining pollution. These included changes in odor, water appearance, crop yield, and common health complaints. As shown in Table 2, both Eleme and Tai residents demonstrated high awareness across all items. The average Weighted Average (WA) scores were </w:t>
      </w:r>
      <w:r w:rsidRPr="00D62E06">
        <w:rPr>
          <w:rFonts w:ascii="Arial" w:hAnsi="Arial" w:cs="Arial"/>
          <w:b/>
          <w:bCs/>
          <w:sz w:val="20"/>
          <w:szCs w:val="20"/>
        </w:rPr>
        <w:t>3.18</w:t>
      </w:r>
      <w:r w:rsidRPr="00D62E06">
        <w:rPr>
          <w:rFonts w:ascii="Arial" w:hAnsi="Arial" w:cs="Arial"/>
          <w:sz w:val="20"/>
          <w:szCs w:val="20"/>
        </w:rPr>
        <w:t xml:space="preserve"> in Eleme and </w:t>
      </w:r>
      <w:r w:rsidRPr="00D62E06">
        <w:rPr>
          <w:rFonts w:ascii="Arial" w:hAnsi="Arial" w:cs="Arial"/>
          <w:b/>
          <w:bCs/>
          <w:sz w:val="20"/>
          <w:szCs w:val="20"/>
        </w:rPr>
        <w:t>3.23</w:t>
      </w:r>
      <w:r w:rsidRPr="00D62E06">
        <w:rPr>
          <w:rFonts w:ascii="Arial" w:hAnsi="Arial" w:cs="Arial"/>
          <w:sz w:val="20"/>
          <w:szCs w:val="20"/>
        </w:rPr>
        <w:t xml:space="preserve"> in Tai, indicating consistent recognition of pollution effects.</w:t>
      </w:r>
    </w:p>
    <w:p w14:paraId="29F15B79" w14:textId="77777777" w:rsidR="00C42114" w:rsidRPr="00D62E06" w:rsidRDefault="00C42114" w:rsidP="00C42114">
      <w:pPr>
        <w:spacing w:line="480" w:lineRule="auto"/>
        <w:jc w:val="both"/>
        <w:rPr>
          <w:rFonts w:ascii="Arial" w:hAnsi="Arial" w:cs="Arial"/>
          <w:sz w:val="20"/>
          <w:szCs w:val="20"/>
        </w:rPr>
      </w:pPr>
    </w:p>
    <w:p w14:paraId="2B4EFC1D" w14:textId="77777777" w:rsidR="00C42114" w:rsidRDefault="00C42114" w:rsidP="00C42114">
      <w:pPr>
        <w:spacing w:line="480" w:lineRule="auto"/>
        <w:jc w:val="both"/>
        <w:rPr>
          <w:rFonts w:ascii="Arial" w:hAnsi="Arial" w:cs="Arial"/>
          <w:sz w:val="20"/>
          <w:szCs w:val="20"/>
        </w:rPr>
      </w:pPr>
    </w:p>
    <w:p w14:paraId="102A9F22" w14:textId="77777777" w:rsidR="00D62E06" w:rsidRPr="00D62E06" w:rsidRDefault="00D62E06" w:rsidP="00C42114">
      <w:pPr>
        <w:spacing w:line="480" w:lineRule="auto"/>
        <w:jc w:val="both"/>
        <w:rPr>
          <w:rFonts w:ascii="Arial" w:hAnsi="Arial" w:cs="Arial"/>
          <w:sz w:val="20"/>
          <w:szCs w:val="20"/>
        </w:rPr>
      </w:pPr>
    </w:p>
    <w:p w14:paraId="4E27907A" w14:textId="77777777" w:rsidR="00C42114" w:rsidRPr="00D62E06" w:rsidRDefault="00C42114" w:rsidP="00C42114">
      <w:pPr>
        <w:spacing w:line="480" w:lineRule="auto"/>
        <w:jc w:val="both"/>
        <w:rPr>
          <w:rFonts w:ascii="Arial" w:hAnsi="Arial" w:cs="Arial"/>
          <w:sz w:val="20"/>
          <w:szCs w:val="20"/>
        </w:rPr>
      </w:pPr>
    </w:p>
    <w:p w14:paraId="5EDE69D7" w14:textId="77777777" w:rsidR="00C42114" w:rsidRPr="00D62E06" w:rsidRDefault="00C42114" w:rsidP="00C42114">
      <w:pPr>
        <w:spacing w:line="360" w:lineRule="auto"/>
        <w:jc w:val="both"/>
        <w:rPr>
          <w:rFonts w:ascii="Arial" w:hAnsi="Arial" w:cs="Arial"/>
          <w:b/>
          <w:bCs/>
          <w:sz w:val="20"/>
          <w:szCs w:val="20"/>
        </w:rPr>
      </w:pPr>
      <w:r w:rsidRPr="00D62E06">
        <w:rPr>
          <w:rFonts w:ascii="Arial" w:hAnsi="Arial" w:cs="Arial"/>
          <w:b/>
          <w:bCs/>
          <w:sz w:val="20"/>
          <w:szCs w:val="20"/>
        </w:rPr>
        <w:t>Table 2: Knowledge of Parents on Signs and Symptoms Associated with Environmental Pollution from Oil Refining Activities</w:t>
      </w:r>
    </w:p>
    <w:tbl>
      <w:tblPr>
        <w:tblW w:w="0" w:type="auto"/>
        <w:tblLook w:val="04A0" w:firstRow="1" w:lastRow="0" w:firstColumn="1" w:lastColumn="0" w:noHBand="0" w:noVBand="1"/>
      </w:tblPr>
      <w:tblGrid>
        <w:gridCol w:w="494"/>
        <w:gridCol w:w="6273"/>
        <w:gridCol w:w="1070"/>
        <w:gridCol w:w="789"/>
        <w:gridCol w:w="950"/>
      </w:tblGrid>
      <w:tr w:rsidR="00C42114" w:rsidRPr="00D62E06" w14:paraId="499B2D1B" w14:textId="77777777" w:rsidTr="00C42114">
        <w:trPr>
          <w:trHeight w:val="980"/>
        </w:trPr>
        <w:tc>
          <w:tcPr>
            <w:tcW w:w="0" w:type="auto"/>
            <w:tcBorders>
              <w:top w:val="single" w:sz="4" w:space="0" w:color="auto"/>
              <w:bottom w:val="single" w:sz="4" w:space="0" w:color="auto"/>
            </w:tcBorders>
            <w:hideMark/>
          </w:tcPr>
          <w:p w14:paraId="158F4EED" w14:textId="77777777" w:rsidR="00C42114" w:rsidRPr="00D62E06" w:rsidRDefault="00C42114" w:rsidP="00C42114">
            <w:pPr>
              <w:spacing w:after="0" w:line="480" w:lineRule="auto"/>
              <w:jc w:val="both"/>
              <w:rPr>
                <w:rFonts w:ascii="Arial" w:hAnsi="Arial" w:cs="Arial"/>
                <w:b/>
                <w:bCs/>
                <w:sz w:val="20"/>
                <w:szCs w:val="20"/>
              </w:rPr>
            </w:pPr>
            <w:r w:rsidRPr="00D62E06">
              <w:rPr>
                <w:rFonts w:ascii="Arial" w:hAnsi="Arial" w:cs="Arial"/>
                <w:b/>
                <w:bCs/>
                <w:sz w:val="20"/>
                <w:szCs w:val="20"/>
              </w:rPr>
              <w:t>SN</w:t>
            </w:r>
          </w:p>
        </w:tc>
        <w:tc>
          <w:tcPr>
            <w:tcW w:w="0" w:type="auto"/>
            <w:tcBorders>
              <w:top w:val="single" w:sz="4" w:space="0" w:color="auto"/>
              <w:bottom w:val="single" w:sz="4" w:space="0" w:color="auto"/>
            </w:tcBorders>
            <w:hideMark/>
          </w:tcPr>
          <w:p w14:paraId="35D38A34" w14:textId="77777777" w:rsidR="00C42114" w:rsidRPr="00D62E06" w:rsidRDefault="00C42114" w:rsidP="00C42114">
            <w:pPr>
              <w:spacing w:after="0" w:line="480" w:lineRule="auto"/>
              <w:jc w:val="both"/>
              <w:rPr>
                <w:rFonts w:ascii="Arial" w:hAnsi="Arial" w:cs="Arial"/>
                <w:b/>
                <w:bCs/>
                <w:sz w:val="20"/>
                <w:szCs w:val="20"/>
              </w:rPr>
            </w:pPr>
            <w:r w:rsidRPr="00D62E06">
              <w:rPr>
                <w:rFonts w:ascii="Arial" w:hAnsi="Arial" w:cs="Arial"/>
                <w:b/>
                <w:bCs/>
                <w:sz w:val="20"/>
                <w:szCs w:val="20"/>
              </w:rPr>
              <w:t>Pollution Indicator</w:t>
            </w:r>
          </w:p>
        </w:tc>
        <w:tc>
          <w:tcPr>
            <w:tcW w:w="0" w:type="auto"/>
            <w:tcBorders>
              <w:top w:val="single" w:sz="4" w:space="0" w:color="auto"/>
              <w:bottom w:val="single" w:sz="4" w:space="0" w:color="auto"/>
            </w:tcBorders>
            <w:hideMark/>
          </w:tcPr>
          <w:p w14:paraId="0F69B7E6" w14:textId="77777777" w:rsidR="00C42114" w:rsidRPr="00D62E06" w:rsidRDefault="00C42114" w:rsidP="00C42114">
            <w:pPr>
              <w:spacing w:after="0" w:line="480" w:lineRule="auto"/>
              <w:jc w:val="both"/>
              <w:rPr>
                <w:rFonts w:ascii="Arial" w:hAnsi="Arial" w:cs="Arial"/>
                <w:b/>
                <w:bCs/>
                <w:sz w:val="20"/>
                <w:szCs w:val="20"/>
              </w:rPr>
            </w:pPr>
            <w:r w:rsidRPr="00D62E06">
              <w:rPr>
                <w:rFonts w:ascii="Arial" w:hAnsi="Arial" w:cs="Arial"/>
                <w:b/>
                <w:bCs/>
                <w:sz w:val="20"/>
                <w:szCs w:val="20"/>
              </w:rPr>
              <w:t>Eleme WA</w:t>
            </w:r>
          </w:p>
        </w:tc>
        <w:tc>
          <w:tcPr>
            <w:tcW w:w="0" w:type="auto"/>
            <w:tcBorders>
              <w:top w:val="single" w:sz="4" w:space="0" w:color="auto"/>
              <w:bottom w:val="single" w:sz="4" w:space="0" w:color="auto"/>
            </w:tcBorders>
            <w:hideMark/>
          </w:tcPr>
          <w:p w14:paraId="65C09F36" w14:textId="77777777" w:rsidR="00C42114" w:rsidRPr="00D62E06" w:rsidRDefault="00C42114" w:rsidP="00C42114">
            <w:pPr>
              <w:spacing w:after="0" w:line="480" w:lineRule="auto"/>
              <w:jc w:val="both"/>
              <w:rPr>
                <w:rFonts w:ascii="Arial" w:hAnsi="Arial" w:cs="Arial"/>
                <w:b/>
                <w:bCs/>
                <w:sz w:val="20"/>
                <w:szCs w:val="20"/>
              </w:rPr>
            </w:pPr>
            <w:r w:rsidRPr="00D62E06">
              <w:rPr>
                <w:rFonts w:ascii="Arial" w:hAnsi="Arial" w:cs="Arial"/>
                <w:b/>
                <w:bCs/>
                <w:sz w:val="20"/>
                <w:szCs w:val="20"/>
              </w:rPr>
              <w:t>Tai WA</w:t>
            </w:r>
          </w:p>
        </w:tc>
        <w:tc>
          <w:tcPr>
            <w:tcW w:w="0" w:type="auto"/>
            <w:tcBorders>
              <w:top w:val="single" w:sz="4" w:space="0" w:color="auto"/>
              <w:bottom w:val="single" w:sz="4" w:space="0" w:color="auto"/>
            </w:tcBorders>
            <w:hideMark/>
          </w:tcPr>
          <w:p w14:paraId="29A8BE59" w14:textId="77777777" w:rsidR="00C42114" w:rsidRPr="00D62E06" w:rsidRDefault="00C42114" w:rsidP="00C42114">
            <w:pPr>
              <w:spacing w:after="0" w:line="480" w:lineRule="auto"/>
              <w:jc w:val="both"/>
              <w:rPr>
                <w:rFonts w:ascii="Arial" w:hAnsi="Arial" w:cs="Arial"/>
                <w:b/>
                <w:bCs/>
                <w:sz w:val="20"/>
                <w:szCs w:val="20"/>
              </w:rPr>
            </w:pPr>
            <w:r w:rsidRPr="00D62E06">
              <w:rPr>
                <w:rFonts w:ascii="Arial" w:hAnsi="Arial" w:cs="Arial"/>
                <w:b/>
                <w:bCs/>
                <w:sz w:val="20"/>
                <w:szCs w:val="20"/>
              </w:rPr>
              <w:t>Remark</w:t>
            </w:r>
          </w:p>
        </w:tc>
      </w:tr>
      <w:tr w:rsidR="00C42114" w:rsidRPr="00D62E06" w14:paraId="000C3FDB" w14:textId="77777777" w:rsidTr="00C42114">
        <w:tc>
          <w:tcPr>
            <w:tcW w:w="0" w:type="auto"/>
            <w:tcBorders>
              <w:top w:val="single" w:sz="4" w:space="0" w:color="auto"/>
            </w:tcBorders>
            <w:hideMark/>
          </w:tcPr>
          <w:p w14:paraId="611E374E" w14:textId="77777777" w:rsidR="00C42114" w:rsidRPr="00D62E06" w:rsidRDefault="00C42114" w:rsidP="00C42114">
            <w:pPr>
              <w:spacing w:after="0" w:line="480" w:lineRule="auto"/>
              <w:jc w:val="both"/>
              <w:rPr>
                <w:rFonts w:ascii="Arial" w:hAnsi="Arial" w:cs="Arial"/>
                <w:sz w:val="20"/>
                <w:szCs w:val="20"/>
              </w:rPr>
            </w:pPr>
            <w:r w:rsidRPr="00D62E06">
              <w:rPr>
                <w:rFonts w:ascii="Arial" w:hAnsi="Arial" w:cs="Arial"/>
                <w:sz w:val="20"/>
                <w:szCs w:val="20"/>
              </w:rPr>
              <w:t>1</w:t>
            </w:r>
          </w:p>
        </w:tc>
        <w:tc>
          <w:tcPr>
            <w:tcW w:w="0" w:type="auto"/>
            <w:tcBorders>
              <w:top w:val="single" w:sz="4" w:space="0" w:color="auto"/>
            </w:tcBorders>
            <w:hideMark/>
          </w:tcPr>
          <w:p w14:paraId="5F3C84A6" w14:textId="77777777" w:rsidR="00C42114" w:rsidRPr="00D62E06" w:rsidRDefault="00C42114" w:rsidP="00C42114">
            <w:pPr>
              <w:spacing w:after="0" w:line="480" w:lineRule="auto"/>
              <w:jc w:val="both"/>
              <w:rPr>
                <w:rFonts w:ascii="Arial" w:hAnsi="Arial" w:cs="Arial"/>
                <w:sz w:val="20"/>
                <w:szCs w:val="20"/>
              </w:rPr>
            </w:pPr>
            <w:r w:rsidRPr="00D62E06">
              <w:rPr>
                <w:rFonts w:ascii="Arial" w:hAnsi="Arial" w:cs="Arial"/>
                <w:sz w:val="20"/>
                <w:szCs w:val="20"/>
              </w:rPr>
              <w:t xml:space="preserve">Pungent and unpleasant </w:t>
            </w:r>
            <w:proofErr w:type="spellStart"/>
            <w:r w:rsidRPr="00D62E06">
              <w:rPr>
                <w:rFonts w:ascii="Arial" w:hAnsi="Arial" w:cs="Arial"/>
                <w:sz w:val="20"/>
                <w:szCs w:val="20"/>
              </w:rPr>
              <w:t>odour</w:t>
            </w:r>
            <w:proofErr w:type="spellEnd"/>
            <w:r w:rsidRPr="00D62E06">
              <w:rPr>
                <w:rFonts w:ascii="Arial" w:hAnsi="Arial" w:cs="Arial"/>
                <w:sz w:val="20"/>
                <w:szCs w:val="20"/>
              </w:rPr>
              <w:t xml:space="preserve"> commonly perceived around and within refinery</w:t>
            </w:r>
          </w:p>
        </w:tc>
        <w:tc>
          <w:tcPr>
            <w:tcW w:w="0" w:type="auto"/>
            <w:tcBorders>
              <w:top w:val="single" w:sz="4" w:space="0" w:color="auto"/>
            </w:tcBorders>
            <w:hideMark/>
          </w:tcPr>
          <w:p w14:paraId="2FB9C1ED" w14:textId="77777777" w:rsidR="00C42114" w:rsidRPr="00D62E06" w:rsidRDefault="00C42114" w:rsidP="00C42114">
            <w:pPr>
              <w:spacing w:after="0" w:line="480" w:lineRule="auto"/>
              <w:jc w:val="both"/>
              <w:rPr>
                <w:rFonts w:ascii="Arial" w:hAnsi="Arial" w:cs="Arial"/>
                <w:sz w:val="20"/>
                <w:szCs w:val="20"/>
              </w:rPr>
            </w:pPr>
            <w:r w:rsidRPr="00D62E06">
              <w:rPr>
                <w:rFonts w:ascii="Arial" w:hAnsi="Arial" w:cs="Arial"/>
                <w:sz w:val="20"/>
                <w:szCs w:val="20"/>
              </w:rPr>
              <w:t>3.37</w:t>
            </w:r>
          </w:p>
        </w:tc>
        <w:tc>
          <w:tcPr>
            <w:tcW w:w="0" w:type="auto"/>
            <w:tcBorders>
              <w:top w:val="single" w:sz="4" w:space="0" w:color="auto"/>
            </w:tcBorders>
            <w:hideMark/>
          </w:tcPr>
          <w:p w14:paraId="045170FA" w14:textId="77777777" w:rsidR="00C42114" w:rsidRPr="00D62E06" w:rsidRDefault="00C42114" w:rsidP="00C42114">
            <w:pPr>
              <w:spacing w:after="0" w:line="480" w:lineRule="auto"/>
              <w:jc w:val="both"/>
              <w:rPr>
                <w:rFonts w:ascii="Arial" w:hAnsi="Arial" w:cs="Arial"/>
                <w:sz w:val="20"/>
                <w:szCs w:val="20"/>
              </w:rPr>
            </w:pPr>
            <w:r w:rsidRPr="00D62E06">
              <w:rPr>
                <w:rFonts w:ascii="Arial" w:hAnsi="Arial" w:cs="Arial"/>
                <w:sz w:val="20"/>
                <w:szCs w:val="20"/>
              </w:rPr>
              <w:t>3.23</w:t>
            </w:r>
          </w:p>
        </w:tc>
        <w:tc>
          <w:tcPr>
            <w:tcW w:w="0" w:type="auto"/>
            <w:tcBorders>
              <w:top w:val="single" w:sz="4" w:space="0" w:color="auto"/>
            </w:tcBorders>
            <w:hideMark/>
          </w:tcPr>
          <w:p w14:paraId="4367CC0F" w14:textId="77777777" w:rsidR="00C42114" w:rsidRPr="00D62E06" w:rsidRDefault="00C42114" w:rsidP="00C42114">
            <w:pPr>
              <w:spacing w:after="0" w:line="480" w:lineRule="auto"/>
              <w:jc w:val="both"/>
              <w:rPr>
                <w:rFonts w:ascii="Arial" w:hAnsi="Arial" w:cs="Arial"/>
                <w:sz w:val="20"/>
                <w:szCs w:val="20"/>
              </w:rPr>
            </w:pPr>
            <w:r w:rsidRPr="00D62E06">
              <w:rPr>
                <w:rFonts w:ascii="Arial" w:hAnsi="Arial" w:cs="Arial"/>
                <w:sz w:val="20"/>
                <w:szCs w:val="20"/>
              </w:rPr>
              <w:t>Agree</w:t>
            </w:r>
          </w:p>
        </w:tc>
      </w:tr>
      <w:tr w:rsidR="00C42114" w:rsidRPr="00D62E06" w14:paraId="6909D7A2" w14:textId="77777777" w:rsidTr="00C42114">
        <w:tc>
          <w:tcPr>
            <w:tcW w:w="0" w:type="auto"/>
            <w:hideMark/>
          </w:tcPr>
          <w:p w14:paraId="70FA7751" w14:textId="77777777" w:rsidR="00C42114" w:rsidRPr="00D62E06" w:rsidRDefault="00C42114" w:rsidP="00C42114">
            <w:pPr>
              <w:spacing w:after="0" w:line="480" w:lineRule="auto"/>
              <w:jc w:val="both"/>
              <w:rPr>
                <w:rFonts w:ascii="Arial" w:hAnsi="Arial" w:cs="Arial"/>
                <w:sz w:val="20"/>
                <w:szCs w:val="20"/>
              </w:rPr>
            </w:pPr>
            <w:r w:rsidRPr="00D62E06">
              <w:rPr>
                <w:rFonts w:ascii="Arial" w:hAnsi="Arial" w:cs="Arial"/>
                <w:sz w:val="20"/>
                <w:szCs w:val="20"/>
              </w:rPr>
              <w:t>2</w:t>
            </w:r>
          </w:p>
        </w:tc>
        <w:tc>
          <w:tcPr>
            <w:tcW w:w="0" w:type="auto"/>
            <w:hideMark/>
          </w:tcPr>
          <w:p w14:paraId="53C0588F" w14:textId="77777777" w:rsidR="00C42114" w:rsidRPr="00D62E06" w:rsidRDefault="00C42114" w:rsidP="00C42114">
            <w:pPr>
              <w:spacing w:after="0" w:line="480" w:lineRule="auto"/>
              <w:jc w:val="both"/>
              <w:rPr>
                <w:rFonts w:ascii="Arial" w:hAnsi="Arial" w:cs="Arial"/>
                <w:sz w:val="20"/>
                <w:szCs w:val="20"/>
              </w:rPr>
            </w:pPr>
            <w:r w:rsidRPr="00D62E06">
              <w:rPr>
                <w:rFonts w:ascii="Arial" w:hAnsi="Arial" w:cs="Arial"/>
                <w:sz w:val="20"/>
                <w:szCs w:val="20"/>
              </w:rPr>
              <w:t>Rivers and rainwater turning black is a sign of water contamination due to refinery pollutants</w:t>
            </w:r>
          </w:p>
        </w:tc>
        <w:tc>
          <w:tcPr>
            <w:tcW w:w="0" w:type="auto"/>
            <w:hideMark/>
          </w:tcPr>
          <w:p w14:paraId="1512506D" w14:textId="77777777" w:rsidR="00C42114" w:rsidRPr="00D62E06" w:rsidRDefault="00C42114" w:rsidP="00C42114">
            <w:pPr>
              <w:spacing w:after="0" w:line="480" w:lineRule="auto"/>
              <w:jc w:val="both"/>
              <w:rPr>
                <w:rFonts w:ascii="Arial" w:hAnsi="Arial" w:cs="Arial"/>
                <w:sz w:val="20"/>
                <w:szCs w:val="20"/>
              </w:rPr>
            </w:pPr>
            <w:r w:rsidRPr="00D62E06">
              <w:rPr>
                <w:rFonts w:ascii="Arial" w:hAnsi="Arial" w:cs="Arial"/>
                <w:sz w:val="20"/>
                <w:szCs w:val="20"/>
              </w:rPr>
              <w:t>3.02</w:t>
            </w:r>
          </w:p>
        </w:tc>
        <w:tc>
          <w:tcPr>
            <w:tcW w:w="0" w:type="auto"/>
            <w:hideMark/>
          </w:tcPr>
          <w:p w14:paraId="7AA41D57" w14:textId="77777777" w:rsidR="00C42114" w:rsidRPr="00D62E06" w:rsidRDefault="00C42114" w:rsidP="00C42114">
            <w:pPr>
              <w:spacing w:after="0" w:line="480" w:lineRule="auto"/>
              <w:jc w:val="both"/>
              <w:rPr>
                <w:rFonts w:ascii="Arial" w:hAnsi="Arial" w:cs="Arial"/>
                <w:sz w:val="20"/>
                <w:szCs w:val="20"/>
              </w:rPr>
            </w:pPr>
            <w:r w:rsidRPr="00D62E06">
              <w:rPr>
                <w:rFonts w:ascii="Arial" w:hAnsi="Arial" w:cs="Arial"/>
                <w:sz w:val="20"/>
                <w:szCs w:val="20"/>
              </w:rPr>
              <w:t>3.22</w:t>
            </w:r>
          </w:p>
        </w:tc>
        <w:tc>
          <w:tcPr>
            <w:tcW w:w="0" w:type="auto"/>
            <w:hideMark/>
          </w:tcPr>
          <w:p w14:paraId="05069835" w14:textId="77777777" w:rsidR="00C42114" w:rsidRPr="00D62E06" w:rsidRDefault="00C42114" w:rsidP="00C42114">
            <w:pPr>
              <w:spacing w:after="0" w:line="480" w:lineRule="auto"/>
              <w:jc w:val="both"/>
              <w:rPr>
                <w:rFonts w:ascii="Arial" w:hAnsi="Arial" w:cs="Arial"/>
                <w:sz w:val="20"/>
                <w:szCs w:val="20"/>
              </w:rPr>
            </w:pPr>
            <w:r w:rsidRPr="00D62E06">
              <w:rPr>
                <w:rFonts w:ascii="Arial" w:hAnsi="Arial" w:cs="Arial"/>
                <w:sz w:val="20"/>
                <w:szCs w:val="20"/>
              </w:rPr>
              <w:t>Agree</w:t>
            </w:r>
          </w:p>
        </w:tc>
      </w:tr>
      <w:tr w:rsidR="00C42114" w:rsidRPr="00D62E06" w14:paraId="70C57C00" w14:textId="77777777" w:rsidTr="00C42114">
        <w:tc>
          <w:tcPr>
            <w:tcW w:w="0" w:type="auto"/>
            <w:hideMark/>
          </w:tcPr>
          <w:p w14:paraId="39A24C66" w14:textId="77777777" w:rsidR="00C42114" w:rsidRPr="00D62E06" w:rsidRDefault="00C42114" w:rsidP="00C42114">
            <w:pPr>
              <w:spacing w:after="0" w:line="480" w:lineRule="auto"/>
              <w:jc w:val="both"/>
              <w:rPr>
                <w:rFonts w:ascii="Arial" w:hAnsi="Arial" w:cs="Arial"/>
                <w:sz w:val="20"/>
                <w:szCs w:val="20"/>
              </w:rPr>
            </w:pPr>
            <w:r w:rsidRPr="00D62E06">
              <w:rPr>
                <w:rFonts w:ascii="Arial" w:hAnsi="Arial" w:cs="Arial"/>
                <w:sz w:val="20"/>
                <w:szCs w:val="20"/>
              </w:rPr>
              <w:lastRenderedPageBreak/>
              <w:t>3</w:t>
            </w:r>
          </w:p>
        </w:tc>
        <w:tc>
          <w:tcPr>
            <w:tcW w:w="0" w:type="auto"/>
            <w:hideMark/>
          </w:tcPr>
          <w:p w14:paraId="2259CA23" w14:textId="77777777" w:rsidR="00C42114" w:rsidRPr="00D62E06" w:rsidRDefault="00C42114" w:rsidP="00C42114">
            <w:pPr>
              <w:spacing w:after="0" w:line="480" w:lineRule="auto"/>
              <w:jc w:val="both"/>
              <w:rPr>
                <w:rFonts w:ascii="Arial" w:hAnsi="Arial" w:cs="Arial"/>
                <w:sz w:val="20"/>
                <w:szCs w:val="20"/>
              </w:rPr>
            </w:pPr>
            <w:r w:rsidRPr="00D62E06">
              <w:rPr>
                <w:rFonts w:ascii="Arial" w:hAnsi="Arial" w:cs="Arial"/>
                <w:sz w:val="20"/>
                <w:szCs w:val="20"/>
              </w:rPr>
              <w:t>Poor crop yield as a result of soil pollution from untreated refinery waste</w:t>
            </w:r>
          </w:p>
        </w:tc>
        <w:tc>
          <w:tcPr>
            <w:tcW w:w="0" w:type="auto"/>
            <w:hideMark/>
          </w:tcPr>
          <w:p w14:paraId="69AC5576" w14:textId="77777777" w:rsidR="00C42114" w:rsidRPr="00D62E06" w:rsidRDefault="00C42114" w:rsidP="00C42114">
            <w:pPr>
              <w:spacing w:after="0" w:line="480" w:lineRule="auto"/>
              <w:jc w:val="both"/>
              <w:rPr>
                <w:rFonts w:ascii="Arial" w:hAnsi="Arial" w:cs="Arial"/>
                <w:sz w:val="20"/>
                <w:szCs w:val="20"/>
              </w:rPr>
            </w:pPr>
            <w:r w:rsidRPr="00D62E06">
              <w:rPr>
                <w:rFonts w:ascii="Arial" w:hAnsi="Arial" w:cs="Arial"/>
                <w:sz w:val="20"/>
                <w:szCs w:val="20"/>
              </w:rPr>
              <w:t>3.20</w:t>
            </w:r>
          </w:p>
        </w:tc>
        <w:tc>
          <w:tcPr>
            <w:tcW w:w="0" w:type="auto"/>
            <w:hideMark/>
          </w:tcPr>
          <w:p w14:paraId="13578B47" w14:textId="77777777" w:rsidR="00C42114" w:rsidRPr="00D62E06" w:rsidRDefault="00C42114" w:rsidP="00C42114">
            <w:pPr>
              <w:spacing w:after="0" w:line="480" w:lineRule="auto"/>
              <w:jc w:val="both"/>
              <w:rPr>
                <w:rFonts w:ascii="Arial" w:hAnsi="Arial" w:cs="Arial"/>
                <w:sz w:val="20"/>
                <w:szCs w:val="20"/>
              </w:rPr>
            </w:pPr>
            <w:r w:rsidRPr="00D62E06">
              <w:rPr>
                <w:rFonts w:ascii="Arial" w:hAnsi="Arial" w:cs="Arial"/>
                <w:sz w:val="20"/>
                <w:szCs w:val="20"/>
              </w:rPr>
              <w:t>3.23</w:t>
            </w:r>
          </w:p>
        </w:tc>
        <w:tc>
          <w:tcPr>
            <w:tcW w:w="0" w:type="auto"/>
            <w:hideMark/>
          </w:tcPr>
          <w:p w14:paraId="2086DC7D" w14:textId="77777777" w:rsidR="00C42114" w:rsidRPr="00D62E06" w:rsidRDefault="00C42114" w:rsidP="00C42114">
            <w:pPr>
              <w:spacing w:after="0" w:line="480" w:lineRule="auto"/>
              <w:jc w:val="both"/>
              <w:rPr>
                <w:rFonts w:ascii="Arial" w:hAnsi="Arial" w:cs="Arial"/>
                <w:sz w:val="20"/>
                <w:szCs w:val="20"/>
              </w:rPr>
            </w:pPr>
            <w:r w:rsidRPr="00D62E06">
              <w:rPr>
                <w:rFonts w:ascii="Arial" w:hAnsi="Arial" w:cs="Arial"/>
                <w:sz w:val="20"/>
                <w:szCs w:val="20"/>
              </w:rPr>
              <w:t>Agree</w:t>
            </w:r>
          </w:p>
        </w:tc>
      </w:tr>
      <w:tr w:rsidR="00C42114" w:rsidRPr="00D62E06" w14:paraId="26B6FC8E" w14:textId="77777777" w:rsidTr="00C42114">
        <w:tc>
          <w:tcPr>
            <w:tcW w:w="0" w:type="auto"/>
            <w:hideMark/>
          </w:tcPr>
          <w:p w14:paraId="63330EF9" w14:textId="77777777" w:rsidR="00C42114" w:rsidRPr="00D62E06" w:rsidRDefault="00C42114" w:rsidP="00C42114">
            <w:pPr>
              <w:spacing w:after="0" w:line="480" w:lineRule="auto"/>
              <w:jc w:val="both"/>
              <w:rPr>
                <w:rFonts w:ascii="Arial" w:hAnsi="Arial" w:cs="Arial"/>
                <w:sz w:val="20"/>
                <w:szCs w:val="20"/>
              </w:rPr>
            </w:pPr>
            <w:r w:rsidRPr="00D62E06">
              <w:rPr>
                <w:rFonts w:ascii="Arial" w:hAnsi="Arial" w:cs="Arial"/>
                <w:sz w:val="20"/>
                <w:szCs w:val="20"/>
              </w:rPr>
              <w:t>4</w:t>
            </w:r>
          </w:p>
        </w:tc>
        <w:tc>
          <w:tcPr>
            <w:tcW w:w="0" w:type="auto"/>
            <w:hideMark/>
          </w:tcPr>
          <w:p w14:paraId="38D253C7" w14:textId="77777777" w:rsidR="00C42114" w:rsidRPr="00D62E06" w:rsidRDefault="00C42114" w:rsidP="00C42114">
            <w:pPr>
              <w:spacing w:after="0" w:line="480" w:lineRule="auto"/>
              <w:jc w:val="both"/>
              <w:rPr>
                <w:rFonts w:ascii="Arial" w:hAnsi="Arial" w:cs="Arial"/>
                <w:sz w:val="20"/>
                <w:szCs w:val="20"/>
              </w:rPr>
            </w:pPr>
            <w:r w:rsidRPr="00D62E06">
              <w:rPr>
                <w:rFonts w:ascii="Arial" w:hAnsi="Arial" w:cs="Arial"/>
                <w:sz w:val="20"/>
                <w:szCs w:val="20"/>
              </w:rPr>
              <w:t>Headache caused by noise from refinery machinery is a sign of noise pollution</w:t>
            </w:r>
          </w:p>
        </w:tc>
        <w:tc>
          <w:tcPr>
            <w:tcW w:w="0" w:type="auto"/>
            <w:hideMark/>
          </w:tcPr>
          <w:p w14:paraId="77E4D3A7" w14:textId="77777777" w:rsidR="00C42114" w:rsidRPr="00D62E06" w:rsidRDefault="00C42114" w:rsidP="00C42114">
            <w:pPr>
              <w:spacing w:after="0" w:line="480" w:lineRule="auto"/>
              <w:jc w:val="both"/>
              <w:rPr>
                <w:rFonts w:ascii="Arial" w:hAnsi="Arial" w:cs="Arial"/>
                <w:sz w:val="20"/>
                <w:szCs w:val="20"/>
              </w:rPr>
            </w:pPr>
            <w:r w:rsidRPr="00D62E06">
              <w:rPr>
                <w:rFonts w:ascii="Arial" w:hAnsi="Arial" w:cs="Arial"/>
                <w:sz w:val="20"/>
                <w:szCs w:val="20"/>
              </w:rPr>
              <w:t>3.11</w:t>
            </w:r>
          </w:p>
        </w:tc>
        <w:tc>
          <w:tcPr>
            <w:tcW w:w="0" w:type="auto"/>
            <w:hideMark/>
          </w:tcPr>
          <w:p w14:paraId="2098B01F" w14:textId="77777777" w:rsidR="00C42114" w:rsidRPr="00D62E06" w:rsidRDefault="00C42114" w:rsidP="00C42114">
            <w:pPr>
              <w:spacing w:after="0" w:line="480" w:lineRule="auto"/>
              <w:jc w:val="both"/>
              <w:rPr>
                <w:rFonts w:ascii="Arial" w:hAnsi="Arial" w:cs="Arial"/>
                <w:sz w:val="20"/>
                <w:szCs w:val="20"/>
              </w:rPr>
            </w:pPr>
            <w:r w:rsidRPr="00D62E06">
              <w:rPr>
                <w:rFonts w:ascii="Arial" w:hAnsi="Arial" w:cs="Arial"/>
                <w:sz w:val="20"/>
                <w:szCs w:val="20"/>
              </w:rPr>
              <w:t>3.24</w:t>
            </w:r>
          </w:p>
        </w:tc>
        <w:tc>
          <w:tcPr>
            <w:tcW w:w="0" w:type="auto"/>
            <w:hideMark/>
          </w:tcPr>
          <w:p w14:paraId="1CA951E2" w14:textId="77777777" w:rsidR="00C42114" w:rsidRPr="00D62E06" w:rsidRDefault="00C42114" w:rsidP="00C42114">
            <w:pPr>
              <w:spacing w:after="0" w:line="480" w:lineRule="auto"/>
              <w:jc w:val="both"/>
              <w:rPr>
                <w:rFonts w:ascii="Arial" w:hAnsi="Arial" w:cs="Arial"/>
                <w:sz w:val="20"/>
                <w:szCs w:val="20"/>
              </w:rPr>
            </w:pPr>
            <w:r w:rsidRPr="00D62E06">
              <w:rPr>
                <w:rFonts w:ascii="Arial" w:hAnsi="Arial" w:cs="Arial"/>
                <w:sz w:val="20"/>
                <w:szCs w:val="20"/>
              </w:rPr>
              <w:t>Agree</w:t>
            </w:r>
          </w:p>
        </w:tc>
      </w:tr>
      <w:tr w:rsidR="00C42114" w:rsidRPr="00D62E06" w14:paraId="5A3DE087" w14:textId="77777777" w:rsidTr="00C42114">
        <w:trPr>
          <w:trHeight w:val="427"/>
        </w:trPr>
        <w:tc>
          <w:tcPr>
            <w:tcW w:w="0" w:type="auto"/>
            <w:tcBorders>
              <w:bottom w:val="single" w:sz="4" w:space="0" w:color="auto"/>
            </w:tcBorders>
            <w:hideMark/>
          </w:tcPr>
          <w:p w14:paraId="5503A8EE" w14:textId="77777777" w:rsidR="00C42114" w:rsidRPr="00D62E06" w:rsidRDefault="00C42114" w:rsidP="00C42114">
            <w:pPr>
              <w:spacing w:after="0" w:line="480" w:lineRule="auto"/>
              <w:jc w:val="both"/>
              <w:rPr>
                <w:rFonts w:ascii="Arial" w:hAnsi="Arial" w:cs="Arial"/>
                <w:sz w:val="20"/>
                <w:szCs w:val="20"/>
              </w:rPr>
            </w:pPr>
          </w:p>
        </w:tc>
        <w:tc>
          <w:tcPr>
            <w:tcW w:w="0" w:type="auto"/>
            <w:tcBorders>
              <w:bottom w:val="single" w:sz="4" w:space="0" w:color="auto"/>
            </w:tcBorders>
            <w:hideMark/>
          </w:tcPr>
          <w:p w14:paraId="08748808" w14:textId="77777777" w:rsidR="00C42114" w:rsidRPr="00D62E06" w:rsidRDefault="00C42114" w:rsidP="00C42114">
            <w:pPr>
              <w:spacing w:after="0" w:line="480" w:lineRule="auto"/>
              <w:jc w:val="both"/>
              <w:rPr>
                <w:rFonts w:ascii="Arial" w:hAnsi="Arial" w:cs="Arial"/>
                <w:sz w:val="20"/>
                <w:szCs w:val="20"/>
              </w:rPr>
            </w:pPr>
            <w:r w:rsidRPr="00D62E06">
              <w:rPr>
                <w:rFonts w:ascii="Arial" w:hAnsi="Arial" w:cs="Arial"/>
                <w:b/>
                <w:bCs/>
                <w:sz w:val="20"/>
                <w:szCs w:val="20"/>
              </w:rPr>
              <w:t>Total Weighted Average</w:t>
            </w:r>
          </w:p>
        </w:tc>
        <w:tc>
          <w:tcPr>
            <w:tcW w:w="0" w:type="auto"/>
            <w:tcBorders>
              <w:bottom w:val="single" w:sz="4" w:space="0" w:color="auto"/>
            </w:tcBorders>
            <w:hideMark/>
          </w:tcPr>
          <w:p w14:paraId="79935F03" w14:textId="77777777" w:rsidR="00C42114" w:rsidRPr="00D62E06" w:rsidRDefault="00C42114" w:rsidP="00C42114">
            <w:pPr>
              <w:spacing w:after="0" w:line="480" w:lineRule="auto"/>
              <w:jc w:val="both"/>
              <w:rPr>
                <w:rFonts w:ascii="Arial" w:hAnsi="Arial" w:cs="Arial"/>
                <w:sz w:val="20"/>
                <w:szCs w:val="20"/>
              </w:rPr>
            </w:pPr>
            <w:r w:rsidRPr="00D62E06">
              <w:rPr>
                <w:rFonts w:ascii="Arial" w:hAnsi="Arial" w:cs="Arial"/>
                <w:b/>
                <w:bCs/>
                <w:sz w:val="20"/>
                <w:szCs w:val="20"/>
              </w:rPr>
              <w:t>3.18</w:t>
            </w:r>
          </w:p>
        </w:tc>
        <w:tc>
          <w:tcPr>
            <w:tcW w:w="0" w:type="auto"/>
            <w:tcBorders>
              <w:bottom w:val="single" w:sz="4" w:space="0" w:color="auto"/>
            </w:tcBorders>
            <w:hideMark/>
          </w:tcPr>
          <w:p w14:paraId="25B0FA91" w14:textId="77777777" w:rsidR="00C42114" w:rsidRPr="00D62E06" w:rsidRDefault="00C42114" w:rsidP="00C42114">
            <w:pPr>
              <w:spacing w:after="0" w:line="480" w:lineRule="auto"/>
              <w:jc w:val="both"/>
              <w:rPr>
                <w:rFonts w:ascii="Arial" w:hAnsi="Arial" w:cs="Arial"/>
                <w:sz w:val="20"/>
                <w:szCs w:val="20"/>
              </w:rPr>
            </w:pPr>
            <w:r w:rsidRPr="00D62E06">
              <w:rPr>
                <w:rFonts w:ascii="Arial" w:hAnsi="Arial" w:cs="Arial"/>
                <w:b/>
                <w:bCs/>
                <w:sz w:val="20"/>
                <w:szCs w:val="20"/>
              </w:rPr>
              <w:t>3.23</w:t>
            </w:r>
          </w:p>
        </w:tc>
        <w:tc>
          <w:tcPr>
            <w:tcW w:w="0" w:type="auto"/>
            <w:tcBorders>
              <w:bottom w:val="single" w:sz="4" w:space="0" w:color="auto"/>
            </w:tcBorders>
            <w:hideMark/>
          </w:tcPr>
          <w:p w14:paraId="1189458D" w14:textId="77777777" w:rsidR="00C42114" w:rsidRPr="00D62E06" w:rsidRDefault="00C42114" w:rsidP="00C42114">
            <w:pPr>
              <w:spacing w:after="0" w:line="480" w:lineRule="auto"/>
              <w:jc w:val="both"/>
              <w:rPr>
                <w:rFonts w:ascii="Arial" w:hAnsi="Arial" w:cs="Arial"/>
                <w:sz w:val="20"/>
                <w:szCs w:val="20"/>
              </w:rPr>
            </w:pPr>
            <w:r w:rsidRPr="00D62E06">
              <w:rPr>
                <w:rFonts w:ascii="Arial" w:hAnsi="Arial" w:cs="Arial"/>
                <w:sz w:val="20"/>
                <w:szCs w:val="20"/>
              </w:rPr>
              <w:t>Agree</w:t>
            </w:r>
          </w:p>
        </w:tc>
      </w:tr>
      <w:tr w:rsidR="00C42114" w:rsidRPr="00D62E06" w14:paraId="13E71C12" w14:textId="77777777" w:rsidTr="00C42114">
        <w:trPr>
          <w:trHeight w:val="122"/>
        </w:trPr>
        <w:tc>
          <w:tcPr>
            <w:tcW w:w="0" w:type="auto"/>
            <w:tcBorders>
              <w:top w:val="single" w:sz="4" w:space="0" w:color="auto"/>
            </w:tcBorders>
            <w:hideMark/>
          </w:tcPr>
          <w:p w14:paraId="12DB7EA0" w14:textId="77777777" w:rsidR="00C42114" w:rsidRPr="00D62E06" w:rsidRDefault="00C42114" w:rsidP="00C42114">
            <w:pPr>
              <w:spacing w:after="0" w:line="480" w:lineRule="auto"/>
              <w:jc w:val="both"/>
              <w:rPr>
                <w:rFonts w:ascii="Arial" w:hAnsi="Arial" w:cs="Arial"/>
                <w:sz w:val="20"/>
                <w:szCs w:val="20"/>
              </w:rPr>
            </w:pPr>
          </w:p>
        </w:tc>
        <w:tc>
          <w:tcPr>
            <w:tcW w:w="0" w:type="auto"/>
            <w:tcBorders>
              <w:top w:val="single" w:sz="4" w:space="0" w:color="auto"/>
            </w:tcBorders>
            <w:hideMark/>
          </w:tcPr>
          <w:p w14:paraId="099582F7" w14:textId="77777777" w:rsidR="00C42114" w:rsidRPr="00D62E06" w:rsidRDefault="00C42114" w:rsidP="00C42114">
            <w:pPr>
              <w:spacing w:after="0" w:line="480" w:lineRule="auto"/>
              <w:jc w:val="both"/>
              <w:rPr>
                <w:rFonts w:ascii="Arial" w:hAnsi="Arial" w:cs="Arial"/>
                <w:b/>
                <w:bCs/>
                <w:sz w:val="20"/>
                <w:szCs w:val="20"/>
              </w:rPr>
            </w:pPr>
          </w:p>
        </w:tc>
        <w:tc>
          <w:tcPr>
            <w:tcW w:w="0" w:type="auto"/>
            <w:tcBorders>
              <w:top w:val="single" w:sz="4" w:space="0" w:color="auto"/>
            </w:tcBorders>
            <w:hideMark/>
          </w:tcPr>
          <w:p w14:paraId="47CDF21B" w14:textId="77777777" w:rsidR="00C42114" w:rsidRPr="00D62E06" w:rsidRDefault="00C42114" w:rsidP="00C42114">
            <w:pPr>
              <w:spacing w:after="0" w:line="480" w:lineRule="auto"/>
              <w:jc w:val="both"/>
              <w:rPr>
                <w:rFonts w:ascii="Arial" w:hAnsi="Arial" w:cs="Arial"/>
                <w:b/>
                <w:bCs/>
                <w:sz w:val="20"/>
                <w:szCs w:val="20"/>
              </w:rPr>
            </w:pPr>
          </w:p>
        </w:tc>
        <w:tc>
          <w:tcPr>
            <w:tcW w:w="0" w:type="auto"/>
            <w:tcBorders>
              <w:top w:val="single" w:sz="4" w:space="0" w:color="auto"/>
            </w:tcBorders>
            <w:hideMark/>
          </w:tcPr>
          <w:p w14:paraId="42CDCE60" w14:textId="77777777" w:rsidR="00C42114" w:rsidRPr="00D62E06" w:rsidRDefault="00C42114" w:rsidP="00C42114">
            <w:pPr>
              <w:spacing w:after="0" w:line="480" w:lineRule="auto"/>
              <w:jc w:val="both"/>
              <w:rPr>
                <w:rFonts w:ascii="Arial" w:hAnsi="Arial" w:cs="Arial"/>
                <w:b/>
                <w:bCs/>
                <w:sz w:val="20"/>
                <w:szCs w:val="20"/>
              </w:rPr>
            </w:pPr>
          </w:p>
        </w:tc>
        <w:tc>
          <w:tcPr>
            <w:tcW w:w="0" w:type="auto"/>
            <w:tcBorders>
              <w:top w:val="single" w:sz="4" w:space="0" w:color="auto"/>
            </w:tcBorders>
            <w:hideMark/>
          </w:tcPr>
          <w:p w14:paraId="6C73072C" w14:textId="77777777" w:rsidR="00C42114" w:rsidRPr="00D62E06" w:rsidRDefault="00C42114" w:rsidP="00C42114">
            <w:pPr>
              <w:spacing w:after="0" w:line="480" w:lineRule="auto"/>
              <w:jc w:val="both"/>
              <w:rPr>
                <w:rFonts w:ascii="Arial" w:hAnsi="Arial" w:cs="Arial"/>
                <w:sz w:val="20"/>
                <w:szCs w:val="20"/>
              </w:rPr>
            </w:pPr>
          </w:p>
        </w:tc>
      </w:tr>
    </w:tbl>
    <w:p w14:paraId="242CA666" w14:textId="77777777" w:rsidR="00C42114" w:rsidRPr="00D62E06" w:rsidRDefault="00C42114" w:rsidP="00C42114">
      <w:pPr>
        <w:spacing w:after="0" w:line="480" w:lineRule="auto"/>
        <w:jc w:val="both"/>
        <w:rPr>
          <w:rFonts w:ascii="Arial" w:hAnsi="Arial" w:cs="Arial"/>
          <w:i/>
          <w:iCs/>
          <w:sz w:val="20"/>
          <w:szCs w:val="20"/>
        </w:rPr>
      </w:pPr>
    </w:p>
    <w:p w14:paraId="5FF851F2" w14:textId="77777777" w:rsidR="00C42114" w:rsidRPr="00D62E06" w:rsidRDefault="00C42114" w:rsidP="00C42114">
      <w:pPr>
        <w:spacing w:after="0" w:line="480" w:lineRule="auto"/>
        <w:jc w:val="both"/>
        <w:rPr>
          <w:rFonts w:ascii="Arial" w:hAnsi="Arial" w:cs="Arial"/>
          <w:i/>
          <w:iCs/>
          <w:sz w:val="20"/>
          <w:szCs w:val="20"/>
        </w:rPr>
      </w:pPr>
      <w:r w:rsidRPr="00D62E06">
        <w:rPr>
          <w:rFonts w:ascii="Arial" w:hAnsi="Arial" w:cs="Arial"/>
          <w:i/>
          <w:iCs/>
          <w:sz w:val="20"/>
          <w:szCs w:val="20"/>
        </w:rPr>
        <w:t>WA = Weighted Average; SA = Strongly Agree; A = Agree; D = Disagree; SD = Strongly Disagree</w:t>
      </w:r>
    </w:p>
    <w:p w14:paraId="546CA846" w14:textId="77777777" w:rsidR="00C42114" w:rsidRPr="00D62E06" w:rsidRDefault="00C42114" w:rsidP="00C42114">
      <w:pPr>
        <w:spacing w:after="0" w:line="480" w:lineRule="auto"/>
        <w:jc w:val="both"/>
        <w:rPr>
          <w:rFonts w:ascii="Arial" w:hAnsi="Arial" w:cs="Arial"/>
          <w:i/>
          <w:iCs/>
          <w:sz w:val="20"/>
          <w:szCs w:val="20"/>
        </w:rPr>
      </w:pPr>
    </w:p>
    <w:p w14:paraId="4FEBF2E5" w14:textId="77777777" w:rsidR="00ED1CAE" w:rsidRPr="00D62E06" w:rsidRDefault="00ED1CAE" w:rsidP="00C42114">
      <w:pPr>
        <w:spacing w:after="0" w:line="480" w:lineRule="auto"/>
        <w:jc w:val="both"/>
        <w:rPr>
          <w:rFonts w:ascii="Arial" w:hAnsi="Arial" w:cs="Arial"/>
          <w:i/>
          <w:iCs/>
          <w:sz w:val="20"/>
          <w:szCs w:val="20"/>
        </w:rPr>
      </w:pPr>
    </w:p>
    <w:p w14:paraId="29D21FE6" w14:textId="77777777" w:rsidR="00C42114" w:rsidRPr="00D62E06" w:rsidRDefault="00C42114" w:rsidP="00C42114">
      <w:pPr>
        <w:spacing w:after="0" w:line="480" w:lineRule="auto"/>
        <w:jc w:val="both"/>
        <w:rPr>
          <w:rFonts w:ascii="Arial" w:hAnsi="Arial" w:cs="Arial"/>
          <w:i/>
          <w:iCs/>
          <w:sz w:val="20"/>
          <w:szCs w:val="20"/>
        </w:rPr>
      </w:pPr>
    </w:p>
    <w:p w14:paraId="7D1E72D3" w14:textId="77777777" w:rsidR="00C42114" w:rsidRPr="00D62E06" w:rsidRDefault="00AB3C8B" w:rsidP="00C42114">
      <w:pPr>
        <w:spacing w:line="480" w:lineRule="auto"/>
        <w:jc w:val="both"/>
        <w:rPr>
          <w:rFonts w:ascii="Arial" w:hAnsi="Arial" w:cs="Arial"/>
          <w:b/>
          <w:bCs/>
          <w:sz w:val="20"/>
          <w:szCs w:val="20"/>
        </w:rPr>
      </w:pPr>
      <w:r>
        <w:rPr>
          <w:rFonts w:ascii="Arial" w:hAnsi="Arial" w:cs="Arial"/>
          <w:b/>
          <w:bCs/>
          <w:sz w:val="20"/>
          <w:szCs w:val="20"/>
        </w:rPr>
        <w:t>3.4</w:t>
      </w:r>
      <w:r>
        <w:rPr>
          <w:rFonts w:ascii="Arial" w:hAnsi="Arial" w:cs="Arial"/>
          <w:b/>
          <w:bCs/>
          <w:sz w:val="20"/>
          <w:szCs w:val="20"/>
        </w:rPr>
        <w:tab/>
      </w:r>
      <w:r w:rsidR="00C42114" w:rsidRPr="00D62E06">
        <w:rPr>
          <w:rFonts w:ascii="Arial" w:hAnsi="Arial" w:cs="Arial"/>
          <w:b/>
          <w:bCs/>
          <w:sz w:val="20"/>
          <w:szCs w:val="20"/>
        </w:rPr>
        <w:t>Statistical Differences by Demographic Variables</w:t>
      </w:r>
    </w:p>
    <w:p w14:paraId="1427F24E" w14:textId="77777777" w:rsidR="00C42114" w:rsidRPr="00D62E06" w:rsidRDefault="00C42114" w:rsidP="00C42114">
      <w:pPr>
        <w:spacing w:line="480" w:lineRule="auto"/>
        <w:jc w:val="both"/>
        <w:rPr>
          <w:rFonts w:ascii="Arial" w:hAnsi="Arial" w:cs="Arial"/>
          <w:sz w:val="20"/>
          <w:szCs w:val="20"/>
        </w:rPr>
      </w:pPr>
      <w:r w:rsidRPr="00D62E06">
        <w:rPr>
          <w:rFonts w:ascii="Arial" w:hAnsi="Arial" w:cs="Arial"/>
          <w:sz w:val="20"/>
          <w:szCs w:val="20"/>
        </w:rPr>
        <w:t>To assess whether knowledge of pollution symptoms varied by demographic characteristics, inferential analyses were conducted.</w:t>
      </w:r>
    </w:p>
    <w:p w14:paraId="5B87524E" w14:textId="77777777" w:rsidR="00C42114" w:rsidRPr="00D62E06" w:rsidRDefault="00AB3C8B" w:rsidP="00C42114">
      <w:pPr>
        <w:spacing w:line="480" w:lineRule="auto"/>
        <w:jc w:val="both"/>
        <w:rPr>
          <w:rFonts w:ascii="Arial" w:hAnsi="Arial" w:cs="Arial"/>
          <w:b/>
          <w:bCs/>
          <w:sz w:val="20"/>
          <w:szCs w:val="20"/>
        </w:rPr>
      </w:pPr>
      <w:r>
        <w:rPr>
          <w:rFonts w:ascii="Arial" w:hAnsi="Arial" w:cs="Arial"/>
          <w:b/>
          <w:bCs/>
          <w:sz w:val="20"/>
          <w:szCs w:val="20"/>
        </w:rPr>
        <w:t>3.4.1</w:t>
      </w:r>
      <w:r>
        <w:rPr>
          <w:rFonts w:ascii="Arial" w:hAnsi="Arial" w:cs="Arial"/>
          <w:b/>
          <w:bCs/>
          <w:sz w:val="20"/>
          <w:szCs w:val="20"/>
        </w:rPr>
        <w:tab/>
      </w:r>
      <w:r w:rsidR="00C42114" w:rsidRPr="00D62E06">
        <w:rPr>
          <w:rFonts w:ascii="Arial" w:hAnsi="Arial" w:cs="Arial"/>
          <w:b/>
          <w:bCs/>
          <w:sz w:val="20"/>
          <w:szCs w:val="20"/>
        </w:rPr>
        <w:t>Gender-Based Comparison</w:t>
      </w:r>
    </w:p>
    <w:p w14:paraId="716D6E79" w14:textId="77777777" w:rsidR="00C42114" w:rsidRPr="00D62E06" w:rsidRDefault="00C42114" w:rsidP="00C42114">
      <w:pPr>
        <w:spacing w:line="480" w:lineRule="auto"/>
        <w:jc w:val="both"/>
        <w:rPr>
          <w:rFonts w:ascii="Arial" w:hAnsi="Arial" w:cs="Arial"/>
          <w:sz w:val="20"/>
          <w:szCs w:val="20"/>
        </w:rPr>
      </w:pPr>
      <w:r w:rsidRPr="00D62E06">
        <w:rPr>
          <w:rFonts w:ascii="Arial" w:hAnsi="Arial" w:cs="Arial"/>
          <w:sz w:val="20"/>
          <w:szCs w:val="20"/>
        </w:rPr>
        <w:t xml:space="preserve">As shown in </w:t>
      </w:r>
      <w:r w:rsidRPr="00D62E06">
        <w:rPr>
          <w:rFonts w:ascii="Arial" w:hAnsi="Arial" w:cs="Arial"/>
          <w:bCs/>
          <w:sz w:val="20"/>
          <w:szCs w:val="20"/>
        </w:rPr>
        <w:t>Table 3</w:t>
      </w:r>
      <w:r w:rsidRPr="00D62E06">
        <w:rPr>
          <w:rFonts w:ascii="Arial" w:hAnsi="Arial" w:cs="Arial"/>
          <w:sz w:val="20"/>
          <w:szCs w:val="20"/>
        </w:rPr>
        <w:t xml:space="preserve">, a t-test comparing male and female respondents showed a </w:t>
      </w:r>
      <w:r w:rsidRPr="00D62E06">
        <w:rPr>
          <w:rFonts w:ascii="Arial" w:hAnsi="Arial" w:cs="Arial"/>
          <w:bCs/>
          <w:sz w:val="20"/>
          <w:szCs w:val="20"/>
        </w:rPr>
        <w:t>p-value of 0.148</w:t>
      </w:r>
      <w:r w:rsidRPr="00D62E06">
        <w:rPr>
          <w:rFonts w:ascii="Arial" w:hAnsi="Arial" w:cs="Arial"/>
          <w:sz w:val="20"/>
          <w:szCs w:val="20"/>
        </w:rPr>
        <w:t xml:space="preserve">, which is greater than 0.05. This indicates </w:t>
      </w:r>
      <w:r w:rsidRPr="00D62E06">
        <w:rPr>
          <w:rFonts w:ascii="Arial" w:hAnsi="Arial" w:cs="Arial"/>
          <w:bCs/>
          <w:sz w:val="20"/>
          <w:szCs w:val="20"/>
        </w:rPr>
        <w:t>no statistically significant difference</w:t>
      </w:r>
      <w:r w:rsidRPr="00D62E06">
        <w:rPr>
          <w:rFonts w:ascii="Arial" w:hAnsi="Arial" w:cs="Arial"/>
          <w:sz w:val="20"/>
          <w:szCs w:val="20"/>
        </w:rPr>
        <w:t xml:space="preserve"> in knowledge levels between genders.</w:t>
      </w:r>
    </w:p>
    <w:p w14:paraId="0E3406A1" w14:textId="77777777" w:rsidR="00C42114" w:rsidRPr="00D62E06" w:rsidRDefault="00AB3C8B" w:rsidP="00C42114">
      <w:pPr>
        <w:spacing w:line="480" w:lineRule="auto"/>
        <w:jc w:val="both"/>
        <w:rPr>
          <w:rFonts w:ascii="Arial" w:hAnsi="Arial" w:cs="Arial"/>
          <w:b/>
          <w:bCs/>
          <w:sz w:val="20"/>
          <w:szCs w:val="20"/>
        </w:rPr>
      </w:pPr>
      <w:r>
        <w:rPr>
          <w:rFonts w:ascii="Arial" w:hAnsi="Arial" w:cs="Arial"/>
          <w:b/>
          <w:bCs/>
          <w:sz w:val="20"/>
          <w:szCs w:val="20"/>
        </w:rPr>
        <w:t>3.4.2</w:t>
      </w:r>
      <w:r>
        <w:rPr>
          <w:rFonts w:ascii="Arial" w:hAnsi="Arial" w:cs="Arial"/>
          <w:b/>
          <w:bCs/>
          <w:sz w:val="20"/>
          <w:szCs w:val="20"/>
        </w:rPr>
        <w:tab/>
      </w:r>
      <w:r w:rsidR="00C42114" w:rsidRPr="00D62E06">
        <w:rPr>
          <w:rFonts w:ascii="Arial" w:hAnsi="Arial" w:cs="Arial"/>
          <w:b/>
          <w:bCs/>
          <w:sz w:val="20"/>
          <w:szCs w:val="20"/>
        </w:rPr>
        <w:t>Educational Level Comparison</w:t>
      </w:r>
    </w:p>
    <w:p w14:paraId="7CEF0CE6" w14:textId="77777777" w:rsidR="00C42114" w:rsidRPr="00D62E06" w:rsidRDefault="00C42114" w:rsidP="00C42114">
      <w:pPr>
        <w:spacing w:line="480" w:lineRule="auto"/>
        <w:jc w:val="both"/>
        <w:rPr>
          <w:rFonts w:ascii="Arial" w:hAnsi="Arial" w:cs="Arial"/>
          <w:sz w:val="20"/>
          <w:szCs w:val="20"/>
        </w:rPr>
      </w:pPr>
      <w:r w:rsidRPr="00D62E06">
        <w:rPr>
          <w:rFonts w:ascii="Arial" w:hAnsi="Arial" w:cs="Arial"/>
          <w:sz w:val="20"/>
          <w:szCs w:val="20"/>
        </w:rPr>
        <w:t xml:space="preserve">A </w:t>
      </w:r>
      <w:r w:rsidRPr="00D62E06">
        <w:rPr>
          <w:rFonts w:ascii="Arial" w:hAnsi="Arial" w:cs="Arial"/>
          <w:bCs/>
          <w:sz w:val="20"/>
          <w:szCs w:val="20"/>
        </w:rPr>
        <w:t>one-way ANOVA</w:t>
      </w:r>
      <w:r w:rsidRPr="00D62E06">
        <w:rPr>
          <w:rFonts w:ascii="Arial" w:hAnsi="Arial" w:cs="Arial"/>
          <w:sz w:val="20"/>
          <w:szCs w:val="20"/>
        </w:rPr>
        <w:t xml:space="preserve"> (Table 4) produced a </w:t>
      </w:r>
      <w:r w:rsidRPr="00D62E06">
        <w:rPr>
          <w:rFonts w:ascii="Arial" w:hAnsi="Arial" w:cs="Arial"/>
          <w:bCs/>
          <w:sz w:val="20"/>
          <w:szCs w:val="20"/>
        </w:rPr>
        <w:t>p-value of 0.996</w:t>
      </w:r>
      <w:r w:rsidRPr="00D62E06">
        <w:rPr>
          <w:rFonts w:ascii="Arial" w:hAnsi="Arial" w:cs="Arial"/>
          <w:sz w:val="20"/>
          <w:szCs w:val="20"/>
        </w:rPr>
        <w:t xml:space="preserve">, indicating that </w:t>
      </w:r>
      <w:r w:rsidRPr="00D62E06">
        <w:rPr>
          <w:rFonts w:ascii="Arial" w:hAnsi="Arial" w:cs="Arial"/>
          <w:bCs/>
          <w:sz w:val="20"/>
          <w:szCs w:val="20"/>
        </w:rPr>
        <w:t>educational background had no significant impact</w:t>
      </w:r>
      <w:r w:rsidRPr="00D62E06">
        <w:rPr>
          <w:rFonts w:ascii="Arial" w:hAnsi="Arial" w:cs="Arial"/>
          <w:sz w:val="20"/>
          <w:szCs w:val="20"/>
        </w:rPr>
        <w:t xml:space="preserve"> on awareness of pollution-related symptoms. This suggests that environmental experiences may play a more unifying role than formal education in this context.</w:t>
      </w:r>
    </w:p>
    <w:p w14:paraId="79CEDF84" w14:textId="77777777" w:rsidR="00C42114" w:rsidRPr="00D62E06" w:rsidRDefault="00AB3C8B" w:rsidP="00C42114">
      <w:pPr>
        <w:spacing w:line="480" w:lineRule="auto"/>
        <w:jc w:val="both"/>
        <w:rPr>
          <w:rFonts w:ascii="Arial" w:hAnsi="Arial" w:cs="Arial"/>
          <w:b/>
          <w:bCs/>
          <w:sz w:val="20"/>
          <w:szCs w:val="20"/>
        </w:rPr>
      </w:pPr>
      <w:r>
        <w:rPr>
          <w:rFonts w:ascii="Arial" w:hAnsi="Arial" w:cs="Arial"/>
          <w:b/>
          <w:bCs/>
          <w:sz w:val="20"/>
          <w:szCs w:val="20"/>
        </w:rPr>
        <w:t>3.4.3</w:t>
      </w:r>
      <w:r>
        <w:rPr>
          <w:rFonts w:ascii="Arial" w:hAnsi="Arial" w:cs="Arial"/>
          <w:b/>
          <w:bCs/>
          <w:sz w:val="20"/>
          <w:szCs w:val="20"/>
        </w:rPr>
        <w:tab/>
      </w:r>
      <w:r w:rsidR="00C42114" w:rsidRPr="00D62E06">
        <w:rPr>
          <w:rFonts w:ascii="Arial" w:hAnsi="Arial" w:cs="Arial"/>
          <w:b/>
          <w:bCs/>
          <w:sz w:val="20"/>
          <w:szCs w:val="20"/>
        </w:rPr>
        <w:t>Age-Based Comparison</w:t>
      </w:r>
    </w:p>
    <w:p w14:paraId="1061D6D9" w14:textId="77777777" w:rsidR="00C42114" w:rsidRPr="00D62E06" w:rsidRDefault="00C42114" w:rsidP="00C42114">
      <w:pPr>
        <w:spacing w:line="480" w:lineRule="auto"/>
        <w:jc w:val="both"/>
        <w:rPr>
          <w:rFonts w:ascii="Arial" w:hAnsi="Arial" w:cs="Arial"/>
          <w:sz w:val="20"/>
          <w:szCs w:val="20"/>
        </w:rPr>
      </w:pPr>
      <w:r w:rsidRPr="00D62E06">
        <w:rPr>
          <w:rFonts w:ascii="Arial" w:hAnsi="Arial" w:cs="Arial"/>
          <w:sz w:val="20"/>
          <w:szCs w:val="20"/>
        </w:rPr>
        <w:t xml:space="preserve">As presented in </w:t>
      </w:r>
      <w:r w:rsidRPr="00D62E06">
        <w:rPr>
          <w:rFonts w:ascii="Arial" w:hAnsi="Arial" w:cs="Arial"/>
          <w:bCs/>
          <w:sz w:val="20"/>
          <w:szCs w:val="20"/>
        </w:rPr>
        <w:t>Table 5</w:t>
      </w:r>
      <w:r w:rsidRPr="00D62E06">
        <w:rPr>
          <w:rFonts w:ascii="Arial" w:hAnsi="Arial" w:cs="Arial"/>
          <w:sz w:val="20"/>
          <w:szCs w:val="20"/>
        </w:rPr>
        <w:t xml:space="preserve">, the </w:t>
      </w:r>
      <w:r w:rsidRPr="00D62E06">
        <w:rPr>
          <w:rFonts w:ascii="Arial" w:hAnsi="Arial" w:cs="Arial"/>
          <w:bCs/>
          <w:sz w:val="20"/>
          <w:szCs w:val="20"/>
        </w:rPr>
        <w:t>p-value was 0.325</w:t>
      </w:r>
      <w:r w:rsidRPr="00D62E06">
        <w:rPr>
          <w:rFonts w:ascii="Arial" w:hAnsi="Arial" w:cs="Arial"/>
          <w:sz w:val="20"/>
          <w:szCs w:val="20"/>
        </w:rPr>
        <w:t xml:space="preserve">, confirming </w:t>
      </w:r>
      <w:r w:rsidRPr="00D62E06">
        <w:rPr>
          <w:rFonts w:ascii="Arial" w:hAnsi="Arial" w:cs="Arial"/>
          <w:bCs/>
          <w:sz w:val="20"/>
          <w:szCs w:val="20"/>
        </w:rPr>
        <w:t>no significant difference</w:t>
      </w:r>
      <w:r w:rsidRPr="00D62E06">
        <w:rPr>
          <w:rFonts w:ascii="Arial" w:hAnsi="Arial" w:cs="Arial"/>
          <w:sz w:val="20"/>
          <w:szCs w:val="20"/>
        </w:rPr>
        <w:t xml:space="preserve"> in awareness across age categories. Both younger and older parents demonstrated comparable environmental literacy levels.</w:t>
      </w:r>
    </w:p>
    <w:p w14:paraId="6229D555" w14:textId="77777777" w:rsidR="00ED1CAE" w:rsidRPr="00D62E06" w:rsidRDefault="00ED1CAE" w:rsidP="00C42114">
      <w:pPr>
        <w:spacing w:line="480" w:lineRule="auto"/>
        <w:jc w:val="both"/>
        <w:rPr>
          <w:rFonts w:ascii="Arial" w:hAnsi="Arial" w:cs="Arial"/>
          <w:sz w:val="20"/>
          <w:szCs w:val="20"/>
        </w:rPr>
      </w:pPr>
    </w:p>
    <w:tbl>
      <w:tblPr>
        <w:tblW w:w="17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9"/>
        <w:gridCol w:w="1632"/>
        <w:gridCol w:w="1699"/>
        <w:gridCol w:w="1191"/>
        <w:gridCol w:w="1409"/>
        <w:gridCol w:w="1890"/>
        <w:gridCol w:w="8680"/>
      </w:tblGrid>
      <w:tr w:rsidR="00C42114" w:rsidRPr="00D62E06" w14:paraId="3E163BA1" w14:textId="77777777" w:rsidTr="00832954">
        <w:trPr>
          <w:cantSplit/>
        </w:trPr>
        <w:tc>
          <w:tcPr>
            <w:tcW w:w="17320" w:type="dxa"/>
            <w:gridSpan w:val="7"/>
            <w:tcBorders>
              <w:top w:val="nil"/>
              <w:left w:val="nil"/>
              <w:bottom w:val="nil"/>
              <w:right w:val="nil"/>
            </w:tcBorders>
            <w:shd w:val="clear" w:color="auto" w:fill="FFFFFF"/>
            <w:vAlign w:val="center"/>
          </w:tcPr>
          <w:p w14:paraId="79EA0A12" w14:textId="77777777" w:rsidR="00C42114" w:rsidRPr="00D62E06" w:rsidRDefault="00C42114" w:rsidP="00C42114">
            <w:pPr>
              <w:rPr>
                <w:rFonts w:ascii="Arial" w:hAnsi="Arial" w:cs="Arial"/>
                <w:b/>
                <w:bCs/>
                <w:sz w:val="20"/>
                <w:szCs w:val="20"/>
              </w:rPr>
            </w:pPr>
          </w:p>
          <w:p w14:paraId="22915FD5" w14:textId="77777777" w:rsidR="00C42114" w:rsidRPr="00D62E06" w:rsidRDefault="00C42114" w:rsidP="00C42114">
            <w:pPr>
              <w:rPr>
                <w:rFonts w:ascii="Arial" w:hAnsi="Arial" w:cs="Arial"/>
                <w:sz w:val="20"/>
                <w:szCs w:val="20"/>
              </w:rPr>
            </w:pPr>
            <w:r w:rsidRPr="00D62E06">
              <w:rPr>
                <w:rFonts w:ascii="Arial" w:hAnsi="Arial" w:cs="Arial"/>
                <w:b/>
                <w:bCs/>
                <w:sz w:val="20"/>
                <w:szCs w:val="20"/>
              </w:rPr>
              <w:t>Table 3: Independent Samples T-Test Results for Hypothesis two Based on Gender</w:t>
            </w:r>
          </w:p>
        </w:tc>
      </w:tr>
      <w:tr w:rsidR="00C42114" w:rsidRPr="00D62E06" w14:paraId="3973CBF8" w14:textId="77777777" w:rsidTr="00832954">
        <w:trPr>
          <w:gridAfter w:val="1"/>
          <w:wAfter w:w="8680" w:type="dxa"/>
          <w:cantSplit/>
          <w:trHeight w:val="458"/>
        </w:trPr>
        <w:tc>
          <w:tcPr>
            <w:tcW w:w="2451" w:type="dxa"/>
            <w:gridSpan w:val="2"/>
            <w:vMerge w:val="restart"/>
            <w:tcBorders>
              <w:left w:val="single" w:sz="16" w:space="0" w:color="000000"/>
            </w:tcBorders>
            <w:shd w:val="clear" w:color="auto" w:fill="FFFFFF"/>
            <w:vAlign w:val="bottom"/>
          </w:tcPr>
          <w:p w14:paraId="75FA73BD" w14:textId="77777777" w:rsidR="00C42114" w:rsidRPr="00D62E06" w:rsidRDefault="00C42114" w:rsidP="00C42114">
            <w:pPr>
              <w:rPr>
                <w:rFonts w:ascii="Arial" w:hAnsi="Arial" w:cs="Arial"/>
                <w:sz w:val="20"/>
                <w:szCs w:val="20"/>
              </w:rPr>
            </w:pPr>
            <w:r w:rsidRPr="00D62E06">
              <w:rPr>
                <w:rFonts w:ascii="Arial" w:hAnsi="Arial" w:cs="Arial"/>
                <w:sz w:val="20"/>
                <w:szCs w:val="20"/>
              </w:rPr>
              <w:t>F</w:t>
            </w:r>
          </w:p>
        </w:tc>
        <w:tc>
          <w:tcPr>
            <w:tcW w:w="1699" w:type="dxa"/>
            <w:vMerge w:val="restart"/>
            <w:shd w:val="clear" w:color="auto" w:fill="FFFFFF"/>
            <w:vAlign w:val="bottom"/>
          </w:tcPr>
          <w:p w14:paraId="24371B37" w14:textId="77777777" w:rsidR="00C42114" w:rsidRPr="00D62E06" w:rsidRDefault="00C42114" w:rsidP="00C42114">
            <w:pPr>
              <w:rPr>
                <w:rFonts w:ascii="Arial" w:hAnsi="Arial" w:cs="Arial"/>
                <w:sz w:val="20"/>
                <w:szCs w:val="20"/>
              </w:rPr>
            </w:pPr>
            <w:r w:rsidRPr="00D62E06">
              <w:rPr>
                <w:rFonts w:ascii="Arial" w:hAnsi="Arial" w:cs="Arial"/>
                <w:sz w:val="20"/>
                <w:szCs w:val="20"/>
              </w:rPr>
              <w:t>Sig.</w:t>
            </w:r>
          </w:p>
        </w:tc>
        <w:tc>
          <w:tcPr>
            <w:tcW w:w="1191" w:type="dxa"/>
            <w:vMerge w:val="restart"/>
            <w:shd w:val="clear" w:color="auto" w:fill="FFFFFF"/>
            <w:vAlign w:val="bottom"/>
          </w:tcPr>
          <w:p w14:paraId="711BC2B4" w14:textId="77777777" w:rsidR="00C42114" w:rsidRPr="00D62E06" w:rsidRDefault="00C42114" w:rsidP="00C42114">
            <w:pPr>
              <w:rPr>
                <w:rFonts w:ascii="Arial" w:hAnsi="Arial" w:cs="Arial"/>
                <w:sz w:val="20"/>
                <w:szCs w:val="20"/>
              </w:rPr>
            </w:pPr>
            <w:r w:rsidRPr="00D62E06">
              <w:rPr>
                <w:rFonts w:ascii="Arial" w:hAnsi="Arial" w:cs="Arial"/>
                <w:sz w:val="20"/>
                <w:szCs w:val="20"/>
              </w:rPr>
              <w:t>t</w:t>
            </w:r>
          </w:p>
        </w:tc>
        <w:tc>
          <w:tcPr>
            <w:tcW w:w="1409" w:type="dxa"/>
            <w:vMerge w:val="restart"/>
            <w:shd w:val="clear" w:color="auto" w:fill="FFFFFF"/>
            <w:vAlign w:val="bottom"/>
          </w:tcPr>
          <w:p w14:paraId="5109564C" w14:textId="77777777" w:rsidR="00C42114" w:rsidRPr="00D62E06" w:rsidRDefault="00C42114" w:rsidP="00C42114">
            <w:pPr>
              <w:rPr>
                <w:rFonts w:ascii="Arial" w:hAnsi="Arial" w:cs="Arial"/>
                <w:sz w:val="20"/>
                <w:szCs w:val="20"/>
              </w:rPr>
            </w:pPr>
            <w:proofErr w:type="spellStart"/>
            <w:r w:rsidRPr="00D62E06">
              <w:rPr>
                <w:rFonts w:ascii="Arial" w:hAnsi="Arial" w:cs="Arial"/>
                <w:sz w:val="20"/>
                <w:szCs w:val="20"/>
              </w:rPr>
              <w:t>Df</w:t>
            </w:r>
            <w:proofErr w:type="spellEnd"/>
          </w:p>
        </w:tc>
        <w:tc>
          <w:tcPr>
            <w:tcW w:w="1890" w:type="dxa"/>
            <w:vMerge w:val="restart"/>
            <w:shd w:val="clear" w:color="auto" w:fill="FFFFFF"/>
            <w:vAlign w:val="bottom"/>
          </w:tcPr>
          <w:p w14:paraId="6E407274" w14:textId="77777777" w:rsidR="00C42114" w:rsidRPr="00D62E06" w:rsidRDefault="00C42114" w:rsidP="00C42114">
            <w:pPr>
              <w:rPr>
                <w:rFonts w:ascii="Arial" w:hAnsi="Arial" w:cs="Arial"/>
                <w:sz w:val="20"/>
                <w:szCs w:val="20"/>
              </w:rPr>
            </w:pPr>
            <w:r w:rsidRPr="00D62E06">
              <w:rPr>
                <w:rFonts w:ascii="Arial" w:hAnsi="Arial" w:cs="Arial"/>
                <w:sz w:val="20"/>
                <w:szCs w:val="20"/>
              </w:rPr>
              <w:t xml:space="preserve">p-value </w:t>
            </w:r>
          </w:p>
        </w:tc>
      </w:tr>
      <w:tr w:rsidR="00C42114" w:rsidRPr="00D62E06" w14:paraId="3F8CABC5" w14:textId="77777777" w:rsidTr="00C42114">
        <w:trPr>
          <w:gridAfter w:val="1"/>
          <w:wAfter w:w="8680" w:type="dxa"/>
          <w:cantSplit/>
          <w:trHeight w:val="458"/>
        </w:trPr>
        <w:tc>
          <w:tcPr>
            <w:tcW w:w="2451" w:type="dxa"/>
            <w:gridSpan w:val="2"/>
            <w:vMerge/>
            <w:tcBorders>
              <w:left w:val="single" w:sz="16" w:space="0" w:color="000000"/>
            </w:tcBorders>
            <w:shd w:val="clear" w:color="auto" w:fill="FFFFFF"/>
            <w:vAlign w:val="bottom"/>
          </w:tcPr>
          <w:p w14:paraId="2A64BE70" w14:textId="77777777" w:rsidR="00C42114" w:rsidRPr="00D62E06" w:rsidRDefault="00C42114" w:rsidP="00C42114">
            <w:pPr>
              <w:rPr>
                <w:rFonts w:ascii="Arial" w:hAnsi="Arial" w:cs="Arial"/>
                <w:sz w:val="20"/>
                <w:szCs w:val="20"/>
              </w:rPr>
            </w:pPr>
          </w:p>
        </w:tc>
        <w:tc>
          <w:tcPr>
            <w:tcW w:w="1699" w:type="dxa"/>
            <w:vMerge/>
            <w:shd w:val="clear" w:color="auto" w:fill="FFFFFF"/>
            <w:vAlign w:val="bottom"/>
          </w:tcPr>
          <w:p w14:paraId="75EAA441" w14:textId="77777777" w:rsidR="00C42114" w:rsidRPr="00D62E06" w:rsidRDefault="00C42114" w:rsidP="00C42114">
            <w:pPr>
              <w:rPr>
                <w:rFonts w:ascii="Arial" w:hAnsi="Arial" w:cs="Arial"/>
                <w:sz w:val="20"/>
                <w:szCs w:val="20"/>
              </w:rPr>
            </w:pPr>
          </w:p>
        </w:tc>
        <w:tc>
          <w:tcPr>
            <w:tcW w:w="1191" w:type="dxa"/>
            <w:vMerge/>
            <w:shd w:val="clear" w:color="auto" w:fill="FFFFFF"/>
            <w:vAlign w:val="bottom"/>
          </w:tcPr>
          <w:p w14:paraId="45AC3C16" w14:textId="77777777" w:rsidR="00C42114" w:rsidRPr="00D62E06" w:rsidRDefault="00C42114" w:rsidP="00C42114">
            <w:pPr>
              <w:rPr>
                <w:rFonts w:ascii="Arial" w:hAnsi="Arial" w:cs="Arial"/>
                <w:sz w:val="20"/>
                <w:szCs w:val="20"/>
              </w:rPr>
            </w:pPr>
          </w:p>
        </w:tc>
        <w:tc>
          <w:tcPr>
            <w:tcW w:w="1409" w:type="dxa"/>
            <w:vMerge/>
            <w:shd w:val="clear" w:color="auto" w:fill="FFFFFF"/>
            <w:vAlign w:val="bottom"/>
          </w:tcPr>
          <w:p w14:paraId="7B89F62C" w14:textId="77777777" w:rsidR="00C42114" w:rsidRPr="00D62E06" w:rsidRDefault="00C42114" w:rsidP="00C42114">
            <w:pPr>
              <w:rPr>
                <w:rFonts w:ascii="Arial" w:hAnsi="Arial" w:cs="Arial"/>
                <w:sz w:val="20"/>
                <w:szCs w:val="20"/>
              </w:rPr>
            </w:pPr>
          </w:p>
        </w:tc>
        <w:tc>
          <w:tcPr>
            <w:tcW w:w="1890" w:type="dxa"/>
            <w:vMerge/>
            <w:shd w:val="clear" w:color="auto" w:fill="FFFFFF"/>
            <w:vAlign w:val="bottom"/>
          </w:tcPr>
          <w:p w14:paraId="76B6028C" w14:textId="77777777" w:rsidR="00C42114" w:rsidRPr="00D62E06" w:rsidRDefault="00C42114" w:rsidP="00C42114">
            <w:pPr>
              <w:rPr>
                <w:rFonts w:ascii="Arial" w:hAnsi="Arial" w:cs="Arial"/>
                <w:sz w:val="20"/>
                <w:szCs w:val="20"/>
              </w:rPr>
            </w:pPr>
          </w:p>
        </w:tc>
      </w:tr>
      <w:tr w:rsidR="00C42114" w:rsidRPr="00D62E06" w14:paraId="33D7F569" w14:textId="77777777" w:rsidTr="00832954">
        <w:trPr>
          <w:gridAfter w:val="1"/>
          <w:wAfter w:w="8680" w:type="dxa"/>
          <w:cantSplit/>
        </w:trPr>
        <w:tc>
          <w:tcPr>
            <w:tcW w:w="819" w:type="dxa"/>
            <w:vMerge w:val="restart"/>
            <w:tcBorders>
              <w:top w:val="single" w:sz="16" w:space="0" w:color="000000"/>
              <w:left w:val="single" w:sz="16" w:space="0" w:color="000000"/>
              <w:bottom w:val="single" w:sz="16" w:space="0" w:color="000000"/>
              <w:right w:val="nil"/>
            </w:tcBorders>
            <w:shd w:val="clear" w:color="auto" w:fill="FFFFFF"/>
          </w:tcPr>
          <w:p w14:paraId="12A68899" w14:textId="77777777" w:rsidR="00C42114" w:rsidRPr="00D62E06" w:rsidRDefault="00C42114" w:rsidP="00C42114">
            <w:pPr>
              <w:rPr>
                <w:rFonts w:ascii="Arial" w:hAnsi="Arial" w:cs="Arial"/>
                <w:sz w:val="20"/>
                <w:szCs w:val="20"/>
              </w:rPr>
            </w:pPr>
            <w:r w:rsidRPr="00D62E06">
              <w:rPr>
                <w:rFonts w:ascii="Arial" w:hAnsi="Arial" w:cs="Arial"/>
                <w:sz w:val="20"/>
                <w:szCs w:val="20"/>
              </w:rPr>
              <w:t>H2</w:t>
            </w:r>
          </w:p>
        </w:tc>
        <w:tc>
          <w:tcPr>
            <w:tcW w:w="1632" w:type="dxa"/>
            <w:tcBorders>
              <w:top w:val="single" w:sz="16" w:space="0" w:color="000000"/>
              <w:left w:val="single" w:sz="16" w:space="0" w:color="000000"/>
              <w:bottom w:val="nil"/>
            </w:tcBorders>
            <w:shd w:val="clear" w:color="auto" w:fill="FFFFFF"/>
            <w:vAlign w:val="center"/>
          </w:tcPr>
          <w:p w14:paraId="19D31BDE" w14:textId="77777777" w:rsidR="00C42114" w:rsidRPr="00D62E06" w:rsidRDefault="00C42114" w:rsidP="00C42114">
            <w:pPr>
              <w:rPr>
                <w:rFonts w:ascii="Arial" w:hAnsi="Arial" w:cs="Arial"/>
                <w:sz w:val="20"/>
                <w:szCs w:val="20"/>
              </w:rPr>
            </w:pPr>
            <w:r w:rsidRPr="00D62E06">
              <w:rPr>
                <w:rFonts w:ascii="Arial" w:hAnsi="Arial" w:cs="Arial"/>
                <w:sz w:val="20"/>
                <w:szCs w:val="20"/>
              </w:rPr>
              <w:t>3.660</w:t>
            </w:r>
          </w:p>
        </w:tc>
        <w:tc>
          <w:tcPr>
            <w:tcW w:w="1699" w:type="dxa"/>
            <w:tcBorders>
              <w:top w:val="single" w:sz="16" w:space="0" w:color="000000"/>
              <w:bottom w:val="nil"/>
            </w:tcBorders>
            <w:shd w:val="clear" w:color="auto" w:fill="FFFFFF"/>
            <w:vAlign w:val="center"/>
          </w:tcPr>
          <w:p w14:paraId="52E0D5A9" w14:textId="77777777" w:rsidR="00C42114" w:rsidRPr="00D62E06" w:rsidRDefault="00C42114" w:rsidP="00C42114">
            <w:pPr>
              <w:rPr>
                <w:rFonts w:ascii="Arial" w:hAnsi="Arial" w:cs="Arial"/>
                <w:sz w:val="20"/>
                <w:szCs w:val="20"/>
              </w:rPr>
            </w:pPr>
            <w:r w:rsidRPr="00D62E06">
              <w:rPr>
                <w:rFonts w:ascii="Arial" w:hAnsi="Arial" w:cs="Arial"/>
                <w:sz w:val="20"/>
                <w:szCs w:val="20"/>
              </w:rPr>
              <w:t>0.057</w:t>
            </w:r>
          </w:p>
        </w:tc>
        <w:tc>
          <w:tcPr>
            <w:tcW w:w="1191" w:type="dxa"/>
            <w:tcBorders>
              <w:top w:val="single" w:sz="16" w:space="0" w:color="000000"/>
              <w:bottom w:val="nil"/>
            </w:tcBorders>
            <w:shd w:val="clear" w:color="auto" w:fill="FFFFFF"/>
            <w:vAlign w:val="center"/>
          </w:tcPr>
          <w:p w14:paraId="16718F36" w14:textId="77777777" w:rsidR="00C42114" w:rsidRPr="00D62E06" w:rsidRDefault="00C42114" w:rsidP="00C42114">
            <w:pPr>
              <w:rPr>
                <w:rFonts w:ascii="Arial" w:hAnsi="Arial" w:cs="Arial"/>
                <w:sz w:val="20"/>
                <w:szCs w:val="20"/>
              </w:rPr>
            </w:pPr>
            <w:r w:rsidRPr="00D62E06">
              <w:rPr>
                <w:rFonts w:ascii="Arial" w:hAnsi="Arial" w:cs="Arial"/>
                <w:sz w:val="20"/>
                <w:szCs w:val="20"/>
              </w:rPr>
              <w:t>1.454</w:t>
            </w:r>
          </w:p>
        </w:tc>
        <w:tc>
          <w:tcPr>
            <w:tcW w:w="1409" w:type="dxa"/>
            <w:tcBorders>
              <w:top w:val="single" w:sz="16" w:space="0" w:color="000000"/>
              <w:bottom w:val="nil"/>
            </w:tcBorders>
            <w:shd w:val="clear" w:color="auto" w:fill="FFFFFF"/>
            <w:vAlign w:val="center"/>
          </w:tcPr>
          <w:p w14:paraId="1D8FC3CA" w14:textId="77777777" w:rsidR="00C42114" w:rsidRPr="00D62E06" w:rsidRDefault="00C42114" w:rsidP="00C42114">
            <w:pPr>
              <w:rPr>
                <w:rFonts w:ascii="Arial" w:hAnsi="Arial" w:cs="Arial"/>
                <w:sz w:val="20"/>
                <w:szCs w:val="20"/>
              </w:rPr>
            </w:pPr>
            <w:r w:rsidRPr="00D62E06">
              <w:rPr>
                <w:rFonts w:ascii="Arial" w:hAnsi="Arial" w:cs="Arial"/>
                <w:sz w:val="20"/>
                <w:szCs w:val="20"/>
              </w:rPr>
              <w:t>355</w:t>
            </w:r>
          </w:p>
        </w:tc>
        <w:tc>
          <w:tcPr>
            <w:tcW w:w="1890" w:type="dxa"/>
            <w:tcBorders>
              <w:top w:val="single" w:sz="16" w:space="0" w:color="000000"/>
              <w:bottom w:val="nil"/>
            </w:tcBorders>
            <w:shd w:val="clear" w:color="auto" w:fill="FFFFFF"/>
            <w:vAlign w:val="center"/>
          </w:tcPr>
          <w:p w14:paraId="2F56E690" w14:textId="77777777" w:rsidR="00C42114" w:rsidRPr="00D62E06" w:rsidRDefault="00C42114" w:rsidP="00C42114">
            <w:pPr>
              <w:rPr>
                <w:rFonts w:ascii="Arial" w:hAnsi="Arial" w:cs="Arial"/>
                <w:b/>
                <w:bCs/>
                <w:sz w:val="20"/>
                <w:szCs w:val="20"/>
              </w:rPr>
            </w:pPr>
            <w:r w:rsidRPr="00D62E06">
              <w:rPr>
                <w:rFonts w:ascii="Arial" w:hAnsi="Arial" w:cs="Arial"/>
                <w:b/>
                <w:bCs/>
                <w:sz w:val="20"/>
                <w:szCs w:val="20"/>
              </w:rPr>
              <w:t>0.148</w:t>
            </w:r>
          </w:p>
        </w:tc>
      </w:tr>
      <w:tr w:rsidR="00C42114" w:rsidRPr="00D62E06" w14:paraId="3715F1E5" w14:textId="77777777" w:rsidTr="00C42114">
        <w:trPr>
          <w:gridAfter w:val="1"/>
          <w:wAfter w:w="8680" w:type="dxa"/>
          <w:cantSplit/>
          <w:trHeight w:val="29"/>
        </w:trPr>
        <w:tc>
          <w:tcPr>
            <w:tcW w:w="819" w:type="dxa"/>
            <w:vMerge/>
            <w:tcBorders>
              <w:top w:val="single" w:sz="16" w:space="0" w:color="000000"/>
              <w:left w:val="single" w:sz="16" w:space="0" w:color="000000"/>
              <w:bottom w:val="single" w:sz="16" w:space="0" w:color="000000"/>
              <w:right w:val="nil"/>
            </w:tcBorders>
            <w:shd w:val="clear" w:color="auto" w:fill="FFFFFF"/>
          </w:tcPr>
          <w:p w14:paraId="7EEE817A" w14:textId="77777777" w:rsidR="00C42114" w:rsidRPr="00D62E06" w:rsidRDefault="00C42114" w:rsidP="00C42114">
            <w:pPr>
              <w:rPr>
                <w:rFonts w:ascii="Arial" w:hAnsi="Arial" w:cs="Arial"/>
                <w:sz w:val="20"/>
                <w:szCs w:val="20"/>
              </w:rPr>
            </w:pPr>
          </w:p>
        </w:tc>
        <w:tc>
          <w:tcPr>
            <w:tcW w:w="1632" w:type="dxa"/>
            <w:tcBorders>
              <w:top w:val="nil"/>
              <w:left w:val="single" w:sz="16" w:space="0" w:color="000000"/>
              <w:bottom w:val="single" w:sz="16" w:space="0" w:color="000000"/>
            </w:tcBorders>
            <w:shd w:val="clear" w:color="auto" w:fill="FFFFFF"/>
            <w:vAlign w:val="center"/>
          </w:tcPr>
          <w:p w14:paraId="1EEA1856" w14:textId="77777777" w:rsidR="00C42114" w:rsidRPr="00D62E06" w:rsidRDefault="00C42114" w:rsidP="00C42114">
            <w:pPr>
              <w:rPr>
                <w:rFonts w:ascii="Arial" w:hAnsi="Arial" w:cs="Arial"/>
                <w:sz w:val="20"/>
                <w:szCs w:val="20"/>
              </w:rPr>
            </w:pPr>
          </w:p>
        </w:tc>
        <w:tc>
          <w:tcPr>
            <w:tcW w:w="1699" w:type="dxa"/>
            <w:tcBorders>
              <w:top w:val="nil"/>
              <w:bottom w:val="single" w:sz="16" w:space="0" w:color="000000"/>
            </w:tcBorders>
            <w:shd w:val="clear" w:color="auto" w:fill="FFFFFF"/>
            <w:vAlign w:val="center"/>
          </w:tcPr>
          <w:p w14:paraId="15B46E31" w14:textId="77777777" w:rsidR="00C42114" w:rsidRPr="00D62E06" w:rsidRDefault="00C42114" w:rsidP="00C42114">
            <w:pPr>
              <w:rPr>
                <w:rFonts w:ascii="Arial" w:hAnsi="Arial" w:cs="Arial"/>
                <w:sz w:val="20"/>
                <w:szCs w:val="20"/>
              </w:rPr>
            </w:pPr>
          </w:p>
        </w:tc>
        <w:tc>
          <w:tcPr>
            <w:tcW w:w="1191" w:type="dxa"/>
            <w:tcBorders>
              <w:top w:val="nil"/>
              <w:bottom w:val="single" w:sz="16" w:space="0" w:color="000000"/>
            </w:tcBorders>
            <w:shd w:val="clear" w:color="auto" w:fill="FFFFFF"/>
            <w:vAlign w:val="center"/>
          </w:tcPr>
          <w:p w14:paraId="45F40433" w14:textId="77777777" w:rsidR="00C42114" w:rsidRPr="00D62E06" w:rsidRDefault="00C42114" w:rsidP="00C42114">
            <w:pPr>
              <w:rPr>
                <w:rFonts w:ascii="Arial" w:hAnsi="Arial" w:cs="Arial"/>
                <w:sz w:val="20"/>
                <w:szCs w:val="20"/>
              </w:rPr>
            </w:pPr>
          </w:p>
        </w:tc>
        <w:tc>
          <w:tcPr>
            <w:tcW w:w="1409" w:type="dxa"/>
            <w:tcBorders>
              <w:top w:val="nil"/>
              <w:bottom w:val="single" w:sz="16" w:space="0" w:color="000000"/>
            </w:tcBorders>
            <w:shd w:val="clear" w:color="auto" w:fill="FFFFFF"/>
            <w:vAlign w:val="center"/>
          </w:tcPr>
          <w:p w14:paraId="3D51ED6C" w14:textId="77777777" w:rsidR="00C42114" w:rsidRPr="00D62E06" w:rsidRDefault="00C42114" w:rsidP="00C42114">
            <w:pPr>
              <w:rPr>
                <w:rFonts w:ascii="Arial" w:hAnsi="Arial" w:cs="Arial"/>
                <w:sz w:val="20"/>
                <w:szCs w:val="20"/>
              </w:rPr>
            </w:pPr>
          </w:p>
        </w:tc>
        <w:tc>
          <w:tcPr>
            <w:tcW w:w="1890" w:type="dxa"/>
            <w:tcBorders>
              <w:top w:val="nil"/>
              <w:bottom w:val="single" w:sz="16" w:space="0" w:color="000000"/>
            </w:tcBorders>
            <w:shd w:val="clear" w:color="auto" w:fill="FFFFFF"/>
            <w:vAlign w:val="center"/>
          </w:tcPr>
          <w:p w14:paraId="0B0E1A5C" w14:textId="77777777" w:rsidR="00C42114" w:rsidRPr="00D62E06" w:rsidRDefault="00C42114" w:rsidP="00C42114">
            <w:pPr>
              <w:rPr>
                <w:rFonts w:ascii="Arial" w:hAnsi="Arial" w:cs="Arial"/>
                <w:b/>
                <w:bCs/>
                <w:sz w:val="20"/>
                <w:szCs w:val="20"/>
              </w:rPr>
            </w:pPr>
          </w:p>
        </w:tc>
      </w:tr>
    </w:tbl>
    <w:p w14:paraId="5FEDBA0D" w14:textId="77777777" w:rsidR="00C42114" w:rsidRPr="00D62E06" w:rsidRDefault="00C42114" w:rsidP="00C42114">
      <w:pPr>
        <w:rPr>
          <w:rFonts w:ascii="Arial" w:hAnsi="Arial" w:cs="Arial"/>
          <w:sz w:val="20"/>
          <w:szCs w:val="20"/>
        </w:rPr>
      </w:pP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97"/>
        <w:gridCol w:w="1468"/>
        <w:gridCol w:w="1025"/>
        <w:gridCol w:w="1408"/>
        <w:gridCol w:w="1025"/>
        <w:gridCol w:w="2017"/>
      </w:tblGrid>
      <w:tr w:rsidR="00C42114" w:rsidRPr="00D62E06" w14:paraId="3FBD1E34" w14:textId="77777777" w:rsidTr="00832954">
        <w:trPr>
          <w:cantSplit/>
        </w:trPr>
        <w:tc>
          <w:tcPr>
            <w:tcW w:w="8640" w:type="dxa"/>
            <w:gridSpan w:val="6"/>
            <w:tcBorders>
              <w:top w:val="nil"/>
              <w:left w:val="nil"/>
              <w:bottom w:val="nil"/>
              <w:right w:val="nil"/>
            </w:tcBorders>
            <w:shd w:val="clear" w:color="auto" w:fill="FFFFFF"/>
            <w:vAlign w:val="center"/>
          </w:tcPr>
          <w:p w14:paraId="3E077916" w14:textId="77777777" w:rsidR="00C42114" w:rsidRPr="00D62E06" w:rsidRDefault="00C42114" w:rsidP="00C42114">
            <w:pPr>
              <w:rPr>
                <w:rFonts w:ascii="Arial" w:hAnsi="Arial" w:cs="Arial"/>
                <w:sz w:val="20"/>
                <w:szCs w:val="20"/>
              </w:rPr>
            </w:pPr>
            <w:r w:rsidRPr="00D62E06">
              <w:rPr>
                <w:rFonts w:ascii="Arial" w:hAnsi="Arial" w:cs="Arial"/>
                <w:b/>
                <w:bCs/>
                <w:sz w:val="20"/>
                <w:szCs w:val="20"/>
              </w:rPr>
              <w:t>Table 4:  ANOVA Test results on Hypothesis two based on educational level</w:t>
            </w:r>
          </w:p>
        </w:tc>
      </w:tr>
      <w:tr w:rsidR="00C42114" w:rsidRPr="00D62E06" w14:paraId="28FC816B" w14:textId="77777777" w:rsidTr="00832954">
        <w:trPr>
          <w:cantSplit/>
        </w:trPr>
        <w:tc>
          <w:tcPr>
            <w:tcW w:w="1697"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553C893B" w14:textId="77777777" w:rsidR="00C42114" w:rsidRPr="00D62E06" w:rsidRDefault="00C42114" w:rsidP="00C42114">
            <w:pPr>
              <w:rPr>
                <w:rFonts w:ascii="Arial" w:hAnsi="Arial" w:cs="Arial"/>
                <w:sz w:val="20"/>
                <w:szCs w:val="20"/>
              </w:rPr>
            </w:pPr>
            <w:r w:rsidRPr="00D62E06">
              <w:rPr>
                <w:rFonts w:ascii="Arial" w:hAnsi="Arial" w:cs="Arial"/>
                <w:sz w:val="20"/>
                <w:szCs w:val="20"/>
              </w:rPr>
              <w:t>H2</w:t>
            </w:r>
          </w:p>
        </w:tc>
        <w:tc>
          <w:tcPr>
            <w:tcW w:w="1468" w:type="dxa"/>
            <w:tcBorders>
              <w:top w:val="single" w:sz="16" w:space="0" w:color="000000"/>
              <w:left w:val="single" w:sz="16" w:space="0" w:color="000000"/>
              <w:bottom w:val="single" w:sz="16" w:space="0" w:color="000000"/>
            </w:tcBorders>
            <w:shd w:val="clear" w:color="auto" w:fill="FFFFFF"/>
            <w:vAlign w:val="bottom"/>
          </w:tcPr>
          <w:p w14:paraId="0E697C32" w14:textId="77777777" w:rsidR="00C42114" w:rsidRPr="00D62E06" w:rsidRDefault="00C42114" w:rsidP="00C42114">
            <w:pPr>
              <w:rPr>
                <w:rFonts w:ascii="Arial" w:hAnsi="Arial" w:cs="Arial"/>
                <w:sz w:val="20"/>
                <w:szCs w:val="20"/>
              </w:rPr>
            </w:pPr>
            <w:r w:rsidRPr="00D62E06">
              <w:rPr>
                <w:rFonts w:ascii="Arial" w:hAnsi="Arial" w:cs="Arial"/>
                <w:sz w:val="20"/>
                <w:szCs w:val="20"/>
              </w:rPr>
              <w:t>Sum of Squares</w:t>
            </w:r>
          </w:p>
        </w:tc>
        <w:tc>
          <w:tcPr>
            <w:tcW w:w="1025" w:type="dxa"/>
            <w:tcBorders>
              <w:top w:val="single" w:sz="16" w:space="0" w:color="000000"/>
              <w:bottom w:val="single" w:sz="16" w:space="0" w:color="000000"/>
            </w:tcBorders>
            <w:shd w:val="clear" w:color="auto" w:fill="FFFFFF"/>
            <w:vAlign w:val="bottom"/>
          </w:tcPr>
          <w:p w14:paraId="7FCE42E2" w14:textId="77777777" w:rsidR="00C42114" w:rsidRPr="00D62E06" w:rsidRDefault="00C42114" w:rsidP="00C42114">
            <w:pPr>
              <w:rPr>
                <w:rFonts w:ascii="Arial" w:hAnsi="Arial" w:cs="Arial"/>
                <w:sz w:val="20"/>
                <w:szCs w:val="20"/>
              </w:rPr>
            </w:pPr>
            <w:proofErr w:type="spellStart"/>
            <w:r w:rsidRPr="00D62E06">
              <w:rPr>
                <w:rFonts w:ascii="Arial" w:hAnsi="Arial" w:cs="Arial"/>
                <w:sz w:val="20"/>
                <w:szCs w:val="20"/>
              </w:rPr>
              <w:t>Df</w:t>
            </w:r>
            <w:proofErr w:type="spellEnd"/>
          </w:p>
        </w:tc>
        <w:tc>
          <w:tcPr>
            <w:tcW w:w="1408" w:type="dxa"/>
            <w:tcBorders>
              <w:top w:val="single" w:sz="16" w:space="0" w:color="000000"/>
              <w:bottom w:val="single" w:sz="16" w:space="0" w:color="000000"/>
            </w:tcBorders>
            <w:shd w:val="clear" w:color="auto" w:fill="FFFFFF"/>
            <w:vAlign w:val="bottom"/>
          </w:tcPr>
          <w:p w14:paraId="26E8C533" w14:textId="77777777" w:rsidR="00C42114" w:rsidRPr="00D62E06" w:rsidRDefault="00C42114" w:rsidP="00C42114">
            <w:pPr>
              <w:rPr>
                <w:rFonts w:ascii="Arial" w:hAnsi="Arial" w:cs="Arial"/>
                <w:sz w:val="20"/>
                <w:szCs w:val="20"/>
              </w:rPr>
            </w:pPr>
            <w:r w:rsidRPr="00D62E06">
              <w:rPr>
                <w:rFonts w:ascii="Arial" w:hAnsi="Arial" w:cs="Arial"/>
                <w:sz w:val="20"/>
                <w:szCs w:val="20"/>
              </w:rPr>
              <w:t>Mean Square</w:t>
            </w:r>
          </w:p>
        </w:tc>
        <w:tc>
          <w:tcPr>
            <w:tcW w:w="1025" w:type="dxa"/>
            <w:tcBorders>
              <w:top w:val="single" w:sz="16" w:space="0" w:color="000000"/>
              <w:bottom w:val="single" w:sz="16" w:space="0" w:color="000000"/>
            </w:tcBorders>
            <w:shd w:val="clear" w:color="auto" w:fill="FFFFFF"/>
            <w:vAlign w:val="bottom"/>
          </w:tcPr>
          <w:p w14:paraId="4AE1FAFC" w14:textId="77777777" w:rsidR="00C42114" w:rsidRPr="00D62E06" w:rsidRDefault="00C42114" w:rsidP="00C42114">
            <w:pPr>
              <w:rPr>
                <w:rFonts w:ascii="Arial" w:hAnsi="Arial" w:cs="Arial"/>
                <w:sz w:val="20"/>
                <w:szCs w:val="20"/>
              </w:rPr>
            </w:pPr>
            <w:r w:rsidRPr="00D62E06">
              <w:rPr>
                <w:rFonts w:ascii="Arial" w:hAnsi="Arial" w:cs="Arial"/>
                <w:sz w:val="20"/>
                <w:szCs w:val="20"/>
              </w:rPr>
              <w:t>F</w:t>
            </w:r>
          </w:p>
        </w:tc>
        <w:tc>
          <w:tcPr>
            <w:tcW w:w="2017" w:type="dxa"/>
            <w:tcBorders>
              <w:top w:val="single" w:sz="16" w:space="0" w:color="000000"/>
              <w:bottom w:val="single" w:sz="16" w:space="0" w:color="000000"/>
              <w:right w:val="single" w:sz="16" w:space="0" w:color="000000"/>
            </w:tcBorders>
            <w:shd w:val="clear" w:color="auto" w:fill="FFFFFF"/>
            <w:vAlign w:val="bottom"/>
          </w:tcPr>
          <w:p w14:paraId="5A667DFF" w14:textId="77777777" w:rsidR="00C42114" w:rsidRPr="00D62E06" w:rsidRDefault="00C42114" w:rsidP="00C42114">
            <w:pPr>
              <w:rPr>
                <w:rFonts w:ascii="Arial" w:hAnsi="Arial" w:cs="Arial"/>
                <w:sz w:val="20"/>
                <w:szCs w:val="20"/>
              </w:rPr>
            </w:pPr>
            <w:r w:rsidRPr="00D62E06">
              <w:rPr>
                <w:rFonts w:ascii="Arial" w:hAnsi="Arial" w:cs="Arial"/>
                <w:sz w:val="20"/>
                <w:szCs w:val="20"/>
              </w:rPr>
              <w:t>P-value.</w:t>
            </w:r>
          </w:p>
        </w:tc>
      </w:tr>
      <w:tr w:rsidR="00C42114" w:rsidRPr="00D62E06" w14:paraId="02413BA3" w14:textId="77777777" w:rsidTr="00832954">
        <w:trPr>
          <w:cantSplit/>
        </w:trPr>
        <w:tc>
          <w:tcPr>
            <w:tcW w:w="1697" w:type="dxa"/>
            <w:tcBorders>
              <w:top w:val="single" w:sz="16" w:space="0" w:color="000000"/>
              <w:left w:val="single" w:sz="16" w:space="0" w:color="000000"/>
              <w:bottom w:val="nil"/>
              <w:right w:val="single" w:sz="16" w:space="0" w:color="000000"/>
            </w:tcBorders>
            <w:shd w:val="clear" w:color="auto" w:fill="FFFFFF"/>
          </w:tcPr>
          <w:p w14:paraId="79FDC148" w14:textId="77777777" w:rsidR="00C42114" w:rsidRPr="00D62E06" w:rsidRDefault="00C42114" w:rsidP="00C42114">
            <w:pPr>
              <w:rPr>
                <w:rFonts w:ascii="Arial" w:hAnsi="Arial" w:cs="Arial"/>
                <w:sz w:val="20"/>
                <w:szCs w:val="20"/>
              </w:rPr>
            </w:pPr>
            <w:r w:rsidRPr="00D62E06">
              <w:rPr>
                <w:rFonts w:ascii="Arial" w:hAnsi="Arial" w:cs="Arial"/>
                <w:sz w:val="20"/>
                <w:szCs w:val="20"/>
              </w:rPr>
              <w:t>Between Groups</w:t>
            </w:r>
          </w:p>
        </w:tc>
        <w:tc>
          <w:tcPr>
            <w:tcW w:w="1468" w:type="dxa"/>
            <w:tcBorders>
              <w:top w:val="single" w:sz="16" w:space="0" w:color="000000"/>
              <w:left w:val="single" w:sz="16" w:space="0" w:color="000000"/>
              <w:bottom w:val="nil"/>
            </w:tcBorders>
            <w:shd w:val="clear" w:color="auto" w:fill="FFFFFF"/>
            <w:vAlign w:val="center"/>
          </w:tcPr>
          <w:p w14:paraId="16ECD813" w14:textId="77777777" w:rsidR="00C42114" w:rsidRPr="00D62E06" w:rsidRDefault="00C42114" w:rsidP="00C42114">
            <w:pPr>
              <w:rPr>
                <w:rFonts w:ascii="Arial" w:hAnsi="Arial" w:cs="Arial"/>
                <w:sz w:val="20"/>
                <w:szCs w:val="20"/>
              </w:rPr>
            </w:pPr>
            <w:r w:rsidRPr="00D62E06">
              <w:rPr>
                <w:rFonts w:ascii="Arial" w:hAnsi="Arial" w:cs="Arial"/>
                <w:sz w:val="20"/>
                <w:szCs w:val="20"/>
              </w:rPr>
              <w:t>0.010</w:t>
            </w:r>
          </w:p>
        </w:tc>
        <w:tc>
          <w:tcPr>
            <w:tcW w:w="1025" w:type="dxa"/>
            <w:tcBorders>
              <w:top w:val="single" w:sz="16" w:space="0" w:color="000000"/>
              <w:bottom w:val="nil"/>
            </w:tcBorders>
            <w:shd w:val="clear" w:color="auto" w:fill="FFFFFF"/>
            <w:vAlign w:val="center"/>
          </w:tcPr>
          <w:p w14:paraId="172A208E" w14:textId="77777777" w:rsidR="00C42114" w:rsidRPr="00D62E06" w:rsidRDefault="00C42114" w:rsidP="00C42114">
            <w:pPr>
              <w:rPr>
                <w:rFonts w:ascii="Arial" w:hAnsi="Arial" w:cs="Arial"/>
                <w:sz w:val="20"/>
                <w:szCs w:val="20"/>
              </w:rPr>
            </w:pPr>
            <w:r w:rsidRPr="00D62E06">
              <w:rPr>
                <w:rFonts w:ascii="Arial" w:hAnsi="Arial" w:cs="Arial"/>
                <w:sz w:val="20"/>
                <w:szCs w:val="20"/>
              </w:rPr>
              <w:t>3</w:t>
            </w:r>
          </w:p>
        </w:tc>
        <w:tc>
          <w:tcPr>
            <w:tcW w:w="1408" w:type="dxa"/>
            <w:tcBorders>
              <w:top w:val="single" w:sz="16" w:space="0" w:color="000000"/>
              <w:bottom w:val="nil"/>
            </w:tcBorders>
            <w:shd w:val="clear" w:color="auto" w:fill="FFFFFF"/>
            <w:vAlign w:val="center"/>
          </w:tcPr>
          <w:p w14:paraId="462F9E49" w14:textId="77777777" w:rsidR="00C42114" w:rsidRPr="00D62E06" w:rsidRDefault="00C42114" w:rsidP="00C42114">
            <w:pPr>
              <w:rPr>
                <w:rFonts w:ascii="Arial" w:hAnsi="Arial" w:cs="Arial"/>
                <w:sz w:val="20"/>
                <w:szCs w:val="20"/>
              </w:rPr>
            </w:pPr>
            <w:r w:rsidRPr="00D62E06">
              <w:rPr>
                <w:rFonts w:ascii="Arial" w:hAnsi="Arial" w:cs="Arial"/>
                <w:sz w:val="20"/>
                <w:szCs w:val="20"/>
              </w:rPr>
              <w:t>0.003</w:t>
            </w:r>
          </w:p>
        </w:tc>
        <w:tc>
          <w:tcPr>
            <w:tcW w:w="1025" w:type="dxa"/>
            <w:tcBorders>
              <w:top w:val="single" w:sz="16" w:space="0" w:color="000000"/>
              <w:bottom w:val="nil"/>
            </w:tcBorders>
            <w:shd w:val="clear" w:color="auto" w:fill="FFFFFF"/>
            <w:vAlign w:val="center"/>
          </w:tcPr>
          <w:p w14:paraId="2BD820ED" w14:textId="77777777" w:rsidR="00C42114" w:rsidRPr="00D62E06" w:rsidRDefault="00C42114" w:rsidP="00C42114">
            <w:pPr>
              <w:rPr>
                <w:rFonts w:ascii="Arial" w:hAnsi="Arial" w:cs="Arial"/>
                <w:sz w:val="20"/>
                <w:szCs w:val="20"/>
              </w:rPr>
            </w:pPr>
            <w:r w:rsidRPr="00D62E06">
              <w:rPr>
                <w:rFonts w:ascii="Arial" w:hAnsi="Arial" w:cs="Arial"/>
                <w:sz w:val="20"/>
                <w:szCs w:val="20"/>
              </w:rPr>
              <w:t>0.021</w:t>
            </w:r>
          </w:p>
        </w:tc>
        <w:tc>
          <w:tcPr>
            <w:tcW w:w="2017" w:type="dxa"/>
            <w:tcBorders>
              <w:top w:val="single" w:sz="16" w:space="0" w:color="000000"/>
              <w:bottom w:val="nil"/>
              <w:right w:val="single" w:sz="16" w:space="0" w:color="000000"/>
            </w:tcBorders>
            <w:shd w:val="clear" w:color="auto" w:fill="FFFFFF"/>
            <w:vAlign w:val="center"/>
          </w:tcPr>
          <w:p w14:paraId="1D73E5BD" w14:textId="77777777" w:rsidR="00C42114" w:rsidRPr="00D62E06" w:rsidRDefault="00C42114" w:rsidP="00C42114">
            <w:pPr>
              <w:rPr>
                <w:rFonts w:ascii="Arial" w:hAnsi="Arial" w:cs="Arial"/>
                <w:b/>
                <w:bCs/>
                <w:sz w:val="20"/>
                <w:szCs w:val="20"/>
              </w:rPr>
            </w:pPr>
            <w:r w:rsidRPr="00D62E06">
              <w:rPr>
                <w:rFonts w:ascii="Arial" w:hAnsi="Arial" w:cs="Arial"/>
                <w:b/>
                <w:bCs/>
                <w:sz w:val="20"/>
                <w:szCs w:val="20"/>
              </w:rPr>
              <w:t>0.996</w:t>
            </w:r>
          </w:p>
        </w:tc>
      </w:tr>
      <w:tr w:rsidR="00C42114" w:rsidRPr="00D62E06" w14:paraId="63A89E38" w14:textId="77777777" w:rsidTr="00832954">
        <w:trPr>
          <w:cantSplit/>
        </w:trPr>
        <w:tc>
          <w:tcPr>
            <w:tcW w:w="1697" w:type="dxa"/>
            <w:tcBorders>
              <w:top w:val="nil"/>
              <w:left w:val="single" w:sz="16" w:space="0" w:color="000000"/>
              <w:bottom w:val="nil"/>
              <w:right w:val="single" w:sz="16" w:space="0" w:color="000000"/>
            </w:tcBorders>
            <w:shd w:val="clear" w:color="auto" w:fill="FFFFFF"/>
          </w:tcPr>
          <w:p w14:paraId="1B9983A1" w14:textId="77777777" w:rsidR="00C42114" w:rsidRPr="00D62E06" w:rsidRDefault="00C42114" w:rsidP="00C42114">
            <w:pPr>
              <w:rPr>
                <w:rFonts w:ascii="Arial" w:hAnsi="Arial" w:cs="Arial"/>
                <w:sz w:val="20"/>
                <w:szCs w:val="20"/>
              </w:rPr>
            </w:pPr>
            <w:r w:rsidRPr="00D62E06">
              <w:rPr>
                <w:rFonts w:ascii="Arial" w:hAnsi="Arial" w:cs="Arial"/>
                <w:sz w:val="20"/>
                <w:szCs w:val="20"/>
              </w:rPr>
              <w:t>Within Groups</w:t>
            </w:r>
          </w:p>
        </w:tc>
        <w:tc>
          <w:tcPr>
            <w:tcW w:w="1468" w:type="dxa"/>
            <w:tcBorders>
              <w:top w:val="nil"/>
              <w:left w:val="single" w:sz="16" w:space="0" w:color="000000"/>
              <w:bottom w:val="nil"/>
            </w:tcBorders>
            <w:shd w:val="clear" w:color="auto" w:fill="FFFFFF"/>
            <w:vAlign w:val="center"/>
          </w:tcPr>
          <w:p w14:paraId="6B5B7FCB" w14:textId="77777777" w:rsidR="00C42114" w:rsidRPr="00D62E06" w:rsidRDefault="00C42114" w:rsidP="00C42114">
            <w:pPr>
              <w:rPr>
                <w:rFonts w:ascii="Arial" w:hAnsi="Arial" w:cs="Arial"/>
                <w:sz w:val="20"/>
                <w:szCs w:val="20"/>
              </w:rPr>
            </w:pPr>
            <w:r w:rsidRPr="00D62E06">
              <w:rPr>
                <w:rFonts w:ascii="Arial" w:hAnsi="Arial" w:cs="Arial"/>
                <w:sz w:val="20"/>
                <w:szCs w:val="20"/>
              </w:rPr>
              <w:t>26.436</w:t>
            </w:r>
          </w:p>
        </w:tc>
        <w:tc>
          <w:tcPr>
            <w:tcW w:w="1025" w:type="dxa"/>
            <w:tcBorders>
              <w:top w:val="nil"/>
              <w:bottom w:val="nil"/>
            </w:tcBorders>
            <w:shd w:val="clear" w:color="auto" w:fill="FFFFFF"/>
            <w:vAlign w:val="center"/>
          </w:tcPr>
          <w:p w14:paraId="30428A74" w14:textId="77777777" w:rsidR="00C42114" w:rsidRPr="00D62E06" w:rsidRDefault="00C42114" w:rsidP="00C42114">
            <w:pPr>
              <w:rPr>
                <w:rFonts w:ascii="Arial" w:hAnsi="Arial" w:cs="Arial"/>
                <w:sz w:val="20"/>
                <w:szCs w:val="20"/>
              </w:rPr>
            </w:pPr>
            <w:r w:rsidRPr="00D62E06">
              <w:rPr>
                <w:rFonts w:ascii="Arial" w:hAnsi="Arial" w:cs="Arial"/>
                <w:sz w:val="20"/>
                <w:szCs w:val="20"/>
              </w:rPr>
              <w:t>354</w:t>
            </w:r>
          </w:p>
        </w:tc>
        <w:tc>
          <w:tcPr>
            <w:tcW w:w="1408" w:type="dxa"/>
            <w:tcBorders>
              <w:top w:val="nil"/>
              <w:bottom w:val="nil"/>
            </w:tcBorders>
            <w:shd w:val="clear" w:color="auto" w:fill="FFFFFF"/>
            <w:vAlign w:val="center"/>
          </w:tcPr>
          <w:p w14:paraId="03C659CA" w14:textId="77777777" w:rsidR="00C42114" w:rsidRPr="00D62E06" w:rsidRDefault="00C42114" w:rsidP="00C42114">
            <w:pPr>
              <w:rPr>
                <w:rFonts w:ascii="Arial" w:hAnsi="Arial" w:cs="Arial"/>
                <w:sz w:val="20"/>
                <w:szCs w:val="20"/>
              </w:rPr>
            </w:pPr>
            <w:r w:rsidRPr="00D62E06">
              <w:rPr>
                <w:rFonts w:ascii="Arial" w:hAnsi="Arial" w:cs="Arial"/>
                <w:sz w:val="20"/>
                <w:szCs w:val="20"/>
              </w:rPr>
              <w:t>0.153</w:t>
            </w:r>
          </w:p>
        </w:tc>
        <w:tc>
          <w:tcPr>
            <w:tcW w:w="1025" w:type="dxa"/>
            <w:tcBorders>
              <w:top w:val="nil"/>
              <w:bottom w:val="nil"/>
            </w:tcBorders>
            <w:shd w:val="clear" w:color="auto" w:fill="FFFFFF"/>
            <w:vAlign w:val="center"/>
          </w:tcPr>
          <w:p w14:paraId="6B6F3F18" w14:textId="77777777" w:rsidR="00C42114" w:rsidRPr="00D62E06" w:rsidRDefault="00C42114" w:rsidP="00C42114">
            <w:pPr>
              <w:rPr>
                <w:rFonts w:ascii="Arial" w:hAnsi="Arial" w:cs="Arial"/>
                <w:sz w:val="20"/>
                <w:szCs w:val="20"/>
              </w:rPr>
            </w:pPr>
          </w:p>
        </w:tc>
        <w:tc>
          <w:tcPr>
            <w:tcW w:w="2017" w:type="dxa"/>
            <w:tcBorders>
              <w:top w:val="nil"/>
              <w:bottom w:val="nil"/>
              <w:right w:val="single" w:sz="16" w:space="0" w:color="000000"/>
            </w:tcBorders>
            <w:shd w:val="clear" w:color="auto" w:fill="FFFFFF"/>
            <w:vAlign w:val="center"/>
          </w:tcPr>
          <w:p w14:paraId="25D47C13" w14:textId="77777777" w:rsidR="00C42114" w:rsidRPr="00D62E06" w:rsidRDefault="00C42114" w:rsidP="00C42114">
            <w:pPr>
              <w:rPr>
                <w:rFonts w:ascii="Arial" w:hAnsi="Arial" w:cs="Arial"/>
                <w:sz w:val="20"/>
                <w:szCs w:val="20"/>
              </w:rPr>
            </w:pPr>
          </w:p>
        </w:tc>
      </w:tr>
      <w:tr w:rsidR="00C42114" w:rsidRPr="00D62E06" w14:paraId="26114C5E" w14:textId="77777777" w:rsidTr="00832954">
        <w:trPr>
          <w:cantSplit/>
        </w:trPr>
        <w:tc>
          <w:tcPr>
            <w:tcW w:w="1697" w:type="dxa"/>
            <w:tcBorders>
              <w:top w:val="nil"/>
              <w:left w:val="single" w:sz="16" w:space="0" w:color="000000"/>
              <w:bottom w:val="single" w:sz="16" w:space="0" w:color="000000"/>
              <w:right w:val="single" w:sz="16" w:space="0" w:color="000000"/>
            </w:tcBorders>
            <w:shd w:val="clear" w:color="auto" w:fill="FFFFFF"/>
          </w:tcPr>
          <w:p w14:paraId="56CAC8D2" w14:textId="77777777" w:rsidR="00C42114" w:rsidRPr="00D62E06" w:rsidRDefault="00C42114" w:rsidP="00C42114">
            <w:pPr>
              <w:rPr>
                <w:rFonts w:ascii="Arial" w:hAnsi="Arial" w:cs="Arial"/>
                <w:sz w:val="20"/>
                <w:szCs w:val="20"/>
              </w:rPr>
            </w:pPr>
            <w:r w:rsidRPr="00D62E06">
              <w:rPr>
                <w:rFonts w:ascii="Arial" w:hAnsi="Arial" w:cs="Arial"/>
                <w:sz w:val="20"/>
                <w:szCs w:val="20"/>
              </w:rPr>
              <w:t>Total</w:t>
            </w:r>
          </w:p>
        </w:tc>
        <w:tc>
          <w:tcPr>
            <w:tcW w:w="1468" w:type="dxa"/>
            <w:tcBorders>
              <w:top w:val="nil"/>
              <w:left w:val="single" w:sz="16" w:space="0" w:color="000000"/>
              <w:bottom w:val="single" w:sz="16" w:space="0" w:color="000000"/>
            </w:tcBorders>
            <w:shd w:val="clear" w:color="auto" w:fill="FFFFFF"/>
            <w:vAlign w:val="center"/>
          </w:tcPr>
          <w:p w14:paraId="3C871182" w14:textId="77777777" w:rsidR="00C42114" w:rsidRPr="00D62E06" w:rsidRDefault="00C42114" w:rsidP="00C42114">
            <w:pPr>
              <w:rPr>
                <w:rFonts w:ascii="Arial" w:hAnsi="Arial" w:cs="Arial"/>
                <w:sz w:val="20"/>
                <w:szCs w:val="20"/>
              </w:rPr>
            </w:pPr>
            <w:r w:rsidRPr="00D62E06">
              <w:rPr>
                <w:rFonts w:ascii="Arial" w:hAnsi="Arial" w:cs="Arial"/>
                <w:sz w:val="20"/>
                <w:szCs w:val="20"/>
              </w:rPr>
              <w:t>26.446</w:t>
            </w:r>
          </w:p>
        </w:tc>
        <w:tc>
          <w:tcPr>
            <w:tcW w:w="1025" w:type="dxa"/>
            <w:tcBorders>
              <w:top w:val="nil"/>
              <w:bottom w:val="single" w:sz="16" w:space="0" w:color="000000"/>
            </w:tcBorders>
            <w:shd w:val="clear" w:color="auto" w:fill="FFFFFF"/>
            <w:vAlign w:val="center"/>
          </w:tcPr>
          <w:p w14:paraId="24B76D50" w14:textId="77777777" w:rsidR="00C42114" w:rsidRPr="00D62E06" w:rsidRDefault="00C42114" w:rsidP="00C42114">
            <w:pPr>
              <w:rPr>
                <w:rFonts w:ascii="Arial" w:hAnsi="Arial" w:cs="Arial"/>
                <w:sz w:val="20"/>
                <w:szCs w:val="20"/>
              </w:rPr>
            </w:pPr>
            <w:r w:rsidRPr="00D62E06">
              <w:rPr>
                <w:rFonts w:ascii="Arial" w:hAnsi="Arial" w:cs="Arial"/>
                <w:sz w:val="20"/>
                <w:szCs w:val="20"/>
              </w:rPr>
              <w:t>357</w:t>
            </w:r>
          </w:p>
        </w:tc>
        <w:tc>
          <w:tcPr>
            <w:tcW w:w="1408" w:type="dxa"/>
            <w:tcBorders>
              <w:top w:val="nil"/>
              <w:bottom w:val="single" w:sz="16" w:space="0" w:color="000000"/>
            </w:tcBorders>
            <w:shd w:val="clear" w:color="auto" w:fill="FFFFFF"/>
            <w:vAlign w:val="center"/>
          </w:tcPr>
          <w:p w14:paraId="2BE95BAC" w14:textId="77777777" w:rsidR="00C42114" w:rsidRPr="00D62E06" w:rsidRDefault="00C42114" w:rsidP="00C42114">
            <w:pPr>
              <w:rPr>
                <w:rFonts w:ascii="Arial" w:hAnsi="Arial" w:cs="Arial"/>
                <w:sz w:val="20"/>
                <w:szCs w:val="20"/>
              </w:rPr>
            </w:pPr>
          </w:p>
        </w:tc>
        <w:tc>
          <w:tcPr>
            <w:tcW w:w="1025" w:type="dxa"/>
            <w:tcBorders>
              <w:top w:val="nil"/>
              <w:bottom w:val="single" w:sz="16" w:space="0" w:color="000000"/>
            </w:tcBorders>
            <w:shd w:val="clear" w:color="auto" w:fill="FFFFFF"/>
            <w:vAlign w:val="center"/>
          </w:tcPr>
          <w:p w14:paraId="326EA582" w14:textId="77777777" w:rsidR="00C42114" w:rsidRPr="00D62E06" w:rsidRDefault="00C42114" w:rsidP="00C42114">
            <w:pPr>
              <w:rPr>
                <w:rFonts w:ascii="Arial" w:hAnsi="Arial" w:cs="Arial"/>
                <w:sz w:val="20"/>
                <w:szCs w:val="20"/>
              </w:rPr>
            </w:pPr>
          </w:p>
        </w:tc>
        <w:tc>
          <w:tcPr>
            <w:tcW w:w="2017" w:type="dxa"/>
            <w:tcBorders>
              <w:top w:val="nil"/>
              <w:bottom w:val="single" w:sz="16" w:space="0" w:color="000000"/>
              <w:right w:val="single" w:sz="16" w:space="0" w:color="000000"/>
            </w:tcBorders>
            <w:shd w:val="clear" w:color="auto" w:fill="FFFFFF"/>
            <w:vAlign w:val="center"/>
          </w:tcPr>
          <w:p w14:paraId="59D045C4" w14:textId="77777777" w:rsidR="00C42114" w:rsidRPr="00D62E06" w:rsidRDefault="00C42114" w:rsidP="00C42114">
            <w:pPr>
              <w:rPr>
                <w:rFonts w:ascii="Arial" w:hAnsi="Arial" w:cs="Arial"/>
                <w:sz w:val="20"/>
                <w:szCs w:val="20"/>
              </w:rPr>
            </w:pPr>
          </w:p>
        </w:tc>
      </w:tr>
    </w:tbl>
    <w:p w14:paraId="00AB75AA" w14:textId="77777777" w:rsidR="00C42114" w:rsidRPr="00D62E06" w:rsidRDefault="00C42114" w:rsidP="00C42114">
      <w:pPr>
        <w:rPr>
          <w:rFonts w:ascii="Arial" w:hAnsi="Arial" w:cs="Arial"/>
          <w:sz w:val="20"/>
          <w:szCs w:val="20"/>
        </w:rPr>
      </w:pPr>
    </w:p>
    <w:p w14:paraId="4CCDA11F" w14:textId="77777777" w:rsidR="00C42114" w:rsidRPr="00D62E06" w:rsidRDefault="00C42114" w:rsidP="00C42114">
      <w:pPr>
        <w:rPr>
          <w:rFonts w:ascii="Arial" w:hAnsi="Arial" w:cs="Arial"/>
          <w:sz w:val="20"/>
          <w:szCs w:val="20"/>
        </w:rPr>
      </w:pP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97"/>
        <w:gridCol w:w="1468"/>
        <w:gridCol w:w="1025"/>
        <w:gridCol w:w="1408"/>
        <w:gridCol w:w="1025"/>
        <w:gridCol w:w="2017"/>
      </w:tblGrid>
      <w:tr w:rsidR="00C42114" w:rsidRPr="00D62E06" w14:paraId="45964E95" w14:textId="77777777" w:rsidTr="00832954">
        <w:trPr>
          <w:cantSplit/>
        </w:trPr>
        <w:tc>
          <w:tcPr>
            <w:tcW w:w="8640" w:type="dxa"/>
            <w:gridSpan w:val="6"/>
            <w:tcBorders>
              <w:top w:val="nil"/>
              <w:left w:val="nil"/>
              <w:bottom w:val="nil"/>
              <w:right w:val="nil"/>
            </w:tcBorders>
            <w:shd w:val="clear" w:color="auto" w:fill="FFFFFF"/>
            <w:vAlign w:val="center"/>
          </w:tcPr>
          <w:p w14:paraId="07AAFC1B" w14:textId="189F27F5" w:rsidR="00C42114" w:rsidRPr="00D62E06" w:rsidRDefault="00C42114" w:rsidP="00C42114">
            <w:pPr>
              <w:rPr>
                <w:rFonts w:ascii="Arial" w:hAnsi="Arial" w:cs="Arial"/>
                <w:sz w:val="20"/>
                <w:szCs w:val="20"/>
              </w:rPr>
            </w:pPr>
            <w:r w:rsidRPr="00D62E06">
              <w:rPr>
                <w:rFonts w:ascii="Arial" w:hAnsi="Arial" w:cs="Arial"/>
                <w:b/>
                <w:bCs/>
                <w:sz w:val="20"/>
                <w:szCs w:val="20"/>
              </w:rPr>
              <w:t xml:space="preserve">Table 5: ANOVA Test results on Hypothesis two based on Age </w:t>
            </w:r>
          </w:p>
        </w:tc>
      </w:tr>
      <w:tr w:rsidR="00C42114" w:rsidRPr="00D62E06" w14:paraId="2CB759C1" w14:textId="77777777" w:rsidTr="00832954">
        <w:trPr>
          <w:cantSplit/>
        </w:trPr>
        <w:tc>
          <w:tcPr>
            <w:tcW w:w="1697"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32517B81" w14:textId="77777777" w:rsidR="00C42114" w:rsidRPr="00D62E06" w:rsidRDefault="00C42114" w:rsidP="00C42114">
            <w:pPr>
              <w:rPr>
                <w:rFonts w:ascii="Arial" w:hAnsi="Arial" w:cs="Arial"/>
                <w:sz w:val="20"/>
                <w:szCs w:val="20"/>
              </w:rPr>
            </w:pPr>
          </w:p>
        </w:tc>
        <w:tc>
          <w:tcPr>
            <w:tcW w:w="1468" w:type="dxa"/>
            <w:tcBorders>
              <w:top w:val="single" w:sz="16" w:space="0" w:color="000000"/>
              <w:left w:val="single" w:sz="16" w:space="0" w:color="000000"/>
              <w:bottom w:val="single" w:sz="16" w:space="0" w:color="000000"/>
            </w:tcBorders>
            <w:shd w:val="clear" w:color="auto" w:fill="FFFFFF"/>
            <w:vAlign w:val="bottom"/>
          </w:tcPr>
          <w:p w14:paraId="7AFBC160" w14:textId="77777777" w:rsidR="00C42114" w:rsidRPr="00D62E06" w:rsidRDefault="00C42114" w:rsidP="00C42114">
            <w:pPr>
              <w:rPr>
                <w:rFonts w:ascii="Arial" w:hAnsi="Arial" w:cs="Arial"/>
                <w:sz w:val="20"/>
                <w:szCs w:val="20"/>
              </w:rPr>
            </w:pPr>
            <w:r w:rsidRPr="00D62E06">
              <w:rPr>
                <w:rFonts w:ascii="Arial" w:hAnsi="Arial" w:cs="Arial"/>
                <w:sz w:val="20"/>
                <w:szCs w:val="20"/>
              </w:rPr>
              <w:t>Sum of Squares</w:t>
            </w:r>
          </w:p>
        </w:tc>
        <w:tc>
          <w:tcPr>
            <w:tcW w:w="1025" w:type="dxa"/>
            <w:tcBorders>
              <w:top w:val="single" w:sz="16" w:space="0" w:color="000000"/>
              <w:bottom w:val="single" w:sz="16" w:space="0" w:color="000000"/>
            </w:tcBorders>
            <w:shd w:val="clear" w:color="auto" w:fill="FFFFFF"/>
            <w:vAlign w:val="bottom"/>
          </w:tcPr>
          <w:p w14:paraId="273684F3" w14:textId="77777777" w:rsidR="00C42114" w:rsidRPr="00D62E06" w:rsidRDefault="00C42114" w:rsidP="00C42114">
            <w:pPr>
              <w:rPr>
                <w:rFonts w:ascii="Arial" w:hAnsi="Arial" w:cs="Arial"/>
                <w:sz w:val="20"/>
                <w:szCs w:val="20"/>
              </w:rPr>
            </w:pPr>
            <w:proofErr w:type="spellStart"/>
            <w:r w:rsidRPr="00D62E06">
              <w:rPr>
                <w:rFonts w:ascii="Arial" w:hAnsi="Arial" w:cs="Arial"/>
                <w:sz w:val="20"/>
                <w:szCs w:val="20"/>
              </w:rPr>
              <w:t>df</w:t>
            </w:r>
            <w:proofErr w:type="spellEnd"/>
          </w:p>
        </w:tc>
        <w:tc>
          <w:tcPr>
            <w:tcW w:w="1408" w:type="dxa"/>
            <w:tcBorders>
              <w:top w:val="single" w:sz="16" w:space="0" w:color="000000"/>
              <w:bottom w:val="single" w:sz="16" w:space="0" w:color="000000"/>
            </w:tcBorders>
            <w:shd w:val="clear" w:color="auto" w:fill="FFFFFF"/>
            <w:vAlign w:val="bottom"/>
          </w:tcPr>
          <w:p w14:paraId="71972887" w14:textId="77777777" w:rsidR="00C42114" w:rsidRPr="00D62E06" w:rsidRDefault="00C42114" w:rsidP="00C42114">
            <w:pPr>
              <w:rPr>
                <w:rFonts w:ascii="Arial" w:hAnsi="Arial" w:cs="Arial"/>
                <w:sz w:val="20"/>
                <w:szCs w:val="20"/>
              </w:rPr>
            </w:pPr>
            <w:r w:rsidRPr="00D62E06">
              <w:rPr>
                <w:rFonts w:ascii="Arial" w:hAnsi="Arial" w:cs="Arial"/>
                <w:sz w:val="20"/>
                <w:szCs w:val="20"/>
              </w:rPr>
              <w:t>Mean Square</w:t>
            </w:r>
          </w:p>
        </w:tc>
        <w:tc>
          <w:tcPr>
            <w:tcW w:w="1025" w:type="dxa"/>
            <w:tcBorders>
              <w:top w:val="single" w:sz="16" w:space="0" w:color="000000"/>
              <w:bottom w:val="single" w:sz="16" w:space="0" w:color="000000"/>
            </w:tcBorders>
            <w:shd w:val="clear" w:color="auto" w:fill="FFFFFF"/>
            <w:vAlign w:val="bottom"/>
          </w:tcPr>
          <w:p w14:paraId="4EFAC378" w14:textId="77777777" w:rsidR="00C42114" w:rsidRPr="00D62E06" w:rsidRDefault="00C42114" w:rsidP="00C42114">
            <w:pPr>
              <w:rPr>
                <w:rFonts w:ascii="Arial" w:hAnsi="Arial" w:cs="Arial"/>
                <w:sz w:val="20"/>
                <w:szCs w:val="20"/>
              </w:rPr>
            </w:pPr>
            <w:r w:rsidRPr="00D62E06">
              <w:rPr>
                <w:rFonts w:ascii="Arial" w:hAnsi="Arial" w:cs="Arial"/>
                <w:sz w:val="20"/>
                <w:szCs w:val="20"/>
              </w:rPr>
              <w:t>F</w:t>
            </w:r>
          </w:p>
        </w:tc>
        <w:tc>
          <w:tcPr>
            <w:tcW w:w="2017" w:type="dxa"/>
            <w:tcBorders>
              <w:top w:val="single" w:sz="16" w:space="0" w:color="000000"/>
              <w:bottom w:val="single" w:sz="16" w:space="0" w:color="000000"/>
              <w:right w:val="single" w:sz="16" w:space="0" w:color="000000"/>
            </w:tcBorders>
            <w:shd w:val="clear" w:color="auto" w:fill="FFFFFF"/>
            <w:vAlign w:val="bottom"/>
          </w:tcPr>
          <w:p w14:paraId="0529B953" w14:textId="77777777" w:rsidR="00C42114" w:rsidRPr="00D62E06" w:rsidRDefault="00C42114" w:rsidP="00C42114">
            <w:pPr>
              <w:rPr>
                <w:rFonts w:ascii="Arial" w:hAnsi="Arial" w:cs="Arial"/>
                <w:sz w:val="20"/>
                <w:szCs w:val="20"/>
              </w:rPr>
            </w:pPr>
            <w:r w:rsidRPr="00D62E06">
              <w:rPr>
                <w:rFonts w:ascii="Arial" w:hAnsi="Arial" w:cs="Arial"/>
                <w:sz w:val="20"/>
                <w:szCs w:val="20"/>
              </w:rPr>
              <w:t>P-value</w:t>
            </w:r>
          </w:p>
        </w:tc>
      </w:tr>
      <w:tr w:rsidR="00C42114" w:rsidRPr="00D62E06" w14:paraId="18BF4376" w14:textId="77777777" w:rsidTr="00832954">
        <w:trPr>
          <w:cantSplit/>
        </w:trPr>
        <w:tc>
          <w:tcPr>
            <w:tcW w:w="1697" w:type="dxa"/>
            <w:tcBorders>
              <w:top w:val="single" w:sz="16" w:space="0" w:color="000000"/>
              <w:left w:val="single" w:sz="16" w:space="0" w:color="000000"/>
              <w:bottom w:val="nil"/>
              <w:right w:val="single" w:sz="16" w:space="0" w:color="000000"/>
            </w:tcBorders>
            <w:shd w:val="clear" w:color="auto" w:fill="FFFFFF"/>
          </w:tcPr>
          <w:p w14:paraId="10FB0839" w14:textId="77777777" w:rsidR="00C42114" w:rsidRPr="00D62E06" w:rsidRDefault="00C42114" w:rsidP="00C42114">
            <w:pPr>
              <w:rPr>
                <w:rFonts w:ascii="Arial" w:hAnsi="Arial" w:cs="Arial"/>
                <w:sz w:val="20"/>
                <w:szCs w:val="20"/>
              </w:rPr>
            </w:pPr>
            <w:r w:rsidRPr="00D62E06">
              <w:rPr>
                <w:rFonts w:ascii="Arial" w:hAnsi="Arial" w:cs="Arial"/>
                <w:sz w:val="20"/>
                <w:szCs w:val="20"/>
              </w:rPr>
              <w:t>Between Groups</w:t>
            </w:r>
          </w:p>
        </w:tc>
        <w:tc>
          <w:tcPr>
            <w:tcW w:w="1468" w:type="dxa"/>
            <w:tcBorders>
              <w:top w:val="single" w:sz="16" w:space="0" w:color="000000"/>
              <w:left w:val="single" w:sz="16" w:space="0" w:color="000000"/>
              <w:bottom w:val="nil"/>
            </w:tcBorders>
            <w:shd w:val="clear" w:color="auto" w:fill="FFFFFF"/>
            <w:vAlign w:val="center"/>
          </w:tcPr>
          <w:p w14:paraId="097734A6" w14:textId="77777777" w:rsidR="00C42114" w:rsidRPr="00D62E06" w:rsidRDefault="00C42114" w:rsidP="00C42114">
            <w:pPr>
              <w:rPr>
                <w:rFonts w:ascii="Arial" w:hAnsi="Arial" w:cs="Arial"/>
                <w:sz w:val="20"/>
                <w:szCs w:val="20"/>
              </w:rPr>
            </w:pPr>
            <w:r w:rsidRPr="00D62E06">
              <w:rPr>
                <w:rFonts w:ascii="Arial" w:hAnsi="Arial" w:cs="Arial"/>
                <w:sz w:val="20"/>
                <w:szCs w:val="20"/>
              </w:rPr>
              <w:t>0.340</w:t>
            </w:r>
          </w:p>
        </w:tc>
        <w:tc>
          <w:tcPr>
            <w:tcW w:w="1025" w:type="dxa"/>
            <w:tcBorders>
              <w:top w:val="single" w:sz="16" w:space="0" w:color="000000"/>
              <w:bottom w:val="nil"/>
            </w:tcBorders>
            <w:shd w:val="clear" w:color="auto" w:fill="FFFFFF"/>
            <w:vAlign w:val="center"/>
          </w:tcPr>
          <w:p w14:paraId="3D2B71C9" w14:textId="77777777" w:rsidR="00C42114" w:rsidRPr="00D62E06" w:rsidRDefault="00C42114" w:rsidP="00C42114">
            <w:pPr>
              <w:rPr>
                <w:rFonts w:ascii="Arial" w:hAnsi="Arial" w:cs="Arial"/>
                <w:sz w:val="20"/>
                <w:szCs w:val="20"/>
              </w:rPr>
            </w:pPr>
            <w:r w:rsidRPr="00D62E06">
              <w:rPr>
                <w:rFonts w:ascii="Arial" w:hAnsi="Arial" w:cs="Arial"/>
                <w:sz w:val="20"/>
                <w:szCs w:val="20"/>
              </w:rPr>
              <w:t>2</w:t>
            </w:r>
          </w:p>
        </w:tc>
        <w:tc>
          <w:tcPr>
            <w:tcW w:w="1408" w:type="dxa"/>
            <w:tcBorders>
              <w:top w:val="single" w:sz="16" w:space="0" w:color="000000"/>
              <w:bottom w:val="nil"/>
            </w:tcBorders>
            <w:shd w:val="clear" w:color="auto" w:fill="FFFFFF"/>
            <w:vAlign w:val="center"/>
          </w:tcPr>
          <w:p w14:paraId="46B90FAD" w14:textId="77777777" w:rsidR="00C42114" w:rsidRPr="00D62E06" w:rsidRDefault="00C42114" w:rsidP="00C42114">
            <w:pPr>
              <w:rPr>
                <w:rFonts w:ascii="Arial" w:hAnsi="Arial" w:cs="Arial"/>
                <w:sz w:val="20"/>
                <w:szCs w:val="20"/>
              </w:rPr>
            </w:pPr>
            <w:r w:rsidRPr="00D62E06">
              <w:rPr>
                <w:rFonts w:ascii="Arial" w:hAnsi="Arial" w:cs="Arial"/>
                <w:sz w:val="20"/>
                <w:szCs w:val="20"/>
              </w:rPr>
              <w:t>0.170</w:t>
            </w:r>
          </w:p>
        </w:tc>
        <w:tc>
          <w:tcPr>
            <w:tcW w:w="1025" w:type="dxa"/>
            <w:tcBorders>
              <w:top w:val="single" w:sz="16" w:space="0" w:color="000000"/>
              <w:bottom w:val="nil"/>
            </w:tcBorders>
            <w:shd w:val="clear" w:color="auto" w:fill="FFFFFF"/>
            <w:vAlign w:val="center"/>
          </w:tcPr>
          <w:p w14:paraId="449B29A7" w14:textId="77777777" w:rsidR="00C42114" w:rsidRPr="00D62E06" w:rsidRDefault="00C42114" w:rsidP="00C42114">
            <w:pPr>
              <w:rPr>
                <w:rFonts w:ascii="Arial" w:hAnsi="Arial" w:cs="Arial"/>
                <w:sz w:val="20"/>
                <w:szCs w:val="20"/>
              </w:rPr>
            </w:pPr>
            <w:r w:rsidRPr="00D62E06">
              <w:rPr>
                <w:rFonts w:ascii="Arial" w:hAnsi="Arial" w:cs="Arial"/>
                <w:sz w:val="20"/>
                <w:szCs w:val="20"/>
              </w:rPr>
              <w:t>1.132</w:t>
            </w:r>
          </w:p>
        </w:tc>
        <w:tc>
          <w:tcPr>
            <w:tcW w:w="2017" w:type="dxa"/>
            <w:tcBorders>
              <w:top w:val="single" w:sz="16" w:space="0" w:color="000000"/>
              <w:bottom w:val="nil"/>
              <w:right w:val="single" w:sz="16" w:space="0" w:color="000000"/>
            </w:tcBorders>
            <w:shd w:val="clear" w:color="auto" w:fill="FFFFFF"/>
            <w:vAlign w:val="center"/>
          </w:tcPr>
          <w:p w14:paraId="0F99C24A" w14:textId="77777777" w:rsidR="00C42114" w:rsidRPr="00D62E06" w:rsidRDefault="00C42114" w:rsidP="00C42114">
            <w:pPr>
              <w:rPr>
                <w:rFonts w:ascii="Arial" w:hAnsi="Arial" w:cs="Arial"/>
                <w:b/>
                <w:bCs/>
                <w:sz w:val="20"/>
                <w:szCs w:val="20"/>
              </w:rPr>
            </w:pPr>
            <w:r w:rsidRPr="00D62E06">
              <w:rPr>
                <w:rFonts w:ascii="Arial" w:hAnsi="Arial" w:cs="Arial"/>
                <w:b/>
                <w:bCs/>
                <w:sz w:val="20"/>
                <w:szCs w:val="20"/>
              </w:rPr>
              <w:t>0.325</w:t>
            </w:r>
          </w:p>
        </w:tc>
      </w:tr>
      <w:tr w:rsidR="00C42114" w:rsidRPr="00D62E06" w14:paraId="539DE93E" w14:textId="77777777" w:rsidTr="00832954">
        <w:trPr>
          <w:cantSplit/>
        </w:trPr>
        <w:tc>
          <w:tcPr>
            <w:tcW w:w="1697" w:type="dxa"/>
            <w:tcBorders>
              <w:top w:val="nil"/>
              <w:left w:val="single" w:sz="16" w:space="0" w:color="000000"/>
              <w:bottom w:val="nil"/>
              <w:right w:val="single" w:sz="16" w:space="0" w:color="000000"/>
            </w:tcBorders>
            <w:shd w:val="clear" w:color="auto" w:fill="FFFFFF"/>
          </w:tcPr>
          <w:p w14:paraId="7C8BD0A4" w14:textId="77777777" w:rsidR="00C42114" w:rsidRPr="00D62E06" w:rsidRDefault="00C42114" w:rsidP="00C42114">
            <w:pPr>
              <w:rPr>
                <w:rFonts w:ascii="Arial" w:hAnsi="Arial" w:cs="Arial"/>
                <w:sz w:val="20"/>
                <w:szCs w:val="20"/>
              </w:rPr>
            </w:pPr>
            <w:r w:rsidRPr="00D62E06">
              <w:rPr>
                <w:rFonts w:ascii="Arial" w:hAnsi="Arial" w:cs="Arial"/>
                <w:sz w:val="20"/>
                <w:szCs w:val="20"/>
              </w:rPr>
              <w:t>Within Groups</w:t>
            </w:r>
          </w:p>
        </w:tc>
        <w:tc>
          <w:tcPr>
            <w:tcW w:w="1468" w:type="dxa"/>
            <w:tcBorders>
              <w:top w:val="nil"/>
              <w:left w:val="single" w:sz="16" w:space="0" w:color="000000"/>
              <w:bottom w:val="nil"/>
            </w:tcBorders>
            <w:shd w:val="clear" w:color="auto" w:fill="FFFFFF"/>
            <w:vAlign w:val="center"/>
          </w:tcPr>
          <w:p w14:paraId="1AD02E6C" w14:textId="77777777" w:rsidR="00C42114" w:rsidRPr="00D62E06" w:rsidRDefault="00C42114" w:rsidP="00C42114">
            <w:pPr>
              <w:rPr>
                <w:rFonts w:ascii="Arial" w:hAnsi="Arial" w:cs="Arial"/>
                <w:sz w:val="20"/>
                <w:szCs w:val="20"/>
              </w:rPr>
            </w:pPr>
            <w:r w:rsidRPr="00D62E06">
              <w:rPr>
                <w:rFonts w:ascii="Arial" w:hAnsi="Arial" w:cs="Arial"/>
                <w:sz w:val="20"/>
                <w:szCs w:val="20"/>
              </w:rPr>
              <w:t>26.106</w:t>
            </w:r>
          </w:p>
        </w:tc>
        <w:tc>
          <w:tcPr>
            <w:tcW w:w="1025" w:type="dxa"/>
            <w:tcBorders>
              <w:top w:val="nil"/>
              <w:bottom w:val="nil"/>
            </w:tcBorders>
            <w:shd w:val="clear" w:color="auto" w:fill="FFFFFF"/>
            <w:vAlign w:val="center"/>
          </w:tcPr>
          <w:p w14:paraId="3F91AF0A" w14:textId="77777777" w:rsidR="00C42114" w:rsidRPr="00D62E06" w:rsidRDefault="00C42114" w:rsidP="00C42114">
            <w:pPr>
              <w:rPr>
                <w:rFonts w:ascii="Arial" w:hAnsi="Arial" w:cs="Arial"/>
                <w:sz w:val="20"/>
                <w:szCs w:val="20"/>
              </w:rPr>
            </w:pPr>
            <w:r w:rsidRPr="00D62E06">
              <w:rPr>
                <w:rFonts w:ascii="Arial" w:hAnsi="Arial" w:cs="Arial"/>
                <w:sz w:val="20"/>
                <w:szCs w:val="20"/>
              </w:rPr>
              <w:t>355</w:t>
            </w:r>
          </w:p>
        </w:tc>
        <w:tc>
          <w:tcPr>
            <w:tcW w:w="1408" w:type="dxa"/>
            <w:tcBorders>
              <w:top w:val="nil"/>
              <w:bottom w:val="nil"/>
            </w:tcBorders>
            <w:shd w:val="clear" w:color="auto" w:fill="FFFFFF"/>
            <w:vAlign w:val="center"/>
          </w:tcPr>
          <w:p w14:paraId="52F4E940" w14:textId="77777777" w:rsidR="00C42114" w:rsidRPr="00D62E06" w:rsidRDefault="00C42114" w:rsidP="00C42114">
            <w:pPr>
              <w:rPr>
                <w:rFonts w:ascii="Arial" w:hAnsi="Arial" w:cs="Arial"/>
                <w:sz w:val="20"/>
                <w:szCs w:val="20"/>
              </w:rPr>
            </w:pPr>
            <w:r w:rsidRPr="00D62E06">
              <w:rPr>
                <w:rFonts w:ascii="Arial" w:hAnsi="Arial" w:cs="Arial"/>
                <w:sz w:val="20"/>
                <w:szCs w:val="20"/>
              </w:rPr>
              <w:t>0.150</w:t>
            </w:r>
          </w:p>
        </w:tc>
        <w:tc>
          <w:tcPr>
            <w:tcW w:w="1025" w:type="dxa"/>
            <w:tcBorders>
              <w:top w:val="nil"/>
              <w:bottom w:val="nil"/>
            </w:tcBorders>
            <w:shd w:val="clear" w:color="auto" w:fill="FFFFFF"/>
            <w:vAlign w:val="center"/>
          </w:tcPr>
          <w:p w14:paraId="18A51531" w14:textId="77777777" w:rsidR="00C42114" w:rsidRPr="00D62E06" w:rsidRDefault="00C42114" w:rsidP="00C42114">
            <w:pPr>
              <w:rPr>
                <w:rFonts w:ascii="Arial" w:hAnsi="Arial" w:cs="Arial"/>
                <w:sz w:val="20"/>
                <w:szCs w:val="20"/>
              </w:rPr>
            </w:pPr>
          </w:p>
        </w:tc>
        <w:tc>
          <w:tcPr>
            <w:tcW w:w="2017" w:type="dxa"/>
            <w:tcBorders>
              <w:top w:val="nil"/>
              <w:bottom w:val="nil"/>
              <w:right w:val="single" w:sz="16" w:space="0" w:color="000000"/>
            </w:tcBorders>
            <w:shd w:val="clear" w:color="auto" w:fill="FFFFFF"/>
            <w:vAlign w:val="center"/>
          </w:tcPr>
          <w:p w14:paraId="102AC395" w14:textId="77777777" w:rsidR="00C42114" w:rsidRPr="00D62E06" w:rsidRDefault="00C42114" w:rsidP="00C42114">
            <w:pPr>
              <w:rPr>
                <w:rFonts w:ascii="Arial" w:hAnsi="Arial" w:cs="Arial"/>
                <w:sz w:val="20"/>
                <w:szCs w:val="20"/>
              </w:rPr>
            </w:pPr>
          </w:p>
        </w:tc>
      </w:tr>
      <w:tr w:rsidR="00C42114" w:rsidRPr="00D62E06" w14:paraId="37680792" w14:textId="77777777" w:rsidTr="00832954">
        <w:trPr>
          <w:cantSplit/>
        </w:trPr>
        <w:tc>
          <w:tcPr>
            <w:tcW w:w="1697" w:type="dxa"/>
            <w:tcBorders>
              <w:top w:val="nil"/>
              <w:left w:val="single" w:sz="16" w:space="0" w:color="000000"/>
              <w:bottom w:val="single" w:sz="16" w:space="0" w:color="000000"/>
              <w:right w:val="single" w:sz="16" w:space="0" w:color="000000"/>
            </w:tcBorders>
            <w:shd w:val="clear" w:color="auto" w:fill="FFFFFF"/>
          </w:tcPr>
          <w:p w14:paraId="6C09DF9D" w14:textId="77777777" w:rsidR="00C42114" w:rsidRPr="00D62E06" w:rsidRDefault="00C42114" w:rsidP="00C42114">
            <w:pPr>
              <w:rPr>
                <w:rFonts w:ascii="Arial" w:hAnsi="Arial" w:cs="Arial"/>
                <w:sz w:val="20"/>
                <w:szCs w:val="20"/>
              </w:rPr>
            </w:pPr>
            <w:r w:rsidRPr="00D62E06">
              <w:rPr>
                <w:rFonts w:ascii="Arial" w:hAnsi="Arial" w:cs="Arial"/>
                <w:sz w:val="20"/>
                <w:szCs w:val="20"/>
              </w:rPr>
              <w:t>Total</w:t>
            </w:r>
          </w:p>
        </w:tc>
        <w:tc>
          <w:tcPr>
            <w:tcW w:w="1468" w:type="dxa"/>
            <w:tcBorders>
              <w:top w:val="nil"/>
              <w:left w:val="single" w:sz="16" w:space="0" w:color="000000"/>
              <w:bottom w:val="single" w:sz="16" w:space="0" w:color="000000"/>
            </w:tcBorders>
            <w:shd w:val="clear" w:color="auto" w:fill="FFFFFF"/>
            <w:vAlign w:val="center"/>
          </w:tcPr>
          <w:p w14:paraId="51D4800C" w14:textId="77777777" w:rsidR="00C42114" w:rsidRPr="00D62E06" w:rsidRDefault="00C42114" w:rsidP="00C42114">
            <w:pPr>
              <w:rPr>
                <w:rFonts w:ascii="Arial" w:hAnsi="Arial" w:cs="Arial"/>
                <w:sz w:val="20"/>
                <w:szCs w:val="20"/>
              </w:rPr>
            </w:pPr>
            <w:r w:rsidRPr="00D62E06">
              <w:rPr>
                <w:rFonts w:ascii="Arial" w:hAnsi="Arial" w:cs="Arial"/>
                <w:sz w:val="20"/>
                <w:szCs w:val="20"/>
              </w:rPr>
              <w:t>26.446</w:t>
            </w:r>
          </w:p>
        </w:tc>
        <w:tc>
          <w:tcPr>
            <w:tcW w:w="1025" w:type="dxa"/>
            <w:tcBorders>
              <w:top w:val="nil"/>
              <w:bottom w:val="single" w:sz="16" w:space="0" w:color="000000"/>
            </w:tcBorders>
            <w:shd w:val="clear" w:color="auto" w:fill="FFFFFF"/>
            <w:vAlign w:val="center"/>
          </w:tcPr>
          <w:p w14:paraId="6041297E" w14:textId="77777777" w:rsidR="00C42114" w:rsidRPr="00D62E06" w:rsidRDefault="00C42114" w:rsidP="00C42114">
            <w:pPr>
              <w:rPr>
                <w:rFonts w:ascii="Arial" w:hAnsi="Arial" w:cs="Arial"/>
                <w:sz w:val="20"/>
                <w:szCs w:val="20"/>
              </w:rPr>
            </w:pPr>
            <w:r w:rsidRPr="00D62E06">
              <w:rPr>
                <w:rFonts w:ascii="Arial" w:hAnsi="Arial" w:cs="Arial"/>
                <w:sz w:val="20"/>
                <w:szCs w:val="20"/>
              </w:rPr>
              <w:t>357</w:t>
            </w:r>
          </w:p>
        </w:tc>
        <w:tc>
          <w:tcPr>
            <w:tcW w:w="1408" w:type="dxa"/>
            <w:tcBorders>
              <w:top w:val="nil"/>
              <w:bottom w:val="single" w:sz="16" w:space="0" w:color="000000"/>
            </w:tcBorders>
            <w:shd w:val="clear" w:color="auto" w:fill="FFFFFF"/>
            <w:vAlign w:val="center"/>
          </w:tcPr>
          <w:p w14:paraId="3EE1BE82" w14:textId="77777777" w:rsidR="00C42114" w:rsidRPr="00D62E06" w:rsidRDefault="00C42114" w:rsidP="00C42114">
            <w:pPr>
              <w:rPr>
                <w:rFonts w:ascii="Arial" w:hAnsi="Arial" w:cs="Arial"/>
                <w:sz w:val="20"/>
                <w:szCs w:val="20"/>
              </w:rPr>
            </w:pPr>
          </w:p>
        </w:tc>
        <w:tc>
          <w:tcPr>
            <w:tcW w:w="1025" w:type="dxa"/>
            <w:tcBorders>
              <w:top w:val="nil"/>
              <w:bottom w:val="single" w:sz="16" w:space="0" w:color="000000"/>
            </w:tcBorders>
            <w:shd w:val="clear" w:color="auto" w:fill="FFFFFF"/>
            <w:vAlign w:val="center"/>
          </w:tcPr>
          <w:p w14:paraId="7556651A" w14:textId="77777777" w:rsidR="00C42114" w:rsidRPr="00D62E06" w:rsidRDefault="00C42114" w:rsidP="00C42114">
            <w:pPr>
              <w:rPr>
                <w:rFonts w:ascii="Arial" w:hAnsi="Arial" w:cs="Arial"/>
                <w:sz w:val="20"/>
                <w:szCs w:val="20"/>
              </w:rPr>
            </w:pPr>
          </w:p>
        </w:tc>
        <w:tc>
          <w:tcPr>
            <w:tcW w:w="2017" w:type="dxa"/>
            <w:tcBorders>
              <w:top w:val="nil"/>
              <w:bottom w:val="single" w:sz="16" w:space="0" w:color="000000"/>
              <w:right w:val="single" w:sz="16" w:space="0" w:color="000000"/>
            </w:tcBorders>
            <w:shd w:val="clear" w:color="auto" w:fill="FFFFFF"/>
            <w:vAlign w:val="center"/>
          </w:tcPr>
          <w:p w14:paraId="0E719B85" w14:textId="77777777" w:rsidR="00C42114" w:rsidRPr="00D62E06" w:rsidRDefault="00C42114" w:rsidP="00C42114">
            <w:pPr>
              <w:rPr>
                <w:rFonts w:ascii="Arial" w:hAnsi="Arial" w:cs="Arial"/>
                <w:sz w:val="20"/>
                <w:szCs w:val="20"/>
              </w:rPr>
            </w:pPr>
          </w:p>
        </w:tc>
      </w:tr>
    </w:tbl>
    <w:p w14:paraId="2CF7461B" w14:textId="77777777" w:rsidR="00C42114" w:rsidRPr="00D62E06" w:rsidRDefault="00C42114" w:rsidP="00C42114">
      <w:pPr>
        <w:rPr>
          <w:rFonts w:ascii="Arial" w:hAnsi="Arial" w:cs="Arial"/>
          <w:sz w:val="20"/>
          <w:szCs w:val="20"/>
        </w:rPr>
      </w:pPr>
    </w:p>
    <w:p w14:paraId="25493A06" w14:textId="77777777" w:rsidR="00C42114" w:rsidRPr="00D62E06" w:rsidRDefault="00C42114">
      <w:pPr>
        <w:rPr>
          <w:rFonts w:ascii="Arial" w:hAnsi="Arial" w:cs="Arial"/>
          <w:sz w:val="20"/>
          <w:szCs w:val="20"/>
        </w:rPr>
      </w:pPr>
      <w:r w:rsidRPr="00D62E06">
        <w:rPr>
          <w:rFonts w:ascii="Arial" w:hAnsi="Arial" w:cs="Arial"/>
          <w:sz w:val="20"/>
          <w:szCs w:val="20"/>
        </w:rPr>
        <w:br w:type="page"/>
      </w:r>
    </w:p>
    <w:p w14:paraId="0543C536" w14:textId="77777777" w:rsidR="006A188D" w:rsidRPr="00D62E06" w:rsidRDefault="006A188D" w:rsidP="006A188D">
      <w:pPr>
        <w:spacing w:line="480" w:lineRule="auto"/>
        <w:jc w:val="both"/>
        <w:rPr>
          <w:rFonts w:ascii="Arial" w:hAnsi="Arial" w:cs="Arial"/>
          <w:sz w:val="20"/>
          <w:szCs w:val="20"/>
        </w:rPr>
      </w:pPr>
      <w:r w:rsidRPr="00D62E06">
        <w:rPr>
          <w:rFonts w:ascii="Arial" w:hAnsi="Arial" w:cs="Arial"/>
          <w:sz w:val="20"/>
          <w:szCs w:val="20"/>
        </w:rPr>
        <w:lastRenderedPageBreak/>
        <w:t>This study assessed the level of awareness of parents regarding environmental contamination and its associated symptoms in infants in Tai and Eleme LGAs, two communities severely impacted by industrial and artisanal oil refining activities in Rivers State, Nigeria. The findings show a largely high level of awareness among parents regarding the manifestation of pollution in their environment and its impact on health, particularly in infants. This is consistent with the growing literature affirming that communities exposed to chronic environmental stressors are likely to generate localized knowledge systems for detecting signs of ecological and public health disturbance [1,6].</w:t>
      </w:r>
    </w:p>
    <w:p w14:paraId="13F1519B" w14:textId="77777777" w:rsidR="001D6DF9" w:rsidRPr="00D62E06" w:rsidRDefault="006A188D" w:rsidP="006A188D">
      <w:pPr>
        <w:spacing w:line="480" w:lineRule="auto"/>
        <w:jc w:val="both"/>
        <w:rPr>
          <w:rFonts w:ascii="Arial" w:hAnsi="Arial" w:cs="Arial"/>
          <w:sz w:val="20"/>
          <w:szCs w:val="20"/>
        </w:rPr>
      </w:pPr>
      <w:r w:rsidRPr="00D62E06">
        <w:rPr>
          <w:rFonts w:ascii="Arial" w:hAnsi="Arial" w:cs="Arial"/>
          <w:sz w:val="20"/>
          <w:szCs w:val="20"/>
        </w:rPr>
        <w:t>The findings illustrated that an overwhelming majority of parents, regardless of gender, educational background, or age, were able to recognize chief signs of pollution such as offensive odors of the air, coloring of the water, barrenness of soil, and effects like headaches as results of exposure to noise. The findings are very important in view of the fact that babies, the targets of care of the study sample, are biologically susceptible to the above-mentioned pollutants. World Health Organization has noted in the past that infants are disproportionately affected by air pollutants due to their immature respiratory systems, high metabolic rates, and extended times of exposure both indoors and outdoors [10,11]</w:t>
      </w:r>
      <w:r w:rsidR="001D6DF9" w:rsidRPr="00D62E06">
        <w:rPr>
          <w:rFonts w:ascii="Arial" w:hAnsi="Arial" w:cs="Arial"/>
          <w:sz w:val="20"/>
          <w:szCs w:val="20"/>
        </w:rPr>
        <w:t>.</w:t>
      </w:r>
    </w:p>
    <w:p w14:paraId="2BD4687F" w14:textId="77777777" w:rsidR="001D6DF9" w:rsidRPr="00D62E06" w:rsidRDefault="001D6DF9" w:rsidP="001D6DF9">
      <w:pPr>
        <w:spacing w:line="480" w:lineRule="auto"/>
        <w:jc w:val="both"/>
        <w:rPr>
          <w:rFonts w:ascii="Arial" w:hAnsi="Arial" w:cs="Arial"/>
          <w:sz w:val="20"/>
          <w:szCs w:val="20"/>
        </w:rPr>
      </w:pPr>
      <w:r w:rsidRPr="00D62E06">
        <w:rPr>
          <w:rFonts w:ascii="Arial" w:hAnsi="Arial" w:cs="Arial"/>
          <w:sz w:val="20"/>
          <w:szCs w:val="20"/>
        </w:rPr>
        <w:t xml:space="preserve">Tai LGA respondents consistently demonstrated slightly higher levels of awareness across the measured pollution indicators. This may be attributed to several possible factors, including increased frequency or severity of pollution events, stronger local community networks, or higher exposure to environmental advocacy. Previous studies conducted in other Niger Delta communities, such as </w:t>
      </w:r>
      <w:proofErr w:type="spellStart"/>
      <w:r w:rsidRPr="00D62E06">
        <w:rPr>
          <w:rFonts w:ascii="Arial" w:hAnsi="Arial" w:cs="Arial"/>
          <w:sz w:val="20"/>
          <w:szCs w:val="20"/>
        </w:rPr>
        <w:t>Rumuolumeni</w:t>
      </w:r>
      <w:proofErr w:type="spellEnd"/>
      <w:r w:rsidRPr="00D62E06">
        <w:rPr>
          <w:rFonts w:ascii="Arial" w:hAnsi="Arial" w:cs="Arial"/>
          <w:sz w:val="20"/>
          <w:szCs w:val="20"/>
        </w:rPr>
        <w:t xml:space="preserve"> and Ogoni, have similarly identified spatial variability in environmental literacy linked to pollution density and civil society engagement [2,12].</w:t>
      </w:r>
    </w:p>
    <w:p w14:paraId="0EB9AB07" w14:textId="77777777" w:rsidR="001D6DF9" w:rsidRPr="00D62E06" w:rsidRDefault="001D6DF9" w:rsidP="001D6DF9">
      <w:pPr>
        <w:spacing w:line="480" w:lineRule="auto"/>
        <w:jc w:val="both"/>
        <w:rPr>
          <w:rFonts w:ascii="Arial" w:hAnsi="Arial" w:cs="Arial"/>
          <w:sz w:val="20"/>
          <w:szCs w:val="20"/>
        </w:rPr>
      </w:pPr>
      <w:r w:rsidRPr="00D62E06">
        <w:rPr>
          <w:rFonts w:ascii="Arial" w:hAnsi="Arial" w:cs="Arial"/>
          <w:sz w:val="20"/>
          <w:szCs w:val="20"/>
        </w:rPr>
        <w:t xml:space="preserve">An important contribution of this study lies in its documentation of uniform knowledge levels across demographic lines. Inferential statistics confirmed that there was no significant variation in awareness based on gender, age, or education. This is a critical finding because it suggests that in highly polluted contexts, exposure itself becomes the teacher. Regardless of formal schooling, prolonged interaction with a degraded environment appears to cultivate a collective consciousness about pollution and its health implications. Such conclusions align with studies by </w:t>
      </w:r>
      <w:proofErr w:type="spellStart"/>
      <w:r w:rsidRPr="00D62E06">
        <w:rPr>
          <w:rFonts w:ascii="Arial" w:hAnsi="Arial" w:cs="Arial"/>
          <w:sz w:val="20"/>
          <w:szCs w:val="20"/>
        </w:rPr>
        <w:t>Awodele</w:t>
      </w:r>
      <w:proofErr w:type="spellEnd"/>
      <w:r w:rsidRPr="00D62E06">
        <w:rPr>
          <w:rFonts w:ascii="Arial" w:hAnsi="Arial" w:cs="Arial"/>
          <w:sz w:val="20"/>
          <w:szCs w:val="20"/>
        </w:rPr>
        <w:t xml:space="preserve"> et al. [9] and Barbone et al. [13], who </w:t>
      </w:r>
      <w:r w:rsidRPr="00D62E06">
        <w:rPr>
          <w:rFonts w:ascii="Arial" w:hAnsi="Arial" w:cs="Arial"/>
          <w:sz w:val="20"/>
          <w:szCs w:val="20"/>
        </w:rPr>
        <w:lastRenderedPageBreak/>
        <w:t>observed that even individuals with minimal formal education often displayed high awareness of pollutant symptoms when living in ecologically compromised zones.</w:t>
      </w:r>
    </w:p>
    <w:p w14:paraId="03E2EBB0" w14:textId="77777777" w:rsidR="001D6DF9" w:rsidRPr="00D62E06" w:rsidRDefault="001D6DF9" w:rsidP="001D6DF9">
      <w:pPr>
        <w:spacing w:line="480" w:lineRule="auto"/>
        <w:jc w:val="both"/>
        <w:rPr>
          <w:rFonts w:ascii="Arial" w:hAnsi="Arial" w:cs="Arial"/>
          <w:sz w:val="20"/>
          <w:szCs w:val="20"/>
        </w:rPr>
      </w:pPr>
      <w:r w:rsidRPr="00D62E06">
        <w:rPr>
          <w:rFonts w:ascii="Arial" w:hAnsi="Arial" w:cs="Arial"/>
          <w:sz w:val="20"/>
          <w:szCs w:val="20"/>
        </w:rPr>
        <w:t>These results also echo findings from Hurtig and Sebastián [4] in Ecuador’s Amazon basin, where residents near oil fields reported an intuitive understanding of pollution-related symptoms in children and the environment. In the Niger Delta, repeated oil spills, gas flaring, and waste discharge have normalized toxic exposures to the extent that ecological disturbances   such as blackened rainwater or foul-smelling air   are recognized without the aid of professional diagnosis [3,7].</w:t>
      </w:r>
    </w:p>
    <w:p w14:paraId="33785EA2" w14:textId="77777777" w:rsidR="001D6DF9" w:rsidRPr="00D62E06" w:rsidRDefault="001D6DF9" w:rsidP="001D6DF9">
      <w:pPr>
        <w:spacing w:line="480" w:lineRule="auto"/>
        <w:jc w:val="both"/>
        <w:rPr>
          <w:rFonts w:ascii="Arial" w:hAnsi="Arial" w:cs="Arial"/>
          <w:sz w:val="20"/>
          <w:szCs w:val="20"/>
        </w:rPr>
      </w:pPr>
      <w:r w:rsidRPr="00D62E06">
        <w:rPr>
          <w:rFonts w:ascii="Arial" w:hAnsi="Arial" w:cs="Arial"/>
          <w:sz w:val="20"/>
          <w:szCs w:val="20"/>
        </w:rPr>
        <w:t>However, despite the positive indication of environmental literacy, several concerns remain. First, high knowledge does not necessarily translate into behavioral change or protective action, especially in contexts where residents are economically dependent on the same oil operations causing pollution. As noted by Ite et al. [13] and Suku et al. [6], environmental awareness in oil-bearing communities is often constrained by poverty, lack of access to healthcare, and ineffective environmental regulation. These systemic barriers undermine the capacity of caregivers to mitigate exposure risks, even when they are aware of them.</w:t>
      </w:r>
    </w:p>
    <w:p w14:paraId="2BD34053" w14:textId="77777777" w:rsidR="001D6DF9" w:rsidRPr="00D62E06" w:rsidRDefault="001D6DF9" w:rsidP="001D6DF9">
      <w:pPr>
        <w:spacing w:line="480" w:lineRule="auto"/>
        <w:jc w:val="both"/>
        <w:rPr>
          <w:rFonts w:ascii="Arial" w:hAnsi="Arial" w:cs="Arial"/>
          <w:sz w:val="20"/>
          <w:szCs w:val="20"/>
        </w:rPr>
      </w:pPr>
      <w:r w:rsidRPr="00D62E06">
        <w:rPr>
          <w:rFonts w:ascii="Arial" w:hAnsi="Arial" w:cs="Arial"/>
          <w:sz w:val="20"/>
          <w:szCs w:val="20"/>
        </w:rPr>
        <w:t>Second, environmental literacy in this context is largely reactive, rather than proactive. While parents can recognize pollution symptoms, this awareness likely arises from direct exposure rather than structured environmental education. This further underscores the urgent need for public health interventions that emphasize proactive environmental education, focusing on both pollution prevention and early symptom detection in vulnerable populations such as infants.</w:t>
      </w:r>
    </w:p>
    <w:p w14:paraId="625770F7" w14:textId="77777777" w:rsidR="001D6DF9" w:rsidRPr="00D62E06" w:rsidRDefault="001D6DF9" w:rsidP="001D6DF9">
      <w:pPr>
        <w:spacing w:line="480" w:lineRule="auto"/>
        <w:jc w:val="both"/>
        <w:rPr>
          <w:rFonts w:ascii="Arial" w:hAnsi="Arial" w:cs="Arial"/>
          <w:sz w:val="20"/>
          <w:szCs w:val="20"/>
        </w:rPr>
      </w:pPr>
      <w:r w:rsidRPr="00D62E06">
        <w:rPr>
          <w:rFonts w:ascii="Arial" w:hAnsi="Arial" w:cs="Arial"/>
          <w:sz w:val="20"/>
          <w:szCs w:val="20"/>
        </w:rPr>
        <w:t xml:space="preserve">Another layer of complexity involves psychosocial health and caregiver stress. The continued presence of environmental threats may contribute to mental health challenges among caregivers. Studies by Downey and Van Willigen [16] as well as </w:t>
      </w:r>
      <w:proofErr w:type="spellStart"/>
      <w:r w:rsidRPr="00D62E06">
        <w:rPr>
          <w:rFonts w:ascii="Arial" w:hAnsi="Arial" w:cs="Arial"/>
          <w:sz w:val="20"/>
          <w:szCs w:val="20"/>
        </w:rPr>
        <w:t>Chukwunweike</w:t>
      </w:r>
      <w:proofErr w:type="spellEnd"/>
      <w:r w:rsidRPr="00D62E06">
        <w:rPr>
          <w:rFonts w:ascii="Arial" w:hAnsi="Arial" w:cs="Arial"/>
          <w:sz w:val="20"/>
          <w:szCs w:val="20"/>
        </w:rPr>
        <w:t xml:space="preserve"> et al. [8] suggest that long-term exposure to pollution correlates with chronic anxiety, depressive symptoms, and a sense of helplessness among parents. While not measured in the present study, these secondary effects could compromise caregiving quality and infant well-being, warranting further investigation.</w:t>
      </w:r>
    </w:p>
    <w:p w14:paraId="4F959224" w14:textId="77777777" w:rsidR="001D6DF9" w:rsidRPr="00D62E06" w:rsidRDefault="001D6DF9" w:rsidP="001D6DF9">
      <w:pPr>
        <w:spacing w:line="480" w:lineRule="auto"/>
        <w:jc w:val="both"/>
        <w:rPr>
          <w:rFonts w:ascii="Arial" w:hAnsi="Arial" w:cs="Arial"/>
          <w:sz w:val="20"/>
          <w:szCs w:val="20"/>
        </w:rPr>
      </w:pPr>
      <w:r w:rsidRPr="00D62E06">
        <w:rPr>
          <w:rFonts w:ascii="Arial" w:hAnsi="Arial" w:cs="Arial"/>
          <w:sz w:val="20"/>
          <w:szCs w:val="20"/>
        </w:rPr>
        <w:lastRenderedPageBreak/>
        <w:t>Moreover, the implications of pollution exposure go beyond respiratory and dermatological symptoms. Longitudinal studies have shown links between early exposure to pollutants and developmental delays, neurotoxicity, and immune dysregulation in children [14,15]. With the high self-reported incidence of signs like headaches, catarrh, and eye irritation in the study population, it is plausible that subclinical or under-reported toxic effects are occurring in infants. This calls for integrating environmental health surveillance into maternal and child health programs in affected communities.</w:t>
      </w:r>
    </w:p>
    <w:p w14:paraId="381443D3" w14:textId="77777777" w:rsidR="00C42114" w:rsidRPr="00D62E06" w:rsidRDefault="001D6DF9" w:rsidP="001D6DF9">
      <w:pPr>
        <w:spacing w:line="480" w:lineRule="auto"/>
        <w:jc w:val="both"/>
        <w:rPr>
          <w:rFonts w:ascii="Arial" w:hAnsi="Arial" w:cs="Arial"/>
          <w:sz w:val="20"/>
          <w:szCs w:val="20"/>
        </w:rPr>
      </w:pPr>
      <w:r w:rsidRPr="00D62E06">
        <w:rPr>
          <w:rFonts w:ascii="Arial" w:hAnsi="Arial" w:cs="Arial"/>
          <w:sz w:val="20"/>
          <w:szCs w:val="20"/>
        </w:rPr>
        <w:t>Lastly, the study reinforces the need for multi-sectoral policy responses. While community awareness is high, the burden of action should not rest solely on individuals. Governments, environmental agencies, and oil companies must work collaboratively to reduce emissions, provide compensation for affected households, and invest in health infrastructure. As Beck argued in his theory of the "Risk Society" [17], industrial modernization inevitably generates new categories of risk that transcend borders and social classes, necessitating collective accountability</w:t>
      </w:r>
      <w:r w:rsidR="00C42114" w:rsidRPr="00D62E06">
        <w:rPr>
          <w:rFonts w:ascii="Arial" w:hAnsi="Arial" w:cs="Arial"/>
          <w:sz w:val="20"/>
          <w:szCs w:val="20"/>
        </w:rPr>
        <w:t>.</w:t>
      </w:r>
    </w:p>
    <w:p w14:paraId="7C7AB9D5" w14:textId="77777777" w:rsidR="00ED1CAE" w:rsidRPr="00D54064" w:rsidRDefault="00AB3C8B" w:rsidP="00ED1CAE">
      <w:pPr>
        <w:pStyle w:val="Heading1"/>
        <w:spacing w:line="480" w:lineRule="auto"/>
        <w:jc w:val="both"/>
        <w:rPr>
          <w:rFonts w:ascii="Arial" w:hAnsi="Arial" w:cs="Arial"/>
          <w:color w:val="auto"/>
          <w:sz w:val="22"/>
          <w:szCs w:val="22"/>
        </w:rPr>
      </w:pPr>
      <w:r w:rsidRPr="00D54064">
        <w:rPr>
          <w:rFonts w:ascii="Arial" w:hAnsi="Arial" w:cs="Arial"/>
          <w:color w:val="auto"/>
          <w:sz w:val="22"/>
          <w:szCs w:val="22"/>
        </w:rPr>
        <w:t>5</w:t>
      </w:r>
      <w:r w:rsidR="00ED1CAE" w:rsidRPr="00D54064">
        <w:rPr>
          <w:rFonts w:ascii="Arial" w:hAnsi="Arial" w:cs="Arial"/>
          <w:color w:val="auto"/>
          <w:sz w:val="22"/>
          <w:szCs w:val="22"/>
        </w:rPr>
        <w:t>.</w:t>
      </w:r>
      <w:r w:rsidR="00ED1CAE" w:rsidRPr="00D54064">
        <w:rPr>
          <w:rFonts w:ascii="Arial" w:hAnsi="Arial" w:cs="Arial"/>
          <w:color w:val="auto"/>
          <w:sz w:val="22"/>
          <w:szCs w:val="22"/>
        </w:rPr>
        <w:tab/>
        <w:t>CONCLUSION</w:t>
      </w:r>
    </w:p>
    <w:p w14:paraId="0B382BD3" w14:textId="77777777" w:rsidR="00ED1CAE" w:rsidRPr="00ED1CAE" w:rsidRDefault="00ED1CAE" w:rsidP="00ED1CAE">
      <w:pPr>
        <w:spacing w:line="480" w:lineRule="auto"/>
        <w:jc w:val="both"/>
        <w:rPr>
          <w:rFonts w:ascii="Arial" w:hAnsi="Arial" w:cs="Arial"/>
          <w:sz w:val="20"/>
          <w:szCs w:val="20"/>
        </w:rPr>
      </w:pPr>
      <w:r w:rsidRPr="00ED1CAE">
        <w:rPr>
          <w:rFonts w:ascii="Arial" w:hAnsi="Arial" w:cs="Arial"/>
          <w:sz w:val="20"/>
          <w:szCs w:val="20"/>
        </w:rPr>
        <w:t>This study confirms that in heavily polluted oil refining communities such as Eleme and Tai, parents exhibit a strong understanding of environmental pollution symptoms and their potential impacts on infant health. However, this awareness has not yet translated into structural change or risk mitigation. Bridging this gap requires more than education it demands policy reform, infrastructural investment, and environmental justice.</w:t>
      </w:r>
    </w:p>
    <w:p w14:paraId="355CE740" w14:textId="77777777" w:rsidR="00ED1CAE" w:rsidRPr="00D54064" w:rsidRDefault="00ED1CAE" w:rsidP="00ED1CAE">
      <w:pPr>
        <w:pStyle w:val="Heading1"/>
        <w:spacing w:line="480" w:lineRule="auto"/>
        <w:jc w:val="both"/>
        <w:rPr>
          <w:rFonts w:ascii="Arial" w:hAnsi="Arial" w:cs="Arial"/>
          <w:color w:val="auto"/>
          <w:sz w:val="22"/>
          <w:szCs w:val="22"/>
        </w:rPr>
      </w:pPr>
      <w:r w:rsidRPr="00D54064">
        <w:rPr>
          <w:rFonts w:ascii="Arial" w:hAnsi="Arial" w:cs="Arial"/>
          <w:color w:val="auto"/>
          <w:sz w:val="22"/>
          <w:szCs w:val="22"/>
        </w:rPr>
        <w:t>ETHICAL APPROVAL</w:t>
      </w:r>
    </w:p>
    <w:p w14:paraId="48204CCE" w14:textId="77777777" w:rsidR="00ED1CAE" w:rsidRPr="00ED1CAE" w:rsidRDefault="00ED1CAE" w:rsidP="00ED1CAE">
      <w:pPr>
        <w:spacing w:line="480" w:lineRule="auto"/>
        <w:jc w:val="both"/>
        <w:rPr>
          <w:rFonts w:ascii="Arial" w:hAnsi="Arial" w:cs="Arial"/>
          <w:sz w:val="20"/>
          <w:szCs w:val="20"/>
        </w:rPr>
      </w:pPr>
      <w:r w:rsidRPr="00ED1CAE">
        <w:rPr>
          <w:rFonts w:ascii="Arial" w:hAnsi="Arial" w:cs="Arial"/>
          <w:sz w:val="20"/>
          <w:szCs w:val="20"/>
        </w:rPr>
        <w:t>All authors hereby declare that the study was reviewed and approved by the appropriate ethics committee in accordance with the standards laid down in the 1964 Declaration of Helsinki.</w:t>
      </w:r>
    </w:p>
    <w:p w14:paraId="2346743D" w14:textId="1E8C89E9" w:rsidR="001D6DF9" w:rsidRPr="00D62E06" w:rsidRDefault="00C42114" w:rsidP="00571F30">
      <w:pPr>
        <w:spacing w:line="480" w:lineRule="auto"/>
        <w:jc w:val="both"/>
        <w:rPr>
          <w:rFonts w:ascii="Arial" w:hAnsi="Arial" w:cs="Arial"/>
          <w:b/>
          <w:bCs/>
          <w:sz w:val="20"/>
          <w:szCs w:val="20"/>
        </w:rPr>
      </w:pPr>
      <w:r w:rsidRPr="00ED1CAE">
        <w:rPr>
          <w:rFonts w:ascii="Arial" w:hAnsi="Arial" w:cs="Arial"/>
          <w:sz w:val="20"/>
          <w:szCs w:val="20"/>
        </w:rPr>
        <w:br w:type="page"/>
      </w:r>
      <w:r w:rsidR="001D6DF9" w:rsidRPr="00D62E06">
        <w:rPr>
          <w:rFonts w:ascii="Arial" w:hAnsi="Arial" w:cs="Arial"/>
          <w:b/>
          <w:bCs/>
          <w:sz w:val="20"/>
          <w:szCs w:val="20"/>
        </w:rPr>
        <w:lastRenderedPageBreak/>
        <w:t>References</w:t>
      </w:r>
    </w:p>
    <w:p w14:paraId="60E616AF" w14:textId="77777777" w:rsidR="001D6DF9" w:rsidRPr="00D62E06" w:rsidRDefault="001D6DF9" w:rsidP="001D6DF9">
      <w:pPr>
        <w:numPr>
          <w:ilvl w:val="0"/>
          <w:numId w:val="5"/>
        </w:numPr>
        <w:rPr>
          <w:rFonts w:ascii="Arial" w:hAnsi="Arial" w:cs="Arial"/>
          <w:sz w:val="20"/>
          <w:szCs w:val="20"/>
        </w:rPr>
      </w:pPr>
      <w:proofErr w:type="spellStart"/>
      <w:r w:rsidRPr="00D62E06">
        <w:rPr>
          <w:rFonts w:ascii="Arial" w:hAnsi="Arial" w:cs="Arial"/>
          <w:sz w:val="20"/>
          <w:szCs w:val="20"/>
        </w:rPr>
        <w:t>Onakpohor</w:t>
      </w:r>
      <w:proofErr w:type="spellEnd"/>
      <w:r w:rsidRPr="00D62E06">
        <w:rPr>
          <w:rFonts w:ascii="Arial" w:hAnsi="Arial" w:cs="Arial"/>
          <w:sz w:val="20"/>
          <w:szCs w:val="20"/>
        </w:rPr>
        <w:t xml:space="preserve">, A., </w:t>
      </w:r>
      <w:proofErr w:type="spellStart"/>
      <w:r w:rsidRPr="00D62E06">
        <w:rPr>
          <w:rFonts w:ascii="Arial" w:hAnsi="Arial" w:cs="Arial"/>
          <w:sz w:val="20"/>
          <w:szCs w:val="20"/>
        </w:rPr>
        <w:t>Fakinle</w:t>
      </w:r>
      <w:proofErr w:type="spellEnd"/>
      <w:r w:rsidRPr="00D62E06">
        <w:rPr>
          <w:rFonts w:ascii="Arial" w:hAnsi="Arial" w:cs="Arial"/>
          <w:sz w:val="20"/>
          <w:szCs w:val="20"/>
        </w:rPr>
        <w:t xml:space="preserve">, B. S., </w:t>
      </w:r>
      <w:proofErr w:type="spellStart"/>
      <w:r w:rsidRPr="00D62E06">
        <w:rPr>
          <w:rFonts w:ascii="Arial" w:hAnsi="Arial" w:cs="Arial"/>
          <w:sz w:val="20"/>
          <w:szCs w:val="20"/>
        </w:rPr>
        <w:t>Adesanmi</w:t>
      </w:r>
      <w:proofErr w:type="spellEnd"/>
      <w:r w:rsidRPr="00D62E06">
        <w:rPr>
          <w:rFonts w:ascii="Arial" w:hAnsi="Arial" w:cs="Arial"/>
          <w:sz w:val="20"/>
          <w:szCs w:val="20"/>
        </w:rPr>
        <w:t xml:space="preserve">, A. J., </w:t>
      </w:r>
      <w:proofErr w:type="spellStart"/>
      <w:r w:rsidRPr="00D62E06">
        <w:rPr>
          <w:rFonts w:ascii="Arial" w:hAnsi="Arial" w:cs="Arial"/>
          <w:sz w:val="20"/>
          <w:szCs w:val="20"/>
        </w:rPr>
        <w:t>Sonibare</w:t>
      </w:r>
      <w:proofErr w:type="spellEnd"/>
      <w:r w:rsidRPr="00D62E06">
        <w:rPr>
          <w:rFonts w:ascii="Arial" w:hAnsi="Arial" w:cs="Arial"/>
          <w:sz w:val="20"/>
          <w:szCs w:val="20"/>
        </w:rPr>
        <w:t xml:space="preserve">, J. A., </w:t>
      </w:r>
      <w:proofErr w:type="spellStart"/>
      <w:r w:rsidRPr="00D62E06">
        <w:rPr>
          <w:rFonts w:ascii="Arial" w:hAnsi="Arial" w:cs="Arial"/>
          <w:sz w:val="20"/>
          <w:szCs w:val="20"/>
        </w:rPr>
        <w:t>Oke</w:t>
      </w:r>
      <w:proofErr w:type="spellEnd"/>
      <w:r w:rsidRPr="00D62E06">
        <w:rPr>
          <w:rFonts w:ascii="Arial" w:hAnsi="Arial" w:cs="Arial"/>
          <w:sz w:val="20"/>
          <w:szCs w:val="20"/>
        </w:rPr>
        <w:t xml:space="preserve">, M. A., &amp; </w:t>
      </w:r>
      <w:proofErr w:type="spellStart"/>
      <w:r w:rsidRPr="00D62E06">
        <w:rPr>
          <w:rFonts w:ascii="Arial" w:hAnsi="Arial" w:cs="Arial"/>
          <w:sz w:val="20"/>
          <w:szCs w:val="20"/>
        </w:rPr>
        <w:t>Akeredolu</w:t>
      </w:r>
      <w:proofErr w:type="spellEnd"/>
      <w:r w:rsidRPr="00D62E06">
        <w:rPr>
          <w:rFonts w:ascii="Arial" w:hAnsi="Arial" w:cs="Arial"/>
          <w:sz w:val="20"/>
          <w:szCs w:val="20"/>
        </w:rPr>
        <w:t xml:space="preserve">, F. A. (2024). Determination of air emission factor of pollutants from local crude oil refineries. </w:t>
      </w:r>
      <w:r w:rsidRPr="00D62E06">
        <w:rPr>
          <w:rFonts w:ascii="Arial" w:hAnsi="Arial" w:cs="Arial"/>
          <w:i/>
          <w:iCs/>
          <w:sz w:val="20"/>
          <w:szCs w:val="20"/>
        </w:rPr>
        <w:t>Results in Engineering, 22</w:t>
      </w:r>
      <w:r w:rsidRPr="00D62E06">
        <w:rPr>
          <w:rFonts w:ascii="Arial" w:hAnsi="Arial" w:cs="Arial"/>
          <w:sz w:val="20"/>
          <w:szCs w:val="20"/>
        </w:rPr>
        <w:t xml:space="preserve">, 102036. </w:t>
      </w:r>
    </w:p>
    <w:p w14:paraId="76011F32" w14:textId="77777777" w:rsidR="001D6DF9" w:rsidRPr="00D62E06" w:rsidRDefault="001D6DF9" w:rsidP="001D6DF9">
      <w:pPr>
        <w:numPr>
          <w:ilvl w:val="0"/>
          <w:numId w:val="5"/>
        </w:numPr>
        <w:rPr>
          <w:rFonts w:ascii="Arial" w:hAnsi="Arial" w:cs="Arial"/>
          <w:sz w:val="20"/>
          <w:szCs w:val="20"/>
        </w:rPr>
      </w:pPr>
      <w:proofErr w:type="spellStart"/>
      <w:r w:rsidRPr="00D62E06">
        <w:rPr>
          <w:rFonts w:ascii="Arial" w:hAnsi="Arial" w:cs="Arial"/>
          <w:sz w:val="20"/>
          <w:szCs w:val="20"/>
        </w:rPr>
        <w:t>Olukaejire</w:t>
      </w:r>
      <w:proofErr w:type="spellEnd"/>
      <w:r w:rsidRPr="00D62E06">
        <w:rPr>
          <w:rFonts w:ascii="Arial" w:hAnsi="Arial" w:cs="Arial"/>
          <w:sz w:val="20"/>
          <w:szCs w:val="20"/>
        </w:rPr>
        <w:t xml:space="preserve">, S. J., </w:t>
      </w:r>
      <w:proofErr w:type="spellStart"/>
      <w:r w:rsidRPr="00D62E06">
        <w:rPr>
          <w:rFonts w:ascii="Arial" w:hAnsi="Arial" w:cs="Arial"/>
          <w:sz w:val="20"/>
          <w:szCs w:val="20"/>
        </w:rPr>
        <w:t>Ifiora</w:t>
      </w:r>
      <w:proofErr w:type="spellEnd"/>
      <w:r w:rsidRPr="00D62E06">
        <w:rPr>
          <w:rFonts w:ascii="Arial" w:hAnsi="Arial" w:cs="Arial"/>
          <w:sz w:val="20"/>
          <w:szCs w:val="20"/>
        </w:rPr>
        <w:t xml:space="preserve">, C. C., Osaro, P. A., Osuji, L. C., &amp; Hart, A. I. (2024). Diagnosis of crude oil impacted soil in Eleme Local Government Area, Rivers State, Nigeria. </w:t>
      </w:r>
      <w:r w:rsidRPr="00D62E06">
        <w:rPr>
          <w:rFonts w:ascii="Arial" w:hAnsi="Arial" w:cs="Arial"/>
          <w:i/>
          <w:iCs/>
          <w:sz w:val="20"/>
          <w:szCs w:val="20"/>
        </w:rPr>
        <w:t>Journal of Engineering Research and Reports, 26</w:t>
      </w:r>
      <w:r w:rsidRPr="00D62E06">
        <w:rPr>
          <w:rFonts w:ascii="Arial" w:hAnsi="Arial" w:cs="Arial"/>
          <w:sz w:val="20"/>
          <w:szCs w:val="20"/>
        </w:rPr>
        <w:t>(5), 324–335.</w:t>
      </w:r>
    </w:p>
    <w:p w14:paraId="2416C963" w14:textId="77777777" w:rsidR="001D6DF9" w:rsidRPr="00D62E06" w:rsidRDefault="001D6DF9" w:rsidP="001D6DF9">
      <w:pPr>
        <w:numPr>
          <w:ilvl w:val="0"/>
          <w:numId w:val="5"/>
        </w:numPr>
        <w:rPr>
          <w:rFonts w:ascii="Arial" w:hAnsi="Arial" w:cs="Arial"/>
          <w:sz w:val="20"/>
          <w:szCs w:val="20"/>
        </w:rPr>
      </w:pPr>
      <w:r w:rsidRPr="00D62E06">
        <w:rPr>
          <w:rFonts w:ascii="Arial" w:hAnsi="Arial" w:cs="Arial"/>
          <w:sz w:val="20"/>
          <w:szCs w:val="20"/>
        </w:rPr>
        <w:t>Al-</w:t>
      </w:r>
      <w:proofErr w:type="spellStart"/>
      <w:r w:rsidRPr="00D62E06">
        <w:rPr>
          <w:rFonts w:ascii="Arial" w:hAnsi="Arial" w:cs="Arial"/>
          <w:sz w:val="20"/>
          <w:szCs w:val="20"/>
        </w:rPr>
        <w:t>Rubaye</w:t>
      </w:r>
      <w:proofErr w:type="spellEnd"/>
      <w:r w:rsidRPr="00D62E06">
        <w:rPr>
          <w:rFonts w:ascii="Arial" w:hAnsi="Arial" w:cs="Arial"/>
          <w:sz w:val="20"/>
          <w:szCs w:val="20"/>
        </w:rPr>
        <w:t xml:space="preserve">, A. H., Jasim, D. J., Jassam, S. A., et al. (2023). The side effect of oil refineries on environment: A mini review. </w:t>
      </w:r>
      <w:r w:rsidRPr="00D62E06">
        <w:rPr>
          <w:rFonts w:ascii="Arial" w:hAnsi="Arial" w:cs="Arial"/>
          <w:i/>
          <w:iCs/>
          <w:sz w:val="20"/>
          <w:szCs w:val="20"/>
        </w:rPr>
        <w:t>IOP Conference Series: Earth and Environmental Science, 1262</w:t>
      </w:r>
      <w:r w:rsidRPr="00D62E06">
        <w:rPr>
          <w:rFonts w:ascii="Arial" w:hAnsi="Arial" w:cs="Arial"/>
          <w:sz w:val="20"/>
          <w:szCs w:val="20"/>
        </w:rPr>
        <w:t xml:space="preserve">(2), 022024. </w:t>
      </w:r>
    </w:p>
    <w:p w14:paraId="19389723" w14:textId="77777777" w:rsidR="001D6DF9" w:rsidRPr="00D62E06" w:rsidRDefault="001D6DF9" w:rsidP="001D6DF9">
      <w:pPr>
        <w:numPr>
          <w:ilvl w:val="0"/>
          <w:numId w:val="5"/>
        </w:numPr>
        <w:rPr>
          <w:rFonts w:ascii="Arial" w:hAnsi="Arial" w:cs="Arial"/>
          <w:sz w:val="20"/>
          <w:szCs w:val="20"/>
        </w:rPr>
      </w:pPr>
      <w:r w:rsidRPr="00D62E06">
        <w:rPr>
          <w:rFonts w:ascii="Arial" w:hAnsi="Arial" w:cs="Arial"/>
          <w:sz w:val="20"/>
          <w:szCs w:val="20"/>
        </w:rPr>
        <w:t xml:space="preserve">Hurtig, A. K., &amp; Sebastián, M. S. (2004). Incidence of childhood leukemia and oil exploitation in the Amazon basin of Ecuador. </w:t>
      </w:r>
      <w:r w:rsidRPr="00D62E06">
        <w:rPr>
          <w:rFonts w:ascii="Arial" w:hAnsi="Arial" w:cs="Arial"/>
          <w:i/>
          <w:iCs/>
          <w:sz w:val="20"/>
          <w:szCs w:val="20"/>
        </w:rPr>
        <w:t>International Journal of Epidemiology, 33</w:t>
      </w:r>
      <w:r w:rsidRPr="00D62E06">
        <w:rPr>
          <w:rFonts w:ascii="Arial" w:hAnsi="Arial" w:cs="Arial"/>
          <w:sz w:val="20"/>
          <w:szCs w:val="20"/>
        </w:rPr>
        <w:t xml:space="preserve">(5), 1021–1027. </w:t>
      </w:r>
    </w:p>
    <w:p w14:paraId="2B0AC7B9" w14:textId="77777777" w:rsidR="001D6DF9" w:rsidRPr="00D62E06" w:rsidRDefault="001D6DF9" w:rsidP="001D6DF9">
      <w:pPr>
        <w:numPr>
          <w:ilvl w:val="0"/>
          <w:numId w:val="5"/>
        </w:numPr>
        <w:rPr>
          <w:rFonts w:ascii="Arial" w:hAnsi="Arial" w:cs="Arial"/>
          <w:sz w:val="20"/>
          <w:szCs w:val="20"/>
        </w:rPr>
      </w:pPr>
      <w:r w:rsidRPr="00D62E06">
        <w:rPr>
          <w:rFonts w:ascii="Arial" w:hAnsi="Arial" w:cs="Arial"/>
          <w:sz w:val="20"/>
          <w:szCs w:val="20"/>
        </w:rPr>
        <w:t xml:space="preserve">Bellinger, D. C., Sloman, J., Leviton, A., Rabinowitz, M., Needleman, H. L., &amp; </w:t>
      </w:r>
      <w:proofErr w:type="spellStart"/>
      <w:r w:rsidRPr="00D62E06">
        <w:rPr>
          <w:rFonts w:ascii="Arial" w:hAnsi="Arial" w:cs="Arial"/>
          <w:sz w:val="20"/>
          <w:szCs w:val="20"/>
        </w:rPr>
        <w:t>Waternaux</w:t>
      </w:r>
      <w:proofErr w:type="spellEnd"/>
      <w:r w:rsidRPr="00D62E06">
        <w:rPr>
          <w:rFonts w:ascii="Arial" w:hAnsi="Arial" w:cs="Arial"/>
          <w:sz w:val="20"/>
          <w:szCs w:val="20"/>
        </w:rPr>
        <w:t xml:space="preserve">, C. (1987). Low-level lead exposure and children’s cognitive function in the preschool years. </w:t>
      </w:r>
      <w:r w:rsidRPr="00D62E06">
        <w:rPr>
          <w:rFonts w:ascii="Arial" w:hAnsi="Arial" w:cs="Arial"/>
          <w:i/>
          <w:iCs/>
          <w:sz w:val="20"/>
          <w:szCs w:val="20"/>
        </w:rPr>
        <w:t>Pediatrics, 79</w:t>
      </w:r>
      <w:r w:rsidRPr="00D62E06">
        <w:rPr>
          <w:rFonts w:ascii="Arial" w:hAnsi="Arial" w:cs="Arial"/>
          <w:sz w:val="20"/>
          <w:szCs w:val="20"/>
        </w:rPr>
        <w:t>(6), 1010–1015.</w:t>
      </w:r>
    </w:p>
    <w:p w14:paraId="579CCBEA" w14:textId="77777777" w:rsidR="001D6DF9" w:rsidRPr="00D62E06" w:rsidRDefault="001D6DF9" w:rsidP="001D6DF9">
      <w:pPr>
        <w:numPr>
          <w:ilvl w:val="0"/>
          <w:numId w:val="5"/>
        </w:numPr>
        <w:rPr>
          <w:rFonts w:ascii="Arial" w:hAnsi="Arial" w:cs="Arial"/>
          <w:sz w:val="20"/>
          <w:szCs w:val="20"/>
        </w:rPr>
      </w:pPr>
      <w:r w:rsidRPr="00D62E06">
        <w:rPr>
          <w:rFonts w:ascii="Arial" w:hAnsi="Arial" w:cs="Arial"/>
          <w:sz w:val="20"/>
          <w:szCs w:val="20"/>
        </w:rPr>
        <w:t xml:space="preserve">Suku, P. G., </w:t>
      </w:r>
      <w:proofErr w:type="spellStart"/>
      <w:r w:rsidRPr="00D62E06">
        <w:rPr>
          <w:rFonts w:ascii="Arial" w:hAnsi="Arial" w:cs="Arial"/>
          <w:sz w:val="20"/>
          <w:szCs w:val="20"/>
        </w:rPr>
        <w:t>Ugwoha</w:t>
      </w:r>
      <w:proofErr w:type="spellEnd"/>
      <w:r w:rsidRPr="00D62E06">
        <w:rPr>
          <w:rFonts w:ascii="Arial" w:hAnsi="Arial" w:cs="Arial"/>
          <w:sz w:val="20"/>
          <w:szCs w:val="20"/>
        </w:rPr>
        <w:t xml:space="preserve">, E., &amp; </w:t>
      </w:r>
      <w:proofErr w:type="spellStart"/>
      <w:r w:rsidRPr="00D62E06">
        <w:rPr>
          <w:rFonts w:ascii="Arial" w:hAnsi="Arial" w:cs="Arial"/>
          <w:sz w:val="20"/>
          <w:szCs w:val="20"/>
        </w:rPr>
        <w:t>Orikpete</w:t>
      </w:r>
      <w:proofErr w:type="spellEnd"/>
      <w:r w:rsidRPr="00D62E06">
        <w:rPr>
          <w:rFonts w:ascii="Arial" w:hAnsi="Arial" w:cs="Arial"/>
          <w:sz w:val="20"/>
          <w:szCs w:val="20"/>
        </w:rPr>
        <w:t xml:space="preserve">, O. F. (2024). Artisanal crude oil refining in the Niger Delta: Environmental impacts, health outcomes, and strategies for sustainable mitigation. </w:t>
      </w:r>
      <w:r w:rsidRPr="00D62E06">
        <w:rPr>
          <w:rFonts w:ascii="Arial" w:hAnsi="Arial" w:cs="Arial"/>
          <w:i/>
          <w:iCs/>
          <w:sz w:val="20"/>
          <w:szCs w:val="20"/>
        </w:rPr>
        <w:t>Journal of Earth and Environmental Science Research, 6</w:t>
      </w:r>
      <w:r w:rsidRPr="00D62E06">
        <w:rPr>
          <w:rFonts w:ascii="Arial" w:hAnsi="Arial" w:cs="Arial"/>
          <w:sz w:val="20"/>
          <w:szCs w:val="20"/>
        </w:rPr>
        <w:t>(1), 2–9.</w:t>
      </w:r>
    </w:p>
    <w:p w14:paraId="3547A354" w14:textId="77777777" w:rsidR="001D6DF9" w:rsidRPr="00D62E06" w:rsidRDefault="001D6DF9" w:rsidP="001D6DF9">
      <w:pPr>
        <w:numPr>
          <w:ilvl w:val="0"/>
          <w:numId w:val="5"/>
        </w:numPr>
        <w:rPr>
          <w:rFonts w:ascii="Arial" w:hAnsi="Arial" w:cs="Arial"/>
          <w:sz w:val="20"/>
          <w:szCs w:val="20"/>
        </w:rPr>
      </w:pPr>
      <w:r w:rsidRPr="00D62E06">
        <w:rPr>
          <w:rFonts w:ascii="Arial" w:hAnsi="Arial" w:cs="Arial"/>
          <w:sz w:val="20"/>
          <w:szCs w:val="20"/>
        </w:rPr>
        <w:t xml:space="preserve">Raimi, M. O., Ayoade, J. O., &amp; Abdulrahman, S. (2022). Environmental health implications of petroleum production in Nigeria’s Niger Delta. </w:t>
      </w:r>
      <w:r w:rsidRPr="00D62E06">
        <w:rPr>
          <w:rFonts w:ascii="Arial" w:hAnsi="Arial" w:cs="Arial"/>
          <w:i/>
          <w:iCs/>
          <w:sz w:val="20"/>
          <w:szCs w:val="20"/>
        </w:rPr>
        <w:t>Journal of Health and Pollution, 12</w:t>
      </w:r>
      <w:r w:rsidRPr="00D62E06">
        <w:rPr>
          <w:rFonts w:ascii="Arial" w:hAnsi="Arial" w:cs="Arial"/>
          <w:sz w:val="20"/>
          <w:szCs w:val="20"/>
        </w:rPr>
        <w:t xml:space="preserve">(34), 1–8. </w:t>
      </w:r>
    </w:p>
    <w:p w14:paraId="1851A6C2" w14:textId="77777777" w:rsidR="001D6DF9" w:rsidRPr="00D62E06" w:rsidRDefault="001D6DF9" w:rsidP="001D6DF9">
      <w:pPr>
        <w:numPr>
          <w:ilvl w:val="0"/>
          <w:numId w:val="5"/>
        </w:numPr>
        <w:rPr>
          <w:rFonts w:ascii="Arial" w:hAnsi="Arial" w:cs="Arial"/>
          <w:sz w:val="20"/>
          <w:szCs w:val="20"/>
        </w:rPr>
      </w:pPr>
      <w:proofErr w:type="spellStart"/>
      <w:r w:rsidRPr="00D62E06">
        <w:rPr>
          <w:rFonts w:ascii="Arial" w:hAnsi="Arial" w:cs="Arial"/>
          <w:sz w:val="20"/>
          <w:szCs w:val="20"/>
        </w:rPr>
        <w:t>Chukwunweike</w:t>
      </w:r>
      <w:proofErr w:type="spellEnd"/>
      <w:r w:rsidRPr="00D62E06">
        <w:rPr>
          <w:rFonts w:ascii="Arial" w:hAnsi="Arial" w:cs="Arial"/>
          <w:sz w:val="20"/>
          <w:szCs w:val="20"/>
        </w:rPr>
        <w:t xml:space="preserve">, E. E., </w:t>
      </w:r>
      <w:proofErr w:type="spellStart"/>
      <w:r w:rsidRPr="00D62E06">
        <w:rPr>
          <w:rFonts w:ascii="Arial" w:hAnsi="Arial" w:cs="Arial"/>
          <w:sz w:val="20"/>
          <w:szCs w:val="20"/>
        </w:rPr>
        <w:t>Enembe</w:t>
      </w:r>
      <w:proofErr w:type="spellEnd"/>
      <w:r w:rsidRPr="00D62E06">
        <w:rPr>
          <w:rFonts w:ascii="Arial" w:hAnsi="Arial" w:cs="Arial"/>
          <w:sz w:val="20"/>
          <w:szCs w:val="20"/>
        </w:rPr>
        <w:t xml:space="preserve">, O., &amp; Best, O. (2022). Risk perceptions of environmental and health problems associated with artisanal crude oil refining. </w:t>
      </w:r>
      <w:r w:rsidRPr="00D62E06">
        <w:rPr>
          <w:rFonts w:ascii="Arial" w:hAnsi="Arial" w:cs="Arial"/>
          <w:i/>
          <w:iCs/>
          <w:sz w:val="20"/>
          <w:szCs w:val="20"/>
        </w:rPr>
        <w:t>Asian Journal of Environment and Ecology, 18</w:t>
      </w:r>
      <w:r w:rsidRPr="00D62E06">
        <w:rPr>
          <w:rFonts w:ascii="Arial" w:hAnsi="Arial" w:cs="Arial"/>
          <w:sz w:val="20"/>
          <w:szCs w:val="20"/>
        </w:rPr>
        <w:t xml:space="preserve">(2), 42–50. </w:t>
      </w:r>
    </w:p>
    <w:p w14:paraId="0F7720C5" w14:textId="77777777" w:rsidR="001D6DF9" w:rsidRPr="00D62E06" w:rsidRDefault="001D6DF9" w:rsidP="001D6DF9">
      <w:pPr>
        <w:numPr>
          <w:ilvl w:val="0"/>
          <w:numId w:val="5"/>
        </w:numPr>
        <w:rPr>
          <w:rFonts w:ascii="Arial" w:hAnsi="Arial" w:cs="Arial"/>
          <w:sz w:val="20"/>
          <w:szCs w:val="20"/>
        </w:rPr>
      </w:pPr>
      <w:proofErr w:type="spellStart"/>
      <w:r w:rsidRPr="00D62E06">
        <w:rPr>
          <w:rFonts w:ascii="Arial" w:hAnsi="Arial" w:cs="Arial"/>
          <w:sz w:val="20"/>
          <w:szCs w:val="20"/>
        </w:rPr>
        <w:t>Awodele</w:t>
      </w:r>
      <w:proofErr w:type="spellEnd"/>
      <w:r w:rsidRPr="00D62E06">
        <w:rPr>
          <w:rFonts w:ascii="Arial" w:hAnsi="Arial" w:cs="Arial"/>
          <w:sz w:val="20"/>
          <w:szCs w:val="20"/>
        </w:rPr>
        <w:t xml:space="preserve">, O., Sulayman, A. A., &amp; </w:t>
      </w:r>
      <w:proofErr w:type="spellStart"/>
      <w:r w:rsidRPr="00D62E06">
        <w:rPr>
          <w:rFonts w:ascii="Arial" w:hAnsi="Arial" w:cs="Arial"/>
          <w:sz w:val="20"/>
          <w:szCs w:val="20"/>
        </w:rPr>
        <w:t>Akintonwa</w:t>
      </w:r>
      <w:proofErr w:type="spellEnd"/>
      <w:r w:rsidRPr="00D62E06">
        <w:rPr>
          <w:rFonts w:ascii="Arial" w:hAnsi="Arial" w:cs="Arial"/>
          <w:sz w:val="20"/>
          <w:szCs w:val="20"/>
        </w:rPr>
        <w:t xml:space="preserve">, A. (2014). Evaluation of </w:t>
      </w:r>
      <w:proofErr w:type="spellStart"/>
      <w:r w:rsidRPr="00D62E06">
        <w:rPr>
          <w:rFonts w:ascii="Arial" w:hAnsi="Arial" w:cs="Arial"/>
          <w:sz w:val="20"/>
          <w:szCs w:val="20"/>
        </w:rPr>
        <w:t>haematological</w:t>
      </w:r>
      <w:proofErr w:type="spellEnd"/>
      <w:r w:rsidRPr="00D62E06">
        <w:rPr>
          <w:rFonts w:ascii="Arial" w:hAnsi="Arial" w:cs="Arial"/>
          <w:sz w:val="20"/>
          <w:szCs w:val="20"/>
        </w:rPr>
        <w:t xml:space="preserve">, hepatic and renal functions of petroleum tanker drivers in Lagos, Nigeria. </w:t>
      </w:r>
      <w:r w:rsidRPr="00D62E06">
        <w:rPr>
          <w:rFonts w:ascii="Arial" w:hAnsi="Arial" w:cs="Arial"/>
          <w:i/>
          <w:iCs/>
          <w:sz w:val="20"/>
          <w:szCs w:val="20"/>
        </w:rPr>
        <w:t>African Health Sciences, 14</w:t>
      </w:r>
      <w:r w:rsidRPr="00D62E06">
        <w:rPr>
          <w:rFonts w:ascii="Arial" w:hAnsi="Arial" w:cs="Arial"/>
          <w:sz w:val="20"/>
          <w:szCs w:val="20"/>
        </w:rPr>
        <w:t xml:space="preserve">(1), 178–184. </w:t>
      </w:r>
    </w:p>
    <w:p w14:paraId="6830D332" w14:textId="77777777" w:rsidR="001D6DF9" w:rsidRPr="00D62E06" w:rsidRDefault="001D6DF9" w:rsidP="001D6DF9">
      <w:pPr>
        <w:numPr>
          <w:ilvl w:val="0"/>
          <w:numId w:val="5"/>
        </w:numPr>
        <w:rPr>
          <w:rFonts w:ascii="Arial" w:hAnsi="Arial" w:cs="Arial"/>
          <w:sz w:val="20"/>
          <w:szCs w:val="20"/>
        </w:rPr>
      </w:pPr>
      <w:r w:rsidRPr="00D62E06">
        <w:rPr>
          <w:rFonts w:ascii="Arial" w:hAnsi="Arial" w:cs="Arial"/>
          <w:sz w:val="20"/>
          <w:szCs w:val="20"/>
        </w:rPr>
        <w:t xml:space="preserve">International </w:t>
      </w:r>
      <w:proofErr w:type="spellStart"/>
      <w:r w:rsidRPr="00D62E06">
        <w:rPr>
          <w:rFonts w:ascii="Arial" w:hAnsi="Arial" w:cs="Arial"/>
          <w:sz w:val="20"/>
          <w:szCs w:val="20"/>
        </w:rPr>
        <w:t>Programme</w:t>
      </w:r>
      <w:proofErr w:type="spellEnd"/>
      <w:r w:rsidRPr="00D62E06">
        <w:rPr>
          <w:rFonts w:ascii="Arial" w:hAnsi="Arial" w:cs="Arial"/>
          <w:sz w:val="20"/>
          <w:szCs w:val="20"/>
        </w:rPr>
        <w:t xml:space="preserve"> on Chemical Safety. (1986). </w:t>
      </w:r>
      <w:r w:rsidRPr="00D62E06">
        <w:rPr>
          <w:rFonts w:ascii="Arial" w:hAnsi="Arial" w:cs="Arial"/>
          <w:i/>
          <w:iCs/>
          <w:sz w:val="20"/>
          <w:szCs w:val="20"/>
        </w:rPr>
        <w:t>Principles for evaluating health risks from chemicals during infancy and early childhood: The need for a special approach</w:t>
      </w:r>
      <w:r w:rsidRPr="00D62E06">
        <w:rPr>
          <w:rFonts w:ascii="Arial" w:hAnsi="Arial" w:cs="Arial"/>
          <w:sz w:val="20"/>
          <w:szCs w:val="20"/>
        </w:rPr>
        <w:t xml:space="preserve"> (Environmental Health Criteria No. 59). World Health Organization.</w:t>
      </w:r>
    </w:p>
    <w:p w14:paraId="342316C2" w14:textId="77777777" w:rsidR="001D6DF9" w:rsidRPr="00D62E06" w:rsidRDefault="001D6DF9" w:rsidP="001D6DF9">
      <w:pPr>
        <w:numPr>
          <w:ilvl w:val="0"/>
          <w:numId w:val="5"/>
        </w:numPr>
        <w:rPr>
          <w:rFonts w:ascii="Arial" w:hAnsi="Arial" w:cs="Arial"/>
          <w:sz w:val="20"/>
          <w:szCs w:val="20"/>
        </w:rPr>
      </w:pPr>
      <w:r w:rsidRPr="00D62E06">
        <w:rPr>
          <w:rFonts w:ascii="Arial" w:hAnsi="Arial" w:cs="Arial"/>
          <w:sz w:val="20"/>
          <w:szCs w:val="20"/>
        </w:rPr>
        <w:t xml:space="preserve">World Health Organization. (2002). </w:t>
      </w:r>
      <w:r w:rsidRPr="00D62E06">
        <w:rPr>
          <w:rFonts w:ascii="Arial" w:hAnsi="Arial" w:cs="Arial"/>
          <w:i/>
          <w:iCs/>
          <w:sz w:val="20"/>
          <w:szCs w:val="20"/>
        </w:rPr>
        <w:t>Healthy environments for children: Initiating an alliance for action</w:t>
      </w:r>
      <w:r w:rsidRPr="00D62E06">
        <w:rPr>
          <w:rFonts w:ascii="Arial" w:hAnsi="Arial" w:cs="Arial"/>
          <w:sz w:val="20"/>
          <w:szCs w:val="20"/>
        </w:rPr>
        <w:t xml:space="preserve"> (WHO/SDE/PHE/02.06). World Health Organization.</w:t>
      </w:r>
    </w:p>
    <w:p w14:paraId="412CD20A" w14:textId="77777777" w:rsidR="001D6DF9" w:rsidRPr="00D62E06" w:rsidRDefault="001D6DF9" w:rsidP="001D6DF9">
      <w:pPr>
        <w:numPr>
          <w:ilvl w:val="0"/>
          <w:numId w:val="5"/>
        </w:numPr>
        <w:rPr>
          <w:rFonts w:ascii="Arial" w:hAnsi="Arial" w:cs="Arial"/>
          <w:sz w:val="20"/>
          <w:szCs w:val="20"/>
        </w:rPr>
      </w:pPr>
      <w:proofErr w:type="spellStart"/>
      <w:r w:rsidRPr="00D62E06">
        <w:rPr>
          <w:rFonts w:ascii="Arial" w:hAnsi="Arial" w:cs="Arial"/>
          <w:sz w:val="20"/>
          <w:szCs w:val="20"/>
        </w:rPr>
        <w:t>Akagbue</w:t>
      </w:r>
      <w:proofErr w:type="spellEnd"/>
      <w:r w:rsidRPr="00D62E06">
        <w:rPr>
          <w:rFonts w:ascii="Arial" w:hAnsi="Arial" w:cs="Arial"/>
          <w:sz w:val="20"/>
          <w:szCs w:val="20"/>
        </w:rPr>
        <w:t xml:space="preserve">, B. O., Aminu, M. A. B., Siame, T., et al. (2023). Medical effect of emission from unregulated refineries at </w:t>
      </w:r>
      <w:proofErr w:type="spellStart"/>
      <w:r w:rsidRPr="00D62E06">
        <w:rPr>
          <w:rFonts w:ascii="Arial" w:hAnsi="Arial" w:cs="Arial"/>
          <w:sz w:val="20"/>
          <w:szCs w:val="20"/>
        </w:rPr>
        <w:t>Rumuolumeni</w:t>
      </w:r>
      <w:proofErr w:type="spellEnd"/>
      <w:r w:rsidRPr="00D62E06">
        <w:rPr>
          <w:rFonts w:ascii="Arial" w:hAnsi="Arial" w:cs="Arial"/>
          <w:sz w:val="20"/>
          <w:szCs w:val="20"/>
        </w:rPr>
        <w:t xml:space="preserve"> Community, Port Harcourt. </w:t>
      </w:r>
      <w:r w:rsidRPr="00D62E06">
        <w:rPr>
          <w:rFonts w:ascii="Arial" w:hAnsi="Arial" w:cs="Arial"/>
          <w:i/>
          <w:iCs/>
          <w:sz w:val="20"/>
          <w:szCs w:val="20"/>
        </w:rPr>
        <w:t>Asian Journal of Medicine and Health, 21</w:t>
      </w:r>
      <w:r w:rsidRPr="00D62E06">
        <w:rPr>
          <w:rFonts w:ascii="Arial" w:hAnsi="Arial" w:cs="Arial"/>
          <w:sz w:val="20"/>
          <w:szCs w:val="20"/>
        </w:rPr>
        <w:t xml:space="preserve">(12), 83–94. </w:t>
      </w:r>
    </w:p>
    <w:p w14:paraId="6F82A0FF" w14:textId="77777777" w:rsidR="001D6DF9" w:rsidRPr="00D62E06" w:rsidRDefault="001D6DF9" w:rsidP="001D6DF9">
      <w:pPr>
        <w:numPr>
          <w:ilvl w:val="0"/>
          <w:numId w:val="5"/>
        </w:numPr>
        <w:rPr>
          <w:rFonts w:ascii="Arial" w:hAnsi="Arial" w:cs="Arial"/>
          <w:sz w:val="20"/>
          <w:szCs w:val="20"/>
        </w:rPr>
      </w:pPr>
      <w:r w:rsidRPr="00D62E06">
        <w:rPr>
          <w:rFonts w:ascii="Arial" w:hAnsi="Arial" w:cs="Arial"/>
          <w:sz w:val="20"/>
          <w:szCs w:val="20"/>
        </w:rPr>
        <w:t xml:space="preserve">Ite, A. E., </w:t>
      </w:r>
      <w:proofErr w:type="spellStart"/>
      <w:r w:rsidRPr="00D62E06">
        <w:rPr>
          <w:rFonts w:ascii="Arial" w:hAnsi="Arial" w:cs="Arial"/>
          <w:sz w:val="20"/>
          <w:szCs w:val="20"/>
        </w:rPr>
        <w:t>Ibok</w:t>
      </w:r>
      <w:proofErr w:type="spellEnd"/>
      <w:r w:rsidRPr="00D62E06">
        <w:rPr>
          <w:rFonts w:ascii="Arial" w:hAnsi="Arial" w:cs="Arial"/>
          <w:sz w:val="20"/>
          <w:szCs w:val="20"/>
        </w:rPr>
        <w:t xml:space="preserve">, U. J., Ite, M. U., &amp; Petters, S. W. (2013). Petroleum exploration and production: Past and present environmental issues in the Nigeria’s Niger Delta. </w:t>
      </w:r>
      <w:r w:rsidRPr="00D62E06">
        <w:rPr>
          <w:rFonts w:ascii="Arial" w:hAnsi="Arial" w:cs="Arial"/>
          <w:i/>
          <w:iCs/>
          <w:sz w:val="20"/>
          <w:szCs w:val="20"/>
        </w:rPr>
        <w:t>American Journal of Environmental Protection, 1</w:t>
      </w:r>
      <w:r w:rsidRPr="00D62E06">
        <w:rPr>
          <w:rFonts w:ascii="Arial" w:hAnsi="Arial" w:cs="Arial"/>
          <w:sz w:val="20"/>
          <w:szCs w:val="20"/>
        </w:rPr>
        <w:t xml:space="preserve">(4), 78–90. </w:t>
      </w:r>
    </w:p>
    <w:p w14:paraId="01674EE7" w14:textId="77777777" w:rsidR="001D6DF9" w:rsidRPr="00D62E06" w:rsidRDefault="001D6DF9" w:rsidP="001D6DF9">
      <w:pPr>
        <w:numPr>
          <w:ilvl w:val="0"/>
          <w:numId w:val="5"/>
        </w:numPr>
        <w:rPr>
          <w:rFonts w:ascii="Arial" w:hAnsi="Arial" w:cs="Arial"/>
          <w:sz w:val="20"/>
          <w:szCs w:val="20"/>
        </w:rPr>
      </w:pPr>
      <w:r w:rsidRPr="00D62E06">
        <w:rPr>
          <w:rFonts w:ascii="Arial" w:hAnsi="Arial" w:cs="Arial"/>
          <w:sz w:val="20"/>
          <w:szCs w:val="20"/>
        </w:rPr>
        <w:t xml:space="preserve">Grandjean, P., Weihe, P., White, R. F., Debes, F., Araki, S., Yokoyama, K., et al. (1997). Cognitive deficit in 7-year-old children with prenatal exposure to methylmercury. </w:t>
      </w:r>
      <w:r w:rsidRPr="00D62E06">
        <w:rPr>
          <w:rFonts w:ascii="Arial" w:hAnsi="Arial" w:cs="Arial"/>
          <w:i/>
          <w:iCs/>
          <w:sz w:val="20"/>
          <w:szCs w:val="20"/>
        </w:rPr>
        <w:t>Neurotoxicology and Teratology, 19</w:t>
      </w:r>
      <w:r w:rsidRPr="00D62E06">
        <w:rPr>
          <w:rFonts w:ascii="Arial" w:hAnsi="Arial" w:cs="Arial"/>
          <w:sz w:val="20"/>
          <w:szCs w:val="20"/>
        </w:rPr>
        <w:t xml:space="preserve">(6), 417–428. </w:t>
      </w:r>
    </w:p>
    <w:p w14:paraId="734A958F" w14:textId="77777777" w:rsidR="001D6DF9" w:rsidRPr="00D62E06" w:rsidRDefault="001D6DF9" w:rsidP="001D6DF9">
      <w:pPr>
        <w:numPr>
          <w:ilvl w:val="0"/>
          <w:numId w:val="5"/>
        </w:numPr>
        <w:rPr>
          <w:rFonts w:ascii="Arial" w:hAnsi="Arial" w:cs="Arial"/>
          <w:sz w:val="20"/>
          <w:szCs w:val="20"/>
        </w:rPr>
      </w:pPr>
      <w:r w:rsidRPr="00D62E06">
        <w:rPr>
          <w:rFonts w:ascii="Arial" w:hAnsi="Arial" w:cs="Arial"/>
          <w:sz w:val="20"/>
          <w:szCs w:val="20"/>
        </w:rPr>
        <w:lastRenderedPageBreak/>
        <w:t xml:space="preserve">Currie, J., &amp; </w:t>
      </w:r>
      <w:proofErr w:type="spellStart"/>
      <w:r w:rsidRPr="00D62E06">
        <w:rPr>
          <w:rFonts w:ascii="Arial" w:hAnsi="Arial" w:cs="Arial"/>
          <w:sz w:val="20"/>
          <w:szCs w:val="20"/>
        </w:rPr>
        <w:t>Neidell</w:t>
      </w:r>
      <w:proofErr w:type="spellEnd"/>
      <w:r w:rsidRPr="00D62E06">
        <w:rPr>
          <w:rFonts w:ascii="Arial" w:hAnsi="Arial" w:cs="Arial"/>
          <w:sz w:val="20"/>
          <w:szCs w:val="20"/>
        </w:rPr>
        <w:t xml:space="preserve">, M. (2005). Air pollution and infant health: What can we learn from California’s recent experience? </w:t>
      </w:r>
      <w:r w:rsidRPr="00D62E06">
        <w:rPr>
          <w:rFonts w:ascii="Arial" w:hAnsi="Arial" w:cs="Arial"/>
          <w:i/>
          <w:iCs/>
          <w:sz w:val="20"/>
          <w:szCs w:val="20"/>
        </w:rPr>
        <w:t>The Quarterly Journal of Economics, 120</w:t>
      </w:r>
      <w:r w:rsidRPr="00D62E06">
        <w:rPr>
          <w:rFonts w:ascii="Arial" w:hAnsi="Arial" w:cs="Arial"/>
          <w:sz w:val="20"/>
          <w:szCs w:val="20"/>
        </w:rPr>
        <w:t xml:space="preserve">(3), 1003–1030. </w:t>
      </w:r>
    </w:p>
    <w:p w14:paraId="0F587E26" w14:textId="77777777" w:rsidR="001D6DF9" w:rsidRPr="00D62E06" w:rsidRDefault="001D6DF9" w:rsidP="001D6DF9">
      <w:pPr>
        <w:numPr>
          <w:ilvl w:val="0"/>
          <w:numId w:val="5"/>
        </w:numPr>
        <w:rPr>
          <w:rFonts w:ascii="Arial" w:hAnsi="Arial" w:cs="Arial"/>
          <w:sz w:val="20"/>
          <w:szCs w:val="20"/>
        </w:rPr>
      </w:pPr>
      <w:r w:rsidRPr="00D62E06">
        <w:rPr>
          <w:rFonts w:ascii="Arial" w:hAnsi="Arial" w:cs="Arial"/>
          <w:sz w:val="20"/>
          <w:szCs w:val="20"/>
        </w:rPr>
        <w:t xml:space="preserve">Downey, L., &amp; Van Willigen, M. (2005). Environmental stressors: The mental health impacts of living near industrial activity. </w:t>
      </w:r>
      <w:r w:rsidRPr="00D62E06">
        <w:rPr>
          <w:rFonts w:ascii="Arial" w:hAnsi="Arial" w:cs="Arial"/>
          <w:i/>
          <w:iCs/>
          <w:sz w:val="20"/>
          <w:szCs w:val="20"/>
        </w:rPr>
        <w:t>Journal of Health and Social Behavior, 46</w:t>
      </w:r>
      <w:r w:rsidRPr="00D62E06">
        <w:rPr>
          <w:rFonts w:ascii="Arial" w:hAnsi="Arial" w:cs="Arial"/>
          <w:sz w:val="20"/>
          <w:szCs w:val="20"/>
        </w:rPr>
        <w:t xml:space="preserve">(3), 289–305. </w:t>
      </w:r>
    </w:p>
    <w:p w14:paraId="50EC25BC" w14:textId="77777777" w:rsidR="001D6DF9" w:rsidRPr="00D62E06" w:rsidRDefault="001D6DF9" w:rsidP="001D6DF9">
      <w:pPr>
        <w:numPr>
          <w:ilvl w:val="0"/>
          <w:numId w:val="5"/>
        </w:numPr>
        <w:rPr>
          <w:rFonts w:ascii="Arial" w:hAnsi="Arial" w:cs="Arial"/>
          <w:sz w:val="20"/>
          <w:szCs w:val="20"/>
        </w:rPr>
      </w:pPr>
      <w:r w:rsidRPr="00D62E06">
        <w:rPr>
          <w:rFonts w:ascii="Arial" w:hAnsi="Arial" w:cs="Arial"/>
          <w:sz w:val="20"/>
          <w:szCs w:val="20"/>
        </w:rPr>
        <w:t xml:space="preserve">Beck, U. (1992). </w:t>
      </w:r>
      <w:r w:rsidRPr="00D62E06">
        <w:rPr>
          <w:rFonts w:ascii="Arial" w:hAnsi="Arial" w:cs="Arial"/>
          <w:i/>
          <w:iCs/>
          <w:sz w:val="20"/>
          <w:szCs w:val="20"/>
        </w:rPr>
        <w:t>Risk society: Towards a new modernity</w:t>
      </w:r>
      <w:r w:rsidRPr="00D62E06">
        <w:rPr>
          <w:rFonts w:ascii="Arial" w:hAnsi="Arial" w:cs="Arial"/>
          <w:sz w:val="20"/>
          <w:szCs w:val="20"/>
        </w:rPr>
        <w:t xml:space="preserve"> (M. Ritter, Trans.). Sage Publications.</w:t>
      </w:r>
    </w:p>
    <w:p w14:paraId="0E708467" w14:textId="77777777" w:rsidR="00C42114" w:rsidRPr="00D62E06" w:rsidRDefault="00C42114">
      <w:pPr>
        <w:rPr>
          <w:rFonts w:ascii="Arial" w:hAnsi="Arial" w:cs="Arial"/>
          <w:sz w:val="20"/>
          <w:szCs w:val="20"/>
        </w:rPr>
      </w:pPr>
    </w:p>
    <w:p w14:paraId="0D941480" w14:textId="77777777" w:rsidR="00C42114" w:rsidRPr="00D62E06" w:rsidRDefault="00C42114" w:rsidP="00D56C91">
      <w:pPr>
        <w:spacing w:line="480" w:lineRule="auto"/>
        <w:jc w:val="both"/>
        <w:rPr>
          <w:rFonts w:ascii="Arial" w:hAnsi="Arial" w:cs="Arial"/>
          <w:sz w:val="20"/>
          <w:szCs w:val="20"/>
        </w:rPr>
      </w:pPr>
    </w:p>
    <w:p w14:paraId="04E32501" w14:textId="77777777" w:rsidR="008462B9" w:rsidRPr="00D62E06" w:rsidRDefault="008462B9" w:rsidP="001D6DF9">
      <w:pPr>
        <w:rPr>
          <w:rFonts w:ascii="Arial" w:hAnsi="Arial" w:cs="Arial"/>
          <w:sz w:val="20"/>
          <w:szCs w:val="20"/>
        </w:rPr>
      </w:pPr>
    </w:p>
    <w:p w14:paraId="190F5B2D" w14:textId="77777777" w:rsidR="00D62E06" w:rsidRPr="00D62E06" w:rsidRDefault="00D62E06">
      <w:pPr>
        <w:rPr>
          <w:rFonts w:ascii="Arial" w:hAnsi="Arial" w:cs="Arial"/>
          <w:sz w:val="20"/>
          <w:szCs w:val="20"/>
        </w:rPr>
      </w:pPr>
    </w:p>
    <w:sectPr w:rsidR="00D62E06" w:rsidRPr="00D62E06" w:rsidSect="00343EC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AF49A" w14:textId="77777777" w:rsidR="0071313C" w:rsidRDefault="0071313C" w:rsidP="00660C1A">
      <w:pPr>
        <w:spacing w:after="0" w:line="240" w:lineRule="auto"/>
      </w:pPr>
      <w:r>
        <w:separator/>
      </w:r>
    </w:p>
  </w:endnote>
  <w:endnote w:type="continuationSeparator" w:id="0">
    <w:p w14:paraId="7A7948A0" w14:textId="77777777" w:rsidR="0071313C" w:rsidRDefault="0071313C" w:rsidP="00660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AA217" w14:textId="77777777" w:rsidR="00660C1A" w:rsidRDefault="00660C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4A167" w14:textId="77777777" w:rsidR="00660C1A" w:rsidRDefault="00660C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32A05" w14:textId="77777777" w:rsidR="00660C1A" w:rsidRDefault="00660C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E6468" w14:textId="77777777" w:rsidR="0071313C" w:rsidRDefault="0071313C" w:rsidP="00660C1A">
      <w:pPr>
        <w:spacing w:after="0" w:line="240" w:lineRule="auto"/>
      </w:pPr>
      <w:r>
        <w:separator/>
      </w:r>
    </w:p>
  </w:footnote>
  <w:footnote w:type="continuationSeparator" w:id="0">
    <w:p w14:paraId="4775B02A" w14:textId="77777777" w:rsidR="0071313C" w:rsidRDefault="0071313C" w:rsidP="00660C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D13EF" w14:textId="24CF7E08" w:rsidR="00660C1A" w:rsidRDefault="00660C1A">
    <w:pPr>
      <w:pStyle w:val="Header"/>
    </w:pPr>
    <w:r>
      <w:rPr>
        <w:noProof/>
      </w:rPr>
      <w:pict w14:anchorId="317306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9434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A6B93" w14:textId="1EFAA49B" w:rsidR="00660C1A" w:rsidRDefault="00660C1A">
    <w:pPr>
      <w:pStyle w:val="Header"/>
    </w:pPr>
    <w:r>
      <w:rPr>
        <w:noProof/>
      </w:rPr>
      <w:pict w14:anchorId="010B06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9434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DE2D1" w14:textId="38D10CD7" w:rsidR="00660C1A" w:rsidRDefault="00660C1A">
    <w:pPr>
      <w:pStyle w:val="Header"/>
    </w:pPr>
    <w:r>
      <w:rPr>
        <w:noProof/>
      </w:rPr>
      <w:pict w14:anchorId="06D873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9434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027CE"/>
    <w:multiLevelType w:val="multilevel"/>
    <w:tmpl w:val="A1F4B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B04906"/>
    <w:multiLevelType w:val="multilevel"/>
    <w:tmpl w:val="7E74C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2C0B96"/>
    <w:multiLevelType w:val="multilevel"/>
    <w:tmpl w:val="5F6E9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2E5EA1"/>
    <w:multiLevelType w:val="multilevel"/>
    <w:tmpl w:val="30EEA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102861"/>
    <w:multiLevelType w:val="multilevel"/>
    <w:tmpl w:val="99BC4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2586710">
    <w:abstractNumId w:val="0"/>
  </w:num>
  <w:num w:numId="2" w16cid:durableId="160972908">
    <w:abstractNumId w:val="4"/>
  </w:num>
  <w:num w:numId="3" w16cid:durableId="118453051">
    <w:abstractNumId w:val="3"/>
  </w:num>
  <w:num w:numId="4" w16cid:durableId="1182013872">
    <w:abstractNumId w:val="1"/>
  </w:num>
  <w:num w:numId="5" w16cid:durableId="169270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225FA"/>
    <w:rsid w:val="000027FF"/>
    <w:rsid w:val="00055F7A"/>
    <w:rsid w:val="000B11D8"/>
    <w:rsid w:val="000B3E35"/>
    <w:rsid w:val="000C14A0"/>
    <w:rsid w:val="001D6DF9"/>
    <w:rsid w:val="00266EF4"/>
    <w:rsid w:val="00343EC0"/>
    <w:rsid w:val="0041015C"/>
    <w:rsid w:val="00571F30"/>
    <w:rsid w:val="005818C3"/>
    <w:rsid w:val="00595530"/>
    <w:rsid w:val="006270D6"/>
    <w:rsid w:val="00660C1A"/>
    <w:rsid w:val="006A188D"/>
    <w:rsid w:val="0071313C"/>
    <w:rsid w:val="00757266"/>
    <w:rsid w:val="008462B9"/>
    <w:rsid w:val="00850E6F"/>
    <w:rsid w:val="008856B8"/>
    <w:rsid w:val="00962CAF"/>
    <w:rsid w:val="009E7E51"/>
    <w:rsid w:val="00AB3C8B"/>
    <w:rsid w:val="00B351F4"/>
    <w:rsid w:val="00BA3B2A"/>
    <w:rsid w:val="00C42114"/>
    <w:rsid w:val="00D54064"/>
    <w:rsid w:val="00D56C91"/>
    <w:rsid w:val="00D62E06"/>
    <w:rsid w:val="00EA61DA"/>
    <w:rsid w:val="00ED1CAE"/>
    <w:rsid w:val="00ED3DB0"/>
    <w:rsid w:val="00F01A79"/>
    <w:rsid w:val="00F225FA"/>
    <w:rsid w:val="00F818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2F614"/>
  <w15:docId w15:val="{F97DCBFF-F96A-4C75-9662-5035B6562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EC0"/>
  </w:style>
  <w:style w:type="paragraph" w:styleId="Heading1">
    <w:name w:val="heading 1"/>
    <w:basedOn w:val="Normal"/>
    <w:next w:val="Normal"/>
    <w:link w:val="Heading1Char"/>
    <w:uiPriority w:val="9"/>
    <w:qFormat/>
    <w:rsid w:val="00ED1CAE"/>
    <w:pPr>
      <w:keepNext/>
      <w:keepLines/>
      <w:spacing w:before="480" w:after="0" w:line="276" w:lineRule="auto"/>
      <w:outlineLvl w:val="0"/>
    </w:pPr>
    <w:rPr>
      <w:rFonts w:asciiTheme="majorHAnsi" w:eastAsiaTheme="majorEastAsia" w:hAnsiTheme="majorHAnsi" w:cstheme="majorBidi"/>
      <w:b/>
      <w:bCs/>
      <w:color w:val="2F5496" w:themeColor="accent1" w:themeShade="BF"/>
      <w:kern w:val="0"/>
      <w:sz w:val="28"/>
      <w:szCs w:val="28"/>
    </w:rPr>
  </w:style>
  <w:style w:type="paragraph" w:styleId="Heading3">
    <w:name w:val="heading 3"/>
    <w:basedOn w:val="Normal"/>
    <w:next w:val="Normal"/>
    <w:link w:val="Heading3Char"/>
    <w:uiPriority w:val="9"/>
    <w:semiHidden/>
    <w:unhideWhenUsed/>
    <w:qFormat/>
    <w:rsid w:val="000027F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211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D6DF9"/>
    <w:rPr>
      <w:color w:val="0563C1" w:themeColor="hyperlink"/>
      <w:u w:val="single"/>
    </w:rPr>
  </w:style>
  <w:style w:type="paragraph" w:styleId="ListParagraph">
    <w:name w:val="List Paragraph"/>
    <w:basedOn w:val="Normal"/>
    <w:uiPriority w:val="34"/>
    <w:qFormat/>
    <w:rsid w:val="00D62E06"/>
    <w:pPr>
      <w:ind w:left="720"/>
      <w:contextualSpacing/>
    </w:pPr>
  </w:style>
  <w:style w:type="paragraph" w:customStyle="1" w:styleId="Head1">
    <w:name w:val="Head1"/>
    <w:basedOn w:val="Normal"/>
    <w:rsid w:val="00D62E06"/>
    <w:pPr>
      <w:keepNext/>
      <w:spacing w:after="240" w:line="240" w:lineRule="auto"/>
    </w:pPr>
    <w:rPr>
      <w:rFonts w:ascii="Helvetica" w:eastAsia="Times New Roman" w:hAnsi="Helvetica" w:cs="Times New Roman"/>
      <w:b/>
      <w:caps/>
      <w:kern w:val="0"/>
      <w:szCs w:val="20"/>
    </w:rPr>
  </w:style>
  <w:style w:type="character" w:customStyle="1" w:styleId="Heading1Char">
    <w:name w:val="Heading 1 Char"/>
    <w:basedOn w:val="DefaultParagraphFont"/>
    <w:link w:val="Heading1"/>
    <w:uiPriority w:val="9"/>
    <w:rsid w:val="00ED1CAE"/>
    <w:rPr>
      <w:rFonts w:asciiTheme="majorHAnsi" w:eastAsiaTheme="majorEastAsia" w:hAnsiTheme="majorHAnsi" w:cstheme="majorBidi"/>
      <w:b/>
      <w:bCs/>
      <w:color w:val="2F5496" w:themeColor="accent1" w:themeShade="BF"/>
      <w:kern w:val="0"/>
      <w:sz w:val="28"/>
      <w:szCs w:val="28"/>
    </w:rPr>
  </w:style>
  <w:style w:type="character" w:customStyle="1" w:styleId="Heading3Char">
    <w:name w:val="Heading 3 Char"/>
    <w:basedOn w:val="DefaultParagraphFont"/>
    <w:link w:val="Heading3"/>
    <w:uiPriority w:val="9"/>
    <w:semiHidden/>
    <w:rsid w:val="000027FF"/>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0027FF"/>
    <w:rPr>
      <w:color w:val="605E5C"/>
      <w:shd w:val="clear" w:color="auto" w:fill="E1DFDD"/>
    </w:rPr>
  </w:style>
  <w:style w:type="paragraph" w:styleId="Header">
    <w:name w:val="header"/>
    <w:basedOn w:val="Normal"/>
    <w:link w:val="HeaderChar"/>
    <w:uiPriority w:val="99"/>
    <w:unhideWhenUsed/>
    <w:rsid w:val="00660C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C1A"/>
  </w:style>
  <w:style w:type="paragraph" w:styleId="Footer">
    <w:name w:val="footer"/>
    <w:basedOn w:val="Normal"/>
    <w:link w:val="FooterChar"/>
    <w:uiPriority w:val="99"/>
    <w:unhideWhenUsed/>
    <w:rsid w:val="00660C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3633">
      <w:bodyDiv w:val="1"/>
      <w:marLeft w:val="0"/>
      <w:marRight w:val="0"/>
      <w:marTop w:val="0"/>
      <w:marBottom w:val="0"/>
      <w:divBdr>
        <w:top w:val="none" w:sz="0" w:space="0" w:color="auto"/>
        <w:left w:val="none" w:sz="0" w:space="0" w:color="auto"/>
        <w:bottom w:val="none" w:sz="0" w:space="0" w:color="auto"/>
        <w:right w:val="none" w:sz="0" w:space="0" w:color="auto"/>
      </w:divBdr>
    </w:div>
    <w:div w:id="272177630">
      <w:bodyDiv w:val="1"/>
      <w:marLeft w:val="0"/>
      <w:marRight w:val="0"/>
      <w:marTop w:val="0"/>
      <w:marBottom w:val="0"/>
      <w:divBdr>
        <w:top w:val="none" w:sz="0" w:space="0" w:color="auto"/>
        <w:left w:val="none" w:sz="0" w:space="0" w:color="auto"/>
        <w:bottom w:val="none" w:sz="0" w:space="0" w:color="auto"/>
        <w:right w:val="none" w:sz="0" w:space="0" w:color="auto"/>
      </w:divBdr>
    </w:div>
    <w:div w:id="344400753">
      <w:bodyDiv w:val="1"/>
      <w:marLeft w:val="0"/>
      <w:marRight w:val="0"/>
      <w:marTop w:val="0"/>
      <w:marBottom w:val="0"/>
      <w:divBdr>
        <w:top w:val="none" w:sz="0" w:space="0" w:color="auto"/>
        <w:left w:val="none" w:sz="0" w:space="0" w:color="auto"/>
        <w:bottom w:val="none" w:sz="0" w:space="0" w:color="auto"/>
        <w:right w:val="none" w:sz="0" w:space="0" w:color="auto"/>
      </w:divBdr>
    </w:div>
    <w:div w:id="359206009">
      <w:bodyDiv w:val="1"/>
      <w:marLeft w:val="0"/>
      <w:marRight w:val="0"/>
      <w:marTop w:val="0"/>
      <w:marBottom w:val="0"/>
      <w:divBdr>
        <w:top w:val="none" w:sz="0" w:space="0" w:color="auto"/>
        <w:left w:val="none" w:sz="0" w:space="0" w:color="auto"/>
        <w:bottom w:val="none" w:sz="0" w:space="0" w:color="auto"/>
        <w:right w:val="none" w:sz="0" w:space="0" w:color="auto"/>
      </w:divBdr>
    </w:div>
    <w:div w:id="551116902">
      <w:bodyDiv w:val="1"/>
      <w:marLeft w:val="0"/>
      <w:marRight w:val="0"/>
      <w:marTop w:val="0"/>
      <w:marBottom w:val="0"/>
      <w:divBdr>
        <w:top w:val="none" w:sz="0" w:space="0" w:color="auto"/>
        <w:left w:val="none" w:sz="0" w:space="0" w:color="auto"/>
        <w:bottom w:val="none" w:sz="0" w:space="0" w:color="auto"/>
        <w:right w:val="none" w:sz="0" w:space="0" w:color="auto"/>
      </w:divBdr>
    </w:div>
    <w:div w:id="551422583">
      <w:bodyDiv w:val="1"/>
      <w:marLeft w:val="0"/>
      <w:marRight w:val="0"/>
      <w:marTop w:val="0"/>
      <w:marBottom w:val="0"/>
      <w:divBdr>
        <w:top w:val="none" w:sz="0" w:space="0" w:color="auto"/>
        <w:left w:val="none" w:sz="0" w:space="0" w:color="auto"/>
        <w:bottom w:val="none" w:sz="0" w:space="0" w:color="auto"/>
        <w:right w:val="none" w:sz="0" w:space="0" w:color="auto"/>
      </w:divBdr>
      <w:divsChild>
        <w:div w:id="14788422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3002129">
      <w:bodyDiv w:val="1"/>
      <w:marLeft w:val="0"/>
      <w:marRight w:val="0"/>
      <w:marTop w:val="0"/>
      <w:marBottom w:val="0"/>
      <w:divBdr>
        <w:top w:val="none" w:sz="0" w:space="0" w:color="auto"/>
        <w:left w:val="none" w:sz="0" w:space="0" w:color="auto"/>
        <w:bottom w:val="none" w:sz="0" w:space="0" w:color="auto"/>
        <w:right w:val="none" w:sz="0" w:space="0" w:color="auto"/>
      </w:divBdr>
      <w:divsChild>
        <w:div w:id="1249658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8091502">
      <w:bodyDiv w:val="1"/>
      <w:marLeft w:val="0"/>
      <w:marRight w:val="0"/>
      <w:marTop w:val="0"/>
      <w:marBottom w:val="0"/>
      <w:divBdr>
        <w:top w:val="none" w:sz="0" w:space="0" w:color="auto"/>
        <w:left w:val="none" w:sz="0" w:space="0" w:color="auto"/>
        <w:bottom w:val="none" w:sz="0" w:space="0" w:color="auto"/>
        <w:right w:val="none" w:sz="0" w:space="0" w:color="auto"/>
      </w:divBdr>
      <w:divsChild>
        <w:div w:id="1533880535">
          <w:marLeft w:val="0"/>
          <w:marRight w:val="0"/>
          <w:marTop w:val="0"/>
          <w:marBottom w:val="0"/>
          <w:divBdr>
            <w:top w:val="none" w:sz="0" w:space="0" w:color="auto"/>
            <w:left w:val="none" w:sz="0" w:space="0" w:color="auto"/>
            <w:bottom w:val="none" w:sz="0" w:space="0" w:color="auto"/>
            <w:right w:val="none" w:sz="0" w:space="0" w:color="auto"/>
          </w:divBdr>
          <w:divsChild>
            <w:div w:id="129400082">
              <w:marLeft w:val="0"/>
              <w:marRight w:val="0"/>
              <w:marTop w:val="0"/>
              <w:marBottom w:val="0"/>
              <w:divBdr>
                <w:top w:val="none" w:sz="0" w:space="0" w:color="auto"/>
                <w:left w:val="none" w:sz="0" w:space="0" w:color="auto"/>
                <w:bottom w:val="none" w:sz="0" w:space="0" w:color="auto"/>
                <w:right w:val="none" w:sz="0" w:space="0" w:color="auto"/>
              </w:divBdr>
            </w:div>
          </w:divsChild>
        </w:div>
        <w:div w:id="1315452906">
          <w:marLeft w:val="0"/>
          <w:marRight w:val="0"/>
          <w:marTop w:val="0"/>
          <w:marBottom w:val="0"/>
          <w:divBdr>
            <w:top w:val="none" w:sz="0" w:space="0" w:color="auto"/>
            <w:left w:val="none" w:sz="0" w:space="0" w:color="auto"/>
            <w:bottom w:val="none" w:sz="0" w:space="0" w:color="auto"/>
            <w:right w:val="none" w:sz="0" w:space="0" w:color="auto"/>
          </w:divBdr>
          <w:divsChild>
            <w:div w:id="36965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130240">
      <w:bodyDiv w:val="1"/>
      <w:marLeft w:val="0"/>
      <w:marRight w:val="0"/>
      <w:marTop w:val="0"/>
      <w:marBottom w:val="0"/>
      <w:divBdr>
        <w:top w:val="none" w:sz="0" w:space="0" w:color="auto"/>
        <w:left w:val="none" w:sz="0" w:space="0" w:color="auto"/>
        <w:bottom w:val="none" w:sz="0" w:space="0" w:color="auto"/>
        <w:right w:val="none" w:sz="0" w:space="0" w:color="auto"/>
      </w:divBdr>
    </w:div>
    <w:div w:id="999581560">
      <w:bodyDiv w:val="1"/>
      <w:marLeft w:val="0"/>
      <w:marRight w:val="0"/>
      <w:marTop w:val="0"/>
      <w:marBottom w:val="0"/>
      <w:divBdr>
        <w:top w:val="none" w:sz="0" w:space="0" w:color="auto"/>
        <w:left w:val="none" w:sz="0" w:space="0" w:color="auto"/>
        <w:bottom w:val="none" w:sz="0" w:space="0" w:color="auto"/>
        <w:right w:val="none" w:sz="0" w:space="0" w:color="auto"/>
      </w:divBdr>
    </w:div>
    <w:div w:id="1204320894">
      <w:bodyDiv w:val="1"/>
      <w:marLeft w:val="0"/>
      <w:marRight w:val="0"/>
      <w:marTop w:val="0"/>
      <w:marBottom w:val="0"/>
      <w:divBdr>
        <w:top w:val="none" w:sz="0" w:space="0" w:color="auto"/>
        <w:left w:val="none" w:sz="0" w:space="0" w:color="auto"/>
        <w:bottom w:val="none" w:sz="0" w:space="0" w:color="auto"/>
        <w:right w:val="none" w:sz="0" w:space="0" w:color="auto"/>
      </w:divBdr>
    </w:div>
    <w:div w:id="1256091453">
      <w:bodyDiv w:val="1"/>
      <w:marLeft w:val="0"/>
      <w:marRight w:val="0"/>
      <w:marTop w:val="0"/>
      <w:marBottom w:val="0"/>
      <w:divBdr>
        <w:top w:val="none" w:sz="0" w:space="0" w:color="auto"/>
        <w:left w:val="none" w:sz="0" w:space="0" w:color="auto"/>
        <w:bottom w:val="none" w:sz="0" w:space="0" w:color="auto"/>
        <w:right w:val="none" w:sz="0" w:space="0" w:color="auto"/>
      </w:divBdr>
    </w:div>
    <w:div w:id="1370185119">
      <w:bodyDiv w:val="1"/>
      <w:marLeft w:val="0"/>
      <w:marRight w:val="0"/>
      <w:marTop w:val="0"/>
      <w:marBottom w:val="0"/>
      <w:divBdr>
        <w:top w:val="none" w:sz="0" w:space="0" w:color="auto"/>
        <w:left w:val="none" w:sz="0" w:space="0" w:color="auto"/>
        <w:bottom w:val="none" w:sz="0" w:space="0" w:color="auto"/>
        <w:right w:val="none" w:sz="0" w:space="0" w:color="auto"/>
      </w:divBdr>
    </w:div>
    <w:div w:id="1611932229">
      <w:bodyDiv w:val="1"/>
      <w:marLeft w:val="0"/>
      <w:marRight w:val="0"/>
      <w:marTop w:val="0"/>
      <w:marBottom w:val="0"/>
      <w:divBdr>
        <w:top w:val="none" w:sz="0" w:space="0" w:color="auto"/>
        <w:left w:val="none" w:sz="0" w:space="0" w:color="auto"/>
        <w:bottom w:val="none" w:sz="0" w:space="0" w:color="auto"/>
        <w:right w:val="none" w:sz="0" w:space="0" w:color="auto"/>
      </w:divBdr>
    </w:div>
    <w:div w:id="1619022814">
      <w:bodyDiv w:val="1"/>
      <w:marLeft w:val="0"/>
      <w:marRight w:val="0"/>
      <w:marTop w:val="0"/>
      <w:marBottom w:val="0"/>
      <w:divBdr>
        <w:top w:val="none" w:sz="0" w:space="0" w:color="auto"/>
        <w:left w:val="none" w:sz="0" w:space="0" w:color="auto"/>
        <w:bottom w:val="none" w:sz="0" w:space="0" w:color="auto"/>
        <w:right w:val="none" w:sz="0" w:space="0" w:color="auto"/>
      </w:divBdr>
    </w:div>
    <w:div w:id="1711492593">
      <w:bodyDiv w:val="1"/>
      <w:marLeft w:val="0"/>
      <w:marRight w:val="0"/>
      <w:marTop w:val="0"/>
      <w:marBottom w:val="0"/>
      <w:divBdr>
        <w:top w:val="none" w:sz="0" w:space="0" w:color="auto"/>
        <w:left w:val="none" w:sz="0" w:space="0" w:color="auto"/>
        <w:bottom w:val="none" w:sz="0" w:space="0" w:color="auto"/>
        <w:right w:val="none" w:sz="0" w:space="0" w:color="auto"/>
      </w:divBdr>
    </w:div>
    <w:div w:id="1804038033">
      <w:bodyDiv w:val="1"/>
      <w:marLeft w:val="0"/>
      <w:marRight w:val="0"/>
      <w:marTop w:val="0"/>
      <w:marBottom w:val="0"/>
      <w:divBdr>
        <w:top w:val="none" w:sz="0" w:space="0" w:color="auto"/>
        <w:left w:val="none" w:sz="0" w:space="0" w:color="auto"/>
        <w:bottom w:val="none" w:sz="0" w:space="0" w:color="auto"/>
        <w:right w:val="none" w:sz="0" w:space="0" w:color="auto"/>
      </w:divBdr>
    </w:div>
    <w:div w:id="1850562624">
      <w:bodyDiv w:val="1"/>
      <w:marLeft w:val="0"/>
      <w:marRight w:val="0"/>
      <w:marTop w:val="0"/>
      <w:marBottom w:val="0"/>
      <w:divBdr>
        <w:top w:val="none" w:sz="0" w:space="0" w:color="auto"/>
        <w:left w:val="none" w:sz="0" w:space="0" w:color="auto"/>
        <w:bottom w:val="none" w:sz="0" w:space="0" w:color="auto"/>
        <w:right w:val="none" w:sz="0" w:space="0" w:color="auto"/>
      </w:divBdr>
    </w:div>
    <w:div w:id="1925217368">
      <w:bodyDiv w:val="1"/>
      <w:marLeft w:val="0"/>
      <w:marRight w:val="0"/>
      <w:marTop w:val="0"/>
      <w:marBottom w:val="0"/>
      <w:divBdr>
        <w:top w:val="none" w:sz="0" w:space="0" w:color="auto"/>
        <w:left w:val="none" w:sz="0" w:space="0" w:color="auto"/>
        <w:bottom w:val="none" w:sz="0" w:space="0" w:color="auto"/>
        <w:right w:val="none" w:sz="0" w:space="0" w:color="auto"/>
      </w:divBdr>
    </w:div>
    <w:div w:id="2065710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13</Pages>
  <Words>3523</Words>
  <Characters>20083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Editor-22</cp:lastModifiedBy>
  <cp:revision>23</cp:revision>
  <dcterms:created xsi:type="dcterms:W3CDTF">2025-04-12T10:56:00Z</dcterms:created>
  <dcterms:modified xsi:type="dcterms:W3CDTF">2025-04-30T10:01:00Z</dcterms:modified>
</cp:coreProperties>
</file>