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4A2820" w14:textId="1BDCF1FC" w:rsidR="00754C9A" w:rsidRDefault="00AF022E" w:rsidP="00441B6F">
      <w:pPr>
        <w:pStyle w:val="Title"/>
        <w:spacing w:after="0"/>
        <w:jc w:val="both"/>
        <w:rPr>
          <w:rFonts w:ascii="Arial" w:hAnsi="Arial" w:cs="Arial"/>
        </w:rPr>
      </w:pPr>
      <w:r w:rsidRPr="00AF022E">
        <w:rPr>
          <w:rFonts w:ascii="Arial" w:hAnsi="Arial" w:cs="Arial"/>
        </w:rPr>
        <w:t>Original Research Article</w:t>
      </w:r>
    </w:p>
    <w:p w14:paraId="5041D408" w14:textId="77777777" w:rsidR="00AF022E" w:rsidRDefault="00AF022E" w:rsidP="00441B6F">
      <w:pPr>
        <w:pStyle w:val="Title"/>
        <w:spacing w:after="0"/>
        <w:jc w:val="both"/>
        <w:rPr>
          <w:rFonts w:ascii="Arial" w:hAnsi="Arial" w:cs="Arial"/>
        </w:rPr>
      </w:pPr>
    </w:p>
    <w:p w14:paraId="69B08377" w14:textId="13312499" w:rsidR="00A258C3" w:rsidRPr="00790ADA" w:rsidRDefault="009838FB" w:rsidP="00441B6F">
      <w:pPr>
        <w:pStyle w:val="Author"/>
        <w:spacing w:line="240" w:lineRule="auto"/>
        <w:jc w:val="both"/>
        <w:rPr>
          <w:rFonts w:ascii="Arial" w:hAnsi="Arial" w:cs="Arial"/>
          <w:sz w:val="36"/>
        </w:rPr>
      </w:pPr>
      <w:r w:rsidRPr="009838FB">
        <w:rPr>
          <w:rFonts w:ascii="Arial" w:hAnsi="Arial" w:cs="Arial"/>
          <w:bCs/>
          <w:iCs/>
          <w:kern w:val="28"/>
          <w:sz w:val="36"/>
        </w:rPr>
        <w:t>Examining the Effects of Perceived Mate Availability on Intrasexual Competitiveness and Alcohol Consumption: Hidden Effects of Gender and Relationship Status</w:t>
      </w:r>
    </w:p>
    <w:p w14:paraId="0181BF30" w14:textId="4CD28828" w:rsidR="00790ADA" w:rsidRDefault="00790ADA" w:rsidP="00441B6F">
      <w:pPr>
        <w:pStyle w:val="Affiliation"/>
        <w:spacing w:after="0" w:line="240" w:lineRule="auto"/>
        <w:jc w:val="both"/>
        <w:rPr>
          <w:rFonts w:ascii="Arial" w:hAnsi="Arial" w:cs="Arial"/>
          <w:lang w:val="en-GB"/>
        </w:rPr>
      </w:pPr>
    </w:p>
    <w:p w14:paraId="43BE5520" w14:textId="77777777" w:rsidR="006431FE" w:rsidRPr="005E6372" w:rsidRDefault="006431FE" w:rsidP="00441B6F">
      <w:pPr>
        <w:pStyle w:val="Affiliation"/>
        <w:spacing w:after="0" w:line="240" w:lineRule="auto"/>
        <w:jc w:val="both"/>
        <w:rPr>
          <w:rFonts w:ascii="Arial" w:hAnsi="Arial" w:cs="Arial"/>
          <w:lang w:val="en-GB"/>
        </w:rPr>
      </w:pPr>
    </w:p>
    <w:p w14:paraId="699053C0" w14:textId="77777777" w:rsidR="002C57D2" w:rsidRPr="00FB3A86" w:rsidRDefault="002C57D2" w:rsidP="00441B6F">
      <w:pPr>
        <w:pStyle w:val="Affiliation"/>
        <w:spacing w:after="0" w:line="240" w:lineRule="auto"/>
        <w:jc w:val="both"/>
        <w:rPr>
          <w:rFonts w:ascii="Arial" w:hAnsi="Arial" w:cs="Arial"/>
        </w:rPr>
      </w:pPr>
    </w:p>
    <w:p w14:paraId="60E9D93F" w14:textId="54D0D97D" w:rsidR="00B01FCD" w:rsidRPr="00FB3A86" w:rsidRDefault="00B1027D" w:rsidP="00441B6F">
      <w:pPr>
        <w:pStyle w:val="Copyright"/>
        <w:spacing w:after="0" w:line="240" w:lineRule="auto"/>
        <w:jc w:val="both"/>
        <w:rPr>
          <w:rFonts w:ascii="Arial" w:hAnsi="Arial" w:cs="Arial"/>
        </w:rPr>
        <w:sectPr w:rsidR="00B01FCD" w:rsidRPr="00FB3A86" w:rsidSect="006431F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DA7C594" wp14:editId="509DE7C2">
                <wp:extent cx="5303520" cy="0"/>
                <wp:effectExtent l="9525" t="9525" r="11430" b="9525"/>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C5BFF93"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CBSTlb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14:paraId="06402BCB" w14:textId="7ED0D429"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6DCBF6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04FD5779" w14:textId="77777777" w:rsidTr="001E44FE">
        <w:tc>
          <w:tcPr>
            <w:tcW w:w="9576" w:type="dxa"/>
            <w:shd w:val="clear" w:color="auto" w:fill="F2F2F2"/>
          </w:tcPr>
          <w:p w14:paraId="291A3DB9" w14:textId="537BE21A" w:rsidR="005E6372" w:rsidRPr="005E6372" w:rsidRDefault="005E6372" w:rsidP="005E6372">
            <w:pPr>
              <w:pStyle w:val="Body"/>
              <w:spacing w:after="0"/>
              <w:rPr>
                <w:rFonts w:ascii="Arial" w:eastAsia="Calibri" w:hAnsi="Arial" w:cs="Arial"/>
                <w:szCs w:val="22"/>
                <w:lang w:val="en-GB"/>
              </w:rPr>
            </w:pPr>
            <w:r w:rsidRPr="005E6372">
              <w:rPr>
                <w:rFonts w:ascii="Arial" w:eastAsia="Calibri" w:hAnsi="Arial" w:cs="Arial"/>
                <w:b/>
                <w:bCs/>
                <w:szCs w:val="22"/>
                <w:lang w:val="en-GB"/>
              </w:rPr>
              <w:t>Aims:</w:t>
            </w:r>
            <w:r>
              <w:rPr>
                <w:rFonts w:ascii="Arial" w:eastAsia="Calibri" w:hAnsi="Arial" w:cs="Arial"/>
                <w:b/>
                <w:bCs/>
                <w:szCs w:val="22"/>
                <w:lang w:val="en-GB"/>
              </w:rPr>
              <w:t xml:space="preserve"> </w:t>
            </w:r>
            <w:r w:rsidRPr="005E6372">
              <w:rPr>
                <w:rFonts w:ascii="Arial" w:eastAsia="Calibri" w:hAnsi="Arial" w:cs="Arial"/>
                <w:szCs w:val="22"/>
                <w:lang w:val="en-GB"/>
              </w:rPr>
              <w:t>To</w:t>
            </w:r>
            <w:r>
              <w:rPr>
                <w:rFonts w:ascii="Arial" w:eastAsia="Calibri" w:hAnsi="Arial" w:cs="Arial"/>
                <w:szCs w:val="22"/>
                <w:lang w:val="en-GB"/>
              </w:rPr>
              <w:t xml:space="preserve"> </w:t>
            </w:r>
            <w:r w:rsidRPr="005E6372">
              <w:rPr>
                <w:rFonts w:ascii="Arial" w:eastAsia="Calibri" w:hAnsi="Arial" w:cs="Arial"/>
                <w:szCs w:val="22"/>
                <w:lang w:val="en-GB"/>
              </w:rPr>
              <w:t>investigate whether perceived mate availability influences intrasexual competitiveness and hypothetical alcohol consumption, and to examine the moderating role of gender and relationship status.</w:t>
            </w:r>
          </w:p>
          <w:p w14:paraId="6EBEA4AA" w14:textId="77777777" w:rsidR="005E6372" w:rsidRPr="005E6372" w:rsidRDefault="005E6372" w:rsidP="005E6372">
            <w:pPr>
              <w:pStyle w:val="Body"/>
              <w:spacing w:after="0"/>
              <w:rPr>
                <w:rFonts w:ascii="Arial" w:eastAsia="Calibri" w:hAnsi="Arial" w:cs="Arial"/>
                <w:szCs w:val="22"/>
                <w:lang w:val="en-GB"/>
              </w:rPr>
            </w:pPr>
            <w:r w:rsidRPr="005E6372">
              <w:rPr>
                <w:rFonts w:ascii="Arial" w:eastAsia="Calibri" w:hAnsi="Arial" w:cs="Arial"/>
                <w:b/>
                <w:bCs/>
                <w:szCs w:val="22"/>
                <w:lang w:val="en-GB"/>
              </w:rPr>
              <w:t>Study Design:</w:t>
            </w:r>
            <w:r w:rsidRPr="005E6372">
              <w:rPr>
                <w:rFonts w:ascii="Arial" w:eastAsia="Calibri" w:hAnsi="Arial" w:cs="Arial"/>
                <w:szCs w:val="22"/>
                <w:lang w:val="en-GB"/>
              </w:rPr>
              <w:t xml:space="preserve"> Between-subjects, single-blind experimental design.</w:t>
            </w:r>
          </w:p>
          <w:p w14:paraId="22C01262" w14:textId="77777777" w:rsidR="005E6372" w:rsidRPr="005E6372" w:rsidRDefault="005E6372" w:rsidP="005E6372">
            <w:pPr>
              <w:pStyle w:val="Body"/>
              <w:spacing w:after="0"/>
              <w:rPr>
                <w:rFonts w:ascii="Arial" w:eastAsia="Calibri" w:hAnsi="Arial" w:cs="Arial"/>
                <w:szCs w:val="22"/>
                <w:lang w:val="en-GB"/>
              </w:rPr>
            </w:pPr>
            <w:r w:rsidRPr="005E6372">
              <w:rPr>
                <w:rFonts w:ascii="Arial" w:eastAsia="Calibri" w:hAnsi="Arial" w:cs="Arial"/>
                <w:b/>
                <w:bCs/>
                <w:szCs w:val="22"/>
                <w:lang w:val="en-GB"/>
              </w:rPr>
              <w:t>Place and Duration of Study:</w:t>
            </w:r>
            <w:r w:rsidRPr="005E6372">
              <w:rPr>
                <w:rFonts w:ascii="Arial" w:eastAsia="Calibri" w:hAnsi="Arial" w:cs="Arial"/>
                <w:szCs w:val="22"/>
                <w:lang w:val="en-GB"/>
              </w:rPr>
              <w:t xml:space="preserve"> School of Psychology, University of Portsmouth, between March and June 2024.</w:t>
            </w:r>
          </w:p>
          <w:p w14:paraId="3D8E008F" w14:textId="77777777" w:rsidR="005E6372" w:rsidRPr="005E6372" w:rsidRDefault="005E6372" w:rsidP="005E6372">
            <w:pPr>
              <w:pStyle w:val="Body"/>
              <w:spacing w:after="0"/>
              <w:rPr>
                <w:rFonts w:ascii="Arial" w:eastAsia="Calibri" w:hAnsi="Arial" w:cs="Arial"/>
                <w:szCs w:val="22"/>
                <w:lang w:val="en-GB"/>
              </w:rPr>
            </w:pPr>
            <w:r w:rsidRPr="005E6372">
              <w:rPr>
                <w:rFonts w:ascii="Arial" w:eastAsia="Calibri" w:hAnsi="Arial" w:cs="Arial"/>
                <w:b/>
                <w:bCs/>
                <w:szCs w:val="22"/>
                <w:lang w:val="en-GB"/>
              </w:rPr>
              <w:t>Methodology:</w:t>
            </w:r>
            <w:r w:rsidRPr="005E6372">
              <w:rPr>
                <w:rFonts w:ascii="Arial" w:eastAsia="Calibri" w:hAnsi="Arial" w:cs="Arial"/>
                <w:szCs w:val="22"/>
                <w:lang w:val="en-GB"/>
              </w:rPr>
              <w:t xml:space="preserve"> Ninety-two participants (52 females; aged 18–54, M = 26.34, SD = 7.12) were randomly assigned to read priming articles simulating either mate abundance or mate scarcity. Participants completed the Intrasexual Competition Scale (ICS) and an Alcohol Purchase Task (APT). Four dependent variables were generated from the APT: derived Q</w:t>
            </w:r>
            <w:r w:rsidRPr="005E6372">
              <w:rPr>
                <w:rFonts w:ascii="Cambria Math" w:eastAsia="Calibri" w:hAnsi="Cambria Math" w:cs="Cambria Math"/>
                <w:szCs w:val="22"/>
                <w:lang w:val="en-GB"/>
              </w:rPr>
              <w:t>₀</w:t>
            </w:r>
            <w:r w:rsidRPr="005E6372">
              <w:rPr>
                <w:rFonts w:ascii="Arial" w:eastAsia="Calibri" w:hAnsi="Arial" w:cs="Arial"/>
                <w:szCs w:val="22"/>
                <w:lang w:val="en-GB"/>
              </w:rPr>
              <w:t xml:space="preserve">, derived α, observed intensity, and observed </w:t>
            </w:r>
            <w:proofErr w:type="spellStart"/>
            <w:r w:rsidRPr="005E6372">
              <w:rPr>
                <w:rFonts w:ascii="Arial" w:eastAsia="Calibri" w:hAnsi="Arial" w:cs="Arial"/>
                <w:szCs w:val="22"/>
                <w:lang w:val="en-GB"/>
              </w:rPr>
              <w:t>Omax</w:t>
            </w:r>
            <w:proofErr w:type="spellEnd"/>
            <w:r w:rsidRPr="005E6372">
              <w:rPr>
                <w:rFonts w:ascii="Arial" w:eastAsia="Calibri" w:hAnsi="Arial" w:cs="Arial"/>
                <w:szCs w:val="22"/>
                <w:lang w:val="en-GB"/>
              </w:rPr>
              <w:t>. ANOVAs and MANOVAs were conducted to test the effects of priming condition, gender, and relationship status on these outcomes.</w:t>
            </w:r>
          </w:p>
          <w:p w14:paraId="0BB84851" w14:textId="77777777" w:rsidR="005E6372" w:rsidRPr="005E6372" w:rsidRDefault="005E6372" w:rsidP="005E6372">
            <w:pPr>
              <w:pStyle w:val="Body"/>
              <w:spacing w:after="0"/>
              <w:rPr>
                <w:rFonts w:ascii="Arial" w:eastAsia="Calibri" w:hAnsi="Arial" w:cs="Arial"/>
                <w:szCs w:val="22"/>
                <w:lang w:val="en-GB"/>
              </w:rPr>
            </w:pPr>
            <w:r w:rsidRPr="005E6372">
              <w:rPr>
                <w:rFonts w:ascii="Arial" w:eastAsia="Calibri" w:hAnsi="Arial" w:cs="Arial"/>
                <w:b/>
                <w:bCs/>
                <w:szCs w:val="22"/>
                <w:lang w:val="en-GB"/>
              </w:rPr>
              <w:t>Results:</w:t>
            </w:r>
            <w:r w:rsidRPr="005E6372">
              <w:rPr>
                <w:rFonts w:ascii="Arial" w:eastAsia="Calibri" w:hAnsi="Arial" w:cs="Arial"/>
                <w:szCs w:val="22"/>
                <w:lang w:val="en-GB"/>
              </w:rPr>
              <w:t xml:space="preserve"> No significant main effect of condition was found on intrasexual competitiveness. However, significant interaction effects emerged, particularly for females in romantic relationships, suggesting that relationship status </w:t>
            </w:r>
            <w:proofErr w:type="gramStart"/>
            <w:r w:rsidRPr="005E6372">
              <w:rPr>
                <w:rFonts w:ascii="Arial" w:eastAsia="Calibri" w:hAnsi="Arial" w:cs="Arial"/>
                <w:szCs w:val="22"/>
                <w:lang w:val="en-GB"/>
              </w:rPr>
              <w:t>moderates</w:t>
            </w:r>
            <w:proofErr w:type="gramEnd"/>
            <w:r w:rsidRPr="005E6372">
              <w:rPr>
                <w:rFonts w:ascii="Arial" w:eastAsia="Calibri" w:hAnsi="Arial" w:cs="Arial"/>
                <w:szCs w:val="22"/>
                <w:lang w:val="en-GB"/>
              </w:rPr>
              <w:t xml:space="preserve"> sensitivity to mate availability cues. For alcohol consumption, mate scarcity increased hypothetical demand (Q</w:t>
            </w:r>
            <w:r w:rsidRPr="005E6372">
              <w:rPr>
                <w:rFonts w:ascii="Cambria Math" w:eastAsia="Calibri" w:hAnsi="Cambria Math" w:cs="Cambria Math"/>
                <w:szCs w:val="22"/>
                <w:lang w:val="en-GB"/>
              </w:rPr>
              <w:t>₀</w:t>
            </w:r>
            <w:r w:rsidRPr="005E6372">
              <w:rPr>
                <w:rFonts w:ascii="Arial" w:eastAsia="Calibri" w:hAnsi="Arial" w:cs="Arial"/>
                <w:szCs w:val="22"/>
                <w:lang w:val="en-GB"/>
              </w:rPr>
              <w:t xml:space="preserve">) and </w:t>
            </w:r>
            <w:proofErr w:type="gramStart"/>
            <w:r w:rsidRPr="005E6372">
              <w:rPr>
                <w:rFonts w:ascii="Arial" w:eastAsia="Calibri" w:hAnsi="Arial" w:cs="Arial"/>
                <w:szCs w:val="22"/>
                <w:lang w:val="en-GB"/>
              </w:rPr>
              <w:t>reduced price</w:t>
            </w:r>
            <w:proofErr w:type="gramEnd"/>
            <w:r w:rsidRPr="005E6372">
              <w:rPr>
                <w:rFonts w:ascii="Arial" w:eastAsia="Calibri" w:hAnsi="Arial" w:cs="Arial"/>
                <w:szCs w:val="22"/>
                <w:lang w:val="en-GB"/>
              </w:rPr>
              <w:t xml:space="preserve"> sensitivity (α), particularly among males in relationships. No significant effects were found for observed intensity or </w:t>
            </w:r>
            <w:proofErr w:type="spellStart"/>
            <w:r w:rsidRPr="005E6372">
              <w:rPr>
                <w:rFonts w:ascii="Arial" w:eastAsia="Calibri" w:hAnsi="Arial" w:cs="Arial"/>
                <w:szCs w:val="22"/>
                <w:lang w:val="en-GB"/>
              </w:rPr>
              <w:t>Omax</w:t>
            </w:r>
            <w:proofErr w:type="spellEnd"/>
            <w:r w:rsidRPr="005E6372">
              <w:rPr>
                <w:rFonts w:ascii="Arial" w:eastAsia="Calibri" w:hAnsi="Arial" w:cs="Arial"/>
                <w:szCs w:val="22"/>
                <w:lang w:val="en-GB"/>
              </w:rPr>
              <w:t xml:space="preserve"> overall, but significant interactions with gender and relationship status were present.</w:t>
            </w:r>
          </w:p>
          <w:p w14:paraId="75CAED45" w14:textId="21BDFFD9" w:rsidR="00505F06" w:rsidRPr="009838FB" w:rsidRDefault="005E6372" w:rsidP="00441B6F">
            <w:pPr>
              <w:pStyle w:val="Body"/>
              <w:spacing w:after="0"/>
              <w:rPr>
                <w:rFonts w:ascii="Arial" w:eastAsia="Calibri" w:hAnsi="Arial" w:cs="Arial"/>
                <w:szCs w:val="22"/>
                <w:lang w:val="en-GB"/>
              </w:rPr>
            </w:pPr>
            <w:r w:rsidRPr="005E6372">
              <w:rPr>
                <w:rFonts w:ascii="Arial" w:eastAsia="Calibri" w:hAnsi="Arial" w:cs="Arial"/>
                <w:b/>
                <w:bCs/>
                <w:szCs w:val="22"/>
                <w:lang w:val="en-GB"/>
              </w:rPr>
              <w:t>Conclusion:</w:t>
            </w:r>
            <w:r w:rsidRPr="005E6372">
              <w:rPr>
                <w:rFonts w:ascii="Arial" w:eastAsia="Calibri" w:hAnsi="Arial" w:cs="Arial"/>
                <w:szCs w:val="22"/>
                <w:lang w:val="en-GB"/>
              </w:rPr>
              <w:t xml:space="preserve"> Mate availability cues influence hypothetical alcohol consumption, particularly among partnered males, supporting evolutionary models of risk-taking and mate signalling. The null effect on ICS underscores the need for improved manipulation checks and more sensitive measures of competitiveness. Cultural factors and socioeconomic variables should be considered in future studies to enhance generalisability.</w:t>
            </w:r>
          </w:p>
        </w:tc>
      </w:tr>
    </w:tbl>
    <w:p w14:paraId="06117AA0" w14:textId="77777777" w:rsidR="00636EB2" w:rsidRDefault="00636EB2" w:rsidP="00441B6F">
      <w:pPr>
        <w:pStyle w:val="Body"/>
        <w:spacing w:after="0"/>
        <w:rPr>
          <w:rFonts w:ascii="Arial" w:hAnsi="Arial" w:cs="Arial"/>
          <w:i/>
        </w:rPr>
      </w:pPr>
    </w:p>
    <w:p w14:paraId="679A1268" w14:textId="18FFB5FB" w:rsidR="00A24E7E" w:rsidRDefault="00A24E7E" w:rsidP="00441B6F">
      <w:pPr>
        <w:pStyle w:val="Body"/>
        <w:spacing w:after="0"/>
        <w:rPr>
          <w:rFonts w:ascii="Arial" w:hAnsi="Arial" w:cs="Arial"/>
          <w:i/>
        </w:rPr>
      </w:pPr>
      <w:r>
        <w:rPr>
          <w:rFonts w:ascii="Arial" w:hAnsi="Arial" w:cs="Arial"/>
          <w:i/>
        </w:rPr>
        <w:t xml:space="preserve">Keywords: </w:t>
      </w:r>
      <w:r w:rsidR="009838FB" w:rsidRPr="009838FB">
        <w:rPr>
          <w:rFonts w:ascii="Arial" w:hAnsi="Arial" w:cs="Arial"/>
          <w:i/>
        </w:rPr>
        <w:t xml:space="preserve">Mate availability, Intrasexual competition, Alcohol consumption, Alcohol purchase task, Relationship </w:t>
      </w:r>
      <w:r w:rsidR="005E6372">
        <w:rPr>
          <w:rFonts w:ascii="Arial" w:hAnsi="Arial" w:cs="Arial"/>
          <w:i/>
        </w:rPr>
        <w:t>s</w:t>
      </w:r>
      <w:r w:rsidR="009838FB" w:rsidRPr="009838FB">
        <w:rPr>
          <w:rFonts w:ascii="Arial" w:hAnsi="Arial" w:cs="Arial"/>
          <w:i/>
        </w:rPr>
        <w:t>tatus, Evolutionary theory</w:t>
      </w:r>
    </w:p>
    <w:p w14:paraId="19E4850E" w14:textId="77777777" w:rsidR="00505F06" w:rsidRPr="00A24E7E" w:rsidRDefault="00505F06" w:rsidP="00441B6F">
      <w:pPr>
        <w:pStyle w:val="Body"/>
        <w:spacing w:after="0"/>
        <w:rPr>
          <w:rFonts w:ascii="Arial" w:hAnsi="Arial" w:cs="Arial"/>
          <w:i/>
        </w:rPr>
      </w:pPr>
    </w:p>
    <w:p w14:paraId="51D247F4" w14:textId="77777777" w:rsidR="005F3203" w:rsidRDefault="005F3203" w:rsidP="00441B6F">
      <w:pPr>
        <w:pStyle w:val="AbstHead"/>
        <w:spacing w:after="0"/>
        <w:jc w:val="both"/>
        <w:rPr>
          <w:rFonts w:ascii="Arial" w:hAnsi="Arial" w:cs="Arial"/>
        </w:rPr>
      </w:pPr>
    </w:p>
    <w:p w14:paraId="7FE8857D" w14:textId="13A2D52B" w:rsidR="005F3203" w:rsidRPr="005F3203" w:rsidRDefault="00902823" w:rsidP="005F3203">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B570408" w14:textId="77777777" w:rsidR="005F3203" w:rsidRDefault="005F3203" w:rsidP="00B16587">
      <w:pPr>
        <w:pStyle w:val="Body"/>
        <w:rPr>
          <w:rFonts w:ascii="Arial" w:hAnsi="Arial" w:cs="Arial"/>
          <w:lang w:val="en-GB"/>
        </w:rPr>
      </w:pPr>
    </w:p>
    <w:p w14:paraId="088498F2" w14:textId="77777777" w:rsidR="005E6372" w:rsidRPr="005E6372" w:rsidRDefault="005E6372" w:rsidP="005E6372">
      <w:pPr>
        <w:pStyle w:val="Body"/>
        <w:spacing w:after="0"/>
        <w:rPr>
          <w:rFonts w:ascii="Arial" w:hAnsi="Arial" w:cs="Arial"/>
          <w:lang w:val="en-GB"/>
        </w:rPr>
      </w:pPr>
      <w:r w:rsidRPr="005E6372">
        <w:rPr>
          <w:rFonts w:ascii="Arial" w:hAnsi="Arial" w:cs="Arial"/>
          <w:lang w:val="en-GB"/>
        </w:rPr>
        <w:t>Alcohol is one of the most widely consumed recreational substances worldwide, second only to caffeine (</w:t>
      </w:r>
      <w:proofErr w:type="spellStart"/>
      <w:r w:rsidRPr="005E6372">
        <w:rPr>
          <w:rFonts w:ascii="Arial" w:hAnsi="Arial" w:cs="Arial"/>
          <w:lang w:val="en-GB"/>
        </w:rPr>
        <w:t>Rajendram</w:t>
      </w:r>
      <w:proofErr w:type="spellEnd"/>
      <w:r w:rsidRPr="005E6372">
        <w:rPr>
          <w:rFonts w:ascii="Arial" w:hAnsi="Arial" w:cs="Arial"/>
          <w:lang w:val="en-GB"/>
        </w:rPr>
        <w:t xml:space="preserve"> et al., 2006). In Europe, per capita consumption is among the highest globally, averaging more than three bottles of wine per week (WHO, 2019). Excessive </w:t>
      </w:r>
      <w:r w:rsidRPr="005E6372">
        <w:rPr>
          <w:rFonts w:ascii="Arial" w:hAnsi="Arial" w:cs="Arial"/>
          <w:lang w:val="en-GB"/>
        </w:rPr>
        <w:lastRenderedPageBreak/>
        <w:t xml:space="preserve">alcohol use is a leading contributor to premature mortality, accounting for approximately 6.5% of all deaths in the European region (Rehm et al., 2009). Beyond mortality, alcohol misuse is associated with a wide range of health problems, including liver cirrhosis, pancreatitis, cancer, diabetes, and neurological and psychiatric disorders such as depression and suicide (Grønbæk, 2009; Rehm et al., 2003; Brady, 2006; </w:t>
      </w:r>
      <w:proofErr w:type="spellStart"/>
      <w:r w:rsidRPr="005E6372">
        <w:rPr>
          <w:rFonts w:ascii="Arial" w:hAnsi="Arial" w:cs="Arial"/>
          <w:lang w:val="en-GB"/>
        </w:rPr>
        <w:t>Norström</w:t>
      </w:r>
      <w:proofErr w:type="spellEnd"/>
      <w:r w:rsidRPr="005E6372">
        <w:rPr>
          <w:rFonts w:ascii="Arial" w:hAnsi="Arial" w:cs="Arial"/>
          <w:lang w:val="en-GB"/>
        </w:rPr>
        <w:t xml:space="preserve"> &amp; </w:t>
      </w:r>
      <w:proofErr w:type="spellStart"/>
      <w:r w:rsidRPr="005E6372">
        <w:rPr>
          <w:rFonts w:ascii="Arial" w:hAnsi="Arial" w:cs="Arial"/>
          <w:lang w:val="en-GB"/>
        </w:rPr>
        <w:t>Ramstedt</w:t>
      </w:r>
      <w:proofErr w:type="spellEnd"/>
      <w:r w:rsidRPr="005E6372">
        <w:rPr>
          <w:rFonts w:ascii="Arial" w:hAnsi="Arial" w:cs="Arial"/>
          <w:lang w:val="en-GB"/>
        </w:rPr>
        <w:t xml:space="preserve">, 2005). Social consequences are also significant, ranging from violence and vandalism to family conflict and financial instability (Klingemann &amp; </w:t>
      </w:r>
      <w:proofErr w:type="spellStart"/>
      <w:r w:rsidRPr="005E6372">
        <w:rPr>
          <w:rFonts w:ascii="Arial" w:hAnsi="Arial" w:cs="Arial"/>
          <w:lang w:val="en-GB"/>
        </w:rPr>
        <w:t>Gmel</w:t>
      </w:r>
      <w:proofErr w:type="spellEnd"/>
      <w:r w:rsidRPr="005E6372">
        <w:rPr>
          <w:rFonts w:ascii="Arial" w:hAnsi="Arial" w:cs="Arial"/>
          <w:lang w:val="en-GB"/>
        </w:rPr>
        <w:t xml:space="preserve">, 2001; </w:t>
      </w:r>
      <w:proofErr w:type="spellStart"/>
      <w:r w:rsidRPr="005E6372">
        <w:rPr>
          <w:rFonts w:ascii="Arial" w:hAnsi="Arial" w:cs="Arial"/>
          <w:lang w:val="en-GB"/>
        </w:rPr>
        <w:t>Meloni</w:t>
      </w:r>
      <w:proofErr w:type="spellEnd"/>
      <w:r w:rsidRPr="005E6372">
        <w:rPr>
          <w:rFonts w:ascii="Arial" w:hAnsi="Arial" w:cs="Arial"/>
          <w:lang w:val="en-GB"/>
        </w:rPr>
        <w:t xml:space="preserve"> &amp; Laranjeira, 2004).</w:t>
      </w:r>
    </w:p>
    <w:p w14:paraId="091599A3" w14:textId="77777777" w:rsidR="00C077E3" w:rsidRDefault="00C077E3" w:rsidP="005E6372">
      <w:pPr>
        <w:pStyle w:val="Body"/>
        <w:spacing w:after="0"/>
        <w:rPr>
          <w:rFonts w:ascii="Arial" w:hAnsi="Arial" w:cs="Arial"/>
          <w:lang w:val="en-GB"/>
        </w:rPr>
      </w:pPr>
    </w:p>
    <w:p w14:paraId="61EC36CE" w14:textId="4E680F09" w:rsidR="005E6372" w:rsidRDefault="005E6372" w:rsidP="005E6372">
      <w:pPr>
        <w:pStyle w:val="Body"/>
        <w:spacing w:after="0"/>
        <w:rPr>
          <w:rFonts w:ascii="Arial" w:hAnsi="Arial" w:cs="Arial"/>
          <w:lang w:val="en-GB"/>
        </w:rPr>
      </w:pPr>
      <w:r w:rsidRPr="005E6372">
        <w:rPr>
          <w:rFonts w:ascii="Arial" w:hAnsi="Arial" w:cs="Arial"/>
          <w:lang w:val="en-GB"/>
        </w:rPr>
        <w:t>While the physical and social consequences of alcohol misuse are well documented, the motivational factors underlying alcohol use remain incompletely understood. One influential framework is the motivational model by Cox and Klinger (1988, 1990), which posits that drinking is driven by two orthogonal dimensions: valence (positive vs. negative reinforcement) and source (internal vs. external motivation). This yields four primary motives for alcohol use (Cooper, 1994). Closely related is expectancy theory, which assumes that individuals hold beliefs about the anticipated outcomes of alcohol consumption, influencing their drinking behaviour (Stacy et al., 1990). However, empirical findings related to expectancies are mixed, with inconsistent support for both positive and negative expectancy effects (Jones et al., 2001).</w:t>
      </w:r>
    </w:p>
    <w:p w14:paraId="467BD1B6" w14:textId="77777777" w:rsidR="00C077E3" w:rsidRPr="005E6372" w:rsidRDefault="00C077E3" w:rsidP="005E6372">
      <w:pPr>
        <w:pStyle w:val="Body"/>
        <w:spacing w:after="0"/>
        <w:rPr>
          <w:rFonts w:ascii="Arial" w:hAnsi="Arial" w:cs="Arial"/>
          <w:lang w:val="en-GB"/>
        </w:rPr>
      </w:pPr>
    </w:p>
    <w:p w14:paraId="3DFF7432" w14:textId="7B2ECB3C" w:rsidR="005E6372" w:rsidRDefault="005E6372" w:rsidP="005E6372">
      <w:pPr>
        <w:pStyle w:val="Body"/>
        <w:spacing w:after="0"/>
        <w:rPr>
          <w:rFonts w:ascii="Arial" w:hAnsi="Arial" w:cs="Arial"/>
          <w:lang w:val="en-GB"/>
        </w:rPr>
      </w:pPr>
      <w:r w:rsidRPr="005E6372">
        <w:rPr>
          <w:rFonts w:ascii="Arial" w:hAnsi="Arial" w:cs="Arial"/>
          <w:lang w:val="en-GB"/>
        </w:rPr>
        <w:t>Moreover, there is growing recognition that some determinants of alcohol consumption may be implicit and not accessible through introspection (Cox &amp; Klinger, 2004). These insights have prompted interest in alternative theoretical frameworks, including evolutionary psychology, which posits that behaviours</w:t>
      </w:r>
      <w:r w:rsidR="00EB527C">
        <w:rPr>
          <w:rFonts w:ascii="Arial" w:hAnsi="Arial" w:cs="Arial"/>
          <w:lang w:val="en-GB"/>
        </w:rPr>
        <w:t xml:space="preserve">, </w:t>
      </w:r>
      <w:r w:rsidRPr="005E6372">
        <w:rPr>
          <w:rFonts w:ascii="Arial" w:hAnsi="Arial" w:cs="Arial"/>
          <w:lang w:val="en-GB"/>
        </w:rPr>
        <w:t>particularly those with fitness-related trade-offs</w:t>
      </w:r>
      <w:r w:rsidR="00EB527C">
        <w:rPr>
          <w:rFonts w:ascii="Arial" w:hAnsi="Arial" w:cs="Arial"/>
          <w:lang w:val="en-GB"/>
        </w:rPr>
        <w:t xml:space="preserve">, </w:t>
      </w:r>
      <w:r w:rsidRPr="005E6372">
        <w:rPr>
          <w:rFonts w:ascii="Arial" w:hAnsi="Arial" w:cs="Arial"/>
          <w:lang w:val="en-GB"/>
        </w:rPr>
        <w:t>may be shaped by reproductive strategies rather than conscious deliberation.</w:t>
      </w:r>
    </w:p>
    <w:p w14:paraId="67138BA0" w14:textId="77777777" w:rsidR="00C077E3" w:rsidRPr="005E6372" w:rsidRDefault="00C077E3" w:rsidP="005E6372">
      <w:pPr>
        <w:pStyle w:val="Body"/>
        <w:spacing w:after="0"/>
        <w:rPr>
          <w:rFonts w:ascii="Arial" w:hAnsi="Arial" w:cs="Arial"/>
          <w:lang w:val="en-GB"/>
        </w:rPr>
      </w:pPr>
    </w:p>
    <w:p w14:paraId="0C198992" w14:textId="77777777" w:rsidR="005E6372" w:rsidRPr="005E6372" w:rsidRDefault="005E6372" w:rsidP="005E6372">
      <w:pPr>
        <w:pStyle w:val="Body"/>
        <w:spacing w:after="0"/>
        <w:rPr>
          <w:rFonts w:ascii="Arial" w:hAnsi="Arial" w:cs="Arial"/>
          <w:lang w:val="en-GB"/>
        </w:rPr>
      </w:pPr>
      <w:r w:rsidRPr="005E6372">
        <w:rPr>
          <w:rFonts w:ascii="Arial" w:hAnsi="Arial" w:cs="Arial"/>
          <w:lang w:val="en-GB"/>
        </w:rPr>
        <w:t xml:space="preserve">According to sexual selection theory (Darwin, 1871; Trivers, 1972), traits that reduce survival can evolve if they enhance reproductive success. This applies especially to males, who, due to lower obligatory parental investment, have evolved traits and behaviours aimed at maximising mating opportunities (Emlen &amp; Oring, 1977). For example, the peacock’s tail is maladaptive for survival but advantageous for mate attraction. In humans, men more often value physical attractiveness in mates, while </w:t>
      </w:r>
      <w:r w:rsidRPr="00142389">
        <w:rPr>
          <w:rFonts w:ascii="Arial" w:hAnsi="Arial" w:cs="Arial"/>
          <w:lang w:val="en-GB"/>
        </w:rPr>
        <w:t>women place greater importance on resource acquisition and stability (Buss &amp; Barnes, 1986). This asymmetry has implications for intrasexual competition: males are more likely to display status or risk-taking behaviours to attract mates, while females often focus on physical appearance (Buss, 1988).</w:t>
      </w:r>
    </w:p>
    <w:p w14:paraId="23E01E47" w14:textId="77777777" w:rsidR="00C077E3" w:rsidRDefault="00C077E3" w:rsidP="005E6372">
      <w:pPr>
        <w:pStyle w:val="Body"/>
        <w:spacing w:after="0"/>
        <w:rPr>
          <w:rFonts w:ascii="Arial" w:hAnsi="Arial" w:cs="Arial"/>
          <w:lang w:val="en-GB"/>
        </w:rPr>
      </w:pPr>
    </w:p>
    <w:p w14:paraId="4ABF4CA0" w14:textId="644AC7CE" w:rsidR="005E6372" w:rsidRPr="005E6372" w:rsidRDefault="005E6372" w:rsidP="005E6372">
      <w:pPr>
        <w:pStyle w:val="Body"/>
        <w:spacing w:after="0"/>
        <w:rPr>
          <w:rFonts w:ascii="Arial" w:hAnsi="Arial" w:cs="Arial"/>
          <w:lang w:val="en-GB"/>
        </w:rPr>
      </w:pPr>
      <w:r w:rsidRPr="005E6372">
        <w:rPr>
          <w:rFonts w:ascii="Arial" w:hAnsi="Arial" w:cs="Arial"/>
          <w:lang w:val="en-GB"/>
        </w:rPr>
        <w:t>Initially, female aggression and competitiveness were thought to be by-products of male aggression due to shared genetics (Wallace, 1891). However, research now shows that intrasexual competition exists in both sexes, especially when access to mates or mate-relevant resources is limited (Rosvall, 2011). Under such conditions, women may also engage in competitive behaviours to secure reproductive opportunities.</w:t>
      </w:r>
    </w:p>
    <w:p w14:paraId="41FFCCD5" w14:textId="77777777" w:rsidR="00C077E3" w:rsidRDefault="00C077E3" w:rsidP="005E6372">
      <w:pPr>
        <w:pStyle w:val="Body"/>
        <w:spacing w:after="0"/>
        <w:rPr>
          <w:rFonts w:ascii="Arial" w:hAnsi="Arial" w:cs="Arial"/>
          <w:lang w:val="en-GB"/>
        </w:rPr>
      </w:pPr>
    </w:p>
    <w:p w14:paraId="27EB84DF" w14:textId="7D124C23" w:rsidR="005E6372" w:rsidRPr="005E6372" w:rsidRDefault="005E6372" w:rsidP="005E6372">
      <w:pPr>
        <w:pStyle w:val="Body"/>
        <w:spacing w:after="0"/>
        <w:rPr>
          <w:rFonts w:ascii="Arial" w:hAnsi="Arial" w:cs="Arial"/>
          <w:lang w:val="en-GB"/>
        </w:rPr>
      </w:pPr>
      <w:proofErr w:type="spellStart"/>
      <w:r w:rsidRPr="005E6372">
        <w:rPr>
          <w:rFonts w:ascii="Arial" w:hAnsi="Arial" w:cs="Arial"/>
          <w:lang w:val="en-GB"/>
        </w:rPr>
        <w:t>Arnocky</w:t>
      </w:r>
      <w:proofErr w:type="spellEnd"/>
      <w:r w:rsidRPr="005E6372">
        <w:rPr>
          <w:rFonts w:ascii="Arial" w:hAnsi="Arial" w:cs="Arial"/>
          <w:lang w:val="en-GB"/>
        </w:rPr>
        <w:t xml:space="preserve"> et al. (2014) demonstrated that perceived mate scarcity increases intrasexual competitiveness in both men and women, regardless of relationship status. Other work has linked intrasexual competition to mate retention behaviours (</w:t>
      </w:r>
      <w:proofErr w:type="spellStart"/>
      <w:r w:rsidRPr="005E6372">
        <w:rPr>
          <w:rFonts w:ascii="Arial" w:hAnsi="Arial" w:cs="Arial"/>
          <w:lang w:val="en-GB"/>
        </w:rPr>
        <w:t>Arnocky</w:t>
      </w:r>
      <w:proofErr w:type="spellEnd"/>
      <w:r w:rsidRPr="005E6372">
        <w:rPr>
          <w:rFonts w:ascii="Arial" w:hAnsi="Arial" w:cs="Arial"/>
          <w:lang w:val="en-GB"/>
        </w:rPr>
        <w:t xml:space="preserve"> et al., 2018). Additionally, individuals are often willing to accept long-term physical or psychological costs to improve short-term mating prospects. For example, intrasexual competition is a stronger predictor of body dissatisfaction and disordered eating than media exposure (Ferguson et al., 2011), and it also predicts anabolic steroid use among male bodybuilders (Harris et al., 2019).</w:t>
      </w:r>
    </w:p>
    <w:p w14:paraId="522B8FDB" w14:textId="77777777" w:rsidR="00C077E3" w:rsidRDefault="00C077E3" w:rsidP="005E6372">
      <w:pPr>
        <w:pStyle w:val="Body"/>
        <w:spacing w:after="0"/>
        <w:rPr>
          <w:rFonts w:ascii="Arial" w:hAnsi="Arial" w:cs="Arial"/>
          <w:lang w:val="en-GB"/>
        </w:rPr>
      </w:pPr>
    </w:p>
    <w:p w14:paraId="11552453" w14:textId="238576CE" w:rsidR="005E6372" w:rsidRDefault="005E6372" w:rsidP="005E6372">
      <w:pPr>
        <w:pStyle w:val="Body"/>
        <w:spacing w:after="0"/>
        <w:rPr>
          <w:rFonts w:ascii="Arial" w:hAnsi="Arial" w:cs="Arial"/>
          <w:lang w:val="en-GB"/>
        </w:rPr>
      </w:pPr>
      <w:r w:rsidRPr="005E6372">
        <w:rPr>
          <w:rFonts w:ascii="Arial" w:hAnsi="Arial" w:cs="Arial"/>
          <w:lang w:val="en-GB"/>
        </w:rPr>
        <w:t xml:space="preserve">Given these findings, alcohol use may also be interpreted within an evolutionary framework. Risk-taking, which includes impulsivity and alcohol consumption, is known to be associated </w:t>
      </w:r>
      <w:r w:rsidRPr="005E6372">
        <w:rPr>
          <w:rFonts w:ascii="Arial" w:hAnsi="Arial" w:cs="Arial"/>
          <w:lang w:val="en-GB"/>
        </w:rPr>
        <w:lastRenderedPageBreak/>
        <w:t>with intrasexual competition (Baker &amp; Maner, 2009). Furthermore, drinking games among university students have been identified as a form of competitive mating display, particularly for men (Hone et al., 2013; Hone &amp; McCullough, 2015). Other research has found correlations between intrasexual competitiveness and hazardous alcohol use (Harris et al., 2019), though causality remains unclear and most studies rely on student samples.</w:t>
      </w:r>
    </w:p>
    <w:p w14:paraId="7B9E5D0F" w14:textId="77777777" w:rsidR="007478DA" w:rsidRPr="005E6372" w:rsidRDefault="007478DA" w:rsidP="005E6372">
      <w:pPr>
        <w:pStyle w:val="Body"/>
        <w:spacing w:after="0"/>
        <w:rPr>
          <w:rFonts w:ascii="Arial" w:hAnsi="Arial" w:cs="Arial"/>
          <w:lang w:val="en-GB"/>
        </w:rPr>
      </w:pPr>
    </w:p>
    <w:p w14:paraId="0A5F384E" w14:textId="715D6DD1" w:rsidR="005E6372" w:rsidRPr="005E6372" w:rsidRDefault="005E6372" w:rsidP="005E6372">
      <w:pPr>
        <w:pStyle w:val="Body"/>
        <w:spacing w:after="0"/>
        <w:rPr>
          <w:rFonts w:ascii="Arial" w:hAnsi="Arial" w:cs="Arial"/>
          <w:lang w:val="en-GB"/>
        </w:rPr>
      </w:pPr>
      <w:r w:rsidRPr="005E6372">
        <w:rPr>
          <w:rFonts w:ascii="Arial" w:hAnsi="Arial" w:cs="Arial"/>
          <w:lang w:val="en-GB"/>
        </w:rPr>
        <w:t>This study addresses these gaps by examining whether perceived mate availability influences intrasexual competitiveness and hypothetical alcohol consumption in a broader, more demographically diverse sample. It also considers the moderating effects of gender and relationship status</w:t>
      </w:r>
      <w:r w:rsidR="007478DA">
        <w:rPr>
          <w:rFonts w:ascii="Arial" w:hAnsi="Arial" w:cs="Arial"/>
          <w:lang w:val="en-GB"/>
        </w:rPr>
        <w:t xml:space="preserve">, </w:t>
      </w:r>
      <w:r w:rsidRPr="005E6372">
        <w:rPr>
          <w:rFonts w:ascii="Arial" w:hAnsi="Arial" w:cs="Arial"/>
          <w:lang w:val="en-GB"/>
        </w:rPr>
        <w:t>two variables frequently implicated in both mating and alcohol use research (Pedersen et al., 2009). Alcohol demand is measured using the Alcohol Purchase Task (Murphy &amp; MacKillop, 2006), which provides behavioural economic indices of consumption and price sensitivity.</w:t>
      </w:r>
    </w:p>
    <w:p w14:paraId="58F8F882" w14:textId="77777777" w:rsidR="007478DA" w:rsidRDefault="007478DA" w:rsidP="005E6372">
      <w:pPr>
        <w:pStyle w:val="Body"/>
        <w:spacing w:after="0"/>
        <w:rPr>
          <w:rFonts w:ascii="Arial" w:hAnsi="Arial" w:cs="Arial"/>
          <w:lang w:val="en-GB"/>
        </w:rPr>
      </w:pPr>
    </w:p>
    <w:p w14:paraId="01FFCC00" w14:textId="7FBB8C0E" w:rsidR="005E6372" w:rsidRPr="005E6372" w:rsidRDefault="005E6372" w:rsidP="005E6372">
      <w:pPr>
        <w:pStyle w:val="Body"/>
        <w:spacing w:after="0"/>
        <w:rPr>
          <w:rFonts w:ascii="Arial" w:hAnsi="Arial" w:cs="Arial"/>
          <w:lang w:val="en-GB"/>
        </w:rPr>
      </w:pPr>
      <w:r w:rsidRPr="005E6372">
        <w:rPr>
          <w:rFonts w:ascii="Arial" w:hAnsi="Arial" w:cs="Arial"/>
          <w:lang w:val="en-GB"/>
        </w:rPr>
        <w:t>The following hypotheses were tested:</w:t>
      </w:r>
      <w:r w:rsidR="00C077E3">
        <w:rPr>
          <w:rFonts w:ascii="Arial" w:hAnsi="Arial" w:cs="Arial"/>
          <w:lang w:val="en-GB"/>
        </w:rPr>
        <w:t xml:space="preserve"> </w:t>
      </w:r>
      <w:r w:rsidRPr="005E6372">
        <w:rPr>
          <w:rFonts w:ascii="Arial" w:hAnsi="Arial" w:cs="Arial"/>
          <w:lang w:val="en-GB"/>
        </w:rPr>
        <w:t>mate scarcity would increase intrasexual competitiveness;</w:t>
      </w:r>
      <w:r w:rsidR="00C077E3">
        <w:rPr>
          <w:rFonts w:ascii="Arial" w:hAnsi="Arial" w:cs="Arial"/>
          <w:lang w:val="en-GB"/>
        </w:rPr>
        <w:t xml:space="preserve"> </w:t>
      </w:r>
      <w:r w:rsidRPr="005E6372">
        <w:rPr>
          <w:rFonts w:ascii="Arial" w:hAnsi="Arial" w:cs="Arial"/>
          <w:lang w:val="en-GB"/>
        </w:rPr>
        <w:t xml:space="preserve">higher intrasexual competitiveness would be associated with increased alcohol consumption and </w:t>
      </w:r>
      <w:proofErr w:type="gramStart"/>
      <w:r w:rsidRPr="005E6372">
        <w:rPr>
          <w:rFonts w:ascii="Arial" w:hAnsi="Arial" w:cs="Arial"/>
          <w:lang w:val="en-GB"/>
        </w:rPr>
        <w:t>reduced price</w:t>
      </w:r>
      <w:proofErr w:type="gramEnd"/>
      <w:r w:rsidRPr="005E6372">
        <w:rPr>
          <w:rFonts w:ascii="Arial" w:hAnsi="Arial" w:cs="Arial"/>
          <w:lang w:val="en-GB"/>
        </w:rPr>
        <w:t xml:space="preserve"> sensitivity; and</w:t>
      </w:r>
      <w:r w:rsidR="00C077E3">
        <w:rPr>
          <w:rFonts w:ascii="Arial" w:hAnsi="Arial" w:cs="Arial"/>
          <w:lang w:val="en-GB"/>
        </w:rPr>
        <w:t xml:space="preserve"> </w:t>
      </w:r>
      <w:r w:rsidRPr="005E6372">
        <w:rPr>
          <w:rFonts w:ascii="Arial" w:hAnsi="Arial" w:cs="Arial"/>
          <w:lang w:val="en-GB"/>
        </w:rPr>
        <w:t>gender and relationship status would moderate these effects.</w:t>
      </w:r>
    </w:p>
    <w:p w14:paraId="29A0EE2E" w14:textId="77777777" w:rsidR="00790ADA" w:rsidRPr="005E6372" w:rsidRDefault="00790ADA" w:rsidP="00441B6F">
      <w:pPr>
        <w:pStyle w:val="Body"/>
        <w:spacing w:after="0"/>
        <w:rPr>
          <w:rFonts w:ascii="Arial" w:hAnsi="Arial" w:cs="Arial"/>
          <w:lang w:val="en-GB"/>
        </w:rPr>
      </w:pPr>
    </w:p>
    <w:p w14:paraId="1DDE1E26" w14:textId="1995014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208E173A" w14:textId="77777777" w:rsidR="00790ADA" w:rsidRPr="00FB3A86" w:rsidRDefault="00790ADA" w:rsidP="00441B6F">
      <w:pPr>
        <w:pStyle w:val="Body"/>
        <w:spacing w:after="0"/>
        <w:rPr>
          <w:rFonts w:ascii="Arial" w:hAnsi="Arial" w:cs="Arial"/>
        </w:rPr>
      </w:pPr>
    </w:p>
    <w:p w14:paraId="061DC8EA" w14:textId="2608AB27" w:rsidR="00AA74E0" w:rsidRDefault="00AA74E0" w:rsidP="00441B6F">
      <w:pPr>
        <w:pStyle w:val="Body"/>
        <w:spacing w:after="0"/>
        <w:rPr>
          <w:rFonts w:ascii="Arial" w:hAnsi="Arial" w:cs="Arial"/>
          <w:b/>
          <w:sz w:val="22"/>
        </w:rPr>
      </w:pPr>
      <w:r w:rsidRPr="00C30A0F">
        <w:rPr>
          <w:rFonts w:ascii="Arial" w:hAnsi="Arial" w:cs="Arial"/>
          <w:b/>
          <w:caps/>
          <w:sz w:val="22"/>
        </w:rPr>
        <w:t xml:space="preserve">2.1 </w:t>
      </w:r>
      <w:r w:rsidR="00BE5DC4">
        <w:rPr>
          <w:rFonts w:ascii="Arial" w:hAnsi="Arial" w:cs="Arial"/>
          <w:b/>
          <w:sz w:val="22"/>
        </w:rPr>
        <w:t>Participants</w:t>
      </w:r>
      <w:r w:rsidR="00C30A0F" w:rsidRPr="00C30A0F">
        <w:rPr>
          <w:rFonts w:ascii="Arial" w:hAnsi="Arial" w:cs="Arial"/>
          <w:b/>
          <w:sz w:val="22"/>
        </w:rPr>
        <w:t xml:space="preserve"> </w:t>
      </w:r>
    </w:p>
    <w:p w14:paraId="5571DEF3" w14:textId="77777777" w:rsidR="00C077E3" w:rsidRDefault="00C077E3" w:rsidP="00441B6F">
      <w:pPr>
        <w:pStyle w:val="Body"/>
        <w:spacing w:after="0"/>
        <w:rPr>
          <w:rFonts w:ascii="Arial" w:hAnsi="Arial" w:cs="Arial"/>
          <w:b/>
          <w:caps/>
        </w:rPr>
      </w:pPr>
    </w:p>
    <w:p w14:paraId="46DAAC6D" w14:textId="653C39DD" w:rsidR="00BE5DC4" w:rsidRPr="00BE5DC4" w:rsidRDefault="00BE5DC4" w:rsidP="00BE5DC4">
      <w:pPr>
        <w:pStyle w:val="Body"/>
        <w:rPr>
          <w:rFonts w:ascii="Arial" w:hAnsi="Arial" w:cs="Arial"/>
          <w:lang w:val="en-GB"/>
        </w:rPr>
      </w:pPr>
      <w:r w:rsidRPr="00BE5DC4">
        <w:rPr>
          <w:rFonts w:ascii="Arial" w:hAnsi="Arial" w:cs="Arial"/>
          <w:lang w:val="en-GB"/>
        </w:rPr>
        <w:t>A total of 129 participants completed the study. After applying exclusion criteria (see Section 2.5.1), the final sample included 92 participants (52 females), aged 18 to 54 years (M = 26.34, SD = 7.12). Participants were recruited online via Facebook, targeting individuals from the United Kingdom and Lithuania. Eligibility criteria included being 18 years or older and reporting any alcohol consumption. Participation was voluntary</w:t>
      </w:r>
      <w:r>
        <w:rPr>
          <w:rFonts w:ascii="Arial" w:hAnsi="Arial" w:cs="Arial"/>
          <w:lang w:val="en-GB"/>
        </w:rPr>
        <w:t>.</w:t>
      </w:r>
    </w:p>
    <w:p w14:paraId="21E2EA72" w14:textId="0C90B489" w:rsidR="00BE5DC4" w:rsidRPr="00BE5DC4" w:rsidRDefault="00BE5DC4" w:rsidP="00BE5DC4">
      <w:pPr>
        <w:pStyle w:val="Body"/>
        <w:spacing w:after="0"/>
        <w:rPr>
          <w:rFonts w:ascii="Arial" w:hAnsi="Arial" w:cs="Arial"/>
          <w:b/>
          <w:bCs/>
          <w:lang w:val="en-GB"/>
        </w:rPr>
      </w:pPr>
      <w:r w:rsidRPr="00696C1C">
        <w:rPr>
          <w:rFonts w:ascii="Arial" w:hAnsi="Arial" w:cs="Arial"/>
          <w:b/>
          <w:bCs/>
          <w:lang w:val="en-GB"/>
        </w:rPr>
        <w:t>Table 1 presents the demographic characteristics by condition.</w:t>
      </w:r>
    </w:p>
    <w:tbl>
      <w:tblPr>
        <w:tblStyle w:val="TableGrid"/>
        <w:tblW w:w="8856" w:type="dxa"/>
        <w:tblLayout w:type="fixed"/>
        <w:tblLook w:val="04A0" w:firstRow="1" w:lastRow="0" w:firstColumn="1" w:lastColumn="0" w:noHBand="0" w:noVBand="1"/>
      </w:tblPr>
      <w:tblGrid>
        <w:gridCol w:w="1418"/>
        <w:gridCol w:w="1384"/>
        <w:gridCol w:w="1559"/>
        <w:gridCol w:w="1559"/>
        <w:gridCol w:w="1418"/>
        <w:gridCol w:w="141"/>
        <w:gridCol w:w="1377"/>
      </w:tblGrid>
      <w:tr w:rsidR="00BE5DC4" w:rsidRPr="00BE5DC4" w14:paraId="08DE3CF6" w14:textId="77777777" w:rsidTr="00CB517A">
        <w:trPr>
          <w:trHeight w:val="1216"/>
        </w:trPr>
        <w:tc>
          <w:tcPr>
            <w:tcW w:w="1418" w:type="dxa"/>
            <w:tcBorders>
              <w:top w:val="single" w:sz="4" w:space="0" w:color="auto"/>
              <w:left w:val="nil"/>
              <w:bottom w:val="single" w:sz="4" w:space="0" w:color="auto"/>
              <w:right w:val="nil"/>
            </w:tcBorders>
          </w:tcPr>
          <w:p w14:paraId="1948D3E2" w14:textId="77777777" w:rsidR="00BE5DC4" w:rsidRPr="00BE5DC4" w:rsidRDefault="00BE5DC4" w:rsidP="00BE5DC4">
            <w:pPr>
              <w:pStyle w:val="Body"/>
              <w:spacing w:after="0"/>
              <w:rPr>
                <w:rFonts w:ascii="Arial" w:eastAsia="Times New Roman" w:hAnsi="Arial" w:cs="Arial"/>
                <w:lang w:val="en-GB"/>
              </w:rPr>
            </w:pPr>
            <w:r w:rsidRPr="00BE5DC4">
              <w:rPr>
                <w:rFonts w:ascii="Arial" w:eastAsia="Times New Roman" w:hAnsi="Arial" w:cs="Arial"/>
                <w:lang w:val="en-GB"/>
              </w:rPr>
              <w:t>Condition (N)</w:t>
            </w:r>
          </w:p>
        </w:tc>
        <w:tc>
          <w:tcPr>
            <w:tcW w:w="1384" w:type="dxa"/>
            <w:tcBorders>
              <w:top w:val="single" w:sz="4" w:space="0" w:color="auto"/>
              <w:left w:val="nil"/>
              <w:bottom w:val="single" w:sz="4" w:space="0" w:color="auto"/>
              <w:right w:val="nil"/>
            </w:tcBorders>
          </w:tcPr>
          <w:p w14:paraId="19F54EFC" w14:textId="77777777" w:rsidR="00BE5DC4" w:rsidRPr="00BE5DC4" w:rsidRDefault="00BE5DC4" w:rsidP="00BE5DC4">
            <w:pPr>
              <w:pStyle w:val="Body"/>
              <w:spacing w:after="0"/>
              <w:rPr>
                <w:rFonts w:ascii="Arial" w:eastAsia="Times New Roman" w:hAnsi="Arial" w:cs="Arial"/>
                <w:lang w:val="en-GB"/>
              </w:rPr>
            </w:pPr>
            <w:r w:rsidRPr="00BE5DC4">
              <w:rPr>
                <w:rFonts w:ascii="Arial" w:eastAsia="Times New Roman" w:hAnsi="Arial" w:cs="Arial"/>
                <w:lang w:val="en-GB"/>
              </w:rPr>
              <w:t>Age (SD)</w:t>
            </w:r>
          </w:p>
        </w:tc>
        <w:tc>
          <w:tcPr>
            <w:tcW w:w="1559" w:type="dxa"/>
            <w:tcBorders>
              <w:top w:val="single" w:sz="4" w:space="0" w:color="auto"/>
              <w:left w:val="nil"/>
              <w:bottom w:val="single" w:sz="4" w:space="0" w:color="auto"/>
              <w:right w:val="nil"/>
            </w:tcBorders>
          </w:tcPr>
          <w:p w14:paraId="72E3D0C4" w14:textId="77777777" w:rsidR="00BE5DC4" w:rsidRPr="00BE5DC4" w:rsidRDefault="00BE5DC4" w:rsidP="00BE5DC4">
            <w:pPr>
              <w:pStyle w:val="Body"/>
              <w:spacing w:after="0"/>
              <w:rPr>
                <w:rFonts w:ascii="Arial" w:eastAsia="Times New Roman" w:hAnsi="Arial" w:cs="Arial"/>
                <w:lang w:val="en-GB"/>
              </w:rPr>
            </w:pPr>
            <w:r w:rsidRPr="00BE5DC4">
              <w:rPr>
                <w:rFonts w:ascii="Arial" w:eastAsia="Times New Roman" w:hAnsi="Arial" w:cs="Arial"/>
                <w:lang w:val="en-GB"/>
              </w:rPr>
              <w:t>Gender (male/females)</w:t>
            </w:r>
          </w:p>
        </w:tc>
        <w:tc>
          <w:tcPr>
            <w:tcW w:w="1559" w:type="dxa"/>
            <w:tcBorders>
              <w:top w:val="single" w:sz="4" w:space="0" w:color="auto"/>
              <w:left w:val="nil"/>
              <w:bottom w:val="single" w:sz="4" w:space="0" w:color="auto"/>
              <w:right w:val="nil"/>
            </w:tcBorders>
          </w:tcPr>
          <w:p w14:paraId="28CCEA63" w14:textId="77777777" w:rsidR="00BE5DC4" w:rsidRPr="00BE5DC4" w:rsidRDefault="00BE5DC4" w:rsidP="00BE5DC4">
            <w:pPr>
              <w:pStyle w:val="Body"/>
              <w:spacing w:after="0"/>
              <w:rPr>
                <w:rFonts w:ascii="Arial" w:eastAsia="Times New Roman" w:hAnsi="Arial" w:cs="Arial"/>
                <w:lang w:val="en-GB"/>
              </w:rPr>
            </w:pPr>
            <w:r w:rsidRPr="00BE5DC4">
              <w:rPr>
                <w:rFonts w:ascii="Arial" w:eastAsia="Times New Roman" w:hAnsi="Arial" w:cs="Arial"/>
                <w:lang w:val="en-GB"/>
              </w:rPr>
              <w:t>Ethnic Background (white)</w:t>
            </w:r>
          </w:p>
        </w:tc>
        <w:tc>
          <w:tcPr>
            <w:tcW w:w="1559" w:type="dxa"/>
            <w:gridSpan w:val="2"/>
            <w:tcBorders>
              <w:top w:val="single" w:sz="4" w:space="0" w:color="auto"/>
              <w:left w:val="nil"/>
              <w:bottom w:val="single" w:sz="4" w:space="0" w:color="auto"/>
              <w:right w:val="nil"/>
            </w:tcBorders>
          </w:tcPr>
          <w:p w14:paraId="5848A31E" w14:textId="77777777" w:rsidR="00BE5DC4" w:rsidRPr="00BE5DC4" w:rsidRDefault="00BE5DC4" w:rsidP="00BE5DC4">
            <w:pPr>
              <w:pStyle w:val="Body"/>
              <w:spacing w:after="0"/>
              <w:rPr>
                <w:rFonts w:ascii="Arial" w:eastAsia="Times New Roman" w:hAnsi="Arial" w:cs="Arial"/>
                <w:lang w:val="en-GB"/>
              </w:rPr>
            </w:pPr>
            <w:r w:rsidRPr="00BE5DC4">
              <w:rPr>
                <w:rFonts w:ascii="Arial" w:eastAsia="Times New Roman" w:hAnsi="Arial" w:cs="Arial"/>
                <w:lang w:val="en-GB"/>
              </w:rPr>
              <w:t>Relationship status (single)</w:t>
            </w:r>
          </w:p>
        </w:tc>
        <w:tc>
          <w:tcPr>
            <w:tcW w:w="1377" w:type="dxa"/>
            <w:tcBorders>
              <w:top w:val="single" w:sz="4" w:space="0" w:color="auto"/>
              <w:left w:val="nil"/>
              <w:bottom w:val="single" w:sz="4" w:space="0" w:color="auto"/>
              <w:right w:val="nil"/>
            </w:tcBorders>
          </w:tcPr>
          <w:p w14:paraId="75A696DA" w14:textId="77777777" w:rsidR="00BE5DC4" w:rsidRPr="00BE5DC4" w:rsidRDefault="00BE5DC4" w:rsidP="00BE5DC4">
            <w:pPr>
              <w:pStyle w:val="Body"/>
              <w:spacing w:after="0"/>
              <w:rPr>
                <w:rFonts w:ascii="Arial" w:eastAsia="Times New Roman" w:hAnsi="Arial" w:cs="Arial"/>
                <w:lang w:val="en-GB"/>
              </w:rPr>
            </w:pPr>
            <w:r w:rsidRPr="00BE5DC4">
              <w:rPr>
                <w:rFonts w:ascii="Arial" w:eastAsia="Times New Roman" w:hAnsi="Arial" w:cs="Arial"/>
                <w:lang w:val="en-GB"/>
              </w:rPr>
              <w:t>*Drinking frequency (%)</w:t>
            </w:r>
          </w:p>
          <w:p w14:paraId="12F62B0D" w14:textId="77777777" w:rsidR="00BE5DC4" w:rsidRPr="00BE5DC4" w:rsidRDefault="00BE5DC4" w:rsidP="00BE5DC4">
            <w:pPr>
              <w:pStyle w:val="Body"/>
              <w:spacing w:after="0"/>
              <w:rPr>
                <w:rFonts w:ascii="Arial" w:eastAsia="Times New Roman" w:hAnsi="Arial" w:cs="Arial"/>
                <w:lang w:val="en-GB"/>
              </w:rPr>
            </w:pPr>
          </w:p>
        </w:tc>
      </w:tr>
      <w:tr w:rsidR="00BE5DC4" w:rsidRPr="00BE5DC4" w14:paraId="2EB4D715" w14:textId="77777777" w:rsidTr="00CB517A">
        <w:tc>
          <w:tcPr>
            <w:tcW w:w="1418" w:type="dxa"/>
            <w:tcBorders>
              <w:top w:val="single" w:sz="4" w:space="0" w:color="auto"/>
              <w:left w:val="nil"/>
              <w:bottom w:val="single" w:sz="4" w:space="0" w:color="auto"/>
              <w:right w:val="nil"/>
            </w:tcBorders>
          </w:tcPr>
          <w:p w14:paraId="50D5556D" w14:textId="77777777" w:rsidR="00BE5DC4" w:rsidRPr="00BE5DC4" w:rsidRDefault="00BE5DC4" w:rsidP="00BE5DC4">
            <w:pPr>
              <w:pStyle w:val="Body"/>
              <w:spacing w:after="0"/>
              <w:rPr>
                <w:rFonts w:ascii="Arial" w:eastAsia="Times New Roman" w:hAnsi="Arial" w:cs="Arial"/>
                <w:lang w:val="en-GB"/>
              </w:rPr>
            </w:pPr>
            <w:r w:rsidRPr="00BE5DC4">
              <w:rPr>
                <w:rFonts w:ascii="Arial" w:eastAsia="Times New Roman" w:hAnsi="Arial" w:cs="Arial"/>
                <w:lang w:val="en-GB"/>
              </w:rPr>
              <w:t>Mate Abundance (N = 41)</w:t>
            </w:r>
          </w:p>
        </w:tc>
        <w:tc>
          <w:tcPr>
            <w:tcW w:w="1384" w:type="dxa"/>
            <w:tcBorders>
              <w:top w:val="single" w:sz="4" w:space="0" w:color="auto"/>
              <w:left w:val="nil"/>
              <w:bottom w:val="single" w:sz="4" w:space="0" w:color="auto"/>
              <w:right w:val="nil"/>
            </w:tcBorders>
          </w:tcPr>
          <w:p w14:paraId="233B08F2" w14:textId="77777777" w:rsidR="00BE5DC4" w:rsidRPr="00BE5DC4" w:rsidRDefault="00BE5DC4" w:rsidP="00BE5DC4">
            <w:pPr>
              <w:pStyle w:val="Body"/>
              <w:spacing w:after="0"/>
              <w:rPr>
                <w:rFonts w:ascii="Arial" w:eastAsia="Times New Roman" w:hAnsi="Arial" w:cs="Arial"/>
                <w:lang w:val="en-GB"/>
              </w:rPr>
            </w:pPr>
            <w:r w:rsidRPr="00BE5DC4">
              <w:rPr>
                <w:rFonts w:ascii="Arial" w:eastAsia="Times New Roman" w:hAnsi="Arial" w:cs="Arial"/>
                <w:lang w:val="en-GB"/>
              </w:rPr>
              <w:t>25.9 (5.44)</w:t>
            </w:r>
          </w:p>
        </w:tc>
        <w:tc>
          <w:tcPr>
            <w:tcW w:w="1559" w:type="dxa"/>
            <w:tcBorders>
              <w:top w:val="single" w:sz="4" w:space="0" w:color="auto"/>
              <w:left w:val="nil"/>
              <w:bottom w:val="single" w:sz="4" w:space="0" w:color="auto"/>
              <w:right w:val="nil"/>
            </w:tcBorders>
          </w:tcPr>
          <w:p w14:paraId="2AD2F74B" w14:textId="77777777" w:rsidR="00BE5DC4" w:rsidRPr="00BE5DC4" w:rsidRDefault="00BE5DC4" w:rsidP="00BE5DC4">
            <w:pPr>
              <w:pStyle w:val="Body"/>
              <w:spacing w:after="0"/>
              <w:rPr>
                <w:rFonts w:ascii="Arial" w:eastAsia="Times New Roman" w:hAnsi="Arial" w:cs="Arial"/>
                <w:lang w:val="en-GB"/>
              </w:rPr>
            </w:pPr>
            <w:r w:rsidRPr="00BE5DC4">
              <w:rPr>
                <w:rFonts w:ascii="Arial" w:eastAsia="Times New Roman" w:hAnsi="Arial" w:cs="Arial"/>
                <w:lang w:val="en-GB"/>
              </w:rPr>
              <w:t>20/21</w:t>
            </w:r>
          </w:p>
        </w:tc>
        <w:tc>
          <w:tcPr>
            <w:tcW w:w="1559" w:type="dxa"/>
            <w:tcBorders>
              <w:top w:val="single" w:sz="4" w:space="0" w:color="auto"/>
              <w:left w:val="nil"/>
              <w:bottom w:val="single" w:sz="4" w:space="0" w:color="auto"/>
              <w:right w:val="nil"/>
            </w:tcBorders>
          </w:tcPr>
          <w:p w14:paraId="7A65C7BE" w14:textId="77777777" w:rsidR="00BE5DC4" w:rsidRPr="00BE5DC4" w:rsidRDefault="00BE5DC4" w:rsidP="00BE5DC4">
            <w:pPr>
              <w:pStyle w:val="Body"/>
              <w:spacing w:after="0"/>
              <w:rPr>
                <w:rFonts w:ascii="Arial" w:eastAsia="Times New Roman" w:hAnsi="Arial" w:cs="Arial"/>
                <w:lang w:val="en-GB"/>
              </w:rPr>
            </w:pPr>
            <w:r w:rsidRPr="00BE5DC4">
              <w:rPr>
                <w:rFonts w:ascii="Arial" w:eastAsia="Times New Roman" w:hAnsi="Arial" w:cs="Arial"/>
                <w:lang w:val="en-GB"/>
              </w:rPr>
              <w:t>80 %</w:t>
            </w:r>
          </w:p>
        </w:tc>
        <w:tc>
          <w:tcPr>
            <w:tcW w:w="1418" w:type="dxa"/>
            <w:tcBorders>
              <w:top w:val="single" w:sz="4" w:space="0" w:color="auto"/>
              <w:left w:val="nil"/>
              <w:bottom w:val="single" w:sz="4" w:space="0" w:color="auto"/>
              <w:right w:val="nil"/>
            </w:tcBorders>
          </w:tcPr>
          <w:p w14:paraId="2DACB983" w14:textId="77777777" w:rsidR="00BE5DC4" w:rsidRPr="00BE5DC4" w:rsidRDefault="00BE5DC4" w:rsidP="00BE5DC4">
            <w:pPr>
              <w:pStyle w:val="Body"/>
              <w:spacing w:after="0"/>
              <w:rPr>
                <w:rFonts w:ascii="Arial" w:eastAsia="Times New Roman" w:hAnsi="Arial" w:cs="Arial"/>
                <w:lang w:val="en-GB"/>
              </w:rPr>
            </w:pPr>
            <w:r w:rsidRPr="00BE5DC4">
              <w:rPr>
                <w:rFonts w:ascii="Arial" w:eastAsia="Times New Roman" w:hAnsi="Arial" w:cs="Arial"/>
                <w:lang w:val="en-GB"/>
              </w:rPr>
              <w:t>37 %</w:t>
            </w:r>
          </w:p>
        </w:tc>
        <w:tc>
          <w:tcPr>
            <w:tcW w:w="1518" w:type="dxa"/>
            <w:gridSpan w:val="2"/>
            <w:tcBorders>
              <w:top w:val="single" w:sz="4" w:space="0" w:color="auto"/>
              <w:left w:val="nil"/>
              <w:bottom w:val="single" w:sz="4" w:space="0" w:color="auto"/>
              <w:right w:val="nil"/>
            </w:tcBorders>
          </w:tcPr>
          <w:p w14:paraId="5655A93C" w14:textId="77777777" w:rsidR="00BE5DC4" w:rsidRPr="00BE5DC4" w:rsidRDefault="00BE5DC4" w:rsidP="00BE5DC4">
            <w:pPr>
              <w:pStyle w:val="Body"/>
              <w:numPr>
                <w:ilvl w:val="0"/>
                <w:numId w:val="31"/>
              </w:numPr>
              <w:rPr>
                <w:rFonts w:ascii="Arial" w:eastAsia="Times New Roman" w:hAnsi="Arial" w:cs="Arial"/>
                <w:lang w:val="en-GB"/>
              </w:rPr>
            </w:pPr>
            <w:r w:rsidRPr="00BE5DC4">
              <w:rPr>
                <w:rFonts w:ascii="Arial" w:eastAsia="Times New Roman" w:hAnsi="Arial" w:cs="Arial"/>
                <w:lang w:val="en-GB"/>
              </w:rPr>
              <w:t xml:space="preserve">24 % </w:t>
            </w:r>
          </w:p>
          <w:p w14:paraId="2F4A4A0D" w14:textId="77777777" w:rsidR="00BE5DC4" w:rsidRPr="00BE5DC4" w:rsidRDefault="00BE5DC4" w:rsidP="00BE5DC4">
            <w:pPr>
              <w:pStyle w:val="Body"/>
              <w:numPr>
                <w:ilvl w:val="0"/>
                <w:numId w:val="31"/>
              </w:numPr>
              <w:rPr>
                <w:rFonts w:ascii="Arial" w:eastAsia="Times New Roman" w:hAnsi="Arial" w:cs="Arial"/>
                <w:lang w:val="en-GB"/>
              </w:rPr>
            </w:pPr>
            <w:r w:rsidRPr="00BE5DC4">
              <w:rPr>
                <w:rFonts w:ascii="Arial" w:eastAsia="Times New Roman" w:hAnsi="Arial" w:cs="Arial"/>
                <w:lang w:val="en-GB"/>
              </w:rPr>
              <w:t>44 %</w:t>
            </w:r>
          </w:p>
          <w:p w14:paraId="500793BD" w14:textId="77777777" w:rsidR="00BE5DC4" w:rsidRPr="00BE5DC4" w:rsidRDefault="00BE5DC4" w:rsidP="00BE5DC4">
            <w:pPr>
              <w:pStyle w:val="Body"/>
              <w:numPr>
                <w:ilvl w:val="0"/>
                <w:numId w:val="31"/>
              </w:numPr>
              <w:rPr>
                <w:rFonts w:ascii="Arial" w:eastAsia="Times New Roman" w:hAnsi="Arial" w:cs="Arial"/>
                <w:lang w:val="en-GB"/>
              </w:rPr>
            </w:pPr>
            <w:r w:rsidRPr="00BE5DC4">
              <w:rPr>
                <w:rFonts w:ascii="Arial" w:eastAsia="Times New Roman" w:hAnsi="Arial" w:cs="Arial"/>
                <w:lang w:val="en-GB"/>
              </w:rPr>
              <w:t>27 %</w:t>
            </w:r>
          </w:p>
          <w:p w14:paraId="4DBB8A48" w14:textId="77777777" w:rsidR="00BE5DC4" w:rsidRPr="00BE5DC4" w:rsidRDefault="00BE5DC4" w:rsidP="00BE5DC4">
            <w:pPr>
              <w:pStyle w:val="Body"/>
              <w:numPr>
                <w:ilvl w:val="0"/>
                <w:numId w:val="31"/>
              </w:numPr>
              <w:rPr>
                <w:rFonts w:ascii="Arial" w:eastAsia="Times New Roman" w:hAnsi="Arial" w:cs="Arial"/>
                <w:lang w:val="en-GB"/>
              </w:rPr>
            </w:pPr>
            <w:r w:rsidRPr="00BE5DC4">
              <w:rPr>
                <w:rFonts w:ascii="Arial" w:eastAsia="Times New Roman" w:hAnsi="Arial" w:cs="Arial"/>
                <w:lang w:val="en-GB"/>
              </w:rPr>
              <w:t>5 %</w:t>
            </w:r>
          </w:p>
        </w:tc>
      </w:tr>
      <w:tr w:rsidR="00BE5DC4" w:rsidRPr="00BE5DC4" w14:paraId="5890DA8B" w14:textId="77777777" w:rsidTr="00CB517A">
        <w:tc>
          <w:tcPr>
            <w:tcW w:w="1418" w:type="dxa"/>
            <w:tcBorders>
              <w:top w:val="single" w:sz="4" w:space="0" w:color="auto"/>
              <w:left w:val="nil"/>
              <w:bottom w:val="single" w:sz="4" w:space="0" w:color="auto"/>
              <w:right w:val="nil"/>
            </w:tcBorders>
          </w:tcPr>
          <w:p w14:paraId="6AABFBD2" w14:textId="77777777" w:rsidR="00BE5DC4" w:rsidRPr="00BE5DC4" w:rsidRDefault="00BE5DC4" w:rsidP="00BE5DC4">
            <w:pPr>
              <w:pStyle w:val="Body"/>
              <w:spacing w:after="0"/>
              <w:rPr>
                <w:rFonts w:ascii="Arial" w:eastAsia="Times New Roman" w:hAnsi="Arial" w:cs="Arial"/>
                <w:lang w:val="en-GB"/>
              </w:rPr>
            </w:pPr>
            <w:r w:rsidRPr="00BE5DC4">
              <w:rPr>
                <w:rFonts w:ascii="Arial" w:eastAsia="Times New Roman" w:hAnsi="Arial" w:cs="Arial"/>
                <w:lang w:val="en-GB"/>
              </w:rPr>
              <w:t xml:space="preserve">Mate Scarcity </w:t>
            </w:r>
          </w:p>
          <w:p w14:paraId="62E89428" w14:textId="77777777" w:rsidR="00BE5DC4" w:rsidRPr="00BE5DC4" w:rsidRDefault="00BE5DC4" w:rsidP="00BE5DC4">
            <w:pPr>
              <w:pStyle w:val="Body"/>
              <w:spacing w:after="0"/>
              <w:rPr>
                <w:rFonts w:ascii="Arial" w:eastAsia="Times New Roman" w:hAnsi="Arial" w:cs="Arial"/>
                <w:lang w:val="en-GB"/>
              </w:rPr>
            </w:pPr>
            <w:r w:rsidRPr="00BE5DC4">
              <w:rPr>
                <w:rFonts w:ascii="Arial" w:eastAsia="Times New Roman" w:hAnsi="Arial" w:cs="Arial"/>
                <w:lang w:val="en-GB"/>
              </w:rPr>
              <w:t>(N = 51)</w:t>
            </w:r>
          </w:p>
        </w:tc>
        <w:tc>
          <w:tcPr>
            <w:tcW w:w="1384" w:type="dxa"/>
            <w:tcBorders>
              <w:top w:val="single" w:sz="4" w:space="0" w:color="auto"/>
              <w:left w:val="nil"/>
              <w:bottom w:val="single" w:sz="4" w:space="0" w:color="auto"/>
              <w:right w:val="nil"/>
            </w:tcBorders>
          </w:tcPr>
          <w:p w14:paraId="0F88BFD1" w14:textId="77777777" w:rsidR="00BE5DC4" w:rsidRPr="00BE5DC4" w:rsidRDefault="00BE5DC4" w:rsidP="00BE5DC4">
            <w:pPr>
              <w:pStyle w:val="Body"/>
              <w:spacing w:after="0"/>
              <w:rPr>
                <w:rFonts w:ascii="Arial" w:eastAsia="Times New Roman" w:hAnsi="Arial" w:cs="Arial"/>
                <w:lang w:val="en-GB"/>
              </w:rPr>
            </w:pPr>
            <w:r w:rsidRPr="00BE5DC4">
              <w:rPr>
                <w:rFonts w:ascii="Arial" w:eastAsia="Times New Roman" w:hAnsi="Arial" w:cs="Arial"/>
                <w:lang w:val="en-GB"/>
              </w:rPr>
              <w:t>26.69 (8.26)</w:t>
            </w:r>
          </w:p>
        </w:tc>
        <w:tc>
          <w:tcPr>
            <w:tcW w:w="1559" w:type="dxa"/>
            <w:tcBorders>
              <w:top w:val="single" w:sz="4" w:space="0" w:color="auto"/>
              <w:left w:val="nil"/>
              <w:bottom w:val="single" w:sz="4" w:space="0" w:color="auto"/>
              <w:right w:val="nil"/>
            </w:tcBorders>
          </w:tcPr>
          <w:p w14:paraId="0C335D04" w14:textId="77777777" w:rsidR="00BE5DC4" w:rsidRPr="00BE5DC4" w:rsidRDefault="00BE5DC4" w:rsidP="00BE5DC4">
            <w:pPr>
              <w:pStyle w:val="Body"/>
              <w:spacing w:after="0"/>
              <w:rPr>
                <w:rFonts w:ascii="Arial" w:eastAsia="Times New Roman" w:hAnsi="Arial" w:cs="Arial"/>
                <w:lang w:val="en-GB"/>
              </w:rPr>
            </w:pPr>
            <w:r w:rsidRPr="00BE5DC4">
              <w:rPr>
                <w:rFonts w:ascii="Arial" w:eastAsia="Times New Roman" w:hAnsi="Arial" w:cs="Arial"/>
                <w:lang w:val="en-GB"/>
              </w:rPr>
              <w:t>20/31</w:t>
            </w:r>
          </w:p>
        </w:tc>
        <w:tc>
          <w:tcPr>
            <w:tcW w:w="1559" w:type="dxa"/>
            <w:tcBorders>
              <w:top w:val="single" w:sz="4" w:space="0" w:color="auto"/>
              <w:left w:val="nil"/>
              <w:bottom w:val="single" w:sz="4" w:space="0" w:color="auto"/>
              <w:right w:val="nil"/>
            </w:tcBorders>
          </w:tcPr>
          <w:p w14:paraId="29841CC0" w14:textId="77777777" w:rsidR="00BE5DC4" w:rsidRPr="00BE5DC4" w:rsidRDefault="00BE5DC4" w:rsidP="00BE5DC4">
            <w:pPr>
              <w:pStyle w:val="Body"/>
              <w:spacing w:after="0"/>
              <w:rPr>
                <w:rFonts w:ascii="Arial" w:eastAsia="Times New Roman" w:hAnsi="Arial" w:cs="Arial"/>
                <w:lang w:val="en-GB"/>
              </w:rPr>
            </w:pPr>
            <w:r w:rsidRPr="00BE5DC4">
              <w:rPr>
                <w:rFonts w:ascii="Arial" w:eastAsia="Times New Roman" w:hAnsi="Arial" w:cs="Arial"/>
                <w:lang w:val="en-GB"/>
              </w:rPr>
              <w:t>80 %</w:t>
            </w:r>
          </w:p>
        </w:tc>
        <w:tc>
          <w:tcPr>
            <w:tcW w:w="1418" w:type="dxa"/>
            <w:tcBorders>
              <w:top w:val="single" w:sz="4" w:space="0" w:color="auto"/>
              <w:left w:val="nil"/>
              <w:bottom w:val="single" w:sz="4" w:space="0" w:color="auto"/>
              <w:right w:val="nil"/>
            </w:tcBorders>
          </w:tcPr>
          <w:p w14:paraId="4C4FB15D" w14:textId="77777777" w:rsidR="00BE5DC4" w:rsidRPr="00BE5DC4" w:rsidRDefault="00BE5DC4" w:rsidP="00BE5DC4">
            <w:pPr>
              <w:pStyle w:val="Body"/>
              <w:spacing w:after="0"/>
              <w:rPr>
                <w:rFonts w:ascii="Arial" w:eastAsia="Times New Roman" w:hAnsi="Arial" w:cs="Arial"/>
                <w:lang w:val="en-GB"/>
              </w:rPr>
            </w:pPr>
            <w:r w:rsidRPr="00BE5DC4">
              <w:rPr>
                <w:rFonts w:ascii="Arial" w:eastAsia="Times New Roman" w:hAnsi="Arial" w:cs="Arial"/>
                <w:lang w:val="en-GB"/>
              </w:rPr>
              <w:t>39 %</w:t>
            </w:r>
          </w:p>
        </w:tc>
        <w:tc>
          <w:tcPr>
            <w:tcW w:w="1518" w:type="dxa"/>
            <w:gridSpan w:val="2"/>
            <w:tcBorders>
              <w:top w:val="single" w:sz="4" w:space="0" w:color="auto"/>
              <w:left w:val="nil"/>
              <w:bottom w:val="single" w:sz="4" w:space="0" w:color="auto"/>
              <w:right w:val="nil"/>
            </w:tcBorders>
          </w:tcPr>
          <w:p w14:paraId="28541ECB" w14:textId="77777777" w:rsidR="00BE5DC4" w:rsidRPr="00BE5DC4" w:rsidRDefault="00BE5DC4" w:rsidP="00BE5DC4">
            <w:pPr>
              <w:pStyle w:val="Body"/>
              <w:numPr>
                <w:ilvl w:val="0"/>
                <w:numId w:val="32"/>
              </w:numPr>
              <w:rPr>
                <w:rFonts w:ascii="Arial" w:eastAsia="Times New Roman" w:hAnsi="Arial" w:cs="Arial"/>
                <w:lang w:val="en-GB"/>
              </w:rPr>
            </w:pPr>
            <w:r w:rsidRPr="00BE5DC4">
              <w:rPr>
                <w:rFonts w:ascii="Arial" w:eastAsia="Times New Roman" w:hAnsi="Arial" w:cs="Arial"/>
                <w:lang w:val="en-GB"/>
              </w:rPr>
              <w:t xml:space="preserve">27 % </w:t>
            </w:r>
          </w:p>
          <w:p w14:paraId="3E2E1BB3" w14:textId="77777777" w:rsidR="00BE5DC4" w:rsidRPr="00BE5DC4" w:rsidRDefault="00BE5DC4" w:rsidP="00BE5DC4">
            <w:pPr>
              <w:pStyle w:val="Body"/>
              <w:numPr>
                <w:ilvl w:val="0"/>
                <w:numId w:val="32"/>
              </w:numPr>
              <w:rPr>
                <w:rFonts w:ascii="Arial" w:eastAsia="Times New Roman" w:hAnsi="Arial" w:cs="Arial"/>
                <w:lang w:val="en-GB"/>
              </w:rPr>
            </w:pPr>
            <w:r w:rsidRPr="00BE5DC4">
              <w:rPr>
                <w:rFonts w:ascii="Arial" w:eastAsia="Times New Roman" w:hAnsi="Arial" w:cs="Arial"/>
                <w:lang w:val="en-GB"/>
              </w:rPr>
              <w:t>43 %</w:t>
            </w:r>
          </w:p>
          <w:p w14:paraId="09E98696" w14:textId="77777777" w:rsidR="00BE5DC4" w:rsidRPr="00BE5DC4" w:rsidRDefault="00BE5DC4" w:rsidP="00BE5DC4">
            <w:pPr>
              <w:pStyle w:val="Body"/>
              <w:numPr>
                <w:ilvl w:val="0"/>
                <w:numId w:val="32"/>
              </w:numPr>
              <w:rPr>
                <w:rFonts w:ascii="Arial" w:eastAsia="Times New Roman" w:hAnsi="Arial" w:cs="Arial"/>
                <w:lang w:val="en-GB"/>
              </w:rPr>
            </w:pPr>
            <w:r w:rsidRPr="00BE5DC4">
              <w:rPr>
                <w:rFonts w:ascii="Arial" w:eastAsia="Times New Roman" w:hAnsi="Arial" w:cs="Arial"/>
                <w:lang w:val="en-GB"/>
              </w:rPr>
              <w:t xml:space="preserve">26 % </w:t>
            </w:r>
          </w:p>
          <w:p w14:paraId="5EDCD2D3" w14:textId="77777777" w:rsidR="00BE5DC4" w:rsidRPr="00BE5DC4" w:rsidRDefault="00BE5DC4" w:rsidP="00BE5DC4">
            <w:pPr>
              <w:pStyle w:val="Body"/>
              <w:numPr>
                <w:ilvl w:val="0"/>
                <w:numId w:val="32"/>
              </w:numPr>
              <w:rPr>
                <w:rFonts w:ascii="Arial" w:eastAsia="Times New Roman" w:hAnsi="Arial" w:cs="Arial"/>
                <w:lang w:val="en-GB"/>
              </w:rPr>
            </w:pPr>
            <w:r w:rsidRPr="00BE5DC4">
              <w:rPr>
                <w:rFonts w:ascii="Arial" w:eastAsia="Times New Roman" w:hAnsi="Arial" w:cs="Arial"/>
                <w:lang w:val="en-GB"/>
              </w:rPr>
              <w:t>4 %</w:t>
            </w:r>
          </w:p>
        </w:tc>
      </w:tr>
    </w:tbl>
    <w:p w14:paraId="481CE3EE" w14:textId="77777777" w:rsidR="00BE5DC4" w:rsidRDefault="00BE5DC4" w:rsidP="00BE5DC4">
      <w:pPr>
        <w:pStyle w:val="Body"/>
        <w:spacing w:after="0"/>
        <w:rPr>
          <w:rFonts w:ascii="Arial" w:hAnsi="Arial" w:cs="Arial"/>
          <w:lang w:val="en-GB"/>
        </w:rPr>
      </w:pPr>
      <w:r w:rsidRPr="00BE5DC4">
        <w:rPr>
          <w:rFonts w:ascii="Arial" w:hAnsi="Arial" w:cs="Arial"/>
          <w:lang w:val="en-GB"/>
        </w:rPr>
        <w:lastRenderedPageBreak/>
        <w:t xml:space="preserve">Notes. *Drinking frequencies: 1. Monthly or less, 2. 2-4 times per month, 3. 2-3 times per week, 4. 4 or more times per week. </w:t>
      </w:r>
    </w:p>
    <w:p w14:paraId="6F9357DC" w14:textId="77777777" w:rsidR="00BE5DC4" w:rsidRDefault="00BE5DC4" w:rsidP="00BE5DC4">
      <w:pPr>
        <w:pStyle w:val="Body"/>
        <w:spacing w:after="0"/>
        <w:rPr>
          <w:rFonts w:ascii="Arial" w:hAnsi="Arial" w:cs="Arial"/>
          <w:b/>
          <w:sz w:val="22"/>
        </w:rPr>
      </w:pPr>
    </w:p>
    <w:p w14:paraId="4424686B" w14:textId="787D0770" w:rsidR="00BE5DC4" w:rsidRDefault="00BE5DC4" w:rsidP="00BE5DC4">
      <w:pPr>
        <w:pStyle w:val="Body"/>
        <w:spacing w:after="0"/>
        <w:rPr>
          <w:rFonts w:ascii="Arial" w:hAnsi="Arial" w:cs="Arial"/>
          <w:b/>
          <w:sz w:val="22"/>
        </w:rPr>
      </w:pPr>
      <w:r w:rsidRPr="00BE5DC4">
        <w:rPr>
          <w:rFonts w:ascii="Arial" w:hAnsi="Arial" w:cs="Arial"/>
          <w:b/>
          <w:sz w:val="22"/>
        </w:rPr>
        <w:t>2.2 Design</w:t>
      </w:r>
    </w:p>
    <w:p w14:paraId="0CF96A06" w14:textId="77777777" w:rsidR="00671C94" w:rsidRPr="00BE5DC4" w:rsidRDefault="00671C94" w:rsidP="00BE5DC4">
      <w:pPr>
        <w:pStyle w:val="Body"/>
        <w:spacing w:after="0"/>
        <w:rPr>
          <w:rFonts w:ascii="Arial" w:hAnsi="Arial" w:cs="Arial"/>
          <w:lang w:val="en-GB"/>
        </w:rPr>
      </w:pPr>
    </w:p>
    <w:p w14:paraId="5089D891" w14:textId="78F07A25" w:rsidR="00BE5DC4" w:rsidRDefault="00BE5DC4" w:rsidP="00BE5DC4">
      <w:pPr>
        <w:pStyle w:val="Body"/>
        <w:spacing w:after="0"/>
        <w:rPr>
          <w:rFonts w:ascii="Arial" w:hAnsi="Arial" w:cs="Arial"/>
          <w:lang w:val="en-GB"/>
        </w:rPr>
      </w:pPr>
      <w:r w:rsidRPr="00BE5DC4">
        <w:rPr>
          <w:rFonts w:ascii="Arial" w:hAnsi="Arial" w:cs="Arial"/>
          <w:lang w:val="en-GB"/>
        </w:rPr>
        <w:t>This was a single-blind, between-subjects experimental study conducted online using the Gorilla platform. Participants were randomly assigned to one of two conditions: mate abundance or mate scarcity. The independent variables were condition, gender, and relationship status. The dependent variables included intrasexual competitiveness and alcohol consumption, operationalised through four indices. Ethical approval was granted by the University of Portsmouth Department of Psychology Ethics Committee</w:t>
      </w:r>
      <w:r>
        <w:rPr>
          <w:rFonts w:ascii="Arial" w:hAnsi="Arial" w:cs="Arial"/>
          <w:lang w:val="en-GB"/>
        </w:rPr>
        <w:t>.</w:t>
      </w:r>
    </w:p>
    <w:p w14:paraId="6A4B56D3" w14:textId="77777777" w:rsidR="00BE5DC4" w:rsidRPr="00BE5DC4" w:rsidRDefault="00BE5DC4" w:rsidP="00BE5DC4">
      <w:pPr>
        <w:pStyle w:val="Body"/>
        <w:spacing w:after="0"/>
        <w:rPr>
          <w:rFonts w:ascii="Arial" w:hAnsi="Arial" w:cs="Arial"/>
          <w:lang w:val="en-GB"/>
        </w:rPr>
      </w:pPr>
    </w:p>
    <w:p w14:paraId="5CD252CF" w14:textId="3B3B8488" w:rsidR="00BE5DC4" w:rsidRDefault="00BE5DC4" w:rsidP="00BE5DC4">
      <w:pPr>
        <w:pStyle w:val="Body"/>
        <w:spacing w:after="0"/>
        <w:rPr>
          <w:rFonts w:ascii="Arial" w:hAnsi="Arial" w:cs="Arial"/>
          <w:b/>
          <w:sz w:val="22"/>
        </w:rPr>
      </w:pPr>
      <w:r w:rsidRPr="00BE5DC4">
        <w:rPr>
          <w:rFonts w:ascii="Arial" w:hAnsi="Arial" w:cs="Arial"/>
          <w:b/>
          <w:sz w:val="22"/>
        </w:rPr>
        <w:t>2.</w:t>
      </w:r>
      <w:r>
        <w:rPr>
          <w:rFonts w:ascii="Arial" w:hAnsi="Arial" w:cs="Arial"/>
          <w:b/>
          <w:sz w:val="22"/>
        </w:rPr>
        <w:t>3</w:t>
      </w:r>
      <w:r w:rsidRPr="00BE5DC4">
        <w:rPr>
          <w:rFonts w:ascii="Arial" w:hAnsi="Arial" w:cs="Arial"/>
          <w:b/>
          <w:sz w:val="22"/>
        </w:rPr>
        <w:t xml:space="preserve"> Materials and Procedure</w:t>
      </w:r>
    </w:p>
    <w:p w14:paraId="3FB17F5E" w14:textId="77777777" w:rsidR="00505F06" w:rsidRDefault="00505F06" w:rsidP="00441B6F">
      <w:pPr>
        <w:pStyle w:val="Body"/>
        <w:spacing w:after="0"/>
        <w:rPr>
          <w:rFonts w:ascii="Arial" w:hAnsi="Arial" w:cs="Arial"/>
        </w:rPr>
      </w:pPr>
    </w:p>
    <w:p w14:paraId="17700222" w14:textId="09EB216D" w:rsidR="00AA74E0" w:rsidRDefault="00AA74E0" w:rsidP="00441B6F">
      <w:pPr>
        <w:pStyle w:val="Body"/>
        <w:spacing w:after="0"/>
        <w:rPr>
          <w:rFonts w:ascii="Arial" w:hAnsi="Arial" w:cs="Arial"/>
          <w:b/>
          <w:u w:val="single"/>
        </w:rPr>
      </w:pPr>
      <w:r>
        <w:rPr>
          <w:rFonts w:ascii="Arial" w:hAnsi="Arial" w:cs="Arial"/>
          <w:b/>
          <w:u w:val="single"/>
        </w:rPr>
        <w:t>2</w:t>
      </w:r>
      <w:r w:rsidRPr="00902823">
        <w:rPr>
          <w:rFonts w:ascii="Arial" w:hAnsi="Arial" w:cs="Arial"/>
          <w:b/>
          <w:u w:val="single"/>
        </w:rPr>
        <w:t xml:space="preserve">.1.1 </w:t>
      </w:r>
      <w:r w:rsidR="00BE5DC4" w:rsidRPr="00BE5DC4">
        <w:rPr>
          <w:rFonts w:ascii="Arial" w:hAnsi="Arial" w:cs="Arial"/>
          <w:b/>
          <w:u w:val="single"/>
        </w:rPr>
        <w:t>Demographics Questionnaire</w:t>
      </w:r>
    </w:p>
    <w:p w14:paraId="1AB485BF" w14:textId="5066E82A" w:rsidR="00BE5DC4" w:rsidRDefault="00BE5DC4" w:rsidP="00441B6F">
      <w:pPr>
        <w:pStyle w:val="Body"/>
        <w:spacing w:after="0"/>
        <w:rPr>
          <w:rFonts w:ascii="Arial" w:hAnsi="Arial" w:cs="Arial"/>
          <w:lang w:val="en-GB"/>
        </w:rPr>
      </w:pPr>
      <w:r w:rsidRPr="00BE5DC4">
        <w:rPr>
          <w:rFonts w:ascii="Arial" w:hAnsi="Arial" w:cs="Arial"/>
          <w:lang w:val="en-GB"/>
        </w:rPr>
        <w:t>Participants first completed a demographics questionnaire assessing age, gender, ethnicity, relationship status, and drinking frequency.</w:t>
      </w:r>
    </w:p>
    <w:p w14:paraId="5AE8D79C" w14:textId="77777777" w:rsidR="00BE5DC4" w:rsidRDefault="00BE5DC4" w:rsidP="00441B6F">
      <w:pPr>
        <w:pStyle w:val="Body"/>
        <w:spacing w:after="0"/>
        <w:rPr>
          <w:rFonts w:ascii="Arial" w:hAnsi="Arial" w:cs="Arial"/>
          <w:lang w:val="en-GB"/>
        </w:rPr>
      </w:pPr>
    </w:p>
    <w:p w14:paraId="31972662" w14:textId="77777777" w:rsidR="00BE5DC4" w:rsidRPr="005F3203" w:rsidRDefault="00BE5DC4" w:rsidP="005F3203">
      <w:pPr>
        <w:pStyle w:val="Body"/>
        <w:rPr>
          <w:rFonts w:ascii="Arial" w:hAnsi="Arial" w:cs="Arial"/>
          <w:b/>
          <w:bCs/>
          <w:u w:val="single"/>
          <w:lang w:val="en-GB"/>
        </w:rPr>
      </w:pPr>
      <w:r w:rsidRPr="005F3203">
        <w:rPr>
          <w:rFonts w:ascii="Arial" w:hAnsi="Arial" w:cs="Arial"/>
          <w:b/>
          <w:u w:val="single"/>
        </w:rPr>
        <w:t xml:space="preserve">2.1.2 </w:t>
      </w:r>
      <w:r w:rsidRPr="005F3203">
        <w:rPr>
          <w:rFonts w:ascii="Arial" w:hAnsi="Arial" w:cs="Arial"/>
          <w:b/>
          <w:bCs/>
          <w:u w:val="single"/>
          <w:lang w:val="en-GB"/>
        </w:rPr>
        <w:t>Priming Task</w:t>
      </w:r>
    </w:p>
    <w:p w14:paraId="14AF38DB" w14:textId="350F7EF4" w:rsidR="00BE5DC4" w:rsidRDefault="00BE5DC4" w:rsidP="00441B6F">
      <w:pPr>
        <w:pStyle w:val="Body"/>
        <w:spacing w:after="0"/>
        <w:rPr>
          <w:rFonts w:ascii="Arial" w:hAnsi="Arial" w:cs="Arial"/>
          <w:lang w:val="en-GB"/>
        </w:rPr>
      </w:pPr>
      <w:r w:rsidRPr="00BE5DC4">
        <w:rPr>
          <w:rFonts w:ascii="Arial" w:hAnsi="Arial" w:cs="Arial"/>
          <w:lang w:val="en-GB"/>
        </w:rPr>
        <w:t>Participants were randomly allocated (1:1 ratio) to the mate abundance or mate scarcity condition. Each group read a brief fictitious article, adapted from Spielmann et al. (2009), designed to manipulate perceived mate availability. Articles in the abundance condition described favourable romantic prospects and high partner availability, while the scarcity condition emphasised limited opportunities and difficulty finding new partners. These manipulations have previously been validated and shown to affect intrasexual competition (</w:t>
      </w:r>
      <w:proofErr w:type="spellStart"/>
      <w:r w:rsidRPr="00BE5DC4">
        <w:rPr>
          <w:rFonts w:ascii="Arial" w:hAnsi="Arial" w:cs="Arial"/>
          <w:lang w:val="en-GB"/>
        </w:rPr>
        <w:t>Arnocky</w:t>
      </w:r>
      <w:proofErr w:type="spellEnd"/>
      <w:r w:rsidRPr="00BE5DC4">
        <w:rPr>
          <w:rFonts w:ascii="Arial" w:hAnsi="Arial" w:cs="Arial"/>
          <w:lang w:val="en-GB"/>
        </w:rPr>
        <w:t xml:space="preserve"> et al., 2014).</w:t>
      </w:r>
    </w:p>
    <w:p w14:paraId="5E6D098B" w14:textId="77777777" w:rsidR="00BE5DC4" w:rsidRDefault="00BE5DC4" w:rsidP="00441B6F">
      <w:pPr>
        <w:pStyle w:val="Body"/>
        <w:spacing w:after="0"/>
        <w:rPr>
          <w:rFonts w:ascii="Arial" w:hAnsi="Arial" w:cs="Arial"/>
          <w:lang w:val="en-GB"/>
        </w:rPr>
      </w:pPr>
    </w:p>
    <w:p w14:paraId="36898378" w14:textId="6A98A0CF" w:rsidR="00BE5DC4" w:rsidRPr="00BE5DC4" w:rsidRDefault="00BE5DC4" w:rsidP="00BE5DC4">
      <w:pPr>
        <w:pStyle w:val="Body"/>
        <w:rPr>
          <w:rFonts w:ascii="Arial" w:hAnsi="Arial" w:cs="Arial"/>
          <w:b/>
          <w:bCs/>
          <w:u w:val="single"/>
          <w:lang w:val="en-GB"/>
        </w:rPr>
      </w:pPr>
      <w:r w:rsidRPr="00BE5DC4">
        <w:rPr>
          <w:rFonts w:ascii="Arial" w:hAnsi="Arial" w:cs="Arial"/>
          <w:b/>
          <w:bCs/>
          <w:u w:val="single"/>
          <w:lang w:val="en-GB"/>
        </w:rPr>
        <w:t>2.3.3 Intrasexual Competition Scale (ICS)</w:t>
      </w:r>
    </w:p>
    <w:p w14:paraId="3749E371" w14:textId="54855C2C" w:rsidR="00BE5DC4" w:rsidRPr="00BE5DC4" w:rsidRDefault="00BE5DC4" w:rsidP="00BE5DC4">
      <w:pPr>
        <w:pStyle w:val="Body"/>
        <w:spacing w:after="0"/>
        <w:rPr>
          <w:rFonts w:ascii="Arial" w:hAnsi="Arial" w:cs="Arial"/>
          <w:lang w:val="en-GB"/>
        </w:rPr>
      </w:pPr>
      <w:r w:rsidRPr="00BE5DC4">
        <w:rPr>
          <w:rFonts w:ascii="Arial" w:hAnsi="Arial" w:cs="Arial"/>
          <w:lang w:val="en-GB"/>
        </w:rPr>
        <w:t>Participants then completed the 12-item ICS (</w:t>
      </w:r>
      <w:proofErr w:type="spellStart"/>
      <w:r w:rsidRPr="00BE5DC4">
        <w:rPr>
          <w:rFonts w:ascii="Arial" w:hAnsi="Arial" w:cs="Arial"/>
          <w:lang w:val="en-GB"/>
        </w:rPr>
        <w:t>Buunk</w:t>
      </w:r>
      <w:proofErr w:type="spellEnd"/>
      <w:r w:rsidRPr="00BE5DC4">
        <w:rPr>
          <w:rFonts w:ascii="Arial" w:hAnsi="Arial" w:cs="Arial"/>
          <w:lang w:val="en-GB"/>
        </w:rPr>
        <w:t xml:space="preserve"> &amp; Fisher, 2009), which measures competitiveness toward same-sex individuals. Items were rated on a 7-point Likert scale (1 = not at all applicable to 7 = completely applicable). Example items include: "I can't stand it when I meet someone of the same sex who is more attractive than I am." A mean score was computed by averaging all item responses. Higher scores indicate stronger intrasexual competitiveness. The ICS has demonstrated good reliability in previous studies (e.g., α = 0.83; Harris et al., 2019).</w:t>
      </w:r>
    </w:p>
    <w:p w14:paraId="76A7C4EB" w14:textId="77777777" w:rsidR="00790ADA" w:rsidRDefault="00790ADA" w:rsidP="00441B6F">
      <w:pPr>
        <w:pStyle w:val="Body"/>
        <w:spacing w:after="0"/>
        <w:rPr>
          <w:rFonts w:ascii="Arial" w:hAnsi="Arial" w:cs="Arial"/>
        </w:rPr>
      </w:pPr>
    </w:p>
    <w:p w14:paraId="6BADE486" w14:textId="77777777" w:rsidR="00671C94" w:rsidRDefault="00671C94" w:rsidP="00671C94">
      <w:pPr>
        <w:pStyle w:val="Body"/>
        <w:spacing w:after="0"/>
        <w:rPr>
          <w:rFonts w:ascii="Arial" w:hAnsi="Arial" w:cs="Arial"/>
          <w:b/>
          <w:bCs/>
          <w:u w:val="single"/>
          <w:lang w:val="en-GB"/>
        </w:rPr>
      </w:pPr>
      <w:r w:rsidRPr="00671C94">
        <w:rPr>
          <w:rFonts w:ascii="Arial" w:hAnsi="Arial" w:cs="Arial"/>
          <w:b/>
          <w:bCs/>
          <w:u w:val="single"/>
          <w:lang w:val="en-GB"/>
        </w:rPr>
        <w:t>2.3.4 Alcohol Purchase Task (APT)</w:t>
      </w:r>
    </w:p>
    <w:p w14:paraId="79541719" w14:textId="77777777" w:rsidR="00671C94" w:rsidRPr="00671C94" w:rsidRDefault="00671C94" w:rsidP="00671C94">
      <w:pPr>
        <w:pStyle w:val="Body"/>
        <w:spacing w:after="0"/>
        <w:rPr>
          <w:rFonts w:ascii="Arial" w:hAnsi="Arial" w:cs="Arial"/>
          <w:b/>
          <w:bCs/>
          <w:u w:val="single"/>
          <w:lang w:val="en-GB"/>
        </w:rPr>
      </w:pPr>
    </w:p>
    <w:p w14:paraId="0924DCD3" w14:textId="77777777" w:rsidR="00671C94" w:rsidRPr="00671C94" w:rsidRDefault="00671C94" w:rsidP="00671C94">
      <w:pPr>
        <w:pStyle w:val="Body"/>
        <w:spacing w:after="0"/>
        <w:rPr>
          <w:rFonts w:ascii="Arial" w:hAnsi="Arial" w:cs="Arial"/>
          <w:lang w:val="en-GB"/>
        </w:rPr>
      </w:pPr>
      <w:r w:rsidRPr="00671C94">
        <w:rPr>
          <w:rFonts w:ascii="Arial" w:hAnsi="Arial" w:cs="Arial"/>
          <w:lang w:val="en-GB"/>
        </w:rPr>
        <w:t>Following the ICS, participants completed the APT (Murphy &amp; MacKillop, 2006). This behavioural economic task measures hypothetical alcohol demand across increasing price points (£0 to £9 per drink). Participants imagined being at a bar with friends from 9 PM to 2 AM, where standard alcoholic drinks were available. They were asked how many drinks they would consume at each price point (e.g., "How many drinks would you purchase if each cost £1?").</w:t>
      </w:r>
    </w:p>
    <w:p w14:paraId="0F9B011F" w14:textId="2BDE90AC" w:rsidR="00671C94" w:rsidRPr="00671C94" w:rsidRDefault="00671C94" w:rsidP="005F3203">
      <w:pPr>
        <w:pStyle w:val="Body"/>
        <w:spacing w:after="0"/>
        <w:rPr>
          <w:rFonts w:ascii="Arial" w:hAnsi="Arial" w:cs="Arial"/>
          <w:lang w:val="en-GB"/>
        </w:rPr>
      </w:pPr>
      <w:r w:rsidRPr="00671C94">
        <w:rPr>
          <w:rFonts w:ascii="Arial" w:hAnsi="Arial" w:cs="Arial"/>
          <w:lang w:val="en-GB"/>
        </w:rPr>
        <w:t>The task generated four dependent variables:</w:t>
      </w:r>
      <w:r w:rsidR="005F3203">
        <w:rPr>
          <w:rFonts w:ascii="Arial" w:hAnsi="Arial" w:cs="Arial"/>
          <w:lang w:val="en-GB"/>
        </w:rPr>
        <w:t xml:space="preserve"> </w:t>
      </w:r>
      <w:r w:rsidRPr="00671C94">
        <w:rPr>
          <w:rFonts w:ascii="Arial" w:hAnsi="Arial" w:cs="Arial"/>
          <w:lang w:val="en-GB"/>
        </w:rPr>
        <w:t>Derived Q</w:t>
      </w:r>
      <w:r w:rsidRPr="00671C94">
        <w:rPr>
          <w:rFonts w:ascii="Cambria Math" w:hAnsi="Cambria Math" w:cs="Cambria Math"/>
          <w:lang w:val="en-GB"/>
        </w:rPr>
        <w:t>₀</w:t>
      </w:r>
      <w:r w:rsidRPr="00671C94">
        <w:rPr>
          <w:rFonts w:ascii="Arial" w:hAnsi="Arial" w:cs="Arial"/>
          <w:lang w:val="en-GB"/>
        </w:rPr>
        <w:t>: estimated consumption at zero price</w:t>
      </w:r>
      <w:r w:rsidR="005F3203">
        <w:rPr>
          <w:rFonts w:ascii="Arial" w:hAnsi="Arial" w:cs="Arial"/>
          <w:lang w:val="en-GB"/>
        </w:rPr>
        <w:t xml:space="preserve">; </w:t>
      </w:r>
      <w:r w:rsidRPr="00671C94">
        <w:rPr>
          <w:rFonts w:ascii="Arial" w:hAnsi="Arial" w:cs="Arial"/>
          <w:lang w:val="en-GB"/>
        </w:rPr>
        <w:t>Derived α: price sensitivity (elasticity)</w:t>
      </w:r>
      <w:r w:rsidR="005F3203">
        <w:rPr>
          <w:rFonts w:ascii="Arial" w:hAnsi="Arial" w:cs="Arial"/>
          <w:lang w:val="en-GB"/>
        </w:rPr>
        <w:t xml:space="preserve">; </w:t>
      </w:r>
      <w:r w:rsidRPr="00671C94">
        <w:rPr>
          <w:rFonts w:ascii="Arial" w:hAnsi="Arial" w:cs="Arial"/>
          <w:lang w:val="en-GB"/>
        </w:rPr>
        <w:t>Observed Intensity: actual consumption at £0</w:t>
      </w:r>
      <w:r w:rsidR="005F3203">
        <w:rPr>
          <w:rFonts w:ascii="Arial" w:hAnsi="Arial" w:cs="Arial"/>
          <w:lang w:val="en-GB"/>
        </w:rPr>
        <w:t xml:space="preserve">; </w:t>
      </w:r>
      <w:r w:rsidRPr="00671C94">
        <w:rPr>
          <w:rFonts w:ascii="Arial" w:hAnsi="Arial" w:cs="Arial"/>
          <w:lang w:val="en-GB"/>
        </w:rPr>
        <w:t xml:space="preserve">Observed </w:t>
      </w:r>
      <w:proofErr w:type="spellStart"/>
      <w:r w:rsidRPr="00671C94">
        <w:rPr>
          <w:rFonts w:ascii="Arial" w:hAnsi="Arial" w:cs="Arial"/>
          <w:lang w:val="en-GB"/>
        </w:rPr>
        <w:t>Omax</w:t>
      </w:r>
      <w:proofErr w:type="spellEnd"/>
      <w:r w:rsidRPr="00671C94">
        <w:rPr>
          <w:rFonts w:ascii="Arial" w:hAnsi="Arial" w:cs="Arial"/>
          <w:lang w:val="en-GB"/>
        </w:rPr>
        <w:t>: maximum monetary expenditure across prices</w:t>
      </w:r>
      <w:r w:rsidR="005F3203">
        <w:rPr>
          <w:rFonts w:ascii="Arial" w:hAnsi="Arial" w:cs="Arial"/>
          <w:lang w:val="en-GB"/>
        </w:rPr>
        <w:t>.</w:t>
      </w:r>
    </w:p>
    <w:p w14:paraId="4886CD1D" w14:textId="77777777" w:rsidR="00671C94" w:rsidRPr="00671C94" w:rsidRDefault="00671C94" w:rsidP="00671C94">
      <w:pPr>
        <w:pStyle w:val="Body"/>
        <w:spacing w:after="0"/>
        <w:rPr>
          <w:rFonts w:ascii="Arial" w:hAnsi="Arial" w:cs="Arial"/>
          <w:lang w:val="en-GB"/>
        </w:rPr>
      </w:pPr>
      <w:r w:rsidRPr="00671C94">
        <w:rPr>
          <w:rFonts w:ascii="Arial" w:hAnsi="Arial" w:cs="Arial"/>
          <w:lang w:val="en-GB"/>
        </w:rPr>
        <w:t>The APT has demonstrated validity in both hypothetical and real settings (Amlung et al., 2012).</w:t>
      </w:r>
    </w:p>
    <w:p w14:paraId="1BBA322D" w14:textId="77777777" w:rsidR="005F3203" w:rsidRDefault="005F3203" w:rsidP="00671C94">
      <w:pPr>
        <w:pStyle w:val="Body"/>
        <w:spacing w:after="0"/>
        <w:rPr>
          <w:rFonts w:ascii="Arial" w:hAnsi="Arial" w:cs="Arial"/>
          <w:b/>
          <w:bCs/>
          <w:sz w:val="22"/>
          <w:szCs w:val="22"/>
          <w:lang w:val="en-GB"/>
        </w:rPr>
      </w:pPr>
    </w:p>
    <w:p w14:paraId="2A932FA2" w14:textId="3613413B" w:rsidR="00671C94" w:rsidRPr="00671C94" w:rsidRDefault="00671C94" w:rsidP="00671C94">
      <w:pPr>
        <w:pStyle w:val="Body"/>
        <w:spacing w:after="0"/>
        <w:rPr>
          <w:rFonts w:ascii="Arial" w:hAnsi="Arial" w:cs="Arial"/>
          <w:b/>
          <w:bCs/>
          <w:sz w:val="22"/>
          <w:szCs w:val="22"/>
          <w:lang w:val="en-GB"/>
        </w:rPr>
      </w:pPr>
      <w:r w:rsidRPr="00671C94">
        <w:rPr>
          <w:rFonts w:ascii="Arial" w:hAnsi="Arial" w:cs="Arial"/>
          <w:b/>
          <w:bCs/>
          <w:sz w:val="22"/>
          <w:szCs w:val="22"/>
          <w:lang w:val="en-GB"/>
        </w:rPr>
        <w:t>2.4 Data Analysis</w:t>
      </w:r>
    </w:p>
    <w:p w14:paraId="510F3C51" w14:textId="77777777" w:rsidR="00671C94" w:rsidRPr="00671C94" w:rsidRDefault="00671C94" w:rsidP="00671C94">
      <w:pPr>
        <w:pStyle w:val="Body"/>
        <w:spacing w:after="0"/>
        <w:rPr>
          <w:rFonts w:ascii="Arial" w:hAnsi="Arial" w:cs="Arial"/>
          <w:b/>
          <w:bCs/>
          <w:lang w:val="en-GB"/>
        </w:rPr>
      </w:pPr>
    </w:p>
    <w:p w14:paraId="6B9713FE" w14:textId="60232684" w:rsidR="00671C94" w:rsidRPr="00EB527C" w:rsidRDefault="00EB527C" w:rsidP="00EB527C">
      <w:pPr>
        <w:pStyle w:val="Body"/>
        <w:spacing w:after="0"/>
        <w:rPr>
          <w:rFonts w:ascii="Arial" w:hAnsi="Arial" w:cs="Arial"/>
          <w:b/>
          <w:bCs/>
          <w:u w:val="single"/>
          <w:lang w:val="en-GB"/>
        </w:rPr>
      </w:pPr>
      <w:r>
        <w:rPr>
          <w:rFonts w:ascii="Arial" w:hAnsi="Arial" w:cs="Arial"/>
          <w:b/>
          <w:bCs/>
          <w:u w:val="single"/>
          <w:lang w:val="en-GB"/>
        </w:rPr>
        <w:t xml:space="preserve">2.4.1 </w:t>
      </w:r>
      <w:r w:rsidR="00671C94" w:rsidRPr="00671C94">
        <w:rPr>
          <w:rFonts w:ascii="Arial" w:hAnsi="Arial" w:cs="Arial"/>
          <w:b/>
          <w:bCs/>
          <w:u w:val="single"/>
          <w:lang w:val="en-GB"/>
        </w:rPr>
        <w:t>Data Cleaning</w:t>
      </w:r>
    </w:p>
    <w:p w14:paraId="474B2FFB" w14:textId="77777777" w:rsidR="00EB527C" w:rsidRDefault="00EB527C" w:rsidP="00671C94">
      <w:pPr>
        <w:pStyle w:val="Body"/>
        <w:spacing w:after="0"/>
        <w:rPr>
          <w:rFonts w:ascii="Arial" w:hAnsi="Arial" w:cs="Arial"/>
          <w:b/>
          <w:bCs/>
          <w:u w:val="single"/>
          <w:lang w:val="en-GB"/>
        </w:rPr>
      </w:pPr>
    </w:p>
    <w:p w14:paraId="15E33A91" w14:textId="41CBECE0" w:rsidR="00671C94" w:rsidRDefault="00671C94" w:rsidP="00671C94">
      <w:pPr>
        <w:pStyle w:val="Body"/>
        <w:spacing w:after="0"/>
        <w:rPr>
          <w:rFonts w:ascii="Arial" w:hAnsi="Arial" w:cs="Arial"/>
          <w:lang w:val="en-GB"/>
        </w:rPr>
      </w:pPr>
      <w:r w:rsidRPr="00671C94">
        <w:rPr>
          <w:rFonts w:ascii="Arial" w:hAnsi="Arial" w:cs="Arial"/>
          <w:lang w:val="en-GB"/>
        </w:rPr>
        <w:t>Of the 129 initial participants, 37 were excluded:</w:t>
      </w:r>
      <w:r w:rsidR="00322C45">
        <w:rPr>
          <w:rFonts w:ascii="Arial" w:hAnsi="Arial" w:cs="Arial"/>
          <w:lang w:val="en-GB"/>
        </w:rPr>
        <w:t xml:space="preserve"> </w:t>
      </w:r>
      <w:r w:rsidRPr="00671C94">
        <w:rPr>
          <w:rFonts w:ascii="Arial" w:hAnsi="Arial" w:cs="Arial"/>
          <w:lang w:val="en-GB"/>
        </w:rPr>
        <w:t>3 provided non-binary or missing gender responses</w:t>
      </w:r>
      <w:r w:rsidR="00322C45">
        <w:rPr>
          <w:rFonts w:ascii="Arial" w:hAnsi="Arial" w:cs="Arial"/>
          <w:lang w:val="en-GB"/>
        </w:rPr>
        <w:t xml:space="preserve">, </w:t>
      </w:r>
      <w:r w:rsidRPr="00671C94">
        <w:rPr>
          <w:rFonts w:ascii="Arial" w:hAnsi="Arial" w:cs="Arial"/>
          <w:lang w:val="en-GB"/>
        </w:rPr>
        <w:t>17 reported never drinking alcohol</w:t>
      </w:r>
      <w:r w:rsidR="00322C45">
        <w:rPr>
          <w:rFonts w:ascii="Arial" w:hAnsi="Arial" w:cs="Arial"/>
          <w:lang w:val="en-GB"/>
        </w:rPr>
        <w:t xml:space="preserve">, </w:t>
      </w:r>
      <w:r w:rsidRPr="00671C94">
        <w:rPr>
          <w:rFonts w:ascii="Arial" w:hAnsi="Arial" w:cs="Arial"/>
          <w:lang w:val="en-GB"/>
        </w:rPr>
        <w:t>11 were removed due to poor-quality APT data (e.g., empty responses, bounce violations, or reversals from zero)</w:t>
      </w:r>
      <w:r w:rsidR="00322C45">
        <w:rPr>
          <w:rFonts w:ascii="Arial" w:hAnsi="Arial" w:cs="Arial"/>
          <w:lang w:val="en-GB"/>
        </w:rPr>
        <w:t xml:space="preserve">, </w:t>
      </w:r>
      <w:r w:rsidRPr="00671C94">
        <w:rPr>
          <w:rFonts w:ascii="Arial" w:hAnsi="Arial" w:cs="Arial"/>
          <w:lang w:val="en-GB"/>
        </w:rPr>
        <w:t>5 outliers were removed to meet assumptions of normality</w:t>
      </w:r>
      <w:r w:rsidR="00322C45">
        <w:rPr>
          <w:rFonts w:ascii="Arial" w:hAnsi="Arial" w:cs="Arial"/>
          <w:lang w:val="en-GB"/>
        </w:rPr>
        <w:t xml:space="preserve">. </w:t>
      </w:r>
      <w:r w:rsidRPr="00671C94">
        <w:rPr>
          <w:rFonts w:ascii="Arial" w:hAnsi="Arial" w:cs="Arial"/>
          <w:lang w:val="en-GB"/>
        </w:rPr>
        <w:t>This resulted in a final sample of 92 participants: 41 in the mate abundance condition and 51 in the mate scarcity condition.</w:t>
      </w:r>
    </w:p>
    <w:p w14:paraId="7F968C94" w14:textId="77777777" w:rsidR="00671C94" w:rsidRPr="00671C94" w:rsidRDefault="00671C94" w:rsidP="00671C94">
      <w:pPr>
        <w:pStyle w:val="Body"/>
        <w:spacing w:after="0"/>
        <w:rPr>
          <w:rFonts w:ascii="Arial" w:hAnsi="Arial" w:cs="Arial"/>
          <w:lang w:val="en-GB"/>
        </w:rPr>
      </w:pPr>
    </w:p>
    <w:p w14:paraId="494A926F" w14:textId="77777777" w:rsidR="00671C94" w:rsidRPr="00671C94" w:rsidRDefault="00671C94" w:rsidP="00671C94">
      <w:pPr>
        <w:pStyle w:val="Body"/>
        <w:spacing w:after="0"/>
        <w:rPr>
          <w:rFonts w:ascii="Arial" w:hAnsi="Arial" w:cs="Arial"/>
          <w:b/>
          <w:bCs/>
          <w:u w:val="single"/>
          <w:lang w:val="en-GB"/>
        </w:rPr>
      </w:pPr>
      <w:r w:rsidRPr="00671C94">
        <w:rPr>
          <w:rFonts w:ascii="Arial" w:hAnsi="Arial" w:cs="Arial"/>
          <w:b/>
          <w:bCs/>
          <w:u w:val="single"/>
          <w:lang w:val="en-GB"/>
        </w:rPr>
        <w:t>2.4.2 ICS Analysis</w:t>
      </w:r>
    </w:p>
    <w:p w14:paraId="217F9BC4" w14:textId="77777777" w:rsidR="00671C94" w:rsidRPr="00671C94" w:rsidRDefault="00671C94" w:rsidP="00671C94">
      <w:pPr>
        <w:pStyle w:val="Body"/>
        <w:spacing w:after="0"/>
        <w:rPr>
          <w:rFonts w:ascii="Arial" w:hAnsi="Arial" w:cs="Arial"/>
          <w:b/>
          <w:bCs/>
          <w:lang w:val="en-GB"/>
        </w:rPr>
      </w:pPr>
    </w:p>
    <w:p w14:paraId="4CE08A49" w14:textId="77777777" w:rsidR="00671C94" w:rsidRDefault="00671C94" w:rsidP="00671C94">
      <w:pPr>
        <w:pStyle w:val="Body"/>
        <w:spacing w:after="0"/>
        <w:rPr>
          <w:rFonts w:ascii="Arial" w:hAnsi="Arial" w:cs="Arial"/>
          <w:lang w:val="en-GB"/>
        </w:rPr>
      </w:pPr>
      <w:r w:rsidRPr="00671C94">
        <w:rPr>
          <w:rFonts w:ascii="Arial" w:hAnsi="Arial" w:cs="Arial"/>
          <w:lang w:val="en-GB"/>
        </w:rPr>
        <w:t>Mean ICS scores were analysed using a three-way between-subjects ANOVA with condition, gender, and relationship status as factors. Levene’s test indicated no violations of variance homogeneity.</w:t>
      </w:r>
    </w:p>
    <w:p w14:paraId="7DDD17E9" w14:textId="77777777" w:rsidR="00671C94" w:rsidRPr="00671C94" w:rsidRDefault="00671C94" w:rsidP="00671C94">
      <w:pPr>
        <w:pStyle w:val="Body"/>
        <w:spacing w:after="0"/>
        <w:rPr>
          <w:rFonts w:ascii="Arial" w:hAnsi="Arial" w:cs="Arial"/>
          <w:lang w:val="en-GB"/>
        </w:rPr>
      </w:pPr>
    </w:p>
    <w:p w14:paraId="5D25E3D1" w14:textId="77777777" w:rsidR="00671C94" w:rsidRDefault="00671C94" w:rsidP="00671C94">
      <w:pPr>
        <w:pStyle w:val="Body"/>
        <w:spacing w:after="0"/>
        <w:rPr>
          <w:rFonts w:ascii="Arial" w:hAnsi="Arial" w:cs="Arial"/>
          <w:b/>
          <w:bCs/>
          <w:u w:val="single"/>
          <w:lang w:val="en-GB"/>
        </w:rPr>
      </w:pPr>
      <w:r w:rsidRPr="00671C94">
        <w:rPr>
          <w:rFonts w:ascii="Arial" w:hAnsi="Arial" w:cs="Arial"/>
          <w:b/>
          <w:bCs/>
          <w:u w:val="single"/>
          <w:lang w:val="en-GB"/>
        </w:rPr>
        <w:t>2.4.3 Alcohol Purchase Task Analysis</w:t>
      </w:r>
    </w:p>
    <w:p w14:paraId="5B23DA6C" w14:textId="77777777" w:rsidR="00671C94" w:rsidRPr="00671C94" w:rsidRDefault="00671C94" w:rsidP="00671C94">
      <w:pPr>
        <w:pStyle w:val="Body"/>
        <w:spacing w:after="0"/>
        <w:rPr>
          <w:rFonts w:ascii="Arial" w:hAnsi="Arial" w:cs="Arial"/>
          <w:b/>
          <w:bCs/>
          <w:u w:val="single"/>
          <w:lang w:val="en-GB"/>
        </w:rPr>
      </w:pPr>
    </w:p>
    <w:p w14:paraId="11A1A5D7" w14:textId="77777777" w:rsidR="00671C94" w:rsidRPr="00671C94" w:rsidRDefault="00671C94" w:rsidP="00671C94">
      <w:pPr>
        <w:pStyle w:val="Body"/>
        <w:spacing w:after="0"/>
        <w:rPr>
          <w:rFonts w:ascii="Arial" w:hAnsi="Arial" w:cs="Arial"/>
          <w:lang w:val="en-GB"/>
        </w:rPr>
      </w:pPr>
      <w:r w:rsidRPr="00671C94">
        <w:rPr>
          <w:rFonts w:ascii="Arial" w:hAnsi="Arial" w:cs="Arial"/>
          <w:lang w:val="en-GB"/>
        </w:rPr>
        <w:t>Demand curves were modelled using Hursh and Silberberg’s (2008) exponential equation:</w:t>
      </w:r>
    </w:p>
    <w:p w14:paraId="782444C2" w14:textId="66499E1B" w:rsidR="00671C94" w:rsidRPr="00671C94" w:rsidRDefault="00671C94" w:rsidP="00671C94">
      <w:pPr>
        <w:pStyle w:val="Body"/>
        <w:spacing w:after="0"/>
        <w:rPr>
          <w:rFonts w:ascii="Arial" w:hAnsi="Arial" w:cs="Arial"/>
          <w:lang w:val="en-GB"/>
        </w:rPr>
      </w:pPr>
      <w:r w:rsidRPr="00671C94">
        <w:rPr>
          <w:rFonts w:ascii="Arial" w:hAnsi="Arial" w:cs="Arial"/>
          <w:lang w:val="en-GB"/>
        </w:rPr>
        <w:t>ln(Q) = ln(Q</w:t>
      </w:r>
      <w:r w:rsidRPr="00671C94">
        <w:rPr>
          <w:rFonts w:ascii="Cambria Math" w:hAnsi="Cambria Math" w:cs="Cambria Math"/>
          <w:lang w:val="en-GB"/>
        </w:rPr>
        <w:t>₀</w:t>
      </w:r>
      <w:r w:rsidRPr="00671C94">
        <w:rPr>
          <w:rFonts w:ascii="Arial" w:hAnsi="Arial" w:cs="Arial"/>
          <w:lang w:val="en-GB"/>
        </w:rPr>
        <w:t xml:space="preserve">) + </w:t>
      </w:r>
      <w:proofErr w:type="gramStart"/>
      <w:r w:rsidRPr="00671C94">
        <w:rPr>
          <w:rFonts w:ascii="Arial" w:hAnsi="Arial" w:cs="Arial"/>
          <w:lang w:val="en-GB"/>
        </w:rPr>
        <w:t>k(</w:t>
      </w:r>
      <w:proofErr w:type="gramEnd"/>
      <w:r w:rsidRPr="00671C94">
        <w:rPr>
          <w:rFonts w:ascii="Arial" w:hAnsi="Arial" w:cs="Arial"/>
          <w:lang w:val="en-GB"/>
        </w:rPr>
        <w:t>e^(–α × Q</w:t>
      </w:r>
      <w:r w:rsidRPr="00671C94">
        <w:rPr>
          <w:rFonts w:ascii="Cambria Math" w:hAnsi="Cambria Math" w:cs="Cambria Math"/>
          <w:lang w:val="en-GB"/>
        </w:rPr>
        <w:t>₀</w:t>
      </w:r>
      <w:r w:rsidRPr="00671C94">
        <w:rPr>
          <w:rFonts w:ascii="Arial" w:hAnsi="Arial" w:cs="Arial"/>
          <w:lang w:val="en-GB"/>
        </w:rPr>
        <w:t xml:space="preserve"> × C) – 1)</w:t>
      </w:r>
      <w:r w:rsidR="00322C45">
        <w:rPr>
          <w:rFonts w:ascii="Arial" w:hAnsi="Arial" w:cs="Arial"/>
          <w:lang w:val="en-GB"/>
        </w:rPr>
        <w:t>, w</w:t>
      </w:r>
      <w:r w:rsidRPr="00671C94">
        <w:rPr>
          <w:rFonts w:ascii="Arial" w:hAnsi="Arial" w:cs="Arial"/>
          <w:lang w:val="en-GB"/>
        </w:rPr>
        <w:t>here:</w:t>
      </w:r>
      <w:r w:rsidR="00322C45">
        <w:rPr>
          <w:rFonts w:ascii="Arial" w:hAnsi="Arial" w:cs="Arial"/>
          <w:lang w:val="en-GB"/>
        </w:rPr>
        <w:t xml:space="preserve"> </w:t>
      </w:r>
      <w:r w:rsidRPr="00671C94">
        <w:rPr>
          <w:rFonts w:ascii="Arial" w:hAnsi="Arial" w:cs="Arial"/>
          <w:lang w:val="en-GB"/>
        </w:rPr>
        <w:t>Q = consumption at price C</w:t>
      </w:r>
      <w:r w:rsidR="00322C45">
        <w:rPr>
          <w:rFonts w:ascii="Arial" w:hAnsi="Arial" w:cs="Arial"/>
          <w:lang w:val="en-GB"/>
        </w:rPr>
        <w:t xml:space="preserve">, </w:t>
      </w:r>
      <w:r w:rsidRPr="00671C94">
        <w:rPr>
          <w:rFonts w:ascii="Arial" w:hAnsi="Arial" w:cs="Arial"/>
          <w:lang w:val="en-GB"/>
        </w:rPr>
        <w:t>Q</w:t>
      </w:r>
      <w:r w:rsidRPr="00671C94">
        <w:rPr>
          <w:rFonts w:ascii="Cambria Math" w:hAnsi="Cambria Math" w:cs="Cambria Math"/>
          <w:lang w:val="en-GB"/>
        </w:rPr>
        <w:t>₀</w:t>
      </w:r>
      <w:r w:rsidRPr="00671C94">
        <w:rPr>
          <w:rFonts w:ascii="Arial" w:hAnsi="Arial" w:cs="Arial"/>
          <w:lang w:val="en-GB"/>
        </w:rPr>
        <w:t xml:space="preserve"> = baseline consumption (at or near zero price)</w:t>
      </w:r>
      <w:r w:rsidR="00322C45">
        <w:rPr>
          <w:rFonts w:ascii="Arial" w:hAnsi="Arial" w:cs="Arial"/>
          <w:lang w:val="en-GB"/>
        </w:rPr>
        <w:t xml:space="preserve">, </w:t>
      </w:r>
      <w:r w:rsidRPr="00671C94">
        <w:rPr>
          <w:rFonts w:ascii="Arial" w:hAnsi="Arial" w:cs="Arial"/>
          <w:lang w:val="en-GB"/>
        </w:rPr>
        <w:t>α = price elasticity</w:t>
      </w:r>
      <w:r w:rsidR="00322C45">
        <w:rPr>
          <w:rFonts w:ascii="Arial" w:hAnsi="Arial" w:cs="Arial"/>
          <w:lang w:val="en-GB"/>
        </w:rPr>
        <w:t xml:space="preserve">, </w:t>
      </w:r>
      <w:r w:rsidRPr="00671C94">
        <w:rPr>
          <w:rFonts w:ascii="Arial" w:hAnsi="Arial" w:cs="Arial"/>
          <w:lang w:val="en-GB"/>
        </w:rPr>
        <w:t>k = constant (set to 2.3, reflecting a log consumption range of 10)</w:t>
      </w:r>
      <w:r w:rsidR="00322C45">
        <w:rPr>
          <w:rFonts w:ascii="Arial" w:hAnsi="Arial" w:cs="Arial"/>
          <w:lang w:val="en-GB"/>
        </w:rPr>
        <w:t xml:space="preserve">. </w:t>
      </w:r>
      <w:r w:rsidRPr="00671C94">
        <w:rPr>
          <w:rFonts w:ascii="Arial" w:hAnsi="Arial" w:cs="Arial"/>
          <w:lang w:val="en-GB"/>
        </w:rPr>
        <w:t>Zero values were replaced with 0.01 to enable log transformation. Curve fitting and model comparisons were conducted using GraphPad Prism 9.2.0.</w:t>
      </w:r>
    </w:p>
    <w:p w14:paraId="56D7A921" w14:textId="77777777" w:rsidR="007478DA" w:rsidRDefault="007478DA" w:rsidP="00671C94">
      <w:pPr>
        <w:pStyle w:val="Body"/>
        <w:spacing w:after="0"/>
        <w:rPr>
          <w:rFonts w:ascii="Arial" w:hAnsi="Arial" w:cs="Arial"/>
          <w:lang w:val="en-GB"/>
        </w:rPr>
      </w:pPr>
    </w:p>
    <w:p w14:paraId="226EB599" w14:textId="7FE0317E" w:rsidR="00671C94" w:rsidRDefault="00671C94" w:rsidP="00671C94">
      <w:pPr>
        <w:pStyle w:val="Body"/>
        <w:spacing w:after="0"/>
        <w:rPr>
          <w:rFonts w:ascii="Arial" w:hAnsi="Arial" w:cs="Arial"/>
          <w:lang w:val="en-GB"/>
        </w:rPr>
      </w:pPr>
      <w:r w:rsidRPr="00671C94">
        <w:rPr>
          <w:rFonts w:ascii="Arial" w:hAnsi="Arial" w:cs="Arial"/>
          <w:lang w:val="en-GB"/>
        </w:rPr>
        <w:t xml:space="preserve">Additionally, observed intensity and </w:t>
      </w:r>
      <w:proofErr w:type="spellStart"/>
      <w:r w:rsidRPr="00671C94">
        <w:rPr>
          <w:rFonts w:ascii="Arial" w:hAnsi="Arial" w:cs="Arial"/>
          <w:lang w:val="en-GB"/>
        </w:rPr>
        <w:t>Omax</w:t>
      </w:r>
      <w:proofErr w:type="spellEnd"/>
      <w:r w:rsidRPr="00671C94">
        <w:rPr>
          <w:rFonts w:ascii="Arial" w:hAnsi="Arial" w:cs="Arial"/>
          <w:lang w:val="en-GB"/>
        </w:rPr>
        <w:t xml:space="preserve"> values were directly analysed. Observed intensity corresponded to the number of drinks at £0. </w:t>
      </w:r>
      <w:proofErr w:type="spellStart"/>
      <w:r w:rsidRPr="00671C94">
        <w:rPr>
          <w:rFonts w:ascii="Arial" w:hAnsi="Arial" w:cs="Arial"/>
          <w:lang w:val="en-GB"/>
        </w:rPr>
        <w:t>Omax</w:t>
      </w:r>
      <w:proofErr w:type="spellEnd"/>
      <w:r w:rsidRPr="00671C94">
        <w:rPr>
          <w:rFonts w:ascii="Arial" w:hAnsi="Arial" w:cs="Arial"/>
          <w:lang w:val="en-GB"/>
        </w:rPr>
        <w:t xml:space="preserve"> was calculated by multiplying each consumption response by the corresponding price and extracting the highest value. As these variables were positively correlated (r = 0.52, p = .001), a multivariate analysis of variance (MANOVA) was used to assess effects of condition, gender, and relationship status. Assumptions of multivariate normality and equality of variance were met (Box’s M and Levene’s tests non-significant).</w:t>
      </w:r>
    </w:p>
    <w:p w14:paraId="4B5D1902" w14:textId="77777777" w:rsidR="00671C94" w:rsidRDefault="00671C94" w:rsidP="00671C94">
      <w:pPr>
        <w:pStyle w:val="Body"/>
        <w:spacing w:after="0"/>
        <w:rPr>
          <w:rFonts w:ascii="Arial" w:hAnsi="Arial" w:cs="Arial"/>
          <w:lang w:val="en-GB"/>
        </w:rPr>
      </w:pPr>
    </w:p>
    <w:p w14:paraId="754808A8" w14:textId="16801973" w:rsidR="00671C94" w:rsidRPr="00671C94" w:rsidRDefault="00671C94" w:rsidP="00671C94">
      <w:pPr>
        <w:pStyle w:val="Body"/>
        <w:spacing w:after="0"/>
        <w:rPr>
          <w:rFonts w:ascii="Arial" w:hAnsi="Arial" w:cs="Arial"/>
          <w:lang w:val="en-GB"/>
        </w:rPr>
      </w:pPr>
      <w:r w:rsidRPr="00671C94">
        <w:rPr>
          <w:rFonts w:ascii="Arial" w:hAnsi="Arial" w:cs="Arial"/>
          <w:lang w:val="en-GB"/>
        </w:rPr>
        <w:t>All statistical analyses were conducted using IBM SPSS Statistics Version 26.0 and GraphPad Prism Version 9.2.0.</w:t>
      </w:r>
    </w:p>
    <w:p w14:paraId="42D34217" w14:textId="77777777" w:rsidR="00BE5DC4" w:rsidRPr="00671C94" w:rsidRDefault="00BE5DC4" w:rsidP="00441B6F">
      <w:pPr>
        <w:pStyle w:val="Body"/>
        <w:spacing w:after="0"/>
        <w:rPr>
          <w:rFonts w:ascii="Arial" w:hAnsi="Arial" w:cs="Arial"/>
          <w:lang w:val="en-GB"/>
        </w:rPr>
      </w:pPr>
    </w:p>
    <w:p w14:paraId="1D3A503A" w14:textId="0681C2EC"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w:t>
      </w:r>
    </w:p>
    <w:p w14:paraId="6124876D" w14:textId="77777777" w:rsidR="00790ADA" w:rsidRPr="00FB3A86" w:rsidRDefault="00790ADA" w:rsidP="00441B6F">
      <w:pPr>
        <w:pStyle w:val="Head1"/>
        <w:spacing w:after="0"/>
        <w:jc w:val="both"/>
        <w:rPr>
          <w:rFonts w:ascii="Arial" w:hAnsi="Arial" w:cs="Arial"/>
        </w:rPr>
      </w:pPr>
    </w:p>
    <w:p w14:paraId="49200109" w14:textId="77777777" w:rsidR="00671C94" w:rsidRPr="00671C94" w:rsidRDefault="00671C94" w:rsidP="00671C94">
      <w:pPr>
        <w:pStyle w:val="Body"/>
        <w:spacing w:after="0"/>
        <w:rPr>
          <w:rFonts w:ascii="Arial" w:hAnsi="Arial" w:cs="Arial"/>
          <w:b/>
          <w:bCs/>
          <w:u w:val="single"/>
          <w:lang w:val="en-GB"/>
        </w:rPr>
      </w:pPr>
      <w:r w:rsidRPr="00671C94">
        <w:rPr>
          <w:rFonts w:ascii="Arial" w:hAnsi="Arial" w:cs="Arial"/>
          <w:b/>
          <w:bCs/>
          <w:u w:val="single"/>
          <w:lang w:val="en-GB"/>
        </w:rPr>
        <w:t>3.1 Intrasexual Competition Scale</w:t>
      </w:r>
    </w:p>
    <w:p w14:paraId="6BD4914E" w14:textId="77777777" w:rsidR="00671C94" w:rsidRPr="00671C94" w:rsidRDefault="00671C94" w:rsidP="00671C94">
      <w:pPr>
        <w:pStyle w:val="Body"/>
        <w:spacing w:after="0"/>
        <w:rPr>
          <w:rFonts w:ascii="Arial" w:hAnsi="Arial" w:cs="Arial"/>
          <w:lang w:val="en-GB"/>
        </w:rPr>
      </w:pPr>
      <w:r w:rsidRPr="00671C94">
        <w:rPr>
          <w:rFonts w:ascii="Arial" w:hAnsi="Arial" w:cs="Arial"/>
          <w:lang w:val="en-GB"/>
        </w:rPr>
        <w:t>A three-way ANOVA was conducted on ICS scores with condition, gender, and relationship status as between-subjects factors.</w:t>
      </w:r>
    </w:p>
    <w:p w14:paraId="54D751C6" w14:textId="77777777" w:rsidR="00671C94" w:rsidRPr="00671C94" w:rsidRDefault="00671C94" w:rsidP="00671C94">
      <w:pPr>
        <w:pStyle w:val="Body"/>
        <w:spacing w:after="0"/>
        <w:rPr>
          <w:rFonts w:ascii="Arial" w:hAnsi="Arial" w:cs="Arial"/>
          <w:lang w:val="en-GB"/>
        </w:rPr>
      </w:pPr>
      <w:r w:rsidRPr="00671C94">
        <w:rPr>
          <w:rFonts w:ascii="Arial" w:hAnsi="Arial" w:cs="Arial"/>
          <w:lang w:val="en-GB"/>
        </w:rPr>
        <w:t xml:space="preserve">The main effect of condition on ICS score was not significant, </w:t>
      </w:r>
      <w:proofErr w:type="gramStart"/>
      <w:r w:rsidRPr="00671C94">
        <w:rPr>
          <w:rFonts w:ascii="Arial" w:hAnsi="Arial" w:cs="Arial"/>
          <w:i/>
          <w:iCs/>
          <w:lang w:val="en-GB"/>
        </w:rPr>
        <w:t>F</w:t>
      </w:r>
      <w:r w:rsidRPr="00671C94">
        <w:rPr>
          <w:rFonts w:ascii="Arial" w:hAnsi="Arial" w:cs="Arial"/>
          <w:lang w:val="en-GB"/>
        </w:rPr>
        <w:t>(</w:t>
      </w:r>
      <w:proofErr w:type="gramEnd"/>
      <w:r w:rsidRPr="00671C94">
        <w:rPr>
          <w:rFonts w:ascii="Arial" w:hAnsi="Arial" w:cs="Arial"/>
          <w:lang w:val="en-GB"/>
        </w:rPr>
        <w:t xml:space="preserve">1, 79) = 0.34, </w:t>
      </w:r>
      <w:r w:rsidRPr="00671C94">
        <w:rPr>
          <w:rFonts w:ascii="Arial" w:hAnsi="Arial" w:cs="Arial"/>
          <w:i/>
          <w:iCs/>
          <w:lang w:val="en-GB"/>
        </w:rPr>
        <w:t>p</w:t>
      </w:r>
      <w:r w:rsidRPr="00671C94">
        <w:rPr>
          <w:rFonts w:ascii="Arial" w:hAnsi="Arial" w:cs="Arial"/>
          <w:lang w:val="en-GB"/>
        </w:rPr>
        <w:t xml:space="preserve"> = .56, ηp² = .001, which contradicts the original hypothesis. However, there was a significant main effect of gender, </w:t>
      </w:r>
      <w:proofErr w:type="gramStart"/>
      <w:r w:rsidRPr="00671C94">
        <w:rPr>
          <w:rFonts w:ascii="Arial" w:hAnsi="Arial" w:cs="Arial"/>
          <w:i/>
          <w:iCs/>
          <w:lang w:val="en-GB"/>
        </w:rPr>
        <w:t>F</w:t>
      </w:r>
      <w:r w:rsidRPr="00671C94">
        <w:rPr>
          <w:rFonts w:ascii="Arial" w:hAnsi="Arial" w:cs="Arial"/>
          <w:lang w:val="en-GB"/>
        </w:rPr>
        <w:t>(</w:t>
      </w:r>
      <w:proofErr w:type="gramEnd"/>
      <w:r w:rsidRPr="00671C94">
        <w:rPr>
          <w:rFonts w:ascii="Arial" w:hAnsi="Arial" w:cs="Arial"/>
          <w:lang w:val="en-GB"/>
        </w:rPr>
        <w:t xml:space="preserve">1, 79) = 4.68, </w:t>
      </w:r>
      <w:r w:rsidRPr="00671C94">
        <w:rPr>
          <w:rFonts w:ascii="Arial" w:hAnsi="Arial" w:cs="Arial"/>
          <w:i/>
          <w:iCs/>
          <w:lang w:val="en-GB"/>
        </w:rPr>
        <w:t>p</w:t>
      </w:r>
      <w:r w:rsidRPr="00671C94">
        <w:rPr>
          <w:rFonts w:ascii="Arial" w:hAnsi="Arial" w:cs="Arial"/>
          <w:lang w:val="en-GB"/>
        </w:rPr>
        <w:t xml:space="preserve"> = .03, ηp² = .06, with males scoring higher on ICS than females. The main effect of relationship status was not significant, </w:t>
      </w:r>
      <w:proofErr w:type="gramStart"/>
      <w:r w:rsidRPr="00671C94">
        <w:rPr>
          <w:rFonts w:ascii="Arial" w:hAnsi="Arial" w:cs="Arial"/>
          <w:i/>
          <w:iCs/>
          <w:lang w:val="en-GB"/>
        </w:rPr>
        <w:t>F</w:t>
      </w:r>
      <w:r w:rsidRPr="00671C94">
        <w:rPr>
          <w:rFonts w:ascii="Arial" w:hAnsi="Arial" w:cs="Arial"/>
          <w:lang w:val="en-GB"/>
        </w:rPr>
        <w:t>(</w:t>
      </w:r>
      <w:proofErr w:type="gramEnd"/>
      <w:r w:rsidRPr="00671C94">
        <w:rPr>
          <w:rFonts w:ascii="Arial" w:hAnsi="Arial" w:cs="Arial"/>
          <w:lang w:val="en-GB"/>
        </w:rPr>
        <w:t xml:space="preserve">2, 79) = 1.42, </w:t>
      </w:r>
      <w:r w:rsidRPr="00671C94">
        <w:rPr>
          <w:rFonts w:ascii="Arial" w:hAnsi="Arial" w:cs="Arial"/>
          <w:i/>
          <w:iCs/>
          <w:lang w:val="en-GB"/>
        </w:rPr>
        <w:t>p</w:t>
      </w:r>
      <w:r w:rsidRPr="00671C94">
        <w:rPr>
          <w:rFonts w:ascii="Arial" w:hAnsi="Arial" w:cs="Arial"/>
          <w:lang w:val="en-GB"/>
        </w:rPr>
        <w:t xml:space="preserve"> = .29, ηp² = .04.</w:t>
      </w:r>
    </w:p>
    <w:p w14:paraId="6368FD42" w14:textId="77777777" w:rsidR="00671C94" w:rsidRPr="00671C94" w:rsidRDefault="00671C94" w:rsidP="00671C94">
      <w:pPr>
        <w:pStyle w:val="Body"/>
        <w:spacing w:after="0"/>
        <w:rPr>
          <w:rFonts w:ascii="Arial" w:hAnsi="Arial" w:cs="Arial"/>
          <w:lang w:val="en-GB"/>
        </w:rPr>
      </w:pPr>
      <w:r w:rsidRPr="00671C94">
        <w:rPr>
          <w:rFonts w:ascii="Arial" w:hAnsi="Arial" w:cs="Arial"/>
          <w:lang w:val="en-GB"/>
        </w:rPr>
        <w:t xml:space="preserve">There was a significant interaction between condition and relationship status, </w:t>
      </w:r>
      <w:proofErr w:type="gramStart"/>
      <w:r w:rsidRPr="00671C94">
        <w:rPr>
          <w:rFonts w:ascii="Arial" w:hAnsi="Arial" w:cs="Arial"/>
          <w:i/>
          <w:iCs/>
          <w:lang w:val="en-GB"/>
        </w:rPr>
        <w:t>F</w:t>
      </w:r>
      <w:r w:rsidRPr="00671C94">
        <w:rPr>
          <w:rFonts w:ascii="Arial" w:hAnsi="Arial" w:cs="Arial"/>
          <w:lang w:val="en-GB"/>
        </w:rPr>
        <w:t>(</w:t>
      </w:r>
      <w:proofErr w:type="gramEnd"/>
      <w:r w:rsidRPr="00671C94">
        <w:rPr>
          <w:rFonts w:ascii="Arial" w:hAnsi="Arial" w:cs="Arial"/>
          <w:lang w:val="en-GB"/>
        </w:rPr>
        <w:t xml:space="preserve">1, 79) = 4.90, </w:t>
      </w:r>
      <w:r w:rsidRPr="00671C94">
        <w:rPr>
          <w:rFonts w:ascii="Arial" w:hAnsi="Arial" w:cs="Arial"/>
          <w:i/>
          <w:iCs/>
          <w:lang w:val="en-GB"/>
        </w:rPr>
        <w:t>p</w:t>
      </w:r>
      <w:r w:rsidRPr="00671C94">
        <w:rPr>
          <w:rFonts w:ascii="Arial" w:hAnsi="Arial" w:cs="Arial"/>
          <w:lang w:val="en-GB"/>
        </w:rPr>
        <w:t xml:space="preserve"> = .03, ηp² = .06. Pairwise comparisons indicated that, within the mate scarcity condition, participants in romantic relationships scored significantly higher on ICS than single participants.</w:t>
      </w:r>
    </w:p>
    <w:p w14:paraId="4DC8AF22" w14:textId="77777777" w:rsidR="00671C94" w:rsidRPr="00671C94" w:rsidRDefault="00671C94" w:rsidP="00671C94">
      <w:pPr>
        <w:pStyle w:val="Body"/>
        <w:spacing w:after="0"/>
        <w:rPr>
          <w:rFonts w:ascii="Arial" w:hAnsi="Arial" w:cs="Arial"/>
          <w:lang w:val="en-GB"/>
        </w:rPr>
      </w:pPr>
      <w:r w:rsidRPr="00671C94">
        <w:rPr>
          <w:rFonts w:ascii="Arial" w:hAnsi="Arial" w:cs="Arial"/>
          <w:lang w:val="en-GB"/>
        </w:rPr>
        <w:t xml:space="preserve">The three-way interaction between condition, gender, and relationship status was not significant, </w:t>
      </w:r>
      <w:proofErr w:type="gramStart"/>
      <w:r w:rsidRPr="00671C94">
        <w:rPr>
          <w:rFonts w:ascii="Arial" w:hAnsi="Arial" w:cs="Arial"/>
          <w:i/>
          <w:iCs/>
          <w:lang w:val="en-GB"/>
        </w:rPr>
        <w:t>F</w:t>
      </w:r>
      <w:r w:rsidRPr="00671C94">
        <w:rPr>
          <w:rFonts w:ascii="Arial" w:hAnsi="Arial" w:cs="Arial"/>
          <w:lang w:val="en-GB"/>
        </w:rPr>
        <w:t>(</w:t>
      </w:r>
      <w:proofErr w:type="gramEnd"/>
      <w:r w:rsidRPr="00671C94">
        <w:rPr>
          <w:rFonts w:ascii="Arial" w:hAnsi="Arial" w:cs="Arial"/>
          <w:lang w:val="en-GB"/>
        </w:rPr>
        <w:t xml:space="preserve">1, 79) = 0.42, </w:t>
      </w:r>
      <w:r w:rsidRPr="00671C94">
        <w:rPr>
          <w:rFonts w:ascii="Arial" w:hAnsi="Arial" w:cs="Arial"/>
          <w:i/>
          <w:iCs/>
          <w:lang w:val="en-GB"/>
        </w:rPr>
        <w:t>p</w:t>
      </w:r>
      <w:r w:rsidRPr="00671C94">
        <w:rPr>
          <w:rFonts w:ascii="Arial" w:hAnsi="Arial" w:cs="Arial"/>
          <w:lang w:val="en-GB"/>
        </w:rPr>
        <w:t xml:space="preserve"> = .52, ηp² = .001. However, post hoc analyses revealed that within the mate scarcity condition, females in relationships scored significantly higher on ICS than single females.</w:t>
      </w:r>
    </w:p>
    <w:p w14:paraId="249166E6" w14:textId="77777777" w:rsidR="006B17FE" w:rsidRPr="006B17FE" w:rsidRDefault="006B17FE" w:rsidP="006B17FE">
      <w:pPr>
        <w:pStyle w:val="Body"/>
        <w:rPr>
          <w:rFonts w:ascii="Arial" w:hAnsi="Arial" w:cs="Arial"/>
          <w:lang w:val="en-GB"/>
        </w:rPr>
      </w:pPr>
      <w:r w:rsidRPr="006B17FE">
        <w:rPr>
          <w:rFonts w:ascii="Arial" w:hAnsi="Arial" w:cs="Arial"/>
          <w:noProof/>
        </w:rPr>
        <w:lastRenderedPageBreak/>
        <w:drawing>
          <wp:inline distT="0" distB="0" distL="0" distR="0" wp14:anchorId="7FCDBE06" wp14:editId="12FFF5D3">
            <wp:extent cx="6648450" cy="3155950"/>
            <wp:effectExtent l="0" t="0" r="0" b="635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8450" cy="3155950"/>
                    </a:xfrm>
                    <a:prstGeom prst="rect">
                      <a:avLst/>
                    </a:prstGeom>
                    <a:noFill/>
                    <a:ln>
                      <a:noFill/>
                    </a:ln>
                  </pic:spPr>
                </pic:pic>
              </a:graphicData>
            </a:graphic>
          </wp:inline>
        </w:drawing>
      </w:r>
    </w:p>
    <w:p w14:paraId="24547638" w14:textId="6FB991E9" w:rsidR="006B17FE" w:rsidRPr="006B17FE" w:rsidRDefault="006B17FE" w:rsidP="006B17FE">
      <w:pPr>
        <w:pStyle w:val="Body"/>
        <w:rPr>
          <w:rFonts w:ascii="Arial" w:hAnsi="Arial" w:cs="Arial"/>
          <w:lang w:val="en-GB"/>
        </w:rPr>
      </w:pPr>
      <w:r w:rsidRPr="006B17FE">
        <w:rPr>
          <w:rFonts w:ascii="Arial" w:hAnsi="Arial" w:cs="Arial"/>
          <w:lang w:val="en-GB"/>
        </w:rPr>
        <w:t xml:space="preserve">Note. Higher scores indicate stronger willingness to compete with same sex individuals. </w:t>
      </w:r>
    </w:p>
    <w:p w14:paraId="5747FD50" w14:textId="77777777" w:rsidR="006B17FE" w:rsidRPr="006B17FE" w:rsidRDefault="006B17FE" w:rsidP="006B17FE">
      <w:pPr>
        <w:pStyle w:val="Body"/>
        <w:rPr>
          <w:rFonts w:ascii="Arial" w:hAnsi="Arial" w:cs="Arial"/>
          <w:b/>
          <w:bCs/>
          <w:lang w:val="en-GB"/>
        </w:rPr>
      </w:pPr>
      <w:r w:rsidRPr="006B17FE">
        <w:rPr>
          <w:rFonts w:ascii="Arial" w:hAnsi="Arial" w:cs="Arial"/>
          <w:b/>
          <w:bCs/>
          <w:lang w:val="en-GB"/>
        </w:rPr>
        <w:t>Figure 1. Mean ICS scores (+/- 1 SD) of males and females based on relationship status for both conditions.</w:t>
      </w:r>
    </w:p>
    <w:p w14:paraId="157B89D7" w14:textId="77777777" w:rsidR="006B17FE" w:rsidRPr="006B17FE" w:rsidRDefault="006B17FE" w:rsidP="006B17FE">
      <w:pPr>
        <w:pStyle w:val="Body"/>
        <w:spacing w:after="0"/>
        <w:rPr>
          <w:rFonts w:ascii="Arial" w:hAnsi="Arial" w:cs="Arial"/>
          <w:b/>
          <w:bCs/>
          <w:u w:val="single"/>
          <w:lang w:val="en-GB"/>
        </w:rPr>
      </w:pPr>
      <w:r w:rsidRPr="006B17FE">
        <w:rPr>
          <w:rFonts w:ascii="Arial" w:hAnsi="Arial" w:cs="Arial"/>
          <w:b/>
          <w:bCs/>
          <w:u w:val="single"/>
          <w:lang w:val="en-GB"/>
        </w:rPr>
        <w:t>3.2 Alcohol Purchase Task</w:t>
      </w:r>
    </w:p>
    <w:p w14:paraId="3F63AAF6" w14:textId="77777777" w:rsidR="006B17FE" w:rsidRPr="006B17FE" w:rsidRDefault="006B17FE" w:rsidP="006B17FE">
      <w:pPr>
        <w:pStyle w:val="Body"/>
        <w:spacing w:after="0"/>
        <w:rPr>
          <w:rFonts w:ascii="Arial" w:hAnsi="Arial" w:cs="Arial"/>
          <w:lang w:val="en-GB"/>
        </w:rPr>
      </w:pPr>
      <w:r w:rsidRPr="006B17FE">
        <w:rPr>
          <w:rFonts w:ascii="Arial" w:hAnsi="Arial" w:cs="Arial"/>
          <w:lang w:val="en-GB"/>
        </w:rPr>
        <w:t>To analyse demand curves, data from the Alcohol Purchase Task were fitted using the exponential model described in the methodology. The model showed excellent fit in both conditions, with R² = .98 for the mate abundance group and R² = .99 for the mate scarcity group.</w:t>
      </w:r>
    </w:p>
    <w:p w14:paraId="7DDFB498" w14:textId="77777777" w:rsidR="007478DA" w:rsidRDefault="007478DA" w:rsidP="006B17FE">
      <w:pPr>
        <w:pStyle w:val="Body"/>
        <w:spacing w:after="0"/>
        <w:rPr>
          <w:rFonts w:ascii="Arial" w:hAnsi="Arial" w:cs="Arial"/>
          <w:lang w:val="en-GB"/>
        </w:rPr>
      </w:pPr>
    </w:p>
    <w:p w14:paraId="6DA27F7F" w14:textId="3B7B224D" w:rsidR="006B17FE" w:rsidRDefault="006B17FE" w:rsidP="006B17FE">
      <w:pPr>
        <w:pStyle w:val="Body"/>
        <w:spacing w:after="0"/>
        <w:rPr>
          <w:rFonts w:ascii="Arial" w:hAnsi="Arial" w:cs="Arial"/>
          <w:lang w:val="en-GB"/>
        </w:rPr>
      </w:pPr>
      <w:r w:rsidRPr="006B17FE">
        <w:rPr>
          <w:rFonts w:ascii="Arial" w:hAnsi="Arial" w:cs="Arial"/>
          <w:lang w:val="en-GB"/>
        </w:rPr>
        <w:t>Participants in the mate abundance condition showed a mean Q</w:t>
      </w:r>
      <w:r w:rsidRPr="006B17FE">
        <w:rPr>
          <w:rFonts w:ascii="Cambria Math" w:hAnsi="Cambria Math" w:cs="Cambria Math"/>
          <w:lang w:val="en-GB"/>
        </w:rPr>
        <w:t>₀</w:t>
      </w:r>
      <w:r w:rsidRPr="006B17FE">
        <w:rPr>
          <w:rFonts w:ascii="Arial" w:hAnsi="Arial" w:cs="Arial"/>
          <w:lang w:val="en-GB"/>
        </w:rPr>
        <w:t xml:space="preserve"> of 4.7 (SD = 0.79), while those in the mate scarcity condition had a higher mean Q</w:t>
      </w:r>
      <w:r w:rsidRPr="006B17FE">
        <w:rPr>
          <w:rFonts w:ascii="Cambria Math" w:hAnsi="Cambria Math" w:cs="Cambria Math"/>
          <w:lang w:val="en-GB"/>
        </w:rPr>
        <w:t>₀</w:t>
      </w:r>
      <w:r w:rsidRPr="006B17FE">
        <w:rPr>
          <w:rFonts w:ascii="Arial" w:hAnsi="Arial" w:cs="Arial"/>
          <w:lang w:val="en-GB"/>
        </w:rPr>
        <w:t xml:space="preserve"> of 5.2 (SD = 1.07). Corresponding α values were 0.0063 (SD = 0.0043) for mate abundance and 0.0053 (SD = 0.0041) for mate scarcity. Statistical comparison of these curves revealed that the Q</w:t>
      </w:r>
      <w:r w:rsidRPr="006B17FE">
        <w:rPr>
          <w:rFonts w:ascii="Cambria Math" w:hAnsi="Cambria Math" w:cs="Cambria Math"/>
          <w:lang w:val="en-GB"/>
        </w:rPr>
        <w:t>₀</w:t>
      </w:r>
      <w:r w:rsidRPr="006B17FE">
        <w:rPr>
          <w:rFonts w:ascii="Arial" w:hAnsi="Arial" w:cs="Arial"/>
          <w:lang w:val="en-GB"/>
        </w:rPr>
        <w:t xml:space="preserve"> estimates differed significantly between conditions, </w:t>
      </w:r>
      <w:proofErr w:type="gramStart"/>
      <w:r w:rsidRPr="006B17FE">
        <w:rPr>
          <w:rFonts w:ascii="Arial" w:hAnsi="Arial" w:cs="Arial"/>
          <w:i/>
          <w:iCs/>
          <w:lang w:val="en-GB"/>
        </w:rPr>
        <w:t>F</w:t>
      </w:r>
      <w:r w:rsidRPr="006B17FE">
        <w:rPr>
          <w:rFonts w:ascii="Arial" w:hAnsi="Arial" w:cs="Arial"/>
          <w:lang w:val="en-GB"/>
        </w:rPr>
        <w:t>(</w:t>
      </w:r>
      <w:proofErr w:type="gramEnd"/>
      <w:r w:rsidRPr="006B17FE">
        <w:rPr>
          <w:rFonts w:ascii="Arial" w:hAnsi="Arial" w:cs="Arial"/>
          <w:lang w:val="en-GB"/>
        </w:rPr>
        <w:t xml:space="preserve">1, 21) = 7.60, </w:t>
      </w:r>
      <w:r w:rsidRPr="006B17FE">
        <w:rPr>
          <w:rFonts w:ascii="Arial" w:hAnsi="Arial" w:cs="Arial"/>
          <w:i/>
          <w:iCs/>
          <w:lang w:val="en-GB"/>
        </w:rPr>
        <w:t>p</w:t>
      </w:r>
      <w:r w:rsidRPr="006B17FE">
        <w:rPr>
          <w:rFonts w:ascii="Arial" w:hAnsi="Arial" w:cs="Arial"/>
          <w:lang w:val="en-GB"/>
        </w:rPr>
        <w:t xml:space="preserve"> = .01, indicating greater hypothetical alcohol consumption at zero price under mate scarcity. The α estimates were also significantly different, </w:t>
      </w:r>
      <w:proofErr w:type="gramStart"/>
      <w:r w:rsidRPr="006B17FE">
        <w:rPr>
          <w:rFonts w:ascii="Arial" w:hAnsi="Arial" w:cs="Arial"/>
          <w:i/>
          <w:iCs/>
          <w:lang w:val="en-GB"/>
        </w:rPr>
        <w:t>F</w:t>
      </w:r>
      <w:r w:rsidRPr="006B17FE">
        <w:rPr>
          <w:rFonts w:ascii="Arial" w:hAnsi="Arial" w:cs="Arial"/>
          <w:lang w:val="en-GB"/>
        </w:rPr>
        <w:t>(</w:t>
      </w:r>
      <w:proofErr w:type="gramEnd"/>
      <w:r w:rsidRPr="006B17FE">
        <w:rPr>
          <w:rFonts w:ascii="Arial" w:hAnsi="Arial" w:cs="Arial"/>
          <w:lang w:val="en-GB"/>
        </w:rPr>
        <w:t xml:space="preserve">1, 21) = 21.00, </w:t>
      </w:r>
      <w:r w:rsidRPr="006B17FE">
        <w:rPr>
          <w:rFonts w:ascii="Arial" w:hAnsi="Arial" w:cs="Arial"/>
          <w:i/>
          <w:iCs/>
          <w:lang w:val="en-GB"/>
        </w:rPr>
        <w:t>p</w:t>
      </w:r>
      <w:r w:rsidRPr="006B17FE">
        <w:rPr>
          <w:rFonts w:ascii="Arial" w:hAnsi="Arial" w:cs="Arial"/>
          <w:lang w:val="en-GB"/>
        </w:rPr>
        <w:t xml:space="preserve"> = .001, with a steeper decline in consumption under mate abundance. These findings are consistent with the hypothesis that perceived mate scarcity increases alcohol demand and reduces price sensitivity.</w:t>
      </w:r>
    </w:p>
    <w:p w14:paraId="189D090F" w14:textId="77777777" w:rsidR="006B17FE" w:rsidRPr="006B17FE" w:rsidRDefault="006B17FE" w:rsidP="006B17FE">
      <w:pPr>
        <w:pStyle w:val="Body"/>
        <w:spacing w:after="0"/>
        <w:rPr>
          <w:rFonts w:ascii="Arial" w:hAnsi="Arial" w:cs="Arial"/>
          <w:lang w:val="en-GB"/>
        </w:rPr>
      </w:pPr>
      <w:r w:rsidRPr="006B17FE">
        <w:rPr>
          <w:rFonts w:ascii="Arial" w:hAnsi="Arial" w:cs="Arial"/>
          <w:noProof/>
        </w:rPr>
        <w:lastRenderedPageBreak/>
        <w:drawing>
          <wp:inline distT="0" distB="0" distL="0" distR="0" wp14:anchorId="24E24996" wp14:editId="1CCCDE71">
            <wp:extent cx="6210300" cy="3530600"/>
            <wp:effectExtent l="0" t="0" r="0" b="0"/>
            <wp:docPr id="3" name="Picture 3" descr="A graph of a drink pr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of a drink price&#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10300" cy="3530600"/>
                    </a:xfrm>
                    <a:prstGeom prst="rect">
                      <a:avLst/>
                    </a:prstGeom>
                    <a:noFill/>
                    <a:ln>
                      <a:noFill/>
                    </a:ln>
                  </pic:spPr>
                </pic:pic>
              </a:graphicData>
            </a:graphic>
          </wp:inline>
        </w:drawing>
      </w:r>
    </w:p>
    <w:p w14:paraId="5B714EA0" w14:textId="77777777" w:rsidR="006B17FE" w:rsidRPr="006B17FE" w:rsidRDefault="006B17FE" w:rsidP="006B17FE">
      <w:pPr>
        <w:pStyle w:val="Body"/>
        <w:spacing w:after="0"/>
        <w:rPr>
          <w:rFonts w:ascii="Arial" w:hAnsi="Arial" w:cs="Arial"/>
          <w:b/>
          <w:bCs/>
          <w:lang w:val="en-GB"/>
        </w:rPr>
      </w:pPr>
      <w:r w:rsidRPr="006B17FE">
        <w:rPr>
          <w:rFonts w:ascii="Arial" w:hAnsi="Arial" w:cs="Arial"/>
          <w:b/>
          <w:bCs/>
          <w:lang w:val="en-GB"/>
        </w:rPr>
        <w:t>Figure 2. Demand curve (log consumption; price).  Mean alcohol demand curve for both conditions.</w:t>
      </w:r>
    </w:p>
    <w:p w14:paraId="64EB5B3D" w14:textId="77777777" w:rsidR="006B17FE" w:rsidRPr="006B17FE" w:rsidRDefault="006B17FE" w:rsidP="006B17FE">
      <w:pPr>
        <w:pStyle w:val="Body"/>
        <w:spacing w:after="0"/>
        <w:rPr>
          <w:rFonts w:ascii="Arial" w:hAnsi="Arial" w:cs="Arial"/>
          <w:lang w:val="en-GB"/>
        </w:rPr>
      </w:pPr>
    </w:p>
    <w:p w14:paraId="6DD4A716" w14:textId="77777777" w:rsidR="006B17FE" w:rsidRPr="006B17FE" w:rsidRDefault="006B17FE" w:rsidP="006B17FE">
      <w:pPr>
        <w:pStyle w:val="Body"/>
        <w:spacing w:after="0"/>
        <w:rPr>
          <w:rFonts w:ascii="Arial" w:hAnsi="Arial" w:cs="Arial"/>
          <w:lang w:val="en-GB"/>
        </w:rPr>
      </w:pPr>
      <w:r w:rsidRPr="006B17FE">
        <w:rPr>
          <w:rFonts w:ascii="Arial" w:hAnsi="Arial" w:cs="Arial"/>
          <w:lang w:val="en-GB"/>
        </w:rPr>
        <w:t xml:space="preserve">Analysis of directly observed values (consumption at £0 and maximum expenditure) did not yield significant effects for condition, </w:t>
      </w:r>
      <w:proofErr w:type="gramStart"/>
      <w:r w:rsidRPr="006B17FE">
        <w:rPr>
          <w:rFonts w:ascii="Arial" w:hAnsi="Arial" w:cs="Arial"/>
          <w:i/>
          <w:iCs/>
          <w:lang w:val="en-GB"/>
        </w:rPr>
        <w:t>F</w:t>
      </w:r>
      <w:r w:rsidRPr="006B17FE">
        <w:rPr>
          <w:rFonts w:ascii="Arial" w:hAnsi="Arial" w:cs="Arial"/>
          <w:lang w:val="en-GB"/>
        </w:rPr>
        <w:t>(</w:t>
      </w:r>
      <w:proofErr w:type="gramEnd"/>
      <w:r w:rsidRPr="006B17FE">
        <w:rPr>
          <w:rFonts w:ascii="Arial" w:hAnsi="Arial" w:cs="Arial"/>
          <w:lang w:val="en-GB"/>
        </w:rPr>
        <w:t xml:space="preserve">2, 78) = 0.19, </w:t>
      </w:r>
      <w:r w:rsidRPr="006B17FE">
        <w:rPr>
          <w:rFonts w:ascii="Arial" w:hAnsi="Arial" w:cs="Arial"/>
          <w:i/>
          <w:iCs/>
          <w:lang w:val="en-GB"/>
        </w:rPr>
        <w:t>p</w:t>
      </w:r>
      <w:r w:rsidRPr="006B17FE">
        <w:rPr>
          <w:rFonts w:ascii="Arial" w:hAnsi="Arial" w:cs="Arial"/>
          <w:lang w:val="en-GB"/>
        </w:rPr>
        <w:t xml:space="preserve"> = .82, Wilks’ λ = .99, ηp² = .005, or gender, </w:t>
      </w:r>
      <w:r w:rsidRPr="006B17FE">
        <w:rPr>
          <w:rFonts w:ascii="Arial" w:hAnsi="Arial" w:cs="Arial"/>
          <w:i/>
          <w:iCs/>
          <w:lang w:val="en-GB"/>
        </w:rPr>
        <w:t>F</w:t>
      </w:r>
      <w:r w:rsidRPr="006B17FE">
        <w:rPr>
          <w:rFonts w:ascii="Arial" w:hAnsi="Arial" w:cs="Arial"/>
          <w:lang w:val="en-GB"/>
        </w:rPr>
        <w:t xml:space="preserve">(2, 78) = 1.73, </w:t>
      </w:r>
      <w:r w:rsidRPr="006B17FE">
        <w:rPr>
          <w:rFonts w:ascii="Arial" w:hAnsi="Arial" w:cs="Arial"/>
          <w:i/>
          <w:iCs/>
          <w:lang w:val="en-GB"/>
        </w:rPr>
        <w:t>p</w:t>
      </w:r>
      <w:r w:rsidRPr="006B17FE">
        <w:rPr>
          <w:rFonts w:ascii="Arial" w:hAnsi="Arial" w:cs="Arial"/>
          <w:lang w:val="en-GB"/>
        </w:rPr>
        <w:t xml:space="preserve"> = .18, Wilks’ λ = .96, ηp² = .04. However, relationship status showed a marginally significant effect, </w:t>
      </w:r>
      <w:proofErr w:type="gramStart"/>
      <w:r w:rsidRPr="006B17FE">
        <w:rPr>
          <w:rFonts w:ascii="Arial" w:hAnsi="Arial" w:cs="Arial"/>
          <w:i/>
          <w:iCs/>
          <w:lang w:val="en-GB"/>
        </w:rPr>
        <w:t>F</w:t>
      </w:r>
      <w:r w:rsidRPr="006B17FE">
        <w:rPr>
          <w:rFonts w:ascii="Arial" w:hAnsi="Arial" w:cs="Arial"/>
          <w:lang w:val="en-GB"/>
        </w:rPr>
        <w:t>(</w:t>
      </w:r>
      <w:proofErr w:type="gramEnd"/>
      <w:r w:rsidRPr="006B17FE">
        <w:rPr>
          <w:rFonts w:ascii="Arial" w:hAnsi="Arial" w:cs="Arial"/>
          <w:lang w:val="en-GB"/>
        </w:rPr>
        <w:t xml:space="preserve">4, 156) = 2.43, </w:t>
      </w:r>
      <w:r w:rsidRPr="006B17FE">
        <w:rPr>
          <w:rFonts w:ascii="Arial" w:hAnsi="Arial" w:cs="Arial"/>
          <w:i/>
          <w:iCs/>
          <w:lang w:val="en-GB"/>
        </w:rPr>
        <w:t>p</w:t>
      </w:r>
      <w:r w:rsidRPr="006B17FE">
        <w:rPr>
          <w:rFonts w:ascii="Arial" w:hAnsi="Arial" w:cs="Arial"/>
          <w:lang w:val="en-GB"/>
        </w:rPr>
        <w:t xml:space="preserve"> = .05, Wilks’ λ = .87, ηp² = .06, with single participants tending to report higher alcohol-related outcomes compared to those in romantic relationships. Further pairwise comparisons revealed that this effect was significant only for maximum expenditure, while differences in consumption intensity were not statistically significant.</w:t>
      </w:r>
    </w:p>
    <w:p w14:paraId="120FD90E" w14:textId="77777777" w:rsidR="007478DA" w:rsidRDefault="007478DA" w:rsidP="006B17FE">
      <w:pPr>
        <w:pStyle w:val="Body"/>
        <w:spacing w:after="0"/>
        <w:rPr>
          <w:rFonts w:ascii="Arial" w:hAnsi="Arial" w:cs="Arial"/>
          <w:lang w:val="en-GB"/>
        </w:rPr>
      </w:pPr>
    </w:p>
    <w:p w14:paraId="121AEFDB" w14:textId="4256ABF6" w:rsidR="006B17FE" w:rsidRPr="006B17FE" w:rsidRDefault="006B17FE" w:rsidP="006B17FE">
      <w:pPr>
        <w:pStyle w:val="Body"/>
        <w:spacing w:after="0"/>
        <w:rPr>
          <w:rFonts w:ascii="Arial" w:hAnsi="Arial" w:cs="Arial"/>
          <w:lang w:val="en-GB"/>
        </w:rPr>
      </w:pPr>
      <w:r w:rsidRPr="006B17FE">
        <w:rPr>
          <w:rFonts w:ascii="Arial" w:hAnsi="Arial" w:cs="Arial"/>
          <w:lang w:val="en-GB"/>
        </w:rPr>
        <w:t xml:space="preserve">There was a significant interaction between condition and relationship status, </w:t>
      </w:r>
      <w:proofErr w:type="gramStart"/>
      <w:r w:rsidRPr="006B17FE">
        <w:rPr>
          <w:rFonts w:ascii="Arial" w:hAnsi="Arial" w:cs="Arial"/>
          <w:i/>
          <w:iCs/>
          <w:lang w:val="en-GB"/>
        </w:rPr>
        <w:t>F</w:t>
      </w:r>
      <w:r w:rsidRPr="006B17FE">
        <w:rPr>
          <w:rFonts w:ascii="Arial" w:hAnsi="Arial" w:cs="Arial"/>
          <w:lang w:val="en-GB"/>
        </w:rPr>
        <w:t>(</w:t>
      </w:r>
      <w:proofErr w:type="gramEnd"/>
      <w:r w:rsidRPr="006B17FE">
        <w:rPr>
          <w:rFonts w:ascii="Arial" w:hAnsi="Arial" w:cs="Arial"/>
          <w:lang w:val="en-GB"/>
        </w:rPr>
        <w:t xml:space="preserve">2, 78) = 4.19, </w:t>
      </w:r>
      <w:r w:rsidRPr="006B17FE">
        <w:rPr>
          <w:rFonts w:ascii="Arial" w:hAnsi="Arial" w:cs="Arial"/>
          <w:i/>
          <w:iCs/>
          <w:lang w:val="en-GB"/>
        </w:rPr>
        <w:t>p</w:t>
      </w:r>
      <w:r w:rsidRPr="006B17FE">
        <w:rPr>
          <w:rFonts w:ascii="Arial" w:hAnsi="Arial" w:cs="Arial"/>
          <w:lang w:val="en-GB"/>
        </w:rPr>
        <w:t xml:space="preserve"> = .02, Wilks’ λ = .90, ηp² = .06. Participants in relationships exposed to mate scarcity reported higher consumption intensity and maximum expenditure than those in the same relationship status group under mate abundance. The interaction between condition and gender was not significant, </w:t>
      </w:r>
      <w:proofErr w:type="gramStart"/>
      <w:r w:rsidRPr="006B17FE">
        <w:rPr>
          <w:rFonts w:ascii="Arial" w:hAnsi="Arial" w:cs="Arial"/>
          <w:i/>
          <w:iCs/>
          <w:lang w:val="en-GB"/>
        </w:rPr>
        <w:t>F</w:t>
      </w:r>
      <w:r w:rsidRPr="006B17FE">
        <w:rPr>
          <w:rFonts w:ascii="Arial" w:hAnsi="Arial" w:cs="Arial"/>
          <w:lang w:val="en-GB"/>
        </w:rPr>
        <w:t>(</w:t>
      </w:r>
      <w:proofErr w:type="gramEnd"/>
      <w:r w:rsidRPr="006B17FE">
        <w:rPr>
          <w:rFonts w:ascii="Arial" w:hAnsi="Arial" w:cs="Arial"/>
          <w:lang w:val="en-GB"/>
        </w:rPr>
        <w:t xml:space="preserve">2, 78) = 1.27, </w:t>
      </w:r>
      <w:r w:rsidRPr="006B17FE">
        <w:rPr>
          <w:rFonts w:ascii="Arial" w:hAnsi="Arial" w:cs="Arial"/>
          <w:i/>
          <w:iCs/>
          <w:lang w:val="en-GB"/>
        </w:rPr>
        <w:t>p</w:t>
      </w:r>
      <w:r w:rsidRPr="006B17FE">
        <w:rPr>
          <w:rFonts w:ascii="Arial" w:hAnsi="Arial" w:cs="Arial"/>
          <w:lang w:val="en-GB"/>
        </w:rPr>
        <w:t xml:space="preserve"> = .29, Wilks’ λ = .97, ηp² = .03. However, the three-way interaction among condition, gender, and relationship status was significant, </w:t>
      </w:r>
      <w:proofErr w:type="gramStart"/>
      <w:r w:rsidRPr="006B17FE">
        <w:rPr>
          <w:rFonts w:ascii="Arial" w:hAnsi="Arial" w:cs="Arial"/>
          <w:i/>
          <w:iCs/>
          <w:lang w:val="en-GB"/>
        </w:rPr>
        <w:t>F</w:t>
      </w:r>
      <w:r w:rsidRPr="006B17FE">
        <w:rPr>
          <w:rFonts w:ascii="Arial" w:hAnsi="Arial" w:cs="Arial"/>
          <w:lang w:val="en-GB"/>
        </w:rPr>
        <w:t>(</w:t>
      </w:r>
      <w:proofErr w:type="gramEnd"/>
      <w:r w:rsidRPr="006B17FE">
        <w:rPr>
          <w:rFonts w:ascii="Arial" w:hAnsi="Arial" w:cs="Arial"/>
          <w:lang w:val="en-GB"/>
        </w:rPr>
        <w:t xml:space="preserve">2, 78) = 4.42, </w:t>
      </w:r>
      <w:r w:rsidRPr="006B17FE">
        <w:rPr>
          <w:rFonts w:ascii="Arial" w:hAnsi="Arial" w:cs="Arial"/>
          <w:i/>
          <w:iCs/>
          <w:lang w:val="en-GB"/>
        </w:rPr>
        <w:t>p</w:t>
      </w:r>
      <w:r w:rsidRPr="006B17FE">
        <w:rPr>
          <w:rFonts w:ascii="Arial" w:hAnsi="Arial" w:cs="Arial"/>
          <w:lang w:val="en-GB"/>
        </w:rPr>
        <w:t xml:space="preserve"> = .02, Wilks’ λ = .90, ηp² = .10.</w:t>
      </w:r>
    </w:p>
    <w:p w14:paraId="784D359C" w14:textId="77777777" w:rsidR="007478DA" w:rsidRDefault="007478DA" w:rsidP="006B17FE">
      <w:pPr>
        <w:pStyle w:val="Body"/>
        <w:spacing w:after="0"/>
        <w:rPr>
          <w:rFonts w:ascii="Arial" w:hAnsi="Arial" w:cs="Arial"/>
          <w:lang w:val="en-GB"/>
        </w:rPr>
      </w:pPr>
    </w:p>
    <w:p w14:paraId="2E705796" w14:textId="06F1761F" w:rsidR="006B17FE" w:rsidRPr="006B17FE" w:rsidRDefault="006B17FE" w:rsidP="006B17FE">
      <w:pPr>
        <w:pStyle w:val="Body"/>
        <w:spacing w:after="0"/>
        <w:rPr>
          <w:rFonts w:ascii="Arial" w:hAnsi="Arial" w:cs="Arial"/>
          <w:lang w:val="en-GB"/>
        </w:rPr>
      </w:pPr>
      <w:r w:rsidRPr="006B17FE">
        <w:rPr>
          <w:rFonts w:ascii="Arial" w:hAnsi="Arial" w:cs="Arial"/>
          <w:lang w:val="en-GB"/>
        </w:rPr>
        <w:t>Further analysis showed that males in romantic relationships reported significantly higher consumption intensity and expenditure under mate scarcity compared to those under mate abundance. Additionally, single males in the mate abundance condition showed higher maximum expenditure than single males in the mate scarcity condition.</w:t>
      </w:r>
    </w:p>
    <w:p w14:paraId="32C70FC5" w14:textId="77777777" w:rsidR="006B17FE" w:rsidRPr="006B17FE" w:rsidRDefault="006B17FE" w:rsidP="006B17FE">
      <w:pPr>
        <w:pStyle w:val="Body"/>
        <w:rPr>
          <w:rFonts w:ascii="Arial" w:hAnsi="Arial" w:cs="Arial"/>
          <w:lang w:val="en-GB"/>
        </w:rPr>
      </w:pPr>
      <w:r w:rsidRPr="006B17FE">
        <w:rPr>
          <w:rFonts w:ascii="Arial" w:hAnsi="Arial" w:cs="Arial"/>
          <w:noProof/>
        </w:rPr>
        <w:lastRenderedPageBreak/>
        <w:drawing>
          <wp:inline distT="0" distB="0" distL="0" distR="0" wp14:anchorId="6B90F813" wp14:editId="3389DF33">
            <wp:extent cx="6648450" cy="3391535"/>
            <wp:effectExtent l="0" t="0" r="0" b="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8450" cy="3391535"/>
                    </a:xfrm>
                    <a:prstGeom prst="rect">
                      <a:avLst/>
                    </a:prstGeom>
                    <a:noFill/>
                    <a:ln>
                      <a:noFill/>
                    </a:ln>
                  </pic:spPr>
                </pic:pic>
              </a:graphicData>
            </a:graphic>
          </wp:inline>
        </w:drawing>
      </w:r>
    </w:p>
    <w:p w14:paraId="19B4C898" w14:textId="77777777" w:rsidR="006B17FE" w:rsidRPr="006B17FE" w:rsidRDefault="006B17FE" w:rsidP="006B17FE">
      <w:pPr>
        <w:pStyle w:val="Body"/>
        <w:rPr>
          <w:rFonts w:ascii="Arial" w:hAnsi="Arial" w:cs="Arial"/>
          <w:b/>
          <w:bCs/>
          <w:lang w:val="en-GB"/>
        </w:rPr>
      </w:pPr>
      <w:r w:rsidRPr="006B17FE">
        <w:rPr>
          <w:rFonts w:ascii="Arial" w:hAnsi="Arial" w:cs="Arial"/>
          <w:b/>
          <w:bCs/>
          <w:lang w:val="en-GB"/>
        </w:rPr>
        <w:t>Figure 3. Mean consumption intensity values (+/- 1 SD) for both conditions separated by relationship status and filtered by gender.</w:t>
      </w:r>
    </w:p>
    <w:p w14:paraId="478030C8" w14:textId="77777777" w:rsidR="006B17FE" w:rsidRPr="006B17FE" w:rsidRDefault="006B17FE" w:rsidP="006B17FE">
      <w:pPr>
        <w:pStyle w:val="Body"/>
        <w:rPr>
          <w:rFonts w:ascii="Arial" w:hAnsi="Arial" w:cs="Arial"/>
          <w:lang w:val="en-GB"/>
        </w:rPr>
      </w:pPr>
      <w:r w:rsidRPr="006B17FE">
        <w:rPr>
          <w:rFonts w:ascii="Arial" w:hAnsi="Arial" w:cs="Arial"/>
          <w:noProof/>
        </w:rPr>
        <w:drawing>
          <wp:inline distT="0" distB="0" distL="0" distR="0" wp14:anchorId="4B446964" wp14:editId="1A8BEE35">
            <wp:extent cx="6648450" cy="3391535"/>
            <wp:effectExtent l="0" t="0" r="0" b="0"/>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8450" cy="3391535"/>
                    </a:xfrm>
                    <a:prstGeom prst="rect">
                      <a:avLst/>
                    </a:prstGeom>
                    <a:noFill/>
                    <a:ln>
                      <a:noFill/>
                    </a:ln>
                  </pic:spPr>
                </pic:pic>
              </a:graphicData>
            </a:graphic>
          </wp:inline>
        </w:drawing>
      </w:r>
    </w:p>
    <w:p w14:paraId="1BDC4006" w14:textId="77777777" w:rsidR="006B17FE" w:rsidRPr="006B17FE" w:rsidRDefault="006B17FE" w:rsidP="006B17FE">
      <w:pPr>
        <w:pStyle w:val="Body"/>
        <w:rPr>
          <w:rFonts w:ascii="Arial" w:hAnsi="Arial" w:cs="Arial"/>
          <w:b/>
          <w:bCs/>
          <w:lang w:val="en-GB"/>
        </w:rPr>
      </w:pPr>
      <w:r w:rsidRPr="006B17FE">
        <w:rPr>
          <w:rFonts w:ascii="Arial" w:hAnsi="Arial" w:cs="Arial"/>
          <w:b/>
          <w:bCs/>
          <w:lang w:val="en-GB"/>
        </w:rPr>
        <w:t>Figure 4. Mean maximum expenditure values (+/- 1 SD) for both conditions separated by relationship status and filtered by gender.</w:t>
      </w:r>
    </w:p>
    <w:p w14:paraId="490BEDD3" w14:textId="77777777" w:rsidR="006B17FE" w:rsidRPr="006B17FE" w:rsidRDefault="006B17FE" w:rsidP="006B17FE">
      <w:pPr>
        <w:pStyle w:val="Body"/>
        <w:spacing w:after="0"/>
        <w:rPr>
          <w:rFonts w:ascii="Arial" w:hAnsi="Arial" w:cs="Arial"/>
          <w:b/>
          <w:bCs/>
          <w:u w:val="single"/>
          <w:lang w:val="en-GB"/>
        </w:rPr>
      </w:pPr>
      <w:r w:rsidRPr="006B17FE">
        <w:rPr>
          <w:rFonts w:ascii="Arial" w:hAnsi="Arial" w:cs="Arial"/>
          <w:b/>
          <w:bCs/>
          <w:u w:val="single"/>
          <w:lang w:val="en-GB"/>
        </w:rPr>
        <w:lastRenderedPageBreak/>
        <w:t>3.3 Awareness of Study Purpose</w:t>
      </w:r>
    </w:p>
    <w:p w14:paraId="69AF9D8D" w14:textId="77777777" w:rsidR="006B17FE" w:rsidRDefault="006B17FE" w:rsidP="006B17FE">
      <w:pPr>
        <w:pStyle w:val="Body"/>
        <w:spacing w:after="0"/>
        <w:rPr>
          <w:rFonts w:ascii="Arial" w:hAnsi="Arial" w:cs="Arial"/>
          <w:lang w:val="en-GB"/>
        </w:rPr>
      </w:pPr>
      <w:r w:rsidRPr="006B17FE">
        <w:rPr>
          <w:rFonts w:ascii="Arial" w:hAnsi="Arial" w:cs="Arial"/>
          <w:lang w:val="en-GB"/>
        </w:rPr>
        <w:t>When asked to guess the purpose of the study, 15 participants (16%) provided responses that correctly or partially referenced intrasexual competition. The remaining 77 participants (84%) gave incorrect or unrelated responses. These results suggest that the priming manipulation was subtle enough to avoid demand characteristics for the majority of participants.</w:t>
      </w:r>
    </w:p>
    <w:p w14:paraId="4C9918FB" w14:textId="77777777" w:rsidR="006B17FE" w:rsidRDefault="006B17FE" w:rsidP="006B17FE">
      <w:pPr>
        <w:pStyle w:val="Body"/>
        <w:spacing w:after="0"/>
        <w:rPr>
          <w:rFonts w:ascii="Arial" w:hAnsi="Arial" w:cs="Arial"/>
          <w:lang w:val="en-GB"/>
        </w:rPr>
      </w:pPr>
    </w:p>
    <w:p w14:paraId="4164320C" w14:textId="60DE9596" w:rsidR="00A02487" w:rsidRDefault="00A02487" w:rsidP="00A02487">
      <w:pPr>
        <w:pStyle w:val="Body"/>
        <w:spacing w:after="0"/>
        <w:rPr>
          <w:rFonts w:ascii="Arial" w:hAnsi="Arial" w:cs="Arial"/>
          <w:b/>
          <w:bCs/>
          <w:sz w:val="22"/>
          <w:szCs w:val="22"/>
          <w:lang w:val="en-GB"/>
        </w:rPr>
      </w:pPr>
      <w:r w:rsidRPr="00A02487">
        <w:rPr>
          <w:rFonts w:ascii="Arial" w:hAnsi="Arial" w:cs="Arial"/>
          <w:b/>
          <w:bCs/>
          <w:sz w:val="22"/>
          <w:szCs w:val="22"/>
          <w:lang w:val="en-GB"/>
        </w:rPr>
        <w:t>Discussion</w:t>
      </w:r>
    </w:p>
    <w:p w14:paraId="5AB03B63" w14:textId="77777777" w:rsidR="00A02487" w:rsidRPr="00A02487" w:rsidRDefault="00A02487" w:rsidP="00A02487">
      <w:pPr>
        <w:pStyle w:val="Body"/>
        <w:spacing w:after="0"/>
        <w:rPr>
          <w:rFonts w:ascii="Arial" w:hAnsi="Arial" w:cs="Arial"/>
          <w:b/>
          <w:bCs/>
          <w:sz w:val="22"/>
          <w:szCs w:val="22"/>
          <w:lang w:val="en-GB"/>
        </w:rPr>
      </w:pPr>
    </w:p>
    <w:p w14:paraId="53D07007" w14:textId="77777777" w:rsidR="005E6372" w:rsidRPr="005E6372" w:rsidRDefault="005E6372" w:rsidP="005E6372">
      <w:pPr>
        <w:pStyle w:val="Body"/>
        <w:spacing w:after="0"/>
        <w:rPr>
          <w:rFonts w:ascii="Arial" w:hAnsi="Arial" w:cs="Arial"/>
          <w:lang w:val="en-GB"/>
        </w:rPr>
      </w:pPr>
      <w:r w:rsidRPr="005E6372">
        <w:rPr>
          <w:rFonts w:ascii="Arial" w:hAnsi="Arial" w:cs="Arial"/>
          <w:lang w:val="en-GB"/>
        </w:rPr>
        <w:t>This study aimed to replicate prior findings that perceived mate scarcity increases intrasexual competitiveness and to explore whether this manipulation also influences alcohol consumption behaviour. It additionally examined the moderating roles of gender and relationship status. The results provide partial support for the hypotheses, with significant findings emerging primarily in the domain of alcohol consumption rather than competitiveness.</w:t>
      </w:r>
    </w:p>
    <w:p w14:paraId="78E99D3F" w14:textId="77777777" w:rsidR="007478DA" w:rsidRDefault="007478DA" w:rsidP="005E6372">
      <w:pPr>
        <w:pStyle w:val="Body"/>
        <w:spacing w:after="0"/>
        <w:rPr>
          <w:rFonts w:ascii="Arial" w:hAnsi="Arial" w:cs="Arial"/>
          <w:lang w:val="en-GB"/>
        </w:rPr>
      </w:pPr>
    </w:p>
    <w:p w14:paraId="7E669E3F" w14:textId="4F69DC2D" w:rsidR="005E6372" w:rsidRPr="005E6372" w:rsidRDefault="005E6372" w:rsidP="005E6372">
      <w:pPr>
        <w:pStyle w:val="Body"/>
        <w:spacing w:after="0"/>
        <w:rPr>
          <w:rFonts w:ascii="Arial" w:hAnsi="Arial" w:cs="Arial"/>
          <w:lang w:val="en-GB"/>
        </w:rPr>
      </w:pPr>
      <w:r w:rsidRPr="005E6372">
        <w:rPr>
          <w:rFonts w:ascii="Arial" w:hAnsi="Arial" w:cs="Arial"/>
          <w:lang w:val="en-GB"/>
        </w:rPr>
        <w:t xml:space="preserve">Contrary to expectations and previous research (e.g., </w:t>
      </w:r>
      <w:proofErr w:type="spellStart"/>
      <w:r w:rsidRPr="005E6372">
        <w:rPr>
          <w:rFonts w:ascii="Arial" w:hAnsi="Arial" w:cs="Arial"/>
          <w:lang w:val="en-GB"/>
        </w:rPr>
        <w:t>Arnocky</w:t>
      </w:r>
      <w:proofErr w:type="spellEnd"/>
      <w:r w:rsidRPr="005E6372">
        <w:rPr>
          <w:rFonts w:ascii="Arial" w:hAnsi="Arial" w:cs="Arial"/>
          <w:lang w:val="en-GB"/>
        </w:rPr>
        <w:t xml:space="preserve"> et al., 2014), the manipulation of mate availability did not produce a significant main effect on intrasexual competitiveness. However, interaction effects suggest that relationship status moderates the response to mate availability cues. Specifically, individuals in romantic relationships</w:t>
      </w:r>
      <w:r w:rsidR="007478DA">
        <w:rPr>
          <w:rFonts w:ascii="Arial" w:hAnsi="Arial" w:cs="Arial"/>
          <w:lang w:val="en-GB"/>
        </w:rPr>
        <w:t xml:space="preserve">, </w:t>
      </w:r>
      <w:r w:rsidRPr="005E6372">
        <w:rPr>
          <w:rFonts w:ascii="Arial" w:hAnsi="Arial" w:cs="Arial"/>
          <w:lang w:val="en-GB"/>
        </w:rPr>
        <w:t>particularly females</w:t>
      </w:r>
      <w:r w:rsidR="007478DA">
        <w:rPr>
          <w:rFonts w:ascii="Arial" w:hAnsi="Arial" w:cs="Arial"/>
          <w:lang w:val="en-GB"/>
        </w:rPr>
        <w:t xml:space="preserve">, </w:t>
      </w:r>
      <w:r w:rsidRPr="005E6372">
        <w:rPr>
          <w:rFonts w:ascii="Arial" w:hAnsi="Arial" w:cs="Arial"/>
          <w:lang w:val="en-GB"/>
        </w:rPr>
        <w:t>reported higher competitiveness under mate scarcity compared to single participants. These findings suggest that the priming manipulation may differentially activate mating-related motives depending on one’s current relationship context. It is possible that partnered individuals experience heightened mate guarding or mate retention concerns when scarcity cues are present, especially if they perceive competition for their partner's attention.</w:t>
      </w:r>
    </w:p>
    <w:p w14:paraId="21E757E9" w14:textId="77777777" w:rsidR="007478DA" w:rsidRDefault="007478DA" w:rsidP="005E6372">
      <w:pPr>
        <w:pStyle w:val="Body"/>
        <w:spacing w:after="0"/>
        <w:rPr>
          <w:rFonts w:ascii="Arial" w:hAnsi="Arial" w:cs="Arial"/>
          <w:lang w:val="en-GB"/>
        </w:rPr>
      </w:pPr>
    </w:p>
    <w:p w14:paraId="41D1D1B2" w14:textId="58CF406C" w:rsidR="005E6372" w:rsidRDefault="005E6372" w:rsidP="005E6372">
      <w:pPr>
        <w:pStyle w:val="Body"/>
        <w:spacing w:after="0"/>
        <w:rPr>
          <w:rFonts w:ascii="Arial" w:hAnsi="Arial" w:cs="Arial"/>
          <w:lang w:val="en-GB"/>
        </w:rPr>
      </w:pPr>
      <w:r w:rsidRPr="005E6372">
        <w:rPr>
          <w:rFonts w:ascii="Arial" w:hAnsi="Arial" w:cs="Arial"/>
          <w:lang w:val="en-GB"/>
        </w:rPr>
        <w:t>The null main effect for competitiveness may reflect limitations in the sensitivity of the Intrasexual Competition Scale (ICS), which was designed to assess stable traits rather than transient states. It is also possible that the manipulation itself was insufficiently strong or that its effects decayed before measurement. The absence of a direct manipulation check limits the ability to draw firm conclusions in this regard.</w:t>
      </w:r>
    </w:p>
    <w:p w14:paraId="4CC26A87" w14:textId="77777777" w:rsidR="007478DA" w:rsidRPr="005E6372" w:rsidRDefault="007478DA" w:rsidP="005E6372">
      <w:pPr>
        <w:pStyle w:val="Body"/>
        <w:spacing w:after="0"/>
        <w:rPr>
          <w:rFonts w:ascii="Arial" w:hAnsi="Arial" w:cs="Arial"/>
          <w:lang w:val="en-GB"/>
        </w:rPr>
      </w:pPr>
    </w:p>
    <w:p w14:paraId="2966686A" w14:textId="77777777" w:rsidR="005E6372" w:rsidRPr="005E6372" w:rsidRDefault="005E6372" w:rsidP="005E6372">
      <w:pPr>
        <w:pStyle w:val="Body"/>
        <w:spacing w:after="0"/>
        <w:rPr>
          <w:rFonts w:ascii="Arial" w:hAnsi="Arial" w:cs="Arial"/>
          <w:lang w:val="en-GB"/>
        </w:rPr>
      </w:pPr>
      <w:r w:rsidRPr="005E6372">
        <w:rPr>
          <w:rFonts w:ascii="Arial" w:hAnsi="Arial" w:cs="Arial"/>
          <w:lang w:val="en-GB"/>
        </w:rPr>
        <w:t xml:space="preserve">By contrast, the alcohol-related outcomes provide stronger support for the hypothesised effects. Participants exposed to mate scarcity showed higher hypothetical alcohol consumption and </w:t>
      </w:r>
      <w:proofErr w:type="gramStart"/>
      <w:r w:rsidRPr="005E6372">
        <w:rPr>
          <w:rFonts w:ascii="Arial" w:hAnsi="Arial" w:cs="Arial"/>
          <w:lang w:val="en-GB"/>
        </w:rPr>
        <w:t>reduced price</w:t>
      </w:r>
      <w:proofErr w:type="gramEnd"/>
      <w:r w:rsidRPr="005E6372">
        <w:rPr>
          <w:rFonts w:ascii="Arial" w:hAnsi="Arial" w:cs="Arial"/>
          <w:lang w:val="en-GB"/>
        </w:rPr>
        <w:t xml:space="preserve"> sensitivity on the Alcohol Purchase Task (APT), as reflected in higher Q</w:t>
      </w:r>
      <w:r w:rsidRPr="005E6372">
        <w:rPr>
          <w:rFonts w:ascii="Cambria Math" w:hAnsi="Cambria Math" w:cs="Cambria Math"/>
          <w:lang w:val="en-GB"/>
        </w:rPr>
        <w:t>₀</w:t>
      </w:r>
      <w:r w:rsidRPr="005E6372">
        <w:rPr>
          <w:rFonts w:ascii="Arial" w:hAnsi="Arial" w:cs="Arial"/>
          <w:lang w:val="en-GB"/>
        </w:rPr>
        <w:t xml:space="preserve"> and lower α values. These effects were particularly pronounced among males in romantic relationships, suggesting that alcohol demand may function as a form of costly signalling in mating-relevant contexts. This interpretation aligns with prior research linking risk-taking to status-driven behaviours (</w:t>
      </w:r>
      <w:proofErr w:type="spellStart"/>
      <w:r w:rsidRPr="005E6372">
        <w:rPr>
          <w:rFonts w:ascii="Arial" w:hAnsi="Arial" w:cs="Arial"/>
          <w:lang w:val="en-GB"/>
        </w:rPr>
        <w:t>Griskevicius</w:t>
      </w:r>
      <w:proofErr w:type="spellEnd"/>
      <w:r w:rsidRPr="005E6372">
        <w:rPr>
          <w:rFonts w:ascii="Arial" w:hAnsi="Arial" w:cs="Arial"/>
          <w:lang w:val="en-GB"/>
        </w:rPr>
        <w:t xml:space="preserve"> et al., 2007; Baker &amp; Maner, 2009) and with the idea that alcohol use can serve social and strategic functions within mating dynamics.</w:t>
      </w:r>
    </w:p>
    <w:p w14:paraId="58C080AD" w14:textId="77777777" w:rsidR="005E6372" w:rsidRPr="005E6372" w:rsidRDefault="005E6372" w:rsidP="005E6372">
      <w:pPr>
        <w:pStyle w:val="Body"/>
        <w:spacing w:after="0"/>
        <w:rPr>
          <w:rFonts w:ascii="Arial" w:hAnsi="Arial" w:cs="Arial"/>
          <w:lang w:val="en-GB"/>
        </w:rPr>
      </w:pPr>
      <w:r w:rsidRPr="005E6372">
        <w:rPr>
          <w:rFonts w:ascii="Arial" w:hAnsi="Arial" w:cs="Arial"/>
          <w:lang w:val="en-GB"/>
        </w:rPr>
        <w:t>Interestingly, no significant differences were observed in the directly reported values of observed Q</w:t>
      </w:r>
      <w:r w:rsidRPr="005E6372">
        <w:rPr>
          <w:rFonts w:ascii="Cambria Math" w:hAnsi="Cambria Math" w:cs="Cambria Math"/>
          <w:lang w:val="en-GB"/>
        </w:rPr>
        <w:t>₀</w:t>
      </w:r>
      <w:r w:rsidRPr="005E6372">
        <w:rPr>
          <w:rFonts w:ascii="Arial" w:hAnsi="Arial" w:cs="Arial"/>
          <w:lang w:val="en-GB"/>
        </w:rPr>
        <w:t xml:space="preserve"> and </w:t>
      </w:r>
      <w:proofErr w:type="spellStart"/>
      <w:r w:rsidRPr="005E6372">
        <w:rPr>
          <w:rFonts w:ascii="Arial" w:hAnsi="Arial" w:cs="Arial"/>
          <w:lang w:val="en-GB"/>
        </w:rPr>
        <w:t>Omax</w:t>
      </w:r>
      <w:proofErr w:type="spellEnd"/>
      <w:r w:rsidRPr="005E6372">
        <w:rPr>
          <w:rFonts w:ascii="Arial" w:hAnsi="Arial" w:cs="Arial"/>
          <w:lang w:val="en-GB"/>
        </w:rPr>
        <w:t xml:space="preserve"> across the full sample. However, interaction effects emerged once again: participants in romantic relationships, especially males, showed greater consumption and spending under mate scarcity conditions. Single males, on the other hand, exhibited higher expenditure under mate abundance, a finding that runs counter to initial predictions. One possible interpretation is that single males exposed to abundance cues may perceive greater opportunities for short-term mating and respond with increased display behaviours, including willingness to spend on alcohol.</w:t>
      </w:r>
    </w:p>
    <w:p w14:paraId="5E1AB8C0" w14:textId="77777777" w:rsidR="007478DA" w:rsidRDefault="007478DA" w:rsidP="005E6372">
      <w:pPr>
        <w:pStyle w:val="Body"/>
        <w:spacing w:after="0"/>
        <w:rPr>
          <w:rFonts w:ascii="Arial" w:hAnsi="Arial" w:cs="Arial"/>
          <w:lang w:val="en-GB"/>
        </w:rPr>
      </w:pPr>
    </w:p>
    <w:p w14:paraId="6C154257" w14:textId="252A2D5B" w:rsidR="005E6372" w:rsidRPr="005E6372" w:rsidRDefault="005E6372" w:rsidP="005E6372">
      <w:pPr>
        <w:pStyle w:val="Body"/>
        <w:spacing w:after="0"/>
        <w:rPr>
          <w:rFonts w:ascii="Arial" w:hAnsi="Arial" w:cs="Arial"/>
          <w:lang w:val="en-GB"/>
        </w:rPr>
      </w:pPr>
      <w:r w:rsidRPr="005E6372">
        <w:rPr>
          <w:rFonts w:ascii="Arial" w:hAnsi="Arial" w:cs="Arial"/>
          <w:lang w:val="en-GB"/>
        </w:rPr>
        <w:t xml:space="preserve">These findings raise the possibility that perceived mate availability interacts with mating strategy—conscious or unconscious—to influence economic decisions around alcohol. The results support the argument that alcohol consumption may, in some contexts, be shaped by </w:t>
      </w:r>
      <w:r w:rsidRPr="005E6372">
        <w:rPr>
          <w:rFonts w:ascii="Arial" w:hAnsi="Arial" w:cs="Arial"/>
          <w:lang w:val="en-GB"/>
        </w:rPr>
        <w:lastRenderedPageBreak/>
        <w:t>mating motives and that behavioural economic tools such as the APT can effectively capture these subtle changes.</w:t>
      </w:r>
    </w:p>
    <w:p w14:paraId="7FCC6166" w14:textId="77777777" w:rsidR="007478DA" w:rsidRDefault="007478DA" w:rsidP="005E6372">
      <w:pPr>
        <w:pStyle w:val="Body"/>
        <w:spacing w:after="0"/>
        <w:rPr>
          <w:rFonts w:ascii="Arial" w:hAnsi="Arial" w:cs="Arial"/>
          <w:lang w:val="en-GB"/>
        </w:rPr>
      </w:pPr>
    </w:p>
    <w:p w14:paraId="069EE71D" w14:textId="5CF22E46" w:rsidR="005E6372" w:rsidRPr="005E6372" w:rsidRDefault="005E6372" w:rsidP="005E6372">
      <w:pPr>
        <w:pStyle w:val="Body"/>
        <w:spacing w:after="0"/>
        <w:rPr>
          <w:rFonts w:ascii="Arial" w:hAnsi="Arial" w:cs="Arial"/>
          <w:lang w:val="en-GB"/>
        </w:rPr>
      </w:pPr>
      <w:r w:rsidRPr="005E6372">
        <w:rPr>
          <w:rFonts w:ascii="Arial" w:hAnsi="Arial" w:cs="Arial"/>
          <w:lang w:val="en-GB"/>
        </w:rPr>
        <w:t xml:space="preserve">It is important to acknowledge that </w:t>
      </w:r>
      <w:r w:rsidR="007478DA">
        <w:rPr>
          <w:rFonts w:ascii="Arial" w:hAnsi="Arial" w:cs="Arial"/>
          <w:lang w:val="en-GB"/>
        </w:rPr>
        <w:t>other</w:t>
      </w:r>
      <w:r w:rsidRPr="005E6372">
        <w:rPr>
          <w:rFonts w:ascii="Arial" w:hAnsi="Arial" w:cs="Arial"/>
          <w:lang w:val="en-GB"/>
        </w:rPr>
        <w:t xml:space="preserve"> mechanisms</w:t>
      </w:r>
      <w:r w:rsidR="007478DA">
        <w:rPr>
          <w:rFonts w:ascii="Arial" w:hAnsi="Arial" w:cs="Arial"/>
          <w:lang w:val="en-GB"/>
        </w:rPr>
        <w:t xml:space="preserve"> can be in play,</w:t>
      </w:r>
      <w:r w:rsidRPr="005E6372">
        <w:rPr>
          <w:rFonts w:ascii="Arial" w:hAnsi="Arial" w:cs="Arial"/>
          <w:lang w:val="en-GB"/>
        </w:rPr>
        <w:t xml:space="preserve"> including changes in self-esteem, testosterone levels, or anxiety,</w:t>
      </w:r>
      <w:r w:rsidR="007478DA">
        <w:rPr>
          <w:rFonts w:ascii="Arial" w:hAnsi="Arial" w:cs="Arial"/>
          <w:lang w:val="en-GB"/>
        </w:rPr>
        <w:t xml:space="preserve"> which</w:t>
      </w:r>
      <w:r w:rsidRPr="005E6372">
        <w:rPr>
          <w:rFonts w:ascii="Arial" w:hAnsi="Arial" w:cs="Arial"/>
          <w:lang w:val="en-GB"/>
        </w:rPr>
        <w:t xml:space="preserve"> were not directly measured. While speculative explanations based on these variables are theoretically grounded (e.g., Bernhardt et al., 1998; Nepomuceno &amp; Stenstrom, 2021), they require empirical testing in future research. For example, measuring circulating testosterone or incorporating validated self-esteem and anxiety scales would allow for more robust conclusions about mediation effects.</w:t>
      </w:r>
    </w:p>
    <w:p w14:paraId="1914FF68" w14:textId="77777777" w:rsidR="005E6372" w:rsidRPr="005E6372" w:rsidRDefault="005E6372" w:rsidP="005E6372">
      <w:pPr>
        <w:pStyle w:val="Body"/>
        <w:spacing w:after="0"/>
        <w:rPr>
          <w:rFonts w:ascii="Arial" w:hAnsi="Arial" w:cs="Arial"/>
          <w:lang w:val="en-GB"/>
        </w:rPr>
      </w:pPr>
      <w:r w:rsidRPr="005E6372">
        <w:rPr>
          <w:rFonts w:ascii="Arial" w:hAnsi="Arial" w:cs="Arial"/>
          <w:lang w:val="en-GB"/>
        </w:rPr>
        <w:t>Taken together, the results suggest that mating-related environmental cues can influence behavioural decision-making around alcohol, particularly among individuals in romantic relationships. These findings add to a growing body of research indicating that evolutionary motives extend beyond social cognition to affect consumption and health behaviours. They also highlight the importance of considering gender and relational context when interpreting these effects.</w:t>
      </w:r>
    </w:p>
    <w:p w14:paraId="14A5356D" w14:textId="77777777" w:rsidR="00A02487" w:rsidRDefault="00A02487" w:rsidP="00A02487">
      <w:pPr>
        <w:pStyle w:val="Body"/>
        <w:spacing w:after="0"/>
        <w:rPr>
          <w:rFonts w:ascii="Arial" w:hAnsi="Arial" w:cs="Arial"/>
          <w:lang w:val="en-GB"/>
        </w:rPr>
      </w:pPr>
    </w:p>
    <w:p w14:paraId="12DB6CE2" w14:textId="7614F74D" w:rsidR="00A02487" w:rsidRPr="00A02487" w:rsidRDefault="00A02487" w:rsidP="00A02487">
      <w:pPr>
        <w:pStyle w:val="Body"/>
        <w:spacing w:after="0"/>
        <w:rPr>
          <w:rFonts w:ascii="Arial" w:hAnsi="Arial" w:cs="Arial"/>
          <w:b/>
          <w:bCs/>
          <w:u w:val="single"/>
          <w:lang w:val="en-GB"/>
        </w:rPr>
      </w:pPr>
      <w:r w:rsidRPr="00A02487">
        <w:rPr>
          <w:rFonts w:ascii="Arial" w:hAnsi="Arial" w:cs="Arial"/>
          <w:b/>
          <w:bCs/>
          <w:u w:val="single"/>
          <w:lang w:val="en-GB"/>
        </w:rPr>
        <w:t>4.</w:t>
      </w:r>
      <w:r>
        <w:rPr>
          <w:rFonts w:ascii="Arial" w:hAnsi="Arial" w:cs="Arial"/>
          <w:b/>
          <w:bCs/>
          <w:u w:val="single"/>
          <w:lang w:val="en-GB"/>
        </w:rPr>
        <w:t>4</w:t>
      </w:r>
      <w:r w:rsidRPr="00A02487">
        <w:rPr>
          <w:rFonts w:ascii="Arial" w:hAnsi="Arial" w:cs="Arial"/>
          <w:b/>
          <w:bCs/>
          <w:u w:val="single"/>
          <w:lang w:val="en-GB"/>
        </w:rPr>
        <w:t xml:space="preserve"> </w:t>
      </w:r>
      <w:r>
        <w:rPr>
          <w:rFonts w:ascii="Arial" w:hAnsi="Arial" w:cs="Arial"/>
          <w:b/>
          <w:bCs/>
          <w:u w:val="single"/>
          <w:lang w:val="en-GB"/>
        </w:rPr>
        <w:t>Limitations and Future Directions</w:t>
      </w:r>
    </w:p>
    <w:p w14:paraId="66D67440" w14:textId="77777777" w:rsidR="00A02487" w:rsidRPr="00A02487" w:rsidRDefault="00A02487" w:rsidP="00A02487">
      <w:pPr>
        <w:pStyle w:val="Body"/>
        <w:spacing w:after="0"/>
        <w:rPr>
          <w:rFonts w:ascii="Arial" w:hAnsi="Arial" w:cs="Arial"/>
          <w:lang w:val="en-GB"/>
        </w:rPr>
      </w:pPr>
    </w:p>
    <w:p w14:paraId="4EA5577C" w14:textId="77777777" w:rsidR="006B17FE" w:rsidRPr="006B17FE" w:rsidRDefault="006B17FE" w:rsidP="006B17FE">
      <w:pPr>
        <w:pStyle w:val="Body"/>
        <w:spacing w:after="0"/>
        <w:rPr>
          <w:rFonts w:ascii="Arial" w:hAnsi="Arial" w:cs="Arial"/>
          <w:lang w:val="en-GB"/>
        </w:rPr>
      </w:pPr>
    </w:p>
    <w:p w14:paraId="39423434" w14:textId="77777777" w:rsidR="00117BF9" w:rsidRPr="00117BF9" w:rsidRDefault="00117BF9" w:rsidP="00117BF9">
      <w:pPr>
        <w:pStyle w:val="Body"/>
        <w:spacing w:after="0"/>
        <w:rPr>
          <w:rFonts w:ascii="Arial" w:hAnsi="Arial" w:cs="Arial"/>
          <w:lang w:val="en-GB"/>
        </w:rPr>
      </w:pPr>
      <w:r w:rsidRPr="00117BF9">
        <w:rPr>
          <w:rFonts w:ascii="Arial" w:hAnsi="Arial" w:cs="Arial"/>
          <w:lang w:val="en-GB"/>
        </w:rPr>
        <w:t>This study has several limitations that should be considered. First, the absence of a manipulation check limits confidence in whether perceived mate availability was successfully altered, particularly given the null findings on intrasexual competitiveness (</w:t>
      </w:r>
      <w:proofErr w:type="spellStart"/>
      <w:r w:rsidRPr="00117BF9">
        <w:rPr>
          <w:rFonts w:ascii="Arial" w:hAnsi="Arial" w:cs="Arial"/>
          <w:lang w:val="en-GB"/>
        </w:rPr>
        <w:t>Arnocky</w:t>
      </w:r>
      <w:proofErr w:type="spellEnd"/>
      <w:r w:rsidRPr="00117BF9">
        <w:rPr>
          <w:rFonts w:ascii="Arial" w:hAnsi="Arial" w:cs="Arial"/>
          <w:lang w:val="en-GB"/>
        </w:rPr>
        <w:t xml:space="preserve"> et al., 2014). Future studies should directly assess participants’ perceptions post-priming.</w:t>
      </w:r>
    </w:p>
    <w:p w14:paraId="7C974872" w14:textId="77777777" w:rsidR="00B24354" w:rsidRDefault="00B24354" w:rsidP="00117BF9">
      <w:pPr>
        <w:pStyle w:val="Body"/>
        <w:spacing w:after="0"/>
        <w:rPr>
          <w:rFonts w:ascii="Arial" w:hAnsi="Arial" w:cs="Arial"/>
          <w:lang w:val="en-GB"/>
        </w:rPr>
      </w:pPr>
    </w:p>
    <w:p w14:paraId="3BD981B0" w14:textId="55E63BF7" w:rsidR="00117BF9" w:rsidRPr="00117BF9" w:rsidRDefault="00117BF9" w:rsidP="00117BF9">
      <w:pPr>
        <w:pStyle w:val="Body"/>
        <w:spacing w:after="0"/>
        <w:rPr>
          <w:rFonts w:ascii="Arial" w:hAnsi="Arial" w:cs="Arial"/>
          <w:lang w:val="en-GB"/>
        </w:rPr>
      </w:pPr>
      <w:r w:rsidRPr="00117BF9">
        <w:rPr>
          <w:rFonts w:ascii="Arial" w:hAnsi="Arial" w:cs="Arial"/>
          <w:lang w:val="en-GB"/>
        </w:rPr>
        <w:t>Second, the Intrasexual Competition Scale may have lacked sensitivity to detect subtle, situational changes in competitiveness, particularly in older or more diverse samples. Prior research has shown the scale performs well in younger student populations (</w:t>
      </w:r>
      <w:proofErr w:type="spellStart"/>
      <w:r w:rsidRPr="00117BF9">
        <w:rPr>
          <w:rFonts w:ascii="Arial" w:hAnsi="Arial" w:cs="Arial"/>
          <w:lang w:val="en-GB"/>
        </w:rPr>
        <w:t>Buunk</w:t>
      </w:r>
      <w:proofErr w:type="spellEnd"/>
      <w:r w:rsidRPr="00117BF9">
        <w:rPr>
          <w:rFonts w:ascii="Arial" w:hAnsi="Arial" w:cs="Arial"/>
          <w:lang w:val="en-GB"/>
        </w:rPr>
        <w:t xml:space="preserve"> &amp; Fisher, 2009), but further validation in broader samples is warranted.</w:t>
      </w:r>
    </w:p>
    <w:p w14:paraId="2343EB2F" w14:textId="77777777" w:rsidR="00B24354" w:rsidRDefault="00B24354" w:rsidP="00117BF9">
      <w:pPr>
        <w:pStyle w:val="Body"/>
        <w:spacing w:after="0"/>
        <w:rPr>
          <w:rFonts w:ascii="Arial" w:hAnsi="Arial" w:cs="Arial"/>
          <w:lang w:val="en-GB"/>
        </w:rPr>
      </w:pPr>
    </w:p>
    <w:p w14:paraId="22510BC4" w14:textId="1DDD521E" w:rsidR="00117BF9" w:rsidRPr="00117BF9" w:rsidRDefault="00117BF9" w:rsidP="00117BF9">
      <w:pPr>
        <w:pStyle w:val="Body"/>
        <w:spacing w:after="0"/>
        <w:rPr>
          <w:rFonts w:ascii="Arial" w:hAnsi="Arial" w:cs="Arial"/>
          <w:lang w:val="en-GB"/>
        </w:rPr>
      </w:pPr>
      <w:r w:rsidRPr="00117BF9">
        <w:rPr>
          <w:rFonts w:ascii="Arial" w:hAnsi="Arial" w:cs="Arial"/>
          <w:lang w:val="en-GB"/>
        </w:rPr>
        <w:t xml:space="preserve">Third, while participants were recruited from the UK and Lithuania, nationality and cultural background were not recorded or analysed. Cultural differences </w:t>
      </w:r>
      <w:r w:rsidR="00B24354">
        <w:rPr>
          <w:rFonts w:ascii="Arial" w:hAnsi="Arial" w:cs="Arial"/>
          <w:lang w:val="en-GB"/>
        </w:rPr>
        <w:t>could have</w:t>
      </w:r>
      <w:r w:rsidRPr="00117BF9">
        <w:rPr>
          <w:rFonts w:ascii="Arial" w:hAnsi="Arial" w:cs="Arial"/>
          <w:lang w:val="en-GB"/>
        </w:rPr>
        <w:t xml:space="preserve"> influence</w:t>
      </w:r>
      <w:r w:rsidR="00B24354">
        <w:rPr>
          <w:rFonts w:ascii="Arial" w:hAnsi="Arial" w:cs="Arial"/>
          <w:lang w:val="en-GB"/>
        </w:rPr>
        <w:t>d</w:t>
      </w:r>
      <w:r w:rsidRPr="00117BF9">
        <w:rPr>
          <w:rFonts w:ascii="Arial" w:hAnsi="Arial" w:cs="Arial"/>
          <w:lang w:val="en-GB"/>
        </w:rPr>
        <w:t xml:space="preserve"> both mating norms and drinking behaviours</w:t>
      </w:r>
      <w:r>
        <w:rPr>
          <w:rFonts w:ascii="Arial" w:hAnsi="Arial" w:cs="Arial"/>
          <w:lang w:val="en-GB"/>
        </w:rPr>
        <w:t xml:space="preserve">, </w:t>
      </w:r>
      <w:r w:rsidRPr="00117BF9">
        <w:rPr>
          <w:rFonts w:ascii="Arial" w:hAnsi="Arial" w:cs="Arial"/>
          <w:lang w:val="en-GB"/>
        </w:rPr>
        <w:t>and future studies should control for or compare across national contexts.</w:t>
      </w:r>
    </w:p>
    <w:p w14:paraId="6BE35D6D" w14:textId="77777777" w:rsidR="00B24354" w:rsidRDefault="00B24354" w:rsidP="00117BF9">
      <w:pPr>
        <w:pStyle w:val="Body"/>
        <w:spacing w:after="0"/>
        <w:rPr>
          <w:rFonts w:ascii="Arial" w:hAnsi="Arial" w:cs="Arial"/>
          <w:lang w:val="en-GB"/>
        </w:rPr>
      </w:pPr>
    </w:p>
    <w:p w14:paraId="1A3D14FA" w14:textId="2C985AE2" w:rsidR="00117BF9" w:rsidRPr="00117BF9" w:rsidRDefault="00117BF9" w:rsidP="00117BF9">
      <w:pPr>
        <w:pStyle w:val="Body"/>
        <w:spacing w:after="0"/>
        <w:rPr>
          <w:rFonts w:ascii="Arial" w:hAnsi="Arial" w:cs="Arial"/>
          <w:lang w:val="en-GB"/>
        </w:rPr>
      </w:pPr>
      <w:r w:rsidRPr="00117BF9">
        <w:rPr>
          <w:rFonts w:ascii="Arial" w:hAnsi="Arial" w:cs="Arial"/>
          <w:lang w:val="en-GB"/>
        </w:rPr>
        <w:t>Fourth, socioeconomic variables such as income</w:t>
      </w:r>
      <w:r>
        <w:rPr>
          <w:rFonts w:ascii="Arial" w:hAnsi="Arial" w:cs="Arial"/>
          <w:lang w:val="en-GB"/>
        </w:rPr>
        <w:t xml:space="preserve"> </w:t>
      </w:r>
      <w:r w:rsidRPr="00117BF9">
        <w:rPr>
          <w:rFonts w:ascii="Arial" w:hAnsi="Arial" w:cs="Arial"/>
          <w:lang w:val="en-GB"/>
        </w:rPr>
        <w:t>which may influence alcohol purchasing patterns and price sensitivity (Hursh &amp; Silberberg, 2008)</w:t>
      </w:r>
      <w:r>
        <w:rPr>
          <w:rFonts w:ascii="Arial" w:hAnsi="Arial" w:cs="Arial"/>
          <w:lang w:val="en-GB"/>
        </w:rPr>
        <w:t xml:space="preserve"> </w:t>
      </w:r>
      <w:r w:rsidRPr="00117BF9">
        <w:rPr>
          <w:rFonts w:ascii="Arial" w:hAnsi="Arial" w:cs="Arial"/>
          <w:lang w:val="en-GB"/>
        </w:rPr>
        <w:t>were not measured. Including these variables could clarify the interpretation of demand curve parameters.</w:t>
      </w:r>
    </w:p>
    <w:p w14:paraId="26AC02D0" w14:textId="77777777" w:rsidR="00B24354" w:rsidRDefault="00B24354" w:rsidP="00117BF9">
      <w:pPr>
        <w:pStyle w:val="Body"/>
        <w:spacing w:after="0"/>
        <w:rPr>
          <w:rFonts w:ascii="Arial" w:hAnsi="Arial" w:cs="Arial"/>
          <w:lang w:val="en-GB"/>
        </w:rPr>
      </w:pPr>
    </w:p>
    <w:p w14:paraId="345A8C32" w14:textId="3F4A07CE" w:rsidR="00117BF9" w:rsidRPr="00117BF9" w:rsidRDefault="00117BF9" w:rsidP="00117BF9">
      <w:pPr>
        <w:pStyle w:val="Body"/>
        <w:spacing w:after="0"/>
        <w:rPr>
          <w:rFonts w:ascii="Arial" w:hAnsi="Arial" w:cs="Arial"/>
        </w:rPr>
      </w:pPr>
      <w:r w:rsidRPr="00117BF9">
        <w:rPr>
          <w:rFonts w:ascii="Arial" w:hAnsi="Arial" w:cs="Arial"/>
          <w:lang w:val="en-GB"/>
        </w:rPr>
        <w:t>Finally</w:t>
      </w:r>
      <w:r w:rsidR="00B24354">
        <w:rPr>
          <w:rFonts w:ascii="Arial" w:hAnsi="Arial" w:cs="Arial"/>
          <w:lang w:val="en-GB"/>
        </w:rPr>
        <w:t xml:space="preserve">, </w:t>
      </w:r>
      <w:r w:rsidR="00B24354" w:rsidRPr="00B24354">
        <w:rPr>
          <w:rFonts w:ascii="Arial" w:hAnsi="Arial" w:cs="Arial"/>
          <w:lang w:val="en-GB"/>
        </w:rPr>
        <w:t>random attention checks were not used in the present study which could have affected the quality of the data.</w:t>
      </w:r>
      <w:r w:rsidR="00B24354" w:rsidRPr="00B24354">
        <w:t xml:space="preserve"> </w:t>
      </w:r>
      <w:r w:rsidR="00B24354" w:rsidRPr="00B24354">
        <w:rPr>
          <w:rFonts w:ascii="Arial" w:hAnsi="Arial" w:cs="Arial"/>
          <w:lang w:val="en-GB"/>
        </w:rPr>
        <w:t xml:space="preserve">inclusion of random attention checks should be considered. This could help </w:t>
      </w:r>
      <w:r w:rsidR="00B24354">
        <w:rPr>
          <w:rFonts w:ascii="Arial" w:hAnsi="Arial" w:cs="Arial"/>
          <w:lang w:val="en-GB"/>
        </w:rPr>
        <w:t>ensure</w:t>
      </w:r>
      <w:r w:rsidR="00B24354" w:rsidRPr="00B24354">
        <w:rPr>
          <w:rFonts w:ascii="Arial" w:hAnsi="Arial" w:cs="Arial"/>
          <w:lang w:val="en-GB"/>
        </w:rPr>
        <w:t xml:space="preserve"> engagement in priming task and</w:t>
      </w:r>
      <w:r w:rsidR="00B24354">
        <w:rPr>
          <w:rFonts w:ascii="Arial" w:hAnsi="Arial" w:cs="Arial"/>
          <w:lang w:val="en-GB"/>
        </w:rPr>
        <w:t xml:space="preserve"> </w:t>
      </w:r>
      <w:r w:rsidR="00B24354" w:rsidRPr="00B24354">
        <w:rPr>
          <w:rFonts w:ascii="Arial" w:hAnsi="Arial" w:cs="Arial"/>
          <w:lang w:val="en-GB"/>
        </w:rPr>
        <w:t>improve the quality of data.</w:t>
      </w:r>
    </w:p>
    <w:p w14:paraId="06DDF923" w14:textId="77777777" w:rsidR="00671C94" w:rsidRPr="006B17FE" w:rsidRDefault="00671C94" w:rsidP="00441B6F">
      <w:pPr>
        <w:pStyle w:val="Body"/>
        <w:spacing w:after="0"/>
        <w:rPr>
          <w:rFonts w:ascii="Arial" w:hAnsi="Arial" w:cs="Arial"/>
          <w:lang w:val="en-GB"/>
        </w:rPr>
      </w:pPr>
    </w:p>
    <w:p w14:paraId="72943AAA" w14:textId="77777777" w:rsidR="00790ADA" w:rsidRPr="00FB3A86" w:rsidRDefault="00790ADA" w:rsidP="00441B6F">
      <w:pPr>
        <w:pStyle w:val="Body"/>
        <w:spacing w:after="0"/>
        <w:rPr>
          <w:rFonts w:ascii="Arial" w:hAnsi="Arial" w:cs="Arial"/>
        </w:rPr>
      </w:pPr>
    </w:p>
    <w:p w14:paraId="3B9B6D77"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54C342AC" w14:textId="77777777" w:rsidR="00790ADA" w:rsidRPr="00FB3A86" w:rsidRDefault="00790ADA" w:rsidP="00441B6F">
      <w:pPr>
        <w:pStyle w:val="ConcHead"/>
        <w:spacing w:after="0"/>
        <w:jc w:val="both"/>
        <w:rPr>
          <w:rFonts w:ascii="Arial" w:hAnsi="Arial" w:cs="Arial"/>
        </w:rPr>
      </w:pPr>
    </w:p>
    <w:p w14:paraId="0163A811" w14:textId="77777777" w:rsidR="005E6372" w:rsidRPr="005E6372" w:rsidRDefault="005E6372" w:rsidP="005E6372">
      <w:pPr>
        <w:pStyle w:val="Body"/>
        <w:spacing w:after="0"/>
        <w:rPr>
          <w:rFonts w:ascii="Arial" w:hAnsi="Arial" w:cs="Arial"/>
          <w:lang w:val="en-GB"/>
        </w:rPr>
      </w:pPr>
      <w:r w:rsidRPr="005E6372">
        <w:rPr>
          <w:rFonts w:ascii="Arial" w:hAnsi="Arial" w:cs="Arial"/>
          <w:lang w:val="en-GB"/>
        </w:rPr>
        <w:t xml:space="preserve">This study investigated the effects of perceived mate availability on intrasexual competitiveness and alcohol-related decision-making. While no overall increase in competitiveness was observed, interaction effects suggest that relationship status, especially among females, may moderate responsiveness to mating cues. More robust effects were observed on hypothetical alcohol demand: mate scarcity increased estimated consumption and </w:t>
      </w:r>
      <w:proofErr w:type="gramStart"/>
      <w:r w:rsidRPr="005E6372">
        <w:rPr>
          <w:rFonts w:ascii="Arial" w:hAnsi="Arial" w:cs="Arial"/>
          <w:lang w:val="en-GB"/>
        </w:rPr>
        <w:t>reduced price</w:t>
      </w:r>
      <w:proofErr w:type="gramEnd"/>
      <w:r w:rsidRPr="005E6372">
        <w:rPr>
          <w:rFonts w:ascii="Arial" w:hAnsi="Arial" w:cs="Arial"/>
          <w:lang w:val="en-GB"/>
        </w:rPr>
        <w:t xml:space="preserve"> sensitivity, particularly among males in relationships. These findings partially support evolutionary models of mating-related behaviour and provide preliminary </w:t>
      </w:r>
      <w:r w:rsidRPr="005E6372">
        <w:rPr>
          <w:rFonts w:ascii="Arial" w:hAnsi="Arial" w:cs="Arial"/>
          <w:lang w:val="en-GB"/>
        </w:rPr>
        <w:lastRenderedPageBreak/>
        <w:t>evidence that mating motives may influence economic decision-making around alcohol. Future research should incorporate manipulation checks, include cultural and socioeconomic variables, and use more sensitive measures to clarify these mechanisms.</w:t>
      </w:r>
    </w:p>
    <w:p w14:paraId="2AFDA4E1" w14:textId="77777777" w:rsidR="00790ADA" w:rsidRPr="00117BF9" w:rsidRDefault="00790ADA" w:rsidP="00441B6F">
      <w:pPr>
        <w:pStyle w:val="Body"/>
        <w:spacing w:after="0"/>
        <w:rPr>
          <w:rFonts w:ascii="Arial" w:hAnsi="Arial" w:cs="Arial"/>
          <w:lang w:val="en-GB"/>
        </w:rPr>
      </w:pPr>
    </w:p>
    <w:p w14:paraId="0404026C" w14:textId="77777777" w:rsidR="00860000" w:rsidRDefault="00860000" w:rsidP="00441B6F">
      <w:pPr>
        <w:pStyle w:val="ReferHead"/>
        <w:spacing w:after="0"/>
        <w:jc w:val="both"/>
        <w:rPr>
          <w:rFonts w:ascii="Arial" w:hAnsi="Arial" w:cs="Arial"/>
        </w:rPr>
      </w:pPr>
    </w:p>
    <w:p w14:paraId="28DDA242"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9A67A38" w14:textId="77777777" w:rsidR="00790ADA" w:rsidRPr="00FB3A86" w:rsidRDefault="00790ADA" w:rsidP="00441B6F">
      <w:pPr>
        <w:pStyle w:val="ReferHead"/>
        <w:spacing w:after="0"/>
        <w:jc w:val="both"/>
        <w:rPr>
          <w:rFonts w:ascii="Arial" w:hAnsi="Arial" w:cs="Arial"/>
        </w:rPr>
      </w:pPr>
    </w:p>
    <w:p w14:paraId="303E71D7" w14:textId="77777777" w:rsidR="006E0066" w:rsidRPr="006E0066" w:rsidRDefault="006E0066" w:rsidP="006E0066">
      <w:pPr>
        <w:pStyle w:val="Body"/>
        <w:spacing w:after="0"/>
        <w:rPr>
          <w:lang w:val="en-GB"/>
        </w:rPr>
      </w:pPr>
      <w:bookmarkStart w:id="1" w:name="Snider"/>
      <w:r w:rsidRPr="006E0066">
        <w:rPr>
          <w:lang w:val="en-GB"/>
        </w:rPr>
        <w:t xml:space="preserve">Amlung, M. T., Acker, J., Stojek, M. K., Murphy, J. G., &amp; Mackillop, J. (2012). Is Talk “Cheap”? An Initial Investigation of the Equivalence of Alcohol Purchase Task Performance for Hypothetical and Actual Rewards. </w:t>
      </w:r>
      <w:r w:rsidRPr="006E0066">
        <w:rPr>
          <w:i/>
          <w:iCs/>
          <w:lang w:val="en-GB"/>
        </w:rPr>
        <w:t>Alcoholism: Clinical and Experimental Research</w:t>
      </w:r>
      <w:r w:rsidRPr="006E0066">
        <w:rPr>
          <w:lang w:val="en-GB"/>
        </w:rPr>
        <w:t xml:space="preserve">, </w:t>
      </w:r>
      <w:r w:rsidRPr="006E0066">
        <w:rPr>
          <w:i/>
          <w:iCs/>
          <w:lang w:val="en-GB"/>
        </w:rPr>
        <w:t>36</w:t>
      </w:r>
      <w:r w:rsidRPr="006E0066">
        <w:rPr>
          <w:lang w:val="en-GB"/>
        </w:rPr>
        <w:t xml:space="preserve">(4), 716–724. </w:t>
      </w:r>
      <w:hyperlink r:id="rId18" w:history="1">
        <w:r w:rsidRPr="006E0066">
          <w:rPr>
            <w:rStyle w:val="Hyperlink"/>
            <w:lang w:val="en-GB"/>
          </w:rPr>
          <w:t>https://doi.org/10.1111/j.1530-0277.2011.01656.x</w:t>
        </w:r>
      </w:hyperlink>
    </w:p>
    <w:p w14:paraId="08B58E2A" w14:textId="77777777" w:rsidR="006E0066" w:rsidRDefault="006E0066" w:rsidP="006E0066">
      <w:pPr>
        <w:pStyle w:val="Body"/>
        <w:spacing w:after="0"/>
        <w:rPr>
          <w:lang w:val="en-GB"/>
        </w:rPr>
      </w:pPr>
    </w:p>
    <w:p w14:paraId="66A21520" w14:textId="2C59B65B" w:rsidR="006E0066" w:rsidRPr="006E0066" w:rsidRDefault="006E0066" w:rsidP="006E0066">
      <w:pPr>
        <w:pStyle w:val="Body"/>
        <w:spacing w:after="0"/>
        <w:rPr>
          <w:lang w:val="en-GB"/>
        </w:rPr>
      </w:pPr>
      <w:proofErr w:type="spellStart"/>
      <w:r w:rsidRPr="006E0066">
        <w:rPr>
          <w:lang w:val="en-GB"/>
        </w:rPr>
        <w:t>Arnocky</w:t>
      </w:r>
      <w:proofErr w:type="spellEnd"/>
      <w:r w:rsidRPr="006E0066">
        <w:rPr>
          <w:lang w:val="en-GB"/>
        </w:rPr>
        <w:t xml:space="preserve">, S., </w:t>
      </w:r>
      <w:proofErr w:type="spellStart"/>
      <w:r w:rsidRPr="006E0066">
        <w:rPr>
          <w:lang w:val="en-GB"/>
        </w:rPr>
        <w:t>Ribout</w:t>
      </w:r>
      <w:proofErr w:type="spellEnd"/>
      <w:r w:rsidRPr="006E0066">
        <w:rPr>
          <w:lang w:val="en-GB"/>
        </w:rPr>
        <w:t xml:space="preserve">, A., Mirza, R. S., &amp; Knack, J. M. (2014). Perceived mate availability influences intrasexual competition, jealousy and mate-guarding </w:t>
      </w:r>
      <w:proofErr w:type="spellStart"/>
      <w:r w:rsidRPr="006E0066">
        <w:rPr>
          <w:lang w:val="en-GB"/>
        </w:rPr>
        <w:t>behavior</w:t>
      </w:r>
      <w:proofErr w:type="spellEnd"/>
      <w:r w:rsidRPr="006E0066">
        <w:rPr>
          <w:lang w:val="en-GB"/>
        </w:rPr>
        <w:t xml:space="preserve">. </w:t>
      </w:r>
      <w:r w:rsidRPr="006E0066">
        <w:rPr>
          <w:i/>
          <w:iCs/>
          <w:lang w:val="en-GB"/>
        </w:rPr>
        <w:t>Journal of Evolutionary Psychology</w:t>
      </w:r>
      <w:r w:rsidRPr="006E0066">
        <w:rPr>
          <w:lang w:val="en-GB"/>
        </w:rPr>
        <w:t xml:space="preserve">, </w:t>
      </w:r>
      <w:r w:rsidRPr="006E0066">
        <w:rPr>
          <w:i/>
          <w:iCs/>
          <w:lang w:val="en-GB"/>
        </w:rPr>
        <w:t>12</w:t>
      </w:r>
      <w:r w:rsidRPr="006E0066">
        <w:rPr>
          <w:lang w:val="en-GB"/>
        </w:rPr>
        <w:t xml:space="preserve">(1), 45–64. </w:t>
      </w:r>
      <w:hyperlink r:id="rId19" w:history="1">
        <w:r w:rsidRPr="006E0066">
          <w:rPr>
            <w:rStyle w:val="Hyperlink"/>
            <w:lang w:val="en-GB"/>
          </w:rPr>
          <w:t>https://doi.org/10.1556/JEP.12.2014.1.3</w:t>
        </w:r>
      </w:hyperlink>
    </w:p>
    <w:p w14:paraId="382D8A77" w14:textId="77777777" w:rsidR="006E0066" w:rsidRDefault="006E0066" w:rsidP="006E0066">
      <w:pPr>
        <w:pStyle w:val="Body"/>
        <w:spacing w:after="0"/>
        <w:rPr>
          <w:lang w:val="en-GB"/>
        </w:rPr>
      </w:pPr>
    </w:p>
    <w:p w14:paraId="73116C86" w14:textId="07328539" w:rsidR="006E0066" w:rsidRPr="006E0066" w:rsidRDefault="006E0066" w:rsidP="006E0066">
      <w:pPr>
        <w:pStyle w:val="Body"/>
        <w:spacing w:after="0"/>
        <w:rPr>
          <w:lang w:val="en-GB"/>
        </w:rPr>
      </w:pPr>
      <w:proofErr w:type="spellStart"/>
      <w:r w:rsidRPr="006E0066">
        <w:rPr>
          <w:lang w:val="en-GB"/>
        </w:rPr>
        <w:t>Arnocky</w:t>
      </w:r>
      <w:proofErr w:type="spellEnd"/>
      <w:r w:rsidRPr="006E0066">
        <w:rPr>
          <w:lang w:val="en-GB"/>
        </w:rPr>
        <w:t xml:space="preserve">, S., Albert, G., Carré, J. M., &amp; Ortiz, T. L. (2018). Intrasexual competition mediates the relationship between men’s testosterone and mate retention </w:t>
      </w:r>
      <w:proofErr w:type="spellStart"/>
      <w:r w:rsidRPr="006E0066">
        <w:rPr>
          <w:lang w:val="en-GB"/>
        </w:rPr>
        <w:t>behavior</w:t>
      </w:r>
      <w:proofErr w:type="spellEnd"/>
      <w:r w:rsidRPr="006E0066">
        <w:rPr>
          <w:lang w:val="en-GB"/>
        </w:rPr>
        <w:t xml:space="preserve">. </w:t>
      </w:r>
      <w:r w:rsidRPr="006E0066">
        <w:rPr>
          <w:i/>
          <w:iCs/>
          <w:lang w:val="en-GB"/>
        </w:rPr>
        <w:t xml:space="preserve">Physiology and </w:t>
      </w:r>
      <w:proofErr w:type="spellStart"/>
      <w:r w:rsidRPr="006E0066">
        <w:rPr>
          <w:i/>
          <w:iCs/>
          <w:lang w:val="en-GB"/>
        </w:rPr>
        <w:t>Behavior</w:t>
      </w:r>
      <w:proofErr w:type="spellEnd"/>
      <w:r w:rsidRPr="006E0066">
        <w:rPr>
          <w:lang w:val="en-GB"/>
        </w:rPr>
        <w:t xml:space="preserve">, </w:t>
      </w:r>
      <w:r w:rsidRPr="006E0066">
        <w:rPr>
          <w:i/>
          <w:iCs/>
          <w:lang w:val="en-GB"/>
        </w:rPr>
        <w:t>186</w:t>
      </w:r>
      <w:r w:rsidRPr="006E0066">
        <w:rPr>
          <w:lang w:val="en-GB"/>
        </w:rPr>
        <w:t>(July 2017), 73–78. https://doi.org/10.1016/j.physbeh.2018.01.007</w:t>
      </w:r>
    </w:p>
    <w:p w14:paraId="7E7D5334" w14:textId="77777777" w:rsidR="006E0066" w:rsidRPr="006E0066" w:rsidRDefault="006E0066" w:rsidP="006E0066">
      <w:pPr>
        <w:pStyle w:val="Body"/>
        <w:spacing w:after="0"/>
        <w:rPr>
          <w:lang w:val="en-GB"/>
        </w:rPr>
      </w:pPr>
      <w:r w:rsidRPr="006E0066">
        <w:rPr>
          <w:lang w:val="en-GB"/>
        </w:rPr>
        <w:t xml:space="preserve">Baker, M. D., &amp; Maner, J. K. (2009). Male risk-taking as a context-sensitive </w:t>
      </w:r>
      <w:proofErr w:type="spellStart"/>
      <w:r w:rsidRPr="006E0066">
        <w:rPr>
          <w:lang w:val="en-GB"/>
        </w:rPr>
        <w:t>signaling</w:t>
      </w:r>
      <w:proofErr w:type="spellEnd"/>
      <w:r w:rsidRPr="006E0066">
        <w:rPr>
          <w:lang w:val="en-GB"/>
        </w:rPr>
        <w:t xml:space="preserve"> device. </w:t>
      </w:r>
      <w:r w:rsidRPr="006E0066">
        <w:rPr>
          <w:i/>
          <w:iCs/>
          <w:lang w:val="en-GB"/>
        </w:rPr>
        <w:t>Journal of Experimental Social Psychology</w:t>
      </w:r>
      <w:r w:rsidRPr="006E0066">
        <w:rPr>
          <w:lang w:val="en-GB"/>
        </w:rPr>
        <w:t xml:space="preserve">, </w:t>
      </w:r>
      <w:r w:rsidRPr="006E0066">
        <w:rPr>
          <w:i/>
          <w:iCs/>
          <w:lang w:val="en-GB"/>
        </w:rPr>
        <w:t>45</w:t>
      </w:r>
      <w:r w:rsidRPr="006E0066">
        <w:rPr>
          <w:lang w:val="en-GB"/>
        </w:rPr>
        <w:t xml:space="preserve">(5), 1136–1139. </w:t>
      </w:r>
      <w:hyperlink r:id="rId20" w:history="1">
        <w:r w:rsidRPr="006E0066">
          <w:rPr>
            <w:rStyle w:val="Hyperlink"/>
            <w:lang w:val="en-GB"/>
          </w:rPr>
          <w:t>https://doi.org/10.1016/j.jesp.2009.06.006</w:t>
        </w:r>
      </w:hyperlink>
    </w:p>
    <w:p w14:paraId="3F0AFA00" w14:textId="77777777" w:rsidR="006E0066" w:rsidRDefault="006E0066" w:rsidP="006E0066">
      <w:pPr>
        <w:pStyle w:val="Body"/>
        <w:spacing w:after="0"/>
        <w:rPr>
          <w:lang w:val="en-GB"/>
        </w:rPr>
      </w:pPr>
    </w:p>
    <w:p w14:paraId="28EDDBEA" w14:textId="46CCEF73" w:rsidR="006E0066" w:rsidRPr="006E0066" w:rsidRDefault="006E0066" w:rsidP="006E0066">
      <w:pPr>
        <w:pStyle w:val="Body"/>
        <w:spacing w:after="0"/>
        <w:rPr>
          <w:lang w:val="en-GB"/>
        </w:rPr>
      </w:pPr>
      <w:r w:rsidRPr="006E0066">
        <w:rPr>
          <w:lang w:val="en-GB"/>
        </w:rPr>
        <w:t xml:space="preserve">Bartsch, L. A., King, K. A., Vidourek, R. A., &amp; </w:t>
      </w:r>
      <w:proofErr w:type="spellStart"/>
      <w:r w:rsidRPr="006E0066">
        <w:rPr>
          <w:lang w:val="en-GB"/>
        </w:rPr>
        <w:t>Merianos</w:t>
      </w:r>
      <w:proofErr w:type="spellEnd"/>
      <w:r w:rsidRPr="006E0066">
        <w:rPr>
          <w:lang w:val="en-GB"/>
        </w:rPr>
        <w:t xml:space="preserve">, A. L. (2017). Self-Esteem and Alcohol Use Among Youths. </w:t>
      </w:r>
      <w:r w:rsidRPr="006E0066">
        <w:rPr>
          <w:i/>
          <w:iCs/>
          <w:lang w:val="en-GB"/>
        </w:rPr>
        <w:t>Journal of Child and Adolescent Substance Abuse</w:t>
      </w:r>
      <w:r w:rsidRPr="006E0066">
        <w:rPr>
          <w:lang w:val="en-GB"/>
        </w:rPr>
        <w:t xml:space="preserve">, </w:t>
      </w:r>
      <w:r w:rsidRPr="006E0066">
        <w:rPr>
          <w:i/>
          <w:iCs/>
          <w:lang w:val="en-GB"/>
        </w:rPr>
        <w:t>26</w:t>
      </w:r>
      <w:r w:rsidRPr="006E0066">
        <w:rPr>
          <w:lang w:val="en-GB"/>
        </w:rPr>
        <w:t xml:space="preserve">(5), 414–424. </w:t>
      </w:r>
      <w:hyperlink r:id="rId21" w:history="1">
        <w:r w:rsidRPr="006E0066">
          <w:rPr>
            <w:rStyle w:val="Hyperlink"/>
            <w:lang w:val="en-GB"/>
          </w:rPr>
          <w:t>https://doi.org/10.1080/1067828X.2017.1322018</w:t>
        </w:r>
      </w:hyperlink>
    </w:p>
    <w:p w14:paraId="2511B06F" w14:textId="77777777" w:rsidR="006E0066" w:rsidRDefault="006E0066" w:rsidP="006E0066">
      <w:pPr>
        <w:pStyle w:val="Body"/>
        <w:spacing w:after="0"/>
        <w:rPr>
          <w:lang w:val="en-GB"/>
        </w:rPr>
      </w:pPr>
    </w:p>
    <w:p w14:paraId="6BBE713C" w14:textId="77777777" w:rsidR="006E0066" w:rsidRDefault="006E0066" w:rsidP="006E0066">
      <w:pPr>
        <w:pStyle w:val="Body"/>
        <w:spacing w:after="0"/>
        <w:rPr>
          <w:lang w:val="en-GB"/>
        </w:rPr>
      </w:pPr>
      <w:r w:rsidRPr="006E0066">
        <w:rPr>
          <w:lang w:val="en-GB"/>
        </w:rPr>
        <w:t xml:space="preserve">Bernhardt, P. C., Dabbs, J. M., Fielden, J. A., &amp; Lutter, C. D. (1998). Testosterone changes during vicarious experiences of winning and losing among fans at sporting events. </w:t>
      </w:r>
    </w:p>
    <w:p w14:paraId="481A7ABF" w14:textId="459E7A16" w:rsidR="006E0066" w:rsidRPr="006E0066" w:rsidRDefault="006E0066" w:rsidP="006E0066">
      <w:pPr>
        <w:pStyle w:val="Body"/>
        <w:spacing w:after="0"/>
        <w:rPr>
          <w:lang w:val="en-GB"/>
        </w:rPr>
      </w:pPr>
      <w:r w:rsidRPr="006E0066">
        <w:rPr>
          <w:i/>
          <w:iCs/>
          <w:lang w:val="en-GB"/>
        </w:rPr>
        <w:t xml:space="preserve">Physiology and </w:t>
      </w:r>
      <w:proofErr w:type="spellStart"/>
      <w:r w:rsidRPr="006E0066">
        <w:rPr>
          <w:i/>
          <w:iCs/>
          <w:lang w:val="en-GB"/>
        </w:rPr>
        <w:t>Behavior</w:t>
      </w:r>
      <w:proofErr w:type="spellEnd"/>
      <w:r w:rsidRPr="006E0066">
        <w:rPr>
          <w:lang w:val="en-GB"/>
        </w:rPr>
        <w:t xml:space="preserve">, </w:t>
      </w:r>
      <w:r w:rsidRPr="006E0066">
        <w:rPr>
          <w:i/>
          <w:iCs/>
          <w:lang w:val="en-GB"/>
        </w:rPr>
        <w:t>65</w:t>
      </w:r>
      <w:r w:rsidRPr="006E0066">
        <w:rPr>
          <w:lang w:val="en-GB"/>
        </w:rPr>
        <w:t xml:space="preserve">(1), 59–62. </w:t>
      </w:r>
      <w:hyperlink r:id="rId22" w:history="1">
        <w:r w:rsidRPr="006E0066">
          <w:rPr>
            <w:rStyle w:val="Hyperlink"/>
            <w:lang w:val="en-GB"/>
          </w:rPr>
          <w:t>https://doi.org/10.1016/S0031-9384(98)00147-4</w:t>
        </w:r>
      </w:hyperlink>
    </w:p>
    <w:p w14:paraId="4ED1448F" w14:textId="77777777" w:rsidR="006E0066" w:rsidRDefault="006E0066" w:rsidP="006E0066">
      <w:pPr>
        <w:pStyle w:val="Body"/>
        <w:spacing w:after="0"/>
        <w:rPr>
          <w:lang w:val="en-GB"/>
        </w:rPr>
      </w:pPr>
    </w:p>
    <w:p w14:paraId="3AE3C9F4" w14:textId="46DE0777" w:rsidR="006E0066" w:rsidRPr="006E0066" w:rsidRDefault="006E0066" w:rsidP="006E0066">
      <w:pPr>
        <w:pStyle w:val="Body"/>
        <w:spacing w:after="0"/>
        <w:rPr>
          <w:lang w:val="en-GB"/>
        </w:rPr>
      </w:pPr>
      <w:r w:rsidRPr="006E0066">
        <w:rPr>
          <w:lang w:val="en-GB"/>
        </w:rPr>
        <w:t xml:space="preserve">Bertholet, N., Murphy, J. G., </w:t>
      </w:r>
      <w:proofErr w:type="spellStart"/>
      <w:r w:rsidRPr="006E0066">
        <w:rPr>
          <w:lang w:val="en-GB"/>
        </w:rPr>
        <w:t>Daeppen</w:t>
      </w:r>
      <w:proofErr w:type="spellEnd"/>
      <w:r w:rsidRPr="006E0066">
        <w:rPr>
          <w:lang w:val="en-GB"/>
        </w:rPr>
        <w:t xml:space="preserve">, J. B., </w:t>
      </w:r>
      <w:proofErr w:type="spellStart"/>
      <w:r w:rsidRPr="006E0066">
        <w:rPr>
          <w:lang w:val="en-GB"/>
        </w:rPr>
        <w:t>Gmel</w:t>
      </w:r>
      <w:proofErr w:type="spellEnd"/>
      <w:r w:rsidRPr="006E0066">
        <w:rPr>
          <w:lang w:val="en-GB"/>
        </w:rPr>
        <w:t xml:space="preserve">, G., &amp; Gaume, J. (2015). The alcohol purchase task in young men from the general population. </w:t>
      </w:r>
      <w:r w:rsidRPr="006E0066">
        <w:rPr>
          <w:i/>
          <w:iCs/>
          <w:lang w:val="en-GB"/>
        </w:rPr>
        <w:t>Drug and Alcohol Dependence</w:t>
      </w:r>
      <w:r w:rsidRPr="006E0066">
        <w:rPr>
          <w:lang w:val="en-GB"/>
        </w:rPr>
        <w:t xml:space="preserve">, </w:t>
      </w:r>
      <w:r w:rsidRPr="006E0066">
        <w:rPr>
          <w:i/>
          <w:iCs/>
          <w:lang w:val="en-GB"/>
        </w:rPr>
        <w:t>146</w:t>
      </w:r>
      <w:r w:rsidRPr="006E0066">
        <w:rPr>
          <w:lang w:val="en-GB"/>
        </w:rPr>
        <w:t xml:space="preserve">(1), 39–44. </w:t>
      </w:r>
      <w:hyperlink r:id="rId23" w:history="1">
        <w:r w:rsidRPr="006E0066">
          <w:rPr>
            <w:rStyle w:val="Hyperlink"/>
            <w:lang w:val="en-GB"/>
          </w:rPr>
          <w:t>https://doi.org/10.1016/j.drugalcdep.2014.10.024</w:t>
        </w:r>
      </w:hyperlink>
    </w:p>
    <w:p w14:paraId="15B76FB2" w14:textId="77777777" w:rsidR="006E0066" w:rsidRDefault="006E0066" w:rsidP="006E0066">
      <w:pPr>
        <w:pStyle w:val="Body"/>
        <w:spacing w:after="0"/>
        <w:rPr>
          <w:lang w:val="en-GB"/>
        </w:rPr>
      </w:pPr>
    </w:p>
    <w:p w14:paraId="4FC763F1" w14:textId="1D3502C1" w:rsidR="006E0066" w:rsidRPr="006E0066" w:rsidRDefault="006E0066" w:rsidP="006E0066">
      <w:pPr>
        <w:pStyle w:val="Body"/>
        <w:spacing w:after="0"/>
        <w:rPr>
          <w:lang w:val="en-GB"/>
        </w:rPr>
      </w:pPr>
      <w:r w:rsidRPr="006E0066">
        <w:rPr>
          <w:lang w:val="en-GB"/>
        </w:rPr>
        <w:t xml:space="preserve">Bolles, R. C. (1967). </w:t>
      </w:r>
      <w:r w:rsidRPr="006E0066">
        <w:rPr>
          <w:i/>
          <w:iCs/>
          <w:lang w:val="en-GB"/>
        </w:rPr>
        <w:t xml:space="preserve">Theory of Motivation. </w:t>
      </w:r>
      <w:r w:rsidRPr="006E0066">
        <w:rPr>
          <w:lang w:val="en-GB"/>
        </w:rPr>
        <w:t>Harper &amp; Row.</w:t>
      </w:r>
    </w:p>
    <w:p w14:paraId="2F51E746" w14:textId="77777777" w:rsidR="006E0066" w:rsidRPr="006E0066" w:rsidRDefault="006E0066" w:rsidP="006E0066">
      <w:pPr>
        <w:pStyle w:val="Body"/>
        <w:spacing w:after="0"/>
        <w:rPr>
          <w:lang w:val="en-GB"/>
        </w:rPr>
      </w:pPr>
      <w:r w:rsidRPr="006E0066">
        <w:rPr>
          <w:lang w:val="en-GB"/>
        </w:rPr>
        <w:t xml:space="preserve">Brady, J. (2006). The association between alcohol misuse and suicidal behaviour. </w:t>
      </w:r>
      <w:r w:rsidRPr="006E0066">
        <w:rPr>
          <w:i/>
          <w:iCs/>
          <w:lang w:val="en-GB"/>
        </w:rPr>
        <w:t>Alcohol and Alcoholism</w:t>
      </w:r>
      <w:r w:rsidRPr="006E0066">
        <w:rPr>
          <w:lang w:val="en-GB"/>
        </w:rPr>
        <w:t xml:space="preserve">, </w:t>
      </w:r>
      <w:r w:rsidRPr="006E0066">
        <w:rPr>
          <w:i/>
          <w:iCs/>
          <w:lang w:val="en-GB"/>
        </w:rPr>
        <w:t>41</w:t>
      </w:r>
      <w:r w:rsidRPr="006E0066">
        <w:rPr>
          <w:lang w:val="en-GB"/>
        </w:rPr>
        <w:t xml:space="preserve">(5), 473–478. </w:t>
      </w:r>
      <w:hyperlink r:id="rId24" w:history="1">
        <w:r w:rsidRPr="006E0066">
          <w:rPr>
            <w:rStyle w:val="Hyperlink"/>
            <w:lang w:val="en-GB"/>
          </w:rPr>
          <w:t>https://doi.org/10.1093/alcalc/agl060</w:t>
        </w:r>
      </w:hyperlink>
    </w:p>
    <w:p w14:paraId="5E7547C4" w14:textId="77777777" w:rsidR="006E0066" w:rsidRDefault="006E0066" w:rsidP="006E0066">
      <w:pPr>
        <w:pStyle w:val="Body"/>
        <w:spacing w:after="0"/>
        <w:rPr>
          <w:lang w:val="en-GB"/>
        </w:rPr>
      </w:pPr>
    </w:p>
    <w:p w14:paraId="74223048" w14:textId="16E80785" w:rsidR="006E0066" w:rsidRPr="006E0066" w:rsidRDefault="006E0066" w:rsidP="006E0066">
      <w:pPr>
        <w:pStyle w:val="Body"/>
        <w:spacing w:after="0"/>
        <w:rPr>
          <w:lang w:val="en-GB"/>
        </w:rPr>
      </w:pPr>
      <w:proofErr w:type="spellStart"/>
      <w:r w:rsidRPr="006E0066">
        <w:rPr>
          <w:lang w:val="en-GB"/>
        </w:rPr>
        <w:t>Buunk</w:t>
      </w:r>
      <w:proofErr w:type="spellEnd"/>
      <w:r w:rsidRPr="006E0066">
        <w:rPr>
          <w:lang w:val="en-GB"/>
        </w:rPr>
        <w:t xml:space="preserve">, A. P., &amp; Fisher, M. (2009). Individual differences in intrasexual competition. </w:t>
      </w:r>
      <w:r w:rsidRPr="006E0066">
        <w:rPr>
          <w:i/>
          <w:iCs/>
          <w:lang w:val="en-GB"/>
        </w:rPr>
        <w:t>Journal of Evolutionary Psychology</w:t>
      </w:r>
      <w:r w:rsidRPr="006E0066">
        <w:rPr>
          <w:lang w:val="en-GB"/>
        </w:rPr>
        <w:t xml:space="preserve">, </w:t>
      </w:r>
      <w:r w:rsidRPr="006E0066">
        <w:rPr>
          <w:i/>
          <w:iCs/>
          <w:lang w:val="en-GB"/>
        </w:rPr>
        <w:t>7</w:t>
      </w:r>
      <w:r w:rsidRPr="006E0066">
        <w:rPr>
          <w:lang w:val="en-GB"/>
        </w:rPr>
        <w:t xml:space="preserve">(1), 37–48. </w:t>
      </w:r>
      <w:hyperlink r:id="rId25" w:history="1">
        <w:r w:rsidRPr="006E0066">
          <w:rPr>
            <w:rStyle w:val="Hyperlink"/>
            <w:lang w:val="en-GB"/>
          </w:rPr>
          <w:t>https://doi.org/10.1556/JEP.7.2009.1.5</w:t>
        </w:r>
      </w:hyperlink>
    </w:p>
    <w:p w14:paraId="1B795DEF" w14:textId="77777777" w:rsidR="006E0066" w:rsidRDefault="006E0066" w:rsidP="006E0066">
      <w:pPr>
        <w:pStyle w:val="Body"/>
        <w:spacing w:after="0"/>
        <w:rPr>
          <w:lang w:val="en-GB"/>
        </w:rPr>
      </w:pPr>
    </w:p>
    <w:p w14:paraId="5EA341C6" w14:textId="7B698DFF" w:rsidR="006E0066" w:rsidRPr="006E0066" w:rsidRDefault="006E0066" w:rsidP="006E0066">
      <w:pPr>
        <w:pStyle w:val="Body"/>
        <w:spacing w:after="0"/>
        <w:rPr>
          <w:lang w:val="en-GB"/>
        </w:rPr>
      </w:pPr>
      <w:proofErr w:type="spellStart"/>
      <w:r w:rsidRPr="006E0066">
        <w:rPr>
          <w:lang w:val="en-GB"/>
        </w:rPr>
        <w:t>Buunk</w:t>
      </w:r>
      <w:proofErr w:type="spellEnd"/>
      <w:r w:rsidRPr="006E0066">
        <w:rPr>
          <w:lang w:val="en-GB"/>
        </w:rPr>
        <w:t xml:space="preserve">, A. P., &amp; Massar, K. (2012). Intrasexual competition among males: Competitive towards men, prosocial towards women. </w:t>
      </w:r>
      <w:r w:rsidRPr="006E0066">
        <w:rPr>
          <w:i/>
          <w:iCs/>
          <w:lang w:val="en-GB"/>
        </w:rPr>
        <w:t>Personality and Individual Differences</w:t>
      </w:r>
      <w:r w:rsidRPr="006E0066">
        <w:rPr>
          <w:lang w:val="en-GB"/>
        </w:rPr>
        <w:t xml:space="preserve">, </w:t>
      </w:r>
      <w:r w:rsidRPr="006E0066">
        <w:rPr>
          <w:i/>
          <w:iCs/>
          <w:lang w:val="en-GB"/>
        </w:rPr>
        <w:t>52</w:t>
      </w:r>
      <w:r w:rsidRPr="006E0066">
        <w:rPr>
          <w:lang w:val="en-GB"/>
        </w:rPr>
        <w:t xml:space="preserve">(7), 818–821. </w:t>
      </w:r>
      <w:hyperlink r:id="rId26" w:history="1">
        <w:r w:rsidRPr="006E0066">
          <w:rPr>
            <w:rStyle w:val="Hyperlink"/>
            <w:lang w:val="en-GB"/>
          </w:rPr>
          <w:t>https://doi.org/10.1016/j.paid.2012.01.010</w:t>
        </w:r>
      </w:hyperlink>
    </w:p>
    <w:p w14:paraId="45EE8958" w14:textId="77777777" w:rsidR="006E0066" w:rsidRDefault="006E0066" w:rsidP="006E0066">
      <w:pPr>
        <w:pStyle w:val="Body"/>
        <w:spacing w:after="0"/>
        <w:rPr>
          <w:lang w:val="en-GB"/>
        </w:rPr>
      </w:pPr>
    </w:p>
    <w:p w14:paraId="381F4071" w14:textId="39607ED5" w:rsidR="006E0066" w:rsidRPr="006E0066" w:rsidRDefault="006E0066" w:rsidP="006E0066">
      <w:pPr>
        <w:pStyle w:val="Body"/>
        <w:spacing w:after="0"/>
        <w:rPr>
          <w:lang w:val="en-GB"/>
        </w:rPr>
      </w:pPr>
      <w:r w:rsidRPr="006E0066">
        <w:rPr>
          <w:lang w:val="en-GB"/>
        </w:rPr>
        <w:t xml:space="preserve">Buss, D. M. (1988). The Evolution of Human Intrasexual Competition: Tactics of Mate Attraction. </w:t>
      </w:r>
      <w:r w:rsidRPr="006E0066">
        <w:rPr>
          <w:i/>
          <w:iCs/>
          <w:lang w:val="en-GB"/>
        </w:rPr>
        <w:t>Journal of Personality and Social Psychology</w:t>
      </w:r>
      <w:r w:rsidRPr="006E0066">
        <w:rPr>
          <w:lang w:val="en-GB"/>
        </w:rPr>
        <w:t xml:space="preserve">, </w:t>
      </w:r>
      <w:r w:rsidRPr="006E0066">
        <w:rPr>
          <w:i/>
          <w:iCs/>
          <w:lang w:val="en-GB"/>
        </w:rPr>
        <w:t>54</w:t>
      </w:r>
      <w:r w:rsidRPr="006E0066">
        <w:rPr>
          <w:lang w:val="en-GB"/>
        </w:rPr>
        <w:t xml:space="preserve">(4), 616–628. </w:t>
      </w:r>
      <w:hyperlink r:id="rId27" w:history="1">
        <w:r w:rsidRPr="006E0066">
          <w:rPr>
            <w:rStyle w:val="Hyperlink"/>
            <w:lang w:val="en-GB"/>
          </w:rPr>
          <w:t>https://doi.org/10.1037/0022-3514.54.4.616</w:t>
        </w:r>
      </w:hyperlink>
    </w:p>
    <w:p w14:paraId="6CF7E3A5" w14:textId="77777777" w:rsidR="006E0066" w:rsidRDefault="006E0066" w:rsidP="006E0066">
      <w:pPr>
        <w:pStyle w:val="Body"/>
        <w:spacing w:after="0"/>
        <w:rPr>
          <w:lang w:val="en-GB"/>
        </w:rPr>
      </w:pPr>
    </w:p>
    <w:p w14:paraId="21F7FE07" w14:textId="2829F710" w:rsidR="006E0066" w:rsidRPr="006E0066" w:rsidRDefault="006E0066" w:rsidP="006E0066">
      <w:pPr>
        <w:pStyle w:val="Body"/>
        <w:spacing w:after="0"/>
        <w:rPr>
          <w:lang w:val="en-GB"/>
        </w:rPr>
      </w:pPr>
      <w:r w:rsidRPr="006E0066">
        <w:rPr>
          <w:lang w:val="en-GB"/>
        </w:rPr>
        <w:t xml:space="preserve">Buss, D. M., &amp; Barnes, M. (1986). Preferences in Human Mate Selection. </w:t>
      </w:r>
      <w:r w:rsidRPr="006E0066">
        <w:rPr>
          <w:i/>
          <w:iCs/>
          <w:lang w:val="en-GB"/>
        </w:rPr>
        <w:t>Journal of Personality and Social Psychology</w:t>
      </w:r>
      <w:r w:rsidRPr="006E0066">
        <w:rPr>
          <w:lang w:val="en-GB"/>
        </w:rPr>
        <w:t xml:space="preserve">, </w:t>
      </w:r>
      <w:r w:rsidRPr="006E0066">
        <w:rPr>
          <w:i/>
          <w:iCs/>
          <w:lang w:val="en-GB"/>
        </w:rPr>
        <w:t>50</w:t>
      </w:r>
      <w:r w:rsidRPr="006E0066">
        <w:rPr>
          <w:lang w:val="en-GB"/>
        </w:rPr>
        <w:t xml:space="preserve">(3), 559–570. </w:t>
      </w:r>
      <w:hyperlink r:id="rId28" w:history="1">
        <w:r w:rsidRPr="006E0066">
          <w:rPr>
            <w:rStyle w:val="Hyperlink"/>
            <w:lang w:val="en-GB"/>
          </w:rPr>
          <w:t>https://doi.org/10.1037/0022-3514.50.3.559</w:t>
        </w:r>
      </w:hyperlink>
    </w:p>
    <w:p w14:paraId="4731D397" w14:textId="77777777" w:rsidR="006E0066" w:rsidRDefault="006E0066" w:rsidP="006E0066">
      <w:pPr>
        <w:pStyle w:val="Body"/>
        <w:spacing w:after="0"/>
        <w:rPr>
          <w:lang w:val="en-GB"/>
        </w:rPr>
      </w:pPr>
    </w:p>
    <w:p w14:paraId="41D91741" w14:textId="37515B8C" w:rsidR="006E0066" w:rsidRPr="006E0066" w:rsidRDefault="006E0066" w:rsidP="006E0066">
      <w:pPr>
        <w:pStyle w:val="Body"/>
        <w:spacing w:after="0"/>
        <w:rPr>
          <w:lang w:val="en-GB"/>
        </w:rPr>
      </w:pPr>
      <w:r w:rsidRPr="006E0066">
        <w:rPr>
          <w:lang w:val="en-GB"/>
        </w:rPr>
        <w:t xml:space="preserve">Buss, D. M., &amp; Greiling, H. (1999). Adaptive Individual Differences. </w:t>
      </w:r>
      <w:r w:rsidRPr="006E0066">
        <w:rPr>
          <w:i/>
          <w:iCs/>
          <w:lang w:val="en-GB"/>
        </w:rPr>
        <w:t>Journal of Personality</w:t>
      </w:r>
      <w:r w:rsidRPr="006E0066">
        <w:rPr>
          <w:lang w:val="en-GB"/>
        </w:rPr>
        <w:t xml:space="preserve">, </w:t>
      </w:r>
      <w:r w:rsidRPr="006E0066">
        <w:rPr>
          <w:i/>
          <w:iCs/>
          <w:lang w:val="en-GB"/>
        </w:rPr>
        <w:t>67</w:t>
      </w:r>
      <w:r w:rsidRPr="006E0066">
        <w:rPr>
          <w:lang w:val="en-GB"/>
        </w:rPr>
        <w:t xml:space="preserve">(2). </w:t>
      </w:r>
      <w:hyperlink r:id="rId29" w:history="1">
        <w:r w:rsidRPr="006E0066">
          <w:rPr>
            <w:rStyle w:val="Hyperlink"/>
            <w:lang w:val="en-GB"/>
          </w:rPr>
          <w:t>https://doi.org/10.1111/1467-6494.00053</w:t>
        </w:r>
      </w:hyperlink>
    </w:p>
    <w:p w14:paraId="660F2B09" w14:textId="77777777" w:rsidR="006E0066" w:rsidRDefault="006E0066" w:rsidP="006E0066">
      <w:pPr>
        <w:pStyle w:val="Body"/>
        <w:spacing w:after="0"/>
        <w:rPr>
          <w:lang w:val="en-GB"/>
        </w:rPr>
      </w:pPr>
    </w:p>
    <w:p w14:paraId="405DE1BE" w14:textId="1C578ED4" w:rsidR="006E0066" w:rsidRPr="006E0066" w:rsidRDefault="006E0066" w:rsidP="006E0066">
      <w:pPr>
        <w:pStyle w:val="Body"/>
        <w:spacing w:after="0"/>
        <w:rPr>
          <w:lang w:val="en-GB"/>
        </w:rPr>
      </w:pPr>
      <w:r w:rsidRPr="006E0066">
        <w:rPr>
          <w:lang w:val="en-GB"/>
        </w:rPr>
        <w:t xml:space="preserve">Cooper, M. L. (1994). Motivations for alcohol use among adolescents: Development and validation of a four-factor model. </w:t>
      </w:r>
      <w:r w:rsidRPr="006E0066">
        <w:rPr>
          <w:i/>
          <w:iCs/>
          <w:lang w:val="en-GB"/>
        </w:rPr>
        <w:t>Psychological Assessment</w:t>
      </w:r>
      <w:r w:rsidRPr="006E0066">
        <w:rPr>
          <w:lang w:val="en-GB"/>
        </w:rPr>
        <w:t xml:space="preserve">, </w:t>
      </w:r>
      <w:r w:rsidRPr="006E0066">
        <w:rPr>
          <w:i/>
          <w:iCs/>
          <w:lang w:val="en-GB"/>
        </w:rPr>
        <w:t>6</w:t>
      </w:r>
      <w:r w:rsidRPr="006E0066">
        <w:rPr>
          <w:lang w:val="en-GB"/>
        </w:rPr>
        <w:t xml:space="preserve">(2), 117–128. </w:t>
      </w:r>
      <w:hyperlink r:id="rId30" w:history="1">
        <w:r w:rsidRPr="006E0066">
          <w:rPr>
            <w:rStyle w:val="Hyperlink"/>
            <w:lang w:val="en-GB"/>
          </w:rPr>
          <w:t>https://doi.org/10.1037/1040-3590.6.2.117</w:t>
        </w:r>
      </w:hyperlink>
    </w:p>
    <w:p w14:paraId="76DA2971" w14:textId="77777777" w:rsidR="006E0066" w:rsidRDefault="006E0066" w:rsidP="006E0066">
      <w:pPr>
        <w:pStyle w:val="Body"/>
        <w:spacing w:after="0"/>
        <w:rPr>
          <w:lang w:val="en-GB"/>
        </w:rPr>
      </w:pPr>
    </w:p>
    <w:p w14:paraId="6CAA1AA6" w14:textId="433F84E5" w:rsidR="006E0066" w:rsidRPr="006E0066" w:rsidRDefault="006E0066" w:rsidP="006E0066">
      <w:pPr>
        <w:pStyle w:val="Body"/>
        <w:spacing w:after="0"/>
        <w:rPr>
          <w:lang w:val="en-GB"/>
        </w:rPr>
      </w:pPr>
      <w:r w:rsidRPr="006E0066">
        <w:rPr>
          <w:lang w:val="en-GB"/>
        </w:rPr>
        <w:t xml:space="preserve">Cox, W. M., &amp; Klinger, E. (1988). A Motivational Model of Alcohol Use. </w:t>
      </w:r>
      <w:r w:rsidRPr="006E0066">
        <w:rPr>
          <w:i/>
          <w:iCs/>
          <w:lang w:val="en-GB"/>
        </w:rPr>
        <w:t>Journal of Abnormal Psychology</w:t>
      </w:r>
      <w:r w:rsidRPr="006E0066">
        <w:rPr>
          <w:lang w:val="en-GB"/>
        </w:rPr>
        <w:t xml:space="preserve">, </w:t>
      </w:r>
      <w:r w:rsidRPr="006E0066">
        <w:rPr>
          <w:i/>
          <w:iCs/>
          <w:lang w:val="en-GB"/>
        </w:rPr>
        <w:t>97</w:t>
      </w:r>
      <w:r w:rsidRPr="006E0066">
        <w:rPr>
          <w:lang w:val="en-GB"/>
        </w:rPr>
        <w:t xml:space="preserve">(2), 168–180. </w:t>
      </w:r>
      <w:hyperlink r:id="rId31" w:history="1">
        <w:r w:rsidRPr="006E0066">
          <w:rPr>
            <w:rStyle w:val="Hyperlink"/>
            <w:lang w:val="en-GB"/>
          </w:rPr>
          <w:t>https://doi.org/10.1037/0021-843X.97.2.168</w:t>
        </w:r>
      </w:hyperlink>
    </w:p>
    <w:p w14:paraId="7E674785" w14:textId="77777777" w:rsidR="006E0066" w:rsidRDefault="006E0066" w:rsidP="006E0066">
      <w:pPr>
        <w:pStyle w:val="Body"/>
        <w:spacing w:after="0"/>
        <w:rPr>
          <w:lang w:val="en-GB"/>
        </w:rPr>
      </w:pPr>
    </w:p>
    <w:p w14:paraId="54CD5055" w14:textId="6074DDA1" w:rsidR="006E0066" w:rsidRPr="006E0066" w:rsidRDefault="006E0066" w:rsidP="006E0066">
      <w:pPr>
        <w:pStyle w:val="Body"/>
        <w:spacing w:after="0"/>
        <w:rPr>
          <w:lang w:val="en-GB"/>
        </w:rPr>
      </w:pPr>
      <w:r w:rsidRPr="006E0066">
        <w:rPr>
          <w:lang w:val="en-GB"/>
        </w:rPr>
        <w:t>Cox, W. M., &amp; Klinger, E. (1990). Incentive motivation, affective change, and alcohol use: A model. In W. M. Cox (Ed.), </w:t>
      </w:r>
      <w:r w:rsidRPr="006E0066">
        <w:rPr>
          <w:i/>
          <w:iCs/>
          <w:lang w:val="en-GB"/>
        </w:rPr>
        <w:t>Why people drink: Parameters of alcohol as a reinforcer. </w:t>
      </w:r>
      <w:r w:rsidRPr="006E0066">
        <w:rPr>
          <w:lang w:val="en-GB"/>
        </w:rPr>
        <w:t>Psychology Press.</w:t>
      </w:r>
    </w:p>
    <w:p w14:paraId="65A08DC3" w14:textId="77777777" w:rsidR="006E0066" w:rsidRDefault="006E0066" w:rsidP="006E0066">
      <w:pPr>
        <w:pStyle w:val="Body"/>
        <w:spacing w:after="0"/>
        <w:rPr>
          <w:lang w:val="en-GB"/>
        </w:rPr>
      </w:pPr>
    </w:p>
    <w:p w14:paraId="638FBACC" w14:textId="0BB62470" w:rsidR="006E0066" w:rsidRPr="006E0066" w:rsidRDefault="006E0066" w:rsidP="006E0066">
      <w:pPr>
        <w:pStyle w:val="Body"/>
        <w:spacing w:after="0"/>
        <w:rPr>
          <w:lang w:val="en-GB"/>
        </w:rPr>
      </w:pPr>
      <w:r w:rsidRPr="006E0066">
        <w:rPr>
          <w:lang w:val="en-GB"/>
        </w:rPr>
        <w:t xml:space="preserve">Cox, W. M., &amp; Klinger, E. (2003). A Motivational Model of Alcohol Use: Determinants of Use and Change. </w:t>
      </w:r>
      <w:r w:rsidRPr="006E0066">
        <w:rPr>
          <w:i/>
          <w:iCs/>
          <w:lang w:val="en-GB"/>
        </w:rPr>
        <w:t xml:space="preserve">Handbook of Motivational </w:t>
      </w:r>
      <w:proofErr w:type="spellStart"/>
      <w:r w:rsidRPr="006E0066">
        <w:rPr>
          <w:i/>
          <w:iCs/>
          <w:lang w:val="en-GB"/>
        </w:rPr>
        <w:t>Counseling</w:t>
      </w:r>
      <w:proofErr w:type="spellEnd"/>
      <w:r w:rsidRPr="006E0066">
        <w:rPr>
          <w:i/>
          <w:iCs/>
          <w:lang w:val="en-GB"/>
        </w:rPr>
        <w:t xml:space="preserve"> Concepts, Approaches, and Assessment </w:t>
      </w:r>
      <w:r w:rsidRPr="006E0066">
        <w:rPr>
          <w:lang w:val="en-GB"/>
        </w:rPr>
        <w:t xml:space="preserve">(pp. 121–138). John Wiley &amp; Sons, LTD. </w:t>
      </w:r>
      <w:hyperlink r:id="rId32" w:history="1">
        <w:r w:rsidRPr="006E0066">
          <w:rPr>
            <w:rStyle w:val="Hyperlink"/>
            <w:lang w:val="en-GB"/>
          </w:rPr>
          <w:t>https://doi.org/10.1002/9780470713129.CH6</w:t>
        </w:r>
      </w:hyperlink>
    </w:p>
    <w:p w14:paraId="4B673D55" w14:textId="77777777" w:rsidR="006E0066" w:rsidRDefault="006E0066" w:rsidP="006E0066">
      <w:pPr>
        <w:pStyle w:val="Body"/>
        <w:spacing w:after="0"/>
        <w:rPr>
          <w:lang w:val="en-GB"/>
        </w:rPr>
      </w:pPr>
    </w:p>
    <w:p w14:paraId="1BFE0FDC" w14:textId="0610BE75" w:rsidR="006E0066" w:rsidRPr="006E0066" w:rsidRDefault="006E0066" w:rsidP="006E0066">
      <w:pPr>
        <w:pStyle w:val="Body"/>
        <w:spacing w:after="0"/>
        <w:rPr>
          <w:lang w:val="en-GB"/>
        </w:rPr>
      </w:pPr>
      <w:r w:rsidRPr="006E0066">
        <w:rPr>
          <w:lang w:val="en-GB"/>
        </w:rPr>
        <w:t xml:space="preserve">Darwin, C. (1871). </w:t>
      </w:r>
      <w:r w:rsidRPr="006E0066">
        <w:rPr>
          <w:i/>
          <w:iCs/>
          <w:lang w:val="en-GB"/>
        </w:rPr>
        <w:t>The Descent of Man and Selection in Relation to Sex</w:t>
      </w:r>
      <w:r w:rsidRPr="006E0066">
        <w:rPr>
          <w:lang w:val="en-GB"/>
        </w:rPr>
        <w:t>. John Murray Press.</w:t>
      </w:r>
    </w:p>
    <w:p w14:paraId="7CB32609" w14:textId="77777777" w:rsidR="006E0066" w:rsidRPr="006E0066" w:rsidRDefault="006E0066" w:rsidP="006E0066">
      <w:pPr>
        <w:pStyle w:val="Body"/>
        <w:spacing w:after="0"/>
        <w:rPr>
          <w:lang w:val="en-GB"/>
        </w:rPr>
      </w:pPr>
      <w:r w:rsidRPr="006E0066">
        <w:rPr>
          <w:lang w:val="en-GB"/>
        </w:rPr>
        <w:t xml:space="preserve">Diulio, A. R., Silvestri, M. M., &amp; Correia, C. J. (2014). The role of personality variables in drinking game participation. </w:t>
      </w:r>
      <w:r w:rsidRPr="006E0066">
        <w:rPr>
          <w:i/>
          <w:iCs/>
          <w:lang w:val="en-GB"/>
        </w:rPr>
        <w:t xml:space="preserve">Addictive </w:t>
      </w:r>
      <w:proofErr w:type="spellStart"/>
      <w:r w:rsidRPr="006E0066">
        <w:rPr>
          <w:i/>
          <w:iCs/>
          <w:lang w:val="en-GB"/>
        </w:rPr>
        <w:t>Behaviors</w:t>
      </w:r>
      <w:proofErr w:type="spellEnd"/>
      <w:r w:rsidRPr="006E0066">
        <w:rPr>
          <w:lang w:val="en-GB"/>
        </w:rPr>
        <w:t xml:space="preserve">, </w:t>
      </w:r>
      <w:r w:rsidRPr="006E0066">
        <w:rPr>
          <w:i/>
          <w:iCs/>
          <w:lang w:val="en-GB"/>
        </w:rPr>
        <w:t>39</w:t>
      </w:r>
      <w:r w:rsidRPr="006E0066">
        <w:rPr>
          <w:lang w:val="en-GB"/>
        </w:rPr>
        <w:t xml:space="preserve">(7), 1159–1162. </w:t>
      </w:r>
      <w:hyperlink r:id="rId33" w:history="1">
        <w:r w:rsidRPr="006E0066">
          <w:rPr>
            <w:rStyle w:val="Hyperlink"/>
            <w:lang w:val="en-GB"/>
          </w:rPr>
          <w:t>https://doi.org/10.1016/j.addbeh.2014.02.005</w:t>
        </w:r>
      </w:hyperlink>
    </w:p>
    <w:p w14:paraId="15DAD0D5" w14:textId="77777777" w:rsidR="006E0066" w:rsidRDefault="006E0066" w:rsidP="006E0066">
      <w:pPr>
        <w:pStyle w:val="Body"/>
        <w:spacing w:after="0"/>
        <w:rPr>
          <w:lang w:val="en-GB"/>
        </w:rPr>
      </w:pPr>
    </w:p>
    <w:p w14:paraId="7FC73388" w14:textId="7D147BB5" w:rsidR="006E0066" w:rsidRPr="006E0066" w:rsidRDefault="006E0066" w:rsidP="006E0066">
      <w:pPr>
        <w:pStyle w:val="Body"/>
        <w:spacing w:after="0"/>
        <w:rPr>
          <w:lang w:val="en-GB"/>
        </w:rPr>
      </w:pPr>
      <w:r w:rsidRPr="006E0066">
        <w:rPr>
          <w:lang w:val="en-GB"/>
        </w:rPr>
        <w:t xml:space="preserve">Emlen, S. T., &amp; Oring, L. W. (1977). Ecology, sexual selection, and the evolution of mating systems. </w:t>
      </w:r>
      <w:r w:rsidRPr="006E0066">
        <w:rPr>
          <w:i/>
          <w:iCs/>
          <w:lang w:val="en-GB"/>
        </w:rPr>
        <w:t>Science</w:t>
      </w:r>
      <w:r w:rsidRPr="006E0066">
        <w:rPr>
          <w:lang w:val="en-GB"/>
        </w:rPr>
        <w:t xml:space="preserve">, </w:t>
      </w:r>
      <w:r w:rsidRPr="006E0066">
        <w:rPr>
          <w:i/>
          <w:iCs/>
          <w:lang w:val="en-GB"/>
        </w:rPr>
        <w:t>197</w:t>
      </w:r>
      <w:r w:rsidRPr="006E0066">
        <w:rPr>
          <w:lang w:val="en-GB"/>
        </w:rPr>
        <w:t xml:space="preserve">(4300), 215–223. </w:t>
      </w:r>
      <w:hyperlink r:id="rId34" w:history="1">
        <w:r w:rsidRPr="006E0066">
          <w:rPr>
            <w:rStyle w:val="Hyperlink"/>
            <w:lang w:val="en-GB"/>
          </w:rPr>
          <w:t>https://doi.org/10.1126/science.327542</w:t>
        </w:r>
      </w:hyperlink>
    </w:p>
    <w:p w14:paraId="1810E9CF" w14:textId="77777777" w:rsidR="006E0066" w:rsidRPr="006E0066" w:rsidRDefault="006E0066" w:rsidP="006E0066">
      <w:pPr>
        <w:pStyle w:val="Body"/>
        <w:spacing w:after="0"/>
        <w:rPr>
          <w:lang w:val="en-GB"/>
        </w:rPr>
      </w:pPr>
      <w:r w:rsidRPr="006E0066">
        <w:rPr>
          <w:lang w:val="en-GB"/>
        </w:rPr>
        <w:t xml:space="preserve">Ferguson, C. J., Winegard, B., &amp; Winegard, B. M. (2011). Who Is the Fairest One of All? How Evolution Guides Peer and Media Influences on Female Body Dissatisfaction. </w:t>
      </w:r>
      <w:r w:rsidRPr="006E0066">
        <w:rPr>
          <w:i/>
          <w:iCs/>
          <w:lang w:val="en-GB"/>
        </w:rPr>
        <w:t>Review of General Psychology</w:t>
      </w:r>
      <w:r w:rsidRPr="006E0066">
        <w:rPr>
          <w:lang w:val="en-GB"/>
        </w:rPr>
        <w:t xml:space="preserve">, </w:t>
      </w:r>
      <w:r w:rsidRPr="006E0066">
        <w:rPr>
          <w:i/>
          <w:iCs/>
          <w:lang w:val="en-GB"/>
        </w:rPr>
        <w:t>15</w:t>
      </w:r>
      <w:r w:rsidRPr="006E0066">
        <w:rPr>
          <w:lang w:val="en-GB"/>
        </w:rPr>
        <w:t xml:space="preserve">(1), 11–28. </w:t>
      </w:r>
      <w:hyperlink r:id="rId35" w:history="1">
        <w:r w:rsidRPr="006E0066">
          <w:rPr>
            <w:rStyle w:val="Hyperlink"/>
            <w:lang w:val="en-GB"/>
          </w:rPr>
          <w:t>https://doi.org/10.1037/a0022607</w:t>
        </w:r>
      </w:hyperlink>
    </w:p>
    <w:p w14:paraId="4ADCF9E2" w14:textId="77777777" w:rsidR="006E0066" w:rsidRDefault="006E0066" w:rsidP="006E0066">
      <w:pPr>
        <w:pStyle w:val="Body"/>
        <w:spacing w:after="0"/>
        <w:rPr>
          <w:lang w:val="en-GB"/>
        </w:rPr>
      </w:pPr>
    </w:p>
    <w:p w14:paraId="5BE67859" w14:textId="53CF181D" w:rsidR="006E0066" w:rsidRPr="006E0066" w:rsidRDefault="006E0066" w:rsidP="006E0066">
      <w:pPr>
        <w:pStyle w:val="Body"/>
        <w:spacing w:after="0"/>
        <w:rPr>
          <w:lang w:val="en-GB"/>
        </w:rPr>
      </w:pPr>
      <w:r w:rsidRPr="006E0066">
        <w:rPr>
          <w:lang w:val="en-GB"/>
        </w:rPr>
        <w:t xml:space="preserve">Fernandez, A. M., Muñoz-Reyes, J. A., &amp; </w:t>
      </w:r>
      <w:proofErr w:type="spellStart"/>
      <w:r w:rsidRPr="006E0066">
        <w:rPr>
          <w:lang w:val="en-GB"/>
        </w:rPr>
        <w:t>Dufey</w:t>
      </w:r>
      <w:proofErr w:type="spellEnd"/>
      <w:r w:rsidRPr="006E0066">
        <w:rPr>
          <w:lang w:val="en-GB"/>
        </w:rPr>
        <w:t xml:space="preserve">, M. (2014). BMI, age, Mate Value, and Intrasexual Competition in Chilean Women. </w:t>
      </w:r>
      <w:r w:rsidRPr="006E0066">
        <w:rPr>
          <w:i/>
          <w:iCs/>
          <w:lang w:val="en-GB"/>
        </w:rPr>
        <w:t>Current Psychology</w:t>
      </w:r>
      <w:r w:rsidRPr="006E0066">
        <w:rPr>
          <w:lang w:val="en-GB"/>
        </w:rPr>
        <w:t xml:space="preserve">, </w:t>
      </w:r>
      <w:r w:rsidRPr="006E0066">
        <w:rPr>
          <w:i/>
          <w:iCs/>
          <w:lang w:val="en-GB"/>
        </w:rPr>
        <w:t>33</w:t>
      </w:r>
      <w:r w:rsidRPr="006E0066">
        <w:rPr>
          <w:lang w:val="en-GB"/>
        </w:rPr>
        <w:t xml:space="preserve">(4), 435–450. </w:t>
      </w:r>
      <w:hyperlink r:id="rId36" w:history="1">
        <w:r w:rsidRPr="006E0066">
          <w:rPr>
            <w:rStyle w:val="Hyperlink"/>
            <w:lang w:val="en-GB"/>
          </w:rPr>
          <w:t>https://doi.org/10.1007/s12144-014-9221-x</w:t>
        </w:r>
      </w:hyperlink>
    </w:p>
    <w:p w14:paraId="3232E140" w14:textId="77777777" w:rsidR="006E0066" w:rsidRDefault="006E0066" w:rsidP="006E0066">
      <w:pPr>
        <w:pStyle w:val="Body"/>
        <w:spacing w:after="0"/>
        <w:rPr>
          <w:lang w:val="en-GB"/>
        </w:rPr>
      </w:pPr>
    </w:p>
    <w:p w14:paraId="33A3D97B" w14:textId="207E8EA4" w:rsidR="006E0066" w:rsidRPr="006E0066" w:rsidRDefault="006E0066" w:rsidP="006E0066">
      <w:pPr>
        <w:pStyle w:val="Body"/>
        <w:spacing w:after="0"/>
        <w:rPr>
          <w:lang w:val="en-GB"/>
        </w:rPr>
      </w:pPr>
      <w:proofErr w:type="spellStart"/>
      <w:r w:rsidRPr="006E0066">
        <w:rPr>
          <w:lang w:val="en-GB"/>
        </w:rPr>
        <w:t>Fernie</w:t>
      </w:r>
      <w:proofErr w:type="spellEnd"/>
      <w:r w:rsidRPr="006E0066">
        <w:rPr>
          <w:lang w:val="en-GB"/>
        </w:rPr>
        <w:t xml:space="preserve">, G., Cole, J. C., Goudie, A. J., &amp; Field, M. (2010). Risk-taking but not response inhibition or delay discounting predict alcohol consumption in social drinkers. </w:t>
      </w:r>
      <w:r w:rsidRPr="006E0066">
        <w:rPr>
          <w:i/>
          <w:iCs/>
          <w:lang w:val="en-GB"/>
        </w:rPr>
        <w:t>Drug and Alcohol Dependence</w:t>
      </w:r>
      <w:r w:rsidRPr="006E0066">
        <w:rPr>
          <w:lang w:val="en-GB"/>
        </w:rPr>
        <w:t xml:space="preserve">, </w:t>
      </w:r>
      <w:r w:rsidRPr="006E0066">
        <w:rPr>
          <w:i/>
          <w:iCs/>
          <w:lang w:val="en-GB"/>
        </w:rPr>
        <w:t>112</w:t>
      </w:r>
      <w:r w:rsidRPr="006E0066">
        <w:rPr>
          <w:lang w:val="en-GB"/>
        </w:rPr>
        <w:t xml:space="preserve">(1–2), 54–61. </w:t>
      </w:r>
      <w:hyperlink r:id="rId37" w:history="1">
        <w:r w:rsidRPr="006E0066">
          <w:rPr>
            <w:rStyle w:val="Hyperlink"/>
            <w:lang w:val="en-GB"/>
          </w:rPr>
          <w:t>https://doi.org/10.1016/j.drugalcdep.2010.05.011</w:t>
        </w:r>
      </w:hyperlink>
    </w:p>
    <w:p w14:paraId="5FDF9D35" w14:textId="77777777" w:rsidR="006E0066" w:rsidRDefault="006E0066" w:rsidP="006E0066">
      <w:pPr>
        <w:pStyle w:val="Body"/>
        <w:spacing w:after="0"/>
        <w:rPr>
          <w:lang w:val="en-GB"/>
        </w:rPr>
      </w:pPr>
    </w:p>
    <w:p w14:paraId="2FDB13C9" w14:textId="13813BCB" w:rsidR="006E0066" w:rsidRPr="006E0066" w:rsidRDefault="006E0066" w:rsidP="006E0066">
      <w:pPr>
        <w:pStyle w:val="Body"/>
        <w:spacing w:after="0"/>
        <w:rPr>
          <w:lang w:val="en-GB"/>
        </w:rPr>
      </w:pPr>
      <w:proofErr w:type="spellStart"/>
      <w:r w:rsidRPr="006E0066">
        <w:rPr>
          <w:lang w:val="en-GB"/>
        </w:rPr>
        <w:t>Griskevicius</w:t>
      </w:r>
      <w:proofErr w:type="spellEnd"/>
      <w:r w:rsidRPr="006E0066">
        <w:rPr>
          <w:lang w:val="en-GB"/>
        </w:rPr>
        <w:t xml:space="preserve">, V., </w:t>
      </w:r>
      <w:proofErr w:type="spellStart"/>
      <w:r w:rsidRPr="006E0066">
        <w:rPr>
          <w:lang w:val="en-GB"/>
        </w:rPr>
        <w:t>Tybur</w:t>
      </w:r>
      <w:proofErr w:type="spellEnd"/>
      <w:r w:rsidRPr="006E0066">
        <w:rPr>
          <w:lang w:val="en-GB"/>
        </w:rPr>
        <w:t>, J. M., Sundie, J. M., Cialdini, R. B., Miller, G. F., &amp; Kenrick, D. T. (2007). Blatant benevolence and conspicuous consumption: When romantic motives elicit strategic costly signals. </w:t>
      </w:r>
      <w:r w:rsidRPr="006E0066">
        <w:rPr>
          <w:i/>
          <w:iCs/>
          <w:lang w:val="en-GB"/>
        </w:rPr>
        <w:t>Journal of Personality and Social Psychology, 93</w:t>
      </w:r>
      <w:r w:rsidRPr="006E0066">
        <w:rPr>
          <w:lang w:val="en-GB"/>
        </w:rPr>
        <w:t>(1), 85–102. </w:t>
      </w:r>
      <w:hyperlink r:id="rId38" w:tgtFrame="_blank" w:history="1">
        <w:r w:rsidRPr="006E0066">
          <w:rPr>
            <w:rStyle w:val="Hyperlink"/>
            <w:lang w:val="en-GB"/>
          </w:rPr>
          <w:t>https://doi.org/10.1037/0022-3514.93.1.85</w:t>
        </w:r>
      </w:hyperlink>
    </w:p>
    <w:p w14:paraId="2E57E9FC" w14:textId="77777777" w:rsidR="006E0066" w:rsidRDefault="006E0066" w:rsidP="006E0066">
      <w:pPr>
        <w:pStyle w:val="Body"/>
        <w:spacing w:after="0"/>
        <w:rPr>
          <w:lang w:val="en-GB"/>
        </w:rPr>
      </w:pPr>
    </w:p>
    <w:p w14:paraId="0292C02B" w14:textId="041B8207" w:rsidR="006E0066" w:rsidRPr="006E0066" w:rsidRDefault="006E0066" w:rsidP="006E0066">
      <w:pPr>
        <w:pStyle w:val="Body"/>
        <w:spacing w:after="0"/>
        <w:rPr>
          <w:lang w:val="en-GB"/>
        </w:rPr>
      </w:pPr>
      <w:r w:rsidRPr="006E0066">
        <w:rPr>
          <w:lang w:val="en-GB"/>
        </w:rPr>
        <w:t xml:space="preserve">Grønbæk, M. (2009). The positive and negative health effects of alcohol- and the public health implications. </w:t>
      </w:r>
      <w:r w:rsidRPr="006E0066">
        <w:rPr>
          <w:i/>
          <w:iCs/>
          <w:lang w:val="en-GB"/>
        </w:rPr>
        <w:t>Journal of Internal Medicine</w:t>
      </w:r>
      <w:r w:rsidRPr="006E0066">
        <w:rPr>
          <w:lang w:val="en-GB"/>
        </w:rPr>
        <w:t xml:space="preserve">, </w:t>
      </w:r>
      <w:r w:rsidRPr="006E0066">
        <w:rPr>
          <w:i/>
          <w:iCs/>
          <w:lang w:val="en-GB"/>
        </w:rPr>
        <w:t>265</w:t>
      </w:r>
      <w:r w:rsidRPr="006E0066">
        <w:rPr>
          <w:lang w:val="en-GB"/>
        </w:rPr>
        <w:t xml:space="preserve">(4), 407–420. </w:t>
      </w:r>
      <w:hyperlink r:id="rId39" w:history="1">
        <w:r w:rsidRPr="006E0066">
          <w:rPr>
            <w:rStyle w:val="Hyperlink"/>
            <w:lang w:val="en-GB"/>
          </w:rPr>
          <w:t>https://doi.org/10.1111/j.1365-2796.2009.02082.x</w:t>
        </w:r>
      </w:hyperlink>
    </w:p>
    <w:p w14:paraId="743FF3F2" w14:textId="77777777" w:rsidR="006E0066" w:rsidRDefault="006E0066" w:rsidP="006E0066">
      <w:pPr>
        <w:pStyle w:val="Body"/>
        <w:spacing w:after="0"/>
        <w:rPr>
          <w:lang w:val="en-GB"/>
        </w:rPr>
      </w:pPr>
    </w:p>
    <w:p w14:paraId="52E2E34C" w14:textId="674C46AB" w:rsidR="006E0066" w:rsidRPr="006E0066" w:rsidRDefault="006E0066" w:rsidP="006E0066">
      <w:pPr>
        <w:pStyle w:val="Body"/>
        <w:spacing w:after="0"/>
        <w:rPr>
          <w:lang w:val="en-GB"/>
        </w:rPr>
      </w:pPr>
      <w:r w:rsidRPr="006E0066">
        <w:rPr>
          <w:lang w:val="en-GB"/>
        </w:rPr>
        <w:t xml:space="preserve">Harris, M. A., Jones, C. R., &amp; Brown, D. (2019). Survival of the drunkest: The relationship between intrasexual competition and excessive alcohol consumption by university students. </w:t>
      </w:r>
      <w:r w:rsidRPr="006E0066">
        <w:rPr>
          <w:i/>
          <w:iCs/>
          <w:lang w:val="en-GB"/>
        </w:rPr>
        <w:t xml:space="preserve">Evolutionary </w:t>
      </w:r>
      <w:proofErr w:type="spellStart"/>
      <w:r w:rsidRPr="006E0066">
        <w:rPr>
          <w:i/>
          <w:iCs/>
          <w:lang w:val="en-GB"/>
        </w:rPr>
        <w:t>Behavioral</w:t>
      </w:r>
      <w:proofErr w:type="spellEnd"/>
      <w:r w:rsidRPr="006E0066">
        <w:rPr>
          <w:i/>
          <w:iCs/>
          <w:lang w:val="en-GB"/>
        </w:rPr>
        <w:t xml:space="preserve"> Sciences</w:t>
      </w:r>
      <w:r w:rsidRPr="006E0066">
        <w:rPr>
          <w:lang w:val="en-GB"/>
        </w:rPr>
        <w:t xml:space="preserve">, </w:t>
      </w:r>
      <w:r w:rsidRPr="006E0066">
        <w:rPr>
          <w:i/>
          <w:iCs/>
          <w:lang w:val="en-GB"/>
        </w:rPr>
        <w:t>13</w:t>
      </w:r>
      <w:r w:rsidRPr="006E0066">
        <w:rPr>
          <w:lang w:val="en-GB"/>
        </w:rPr>
        <w:t xml:space="preserve">(4), 394–401. </w:t>
      </w:r>
      <w:hyperlink r:id="rId40" w:history="1">
        <w:r w:rsidRPr="006E0066">
          <w:rPr>
            <w:rStyle w:val="Hyperlink"/>
            <w:lang w:val="en-GB"/>
          </w:rPr>
          <w:t>https://doi.org/10.1037/ebs0000153</w:t>
        </w:r>
      </w:hyperlink>
    </w:p>
    <w:p w14:paraId="469B63B0" w14:textId="77777777" w:rsidR="006E0066" w:rsidRDefault="006E0066" w:rsidP="006E0066">
      <w:pPr>
        <w:pStyle w:val="Body"/>
        <w:spacing w:after="0"/>
        <w:rPr>
          <w:lang w:val="en-GB"/>
        </w:rPr>
      </w:pPr>
    </w:p>
    <w:p w14:paraId="6536C4DC" w14:textId="44BDF637" w:rsidR="006E0066" w:rsidRPr="006E0066" w:rsidRDefault="006E0066" w:rsidP="006E0066">
      <w:pPr>
        <w:pStyle w:val="Body"/>
        <w:spacing w:after="0"/>
        <w:rPr>
          <w:lang w:val="en-GB"/>
        </w:rPr>
      </w:pPr>
      <w:r w:rsidRPr="006E0066">
        <w:rPr>
          <w:lang w:val="en-GB"/>
        </w:rPr>
        <w:lastRenderedPageBreak/>
        <w:t xml:space="preserve">Harris, M., Dunn, M., &amp; Alwyn, T. (2019). Intrasexual competition as a potential influence on anabolic-androgenic steroid use initiation. </w:t>
      </w:r>
      <w:r w:rsidRPr="006E0066">
        <w:rPr>
          <w:i/>
          <w:iCs/>
          <w:lang w:val="en-GB"/>
        </w:rPr>
        <w:t>Journal of Health Psychology</w:t>
      </w:r>
      <w:r w:rsidRPr="006E0066">
        <w:rPr>
          <w:lang w:val="en-GB"/>
        </w:rPr>
        <w:t xml:space="preserve">, </w:t>
      </w:r>
      <w:r w:rsidRPr="006E0066">
        <w:rPr>
          <w:i/>
          <w:iCs/>
          <w:lang w:val="en-GB"/>
        </w:rPr>
        <w:t>24</w:t>
      </w:r>
      <w:r w:rsidRPr="006E0066">
        <w:rPr>
          <w:lang w:val="en-GB"/>
        </w:rPr>
        <w:t xml:space="preserve">(9), 1210–1220. </w:t>
      </w:r>
      <w:hyperlink r:id="rId41" w:history="1">
        <w:r w:rsidRPr="006E0066">
          <w:rPr>
            <w:rStyle w:val="Hyperlink"/>
            <w:lang w:val="en-GB"/>
          </w:rPr>
          <w:t>https://doi.org/10.1177/1359105317692145</w:t>
        </w:r>
      </w:hyperlink>
    </w:p>
    <w:p w14:paraId="1F134BF7" w14:textId="77777777" w:rsidR="006E0066" w:rsidRDefault="006E0066" w:rsidP="006E0066">
      <w:pPr>
        <w:pStyle w:val="Body"/>
        <w:spacing w:after="0"/>
        <w:rPr>
          <w:lang w:val="en-GB"/>
        </w:rPr>
      </w:pPr>
    </w:p>
    <w:p w14:paraId="012B0C22" w14:textId="09A1CBC7" w:rsidR="006E0066" w:rsidRPr="006E0066" w:rsidRDefault="006E0066" w:rsidP="006E0066">
      <w:pPr>
        <w:pStyle w:val="Body"/>
        <w:spacing w:after="0"/>
        <w:rPr>
          <w:lang w:val="en-GB"/>
        </w:rPr>
      </w:pPr>
      <w:r w:rsidRPr="006E0066">
        <w:rPr>
          <w:lang w:val="en-GB"/>
        </w:rPr>
        <w:t xml:space="preserve">Herman, A. M., &amp; Duka, T. (2019). Facets of impulsivity and alcohol use: What role do emotions play? </w:t>
      </w:r>
      <w:r w:rsidRPr="006E0066">
        <w:rPr>
          <w:i/>
          <w:iCs/>
          <w:lang w:val="en-GB"/>
        </w:rPr>
        <w:t xml:space="preserve">Neuroscience and </w:t>
      </w:r>
      <w:proofErr w:type="spellStart"/>
      <w:r w:rsidRPr="006E0066">
        <w:rPr>
          <w:i/>
          <w:iCs/>
          <w:lang w:val="en-GB"/>
        </w:rPr>
        <w:t>Biobehavioral</w:t>
      </w:r>
      <w:proofErr w:type="spellEnd"/>
      <w:r w:rsidRPr="006E0066">
        <w:rPr>
          <w:i/>
          <w:iCs/>
          <w:lang w:val="en-GB"/>
        </w:rPr>
        <w:t xml:space="preserve"> Reviews</w:t>
      </w:r>
      <w:r w:rsidRPr="006E0066">
        <w:rPr>
          <w:lang w:val="en-GB"/>
        </w:rPr>
        <w:t xml:space="preserve">, </w:t>
      </w:r>
      <w:r w:rsidRPr="006E0066">
        <w:rPr>
          <w:i/>
          <w:iCs/>
          <w:lang w:val="en-GB"/>
        </w:rPr>
        <w:t>106</w:t>
      </w:r>
      <w:r w:rsidRPr="006E0066">
        <w:rPr>
          <w:lang w:val="en-GB"/>
        </w:rPr>
        <w:t xml:space="preserve">(August 2018), 202–216. </w:t>
      </w:r>
      <w:hyperlink r:id="rId42" w:history="1">
        <w:r w:rsidRPr="006E0066">
          <w:rPr>
            <w:rStyle w:val="Hyperlink"/>
            <w:lang w:val="en-GB"/>
          </w:rPr>
          <w:t>https://doi.org/10.1016/j.neubiorev.2018.08.011</w:t>
        </w:r>
      </w:hyperlink>
    </w:p>
    <w:p w14:paraId="4B8AF02B" w14:textId="77777777" w:rsidR="006E0066" w:rsidRDefault="006E0066" w:rsidP="006E0066">
      <w:pPr>
        <w:pStyle w:val="Body"/>
        <w:spacing w:after="0"/>
        <w:rPr>
          <w:lang w:val="en-GB"/>
        </w:rPr>
      </w:pPr>
    </w:p>
    <w:p w14:paraId="6B7D3084" w14:textId="2788F0CF" w:rsidR="006E0066" w:rsidRPr="006E0066" w:rsidRDefault="006E0066" w:rsidP="006E0066">
      <w:pPr>
        <w:pStyle w:val="Body"/>
        <w:spacing w:after="0"/>
        <w:rPr>
          <w:lang w:val="en-GB"/>
        </w:rPr>
      </w:pPr>
      <w:r w:rsidRPr="006E0066">
        <w:rPr>
          <w:lang w:val="en-GB"/>
        </w:rPr>
        <w:t xml:space="preserve">Hone, L. S. E., Carter, E. C., &amp; McCullough, M. E. (2013). Drinking games as a venue for sexual competition. </w:t>
      </w:r>
      <w:r w:rsidRPr="006E0066">
        <w:rPr>
          <w:i/>
          <w:iCs/>
          <w:lang w:val="en-GB"/>
        </w:rPr>
        <w:t>Evolutionary Psychology</w:t>
      </w:r>
      <w:r w:rsidRPr="006E0066">
        <w:rPr>
          <w:lang w:val="en-GB"/>
        </w:rPr>
        <w:t xml:space="preserve">, </w:t>
      </w:r>
      <w:r w:rsidRPr="006E0066">
        <w:rPr>
          <w:i/>
          <w:iCs/>
          <w:lang w:val="en-GB"/>
        </w:rPr>
        <w:t>11</w:t>
      </w:r>
      <w:r w:rsidRPr="006E0066">
        <w:rPr>
          <w:lang w:val="en-GB"/>
        </w:rPr>
        <w:t xml:space="preserve">(4), 889–906. </w:t>
      </w:r>
      <w:hyperlink r:id="rId43" w:history="1">
        <w:r w:rsidRPr="006E0066">
          <w:rPr>
            <w:rStyle w:val="Hyperlink"/>
            <w:lang w:val="en-GB"/>
          </w:rPr>
          <w:t>https://doi.org/10.1177/147470491301100413</w:t>
        </w:r>
      </w:hyperlink>
    </w:p>
    <w:p w14:paraId="402F381B" w14:textId="77777777" w:rsidR="006E0066" w:rsidRDefault="006E0066" w:rsidP="006E0066">
      <w:pPr>
        <w:pStyle w:val="Body"/>
        <w:spacing w:after="0"/>
        <w:rPr>
          <w:lang w:val="en-GB"/>
        </w:rPr>
      </w:pPr>
    </w:p>
    <w:p w14:paraId="3CBB32B0" w14:textId="05E1BD7E" w:rsidR="006E0066" w:rsidRPr="006E0066" w:rsidRDefault="006E0066" w:rsidP="006E0066">
      <w:pPr>
        <w:pStyle w:val="Body"/>
        <w:spacing w:after="0"/>
        <w:rPr>
          <w:lang w:val="en-GB"/>
        </w:rPr>
      </w:pPr>
      <w:r w:rsidRPr="006E0066">
        <w:rPr>
          <w:lang w:val="en-GB"/>
        </w:rPr>
        <w:t xml:space="preserve">Hone, L. S. E., &amp; McCullough, M. (2015). Sexually selected sex differences in competitiveness explain sex differences in changes in drinking game participation. </w:t>
      </w:r>
      <w:r w:rsidRPr="006E0066">
        <w:rPr>
          <w:i/>
          <w:iCs/>
          <w:lang w:val="en-GB"/>
        </w:rPr>
        <w:t xml:space="preserve">Evolutionary </w:t>
      </w:r>
      <w:proofErr w:type="gramStart"/>
      <w:r w:rsidRPr="006E0066">
        <w:rPr>
          <w:i/>
          <w:iCs/>
          <w:lang w:val="en-GB"/>
        </w:rPr>
        <w:t>Psychology :</w:t>
      </w:r>
      <w:proofErr w:type="gramEnd"/>
      <w:r w:rsidRPr="006E0066">
        <w:rPr>
          <w:i/>
          <w:iCs/>
          <w:lang w:val="en-GB"/>
        </w:rPr>
        <w:t xml:space="preserve"> An International Journal of Evolutionary Approaches to Psychology and </w:t>
      </w:r>
      <w:proofErr w:type="spellStart"/>
      <w:r w:rsidRPr="006E0066">
        <w:rPr>
          <w:i/>
          <w:iCs/>
          <w:lang w:val="en-GB"/>
        </w:rPr>
        <w:t>Behavior</w:t>
      </w:r>
      <w:proofErr w:type="spellEnd"/>
      <w:r w:rsidRPr="006E0066">
        <w:rPr>
          <w:lang w:val="en-GB"/>
        </w:rPr>
        <w:t xml:space="preserve">, </w:t>
      </w:r>
      <w:r w:rsidRPr="006E0066">
        <w:rPr>
          <w:i/>
          <w:iCs/>
          <w:lang w:val="en-GB"/>
        </w:rPr>
        <w:t>13</w:t>
      </w:r>
      <w:r w:rsidRPr="006E0066">
        <w:rPr>
          <w:lang w:val="en-GB"/>
        </w:rPr>
        <w:t xml:space="preserve">(2), 397–410. </w:t>
      </w:r>
      <w:hyperlink r:id="rId44" w:history="1">
        <w:r w:rsidRPr="006E0066">
          <w:rPr>
            <w:rStyle w:val="Hyperlink"/>
            <w:lang w:val="en-GB"/>
          </w:rPr>
          <w:t>https://doi.org/10.1177/147470491501300206</w:t>
        </w:r>
      </w:hyperlink>
    </w:p>
    <w:p w14:paraId="0CCC018F" w14:textId="77777777" w:rsidR="006E0066" w:rsidRDefault="006E0066" w:rsidP="006E0066">
      <w:pPr>
        <w:pStyle w:val="Body"/>
        <w:spacing w:after="0"/>
        <w:rPr>
          <w:lang w:val="en-GB"/>
        </w:rPr>
      </w:pPr>
    </w:p>
    <w:p w14:paraId="74945D2E" w14:textId="27D40B8E" w:rsidR="006E0066" w:rsidRPr="006E0066" w:rsidRDefault="006E0066" w:rsidP="006E0066">
      <w:pPr>
        <w:pStyle w:val="Body"/>
        <w:spacing w:after="0"/>
        <w:rPr>
          <w:lang w:val="en-GB"/>
        </w:rPr>
      </w:pPr>
      <w:r w:rsidRPr="006E0066">
        <w:rPr>
          <w:lang w:val="en-GB"/>
        </w:rPr>
        <w:t xml:space="preserve">Hursh, S. R., &amp; Silberberg, A. (2008). Economic Demand and Essential Value. </w:t>
      </w:r>
      <w:r w:rsidRPr="006E0066">
        <w:rPr>
          <w:i/>
          <w:iCs/>
          <w:lang w:val="en-GB"/>
        </w:rPr>
        <w:t>Psychological Review</w:t>
      </w:r>
      <w:r w:rsidRPr="006E0066">
        <w:rPr>
          <w:lang w:val="en-GB"/>
        </w:rPr>
        <w:t xml:space="preserve">, </w:t>
      </w:r>
      <w:r w:rsidRPr="006E0066">
        <w:rPr>
          <w:i/>
          <w:iCs/>
          <w:lang w:val="en-GB"/>
        </w:rPr>
        <w:t>115</w:t>
      </w:r>
      <w:r w:rsidRPr="006E0066">
        <w:rPr>
          <w:lang w:val="en-GB"/>
        </w:rPr>
        <w:t xml:space="preserve">(1), 186–198. </w:t>
      </w:r>
      <w:hyperlink r:id="rId45" w:history="1">
        <w:r w:rsidRPr="006E0066">
          <w:rPr>
            <w:rStyle w:val="Hyperlink"/>
            <w:lang w:val="en-GB"/>
          </w:rPr>
          <w:t>https://doi.org/10.1037/0033-295X.115.1.186</w:t>
        </w:r>
      </w:hyperlink>
    </w:p>
    <w:p w14:paraId="77DCBDA9" w14:textId="77777777" w:rsidR="006E0066" w:rsidRDefault="006E0066" w:rsidP="006E0066">
      <w:pPr>
        <w:pStyle w:val="Body"/>
        <w:spacing w:after="0"/>
        <w:rPr>
          <w:lang w:val="en-GB"/>
        </w:rPr>
      </w:pPr>
    </w:p>
    <w:p w14:paraId="7AC7A658" w14:textId="1A4C3011" w:rsidR="006E0066" w:rsidRPr="006E0066" w:rsidRDefault="006E0066" w:rsidP="006E0066">
      <w:pPr>
        <w:pStyle w:val="Body"/>
        <w:spacing w:after="0"/>
        <w:rPr>
          <w:lang w:val="en-GB"/>
        </w:rPr>
      </w:pPr>
      <w:r w:rsidRPr="006E0066">
        <w:rPr>
          <w:lang w:val="en-GB"/>
        </w:rPr>
        <w:t xml:space="preserve">Jacobs, E. A., &amp; Bickel, W. K. (1999). </w:t>
      </w:r>
      <w:proofErr w:type="spellStart"/>
      <w:r w:rsidRPr="006E0066">
        <w:rPr>
          <w:lang w:val="en-GB"/>
        </w:rPr>
        <w:t>Modeling</w:t>
      </w:r>
      <w:proofErr w:type="spellEnd"/>
      <w:r w:rsidRPr="006E0066">
        <w:rPr>
          <w:lang w:val="en-GB"/>
        </w:rPr>
        <w:t xml:space="preserve"> drug consumption in the clinic using simulation procedures: Demand for heroin and cigarettes in opioid-dependent outpatients. </w:t>
      </w:r>
      <w:r w:rsidRPr="006E0066">
        <w:rPr>
          <w:i/>
          <w:iCs/>
          <w:lang w:val="en-GB"/>
        </w:rPr>
        <w:t>Experimental and Clinical Psychopharmacology</w:t>
      </w:r>
      <w:r w:rsidRPr="006E0066">
        <w:rPr>
          <w:lang w:val="en-GB"/>
        </w:rPr>
        <w:t xml:space="preserve">, </w:t>
      </w:r>
      <w:r w:rsidRPr="006E0066">
        <w:rPr>
          <w:i/>
          <w:iCs/>
          <w:lang w:val="en-GB"/>
        </w:rPr>
        <w:t>7</w:t>
      </w:r>
      <w:r w:rsidRPr="006E0066">
        <w:rPr>
          <w:lang w:val="en-GB"/>
        </w:rPr>
        <w:t xml:space="preserve">(4), 412–426. </w:t>
      </w:r>
      <w:hyperlink r:id="rId46" w:history="1">
        <w:r w:rsidRPr="006E0066">
          <w:rPr>
            <w:rStyle w:val="Hyperlink"/>
            <w:lang w:val="en-GB"/>
          </w:rPr>
          <w:t>https://doi.org/10.1037/1064-1297.7.4.412</w:t>
        </w:r>
      </w:hyperlink>
    </w:p>
    <w:p w14:paraId="78A1206C" w14:textId="77777777" w:rsidR="006E0066" w:rsidRDefault="006E0066" w:rsidP="006E0066">
      <w:pPr>
        <w:pStyle w:val="Body"/>
        <w:spacing w:after="0"/>
        <w:rPr>
          <w:lang w:val="en-GB"/>
        </w:rPr>
      </w:pPr>
    </w:p>
    <w:p w14:paraId="584568E4" w14:textId="5D9357EE" w:rsidR="006E0066" w:rsidRPr="006E0066" w:rsidRDefault="006E0066" w:rsidP="006E0066">
      <w:pPr>
        <w:pStyle w:val="Body"/>
        <w:spacing w:after="0"/>
        <w:rPr>
          <w:lang w:val="en-GB"/>
        </w:rPr>
      </w:pPr>
      <w:r w:rsidRPr="006E0066">
        <w:rPr>
          <w:lang w:val="en-GB"/>
        </w:rPr>
        <w:t xml:space="preserve">Jones, B. T., Corbin, W., &amp; Fromme, K. (2001). A review of expectancy theory and alcohol consumption. </w:t>
      </w:r>
      <w:r w:rsidRPr="006E0066">
        <w:rPr>
          <w:i/>
          <w:iCs/>
          <w:lang w:val="en-GB"/>
        </w:rPr>
        <w:t>Addiction</w:t>
      </w:r>
      <w:r w:rsidRPr="006E0066">
        <w:rPr>
          <w:lang w:val="en-GB"/>
        </w:rPr>
        <w:t xml:space="preserve">, </w:t>
      </w:r>
      <w:r w:rsidRPr="006E0066">
        <w:rPr>
          <w:i/>
          <w:iCs/>
          <w:lang w:val="en-GB"/>
        </w:rPr>
        <w:t>96</w:t>
      </w:r>
      <w:r w:rsidRPr="006E0066">
        <w:rPr>
          <w:lang w:val="en-GB"/>
        </w:rPr>
        <w:t xml:space="preserve">(1), 57–72. </w:t>
      </w:r>
      <w:hyperlink r:id="rId47" w:history="1">
        <w:r w:rsidRPr="006E0066">
          <w:rPr>
            <w:rStyle w:val="Hyperlink"/>
            <w:lang w:val="en-GB"/>
          </w:rPr>
          <w:t>https://doi.org/10.1046/j.1360-0443.2001.961575.x</w:t>
        </w:r>
      </w:hyperlink>
    </w:p>
    <w:p w14:paraId="79D5D475" w14:textId="77777777" w:rsidR="006E0066" w:rsidRPr="006E0066" w:rsidRDefault="006E0066" w:rsidP="006E0066">
      <w:pPr>
        <w:pStyle w:val="Body"/>
        <w:spacing w:after="0"/>
        <w:rPr>
          <w:lang w:val="en-GB"/>
        </w:rPr>
      </w:pPr>
      <w:r w:rsidRPr="006E0066">
        <w:rPr>
          <w:lang w:val="en-GB"/>
        </w:rPr>
        <w:t xml:space="preserve">Klingemann, H., &amp; </w:t>
      </w:r>
      <w:proofErr w:type="spellStart"/>
      <w:r w:rsidRPr="006E0066">
        <w:rPr>
          <w:lang w:val="en-GB"/>
        </w:rPr>
        <w:t>Gmel</w:t>
      </w:r>
      <w:proofErr w:type="spellEnd"/>
      <w:r w:rsidRPr="006E0066">
        <w:rPr>
          <w:lang w:val="en-GB"/>
        </w:rPr>
        <w:t xml:space="preserve">, G. (2001). Introduction: Social consequences of alcohol — the forgotten dimension? </w:t>
      </w:r>
      <w:r w:rsidRPr="006E0066">
        <w:rPr>
          <w:i/>
          <w:iCs/>
          <w:lang w:val="en-GB"/>
        </w:rPr>
        <w:t>Mapping the Social Consequences of Alcohol Consumption</w:t>
      </w:r>
      <w:r w:rsidRPr="006E0066">
        <w:rPr>
          <w:lang w:val="en-GB"/>
        </w:rPr>
        <w:t xml:space="preserve">, 1–9. </w:t>
      </w:r>
      <w:hyperlink r:id="rId48" w:history="1">
        <w:r w:rsidRPr="006E0066">
          <w:rPr>
            <w:rStyle w:val="Hyperlink"/>
            <w:lang w:val="en-GB"/>
          </w:rPr>
          <w:t>https://doi.org/10.1007/978-94-015-9725-8_1</w:t>
        </w:r>
      </w:hyperlink>
    </w:p>
    <w:p w14:paraId="57B43325" w14:textId="77777777" w:rsidR="006E0066" w:rsidRDefault="006E0066" w:rsidP="006E0066">
      <w:pPr>
        <w:pStyle w:val="Body"/>
        <w:spacing w:after="0"/>
        <w:rPr>
          <w:lang w:val="en-GB"/>
        </w:rPr>
      </w:pPr>
    </w:p>
    <w:p w14:paraId="1B448058" w14:textId="00C66F9B" w:rsidR="006E0066" w:rsidRPr="006E0066" w:rsidRDefault="006E0066" w:rsidP="006E0066">
      <w:pPr>
        <w:pStyle w:val="Body"/>
        <w:spacing w:after="0"/>
        <w:rPr>
          <w:lang w:val="en-GB"/>
        </w:rPr>
      </w:pPr>
      <w:r w:rsidRPr="006E0066">
        <w:rPr>
          <w:lang w:val="en-GB"/>
        </w:rPr>
        <w:t xml:space="preserve">Meda, S. A., Stevens, M. C., Potenza, M. N., Pittman, B., Gueorguieva, R., Andrews, M. M., Thomas, A. D., Muska, C., Hylton, J. L., &amp; </w:t>
      </w:r>
      <w:proofErr w:type="spellStart"/>
      <w:r w:rsidRPr="006E0066">
        <w:rPr>
          <w:lang w:val="en-GB"/>
        </w:rPr>
        <w:t>Pearlson</w:t>
      </w:r>
      <w:proofErr w:type="spellEnd"/>
      <w:r w:rsidRPr="006E0066">
        <w:rPr>
          <w:lang w:val="en-GB"/>
        </w:rPr>
        <w:t xml:space="preserve">, G. D. (2009). Investigating the </w:t>
      </w:r>
      <w:proofErr w:type="spellStart"/>
      <w:r w:rsidRPr="006E0066">
        <w:rPr>
          <w:lang w:val="en-GB"/>
        </w:rPr>
        <w:t>behavioral</w:t>
      </w:r>
      <w:proofErr w:type="spellEnd"/>
      <w:r w:rsidRPr="006E0066">
        <w:rPr>
          <w:lang w:val="en-GB"/>
        </w:rPr>
        <w:t xml:space="preserve"> and self-report constructs of impulsivity domains using principal component analysis. </w:t>
      </w:r>
      <w:r w:rsidRPr="006E0066">
        <w:rPr>
          <w:i/>
          <w:iCs/>
          <w:lang w:val="en-GB"/>
        </w:rPr>
        <w:t>Behavioural Pharmacology</w:t>
      </w:r>
      <w:r w:rsidRPr="006E0066">
        <w:rPr>
          <w:lang w:val="en-GB"/>
        </w:rPr>
        <w:t xml:space="preserve">, </w:t>
      </w:r>
      <w:r w:rsidRPr="006E0066">
        <w:rPr>
          <w:i/>
          <w:iCs/>
          <w:lang w:val="en-GB"/>
        </w:rPr>
        <w:t>20</w:t>
      </w:r>
      <w:r w:rsidRPr="006E0066">
        <w:rPr>
          <w:lang w:val="en-GB"/>
        </w:rPr>
        <w:t xml:space="preserve">(5–6), 390–399. </w:t>
      </w:r>
      <w:hyperlink r:id="rId49" w:history="1">
        <w:r w:rsidRPr="006E0066">
          <w:rPr>
            <w:rStyle w:val="Hyperlink"/>
            <w:lang w:val="en-GB"/>
          </w:rPr>
          <w:t>https://doi.org/10.1097/FBP.0b013e32833113a3</w:t>
        </w:r>
      </w:hyperlink>
    </w:p>
    <w:p w14:paraId="1785E18A" w14:textId="77777777" w:rsidR="006E0066" w:rsidRDefault="006E0066" w:rsidP="006E0066">
      <w:pPr>
        <w:pStyle w:val="Body"/>
        <w:spacing w:after="0"/>
        <w:rPr>
          <w:lang w:val="en-GB"/>
        </w:rPr>
      </w:pPr>
    </w:p>
    <w:p w14:paraId="2DFC82EA" w14:textId="67CF51E6" w:rsidR="006E0066" w:rsidRPr="006E0066" w:rsidRDefault="006E0066" w:rsidP="006E0066">
      <w:pPr>
        <w:pStyle w:val="Body"/>
        <w:spacing w:after="0"/>
        <w:rPr>
          <w:lang w:val="en-GB"/>
        </w:rPr>
      </w:pPr>
      <w:r w:rsidRPr="006E0066">
        <w:rPr>
          <w:lang w:val="pl-PL"/>
        </w:rPr>
        <w:t xml:space="preserve">Meloni, J. N., &amp; Laranjeira, R. (2004). </w:t>
      </w:r>
      <w:r w:rsidRPr="006E0066">
        <w:rPr>
          <w:lang w:val="en-GB"/>
        </w:rPr>
        <w:t xml:space="preserve">The social and health burden of alcohol abuse. </w:t>
      </w:r>
      <w:proofErr w:type="spellStart"/>
      <w:r w:rsidRPr="006E0066">
        <w:rPr>
          <w:i/>
          <w:iCs/>
          <w:lang w:val="en-GB"/>
        </w:rPr>
        <w:t>Revista</w:t>
      </w:r>
      <w:proofErr w:type="spellEnd"/>
      <w:r w:rsidRPr="006E0066">
        <w:rPr>
          <w:i/>
          <w:iCs/>
          <w:lang w:val="en-GB"/>
        </w:rPr>
        <w:t xml:space="preserve"> </w:t>
      </w:r>
      <w:proofErr w:type="spellStart"/>
      <w:r w:rsidRPr="006E0066">
        <w:rPr>
          <w:i/>
          <w:iCs/>
          <w:lang w:val="en-GB"/>
        </w:rPr>
        <w:t>Brasileira</w:t>
      </w:r>
      <w:proofErr w:type="spellEnd"/>
      <w:r w:rsidRPr="006E0066">
        <w:rPr>
          <w:i/>
          <w:iCs/>
          <w:lang w:val="en-GB"/>
        </w:rPr>
        <w:t xml:space="preserve"> de </w:t>
      </w:r>
      <w:proofErr w:type="spellStart"/>
      <w:r w:rsidRPr="006E0066">
        <w:rPr>
          <w:i/>
          <w:iCs/>
          <w:lang w:val="en-GB"/>
        </w:rPr>
        <w:t>Psiquiatria</w:t>
      </w:r>
      <w:proofErr w:type="spellEnd"/>
      <w:r w:rsidRPr="006E0066">
        <w:rPr>
          <w:lang w:val="en-GB"/>
        </w:rPr>
        <w:t xml:space="preserve">, </w:t>
      </w:r>
      <w:r w:rsidRPr="006E0066">
        <w:rPr>
          <w:i/>
          <w:iCs/>
          <w:lang w:val="en-GB"/>
        </w:rPr>
        <w:t>26</w:t>
      </w:r>
      <w:r w:rsidRPr="006E0066">
        <w:rPr>
          <w:lang w:val="en-GB"/>
        </w:rPr>
        <w:t xml:space="preserve">(SUPPL.), 7–10. </w:t>
      </w:r>
      <w:hyperlink r:id="rId50" w:history="1">
        <w:r w:rsidRPr="006E0066">
          <w:rPr>
            <w:rStyle w:val="Hyperlink"/>
            <w:lang w:val="en-GB"/>
          </w:rPr>
          <w:t>https://doi.org/10.1590/s1516-44462004000500003</w:t>
        </w:r>
      </w:hyperlink>
    </w:p>
    <w:p w14:paraId="14386753" w14:textId="77777777" w:rsidR="006E0066" w:rsidRDefault="006E0066" w:rsidP="006E0066">
      <w:pPr>
        <w:pStyle w:val="Body"/>
        <w:spacing w:after="0"/>
        <w:rPr>
          <w:lang w:val="en-GB"/>
        </w:rPr>
      </w:pPr>
    </w:p>
    <w:p w14:paraId="4B3727C5" w14:textId="0369FDC0" w:rsidR="006E0066" w:rsidRPr="006E0066" w:rsidRDefault="006E0066" w:rsidP="006E0066">
      <w:pPr>
        <w:pStyle w:val="Body"/>
        <w:spacing w:after="0"/>
        <w:rPr>
          <w:lang w:val="en-GB"/>
        </w:rPr>
      </w:pPr>
      <w:r w:rsidRPr="006E0066">
        <w:rPr>
          <w:lang w:val="en-GB"/>
        </w:rPr>
        <w:t xml:space="preserve">Moeller, F. G., Barratt, E. S., Dougherty, D. M., Schmitz, J. M., &amp; Swann, A. C. (2001). Psychiatric aspects of impulsivity. </w:t>
      </w:r>
      <w:r w:rsidRPr="006E0066">
        <w:rPr>
          <w:i/>
          <w:iCs/>
          <w:lang w:val="en-GB"/>
        </w:rPr>
        <w:t>American Journal of Psychiatry</w:t>
      </w:r>
      <w:r w:rsidRPr="006E0066">
        <w:rPr>
          <w:lang w:val="en-GB"/>
        </w:rPr>
        <w:t xml:space="preserve">, </w:t>
      </w:r>
      <w:r w:rsidRPr="006E0066">
        <w:rPr>
          <w:i/>
          <w:iCs/>
          <w:lang w:val="en-GB"/>
        </w:rPr>
        <w:t>158</w:t>
      </w:r>
      <w:r w:rsidRPr="006E0066">
        <w:rPr>
          <w:lang w:val="en-GB"/>
        </w:rPr>
        <w:t xml:space="preserve">(11), 1783–1793. </w:t>
      </w:r>
      <w:hyperlink r:id="rId51" w:history="1">
        <w:r w:rsidRPr="006E0066">
          <w:rPr>
            <w:rStyle w:val="Hyperlink"/>
            <w:lang w:val="en-GB"/>
          </w:rPr>
          <w:t>https://doi.org/10.1176/appi.ajp.158.11.1783</w:t>
        </w:r>
      </w:hyperlink>
    </w:p>
    <w:p w14:paraId="1DFD8576" w14:textId="77777777" w:rsidR="006E0066" w:rsidRPr="006E0066" w:rsidRDefault="006E0066" w:rsidP="006E0066">
      <w:pPr>
        <w:pStyle w:val="Body"/>
        <w:spacing w:after="0"/>
        <w:rPr>
          <w:lang w:val="en-GB"/>
        </w:rPr>
      </w:pPr>
    </w:p>
    <w:p w14:paraId="21F5D1FE" w14:textId="77777777" w:rsidR="006E0066" w:rsidRPr="006E0066" w:rsidRDefault="006E0066" w:rsidP="006E0066">
      <w:pPr>
        <w:pStyle w:val="Body"/>
        <w:spacing w:after="0"/>
        <w:rPr>
          <w:lang w:val="en-GB"/>
        </w:rPr>
      </w:pPr>
      <w:r w:rsidRPr="006E0066">
        <w:rPr>
          <w:lang w:val="en-GB"/>
        </w:rPr>
        <w:t xml:space="preserve">Morris, E. P., Stewart, S. H., &amp; Ham, L. S. (2005). The relationship between social anxiety disorder and alcohol use disorders: A critical review. </w:t>
      </w:r>
      <w:r w:rsidRPr="006E0066">
        <w:rPr>
          <w:i/>
          <w:iCs/>
          <w:lang w:val="en-GB"/>
        </w:rPr>
        <w:t>Clinical Psychology Review</w:t>
      </w:r>
      <w:r w:rsidRPr="006E0066">
        <w:rPr>
          <w:lang w:val="en-GB"/>
        </w:rPr>
        <w:t xml:space="preserve">, </w:t>
      </w:r>
      <w:r w:rsidRPr="006E0066">
        <w:rPr>
          <w:i/>
          <w:iCs/>
          <w:lang w:val="en-GB"/>
        </w:rPr>
        <w:t>25</w:t>
      </w:r>
      <w:r w:rsidRPr="006E0066">
        <w:rPr>
          <w:lang w:val="en-GB"/>
        </w:rPr>
        <w:t xml:space="preserve">(6), 734–760. </w:t>
      </w:r>
      <w:hyperlink r:id="rId52" w:history="1">
        <w:r w:rsidRPr="006E0066">
          <w:rPr>
            <w:rStyle w:val="Hyperlink"/>
            <w:lang w:val="en-GB"/>
          </w:rPr>
          <w:t>https://doi.org/10.1016/j.cpr.2005.05.004</w:t>
        </w:r>
      </w:hyperlink>
    </w:p>
    <w:p w14:paraId="16122BF5" w14:textId="77777777" w:rsidR="006E0066" w:rsidRDefault="006E0066" w:rsidP="006E0066">
      <w:pPr>
        <w:pStyle w:val="Body"/>
        <w:spacing w:after="0"/>
        <w:rPr>
          <w:lang w:val="en-GB"/>
        </w:rPr>
      </w:pPr>
    </w:p>
    <w:p w14:paraId="6E85B3BE" w14:textId="6A428C6D" w:rsidR="006E0066" w:rsidRPr="006E0066" w:rsidRDefault="006E0066" w:rsidP="006E0066">
      <w:pPr>
        <w:pStyle w:val="Body"/>
        <w:spacing w:after="0"/>
        <w:rPr>
          <w:lang w:val="en-GB"/>
        </w:rPr>
      </w:pPr>
      <w:r w:rsidRPr="006E0066">
        <w:rPr>
          <w:lang w:val="en-GB"/>
        </w:rPr>
        <w:t xml:space="preserve">Murphy, J. G., &amp; MacKillop, J. (2006). Relative reinforcing efficacy of alcohol among college student drinkers. </w:t>
      </w:r>
      <w:r w:rsidRPr="006E0066">
        <w:rPr>
          <w:i/>
          <w:iCs/>
          <w:lang w:val="en-GB"/>
        </w:rPr>
        <w:t>Experimental and Clinical Psychopharmacology</w:t>
      </w:r>
      <w:r w:rsidRPr="006E0066">
        <w:rPr>
          <w:lang w:val="en-GB"/>
        </w:rPr>
        <w:t xml:space="preserve">, </w:t>
      </w:r>
      <w:r w:rsidRPr="006E0066">
        <w:rPr>
          <w:i/>
          <w:iCs/>
          <w:lang w:val="en-GB"/>
        </w:rPr>
        <w:t>14</w:t>
      </w:r>
      <w:r w:rsidRPr="006E0066">
        <w:rPr>
          <w:lang w:val="en-GB"/>
        </w:rPr>
        <w:t xml:space="preserve">(2), 219–227. </w:t>
      </w:r>
      <w:hyperlink r:id="rId53" w:history="1">
        <w:r w:rsidRPr="006E0066">
          <w:rPr>
            <w:rStyle w:val="Hyperlink"/>
            <w:lang w:val="en-GB"/>
          </w:rPr>
          <w:t>https://doi.org/10.1037/1064-1297.14.2.219</w:t>
        </w:r>
      </w:hyperlink>
    </w:p>
    <w:p w14:paraId="28B26A05" w14:textId="77777777" w:rsidR="006E0066" w:rsidRDefault="006E0066" w:rsidP="006E0066">
      <w:pPr>
        <w:pStyle w:val="Body"/>
        <w:spacing w:after="0"/>
        <w:rPr>
          <w:lang w:val="en-GB"/>
        </w:rPr>
      </w:pPr>
    </w:p>
    <w:p w14:paraId="1A4D8240" w14:textId="32F629E8" w:rsidR="006E0066" w:rsidRPr="006E0066" w:rsidRDefault="006E0066" w:rsidP="006E0066">
      <w:pPr>
        <w:pStyle w:val="Body"/>
        <w:spacing w:after="0"/>
        <w:rPr>
          <w:lang w:val="en-GB"/>
        </w:rPr>
      </w:pPr>
      <w:r w:rsidRPr="006E0066">
        <w:rPr>
          <w:lang w:val="en-GB"/>
        </w:rPr>
        <w:lastRenderedPageBreak/>
        <w:t xml:space="preserve">Nepomuceno, M. V., &amp; Stenstrom, E. (2021). Consumption on steroids: The effect of testosterone on preferences for conspicuous consumption and the moderating role of intrasexual competition. </w:t>
      </w:r>
      <w:r w:rsidRPr="006E0066">
        <w:rPr>
          <w:i/>
          <w:iCs/>
          <w:lang w:val="en-GB"/>
        </w:rPr>
        <w:t xml:space="preserve">Journal of </w:t>
      </w:r>
      <w:proofErr w:type="spellStart"/>
      <w:r w:rsidRPr="006E0066">
        <w:rPr>
          <w:i/>
          <w:iCs/>
          <w:lang w:val="en-GB"/>
        </w:rPr>
        <w:t>Behavioral</w:t>
      </w:r>
      <w:proofErr w:type="spellEnd"/>
      <w:r w:rsidRPr="006E0066">
        <w:rPr>
          <w:i/>
          <w:iCs/>
          <w:lang w:val="en-GB"/>
        </w:rPr>
        <w:t xml:space="preserve"> Decision Making</w:t>
      </w:r>
      <w:r w:rsidRPr="006E0066">
        <w:rPr>
          <w:lang w:val="en-GB"/>
        </w:rPr>
        <w:t xml:space="preserve">, </w:t>
      </w:r>
      <w:r w:rsidRPr="006E0066">
        <w:rPr>
          <w:i/>
          <w:iCs/>
          <w:lang w:val="en-GB"/>
        </w:rPr>
        <w:t>34</w:t>
      </w:r>
      <w:r w:rsidRPr="006E0066">
        <w:rPr>
          <w:lang w:val="en-GB"/>
        </w:rPr>
        <w:t xml:space="preserve">(3), 457–475. </w:t>
      </w:r>
      <w:hyperlink r:id="rId54" w:history="1">
        <w:r w:rsidRPr="006E0066">
          <w:rPr>
            <w:rStyle w:val="Hyperlink"/>
            <w:lang w:val="en-GB"/>
          </w:rPr>
          <w:t>https://doi.org/10.1002/bdm.2222</w:t>
        </w:r>
      </w:hyperlink>
    </w:p>
    <w:p w14:paraId="413F16EF" w14:textId="77777777" w:rsidR="006E0066" w:rsidRDefault="006E0066" w:rsidP="006E0066">
      <w:pPr>
        <w:pStyle w:val="Body"/>
        <w:spacing w:after="0"/>
        <w:rPr>
          <w:lang w:val="en-GB"/>
        </w:rPr>
      </w:pPr>
    </w:p>
    <w:p w14:paraId="2A8A9F67" w14:textId="74ECF34F" w:rsidR="006E0066" w:rsidRPr="006E0066" w:rsidRDefault="006E0066" w:rsidP="006E0066">
      <w:pPr>
        <w:pStyle w:val="Body"/>
        <w:spacing w:after="0"/>
        <w:rPr>
          <w:lang w:val="en-GB"/>
        </w:rPr>
      </w:pPr>
      <w:proofErr w:type="spellStart"/>
      <w:r w:rsidRPr="006E0066">
        <w:rPr>
          <w:lang w:val="en-GB"/>
        </w:rPr>
        <w:t>Norström</w:t>
      </w:r>
      <w:proofErr w:type="spellEnd"/>
      <w:r w:rsidRPr="006E0066">
        <w:rPr>
          <w:lang w:val="en-GB"/>
        </w:rPr>
        <w:t xml:space="preserve">, T., &amp; Ramstedt, M. (2005). Mortality and population drinking: A review of the literature. </w:t>
      </w:r>
      <w:r w:rsidRPr="006E0066">
        <w:rPr>
          <w:i/>
          <w:iCs/>
          <w:lang w:val="en-GB"/>
        </w:rPr>
        <w:t>Drug and Alcohol Review</w:t>
      </w:r>
      <w:r w:rsidRPr="006E0066">
        <w:rPr>
          <w:lang w:val="en-GB"/>
        </w:rPr>
        <w:t xml:space="preserve">, </w:t>
      </w:r>
      <w:r w:rsidRPr="006E0066">
        <w:rPr>
          <w:i/>
          <w:iCs/>
          <w:lang w:val="en-GB"/>
        </w:rPr>
        <w:t>24</w:t>
      </w:r>
      <w:r w:rsidRPr="006E0066">
        <w:rPr>
          <w:lang w:val="en-GB"/>
        </w:rPr>
        <w:t xml:space="preserve">(6), 537–547. </w:t>
      </w:r>
      <w:hyperlink r:id="rId55" w:history="1">
        <w:r w:rsidRPr="006E0066">
          <w:rPr>
            <w:rStyle w:val="Hyperlink"/>
            <w:lang w:val="en-GB"/>
          </w:rPr>
          <w:t>https://doi.org/10.1080/09595230500293845</w:t>
        </w:r>
      </w:hyperlink>
    </w:p>
    <w:p w14:paraId="214C0AD0" w14:textId="77777777" w:rsidR="006E0066" w:rsidRDefault="006E0066" w:rsidP="006E0066">
      <w:pPr>
        <w:pStyle w:val="Body"/>
        <w:spacing w:after="0"/>
        <w:rPr>
          <w:lang w:val="en-GB"/>
        </w:rPr>
      </w:pPr>
    </w:p>
    <w:p w14:paraId="2311F734" w14:textId="3BB4C73C" w:rsidR="006E0066" w:rsidRPr="006E0066" w:rsidRDefault="006E0066" w:rsidP="006E0066">
      <w:pPr>
        <w:pStyle w:val="Body"/>
        <w:spacing w:after="0"/>
        <w:rPr>
          <w:lang w:val="en-GB"/>
        </w:rPr>
      </w:pPr>
      <w:proofErr w:type="spellStart"/>
      <w:r w:rsidRPr="006E0066">
        <w:rPr>
          <w:lang w:val="en-GB"/>
        </w:rPr>
        <w:t>Otterbring</w:t>
      </w:r>
      <w:proofErr w:type="spellEnd"/>
      <w:r w:rsidRPr="006E0066">
        <w:rPr>
          <w:lang w:val="en-GB"/>
        </w:rPr>
        <w:t xml:space="preserve">, T., Ringler, C., Sirianni, N. J., &amp; Gustafsson, A. (2018). The </w:t>
      </w:r>
      <w:proofErr w:type="spellStart"/>
      <w:r w:rsidRPr="006E0066">
        <w:rPr>
          <w:lang w:val="en-GB"/>
        </w:rPr>
        <w:t>abercrombie</w:t>
      </w:r>
      <w:proofErr w:type="spellEnd"/>
      <w:r w:rsidRPr="006E0066">
        <w:rPr>
          <w:lang w:val="en-GB"/>
        </w:rPr>
        <w:t xml:space="preserve"> &amp; fitch effect: The impact of physical dominance on male customers’ status-</w:t>
      </w:r>
      <w:proofErr w:type="spellStart"/>
      <w:r w:rsidRPr="006E0066">
        <w:rPr>
          <w:lang w:val="en-GB"/>
        </w:rPr>
        <w:t>signaling</w:t>
      </w:r>
      <w:proofErr w:type="spellEnd"/>
      <w:r w:rsidRPr="006E0066">
        <w:rPr>
          <w:lang w:val="en-GB"/>
        </w:rPr>
        <w:t xml:space="preserve"> consumption. In </w:t>
      </w:r>
      <w:r w:rsidRPr="006E0066">
        <w:rPr>
          <w:i/>
          <w:iCs/>
          <w:lang w:val="en-GB"/>
        </w:rPr>
        <w:t>Journal of Marketing Research</w:t>
      </w:r>
      <w:r w:rsidRPr="006E0066">
        <w:rPr>
          <w:lang w:val="en-GB"/>
        </w:rPr>
        <w:t xml:space="preserve">, 55(1). </w:t>
      </w:r>
      <w:hyperlink r:id="rId56" w:history="1">
        <w:r w:rsidRPr="006E0066">
          <w:rPr>
            <w:rStyle w:val="Hyperlink"/>
            <w:lang w:val="en-GB"/>
          </w:rPr>
          <w:t>https://doi.org/10.1509/jmr.15.0247</w:t>
        </w:r>
      </w:hyperlink>
    </w:p>
    <w:p w14:paraId="6AC1BC61" w14:textId="77777777" w:rsidR="006E0066" w:rsidRDefault="006E0066" w:rsidP="006E0066">
      <w:pPr>
        <w:pStyle w:val="Body"/>
        <w:spacing w:after="0"/>
        <w:rPr>
          <w:lang w:val="en-GB"/>
        </w:rPr>
      </w:pPr>
    </w:p>
    <w:p w14:paraId="034555FE" w14:textId="715F2956" w:rsidR="006E0066" w:rsidRPr="006E0066" w:rsidRDefault="006E0066" w:rsidP="006E0066">
      <w:pPr>
        <w:pStyle w:val="Body"/>
        <w:spacing w:after="0"/>
        <w:rPr>
          <w:lang w:val="en-GB"/>
        </w:rPr>
      </w:pPr>
      <w:r w:rsidRPr="006E0066">
        <w:rPr>
          <w:lang w:val="en-GB"/>
        </w:rPr>
        <w:t xml:space="preserve">Pedersen, E. R., Lee, C. M., Larimer, M. E., &amp; </w:t>
      </w:r>
      <w:proofErr w:type="spellStart"/>
      <w:r w:rsidRPr="006E0066">
        <w:rPr>
          <w:lang w:val="en-GB"/>
        </w:rPr>
        <w:t>Neighbors</w:t>
      </w:r>
      <w:proofErr w:type="spellEnd"/>
      <w:r w:rsidRPr="006E0066">
        <w:rPr>
          <w:lang w:val="en-GB"/>
        </w:rPr>
        <w:t xml:space="preserve">, C. (2009). Gender and dating relationship status moderate the association between alcohol use and sex-related alcohol expectancies. </w:t>
      </w:r>
      <w:r w:rsidRPr="006E0066">
        <w:rPr>
          <w:i/>
          <w:iCs/>
          <w:lang w:val="en-GB"/>
        </w:rPr>
        <w:t xml:space="preserve">Addictive </w:t>
      </w:r>
      <w:proofErr w:type="spellStart"/>
      <w:r w:rsidRPr="006E0066">
        <w:rPr>
          <w:i/>
          <w:iCs/>
          <w:lang w:val="en-GB"/>
        </w:rPr>
        <w:t>Behaviors</w:t>
      </w:r>
      <w:proofErr w:type="spellEnd"/>
      <w:r w:rsidRPr="006E0066">
        <w:rPr>
          <w:lang w:val="en-GB"/>
        </w:rPr>
        <w:t xml:space="preserve">, </w:t>
      </w:r>
      <w:r w:rsidRPr="006E0066">
        <w:rPr>
          <w:i/>
          <w:iCs/>
          <w:lang w:val="en-GB"/>
        </w:rPr>
        <w:t>34</w:t>
      </w:r>
      <w:r w:rsidRPr="006E0066">
        <w:rPr>
          <w:lang w:val="en-GB"/>
        </w:rPr>
        <w:t xml:space="preserve">(9), 786–789. </w:t>
      </w:r>
      <w:hyperlink r:id="rId57" w:history="1">
        <w:r w:rsidRPr="006E0066">
          <w:rPr>
            <w:rStyle w:val="Hyperlink"/>
            <w:lang w:val="en-GB"/>
          </w:rPr>
          <w:t>https://doi.org/10.1016/j.addbeh.2009.04.015</w:t>
        </w:r>
      </w:hyperlink>
    </w:p>
    <w:p w14:paraId="3C4510B0" w14:textId="77777777" w:rsidR="006E0066" w:rsidRDefault="006E0066" w:rsidP="006E0066">
      <w:pPr>
        <w:pStyle w:val="Body"/>
        <w:spacing w:after="0"/>
        <w:rPr>
          <w:lang w:val="en-GB"/>
        </w:rPr>
      </w:pPr>
    </w:p>
    <w:p w14:paraId="1600AB6C" w14:textId="3606C1C9" w:rsidR="006E0066" w:rsidRPr="006E0066" w:rsidRDefault="006E0066" w:rsidP="006E0066">
      <w:pPr>
        <w:pStyle w:val="Body"/>
        <w:spacing w:after="0"/>
        <w:rPr>
          <w:lang w:val="en-GB"/>
        </w:rPr>
      </w:pPr>
      <w:proofErr w:type="spellStart"/>
      <w:r w:rsidRPr="006E0066">
        <w:rPr>
          <w:lang w:val="en-GB"/>
        </w:rPr>
        <w:t>Rajendram</w:t>
      </w:r>
      <w:proofErr w:type="spellEnd"/>
      <w:r w:rsidRPr="006E0066">
        <w:rPr>
          <w:lang w:val="en-GB"/>
        </w:rPr>
        <w:t xml:space="preserve">, R., Lewison, G., &amp; </w:t>
      </w:r>
      <w:proofErr w:type="spellStart"/>
      <w:r w:rsidRPr="006E0066">
        <w:rPr>
          <w:lang w:val="en-GB"/>
        </w:rPr>
        <w:t>Preedy</w:t>
      </w:r>
      <w:proofErr w:type="spellEnd"/>
      <w:r w:rsidRPr="006E0066">
        <w:rPr>
          <w:lang w:val="en-GB"/>
        </w:rPr>
        <w:t xml:space="preserve">, V. (2006). Worldwide Alcohol-related research and the disease burden. </w:t>
      </w:r>
      <w:r w:rsidRPr="006E0066">
        <w:rPr>
          <w:i/>
          <w:iCs/>
          <w:lang w:val="en-GB"/>
        </w:rPr>
        <w:t>Alcohol and Alcoholism</w:t>
      </w:r>
      <w:r w:rsidRPr="006E0066">
        <w:rPr>
          <w:lang w:val="en-GB"/>
        </w:rPr>
        <w:t xml:space="preserve">, </w:t>
      </w:r>
      <w:r w:rsidRPr="006E0066">
        <w:rPr>
          <w:i/>
          <w:iCs/>
          <w:lang w:val="en-GB"/>
        </w:rPr>
        <w:t>41</w:t>
      </w:r>
      <w:r w:rsidRPr="006E0066">
        <w:rPr>
          <w:lang w:val="en-GB"/>
        </w:rPr>
        <w:t xml:space="preserve">(1), 99–106. </w:t>
      </w:r>
      <w:hyperlink r:id="rId58" w:history="1">
        <w:r w:rsidRPr="006E0066">
          <w:rPr>
            <w:rStyle w:val="Hyperlink"/>
            <w:lang w:val="en-GB"/>
          </w:rPr>
          <w:t>https://doi.org/10.1093/alcalc/agh238</w:t>
        </w:r>
      </w:hyperlink>
    </w:p>
    <w:p w14:paraId="7A38A8CB" w14:textId="77777777" w:rsidR="006E0066" w:rsidRDefault="006E0066" w:rsidP="006E0066">
      <w:pPr>
        <w:pStyle w:val="Body"/>
        <w:spacing w:after="0"/>
        <w:rPr>
          <w:lang w:val="en-GB"/>
        </w:rPr>
      </w:pPr>
    </w:p>
    <w:p w14:paraId="32BCFFEA" w14:textId="7E721911" w:rsidR="006E0066" w:rsidRPr="006E0066" w:rsidRDefault="006E0066" w:rsidP="006E0066">
      <w:pPr>
        <w:pStyle w:val="Body"/>
        <w:spacing w:after="0"/>
        <w:rPr>
          <w:lang w:val="en-GB"/>
        </w:rPr>
      </w:pPr>
      <w:r w:rsidRPr="006E0066">
        <w:rPr>
          <w:lang w:val="en-GB"/>
        </w:rPr>
        <w:t xml:space="preserve">Rehm, J., Mathers, C., Popova, S., </w:t>
      </w:r>
      <w:proofErr w:type="spellStart"/>
      <w:r w:rsidRPr="006E0066">
        <w:rPr>
          <w:lang w:val="en-GB"/>
        </w:rPr>
        <w:t>Thavorncharoensap</w:t>
      </w:r>
      <w:proofErr w:type="spellEnd"/>
      <w:r w:rsidRPr="006E0066">
        <w:rPr>
          <w:lang w:val="en-GB"/>
        </w:rPr>
        <w:t xml:space="preserve">, M., </w:t>
      </w:r>
      <w:proofErr w:type="spellStart"/>
      <w:r w:rsidRPr="006E0066">
        <w:rPr>
          <w:lang w:val="en-GB"/>
        </w:rPr>
        <w:t>Teerawattananon</w:t>
      </w:r>
      <w:proofErr w:type="spellEnd"/>
      <w:r w:rsidRPr="006E0066">
        <w:rPr>
          <w:lang w:val="en-GB"/>
        </w:rPr>
        <w:t xml:space="preserve">, Y., &amp; Patra, J. (2009). Global burden of disease and injury and economic cost attributable to alcohol use and alcohol-use disorders. </w:t>
      </w:r>
      <w:r w:rsidRPr="006E0066">
        <w:rPr>
          <w:i/>
          <w:iCs/>
          <w:lang w:val="en-GB"/>
        </w:rPr>
        <w:t>The Lancet</w:t>
      </w:r>
      <w:r w:rsidRPr="006E0066">
        <w:rPr>
          <w:lang w:val="en-GB"/>
        </w:rPr>
        <w:t xml:space="preserve">, </w:t>
      </w:r>
      <w:r w:rsidRPr="006E0066">
        <w:rPr>
          <w:i/>
          <w:iCs/>
          <w:lang w:val="en-GB"/>
        </w:rPr>
        <w:t>373</w:t>
      </w:r>
      <w:r w:rsidRPr="006E0066">
        <w:rPr>
          <w:lang w:val="en-GB"/>
        </w:rPr>
        <w:t>(9682), 2223–2233. https://doi.org/10.1016/S0140-6736(09)60746-7</w:t>
      </w:r>
    </w:p>
    <w:p w14:paraId="17B28EE6" w14:textId="77777777" w:rsidR="006E0066" w:rsidRPr="006E0066" w:rsidRDefault="006E0066" w:rsidP="006E0066">
      <w:pPr>
        <w:pStyle w:val="Body"/>
        <w:spacing w:after="0"/>
        <w:rPr>
          <w:lang w:val="en-GB"/>
        </w:rPr>
      </w:pPr>
      <w:r w:rsidRPr="006E0066">
        <w:rPr>
          <w:lang w:val="en-GB"/>
        </w:rPr>
        <w:t xml:space="preserve">Rehm, J., Room, R., Graham, K., Monteiro, M., </w:t>
      </w:r>
      <w:proofErr w:type="spellStart"/>
      <w:r w:rsidRPr="006E0066">
        <w:rPr>
          <w:lang w:val="en-GB"/>
        </w:rPr>
        <w:t>Gmel</w:t>
      </w:r>
      <w:proofErr w:type="spellEnd"/>
      <w:r w:rsidRPr="006E0066">
        <w:rPr>
          <w:lang w:val="en-GB"/>
        </w:rPr>
        <w:t xml:space="preserve">, G., &amp; </w:t>
      </w:r>
      <w:proofErr w:type="spellStart"/>
      <w:r w:rsidRPr="006E0066">
        <w:rPr>
          <w:lang w:val="en-GB"/>
        </w:rPr>
        <w:t>Sempos</w:t>
      </w:r>
      <w:proofErr w:type="spellEnd"/>
      <w:r w:rsidRPr="006E0066">
        <w:rPr>
          <w:lang w:val="en-GB"/>
        </w:rPr>
        <w:t xml:space="preserve">, C. T. (2003). The relationship of average volume of alcohol consumption and patterns of drinking to burden of disease: An overview. </w:t>
      </w:r>
      <w:r w:rsidRPr="006E0066">
        <w:rPr>
          <w:i/>
          <w:iCs/>
          <w:lang w:val="en-GB"/>
        </w:rPr>
        <w:t>Addiction</w:t>
      </w:r>
      <w:r w:rsidRPr="006E0066">
        <w:rPr>
          <w:lang w:val="en-GB"/>
        </w:rPr>
        <w:t xml:space="preserve">, </w:t>
      </w:r>
      <w:r w:rsidRPr="006E0066">
        <w:rPr>
          <w:i/>
          <w:iCs/>
          <w:lang w:val="en-GB"/>
        </w:rPr>
        <w:t>98</w:t>
      </w:r>
      <w:r w:rsidRPr="006E0066">
        <w:rPr>
          <w:lang w:val="en-GB"/>
        </w:rPr>
        <w:t xml:space="preserve">(9), 1209–1228. </w:t>
      </w:r>
      <w:hyperlink r:id="rId59" w:history="1">
        <w:r w:rsidRPr="006E0066">
          <w:rPr>
            <w:rStyle w:val="Hyperlink"/>
            <w:lang w:val="en-GB"/>
          </w:rPr>
          <w:t>https://doi.org/10.1046/j.1360-0443.2003.00467.x</w:t>
        </w:r>
      </w:hyperlink>
    </w:p>
    <w:p w14:paraId="23E0AFC7" w14:textId="77777777" w:rsidR="006E0066" w:rsidRDefault="006E0066" w:rsidP="006E0066">
      <w:pPr>
        <w:pStyle w:val="Body"/>
        <w:spacing w:after="0"/>
        <w:rPr>
          <w:lang w:val="en-GB"/>
        </w:rPr>
      </w:pPr>
    </w:p>
    <w:p w14:paraId="6583B07C" w14:textId="6A2422B9" w:rsidR="006E0066" w:rsidRDefault="006E0066" w:rsidP="006E0066">
      <w:pPr>
        <w:pStyle w:val="Body"/>
        <w:spacing w:after="0"/>
        <w:rPr>
          <w:lang w:val="en-GB"/>
        </w:rPr>
      </w:pPr>
      <w:r w:rsidRPr="006E0066">
        <w:rPr>
          <w:lang w:val="en-GB"/>
        </w:rPr>
        <w:t xml:space="preserve">Rosvall, K. A. (2011). Intrasexual competition in females: Evidence for sexual selection? </w:t>
      </w:r>
      <w:proofErr w:type="spellStart"/>
      <w:r w:rsidRPr="006E0066">
        <w:rPr>
          <w:i/>
          <w:iCs/>
          <w:lang w:val="en-GB"/>
        </w:rPr>
        <w:t>Behavioral</w:t>
      </w:r>
      <w:proofErr w:type="spellEnd"/>
      <w:r w:rsidRPr="006E0066">
        <w:rPr>
          <w:i/>
          <w:iCs/>
          <w:lang w:val="en-GB"/>
        </w:rPr>
        <w:t xml:space="preserve"> Ecology</w:t>
      </w:r>
      <w:r w:rsidRPr="006E0066">
        <w:rPr>
          <w:lang w:val="en-GB"/>
        </w:rPr>
        <w:t xml:space="preserve">, </w:t>
      </w:r>
      <w:r w:rsidRPr="006E0066">
        <w:rPr>
          <w:i/>
          <w:iCs/>
          <w:lang w:val="en-GB"/>
        </w:rPr>
        <w:t>22</w:t>
      </w:r>
      <w:r w:rsidRPr="006E0066">
        <w:rPr>
          <w:lang w:val="en-GB"/>
        </w:rPr>
        <w:t>(6), 1131–1140.</w:t>
      </w:r>
      <w:r>
        <w:rPr>
          <w:lang w:val="en-GB"/>
        </w:rPr>
        <w:t xml:space="preserve"> </w:t>
      </w:r>
      <w:hyperlink r:id="rId60" w:history="1">
        <w:r w:rsidRPr="006E0066">
          <w:rPr>
            <w:rStyle w:val="Hyperlink"/>
            <w:lang w:val="en-GB"/>
          </w:rPr>
          <w:t>https://doi.org/10.1093/beheco/arr106</w:t>
        </w:r>
      </w:hyperlink>
    </w:p>
    <w:p w14:paraId="1384C347" w14:textId="77777777" w:rsidR="006E0066" w:rsidRDefault="006E0066" w:rsidP="006E0066">
      <w:pPr>
        <w:pStyle w:val="Body"/>
        <w:spacing w:after="0"/>
        <w:rPr>
          <w:lang w:val="en-GB"/>
        </w:rPr>
      </w:pPr>
    </w:p>
    <w:p w14:paraId="5D7FEBB8" w14:textId="554C2712" w:rsidR="006E0066" w:rsidRPr="006E0066" w:rsidRDefault="006E0066" w:rsidP="006E0066">
      <w:pPr>
        <w:pStyle w:val="Body"/>
        <w:spacing w:after="0"/>
        <w:rPr>
          <w:lang w:val="en-GB"/>
        </w:rPr>
      </w:pPr>
      <w:r w:rsidRPr="006E0066">
        <w:rPr>
          <w:lang w:val="en-GB"/>
        </w:rPr>
        <w:t xml:space="preserve">Scheier, L. M., </w:t>
      </w:r>
      <w:proofErr w:type="spellStart"/>
      <w:r w:rsidRPr="006E0066">
        <w:rPr>
          <w:lang w:val="en-GB"/>
        </w:rPr>
        <w:t>Botvin</w:t>
      </w:r>
      <w:proofErr w:type="spellEnd"/>
      <w:r w:rsidRPr="006E0066">
        <w:rPr>
          <w:lang w:val="en-GB"/>
        </w:rPr>
        <w:t xml:space="preserve">, G. J., Griffin, K. W., &amp; Diaz, T. (2000). Dynamic Growth Models of Self-Esteem and Adolescent Alcohol Use. </w:t>
      </w:r>
      <w:r w:rsidRPr="006E0066">
        <w:rPr>
          <w:i/>
          <w:iCs/>
          <w:lang w:val="en-GB"/>
        </w:rPr>
        <w:t>Journal of Early Adolescence</w:t>
      </w:r>
      <w:r w:rsidRPr="006E0066">
        <w:rPr>
          <w:lang w:val="en-GB"/>
        </w:rPr>
        <w:t xml:space="preserve">, </w:t>
      </w:r>
      <w:r w:rsidRPr="006E0066">
        <w:rPr>
          <w:i/>
          <w:iCs/>
          <w:lang w:val="en-GB"/>
        </w:rPr>
        <w:t>20</w:t>
      </w:r>
      <w:r w:rsidRPr="006E0066">
        <w:rPr>
          <w:lang w:val="en-GB"/>
        </w:rPr>
        <w:t xml:space="preserve">(2), 178–209. </w:t>
      </w:r>
      <w:hyperlink r:id="rId61" w:history="1">
        <w:r w:rsidRPr="006E0066">
          <w:rPr>
            <w:rStyle w:val="Hyperlink"/>
            <w:lang w:val="en-GB"/>
          </w:rPr>
          <w:t>https://doi.org/10.1177/0272431600020002004</w:t>
        </w:r>
      </w:hyperlink>
    </w:p>
    <w:p w14:paraId="27661E37" w14:textId="77777777" w:rsidR="006E0066" w:rsidRDefault="006E0066" w:rsidP="006E0066">
      <w:pPr>
        <w:pStyle w:val="Body"/>
        <w:spacing w:after="0"/>
        <w:rPr>
          <w:lang w:val="en-GB"/>
        </w:rPr>
      </w:pPr>
    </w:p>
    <w:p w14:paraId="0F82EBAE" w14:textId="26DA7FD0" w:rsidR="006E0066" w:rsidRPr="006E0066" w:rsidRDefault="006E0066" w:rsidP="006E0066">
      <w:pPr>
        <w:pStyle w:val="Body"/>
        <w:spacing w:after="0"/>
        <w:rPr>
          <w:u w:val="single"/>
          <w:lang w:val="en-GB"/>
        </w:rPr>
      </w:pPr>
      <w:r w:rsidRPr="006E0066">
        <w:rPr>
          <w:lang w:val="en-GB"/>
        </w:rPr>
        <w:t xml:space="preserve">Snider, S. E., LaConte, S. M., &amp; Bickel, W. K. (2016). Episodic Future Thinking: Expansion of the Temporal Window in Individuals with Alcohol Dependence. </w:t>
      </w:r>
      <w:r w:rsidRPr="006E0066">
        <w:rPr>
          <w:i/>
          <w:iCs/>
          <w:lang w:val="en-GB"/>
        </w:rPr>
        <w:t>Alcoholism: Clinical and Experimental Research</w:t>
      </w:r>
      <w:r w:rsidRPr="006E0066">
        <w:rPr>
          <w:lang w:val="en-GB"/>
        </w:rPr>
        <w:t xml:space="preserve">, </w:t>
      </w:r>
      <w:r w:rsidRPr="006E0066">
        <w:rPr>
          <w:i/>
          <w:iCs/>
          <w:lang w:val="en-GB"/>
        </w:rPr>
        <w:t>40</w:t>
      </w:r>
      <w:r w:rsidRPr="006E0066">
        <w:rPr>
          <w:lang w:val="en-GB"/>
        </w:rPr>
        <w:t xml:space="preserve">(7), 1558–1566. </w:t>
      </w:r>
      <w:hyperlink r:id="rId62" w:history="1">
        <w:r w:rsidRPr="006E0066">
          <w:rPr>
            <w:rStyle w:val="Hyperlink"/>
            <w:lang w:val="en-GB"/>
          </w:rPr>
          <w:t>https://doi.org/10.1111/acer.13112</w:t>
        </w:r>
      </w:hyperlink>
    </w:p>
    <w:p w14:paraId="3B166568" w14:textId="77777777" w:rsidR="006E0066" w:rsidRDefault="006E0066" w:rsidP="006E0066">
      <w:pPr>
        <w:pStyle w:val="Body"/>
        <w:spacing w:after="0"/>
        <w:rPr>
          <w:lang w:val="en-GB"/>
        </w:rPr>
      </w:pPr>
    </w:p>
    <w:p w14:paraId="2C983307" w14:textId="291F9150" w:rsidR="006E0066" w:rsidRPr="006E0066" w:rsidRDefault="006E0066" w:rsidP="006E0066">
      <w:pPr>
        <w:pStyle w:val="Body"/>
        <w:spacing w:after="0"/>
        <w:rPr>
          <w:lang w:val="en-GB"/>
        </w:rPr>
      </w:pPr>
      <w:r w:rsidRPr="006E0066">
        <w:rPr>
          <w:lang w:val="en-GB"/>
        </w:rPr>
        <w:t xml:space="preserve">Spielmann, S. S., MacDonald, G., &amp; Wilson, A. E. (2009). On the rebound: Focusing on someone new helps anxiously attached individuals let go of ex-partners. </w:t>
      </w:r>
      <w:r w:rsidRPr="006E0066">
        <w:rPr>
          <w:i/>
          <w:iCs/>
          <w:lang w:val="en-GB"/>
        </w:rPr>
        <w:t>Personality and Social Psychology Bulletin</w:t>
      </w:r>
      <w:r w:rsidRPr="006E0066">
        <w:rPr>
          <w:lang w:val="en-GB"/>
        </w:rPr>
        <w:t xml:space="preserve">, </w:t>
      </w:r>
      <w:r w:rsidRPr="006E0066">
        <w:rPr>
          <w:i/>
          <w:iCs/>
          <w:lang w:val="en-GB"/>
        </w:rPr>
        <w:t>35</w:t>
      </w:r>
      <w:r w:rsidRPr="006E0066">
        <w:rPr>
          <w:lang w:val="en-GB"/>
        </w:rPr>
        <w:t xml:space="preserve">(10), 1382–1394. </w:t>
      </w:r>
      <w:hyperlink r:id="rId63" w:history="1">
        <w:r w:rsidRPr="006E0066">
          <w:rPr>
            <w:rStyle w:val="Hyperlink"/>
            <w:lang w:val="en-GB"/>
          </w:rPr>
          <w:t>https://doi.org/10.1177/0146167209341580</w:t>
        </w:r>
      </w:hyperlink>
    </w:p>
    <w:p w14:paraId="5CBDA53C" w14:textId="77777777" w:rsidR="006E0066" w:rsidRDefault="006E0066" w:rsidP="006E0066">
      <w:pPr>
        <w:pStyle w:val="Body"/>
        <w:spacing w:after="0"/>
        <w:rPr>
          <w:lang w:val="en-GB"/>
        </w:rPr>
      </w:pPr>
    </w:p>
    <w:p w14:paraId="65EA4B96" w14:textId="3441D60E" w:rsidR="006E0066" w:rsidRPr="006E0066" w:rsidRDefault="006E0066" w:rsidP="006E0066">
      <w:pPr>
        <w:pStyle w:val="Body"/>
        <w:spacing w:after="0"/>
        <w:rPr>
          <w:lang w:val="en-GB"/>
        </w:rPr>
      </w:pPr>
      <w:r w:rsidRPr="006E0066">
        <w:rPr>
          <w:lang w:val="pl-PL"/>
        </w:rPr>
        <w:t xml:space="preserve">Stacy, A. W., Widaman, K. F., &amp; Marlatt, G. A. (1990). </w:t>
      </w:r>
      <w:r w:rsidRPr="006E0066">
        <w:rPr>
          <w:lang w:val="en-GB"/>
        </w:rPr>
        <w:t xml:space="preserve">Expectancy Models of Alcohol Use. </w:t>
      </w:r>
      <w:r w:rsidRPr="006E0066">
        <w:rPr>
          <w:i/>
          <w:iCs/>
          <w:lang w:val="en-GB"/>
        </w:rPr>
        <w:t>Journal of Personality and Social Psychology</w:t>
      </w:r>
      <w:r w:rsidRPr="006E0066">
        <w:rPr>
          <w:lang w:val="en-GB"/>
        </w:rPr>
        <w:t xml:space="preserve">, </w:t>
      </w:r>
      <w:r w:rsidRPr="006E0066">
        <w:rPr>
          <w:i/>
          <w:iCs/>
          <w:lang w:val="en-GB"/>
        </w:rPr>
        <w:t>58</w:t>
      </w:r>
      <w:r w:rsidRPr="006E0066">
        <w:rPr>
          <w:lang w:val="en-GB"/>
        </w:rPr>
        <w:t xml:space="preserve">(5), 918–928. </w:t>
      </w:r>
      <w:hyperlink r:id="rId64" w:history="1">
        <w:r w:rsidRPr="006E0066">
          <w:rPr>
            <w:rStyle w:val="Hyperlink"/>
            <w:lang w:val="en-GB"/>
          </w:rPr>
          <w:t>https://doi.org/10.1037/0022-3514.58.5.918</w:t>
        </w:r>
      </w:hyperlink>
    </w:p>
    <w:p w14:paraId="1A22FCDB" w14:textId="77777777" w:rsidR="006E0066" w:rsidRDefault="006E0066" w:rsidP="006E0066">
      <w:pPr>
        <w:pStyle w:val="Body"/>
        <w:spacing w:after="0"/>
        <w:rPr>
          <w:lang w:val="en-GB"/>
        </w:rPr>
      </w:pPr>
    </w:p>
    <w:p w14:paraId="6862B499" w14:textId="7C386260" w:rsidR="006E0066" w:rsidRPr="006E0066" w:rsidRDefault="006E0066" w:rsidP="006E0066">
      <w:pPr>
        <w:pStyle w:val="Body"/>
        <w:spacing w:after="0"/>
        <w:rPr>
          <w:lang w:val="en-GB"/>
        </w:rPr>
      </w:pPr>
      <w:r w:rsidRPr="006E0066">
        <w:rPr>
          <w:lang w:val="en-GB"/>
        </w:rPr>
        <w:t xml:space="preserve">Stahre, M., Roeber, J., </w:t>
      </w:r>
      <w:proofErr w:type="spellStart"/>
      <w:r w:rsidRPr="006E0066">
        <w:rPr>
          <w:lang w:val="en-GB"/>
        </w:rPr>
        <w:t>Kanny</w:t>
      </w:r>
      <w:proofErr w:type="spellEnd"/>
      <w:r w:rsidRPr="006E0066">
        <w:rPr>
          <w:lang w:val="en-GB"/>
        </w:rPr>
        <w:t xml:space="preserve">, D., Brewer, R. D., &amp; Zhang, X. (2014). Contribution of excessive alcohol consumption to deaths and years of potential life lost in the United States. </w:t>
      </w:r>
      <w:r w:rsidRPr="006E0066">
        <w:rPr>
          <w:i/>
          <w:iCs/>
          <w:lang w:val="en-GB"/>
        </w:rPr>
        <w:t>Preventing Chronic Disease</w:t>
      </w:r>
      <w:r w:rsidRPr="006E0066">
        <w:rPr>
          <w:lang w:val="en-GB"/>
        </w:rPr>
        <w:t xml:space="preserve">, </w:t>
      </w:r>
      <w:r w:rsidRPr="006E0066">
        <w:rPr>
          <w:i/>
          <w:iCs/>
          <w:lang w:val="en-GB"/>
        </w:rPr>
        <w:t>11</w:t>
      </w:r>
      <w:r w:rsidRPr="006E0066">
        <w:rPr>
          <w:lang w:val="en-GB"/>
        </w:rPr>
        <w:t xml:space="preserve">, 1–12. </w:t>
      </w:r>
      <w:hyperlink r:id="rId65" w:history="1">
        <w:r w:rsidRPr="006E0066">
          <w:rPr>
            <w:rStyle w:val="Hyperlink"/>
            <w:lang w:val="en-GB"/>
          </w:rPr>
          <w:t>https://doi.org/10.5888/pcd11.130293</w:t>
        </w:r>
      </w:hyperlink>
    </w:p>
    <w:p w14:paraId="6FE8E033" w14:textId="77777777" w:rsidR="006E0066" w:rsidRDefault="006E0066" w:rsidP="006E0066">
      <w:pPr>
        <w:pStyle w:val="Body"/>
        <w:spacing w:after="0"/>
        <w:rPr>
          <w:lang w:val="en-GB"/>
        </w:rPr>
      </w:pPr>
    </w:p>
    <w:p w14:paraId="2DB73C22" w14:textId="40BEB9C0" w:rsidR="006E0066" w:rsidRPr="006E0066" w:rsidRDefault="006E0066" w:rsidP="006E0066">
      <w:pPr>
        <w:pStyle w:val="Body"/>
        <w:spacing w:after="0"/>
        <w:rPr>
          <w:lang w:val="en-GB"/>
        </w:rPr>
      </w:pPr>
      <w:r w:rsidRPr="006E0066">
        <w:rPr>
          <w:lang w:val="en-GB"/>
        </w:rPr>
        <w:t xml:space="preserve">Stein, J. S., Koffarnus, M. N., Snider, S. E., Quisenberry, A. J., &amp; Bickel, W. K. (2015). Identification and management of </w:t>
      </w:r>
      <w:proofErr w:type="spellStart"/>
      <w:r w:rsidRPr="006E0066">
        <w:rPr>
          <w:lang w:val="en-GB"/>
        </w:rPr>
        <w:t>nonsystematic</w:t>
      </w:r>
      <w:proofErr w:type="spellEnd"/>
      <w:r w:rsidRPr="006E0066">
        <w:rPr>
          <w:lang w:val="en-GB"/>
        </w:rPr>
        <w:t xml:space="preserve"> purchase task data: Toward best practice. </w:t>
      </w:r>
      <w:r w:rsidRPr="006E0066">
        <w:rPr>
          <w:i/>
          <w:iCs/>
          <w:lang w:val="en-GB"/>
        </w:rPr>
        <w:t>Experimental and Clinical Psychopharmacology</w:t>
      </w:r>
      <w:r w:rsidRPr="006E0066">
        <w:rPr>
          <w:lang w:val="en-GB"/>
        </w:rPr>
        <w:t xml:space="preserve">, </w:t>
      </w:r>
      <w:r w:rsidRPr="006E0066">
        <w:rPr>
          <w:i/>
          <w:iCs/>
          <w:lang w:val="en-GB"/>
        </w:rPr>
        <w:t>23</w:t>
      </w:r>
      <w:r w:rsidRPr="006E0066">
        <w:rPr>
          <w:lang w:val="en-GB"/>
        </w:rPr>
        <w:t xml:space="preserve">(5), 377–386. </w:t>
      </w:r>
      <w:hyperlink r:id="rId66" w:history="1">
        <w:r w:rsidRPr="006E0066">
          <w:rPr>
            <w:rStyle w:val="Hyperlink"/>
            <w:lang w:val="en-GB"/>
          </w:rPr>
          <w:t>https://doi.org/10.1037/pha0000020</w:t>
        </w:r>
      </w:hyperlink>
    </w:p>
    <w:p w14:paraId="7FE4F128" w14:textId="77777777" w:rsidR="006E0066" w:rsidRDefault="006E0066" w:rsidP="006E0066">
      <w:pPr>
        <w:pStyle w:val="Body"/>
        <w:spacing w:after="0"/>
        <w:rPr>
          <w:lang w:val="en-GB"/>
        </w:rPr>
      </w:pPr>
    </w:p>
    <w:p w14:paraId="698AA310" w14:textId="1475A26D" w:rsidR="006E0066" w:rsidRPr="006E0066" w:rsidRDefault="006E0066" w:rsidP="006E0066">
      <w:pPr>
        <w:pStyle w:val="Body"/>
        <w:spacing w:after="0"/>
        <w:rPr>
          <w:lang w:val="en-GB"/>
        </w:rPr>
      </w:pPr>
      <w:r w:rsidRPr="006E0066">
        <w:rPr>
          <w:lang w:val="en-GB"/>
        </w:rPr>
        <w:t xml:space="preserve">Trivers, R. L. (1972). Parental investment and sexual selection. In B. Campbell (Ed.), </w:t>
      </w:r>
      <w:r w:rsidRPr="006E0066">
        <w:rPr>
          <w:i/>
          <w:iCs/>
          <w:lang w:val="en-GB"/>
        </w:rPr>
        <w:t>Sexual selection and the descent of man</w:t>
      </w:r>
      <w:r w:rsidRPr="006E0066">
        <w:rPr>
          <w:lang w:val="en-GB"/>
        </w:rPr>
        <w:t xml:space="preserve"> (pp. 136-179). Aldine Publishing Company.</w:t>
      </w:r>
    </w:p>
    <w:bookmarkEnd w:id="1"/>
    <w:p w14:paraId="3FCC51FC" w14:textId="77777777" w:rsidR="006E0066" w:rsidRDefault="006E0066" w:rsidP="006E0066">
      <w:pPr>
        <w:pStyle w:val="Body"/>
        <w:spacing w:after="0"/>
        <w:rPr>
          <w:lang w:val="en-GB"/>
        </w:rPr>
      </w:pPr>
    </w:p>
    <w:p w14:paraId="069E9E4B" w14:textId="25581938" w:rsidR="006E0066" w:rsidRPr="006E0066" w:rsidRDefault="006E0066" w:rsidP="006E0066">
      <w:pPr>
        <w:pStyle w:val="Body"/>
        <w:spacing w:after="0"/>
        <w:rPr>
          <w:lang w:val="en-GB"/>
        </w:rPr>
      </w:pPr>
      <w:proofErr w:type="spellStart"/>
      <w:r w:rsidRPr="006E0066">
        <w:rPr>
          <w:lang w:val="en-GB"/>
        </w:rPr>
        <w:t>Tybur</w:t>
      </w:r>
      <w:proofErr w:type="spellEnd"/>
      <w:r w:rsidRPr="006E0066">
        <w:rPr>
          <w:lang w:val="en-GB"/>
        </w:rPr>
        <w:t xml:space="preserve">, J. M., Bryan, A. D., &amp; Caldwell Hooper, A. E. (2012). An evolutionary perspective on health psychology: New approaches and applications. </w:t>
      </w:r>
      <w:r w:rsidRPr="006E0066">
        <w:rPr>
          <w:i/>
          <w:iCs/>
          <w:lang w:val="en-GB"/>
        </w:rPr>
        <w:t>Evolutionary Psychology</w:t>
      </w:r>
      <w:r w:rsidRPr="006E0066">
        <w:rPr>
          <w:lang w:val="en-GB"/>
        </w:rPr>
        <w:t xml:space="preserve">, </w:t>
      </w:r>
      <w:r w:rsidRPr="006E0066">
        <w:rPr>
          <w:i/>
          <w:iCs/>
          <w:lang w:val="en-GB"/>
        </w:rPr>
        <w:t>10</w:t>
      </w:r>
      <w:r w:rsidRPr="006E0066">
        <w:rPr>
          <w:lang w:val="en-GB"/>
        </w:rPr>
        <w:t xml:space="preserve">(5), 855–867. </w:t>
      </w:r>
      <w:hyperlink r:id="rId67" w:history="1">
        <w:r w:rsidRPr="006E0066">
          <w:rPr>
            <w:rStyle w:val="Hyperlink"/>
            <w:lang w:val="en-GB"/>
          </w:rPr>
          <w:t>https://doi.org/10.1177/147470491201000508</w:t>
        </w:r>
      </w:hyperlink>
    </w:p>
    <w:p w14:paraId="7F758CF8" w14:textId="77777777" w:rsidR="006E0066" w:rsidRDefault="006E0066" w:rsidP="006E0066">
      <w:pPr>
        <w:pStyle w:val="Body"/>
        <w:spacing w:after="0"/>
        <w:rPr>
          <w:lang w:val="en-GB"/>
        </w:rPr>
      </w:pPr>
    </w:p>
    <w:p w14:paraId="0E2B51EE" w14:textId="75F97E77" w:rsidR="006E0066" w:rsidRPr="006E0066" w:rsidRDefault="006E0066" w:rsidP="006E0066">
      <w:pPr>
        <w:pStyle w:val="Body"/>
        <w:spacing w:after="0"/>
        <w:rPr>
          <w:lang w:val="en-GB"/>
        </w:rPr>
      </w:pPr>
      <w:r w:rsidRPr="006E0066">
        <w:rPr>
          <w:lang w:val="en-GB"/>
        </w:rPr>
        <w:t xml:space="preserve">Wade, T. D., </w:t>
      </w:r>
      <w:proofErr w:type="spellStart"/>
      <w:r w:rsidRPr="006E0066">
        <w:rPr>
          <w:lang w:val="en-GB"/>
        </w:rPr>
        <w:t>Keski</w:t>
      </w:r>
      <w:r w:rsidRPr="006E0066">
        <w:rPr>
          <w:rFonts w:ascii="Cambria Math" w:hAnsi="Cambria Math" w:cs="Cambria Math"/>
          <w:lang w:val="en-GB"/>
        </w:rPr>
        <w:t>‐</w:t>
      </w:r>
      <w:r w:rsidRPr="006E0066">
        <w:rPr>
          <w:lang w:val="en-GB"/>
        </w:rPr>
        <w:t>Rahkonen</w:t>
      </w:r>
      <w:proofErr w:type="spellEnd"/>
      <w:r w:rsidRPr="006E0066">
        <w:rPr>
          <w:lang w:val="en-GB"/>
        </w:rPr>
        <w:t>, A., &amp; Hudson, J. I. (2011). Epidemiology of eating disorders.</w:t>
      </w:r>
      <w:r w:rsidRPr="006E0066">
        <w:rPr>
          <w:rFonts w:cs="Helvetica"/>
          <w:lang w:val="en-GB"/>
        </w:rPr>
        <w:t> </w:t>
      </w:r>
      <w:r w:rsidRPr="006E0066">
        <w:rPr>
          <w:i/>
          <w:iCs/>
          <w:lang w:val="en-GB"/>
        </w:rPr>
        <w:t>Textbook of psychiatric epidemiology</w:t>
      </w:r>
      <w:r w:rsidRPr="006E0066">
        <w:rPr>
          <w:lang w:val="en-GB"/>
        </w:rPr>
        <w:t xml:space="preserve">, 343-360. </w:t>
      </w:r>
      <w:hyperlink r:id="rId68" w:history="1">
        <w:r w:rsidRPr="006E0066">
          <w:rPr>
            <w:rStyle w:val="Hyperlink"/>
            <w:lang w:val="en-GB"/>
          </w:rPr>
          <w:t>https://doi.org/10.1002/9780470976739.ch20</w:t>
        </w:r>
      </w:hyperlink>
    </w:p>
    <w:p w14:paraId="625FCE75" w14:textId="77777777" w:rsidR="006E0066" w:rsidRDefault="006E0066" w:rsidP="006E0066">
      <w:pPr>
        <w:pStyle w:val="Body"/>
        <w:spacing w:after="0"/>
        <w:rPr>
          <w:lang w:val="en-GB"/>
        </w:rPr>
      </w:pPr>
    </w:p>
    <w:p w14:paraId="2EF2D128" w14:textId="1400162F" w:rsidR="006E0066" w:rsidRPr="006E0066" w:rsidRDefault="006E0066" w:rsidP="006E0066">
      <w:pPr>
        <w:pStyle w:val="Body"/>
        <w:spacing w:after="0"/>
        <w:rPr>
          <w:lang w:val="en-GB"/>
        </w:rPr>
      </w:pPr>
      <w:r w:rsidRPr="006E0066">
        <w:rPr>
          <w:lang w:val="en-GB"/>
        </w:rPr>
        <w:t>Wallace, A. R. (1891). </w:t>
      </w:r>
      <w:r w:rsidRPr="006E0066">
        <w:rPr>
          <w:i/>
          <w:iCs/>
          <w:lang w:val="en-GB"/>
        </w:rPr>
        <w:t>Natural selection and tropical nature: Essays on descriptive and theoretical biology</w:t>
      </w:r>
      <w:r w:rsidRPr="006E0066">
        <w:rPr>
          <w:lang w:val="en-GB"/>
        </w:rPr>
        <w:t>. Macmillan and Company.</w:t>
      </w:r>
    </w:p>
    <w:p w14:paraId="3FF40A41" w14:textId="77777777" w:rsidR="006E0066" w:rsidRDefault="006E0066" w:rsidP="006E0066">
      <w:pPr>
        <w:pStyle w:val="Body"/>
        <w:spacing w:after="0"/>
        <w:rPr>
          <w:lang w:val="en-GB"/>
        </w:rPr>
      </w:pPr>
    </w:p>
    <w:p w14:paraId="344EC020" w14:textId="2CB1E6E8" w:rsidR="006E0066" w:rsidRPr="006E0066" w:rsidRDefault="006E0066" w:rsidP="006E0066">
      <w:pPr>
        <w:pStyle w:val="Body"/>
        <w:spacing w:after="0"/>
        <w:rPr>
          <w:lang w:val="en-GB"/>
        </w:rPr>
      </w:pPr>
      <w:r w:rsidRPr="006E0066">
        <w:rPr>
          <w:lang w:val="en-GB"/>
        </w:rPr>
        <w:t xml:space="preserve">World Health Organisation (2019). Status report on alcohol consumption, harm and policy responses in 30 European countries. </w:t>
      </w:r>
      <w:hyperlink r:id="rId69" w:history="1">
        <w:r w:rsidRPr="006E0066">
          <w:rPr>
            <w:rStyle w:val="Hyperlink"/>
            <w:lang w:val="en-GB"/>
          </w:rPr>
          <w:t>https://www.euro.who.int/__data/assets/pdf_file/0019/411418/Alcohol-consumption-harm-policy-responses-30-European-countries-2019.pdf</w:t>
        </w:r>
      </w:hyperlink>
    </w:p>
    <w:p w14:paraId="585B3D65" w14:textId="77777777" w:rsidR="006E0066" w:rsidRDefault="006E0066" w:rsidP="006E0066">
      <w:pPr>
        <w:pStyle w:val="Body"/>
        <w:spacing w:after="0"/>
        <w:rPr>
          <w:lang w:val="en-GB"/>
        </w:rPr>
      </w:pPr>
    </w:p>
    <w:p w14:paraId="4C2D683C" w14:textId="5EE02794" w:rsidR="006E0066" w:rsidRPr="006E0066" w:rsidRDefault="006E0066" w:rsidP="006E0066">
      <w:pPr>
        <w:pStyle w:val="Body"/>
        <w:spacing w:after="0"/>
        <w:rPr>
          <w:lang w:val="en-GB"/>
        </w:rPr>
      </w:pPr>
      <w:proofErr w:type="spellStart"/>
      <w:r w:rsidRPr="006E0066">
        <w:rPr>
          <w:lang w:val="en-GB"/>
        </w:rPr>
        <w:t>Yuresak</w:t>
      </w:r>
      <w:proofErr w:type="spellEnd"/>
      <w:r w:rsidRPr="006E0066">
        <w:rPr>
          <w:lang w:val="en-GB"/>
        </w:rPr>
        <w:t xml:space="preserve">, A. M., Murphy, J. G., Clawson, A. H., Dennhardt, A. A., &amp; MacKillop, J. (2013). Smokers report greater demand for alcohol on a </w:t>
      </w:r>
      <w:proofErr w:type="spellStart"/>
      <w:r w:rsidRPr="006E0066">
        <w:rPr>
          <w:lang w:val="en-GB"/>
        </w:rPr>
        <w:t>behavioral</w:t>
      </w:r>
      <w:proofErr w:type="spellEnd"/>
      <w:r w:rsidRPr="006E0066">
        <w:rPr>
          <w:lang w:val="en-GB"/>
        </w:rPr>
        <w:t xml:space="preserve"> economic purchase task. </w:t>
      </w:r>
      <w:r w:rsidRPr="006E0066">
        <w:rPr>
          <w:i/>
          <w:iCs/>
          <w:lang w:val="en-GB"/>
        </w:rPr>
        <w:t>Journal of Studies on Alcohol and Drugs</w:t>
      </w:r>
      <w:r w:rsidRPr="006E0066">
        <w:rPr>
          <w:lang w:val="en-GB"/>
        </w:rPr>
        <w:t xml:space="preserve">, </w:t>
      </w:r>
      <w:r w:rsidRPr="006E0066">
        <w:rPr>
          <w:i/>
          <w:iCs/>
          <w:lang w:val="en-GB"/>
        </w:rPr>
        <w:t>74</w:t>
      </w:r>
      <w:r w:rsidRPr="006E0066">
        <w:rPr>
          <w:lang w:val="en-GB"/>
        </w:rPr>
        <w:t xml:space="preserve">(4), 626–634. </w:t>
      </w:r>
      <w:hyperlink r:id="rId70" w:history="1">
        <w:r w:rsidRPr="006E0066">
          <w:rPr>
            <w:rStyle w:val="Hyperlink"/>
            <w:lang w:val="en-GB"/>
          </w:rPr>
          <w:t>https://doi.org/10.15288/jsad.2013.74.626</w:t>
        </w:r>
      </w:hyperlink>
    </w:p>
    <w:p w14:paraId="6DAED296" w14:textId="061DBA95" w:rsidR="006E0066" w:rsidRPr="006E0066" w:rsidRDefault="006E0066" w:rsidP="00441B6F">
      <w:pPr>
        <w:pStyle w:val="Body"/>
        <w:spacing w:after="0"/>
        <w:rPr>
          <w:lang w:val="en-GB"/>
        </w:rPr>
      </w:pPr>
    </w:p>
    <w:p w14:paraId="2A031B52" w14:textId="77777777" w:rsidR="00790ADA" w:rsidRPr="00FB3A86" w:rsidRDefault="00790ADA" w:rsidP="00441B6F">
      <w:pPr>
        <w:pStyle w:val="Body"/>
        <w:spacing w:after="0"/>
        <w:rPr>
          <w:rFonts w:ascii="Arial" w:hAnsi="Arial" w:cs="Arial"/>
        </w:rPr>
      </w:pPr>
    </w:p>
    <w:p w14:paraId="543BE896" w14:textId="77777777" w:rsidR="004D4277" w:rsidRPr="00FB3A86" w:rsidRDefault="00B01FCD" w:rsidP="00441B6F">
      <w:pPr>
        <w:pStyle w:val="Appendix"/>
        <w:spacing w:after="0"/>
        <w:jc w:val="both"/>
        <w:rPr>
          <w:rFonts w:ascii="Arial" w:hAnsi="Arial" w:cs="Arial"/>
          <w:b w:val="0"/>
        </w:rPr>
        <w:sectPr w:rsidR="004D4277" w:rsidRPr="00FB3A86" w:rsidSect="006431FE">
          <w:headerReference w:type="even" r:id="rId71"/>
          <w:headerReference w:type="default" r:id="rId72"/>
          <w:footerReference w:type="default" r:id="rId73"/>
          <w:headerReference w:type="first" r:id="rId74"/>
          <w:type w:val="continuous"/>
          <w:pgSz w:w="12240" w:h="15840"/>
          <w:pgMar w:top="1440" w:right="2016" w:bottom="2016" w:left="2016" w:header="720" w:footer="1123" w:gutter="0"/>
          <w:cols w:space="720"/>
          <w:docGrid w:linePitch="272"/>
        </w:sectPr>
      </w:pPr>
      <w:r w:rsidRPr="00FB3A86">
        <w:rPr>
          <w:rFonts w:ascii="Arial" w:hAnsi="Arial" w:cs="Arial"/>
        </w:rPr>
        <w:t>APPENDIX</w:t>
      </w:r>
    </w:p>
    <w:p w14:paraId="12F01263" w14:textId="77777777" w:rsidR="006E0066" w:rsidRPr="003877AF" w:rsidRDefault="006E0066" w:rsidP="006E0066">
      <w:pPr>
        <w:tabs>
          <w:tab w:val="left" w:pos="1522"/>
        </w:tabs>
        <w:spacing w:line="360" w:lineRule="auto"/>
        <w:rPr>
          <w:rFonts w:ascii="Times New Roman" w:hAnsi="Times New Roman"/>
          <w:i/>
          <w:iCs/>
        </w:rPr>
      </w:pPr>
      <w:r w:rsidRPr="003877AF">
        <w:rPr>
          <w:rFonts w:ascii="Times New Roman" w:hAnsi="Times New Roman"/>
          <w:i/>
          <w:iCs/>
        </w:rPr>
        <w:t>Mate abundance article.</w:t>
      </w:r>
    </w:p>
    <w:p w14:paraId="361DEFEB" w14:textId="0560BB47" w:rsidR="006E0066" w:rsidRPr="003877AF" w:rsidRDefault="006E0066" w:rsidP="006E0066">
      <w:pPr>
        <w:tabs>
          <w:tab w:val="left" w:pos="1522"/>
        </w:tabs>
        <w:spacing w:line="360" w:lineRule="auto"/>
        <w:rPr>
          <w:rFonts w:ascii="Times New Roman" w:hAnsi="Times New Roman"/>
        </w:rPr>
      </w:pPr>
      <w:r w:rsidRPr="003877AF">
        <w:rPr>
          <w:rFonts w:ascii="Times New Roman" w:hAnsi="Times New Roman"/>
          <w:noProof/>
        </w:rPr>
        <w:lastRenderedPageBreak/>
        <w:drawing>
          <wp:inline distT="0" distB="0" distL="0" distR="0" wp14:anchorId="3A4C0F3B" wp14:editId="12F10FF8">
            <wp:extent cx="5760720" cy="7600950"/>
            <wp:effectExtent l="0" t="0" r="0" b="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60720" cy="7600950"/>
                    </a:xfrm>
                    <a:prstGeom prst="rect">
                      <a:avLst/>
                    </a:prstGeom>
                    <a:noFill/>
                    <a:ln>
                      <a:noFill/>
                    </a:ln>
                  </pic:spPr>
                </pic:pic>
              </a:graphicData>
            </a:graphic>
          </wp:inline>
        </w:drawing>
      </w:r>
    </w:p>
    <w:p w14:paraId="3589E70F" w14:textId="77777777" w:rsidR="006E0066" w:rsidRPr="003877AF" w:rsidRDefault="006E0066" w:rsidP="006E0066">
      <w:pPr>
        <w:tabs>
          <w:tab w:val="left" w:pos="1522"/>
        </w:tabs>
        <w:spacing w:line="360" w:lineRule="auto"/>
        <w:rPr>
          <w:rFonts w:ascii="Times New Roman" w:hAnsi="Times New Roman"/>
          <w:i/>
          <w:iCs/>
        </w:rPr>
      </w:pPr>
      <w:r w:rsidRPr="003877AF">
        <w:rPr>
          <w:rFonts w:ascii="Times New Roman" w:hAnsi="Times New Roman"/>
          <w:i/>
          <w:iCs/>
        </w:rPr>
        <w:t>Mate scarcity article.</w:t>
      </w:r>
    </w:p>
    <w:p w14:paraId="1956AD7E" w14:textId="5EE92C6F" w:rsidR="00B01FCD" w:rsidRPr="006E0066" w:rsidRDefault="006E0066" w:rsidP="006E0066">
      <w:pPr>
        <w:tabs>
          <w:tab w:val="left" w:pos="1522"/>
        </w:tabs>
        <w:spacing w:line="360" w:lineRule="auto"/>
        <w:rPr>
          <w:rFonts w:ascii="Times New Roman" w:hAnsi="Times New Roman"/>
        </w:rPr>
      </w:pPr>
      <w:r w:rsidRPr="003877AF">
        <w:rPr>
          <w:rFonts w:ascii="Times New Roman" w:hAnsi="Times New Roman"/>
          <w:noProof/>
        </w:rPr>
        <w:lastRenderedPageBreak/>
        <w:drawing>
          <wp:inline distT="0" distB="0" distL="0" distR="0" wp14:anchorId="44FE6626" wp14:editId="6EA19D76">
            <wp:extent cx="5760720" cy="7689850"/>
            <wp:effectExtent l="0" t="0" r="0" b="635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60720" cy="7689850"/>
                    </a:xfrm>
                    <a:prstGeom prst="rect">
                      <a:avLst/>
                    </a:prstGeom>
                    <a:noFill/>
                    <a:ln>
                      <a:noFill/>
                    </a:ln>
                  </pic:spPr>
                </pic:pic>
              </a:graphicData>
            </a:graphic>
          </wp:inline>
        </w:drawing>
      </w:r>
    </w:p>
    <w:sectPr w:rsidR="00B01FCD" w:rsidRPr="006E0066" w:rsidSect="006431F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55C7D5" w14:textId="77777777" w:rsidR="004D4F6E" w:rsidRDefault="004D4F6E" w:rsidP="00C37E61">
      <w:r>
        <w:separator/>
      </w:r>
    </w:p>
  </w:endnote>
  <w:endnote w:type="continuationSeparator" w:id="0">
    <w:p w14:paraId="124D7E51" w14:textId="77777777" w:rsidR="004D4F6E" w:rsidRDefault="004D4F6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2889D" w14:textId="77777777" w:rsidR="006431FE" w:rsidRDefault="006431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EA686" w14:textId="77777777" w:rsidR="006431FE" w:rsidRDefault="006431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7A292" w14:textId="0A711219" w:rsidR="00754C9A" w:rsidRPr="006431FE" w:rsidRDefault="00754C9A" w:rsidP="006431FE">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48D9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D13097" w14:textId="77777777" w:rsidR="004D4F6E" w:rsidRDefault="004D4F6E" w:rsidP="00C37E61">
      <w:r>
        <w:separator/>
      </w:r>
    </w:p>
  </w:footnote>
  <w:footnote w:type="continuationSeparator" w:id="0">
    <w:p w14:paraId="5BFA052E" w14:textId="77777777" w:rsidR="004D4F6E" w:rsidRDefault="004D4F6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98CAE" w14:textId="3DDCE21F" w:rsidR="006431FE" w:rsidRDefault="006431FE">
    <w:pPr>
      <w:pStyle w:val="Header"/>
    </w:pPr>
    <w:r>
      <w:rPr>
        <w:noProof/>
      </w:rPr>
      <w:pict w14:anchorId="0E9324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02789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33616" w14:textId="4D298542" w:rsidR="006431FE" w:rsidRDefault="006431FE">
    <w:pPr>
      <w:pStyle w:val="Header"/>
    </w:pPr>
    <w:r>
      <w:rPr>
        <w:noProof/>
      </w:rPr>
      <w:pict w14:anchorId="75E0D3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02789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BC6F4" w14:textId="4467391E" w:rsidR="00296529" w:rsidRPr="00296529" w:rsidRDefault="006431FE" w:rsidP="00296529">
    <w:pPr>
      <w:ind w:left="2160"/>
      <w:jc w:val="center"/>
      <w:rPr>
        <w:rFonts w:ascii="Times New Roman" w:eastAsia="Calibri" w:hAnsi="Times New Roman"/>
        <w:i/>
        <w:sz w:val="18"/>
        <w:szCs w:val="22"/>
      </w:rPr>
    </w:pPr>
    <w:r>
      <w:rPr>
        <w:noProof/>
      </w:rPr>
      <w:pict w14:anchorId="1982A7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02789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BBC663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5A940B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923867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2E9631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E8BFCA4"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B6806C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3D609" w14:textId="2EE4AE06" w:rsidR="006431FE" w:rsidRDefault="006431FE">
    <w:pPr>
      <w:pStyle w:val="Header"/>
    </w:pPr>
    <w:r>
      <w:rPr>
        <w:noProof/>
      </w:rPr>
      <w:pict w14:anchorId="0FEA69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027894"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41E0B" w14:textId="614F53CE" w:rsidR="006431FE" w:rsidRDefault="006431FE">
    <w:pPr>
      <w:pStyle w:val="Header"/>
    </w:pPr>
    <w:r>
      <w:rPr>
        <w:noProof/>
      </w:rPr>
      <w:pict w14:anchorId="1EC75D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027895"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7A56C" w14:textId="5E77E34C" w:rsidR="006431FE" w:rsidRDefault="006431FE">
    <w:pPr>
      <w:pStyle w:val="Header"/>
    </w:pPr>
    <w:r>
      <w:rPr>
        <w:noProof/>
      </w:rPr>
      <w:pict w14:anchorId="74904A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027893"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1F8055F"/>
    <w:multiLevelType w:val="multilevel"/>
    <w:tmpl w:val="9C1EB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4A7FD4"/>
    <w:multiLevelType w:val="multilevel"/>
    <w:tmpl w:val="76B8E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9447F77"/>
    <w:multiLevelType w:val="multilevel"/>
    <w:tmpl w:val="91AAD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62722F0"/>
    <w:multiLevelType w:val="hybridMultilevel"/>
    <w:tmpl w:val="034A7042"/>
    <w:lvl w:ilvl="0" w:tplc="FA96EAC4">
      <w:start w:val="1"/>
      <w:numFmt w:val="decimal"/>
      <w:lvlText w:val="%1."/>
      <w:lvlJc w:val="left"/>
      <w:pPr>
        <w:ind w:left="358" w:hanging="243"/>
      </w:pPr>
      <w:rPr>
        <w:rFonts w:ascii="Times New Roman" w:eastAsia="Times New Roman" w:hAnsi="Times New Roman" w:cs="Times New Roman" w:hint="default"/>
        <w:w w:val="99"/>
        <w:sz w:val="24"/>
        <w:szCs w:val="24"/>
        <w:lang w:val="en-US" w:eastAsia="en-US" w:bidi="ar-SA"/>
      </w:rPr>
    </w:lvl>
    <w:lvl w:ilvl="1" w:tplc="EC669D24">
      <w:numFmt w:val="bullet"/>
      <w:lvlText w:val="•"/>
      <w:lvlJc w:val="left"/>
      <w:pPr>
        <w:ind w:left="1250" w:hanging="243"/>
      </w:pPr>
      <w:rPr>
        <w:lang w:val="en-US" w:eastAsia="en-US" w:bidi="ar-SA"/>
      </w:rPr>
    </w:lvl>
    <w:lvl w:ilvl="2" w:tplc="0D1EACD8">
      <w:numFmt w:val="bullet"/>
      <w:lvlText w:val="•"/>
      <w:lvlJc w:val="left"/>
      <w:pPr>
        <w:ind w:left="2140" w:hanging="243"/>
      </w:pPr>
      <w:rPr>
        <w:lang w:val="en-US" w:eastAsia="en-US" w:bidi="ar-SA"/>
      </w:rPr>
    </w:lvl>
    <w:lvl w:ilvl="3" w:tplc="6742C8B0">
      <w:numFmt w:val="bullet"/>
      <w:lvlText w:val="•"/>
      <w:lvlJc w:val="left"/>
      <w:pPr>
        <w:ind w:left="3030" w:hanging="243"/>
      </w:pPr>
      <w:rPr>
        <w:lang w:val="en-US" w:eastAsia="en-US" w:bidi="ar-SA"/>
      </w:rPr>
    </w:lvl>
    <w:lvl w:ilvl="4" w:tplc="C04A49EC">
      <w:numFmt w:val="bullet"/>
      <w:lvlText w:val="•"/>
      <w:lvlJc w:val="left"/>
      <w:pPr>
        <w:ind w:left="3920" w:hanging="243"/>
      </w:pPr>
      <w:rPr>
        <w:lang w:val="en-US" w:eastAsia="en-US" w:bidi="ar-SA"/>
      </w:rPr>
    </w:lvl>
    <w:lvl w:ilvl="5" w:tplc="3B36F27E">
      <w:numFmt w:val="bullet"/>
      <w:lvlText w:val="•"/>
      <w:lvlJc w:val="left"/>
      <w:pPr>
        <w:ind w:left="4810" w:hanging="243"/>
      </w:pPr>
      <w:rPr>
        <w:lang w:val="en-US" w:eastAsia="en-US" w:bidi="ar-SA"/>
      </w:rPr>
    </w:lvl>
    <w:lvl w:ilvl="6" w:tplc="89F28424">
      <w:numFmt w:val="bullet"/>
      <w:lvlText w:val="•"/>
      <w:lvlJc w:val="left"/>
      <w:pPr>
        <w:ind w:left="5700" w:hanging="243"/>
      </w:pPr>
      <w:rPr>
        <w:lang w:val="en-US" w:eastAsia="en-US" w:bidi="ar-SA"/>
      </w:rPr>
    </w:lvl>
    <w:lvl w:ilvl="7" w:tplc="D40A2986">
      <w:numFmt w:val="bullet"/>
      <w:lvlText w:val="•"/>
      <w:lvlJc w:val="left"/>
      <w:pPr>
        <w:ind w:left="6590" w:hanging="243"/>
      </w:pPr>
      <w:rPr>
        <w:lang w:val="en-US" w:eastAsia="en-US" w:bidi="ar-SA"/>
      </w:rPr>
    </w:lvl>
    <w:lvl w:ilvl="8" w:tplc="6D2EEAA2">
      <w:numFmt w:val="bullet"/>
      <w:lvlText w:val="•"/>
      <w:lvlJc w:val="left"/>
      <w:pPr>
        <w:ind w:left="7480" w:hanging="243"/>
      </w:pPr>
      <w:rPr>
        <w:lang w:val="en-US" w:eastAsia="en-US" w:bidi="ar-SA"/>
      </w:r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F24D9B"/>
    <w:multiLevelType w:val="hybridMultilevel"/>
    <w:tmpl w:val="EBA6D4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30A30F3"/>
    <w:multiLevelType w:val="hybridMultilevel"/>
    <w:tmpl w:val="356CD1A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CE1619"/>
    <w:multiLevelType w:val="multilevel"/>
    <w:tmpl w:val="D0A270EE"/>
    <w:lvl w:ilvl="0">
      <w:start w:val="2"/>
      <w:numFmt w:val="decimal"/>
      <w:lvlText w:val="%1"/>
      <w:lvlJc w:val="left"/>
      <w:pPr>
        <w:ind w:left="450" w:hanging="450"/>
      </w:pPr>
      <w:rPr>
        <w:rFonts w:hint="default"/>
      </w:rPr>
    </w:lvl>
    <w:lvl w:ilvl="1">
      <w:start w:val="4"/>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6BDE03FE"/>
    <w:multiLevelType w:val="hybridMultilevel"/>
    <w:tmpl w:val="A41A20AC"/>
    <w:lvl w:ilvl="0" w:tplc="D31EB04C">
      <w:start w:val="1"/>
      <w:numFmt w:val="decimal"/>
      <w:lvlText w:val="%1."/>
      <w:lvlJc w:val="left"/>
      <w:pPr>
        <w:ind w:left="358" w:hanging="243"/>
      </w:pPr>
      <w:rPr>
        <w:rFonts w:ascii="Times New Roman" w:eastAsia="Times New Roman" w:hAnsi="Times New Roman" w:cs="Times New Roman" w:hint="default"/>
        <w:w w:val="99"/>
        <w:sz w:val="24"/>
        <w:szCs w:val="24"/>
        <w:lang w:val="en-US" w:eastAsia="en-US" w:bidi="ar-SA"/>
      </w:rPr>
    </w:lvl>
    <w:lvl w:ilvl="1" w:tplc="FE407CF8">
      <w:numFmt w:val="bullet"/>
      <w:lvlText w:val="•"/>
      <w:lvlJc w:val="left"/>
      <w:pPr>
        <w:ind w:left="1250" w:hanging="243"/>
      </w:pPr>
      <w:rPr>
        <w:lang w:val="en-US" w:eastAsia="en-US" w:bidi="ar-SA"/>
      </w:rPr>
    </w:lvl>
    <w:lvl w:ilvl="2" w:tplc="97844EAC">
      <w:numFmt w:val="bullet"/>
      <w:lvlText w:val="•"/>
      <w:lvlJc w:val="left"/>
      <w:pPr>
        <w:ind w:left="2140" w:hanging="243"/>
      </w:pPr>
      <w:rPr>
        <w:lang w:val="en-US" w:eastAsia="en-US" w:bidi="ar-SA"/>
      </w:rPr>
    </w:lvl>
    <w:lvl w:ilvl="3" w:tplc="91B69916">
      <w:numFmt w:val="bullet"/>
      <w:lvlText w:val="•"/>
      <w:lvlJc w:val="left"/>
      <w:pPr>
        <w:ind w:left="3030" w:hanging="243"/>
      </w:pPr>
      <w:rPr>
        <w:lang w:val="en-US" w:eastAsia="en-US" w:bidi="ar-SA"/>
      </w:rPr>
    </w:lvl>
    <w:lvl w:ilvl="4" w:tplc="7B2480AA">
      <w:numFmt w:val="bullet"/>
      <w:lvlText w:val="•"/>
      <w:lvlJc w:val="left"/>
      <w:pPr>
        <w:ind w:left="3920" w:hanging="243"/>
      </w:pPr>
      <w:rPr>
        <w:lang w:val="en-US" w:eastAsia="en-US" w:bidi="ar-SA"/>
      </w:rPr>
    </w:lvl>
    <w:lvl w:ilvl="5" w:tplc="92E84AD6">
      <w:numFmt w:val="bullet"/>
      <w:lvlText w:val="•"/>
      <w:lvlJc w:val="left"/>
      <w:pPr>
        <w:ind w:left="4810" w:hanging="243"/>
      </w:pPr>
      <w:rPr>
        <w:lang w:val="en-US" w:eastAsia="en-US" w:bidi="ar-SA"/>
      </w:rPr>
    </w:lvl>
    <w:lvl w:ilvl="6" w:tplc="5896EE70">
      <w:numFmt w:val="bullet"/>
      <w:lvlText w:val="•"/>
      <w:lvlJc w:val="left"/>
      <w:pPr>
        <w:ind w:left="5700" w:hanging="243"/>
      </w:pPr>
      <w:rPr>
        <w:lang w:val="en-US" w:eastAsia="en-US" w:bidi="ar-SA"/>
      </w:rPr>
    </w:lvl>
    <w:lvl w:ilvl="7" w:tplc="0772D9A0">
      <w:numFmt w:val="bullet"/>
      <w:lvlText w:val="•"/>
      <w:lvlJc w:val="left"/>
      <w:pPr>
        <w:ind w:left="6590" w:hanging="243"/>
      </w:pPr>
      <w:rPr>
        <w:lang w:val="en-US" w:eastAsia="en-US" w:bidi="ar-SA"/>
      </w:rPr>
    </w:lvl>
    <w:lvl w:ilvl="8" w:tplc="7152D874">
      <w:numFmt w:val="bullet"/>
      <w:lvlText w:val="•"/>
      <w:lvlJc w:val="left"/>
      <w:pPr>
        <w:ind w:left="7480" w:hanging="243"/>
      </w:pPr>
      <w:rPr>
        <w:lang w:val="en-US" w:eastAsia="en-US" w:bidi="ar-SA"/>
      </w:rPr>
    </w:lvl>
  </w:abstractNum>
  <w:abstractNum w:abstractNumId="2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8"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0"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2"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31"/>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6"/>
  </w:num>
  <w:num w:numId="7">
    <w:abstractNumId w:val="1"/>
  </w:num>
  <w:num w:numId="8">
    <w:abstractNumId w:val="15"/>
  </w:num>
  <w:num w:numId="9">
    <w:abstractNumId w:val="33"/>
  </w:num>
  <w:num w:numId="10">
    <w:abstractNumId w:val="2"/>
  </w:num>
  <w:num w:numId="11">
    <w:abstractNumId w:val="25"/>
  </w:num>
  <w:num w:numId="12">
    <w:abstractNumId w:val="3"/>
  </w:num>
  <w:num w:numId="13">
    <w:abstractNumId w:val="22"/>
  </w:num>
  <w:num w:numId="14">
    <w:abstractNumId w:val="11"/>
  </w:num>
  <w:num w:numId="15">
    <w:abstractNumId w:val="29"/>
  </w:num>
  <w:num w:numId="16">
    <w:abstractNumId w:val="5"/>
  </w:num>
  <w:num w:numId="17">
    <w:abstractNumId w:val="30"/>
  </w:num>
  <w:num w:numId="18">
    <w:abstractNumId w:val="17"/>
  </w:num>
  <w:num w:numId="19">
    <w:abstractNumId w:val="36"/>
  </w:num>
  <w:num w:numId="20">
    <w:abstractNumId w:val="14"/>
  </w:num>
  <w:num w:numId="21">
    <w:abstractNumId w:val="12"/>
  </w:num>
  <w:num w:numId="22">
    <w:abstractNumId w:val="16"/>
  </w:num>
  <w:num w:numId="23">
    <w:abstractNumId w:val="27"/>
  </w:num>
  <w:num w:numId="24">
    <w:abstractNumId w:val="34"/>
  </w:num>
  <w:num w:numId="25">
    <w:abstractNumId w:val="4"/>
  </w:num>
  <w:num w:numId="26">
    <w:abstractNumId w:val="20"/>
  </w:num>
  <w:num w:numId="27">
    <w:abstractNumId w:val="28"/>
  </w:num>
  <w:num w:numId="28">
    <w:abstractNumId w:val="35"/>
  </w:num>
  <w:num w:numId="29">
    <w:abstractNumId w:val="32"/>
  </w:num>
  <w:num w:numId="30">
    <w:abstractNumId w:val="13"/>
  </w:num>
  <w:num w:numId="31">
    <w:abstractNumId w:val="23"/>
  </w:num>
  <w:num w:numId="32">
    <w:abstractNumId w:val="21"/>
  </w:num>
  <w:num w:numId="33">
    <w:abstractNumId w:val="8"/>
  </w:num>
  <w:num w:numId="34">
    <w:abstractNumId w:val="7"/>
  </w:num>
  <w:num w:numId="35">
    <w:abstractNumId w:val="10"/>
  </w:num>
  <w:num w:numId="36">
    <w:abstractNumId w:val="26"/>
    <w:lvlOverride w:ilvl="0">
      <w:startOverride w:val="1"/>
    </w:lvlOverride>
    <w:lvlOverride w:ilvl="1"/>
    <w:lvlOverride w:ilvl="2"/>
    <w:lvlOverride w:ilvl="3"/>
    <w:lvlOverride w:ilvl="4"/>
    <w:lvlOverride w:ilvl="5"/>
    <w:lvlOverride w:ilvl="6"/>
    <w:lvlOverride w:ilvl="7"/>
    <w:lvlOverride w:ilvl="8"/>
  </w:num>
  <w:num w:numId="37">
    <w:abstractNumId w:val="18"/>
    <w:lvlOverride w:ilvl="0">
      <w:startOverride w:val="1"/>
    </w:lvlOverride>
    <w:lvlOverride w:ilvl="1"/>
    <w:lvlOverride w:ilvl="2"/>
    <w:lvlOverride w:ilvl="3"/>
    <w:lvlOverride w:ilvl="4"/>
    <w:lvlOverride w:ilvl="5"/>
    <w:lvlOverride w:ilvl="6"/>
    <w:lvlOverride w:ilvl="7"/>
    <w:lvlOverride w:ilvl="8"/>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30174"/>
    <w:rsid w:val="0004579C"/>
    <w:rsid w:val="000A47FA"/>
    <w:rsid w:val="000A65D3"/>
    <w:rsid w:val="000B1E33"/>
    <w:rsid w:val="000D689F"/>
    <w:rsid w:val="000E020B"/>
    <w:rsid w:val="000E7B7B"/>
    <w:rsid w:val="000E7D62"/>
    <w:rsid w:val="00103357"/>
    <w:rsid w:val="00117BF9"/>
    <w:rsid w:val="00123C9F"/>
    <w:rsid w:val="00126190"/>
    <w:rsid w:val="00130F17"/>
    <w:rsid w:val="001320BF"/>
    <w:rsid w:val="00142389"/>
    <w:rsid w:val="00163BC4"/>
    <w:rsid w:val="00175F69"/>
    <w:rsid w:val="00191062"/>
    <w:rsid w:val="00192B72"/>
    <w:rsid w:val="001A29D8"/>
    <w:rsid w:val="001A5CAA"/>
    <w:rsid w:val="001B0427"/>
    <w:rsid w:val="001C2191"/>
    <w:rsid w:val="001D3A51"/>
    <w:rsid w:val="001E10D2"/>
    <w:rsid w:val="001E25B4"/>
    <w:rsid w:val="001E44FE"/>
    <w:rsid w:val="00200595"/>
    <w:rsid w:val="00204835"/>
    <w:rsid w:val="00231920"/>
    <w:rsid w:val="0023195C"/>
    <w:rsid w:val="00237DF4"/>
    <w:rsid w:val="0024282C"/>
    <w:rsid w:val="002460DC"/>
    <w:rsid w:val="00250985"/>
    <w:rsid w:val="002556F6"/>
    <w:rsid w:val="00283105"/>
    <w:rsid w:val="00284C4C"/>
    <w:rsid w:val="00287E68"/>
    <w:rsid w:val="00296529"/>
    <w:rsid w:val="002B27FB"/>
    <w:rsid w:val="002B685A"/>
    <w:rsid w:val="002C57D2"/>
    <w:rsid w:val="002E0D56"/>
    <w:rsid w:val="00315186"/>
    <w:rsid w:val="00322C45"/>
    <w:rsid w:val="0033343E"/>
    <w:rsid w:val="003512C2"/>
    <w:rsid w:val="00371FB6"/>
    <w:rsid w:val="003763C1"/>
    <w:rsid w:val="00376BBE"/>
    <w:rsid w:val="0039224F"/>
    <w:rsid w:val="0039615A"/>
    <w:rsid w:val="003A43A4"/>
    <w:rsid w:val="003A7E18"/>
    <w:rsid w:val="003C2313"/>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4D4F6E"/>
    <w:rsid w:val="004E34C7"/>
    <w:rsid w:val="00502516"/>
    <w:rsid w:val="00505F06"/>
    <w:rsid w:val="00506828"/>
    <w:rsid w:val="00527073"/>
    <w:rsid w:val="0053056E"/>
    <w:rsid w:val="005443AF"/>
    <w:rsid w:val="00554FDA"/>
    <w:rsid w:val="005C784C"/>
    <w:rsid w:val="005D17F6"/>
    <w:rsid w:val="005E5539"/>
    <w:rsid w:val="005E6372"/>
    <w:rsid w:val="005F3203"/>
    <w:rsid w:val="00602BF5"/>
    <w:rsid w:val="00610835"/>
    <w:rsid w:val="00617FDD"/>
    <w:rsid w:val="00633614"/>
    <w:rsid w:val="00633F68"/>
    <w:rsid w:val="00636EB2"/>
    <w:rsid w:val="006375B8"/>
    <w:rsid w:val="006431FE"/>
    <w:rsid w:val="0066510A"/>
    <w:rsid w:val="00671C94"/>
    <w:rsid w:val="00673F9F"/>
    <w:rsid w:val="00686953"/>
    <w:rsid w:val="00687DEA"/>
    <w:rsid w:val="00687E67"/>
    <w:rsid w:val="006967F7"/>
    <w:rsid w:val="00696C1C"/>
    <w:rsid w:val="006A250C"/>
    <w:rsid w:val="006B17FE"/>
    <w:rsid w:val="006B21D3"/>
    <w:rsid w:val="006B57D0"/>
    <w:rsid w:val="006D30FF"/>
    <w:rsid w:val="006D6940"/>
    <w:rsid w:val="006E0066"/>
    <w:rsid w:val="006F11EC"/>
    <w:rsid w:val="0070082C"/>
    <w:rsid w:val="007369E6"/>
    <w:rsid w:val="00746E59"/>
    <w:rsid w:val="007478DA"/>
    <w:rsid w:val="00754C9A"/>
    <w:rsid w:val="0075599A"/>
    <w:rsid w:val="00757D97"/>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C5BE5"/>
    <w:rsid w:val="008E13AE"/>
    <w:rsid w:val="008E1506"/>
    <w:rsid w:val="008E710C"/>
    <w:rsid w:val="008F69D6"/>
    <w:rsid w:val="00902823"/>
    <w:rsid w:val="00915CA6"/>
    <w:rsid w:val="00927834"/>
    <w:rsid w:val="009500A6"/>
    <w:rsid w:val="00957C18"/>
    <w:rsid w:val="009659BA"/>
    <w:rsid w:val="00973147"/>
    <w:rsid w:val="00983040"/>
    <w:rsid w:val="009838FB"/>
    <w:rsid w:val="009B3FB9"/>
    <w:rsid w:val="009C2465"/>
    <w:rsid w:val="009D35A0"/>
    <w:rsid w:val="009D7EB7"/>
    <w:rsid w:val="009E048A"/>
    <w:rsid w:val="009E08E9"/>
    <w:rsid w:val="009E3DB9"/>
    <w:rsid w:val="009E6E35"/>
    <w:rsid w:val="009F0EDA"/>
    <w:rsid w:val="00A02487"/>
    <w:rsid w:val="00A03B96"/>
    <w:rsid w:val="00A05B19"/>
    <w:rsid w:val="00A1134E"/>
    <w:rsid w:val="00A24E7E"/>
    <w:rsid w:val="00A258C3"/>
    <w:rsid w:val="00A347C0"/>
    <w:rsid w:val="00A51431"/>
    <w:rsid w:val="00A539AD"/>
    <w:rsid w:val="00A53CD3"/>
    <w:rsid w:val="00A94063"/>
    <w:rsid w:val="00AA6219"/>
    <w:rsid w:val="00AA74E0"/>
    <w:rsid w:val="00AB703F"/>
    <w:rsid w:val="00AC6BB8"/>
    <w:rsid w:val="00AE008F"/>
    <w:rsid w:val="00AF022E"/>
    <w:rsid w:val="00B01FCD"/>
    <w:rsid w:val="00B1027D"/>
    <w:rsid w:val="00B16587"/>
    <w:rsid w:val="00B1776C"/>
    <w:rsid w:val="00B24354"/>
    <w:rsid w:val="00B511A9"/>
    <w:rsid w:val="00B52583"/>
    <w:rsid w:val="00B52896"/>
    <w:rsid w:val="00B95236"/>
    <w:rsid w:val="00B96BD9"/>
    <w:rsid w:val="00BA1B01"/>
    <w:rsid w:val="00BA2641"/>
    <w:rsid w:val="00BB1114"/>
    <w:rsid w:val="00BB37AA"/>
    <w:rsid w:val="00BC53A0"/>
    <w:rsid w:val="00BE5DC4"/>
    <w:rsid w:val="00BE62AD"/>
    <w:rsid w:val="00BF121F"/>
    <w:rsid w:val="00BF1F80"/>
    <w:rsid w:val="00C077E3"/>
    <w:rsid w:val="00C166EF"/>
    <w:rsid w:val="00C17EB0"/>
    <w:rsid w:val="00C27F5F"/>
    <w:rsid w:val="00C30A0F"/>
    <w:rsid w:val="00C35062"/>
    <w:rsid w:val="00C37E61"/>
    <w:rsid w:val="00C70F1B"/>
    <w:rsid w:val="00C71A47"/>
    <w:rsid w:val="00C7464C"/>
    <w:rsid w:val="00C85588"/>
    <w:rsid w:val="00CD6755"/>
    <w:rsid w:val="00CD6856"/>
    <w:rsid w:val="00CE0089"/>
    <w:rsid w:val="00CE793C"/>
    <w:rsid w:val="00CF193C"/>
    <w:rsid w:val="00CF315E"/>
    <w:rsid w:val="00D173F1"/>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B527C"/>
    <w:rsid w:val="00EC6A55"/>
    <w:rsid w:val="00EC7EA3"/>
    <w:rsid w:val="00ED0288"/>
    <w:rsid w:val="00EE52CB"/>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065FD10"/>
  <w15:docId w15:val="{6426B9E4-BF9D-4370-A322-677AC6BB7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A0248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B16587"/>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BE5DC4"/>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4Char">
    <w:name w:val="Heading 4 Char"/>
    <w:basedOn w:val="DefaultParagraphFont"/>
    <w:link w:val="Heading4"/>
    <w:semiHidden/>
    <w:rsid w:val="00B16587"/>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semiHidden/>
    <w:rsid w:val="00BE5DC4"/>
    <w:rPr>
      <w:rFonts w:asciiTheme="majorHAnsi" w:eastAsiaTheme="majorEastAsia" w:hAnsiTheme="majorHAnsi" w:cstheme="majorBidi"/>
      <w:color w:val="365F91" w:themeColor="accent1" w:themeShade="BF"/>
    </w:rPr>
  </w:style>
  <w:style w:type="character" w:customStyle="1" w:styleId="Heading3Char">
    <w:name w:val="Heading 3 Char"/>
    <w:basedOn w:val="DefaultParagraphFont"/>
    <w:link w:val="Heading3"/>
    <w:semiHidden/>
    <w:rsid w:val="00A02487"/>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semiHidden/>
    <w:unhideWhenUsed/>
    <w:rsid w:val="006E0066"/>
    <w:pPr>
      <w:spacing w:after="120"/>
    </w:pPr>
  </w:style>
  <w:style w:type="character" w:customStyle="1" w:styleId="BodyTextChar">
    <w:name w:val="Body Text Char"/>
    <w:basedOn w:val="DefaultParagraphFont"/>
    <w:link w:val="BodyText"/>
    <w:semiHidden/>
    <w:rsid w:val="006E0066"/>
    <w:rPr>
      <w:rFonts w:ascii="Helvetica" w:hAnsi="Helvetica"/>
    </w:rPr>
  </w:style>
  <w:style w:type="paragraph" w:styleId="ListParagraph">
    <w:name w:val="List Paragraph"/>
    <w:basedOn w:val="Normal"/>
    <w:uiPriority w:val="1"/>
    <w:qFormat/>
    <w:rsid w:val="006E0066"/>
    <w:pPr>
      <w:spacing w:after="160" w:line="259" w:lineRule="auto"/>
      <w:ind w:left="720"/>
      <w:contextualSpacing/>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6E0066"/>
    <w:rPr>
      <w:rFonts w:ascii="Helvetica" w:hAnsi="Helvetica"/>
    </w:rPr>
  </w:style>
  <w:style w:type="character" w:styleId="UnresolvedMention">
    <w:name w:val="Unresolved Mention"/>
    <w:basedOn w:val="DefaultParagraphFont"/>
    <w:uiPriority w:val="99"/>
    <w:semiHidden/>
    <w:unhideWhenUsed/>
    <w:rsid w:val="003961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6713619">
      <w:bodyDiv w:val="1"/>
      <w:marLeft w:val="0"/>
      <w:marRight w:val="0"/>
      <w:marTop w:val="0"/>
      <w:marBottom w:val="0"/>
      <w:divBdr>
        <w:top w:val="none" w:sz="0" w:space="0" w:color="auto"/>
        <w:left w:val="none" w:sz="0" w:space="0" w:color="auto"/>
        <w:bottom w:val="none" w:sz="0" w:space="0" w:color="auto"/>
        <w:right w:val="none" w:sz="0" w:space="0" w:color="auto"/>
      </w:divBdr>
    </w:div>
    <w:div w:id="42951008">
      <w:bodyDiv w:val="1"/>
      <w:marLeft w:val="0"/>
      <w:marRight w:val="0"/>
      <w:marTop w:val="0"/>
      <w:marBottom w:val="0"/>
      <w:divBdr>
        <w:top w:val="none" w:sz="0" w:space="0" w:color="auto"/>
        <w:left w:val="none" w:sz="0" w:space="0" w:color="auto"/>
        <w:bottom w:val="none" w:sz="0" w:space="0" w:color="auto"/>
        <w:right w:val="none" w:sz="0" w:space="0" w:color="auto"/>
      </w:divBdr>
    </w:div>
    <w:div w:id="49427935">
      <w:bodyDiv w:val="1"/>
      <w:marLeft w:val="0"/>
      <w:marRight w:val="0"/>
      <w:marTop w:val="0"/>
      <w:marBottom w:val="0"/>
      <w:divBdr>
        <w:top w:val="none" w:sz="0" w:space="0" w:color="auto"/>
        <w:left w:val="none" w:sz="0" w:space="0" w:color="auto"/>
        <w:bottom w:val="none" w:sz="0" w:space="0" w:color="auto"/>
        <w:right w:val="none" w:sz="0" w:space="0" w:color="auto"/>
      </w:divBdr>
    </w:div>
    <w:div w:id="89543116">
      <w:bodyDiv w:val="1"/>
      <w:marLeft w:val="0"/>
      <w:marRight w:val="0"/>
      <w:marTop w:val="0"/>
      <w:marBottom w:val="0"/>
      <w:divBdr>
        <w:top w:val="none" w:sz="0" w:space="0" w:color="auto"/>
        <w:left w:val="none" w:sz="0" w:space="0" w:color="auto"/>
        <w:bottom w:val="none" w:sz="0" w:space="0" w:color="auto"/>
        <w:right w:val="none" w:sz="0" w:space="0" w:color="auto"/>
      </w:divBdr>
    </w:div>
    <w:div w:id="126707428">
      <w:bodyDiv w:val="1"/>
      <w:marLeft w:val="0"/>
      <w:marRight w:val="0"/>
      <w:marTop w:val="0"/>
      <w:marBottom w:val="0"/>
      <w:divBdr>
        <w:top w:val="none" w:sz="0" w:space="0" w:color="auto"/>
        <w:left w:val="none" w:sz="0" w:space="0" w:color="auto"/>
        <w:bottom w:val="none" w:sz="0" w:space="0" w:color="auto"/>
        <w:right w:val="none" w:sz="0" w:space="0" w:color="auto"/>
      </w:divBdr>
    </w:div>
    <w:div w:id="136186354">
      <w:bodyDiv w:val="1"/>
      <w:marLeft w:val="0"/>
      <w:marRight w:val="0"/>
      <w:marTop w:val="0"/>
      <w:marBottom w:val="0"/>
      <w:divBdr>
        <w:top w:val="none" w:sz="0" w:space="0" w:color="auto"/>
        <w:left w:val="none" w:sz="0" w:space="0" w:color="auto"/>
        <w:bottom w:val="none" w:sz="0" w:space="0" w:color="auto"/>
        <w:right w:val="none" w:sz="0" w:space="0" w:color="auto"/>
      </w:divBdr>
    </w:div>
    <w:div w:id="156045463">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60387363">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61114947">
      <w:bodyDiv w:val="1"/>
      <w:marLeft w:val="0"/>
      <w:marRight w:val="0"/>
      <w:marTop w:val="0"/>
      <w:marBottom w:val="0"/>
      <w:divBdr>
        <w:top w:val="none" w:sz="0" w:space="0" w:color="auto"/>
        <w:left w:val="none" w:sz="0" w:space="0" w:color="auto"/>
        <w:bottom w:val="none" w:sz="0" w:space="0" w:color="auto"/>
        <w:right w:val="none" w:sz="0" w:space="0" w:color="auto"/>
      </w:divBdr>
    </w:div>
    <w:div w:id="282226488">
      <w:bodyDiv w:val="1"/>
      <w:marLeft w:val="0"/>
      <w:marRight w:val="0"/>
      <w:marTop w:val="0"/>
      <w:marBottom w:val="0"/>
      <w:divBdr>
        <w:top w:val="none" w:sz="0" w:space="0" w:color="auto"/>
        <w:left w:val="none" w:sz="0" w:space="0" w:color="auto"/>
        <w:bottom w:val="none" w:sz="0" w:space="0" w:color="auto"/>
        <w:right w:val="none" w:sz="0" w:space="0" w:color="auto"/>
      </w:divBdr>
    </w:div>
    <w:div w:id="390229329">
      <w:bodyDiv w:val="1"/>
      <w:marLeft w:val="0"/>
      <w:marRight w:val="0"/>
      <w:marTop w:val="0"/>
      <w:marBottom w:val="0"/>
      <w:divBdr>
        <w:top w:val="none" w:sz="0" w:space="0" w:color="auto"/>
        <w:left w:val="none" w:sz="0" w:space="0" w:color="auto"/>
        <w:bottom w:val="none" w:sz="0" w:space="0" w:color="auto"/>
        <w:right w:val="none" w:sz="0" w:space="0" w:color="auto"/>
      </w:divBdr>
    </w:div>
    <w:div w:id="406421236">
      <w:bodyDiv w:val="1"/>
      <w:marLeft w:val="0"/>
      <w:marRight w:val="0"/>
      <w:marTop w:val="0"/>
      <w:marBottom w:val="0"/>
      <w:divBdr>
        <w:top w:val="none" w:sz="0" w:space="0" w:color="auto"/>
        <w:left w:val="none" w:sz="0" w:space="0" w:color="auto"/>
        <w:bottom w:val="none" w:sz="0" w:space="0" w:color="auto"/>
        <w:right w:val="none" w:sz="0" w:space="0" w:color="auto"/>
      </w:divBdr>
    </w:div>
    <w:div w:id="513762068">
      <w:bodyDiv w:val="1"/>
      <w:marLeft w:val="0"/>
      <w:marRight w:val="0"/>
      <w:marTop w:val="0"/>
      <w:marBottom w:val="0"/>
      <w:divBdr>
        <w:top w:val="none" w:sz="0" w:space="0" w:color="auto"/>
        <w:left w:val="none" w:sz="0" w:space="0" w:color="auto"/>
        <w:bottom w:val="none" w:sz="0" w:space="0" w:color="auto"/>
        <w:right w:val="none" w:sz="0" w:space="0" w:color="auto"/>
      </w:divBdr>
    </w:div>
    <w:div w:id="517356370">
      <w:bodyDiv w:val="1"/>
      <w:marLeft w:val="0"/>
      <w:marRight w:val="0"/>
      <w:marTop w:val="0"/>
      <w:marBottom w:val="0"/>
      <w:divBdr>
        <w:top w:val="none" w:sz="0" w:space="0" w:color="auto"/>
        <w:left w:val="none" w:sz="0" w:space="0" w:color="auto"/>
        <w:bottom w:val="none" w:sz="0" w:space="0" w:color="auto"/>
        <w:right w:val="none" w:sz="0" w:space="0" w:color="auto"/>
      </w:divBdr>
    </w:div>
    <w:div w:id="522324710">
      <w:bodyDiv w:val="1"/>
      <w:marLeft w:val="0"/>
      <w:marRight w:val="0"/>
      <w:marTop w:val="0"/>
      <w:marBottom w:val="0"/>
      <w:divBdr>
        <w:top w:val="none" w:sz="0" w:space="0" w:color="auto"/>
        <w:left w:val="none" w:sz="0" w:space="0" w:color="auto"/>
        <w:bottom w:val="none" w:sz="0" w:space="0" w:color="auto"/>
        <w:right w:val="none" w:sz="0" w:space="0" w:color="auto"/>
      </w:divBdr>
    </w:div>
    <w:div w:id="547644401">
      <w:bodyDiv w:val="1"/>
      <w:marLeft w:val="0"/>
      <w:marRight w:val="0"/>
      <w:marTop w:val="0"/>
      <w:marBottom w:val="0"/>
      <w:divBdr>
        <w:top w:val="none" w:sz="0" w:space="0" w:color="auto"/>
        <w:left w:val="none" w:sz="0" w:space="0" w:color="auto"/>
        <w:bottom w:val="none" w:sz="0" w:space="0" w:color="auto"/>
        <w:right w:val="none" w:sz="0" w:space="0" w:color="auto"/>
      </w:divBdr>
    </w:div>
    <w:div w:id="591547371">
      <w:bodyDiv w:val="1"/>
      <w:marLeft w:val="0"/>
      <w:marRight w:val="0"/>
      <w:marTop w:val="0"/>
      <w:marBottom w:val="0"/>
      <w:divBdr>
        <w:top w:val="none" w:sz="0" w:space="0" w:color="auto"/>
        <w:left w:val="none" w:sz="0" w:space="0" w:color="auto"/>
        <w:bottom w:val="none" w:sz="0" w:space="0" w:color="auto"/>
        <w:right w:val="none" w:sz="0" w:space="0" w:color="auto"/>
      </w:divBdr>
    </w:div>
    <w:div w:id="600333075">
      <w:bodyDiv w:val="1"/>
      <w:marLeft w:val="0"/>
      <w:marRight w:val="0"/>
      <w:marTop w:val="0"/>
      <w:marBottom w:val="0"/>
      <w:divBdr>
        <w:top w:val="none" w:sz="0" w:space="0" w:color="auto"/>
        <w:left w:val="none" w:sz="0" w:space="0" w:color="auto"/>
        <w:bottom w:val="none" w:sz="0" w:space="0" w:color="auto"/>
        <w:right w:val="none" w:sz="0" w:space="0" w:color="auto"/>
      </w:divBdr>
    </w:div>
    <w:div w:id="605580608">
      <w:bodyDiv w:val="1"/>
      <w:marLeft w:val="0"/>
      <w:marRight w:val="0"/>
      <w:marTop w:val="0"/>
      <w:marBottom w:val="0"/>
      <w:divBdr>
        <w:top w:val="none" w:sz="0" w:space="0" w:color="auto"/>
        <w:left w:val="none" w:sz="0" w:space="0" w:color="auto"/>
        <w:bottom w:val="none" w:sz="0" w:space="0" w:color="auto"/>
        <w:right w:val="none" w:sz="0" w:space="0" w:color="auto"/>
      </w:divBdr>
    </w:div>
    <w:div w:id="611592055">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66245250">
      <w:bodyDiv w:val="1"/>
      <w:marLeft w:val="0"/>
      <w:marRight w:val="0"/>
      <w:marTop w:val="0"/>
      <w:marBottom w:val="0"/>
      <w:divBdr>
        <w:top w:val="none" w:sz="0" w:space="0" w:color="auto"/>
        <w:left w:val="none" w:sz="0" w:space="0" w:color="auto"/>
        <w:bottom w:val="none" w:sz="0" w:space="0" w:color="auto"/>
        <w:right w:val="none" w:sz="0" w:space="0" w:color="auto"/>
      </w:divBdr>
    </w:div>
    <w:div w:id="672103024">
      <w:bodyDiv w:val="1"/>
      <w:marLeft w:val="0"/>
      <w:marRight w:val="0"/>
      <w:marTop w:val="0"/>
      <w:marBottom w:val="0"/>
      <w:divBdr>
        <w:top w:val="none" w:sz="0" w:space="0" w:color="auto"/>
        <w:left w:val="none" w:sz="0" w:space="0" w:color="auto"/>
        <w:bottom w:val="none" w:sz="0" w:space="0" w:color="auto"/>
        <w:right w:val="none" w:sz="0" w:space="0" w:color="auto"/>
      </w:divBdr>
    </w:div>
    <w:div w:id="717700510">
      <w:bodyDiv w:val="1"/>
      <w:marLeft w:val="0"/>
      <w:marRight w:val="0"/>
      <w:marTop w:val="0"/>
      <w:marBottom w:val="0"/>
      <w:divBdr>
        <w:top w:val="none" w:sz="0" w:space="0" w:color="auto"/>
        <w:left w:val="none" w:sz="0" w:space="0" w:color="auto"/>
        <w:bottom w:val="none" w:sz="0" w:space="0" w:color="auto"/>
        <w:right w:val="none" w:sz="0" w:space="0" w:color="auto"/>
      </w:divBdr>
    </w:div>
    <w:div w:id="765804129">
      <w:bodyDiv w:val="1"/>
      <w:marLeft w:val="0"/>
      <w:marRight w:val="0"/>
      <w:marTop w:val="0"/>
      <w:marBottom w:val="0"/>
      <w:divBdr>
        <w:top w:val="none" w:sz="0" w:space="0" w:color="auto"/>
        <w:left w:val="none" w:sz="0" w:space="0" w:color="auto"/>
        <w:bottom w:val="none" w:sz="0" w:space="0" w:color="auto"/>
        <w:right w:val="none" w:sz="0" w:space="0" w:color="auto"/>
      </w:divBdr>
    </w:div>
    <w:div w:id="766118546">
      <w:bodyDiv w:val="1"/>
      <w:marLeft w:val="0"/>
      <w:marRight w:val="0"/>
      <w:marTop w:val="0"/>
      <w:marBottom w:val="0"/>
      <w:divBdr>
        <w:top w:val="none" w:sz="0" w:space="0" w:color="auto"/>
        <w:left w:val="none" w:sz="0" w:space="0" w:color="auto"/>
        <w:bottom w:val="none" w:sz="0" w:space="0" w:color="auto"/>
        <w:right w:val="none" w:sz="0" w:space="0" w:color="auto"/>
      </w:divBdr>
    </w:div>
    <w:div w:id="775103847">
      <w:bodyDiv w:val="1"/>
      <w:marLeft w:val="0"/>
      <w:marRight w:val="0"/>
      <w:marTop w:val="0"/>
      <w:marBottom w:val="0"/>
      <w:divBdr>
        <w:top w:val="none" w:sz="0" w:space="0" w:color="auto"/>
        <w:left w:val="none" w:sz="0" w:space="0" w:color="auto"/>
        <w:bottom w:val="none" w:sz="0" w:space="0" w:color="auto"/>
        <w:right w:val="none" w:sz="0" w:space="0" w:color="auto"/>
      </w:divBdr>
    </w:div>
    <w:div w:id="795877837">
      <w:bodyDiv w:val="1"/>
      <w:marLeft w:val="0"/>
      <w:marRight w:val="0"/>
      <w:marTop w:val="0"/>
      <w:marBottom w:val="0"/>
      <w:divBdr>
        <w:top w:val="none" w:sz="0" w:space="0" w:color="auto"/>
        <w:left w:val="none" w:sz="0" w:space="0" w:color="auto"/>
        <w:bottom w:val="none" w:sz="0" w:space="0" w:color="auto"/>
        <w:right w:val="none" w:sz="0" w:space="0" w:color="auto"/>
      </w:divBdr>
    </w:div>
    <w:div w:id="829713055">
      <w:bodyDiv w:val="1"/>
      <w:marLeft w:val="0"/>
      <w:marRight w:val="0"/>
      <w:marTop w:val="0"/>
      <w:marBottom w:val="0"/>
      <w:divBdr>
        <w:top w:val="none" w:sz="0" w:space="0" w:color="auto"/>
        <w:left w:val="none" w:sz="0" w:space="0" w:color="auto"/>
        <w:bottom w:val="none" w:sz="0" w:space="0" w:color="auto"/>
        <w:right w:val="none" w:sz="0" w:space="0" w:color="auto"/>
      </w:divBdr>
    </w:div>
    <w:div w:id="863323831">
      <w:bodyDiv w:val="1"/>
      <w:marLeft w:val="0"/>
      <w:marRight w:val="0"/>
      <w:marTop w:val="0"/>
      <w:marBottom w:val="0"/>
      <w:divBdr>
        <w:top w:val="none" w:sz="0" w:space="0" w:color="auto"/>
        <w:left w:val="none" w:sz="0" w:space="0" w:color="auto"/>
        <w:bottom w:val="none" w:sz="0" w:space="0" w:color="auto"/>
        <w:right w:val="none" w:sz="0" w:space="0" w:color="auto"/>
      </w:divBdr>
    </w:div>
    <w:div w:id="864098435">
      <w:bodyDiv w:val="1"/>
      <w:marLeft w:val="0"/>
      <w:marRight w:val="0"/>
      <w:marTop w:val="0"/>
      <w:marBottom w:val="0"/>
      <w:divBdr>
        <w:top w:val="none" w:sz="0" w:space="0" w:color="auto"/>
        <w:left w:val="none" w:sz="0" w:space="0" w:color="auto"/>
        <w:bottom w:val="none" w:sz="0" w:space="0" w:color="auto"/>
        <w:right w:val="none" w:sz="0" w:space="0" w:color="auto"/>
      </w:divBdr>
    </w:div>
    <w:div w:id="880749376">
      <w:bodyDiv w:val="1"/>
      <w:marLeft w:val="0"/>
      <w:marRight w:val="0"/>
      <w:marTop w:val="0"/>
      <w:marBottom w:val="0"/>
      <w:divBdr>
        <w:top w:val="none" w:sz="0" w:space="0" w:color="auto"/>
        <w:left w:val="none" w:sz="0" w:space="0" w:color="auto"/>
        <w:bottom w:val="none" w:sz="0" w:space="0" w:color="auto"/>
        <w:right w:val="none" w:sz="0" w:space="0" w:color="auto"/>
      </w:divBdr>
    </w:div>
    <w:div w:id="885991221">
      <w:bodyDiv w:val="1"/>
      <w:marLeft w:val="0"/>
      <w:marRight w:val="0"/>
      <w:marTop w:val="0"/>
      <w:marBottom w:val="0"/>
      <w:divBdr>
        <w:top w:val="none" w:sz="0" w:space="0" w:color="auto"/>
        <w:left w:val="none" w:sz="0" w:space="0" w:color="auto"/>
        <w:bottom w:val="none" w:sz="0" w:space="0" w:color="auto"/>
        <w:right w:val="none" w:sz="0" w:space="0" w:color="auto"/>
      </w:divBdr>
    </w:div>
    <w:div w:id="890387824">
      <w:bodyDiv w:val="1"/>
      <w:marLeft w:val="0"/>
      <w:marRight w:val="0"/>
      <w:marTop w:val="0"/>
      <w:marBottom w:val="0"/>
      <w:divBdr>
        <w:top w:val="none" w:sz="0" w:space="0" w:color="auto"/>
        <w:left w:val="none" w:sz="0" w:space="0" w:color="auto"/>
        <w:bottom w:val="none" w:sz="0" w:space="0" w:color="auto"/>
        <w:right w:val="none" w:sz="0" w:space="0" w:color="auto"/>
      </w:divBdr>
    </w:div>
    <w:div w:id="944266491">
      <w:bodyDiv w:val="1"/>
      <w:marLeft w:val="0"/>
      <w:marRight w:val="0"/>
      <w:marTop w:val="0"/>
      <w:marBottom w:val="0"/>
      <w:divBdr>
        <w:top w:val="none" w:sz="0" w:space="0" w:color="auto"/>
        <w:left w:val="none" w:sz="0" w:space="0" w:color="auto"/>
        <w:bottom w:val="none" w:sz="0" w:space="0" w:color="auto"/>
        <w:right w:val="none" w:sz="0" w:space="0" w:color="auto"/>
      </w:divBdr>
    </w:div>
    <w:div w:id="957948935">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27023827">
      <w:bodyDiv w:val="1"/>
      <w:marLeft w:val="0"/>
      <w:marRight w:val="0"/>
      <w:marTop w:val="0"/>
      <w:marBottom w:val="0"/>
      <w:divBdr>
        <w:top w:val="none" w:sz="0" w:space="0" w:color="auto"/>
        <w:left w:val="none" w:sz="0" w:space="0" w:color="auto"/>
        <w:bottom w:val="none" w:sz="0" w:space="0" w:color="auto"/>
        <w:right w:val="none" w:sz="0" w:space="0" w:color="auto"/>
      </w:divBdr>
    </w:div>
    <w:div w:id="1037125568">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78092732">
      <w:bodyDiv w:val="1"/>
      <w:marLeft w:val="0"/>
      <w:marRight w:val="0"/>
      <w:marTop w:val="0"/>
      <w:marBottom w:val="0"/>
      <w:divBdr>
        <w:top w:val="none" w:sz="0" w:space="0" w:color="auto"/>
        <w:left w:val="none" w:sz="0" w:space="0" w:color="auto"/>
        <w:bottom w:val="none" w:sz="0" w:space="0" w:color="auto"/>
        <w:right w:val="none" w:sz="0" w:space="0" w:color="auto"/>
      </w:divBdr>
    </w:div>
    <w:div w:id="1087268164">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62156388">
      <w:bodyDiv w:val="1"/>
      <w:marLeft w:val="0"/>
      <w:marRight w:val="0"/>
      <w:marTop w:val="0"/>
      <w:marBottom w:val="0"/>
      <w:divBdr>
        <w:top w:val="none" w:sz="0" w:space="0" w:color="auto"/>
        <w:left w:val="none" w:sz="0" w:space="0" w:color="auto"/>
        <w:bottom w:val="none" w:sz="0" w:space="0" w:color="auto"/>
        <w:right w:val="none" w:sz="0" w:space="0" w:color="auto"/>
      </w:divBdr>
    </w:div>
    <w:div w:id="1176919034">
      <w:bodyDiv w:val="1"/>
      <w:marLeft w:val="0"/>
      <w:marRight w:val="0"/>
      <w:marTop w:val="0"/>
      <w:marBottom w:val="0"/>
      <w:divBdr>
        <w:top w:val="none" w:sz="0" w:space="0" w:color="auto"/>
        <w:left w:val="none" w:sz="0" w:space="0" w:color="auto"/>
        <w:bottom w:val="none" w:sz="0" w:space="0" w:color="auto"/>
        <w:right w:val="none" w:sz="0" w:space="0" w:color="auto"/>
      </w:divBdr>
    </w:div>
    <w:div w:id="1221596783">
      <w:bodyDiv w:val="1"/>
      <w:marLeft w:val="0"/>
      <w:marRight w:val="0"/>
      <w:marTop w:val="0"/>
      <w:marBottom w:val="0"/>
      <w:divBdr>
        <w:top w:val="none" w:sz="0" w:space="0" w:color="auto"/>
        <w:left w:val="none" w:sz="0" w:space="0" w:color="auto"/>
        <w:bottom w:val="none" w:sz="0" w:space="0" w:color="auto"/>
        <w:right w:val="none" w:sz="0" w:space="0" w:color="auto"/>
      </w:divBdr>
    </w:div>
    <w:div w:id="1237937720">
      <w:bodyDiv w:val="1"/>
      <w:marLeft w:val="0"/>
      <w:marRight w:val="0"/>
      <w:marTop w:val="0"/>
      <w:marBottom w:val="0"/>
      <w:divBdr>
        <w:top w:val="none" w:sz="0" w:space="0" w:color="auto"/>
        <w:left w:val="none" w:sz="0" w:space="0" w:color="auto"/>
        <w:bottom w:val="none" w:sz="0" w:space="0" w:color="auto"/>
        <w:right w:val="none" w:sz="0" w:space="0" w:color="auto"/>
      </w:divBdr>
    </w:div>
    <w:div w:id="1250193694">
      <w:bodyDiv w:val="1"/>
      <w:marLeft w:val="0"/>
      <w:marRight w:val="0"/>
      <w:marTop w:val="0"/>
      <w:marBottom w:val="0"/>
      <w:divBdr>
        <w:top w:val="none" w:sz="0" w:space="0" w:color="auto"/>
        <w:left w:val="none" w:sz="0" w:space="0" w:color="auto"/>
        <w:bottom w:val="none" w:sz="0" w:space="0" w:color="auto"/>
        <w:right w:val="none" w:sz="0" w:space="0" w:color="auto"/>
      </w:divBdr>
    </w:div>
    <w:div w:id="1261061058">
      <w:bodyDiv w:val="1"/>
      <w:marLeft w:val="0"/>
      <w:marRight w:val="0"/>
      <w:marTop w:val="0"/>
      <w:marBottom w:val="0"/>
      <w:divBdr>
        <w:top w:val="none" w:sz="0" w:space="0" w:color="auto"/>
        <w:left w:val="none" w:sz="0" w:space="0" w:color="auto"/>
        <w:bottom w:val="none" w:sz="0" w:space="0" w:color="auto"/>
        <w:right w:val="none" w:sz="0" w:space="0" w:color="auto"/>
      </w:divBdr>
    </w:div>
    <w:div w:id="1279021476">
      <w:bodyDiv w:val="1"/>
      <w:marLeft w:val="0"/>
      <w:marRight w:val="0"/>
      <w:marTop w:val="0"/>
      <w:marBottom w:val="0"/>
      <w:divBdr>
        <w:top w:val="none" w:sz="0" w:space="0" w:color="auto"/>
        <w:left w:val="none" w:sz="0" w:space="0" w:color="auto"/>
        <w:bottom w:val="none" w:sz="0" w:space="0" w:color="auto"/>
        <w:right w:val="none" w:sz="0" w:space="0" w:color="auto"/>
      </w:divBdr>
    </w:div>
    <w:div w:id="1306009605">
      <w:bodyDiv w:val="1"/>
      <w:marLeft w:val="0"/>
      <w:marRight w:val="0"/>
      <w:marTop w:val="0"/>
      <w:marBottom w:val="0"/>
      <w:divBdr>
        <w:top w:val="none" w:sz="0" w:space="0" w:color="auto"/>
        <w:left w:val="none" w:sz="0" w:space="0" w:color="auto"/>
        <w:bottom w:val="none" w:sz="0" w:space="0" w:color="auto"/>
        <w:right w:val="none" w:sz="0" w:space="0" w:color="auto"/>
      </w:divBdr>
    </w:div>
    <w:div w:id="1371807519">
      <w:bodyDiv w:val="1"/>
      <w:marLeft w:val="0"/>
      <w:marRight w:val="0"/>
      <w:marTop w:val="0"/>
      <w:marBottom w:val="0"/>
      <w:divBdr>
        <w:top w:val="none" w:sz="0" w:space="0" w:color="auto"/>
        <w:left w:val="none" w:sz="0" w:space="0" w:color="auto"/>
        <w:bottom w:val="none" w:sz="0" w:space="0" w:color="auto"/>
        <w:right w:val="none" w:sz="0" w:space="0" w:color="auto"/>
      </w:divBdr>
    </w:div>
    <w:div w:id="1372194876">
      <w:bodyDiv w:val="1"/>
      <w:marLeft w:val="0"/>
      <w:marRight w:val="0"/>
      <w:marTop w:val="0"/>
      <w:marBottom w:val="0"/>
      <w:divBdr>
        <w:top w:val="none" w:sz="0" w:space="0" w:color="auto"/>
        <w:left w:val="none" w:sz="0" w:space="0" w:color="auto"/>
        <w:bottom w:val="none" w:sz="0" w:space="0" w:color="auto"/>
        <w:right w:val="none" w:sz="0" w:space="0" w:color="auto"/>
      </w:divBdr>
    </w:div>
    <w:div w:id="1377705409">
      <w:bodyDiv w:val="1"/>
      <w:marLeft w:val="0"/>
      <w:marRight w:val="0"/>
      <w:marTop w:val="0"/>
      <w:marBottom w:val="0"/>
      <w:divBdr>
        <w:top w:val="none" w:sz="0" w:space="0" w:color="auto"/>
        <w:left w:val="none" w:sz="0" w:space="0" w:color="auto"/>
        <w:bottom w:val="none" w:sz="0" w:space="0" w:color="auto"/>
        <w:right w:val="none" w:sz="0" w:space="0" w:color="auto"/>
      </w:divBdr>
    </w:div>
    <w:div w:id="1391076571">
      <w:bodyDiv w:val="1"/>
      <w:marLeft w:val="0"/>
      <w:marRight w:val="0"/>
      <w:marTop w:val="0"/>
      <w:marBottom w:val="0"/>
      <w:divBdr>
        <w:top w:val="none" w:sz="0" w:space="0" w:color="auto"/>
        <w:left w:val="none" w:sz="0" w:space="0" w:color="auto"/>
        <w:bottom w:val="none" w:sz="0" w:space="0" w:color="auto"/>
        <w:right w:val="none" w:sz="0" w:space="0" w:color="auto"/>
      </w:divBdr>
    </w:div>
    <w:div w:id="1438135488">
      <w:bodyDiv w:val="1"/>
      <w:marLeft w:val="0"/>
      <w:marRight w:val="0"/>
      <w:marTop w:val="0"/>
      <w:marBottom w:val="0"/>
      <w:divBdr>
        <w:top w:val="none" w:sz="0" w:space="0" w:color="auto"/>
        <w:left w:val="none" w:sz="0" w:space="0" w:color="auto"/>
        <w:bottom w:val="none" w:sz="0" w:space="0" w:color="auto"/>
        <w:right w:val="none" w:sz="0" w:space="0" w:color="auto"/>
      </w:divBdr>
    </w:div>
    <w:div w:id="1556356752">
      <w:bodyDiv w:val="1"/>
      <w:marLeft w:val="0"/>
      <w:marRight w:val="0"/>
      <w:marTop w:val="0"/>
      <w:marBottom w:val="0"/>
      <w:divBdr>
        <w:top w:val="none" w:sz="0" w:space="0" w:color="auto"/>
        <w:left w:val="none" w:sz="0" w:space="0" w:color="auto"/>
        <w:bottom w:val="none" w:sz="0" w:space="0" w:color="auto"/>
        <w:right w:val="none" w:sz="0" w:space="0" w:color="auto"/>
      </w:divBdr>
    </w:div>
    <w:div w:id="1611204288">
      <w:bodyDiv w:val="1"/>
      <w:marLeft w:val="0"/>
      <w:marRight w:val="0"/>
      <w:marTop w:val="0"/>
      <w:marBottom w:val="0"/>
      <w:divBdr>
        <w:top w:val="none" w:sz="0" w:space="0" w:color="auto"/>
        <w:left w:val="none" w:sz="0" w:space="0" w:color="auto"/>
        <w:bottom w:val="none" w:sz="0" w:space="0" w:color="auto"/>
        <w:right w:val="none" w:sz="0" w:space="0" w:color="auto"/>
      </w:divBdr>
    </w:div>
    <w:div w:id="1627470000">
      <w:bodyDiv w:val="1"/>
      <w:marLeft w:val="0"/>
      <w:marRight w:val="0"/>
      <w:marTop w:val="0"/>
      <w:marBottom w:val="0"/>
      <w:divBdr>
        <w:top w:val="none" w:sz="0" w:space="0" w:color="auto"/>
        <w:left w:val="none" w:sz="0" w:space="0" w:color="auto"/>
        <w:bottom w:val="none" w:sz="0" w:space="0" w:color="auto"/>
        <w:right w:val="none" w:sz="0" w:space="0" w:color="auto"/>
      </w:divBdr>
    </w:div>
    <w:div w:id="1686401730">
      <w:bodyDiv w:val="1"/>
      <w:marLeft w:val="0"/>
      <w:marRight w:val="0"/>
      <w:marTop w:val="0"/>
      <w:marBottom w:val="0"/>
      <w:divBdr>
        <w:top w:val="none" w:sz="0" w:space="0" w:color="auto"/>
        <w:left w:val="none" w:sz="0" w:space="0" w:color="auto"/>
        <w:bottom w:val="none" w:sz="0" w:space="0" w:color="auto"/>
        <w:right w:val="none" w:sz="0" w:space="0" w:color="auto"/>
      </w:divBdr>
    </w:div>
    <w:div w:id="1734083313">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66225015">
      <w:bodyDiv w:val="1"/>
      <w:marLeft w:val="0"/>
      <w:marRight w:val="0"/>
      <w:marTop w:val="0"/>
      <w:marBottom w:val="0"/>
      <w:divBdr>
        <w:top w:val="none" w:sz="0" w:space="0" w:color="auto"/>
        <w:left w:val="none" w:sz="0" w:space="0" w:color="auto"/>
        <w:bottom w:val="none" w:sz="0" w:space="0" w:color="auto"/>
        <w:right w:val="none" w:sz="0" w:space="0" w:color="auto"/>
      </w:divBdr>
    </w:div>
    <w:div w:id="1777213349">
      <w:bodyDiv w:val="1"/>
      <w:marLeft w:val="0"/>
      <w:marRight w:val="0"/>
      <w:marTop w:val="0"/>
      <w:marBottom w:val="0"/>
      <w:divBdr>
        <w:top w:val="none" w:sz="0" w:space="0" w:color="auto"/>
        <w:left w:val="none" w:sz="0" w:space="0" w:color="auto"/>
        <w:bottom w:val="none" w:sz="0" w:space="0" w:color="auto"/>
        <w:right w:val="none" w:sz="0" w:space="0" w:color="auto"/>
      </w:divBdr>
    </w:div>
    <w:div w:id="1779254028">
      <w:bodyDiv w:val="1"/>
      <w:marLeft w:val="0"/>
      <w:marRight w:val="0"/>
      <w:marTop w:val="0"/>
      <w:marBottom w:val="0"/>
      <w:divBdr>
        <w:top w:val="none" w:sz="0" w:space="0" w:color="auto"/>
        <w:left w:val="none" w:sz="0" w:space="0" w:color="auto"/>
        <w:bottom w:val="none" w:sz="0" w:space="0" w:color="auto"/>
        <w:right w:val="none" w:sz="0" w:space="0" w:color="auto"/>
      </w:divBdr>
    </w:div>
    <w:div w:id="1781997822">
      <w:bodyDiv w:val="1"/>
      <w:marLeft w:val="0"/>
      <w:marRight w:val="0"/>
      <w:marTop w:val="0"/>
      <w:marBottom w:val="0"/>
      <w:divBdr>
        <w:top w:val="none" w:sz="0" w:space="0" w:color="auto"/>
        <w:left w:val="none" w:sz="0" w:space="0" w:color="auto"/>
        <w:bottom w:val="none" w:sz="0" w:space="0" w:color="auto"/>
        <w:right w:val="none" w:sz="0" w:space="0" w:color="auto"/>
      </w:divBdr>
    </w:div>
    <w:div w:id="1782987899">
      <w:bodyDiv w:val="1"/>
      <w:marLeft w:val="0"/>
      <w:marRight w:val="0"/>
      <w:marTop w:val="0"/>
      <w:marBottom w:val="0"/>
      <w:divBdr>
        <w:top w:val="none" w:sz="0" w:space="0" w:color="auto"/>
        <w:left w:val="none" w:sz="0" w:space="0" w:color="auto"/>
        <w:bottom w:val="none" w:sz="0" w:space="0" w:color="auto"/>
        <w:right w:val="none" w:sz="0" w:space="0" w:color="auto"/>
      </w:divBdr>
    </w:div>
    <w:div w:id="1963414997">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88308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paid.2012.01.010" TargetMode="External"/><Relationship Id="rId21" Type="http://schemas.openxmlformats.org/officeDocument/2006/relationships/hyperlink" Target="https://doi.org/10.1080/1067828X.2017.1322018" TargetMode="External"/><Relationship Id="rId42" Type="http://schemas.openxmlformats.org/officeDocument/2006/relationships/hyperlink" Target="https://doi.org/10.1016/j.neubiorev.2018.08.011" TargetMode="External"/><Relationship Id="rId47" Type="http://schemas.openxmlformats.org/officeDocument/2006/relationships/hyperlink" Target="https://doi.org/10.1046/j.1360-0443.2001.961575.x" TargetMode="External"/><Relationship Id="rId63" Type="http://schemas.openxmlformats.org/officeDocument/2006/relationships/hyperlink" Target="https://doi.org/10.1177/0146167209341580" TargetMode="External"/><Relationship Id="rId68" Type="http://schemas.openxmlformats.org/officeDocument/2006/relationships/hyperlink" Target="https://doi.org/10.1002/9780470976739.ch20" TargetMode="External"/><Relationship Id="rId16" Type="http://schemas.openxmlformats.org/officeDocument/2006/relationships/image" Target="media/image3.png"/><Relationship Id="rId11" Type="http://schemas.openxmlformats.org/officeDocument/2006/relationships/footer" Target="footer2.xml"/><Relationship Id="rId24" Type="http://schemas.openxmlformats.org/officeDocument/2006/relationships/hyperlink" Target="https://doi.org/10.1093/alcalc/agl060" TargetMode="External"/><Relationship Id="rId32" Type="http://schemas.openxmlformats.org/officeDocument/2006/relationships/hyperlink" Target="https://doi.org/10.1002/9780470713129.CH6" TargetMode="External"/><Relationship Id="rId37" Type="http://schemas.openxmlformats.org/officeDocument/2006/relationships/hyperlink" Target="https://doi.org/10.1016/j.drugalcdep.2010.05.011" TargetMode="External"/><Relationship Id="rId40" Type="http://schemas.openxmlformats.org/officeDocument/2006/relationships/hyperlink" Target="https://doi.org/10.1037/ebs0000153" TargetMode="External"/><Relationship Id="rId45" Type="http://schemas.openxmlformats.org/officeDocument/2006/relationships/hyperlink" Target="https://doi.org/10.1037/0033-295X.115.1.186" TargetMode="External"/><Relationship Id="rId53" Type="http://schemas.openxmlformats.org/officeDocument/2006/relationships/hyperlink" Target="https://doi.org/10.1037/1064-1297.14.2.219" TargetMode="External"/><Relationship Id="rId58" Type="http://schemas.openxmlformats.org/officeDocument/2006/relationships/hyperlink" Target="https://doi.org/10.1093/alcalc/agh238" TargetMode="External"/><Relationship Id="rId66" Type="http://schemas.openxmlformats.org/officeDocument/2006/relationships/hyperlink" Target="https://doi.org/10.1037/pha0000020" TargetMode="External"/><Relationship Id="rId74"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hyperlink" Target="https://doi.org/10.1177/0272431600020002004" TargetMode="External"/><Relationship Id="rId19" Type="http://schemas.openxmlformats.org/officeDocument/2006/relationships/hyperlink" Target="https://doi.org/10.1556/JEP.12.2014.1.3" TargetMode="External"/><Relationship Id="rId14" Type="http://schemas.openxmlformats.org/officeDocument/2006/relationships/image" Target="media/image1.png"/><Relationship Id="rId22" Type="http://schemas.openxmlformats.org/officeDocument/2006/relationships/hyperlink" Target="https://doi.org/10.1016/S0031-9384(98)00147-4" TargetMode="External"/><Relationship Id="rId27" Type="http://schemas.openxmlformats.org/officeDocument/2006/relationships/hyperlink" Target="https://doi.org/10.1037/0022-3514.54.4.616" TargetMode="External"/><Relationship Id="rId30" Type="http://schemas.openxmlformats.org/officeDocument/2006/relationships/hyperlink" Target="https://doi.org/10.1037/1040-3590.6.2.117" TargetMode="External"/><Relationship Id="rId35" Type="http://schemas.openxmlformats.org/officeDocument/2006/relationships/hyperlink" Target="https://doi.org/10.1037/a0022607" TargetMode="External"/><Relationship Id="rId43" Type="http://schemas.openxmlformats.org/officeDocument/2006/relationships/hyperlink" Target="https://doi.org/10.1177/147470491301100413" TargetMode="External"/><Relationship Id="rId48" Type="http://schemas.openxmlformats.org/officeDocument/2006/relationships/hyperlink" Target="https://doi.org/10.1007/978-94-015-9725-8_1" TargetMode="External"/><Relationship Id="rId56" Type="http://schemas.openxmlformats.org/officeDocument/2006/relationships/hyperlink" Target="https://doi.org/10.1509/jmr.15.0247" TargetMode="External"/><Relationship Id="rId64" Type="http://schemas.openxmlformats.org/officeDocument/2006/relationships/hyperlink" Target="https://doi.org/10.1037/0022-3514.58.5.918" TargetMode="External"/><Relationship Id="rId69" Type="http://schemas.openxmlformats.org/officeDocument/2006/relationships/hyperlink" Target="https://www.euro.who.int/__data/assets/pdf_file/0019/411418/Alcohol-consumption-harm-policy-responses-30-European-countries-2019.pdf" TargetMode="External"/><Relationship Id="rId7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doi.org/10.1176/appi.ajp.158.11.1783" TargetMode="External"/><Relationship Id="rId72" Type="http://schemas.openxmlformats.org/officeDocument/2006/relationships/header" Target="header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1556/JEP.7.2009.1.5" TargetMode="External"/><Relationship Id="rId33" Type="http://schemas.openxmlformats.org/officeDocument/2006/relationships/hyperlink" Target="https://doi.org/10.1016/j.addbeh.2014.02.005" TargetMode="External"/><Relationship Id="rId38" Type="http://schemas.openxmlformats.org/officeDocument/2006/relationships/hyperlink" Target="https://psycnet.apa.org/doi/10.1037/0022-3514.93.1.85" TargetMode="External"/><Relationship Id="rId46" Type="http://schemas.openxmlformats.org/officeDocument/2006/relationships/hyperlink" Target="https://doi.org/10.1037/1064-1297.7.4.412" TargetMode="External"/><Relationship Id="rId59" Type="http://schemas.openxmlformats.org/officeDocument/2006/relationships/hyperlink" Target="https://doi.org/10.1046/j.1360-0443.2003.00467.x" TargetMode="External"/><Relationship Id="rId67" Type="http://schemas.openxmlformats.org/officeDocument/2006/relationships/hyperlink" Target="https://doi.org/10.1177/147470491201000508" TargetMode="External"/><Relationship Id="rId20" Type="http://schemas.openxmlformats.org/officeDocument/2006/relationships/hyperlink" Target="https://doi.org/10.1016/j.jesp.2009.06.006" TargetMode="External"/><Relationship Id="rId41" Type="http://schemas.openxmlformats.org/officeDocument/2006/relationships/hyperlink" Target="https://doi.org/10.1177/1359105317692145" TargetMode="External"/><Relationship Id="rId54" Type="http://schemas.openxmlformats.org/officeDocument/2006/relationships/hyperlink" Target="https://doi.org/10.1002/bdm.2222" TargetMode="External"/><Relationship Id="rId62" Type="http://schemas.openxmlformats.org/officeDocument/2006/relationships/hyperlink" Target="https://doi.org/10.1111/acer.13112" TargetMode="External"/><Relationship Id="rId70" Type="http://schemas.openxmlformats.org/officeDocument/2006/relationships/hyperlink" Target="https://doi.org/10.15288/jsad.2013.74.626" TargetMode="External"/><Relationship Id="rId75"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s://doi.org/10.1016/j.drugalcdep.2014.10.024" TargetMode="External"/><Relationship Id="rId28" Type="http://schemas.openxmlformats.org/officeDocument/2006/relationships/hyperlink" Target="https://doi.org/10.1037/0022-3514.50.3.559" TargetMode="External"/><Relationship Id="rId36" Type="http://schemas.openxmlformats.org/officeDocument/2006/relationships/hyperlink" Target="https://doi.org/10.1007/s12144-014-9221-x" TargetMode="External"/><Relationship Id="rId49" Type="http://schemas.openxmlformats.org/officeDocument/2006/relationships/hyperlink" Target="https://doi.org/10.1097/FBP.0b013e32833113a3" TargetMode="External"/><Relationship Id="rId57" Type="http://schemas.openxmlformats.org/officeDocument/2006/relationships/hyperlink" Target="https://doi.org/10.1016/j.addbeh.2009.04.015" TargetMode="External"/><Relationship Id="rId10" Type="http://schemas.openxmlformats.org/officeDocument/2006/relationships/footer" Target="footer1.xml"/><Relationship Id="rId31" Type="http://schemas.openxmlformats.org/officeDocument/2006/relationships/hyperlink" Target="https://doi.org/10.1037/0021-843X.97.2.168" TargetMode="External"/><Relationship Id="rId44" Type="http://schemas.openxmlformats.org/officeDocument/2006/relationships/hyperlink" Target="https://doi.org/10.1177/147470491501300206" TargetMode="External"/><Relationship Id="rId52" Type="http://schemas.openxmlformats.org/officeDocument/2006/relationships/hyperlink" Target="https://doi.org/10.1016/j.cpr.2005.05.004" TargetMode="External"/><Relationship Id="rId60" Type="http://schemas.openxmlformats.org/officeDocument/2006/relationships/hyperlink" Target="https://doi.org/10.1093/beheco/arr106" TargetMode="External"/><Relationship Id="rId65" Type="http://schemas.openxmlformats.org/officeDocument/2006/relationships/hyperlink" Target="https://doi.org/10.5888/pcd11.130293" TargetMode="External"/><Relationship Id="rId73" Type="http://schemas.openxmlformats.org/officeDocument/2006/relationships/footer" Target="footer4.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doi.org/10.1111/j.1530-0277.2011.01656.x" TargetMode="External"/><Relationship Id="rId39" Type="http://schemas.openxmlformats.org/officeDocument/2006/relationships/hyperlink" Target="https://doi.org/10.1111/j.1365-2796.2009.02082.x" TargetMode="External"/><Relationship Id="rId34" Type="http://schemas.openxmlformats.org/officeDocument/2006/relationships/hyperlink" Target="https://doi.org/10.1126/science.327542" TargetMode="External"/><Relationship Id="rId50" Type="http://schemas.openxmlformats.org/officeDocument/2006/relationships/hyperlink" Target="https://doi.org/10.1590/s1516-44462004000500003" TargetMode="External"/><Relationship Id="rId55" Type="http://schemas.openxmlformats.org/officeDocument/2006/relationships/hyperlink" Target="https://doi.org/10.1080/09595230500293845" TargetMode="External"/><Relationship Id="rId76" Type="http://schemas.openxmlformats.org/officeDocument/2006/relationships/image" Target="media/image6.jpeg"/><Relationship Id="rId7" Type="http://schemas.openxmlformats.org/officeDocument/2006/relationships/endnotes" Target="endnotes.xml"/><Relationship Id="rId71" Type="http://schemas.openxmlformats.org/officeDocument/2006/relationships/header" Target="header4.xml"/><Relationship Id="rId2" Type="http://schemas.openxmlformats.org/officeDocument/2006/relationships/numbering" Target="numbering.xml"/><Relationship Id="rId29" Type="http://schemas.openxmlformats.org/officeDocument/2006/relationships/hyperlink" Target="https://doi.org/10.1111/1467-6494.0005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9B2CEC-FC40-48D8-866C-68D63BCA6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18</TotalTime>
  <Pages>17</Pages>
  <Words>6203</Words>
  <Characters>35362</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41483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11</cp:revision>
  <cp:lastPrinted>1999-07-06T11:00:00Z</cp:lastPrinted>
  <dcterms:created xsi:type="dcterms:W3CDTF">2025-04-25T19:19:00Z</dcterms:created>
  <dcterms:modified xsi:type="dcterms:W3CDTF">2025-04-26T12:33:00Z</dcterms:modified>
</cp:coreProperties>
</file>