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88EFBF" w14:textId="77777777" w:rsidR="00D205AB" w:rsidRPr="00D205AB" w:rsidRDefault="00D205AB" w:rsidP="00D205AB">
      <w:pPr>
        <w:spacing w:line="276" w:lineRule="auto"/>
        <w:jc w:val="both"/>
        <w:rPr>
          <w:rFonts w:ascii="Arial" w:hAnsi="Arial" w:cs="Arial"/>
          <w:b/>
          <w:sz w:val="36"/>
          <w:szCs w:val="36"/>
        </w:rPr>
      </w:pPr>
      <w:r w:rsidRPr="00D205AB">
        <w:rPr>
          <w:rFonts w:ascii="Arial" w:hAnsi="Arial" w:cs="Arial"/>
          <w:b/>
          <w:bCs/>
          <w:sz w:val="36"/>
          <w:szCs w:val="36"/>
        </w:rPr>
        <w:t>Short-term antimicrobial photodynamic therapy action in non-surgical periodontal treatment in type 2 diabetic individuals:  split-mouth double-blind randomized controlled clinical trial</w:t>
      </w:r>
    </w:p>
    <w:p w14:paraId="17625824" w14:textId="77777777" w:rsidR="00A258C3" w:rsidRPr="00790ADA" w:rsidRDefault="00A258C3" w:rsidP="00441B6F">
      <w:pPr>
        <w:pStyle w:val="Author"/>
        <w:spacing w:line="240" w:lineRule="auto"/>
        <w:jc w:val="both"/>
        <w:rPr>
          <w:rFonts w:ascii="Arial" w:hAnsi="Arial" w:cs="Arial"/>
          <w:sz w:val="36"/>
        </w:rPr>
      </w:pPr>
    </w:p>
    <w:p w14:paraId="7665A3B7" w14:textId="77777777" w:rsidR="00790ADA" w:rsidRDefault="00790ADA" w:rsidP="00441B6F">
      <w:pPr>
        <w:pStyle w:val="Affiliation"/>
        <w:spacing w:after="0" w:line="240" w:lineRule="auto"/>
        <w:jc w:val="both"/>
        <w:rPr>
          <w:rFonts w:ascii="Arial" w:hAnsi="Arial" w:cs="Arial"/>
        </w:rPr>
      </w:pPr>
    </w:p>
    <w:p w14:paraId="3446ACD3" w14:textId="77777777" w:rsidR="002C57D2" w:rsidRPr="00FB3A86" w:rsidRDefault="002C57D2" w:rsidP="00441B6F">
      <w:pPr>
        <w:pStyle w:val="Affiliation"/>
        <w:spacing w:after="0" w:line="240" w:lineRule="auto"/>
        <w:jc w:val="both"/>
        <w:rPr>
          <w:rFonts w:ascii="Arial" w:hAnsi="Arial" w:cs="Arial"/>
        </w:rPr>
      </w:pPr>
    </w:p>
    <w:p w14:paraId="1660F28C" w14:textId="77777777" w:rsidR="00B01FCD" w:rsidRPr="00FB3A86" w:rsidRDefault="00BC69E9" w:rsidP="00441B6F">
      <w:pPr>
        <w:pStyle w:val="Copyright"/>
        <w:spacing w:after="0" w:line="240" w:lineRule="auto"/>
        <w:jc w:val="both"/>
        <w:rPr>
          <w:rFonts w:ascii="Arial" w:hAnsi="Arial" w:cs="Arial"/>
        </w:rPr>
        <w:sectPr w:rsidR="00B01FCD" w:rsidRPr="00FB3A86" w:rsidSect="00834F0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pt-BR" w:eastAsia="pt-BR"/>
        </w:rPr>
        <mc:AlternateContent>
          <mc:Choice Requires="wps">
            <w:drawing>
              <wp:inline distT="0" distB="0" distL="0" distR="0" wp14:anchorId="79726243" wp14:editId="34309508">
                <wp:extent cx="5303520" cy="635"/>
                <wp:effectExtent l="15240" t="18415" r="15240" b="1016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835F59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CBSTlb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20459ACF" w14:textId="57CC928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950C8A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A44BBF8" w14:textId="77777777" w:rsidTr="001E44FE">
        <w:tc>
          <w:tcPr>
            <w:tcW w:w="9576" w:type="dxa"/>
            <w:shd w:val="clear" w:color="auto" w:fill="F2F2F2"/>
          </w:tcPr>
          <w:p w14:paraId="1B2E4CCB" w14:textId="77777777" w:rsidR="00505F06" w:rsidRPr="00D205AB" w:rsidRDefault="00D205AB" w:rsidP="00D205AB">
            <w:pPr>
              <w:spacing w:line="276" w:lineRule="auto"/>
              <w:jc w:val="both"/>
              <w:rPr>
                <w:rFonts w:ascii="Arial" w:hAnsi="Arial" w:cs="Arial"/>
                <w:sz w:val="24"/>
                <w:lang w:eastAsia="pt-BR"/>
              </w:rPr>
            </w:pPr>
            <w:r w:rsidRPr="00D205AB">
              <w:rPr>
                <w:rFonts w:ascii="Arial" w:hAnsi="Arial" w:cs="Arial"/>
                <w:sz w:val="22"/>
                <w:lang w:eastAsia="pt-BR"/>
              </w:rPr>
              <w:t xml:space="preserve">It is known that diabetic individuals with untreated periodontal disease are more predisposed to uncontrolled glycemia and the consequent development of complications related to diabetes mellitus (DM). Due to the impairment of quality of life caused by type 2 DM and periodontal disease, studies are needed to investigate the relationship between the two diseases, seeking ways to minimize the consequences of these changes to the health of individuals. This clinical study aimed to evaluate the response to two types of periodontal treatment to define the most effective clinical protocol for improving periodontal disease. The objective of this study was to evaluate the periodontal condition of type 2 diabetic patients and the response of periodontal tissues to two different periodontal treatments, for a short period (90 days): scaling and root </w:t>
            </w:r>
            <w:proofErr w:type="spellStart"/>
            <w:r w:rsidRPr="00D205AB">
              <w:rPr>
                <w:rFonts w:ascii="Arial" w:hAnsi="Arial" w:cs="Arial"/>
                <w:sz w:val="22"/>
                <w:lang w:eastAsia="pt-BR"/>
              </w:rPr>
              <w:t>planing</w:t>
            </w:r>
            <w:proofErr w:type="spellEnd"/>
            <w:r w:rsidRPr="00D205AB">
              <w:rPr>
                <w:rFonts w:ascii="Arial" w:hAnsi="Arial" w:cs="Arial"/>
                <w:sz w:val="22"/>
                <w:lang w:eastAsia="pt-BR"/>
              </w:rPr>
              <w:t xml:space="preserve"> (SRP) and scaling and root </w:t>
            </w:r>
            <w:proofErr w:type="spellStart"/>
            <w:r w:rsidRPr="00D205AB">
              <w:rPr>
                <w:rFonts w:ascii="Arial" w:hAnsi="Arial" w:cs="Arial"/>
                <w:sz w:val="22"/>
                <w:lang w:eastAsia="pt-BR"/>
              </w:rPr>
              <w:t>planing</w:t>
            </w:r>
            <w:proofErr w:type="spellEnd"/>
            <w:r w:rsidRPr="00D205AB">
              <w:rPr>
                <w:rFonts w:ascii="Arial" w:hAnsi="Arial" w:cs="Arial"/>
                <w:sz w:val="22"/>
                <w:lang w:eastAsia="pt-BR"/>
              </w:rPr>
              <w:t xml:space="preserve"> associated with antimicrobial Photodynamic Therapy (SRP + </w:t>
            </w:r>
            <w:proofErr w:type="spellStart"/>
            <w:r w:rsidRPr="00D205AB">
              <w:rPr>
                <w:rFonts w:ascii="Arial" w:hAnsi="Arial" w:cs="Arial"/>
                <w:sz w:val="22"/>
                <w:lang w:eastAsia="pt-BR"/>
              </w:rPr>
              <w:t>aPDT</w:t>
            </w:r>
            <w:proofErr w:type="spellEnd"/>
            <w:r w:rsidRPr="00D205AB">
              <w:rPr>
                <w:rFonts w:ascii="Arial" w:hAnsi="Arial" w:cs="Arial"/>
                <w:sz w:val="22"/>
                <w:lang w:eastAsia="pt-BR"/>
              </w:rPr>
              <w:t xml:space="preserve">). For </w:t>
            </w:r>
            <w:proofErr w:type="gramStart"/>
            <w:r w:rsidRPr="00D205AB">
              <w:rPr>
                <w:rFonts w:ascii="Arial" w:hAnsi="Arial" w:cs="Arial"/>
                <w:sz w:val="22"/>
                <w:lang w:eastAsia="pt-BR"/>
              </w:rPr>
              <w:t>this 20 patients</w:t>
            </w:r>
            <w:proofErr w:type="gramEnd"/>
            <w:r w:rsidRPr="00D205AB">
              <w:rPr>
                <w:rFonts w:ascii="Arial" w:hAnsi="Arial" w:cs="Arial"/>
                <w:sz w:val="22"/>
                <w:lang w:eastAsia="pt-BR"/>
              </w:rPr>
              <w:t xml:space="preserve"> were evaluated in a randomized split-mouth clinical study. The inclusion criteria used were: patients of both sexes, aged 25 to 65 years, with type 2 DM (glycated hemoglobin ≥ 7%) and periodontitis Stage III or IV Grade C. All selected patients underwent non-surgical periodontal treatment and evaluated through clinical parameters: plaque index (PI), probing depth (PD), clinical attachment level (CAL) and bleeding on probing (</w:t>
            </w:r>
            <w:proofErr w:type="spellStart"/>
            <w:r w:rsidRPr="00D205AB">
              <w:rPr>
                <w:rFonts w:ascii="Arial" w:hAnsi="Arial" w:cs="Arial"/>
                <w:sz w:val="22"/>
                <w:lang w:eastAsia="pt-BR"/>
              </w:rPr>
              <w:t>BoP</w:t>
            </w:r>
            <w:proofErr w:type="spellEnd"/>
            <w:r w:rsidRPr="00D205AB">
              <w:rPr>
                <w:rFonts w:ascii="Arial" w:hAnsi="Arial" w:cs="Arial"/>
                <w:sz w:val="22"/>
                <w:lang w:eastAsia="pt-BR"/>
              </w:rPr>
              <w:t xml:space="preserve">). Laboratory tests were requested (fasting blood glucose, glycated hemoglobin, and lipid profile). In addition, gingival fluid quantification was performed. The side of each treatment was defined by randomization. </w:t>
            </w:r>
            <w:proofErr w:type="spellStart"/>
            <w:r w:rsidRPr="00D205AB">
              <w:rPr>
                <w:rFonts w:ascii="Arial" w:hAnsi="Arial" w:cs="Arial"/>
                <w:sz w:val="22"/>
                <w:lang w:eastAsia="pt-BR"/>
              </w:rPr>
              <w:t>aPDT</w:t>
            </w:r>
            <w:proofErr w:type="spellEnd"/>
            <w:r w:rsidRPr="00D205AB">
              <w:rPr>
                <w:rFonts w:ascii="Arial" w:hAnsi="Arial" w:cs="Arial"/>
                <w:sz w:val="22"/>
                <w:lang w:eastAsia="pt-BR"/>
              </w:rPr>
              <w:t xml:space="preserve"> was performed immediately after SRP and reapplied at 7 and 14 days, using a combination of a low-power laser (660 nm) and methylene blue (10 mg/ml). Patients were evaluated for a total period of 90 days, comprising the baseline and 90 days. The results demonstrate improvement in the periodontal parameters analyzed at 90 days, with no significant difference between the RAR side and the SRP + </w:t>
            </w:r>
            <w:proofErr w:type="spellStart"/>
            <w:r w:rsidRPr="00D205AB">
              <w:rPr>
                <w:rFonts w:ascii="Arial" w:hAnsi="Arial" w:cs="Arial"/>
                <w:sz w:val="22"/>
                <w:lang w:eastAsia="pt-BR"/>
              </w:rPr>
              <w:t>aPDT</w:t>
            </w:r>
            <w:proofErr w:type="spellEnd"/>
            <w:r w:rsidRPr="00D205AB">
              <w:rPr>
                <w:rFonts w:ascii="Arial" w:hAnsi="Arial" w:cs="Arial"/>
                <w:sz w:val="22"/>
                <w:lang w:eastAsia="pt-BR"/>
              </w:rPr>
              <w:t xml:space="preserve"> side. However, in the gingival crevicular fluid, the treatment associated with photodynamic therapy was significantly superior. There was a significant improvement in the value of glycated hemoglobin at 90 days compared to the baseline. We can conclude that there was an improvement in the periodontal clinical condition, but there was no predominance among the proposed treatments, besides the reduction of gingival crevicular fluid with the use of photodynamic therapy associated with scaling and root </w:t>
            </w:r>
            <w:proofErr w:type="spellStart"/>
            <w:r w:rsidRPr="00D205AB">
              <w:rPr>
                <w:rFonts w:ascii="Arial" w:hAnsi="Arial" w:cs="Arial"/>
                <w:sz w:val="22"/>
                <w:lang w:eastAsia="pt-BR"/>
              </w:rPr>
              <w:t>planing</w:t>
            </w:r>
            <w:proofErr w:type="spellEnd"/>
            <w:r w:rsidRPr="00D205AB">
              <w:rPr>
                <w:rFonts w:ascii="Arial" w:hAnsi="Arial" w:cs="Arial"/>
                <w:sz w:val="22"/>
                <w:lang w:eastAsia="pt-BR"/>
              </w:rPr>
              <w:t xml:space="preserve"> in a short period.</w:t>
            </w:r>
          </w:p>
        </w:tc>
      </w:tr>
    </w:tbl>
    <w:p w14:paraId="19EC0A17" w14:textId="77777777" w:rsidR="00636EB2" w:rsidRDefault="00636EB2" w:rsidP="00441B6F">
      <w:pPr>
        <w:pStyle w:val="Body"/>
        <w:spacing w:after="0"/>
        <w:rPr>
          <w:rFonts w:ascii="Arial" w:hAnsi="Arial" w:cs="Arial"/>
          <w:i/>
        </w:rPr>
      </w:pPr>
    </w:p>
    <w:p w14:paraId="0F4BC48A" w14:textId="77777777" w:rsidR="00A24E7E" w:rsidRDefault="00D205AB" w:rsidP="00441B6F">
      <w:pPr>
        <w:pStyle w:val="Body"/>
        <w:spacing w:after="0"/>
        <w:rPr>
          <w:rFonts w:ascii="Arial" w:hAnsi="Arial" w:cs="Arial"/>
          <w:i/>
        </w:rPr>
      </w:pPr>
      <w:r>
        <w:rPr>
          <w:rFonts w:ascii="Arial" w:hAnsi="Arial" w:cs="Arial"/>
          <w:i/>
        </w:rPr>
        <w:t xml:space="preserve">Keywords: </w:t>
      </w:r>
      <w:r w:rsidRPr="00D205AB">
        <w:rPr>
          <w:rFonts w:ascii="Arial" w:hAnsi="Arial" w:cs="Arial"/>
          <w:i/>
          <w:lang w:eastAsia="pt-BR"/>
        </w:rPr>
        <w:t>periodontal disease; type 2 diabetes mellitus; root scaling; photodynamic therapy.</w:t>
      </w:r>
    </w:p>
    <w:p w14:paraId="68BF8DBD" w14:textId="77777777" w:rsidR="00505F06" w:rsidRPr="00A24E7E" w:rsidRDefault="00505F06" w:rsidP="00441B6F">
      <w:pPr>
        <w:pStyle w:val="Body"/>
        <w:spacing w:after="0"/>
        <w:rPr>
          <w:rFonts w:ascii="Arial" w:hAnsi="Arial" w:cs="Arial"/>
          <w:i/>
        </w:rPr>
      </w:pPr>
    </w:p>
    <w:p w14:paraId="17AD80ED" w14:textId="228392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637C1D6" w14:textId="77777777" w:rsidR="00790ADA" w:rsidRPr="00FB3A86" w:rsidRDefault="00790ADA" w:rsidP="00441B6F">
      <w:pPr>
        <w:pStyle w:val="AbstHead"/>
        <w:spacing w:after="0"/>
        <w:jc w:val="both"/>
        <w:rPr>
          <w:rFonts w:ascii="Arial" w:hAnsi="Arial" w:cs="Arial"/>
        </w:rPr>
      </w:pPr>
    </w:p>
    <w:p w14:paraId="5414225B" w14:textId="77777777" w:rsidR="00D205AB" w:rsidRPr="00D205AB" w:rsidRDefault="00D205AB" w:rsidP="00D205AB">
      <w:pPr>
        <w:spacing w:line="276" w:lineRule="auto"/>
        <w:ind w:firstLine="708"/>
        <w:jc w:val="both"/>
        <w:rPr>
          <w:rFonts w:ascii="Arial" w:hAnsi="Arial" w:cs="Arial"/>
          <w:shd w:val="clear" w:color="auto" w:fill="FFFFFF"/>
        </w:rPr>
      </w:pPr>
      <w:r w:rsidRPr="00D205AB">
        <w:rPr>
          <w:rFonts w:ascii="Arial" w:hAnsi="Arial" w:cs="Arial"/>
        </w:rPr>
        <w:t>The World Health Organization (WHO) estimates that periodontal diseases affect 35% of the world's population, and among adults the projection is that 50% are affected</w:t>
      </w:r>
      <w:r w:rsidRPr="00D205AB">
        <w:rPr>
          <w:rFonts w:ascii="Arial" w:hAnsi="Arial" w:cs="Arial"/>
          <w:color w:val="888888"/>
        </w:rPr>
        <w:t xml:space="preserve">. </w:t>
      </w:r>
      <w:r w:rsidRPr="00D205AB">
        <w:rPr>
          <w:rFonts w:ascii="Arial" w:hAnsi="Arial" w:cs="Arial"/>
        </w:rPr>
        <w:t xml:space="preserve">Periodontal disease is characterized as an infectious inflammatory disease that affects the gums, periodontal ligament, cementum and alveolar bone of the teeth due to the interaction between </w:t>
      </w:r>
      <w:proofErr w:type="spellStart"/>
      <w:r w:rsidRPr="00D205AB">
        <w:rPr>
          <w:rFonts w:ascii="Arial" w:hAnsi="Arial" w:cs="Arial"/>
        </w:rPr>
        <w:t>periodontopathogenic</w:t>
      </w:r>
      <w:proofErr w:type="spellEnd"/>
      <w:r w:rsidRPr="00D205AB">
        <w:rPr>
          <w:rFonts w:ascii="Arial" w:hAnsi="Arial" w:cs="Arial"/>
        </w:rPr>
        <w:t xml:space="preserve"> bacteria and the host's immune response (Lira-Junior </w:t>
      </w:r>
      <w:r w:rsidRPr="00D205AB">
        <w:rPr>
          <w:rFonts w:ascii="Arial" w:hAnsi="Arial" w:cs="Arial"/>
          <w:i/>
        </w:rPr>
        <w:t xml:space="preserve">et al., </w:t>
      </w:r>
      <w:r w:rsidRPr="00D205AB">
        <w:rPr>
          <w:rFonts w:ascii="Arial" w:hAnsi="Arial" w:cs="Arial"/>
        </w:rPr>
        <w:t>2016).</w:t>
      </w:r>
      <w:r w:rsidRPr="00D205AB">
        <w:rPr>
          <w:rFonts w:ascii="Arial" w:hAnsi="Arial" w:cs="Arial"/>
          <w:b/>
        </w:rPr>
        <w:t xml:space="preserve"> </w:t>
      </w:r>
      <w:r w:rsidRPr="00D205AB">
        <w:rPr>
          <w:rFonts w:ascii="Arial" w:hAnsi="Arial" w:cs="Arial"/>
        </w:rPr>
        <w:t xml:space="preserve">This comorbidity tends to be more severe in diabetic individuals (Chee </w:t>
      </w:r>
      <w:r w:rsidRPr="00D205AB">
        <w:rPr>
          <w:rFonts w:ascii="Arial" w:hAnsi="Arial" w:cs="Arial"/>
          <w:i/>
        </w:rPr>
        <w:t>et al</w:t>
      </w:r>
      <w:r>
        <w:rPr>
          <w:rFonts w:ascii="Arial" w:hAnsi="Arial" w:cs="Arial"/>
          <w:i/>
        </w:rPr>
        <w:t>.,</w:t>
      </w:r>
      <w:r w:rsidRPr="00D205AB">
        <w:rPr>
          <w:rFonts w:ascii="Arial" w:hAnsi="Arial" w:cs="Arial"/>
        </w:rPr>
        <w:t xml:space="preserve"> 2013). Type 2 diabetes mellitus (T2DM) is defined by the dysregulation of lipids, proteins, and carbohydrates resulting from the lack of insulin production by pancreatic cells or the body's inability to respond to insulin (insulin resistance) </w:t>
      </w:r>
      <w:r w:rsidRPr="00D205AB">
        <w:rPr>
          <w:rFonts w:ascii="Arial" w:hAnsi="Arial" w:cs="Arial"/>
        </w:rPr>
        <w:fldChar w:fldCharType="begin" w:fldLock="1"/>
      </w:r>
      <w:r w:rsidRPr="00D205AB">
        <w:rPr>
          <w:rFonts w:ascii="Arial" w:hAnsi="Arial" w:cs="Arial"/>
        </w:rPr>
        <w:instrText>ADDIN CSL_CITATION {"citationItems":[{"id":"ITEM-1","itemData":{"DOI":"10.1016/j.pdpdt.2021.102379","ISSN":"18731597","PMID":"34087466","abstract":"Background:: The aim of this randomized controlled clinical trial was to evaluate the efficacy of indocyanine-green mediated antimicrobial photodynamic therapy (ICG-aPDT) in the treatment of stage III grade C periodontitis in terms of clinical, microbiological, and immune-inflammatory parameters in patients with well-controlled and poorly-controlled form of type-2 diabetes mellitus (T2DM). Materials and methods:: Subjects with a diagnosis of chronic periodontitis according to the new classification and case definition of periodontitis [probing depth (PD): ≥6 mm, interdental clinical attachment loss (CAL): ≥5 mm and bone loss extending to mid-third of root and beyond (≥3 mm)] were recruited. Subjects were grouped on the basis of well-controlled and poorly-controlled diabetic status. Two subgroups were made according to the treatment modality (RSD versus ICG-aPDT/RSD) in each group. A split-mouth design was used in which one site was designated for control (RSD alone treatment) while the other contralateral site was chosen for test treatment (ICG-aPDT/RSD) in all the patients. Periodontal parameters included the measurement of plaque score (PS), bleeding on probing (BOP), probing depth (PD), clinical attachment level (CAL) and alveolar bone levels (ABL). Identification of Porphyromonas gingivalis and Tannarella forsythia through PCR was executed using species specific primers. Gingival crevicular fluid samples were then analyzed using enzyme-linked immunosorbent assay for the quantification of interleukin (IL)-17 and interferon (IFN)-γ. All the clinical, microbiological, and immunological parameters were assessed using repeated measure ANOVA for intra and inter-group comparisons. The p-value significance was set at 0.05. Results:: The mean age of the 50 patients was 44.7 ± 7.4 years. Systemic parameters suggest no significant change between the times in either HbA1c or serum CRP levels in any of the groups. A statistically significant reduction for BOP was noted for ICG-aPDT group for non-diabetic subjects at 3 months follow up only, while a significant reduction was seen at both 3 months and 6 months among well-controlled and poorly-controlled T2DM subjects (p&lt;0.05). For PD and CAL, a significant improvement was seen for ICG-aPDT group among non-diabetic and well-controlled T2DM subjects at both 3- and 6-months follow up, while a significant reduction was seen at only 3 months among poorly-controlled T2DM subjects. A significant reduction was seen for IC…","author":[{"dropping-particle":"","family":"Al-Momani","given":"Mohammed Mahmoud","non-dropping-particle":"","parse-names":false,"suffix":""}],"container-title":"Photodiagnosis and Photodynamic Therapy","id":"ITEM-1","issue":"June","issued":{"date-parts":[["2021"]]},"page":"102379","publisher":"Elsevier B.V.","title":"Indocyanine-mediated antimicrobial photodynamic therapy promotes superior clinical effects in stage III and grade C chronic periodontitis among controlled and uncontrolled diabetes mellitus: A randomized controlled clinical trial","type":"article-journal","volume":"35"},"uris":["http://www.mendeley.com/documents/?uuid=759fcecd-1fcb-4955-9e27-df2987911d77"]}],"mendeley":{"formattedCitation":"(AL-MOMANI, 2021)","plainTextFormattedCitation":"(AL-MOMANI, 2021)","previouslyFormattedCitation":"(AL-MOMANI, 2021)"},"properties":{"noteIndex":0},"schema":"https://github.com/citation-style-language/schema/raw/master/csl-citation.json"}</w:instrText>
      </w:r>
      <w:r w:rsidRPr="00D205AB">
        <w:rPr>
          <w:rFonts w:ascii="Arial" w:hAnsi="Arial" w:cs="Arial"/>
        </w:rPr>
        <w:fldChar w:fldCharType="separate"/>
      </w:r>
      <w:r w:rsidRPr="00D205AB">
        <w:rPr>
          <w:rFonts w:ascii="Arial" w:hAnsi="Arial" w:cs="Arial"/>
        </w:rPr>
        <w:t>(Al-Momani, 2021)</w:t>
      </w:r>
      <w:r w:rsidRPr="00D205AB">
        <w:rPr>
          <w:rFonts w:ascii="Arial" w:hAnsi="Arial" w:cs="Arial"/>
        </w:rPr>
        <w:fldChar w:fldCharType="end"/>
      </w:r>
      <w:r w:rsidRPr="00D205AB">
        <w:rPr>
          <w:rFonts w:ascii="Arial" w:hAnsi="Arial" w:cs="Arial"/>
        </w:rPr>
        <w:t xml:space="preserve">. </w:t>
      </w:r>
      <w:r w:rsidRPr="00D205AB">
        <w:rPr>
          <w:rFonts w:ascii="Arial" w:hAnsi="Arial" w:cs="Arial"/>
          <w:shd w:val="clear" w:color="auto" w:fill="FFFFFF"/>
        </w:rPr>
        <w:t>According to data from the International Diabetes Federation (IDF), it is estimated that the population of Brazilians with comorbidity is 15.8 million people.</w:t>
      </w:r>
    </w:p>
    <w:p w14:paraId="2376E164" w14:textId="77777777" w:rsidR="00D205AB" w:rsidRPr="00D205AB" w:rsidRDefault="00D205AB" w:rsidP="00D205AB">
      <w:pPr>
        <w:spacing w:line="276" w:lineRule="auto"/>
        <w:ind w:firstLine="708"/>
        <w:jc w:val="both"/>
        <w:rPr>
          <w:rFonts w:ascii="Arial" w:hAnsi="Arial" w:cs="Arial"/>
        </w:rPr>
      </w:pPr>
      <w:r w:rsidRPr="00D205AB">
        <w:rPr>
          <w:rFonts w:ascii="Arial" w:hAnsi="Arial" w:cs="Arial"/>
        </w:rPr>
        <w:t xml:space="preserve">Hyperglycemia associated with diabetes leads to changes in alveolar bone hemostasis and the formation of advanced glycation end-products (AGEs), which play a pro-inflammatory and pro-oxidative role in cells. AGE-RAGE complexes lead to increased production and release of cytokines and mediators that contribute to the exacerbation of other chronic inflammatory processes, such as periodontal disease. As an infectious process, it is biologically plausible that the presence of periodontitis influences the metabolic control of diabetics since high levels of C-reactive protein (CRP), IL-6, and TNF-α expressed during the periodontal destruction process can negatively interfere with glycemic control (SBD, 2018). Therefore, diabetes mellitus is classified as a factor that modifies the degree of periodontal disease in the new classification of periodontal diseases. Glycated hemoglobin (HbA1c) equal to 7 is classified as grade B and greater than 7 as grade C, associated with a moderate to rapid rate of periodontitis progression (Caton </w:t>
      </w:r>
      <w:r w:rsidRPr="00D205AB">
        <w:rPr>
          <w:rFonts w:ascii="Arial" w:hAnsi="Arial" w:cs="Arial"/>
          <w:i/>
        </w:rPr>
        <w:t>et al</w:t>
      </w:r>
      <w:r w:rsidRPr="00D205AB">
        <w:rPr>
          <w:rFonts w:ascii="Arial" w:hAnsi="Arial" w:cs="Arial"/>
        </w:rPr>
        <w:t>., 2017).</w:t>
      </w:r>
    </w:p>
    <w:p w14:paraId="22B1751F" w14:textId="77777777" w:rsidR="00D205AB" w:rsidRPr="00D205AB" w:rsidRDefault="00D205AB" w:rsidP="00D205AB">
      <w:pPr>
        <w:pStyle w:val="BodyText"/>
        <w:spacing w:line="276" w:lineRule="auto"/>
        <w:ind w:right="97" w:firstLine="708"/>
        <w:jc w:val="both"/>
        <w:rPr>
          <w:rFonts w:ascii="Arial" w:hAnsi="Arial" w:cs="Arial"/>
          <w:spacing w:val="41"/>
        </w:rPr>
      </w:pPr>
      <w:r w:rsidRPr="00D205AB">
        <w:rPr>
          <w:rFonts w:ascii="Arial" w:hAnsi="Arial" w:cs="Arial"/>
          <w:shd w:val="clear" w:color="auto" w:fill="FFFFFF"/>
        </w:rPr>
        <w:t xml:space="preserve">Without proper treatment, periodontal disease progresses to </w:t>
      </w:r>
      <w:r w:rsidRPr="00D205AB">
        <w:rPr>
          <w:rFonts w:ascii="Arial" w:hAnsi="Arial" w:cs="Arial"/>
        </w:rPr>
        <w:t>the destruction of tooth-supporting tissues through the synthesis and release of cytokines, pro-inflammatory med</w:t>
      </w:r>
      <w:r>
        <w:rPr>
          <w:rFonts w:ascii="Arial" w:hAnsi="Arial" w:cs="Arial"/>
        </w:rPr>
        <w:t xml:space="preserve">iators, and metalloproteinases, </w:t>
      </w:r>
      <w:r w:rsidRPr="00D205AB">
        <w:rPr>
          <w:rFonts w:ascii="Arial" w:hAnsi="Arial" w:cs="Arial"/>
        </w:rPr>
        <w:t xml:space="preserve">which can lead to the loss of teeth, generating functional and aesthetic impairment to the patient, in addition to acting as a risk factor in the development of systemic conditions (Lima </w:t>
      </w:r>
      <w:r w:rsidRPr="00D205AB">
        <w:rPr>
          <w:rFonts w:ascii="Arial" w:hAnsi="Arial" w:cs="Arial"/>
          <w:i/>
          <w:iCs/>
        </w:rPr>
        <w:t xml:space="preserve">et </w:t>
      </w:r>
      <w:proofErr w:type="gramStart"/>
      <w:r w:rsidRPr="00D205AB">
        <w:rPr>
          <w:rFonts w:ascii="Arial" w:hAnsi="Arial" w:cs="Arial"/>
          <w:i/>
          <w:iCs/>
        </w:rPr>
        <w:t xml:space="preserve">al </w:t>
      </w:r>
      <w:r w:rsidRPr="00D205AB">
        <w:rPr>
          <w:rFonts w:ascii="Arial" w:hAnsi="Arial" w:cs="Arial"/>
        </w:rPr>
        <w:t>.</w:t>
      </w:r>
      <w:proofErr w:type="gramEnd"/>
      <w:r w:rsidRPr="00D205AB">
        <w:rPr>
          <w:rFonts w:ascii="Arial" w:hAnsi="Arial" w:cs="Arial"/>
        </w:rPr>
        <w:t xml:space="preserve">, 2008; Dias </w:t>
      </w:r>
      <w:r w:rsidRPr="00D205AB">
        <w:rPr>
          <w:rFonts w:ascii="Arial" w:hAnsi="Arial" w:cs="Arial"/>
          <w:i/>
          <w:iCs/>
        </w:rPr>
        <w:t xml:space="preserve">et al </w:t>
      </w:r>
      <w:r w:rsidRPr="00D205AB">
        <w:rPr>
          <w:rFonts w:ascii="Arial" w:hAnsi="Arial" w:cs="Arial"/>
        </w:rPr>
        <w:t xml:space="preserve">., 2011; </w:t>
      </w:r>
      <w:proofErr w:type="spellStart"/>
      <w:r w:rsidRPr="00D205AB">
        <w:rPr>
          <w:rFonts w:ascii="Arial" w:hAnsi="Arial" w:cs="Arial"/>
        </w:rPr>
        <w:t>Torrungruand</w:t>
      </w:r>
      <w:proofErr w:type="spellEnd"/>
      <w:r w:rsidRPr="00D205AB">
        <w:rPr>
          <w:rFonts w:ascii="Arial" w:hAnsi="Arial" w:cs="Arial"/>
        </w:rPr>
        <w:t xml:space="preserve"> </w:t>
      </w:r>
      <w:r w:rsidRPr="00D205AB">
        <w:rPr>
          <w:rFonts w:ascii="Arial" w:hAnsi="Arial" w:cs="Arial"/>
          <w:i/>
          <w:iCs/>
        </w:rPr>
        <w:t xml:space="preserve">et al </w:t>
      </w:r>
      <w:r w:rsidRPr="00D205AB">
        <w:rPr>
          <w:rFonts w:ascii="Arial" w:hAnsi="Arial" w:cs="Arial"/>
        </w:rPr>
        <w:t xml:space="preserve">., 2015). The treatment of periodontitis aims to remove biofilm and calculus from the surface of the teeth and includes scaling and root </w:t>
      </w:r>
      <w:proofErr w:type="spellStart"/>
      <w:r w:rsidRPr="00D205AB">
        <w:rPr>
          <w:rFonts w:ascii="Arial" w:hAnsi="Arial" w:cs="Arial"/>
        </w:rPr>
        <w:t>planing</w:t>
      </w:r>
      <w:proofErr w:type="spellEnd"/>
      <w:r w:rsidRPr="00D205AB">
        <w:rPr>
          <w:rFonts w:ascii="Arial" w:hAnsi="Arial" w:cs="Arial"/>
        </w:rPr>
        <w:t xml:space="preserve"> (SRP) techniques, </w:t>
      </w:r>
      <w:r w:rsidRPr="00D205AB">
        <w:rPr>
          <w:rFonts w:ascii="Arial" w:eastAsia="TimesNewRomanPSMT" w:hAnsi="Arial" w:cs="Arial"/>
        </w:rPr>
        <w:t>and is recognized as the “gold standard” modality for periodontal treatment (Lindhe; Lang, 2010).</w:t>
      </w:r>
    </w:p>
    <w:p w14:paraId="0CE6FE28" w14:textId="77777777" w:rsidR="00D205AB" w:rsidRPr="00D205AB" w:rsidRDefault="00D205AB" w:rsidP="00D205AB">
      <w:pPr>
        <w:pStyle w:val="BodyText"/>
        <w:spacing w:line="276" w:lineRule="auto"/>
        <w:ind w:right="97" w:firstLine="708"/>
        <w:jc w:val="both"/>
        <w:rPr>
          <w:rFonts w:ascii="Arial" w:hAnsi="Arial" w:cs="Arial"/>
        </w:rPr>
      </w:pPr>
      <w:r w:rsidRPr="00D205AB">
        <w:rPr>
          <w:rFonts w:ascii="Arial" w:eastAsia="TimesNewRomanPSMT" w:hAnsi="Arial" w:cs="Arial"/>
        </w:rPr>
        <w:t xml:space="preserve">For cases that do not show satisfactory improvement with SRP alone, different treatments </w:t>
      </w:r>
      <w:r w:rsidRPr="00D205AB">
        <w:rPr>
          <w:rFonts w:ascii="Arial" w:hAnsi="Arial" w:cs="Arial"/>
        </w:rPr>
        <w:t xml:space="preserve">have </w:t>
      </w:r>
      <w:r w:rsidRPr="00D205AB">
        <w:rPr>
          <w:rFonts w:ascii="Arial" w:eastAsia="TimesNewRomanPSMT" w:hAnsi="Arial" w:cs="Arial"/>
        </w:rPr>
        <w:t>been proposed in the literature as adjuvant therapies, for example, antimicrobial Photodynamic Therapy (</w:t>
      </w:r>
      <w:proofErr w:type="spellStart"/>
      <w:r w:rsidRPr="00D205AB">
        <w:rPr>
          <w:rFonts w:ascii="Arial" w:eastAsia="TimesNewRomanPSMT" w:hAnsi="Arial" w:cs="Arial"/>
        </w:rPr>
        <w:t>aPDT</w:t>
      </w:r>
      <w:proofErr w:type="spellEnd"/>
      <w:r w:rsidRPr="00D205AB">
        <w:rPr>
          <w:rFonts w:ascii="Arial" w:eastAsia="TimesNewRomanPSMT" w:hAnsi="Arial" w:cs="Arial"/>
        </w:rPr>
        <w:t xml:space="preserve">). </w:t>
      </w:r>
      <w:r w:rsidRPr="00D205AB">
        <w:rPr>
          <w:rFonts w:ascii="Arial" w:hAnsi="Arial" w:cs="Arial"/>
        </w:rPr>
        <w:t xml:space="preserve">In addition to not inducing bacterial resistance, </w:t>
      </w:r>
      <w:proofErr w:type="spellStart"/>
      <w:r w:rsidRPr="00D205AB">
        <w:rPr>
          <w:rFonts w:ascii="Arial" w:hAnsi="Arial" w:cs="Arial"/>
        </w:rPr>
        <w:t>aPDT</w:t>
      </w:r>
      <w:proofErr w:type="spellEnd"/>
      <w:r w:rsidRPr="00D205AB">
        <w:rPr>
          <w:rFonts w:ascii="Arial" w:hAnsi="Arial" w:cs="Arial"/>
        </w:rPr>
        <w:t xml:space="preserve"> appears as a method of microbial reduction with minimal side effects and systemic effects (Martins, 2016). The principle of action of </w:t>
      </w:r>
      <w:proofErr w:type="spellStart"/>
      <w:r w:rsidRPr="00D205AB">
        <w:rPr>
          <w:rFonts w:ascii="Arial" w:hAnsi="Arial" w:cs="Arial"/>
        </w:rPr>
        <w:t>aPDT</w:t>
      </w:r>
      <w:proofErr w:type="spellEnd"/>
      <w:r w:rsidRPr="00D205AB">
        <w:rPr>
          <w:rFonts w:ascii="Arial" w:hAnsi="Arial" w:cs="Arial"/>
        </w:rPr>
        <w:t xml:space="preserve"> is essentially the association of a light source with a photosensitizing agent, causing cell necrosis and microbial death. The antimicrobial effect is achieved when the low-intensity light source promotes the emergence of substances that can cause damage and kill target cells by promoting the excitation of the photosensitizing substance (Ishikawa </w:t>
      </w:r>
      <w:r w:rsidRPr="00D205AB">
        <w:rPr>
          <w:rFonts w:ascii="Arial" w:hAnsi="Arial" w:cs="Arial"/>
          <w:i/>
        </w:rPr>
        <w:t xml:space="preserve">et al., </w:t>
      </w:r>
      <w:r w:rsidRPr="00D205AB">
        <w:rPr>
          <w:rFonts w:ascii="Arial" w:hAnsi="Arial" w:cs="Arial"/>
        </w:rPr>
        <w:t>2009).</w:t>
      </w:r>
    </w:p>
    <w:p w14:paraId="14B0FA7C" w14:textId="77777777" w:rsidR="00D205AB" w:rsidRPr="00D205AB" w:rsidRDefault="00D205AB" w:rsidP="00D205AB">
      <w:pPr>
        <w:pStyle w:val="BodyText"/>
        <w:spacing w:line="276" w:lineRule="auto"/>
        <w:ind w:right="97" w:firstLine="708"/>
        <w:jc w:val="both"/>
        <w:rPr>
          <w:rFonts w:ascii="Arial" w:hAnsi="Arial" w:cs="Arial"/>
        </w:rPr>
      </w:pPr>
      <w:r w:rsidRPr="00D205AB">
        <w:rPr>
          <w:rFonts w:ascii="Arial" w:hAnsi="Arial" w:cs="Arial"/>
        </w:rPr>
        <w:t xml:space="preserve">The studies available to date demonstrate that periodontal therapy significantly contributes to glycemic control in patients with T2DM, especially in patients with higher baseline glycated hemoglobin (HbA1c) levels (Mirza </w:t>
      </w:r>
      <w:r w:rsidRPr="00D205AB">
        <w:rPr>
          <w:rFonts w:ascii="Arial" w:hAnsi="Arial" w:cs="Arial"/>
          <w:i/>
        </w:rPr>
        <w:t xml:space="preserve">et al., </w:t>
      </w:r>
      <w:r w:rsidRPr="00D205AB">
        <w:rPr>
          <w:rFonts w:ascii="Arial" w:hAnsi="Arial" w:cs="Arial"/>
        </w:rPr>
        <w:t xml:space="preserve">2019; Chen </w:t>
      </w:r>
      <w:r w:rsidRPr="00D205AB">
        <w:rPr>
          <w:rFonts w:ascii="Arial" w:hAnsi="Arial" w:cs="Arial"/>
          <w:i/>
        </w:rPr>
        <w:t xml:space="preserve">et al., </w:t>
      </w:r>
      <w:r w:rsidRPr="00D205AB">
        <w:rPr>
          <w:rFonts w:ascii="Arial" w:hAnsi="Arial" w:cs="Arial"/>
        </w:rPr>
        <w:t>2021</w:t>
      </w:r>
      <w:r w:rsidR="004751FB">
        <w:rPr>
          <w:rFonts w:ascii="Arial" w:hAnsi="Arial" w:cs="Arial"/>
        </w:rPr>
        <w:t xml:space="preserve">; Simpson </w:t>
      </w:r>
      <w:r w:rsidR="004751FB" w:rsidRPr="004751FB">
        <w:rPr>
          <w:rFonts w:ascii="Arial" w:hAnsi="Arial" w:cs="Arial"/>
          <w:i/>
        </w:rPr>
        <w:t>et al</w:t>
      </w:r>
      <w:r w:rsidR="004751FB">
        <w:rPr>
          <w:rFonts w:ascii="Arial" w:hAnsi="Arial" w:cs="Arial"/>
        </w:rPr>
        <w:t>., 2022</w:t>
      </w:r>
      <w:r w:rsidRPr="00D205AB">
        <w:rPr>
          <w:rFonts w:ascii="Arial" w:hAnsi="Arial" w:cs="Arial"/>
        </w:rPr>
        <w:t>). However, clinical trials comparing the two types of periodontal therapies proposed in this study are controversial. Thus, the hypothesis of this study is to define whether there is superiority between the periodontal techniques used regarding the periodontal parameters and to verify whether there is an improvement in the patient's glycemic control in the short term, assisting in the choice of periodontal treatment for the diabetic patient.</w:t>
      </w:r>
    </w:p>
    <w:p w14:paraId="64861221" w14:textId="77777777" w:rsidR="00790ADA" w:rsidRPr="00FB3A86" w:rsidRDefault="00790ADA" w:rsidP="00441B6F">
      <w:pPr>
        <w:pStyle w:val="Body"/>
        <w:spacing w:after="0"/>
        <w:rPr>
          <w:rFonts w:ascii="Arial" w:hAnsi="Arial" w:cs="Arial"/>
        </w:rPr>
      </w:pPr>
    </w:p>
    <w:p w14:paraId="067266D7" w14:textId="6B023CA5"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DDFFA54" w14:textId="77777777" w:rsidR="00790ADA" w:rsidRPr="00FB3A86" w:rsidRDefault="00790ADA" w:rsidP="00441B6F">
      <w:pPr>
        <w:pStyle w:val="AbstHead"/>
        <w:spacing w:after="0"/>
        <w:jc w:val="both"/>
        <w:rPr>
          <w:rFonts w:ascii="Arial" w:hAnsi="Arial" w:cs="Arial"/>
        </w:rPr>
      </w:pPr>
    </w:p>
    <w:p w14:paraId="44935982" w14:textId="77777777" w:rsidR="00D205AB" w:rsidRPr="00D205AB" w:rsidRDefault="00D205AB" w:rsidP="00D205AB">
      <w:pPr>
        <w:pStyle w:val="Standard"/>
        <w:spacing w:line="276" w:lineRule="auto"/>
        <w:ind w:firstLine="708"/>
        <w:jc w:val="both"/>
        <w:rPr>
          <w:rFonts w:ascii="Arial" w:hAnsi="Arial"/>
          <w:sz w:val="20"/>
          <w:szCs w:val="20"/>
        </w:rPr>
      </w:pPr>
      <w:r w:rsidRPr="00D205AB">
        <w:rPr>
          <w:rFonts w:ascii="Arial" w:hAnsi="Arial"/>
          <w:sz w:val="20"/>
          <w:szCs w:val="20"/>
        </w:rPr>
        <w:t xml:space="preserve">This was a randomized, split-mouth, double-blind clinical trial in type 2 diabetic patients with periodontal disease. This study was authorized by the Human Research Ethics Committee of the Western Paraná State University (UNIOESTE), under opinion </w:t>
      </w:r>
      <w:r w:rsidRPr="00D205AB">
        <w:rPr>
          <w:rFonts w:ascii="Arial" w:eastAsia="SimSun" w:hAnsi="Arial"/>
          <w:sz w:val="20"/>
          <w:szCs w:val="20"/>
        </w:rPr>
        <w:t>49535421.6.0000.0107</w:t>
      </w:r>
      <w:r w:rsidRPr="00D205AB">
        <w:rPr>
          <w:rFonts w:ascii="Arial" w:hAnsi="Arial"/>
          <w:sz w:val="20"/>
          <w:szCs w:val="20"/>
        </w:rPr>
        <w:t>. It is registered in the Brazilian Clinical Trials Registry (</w:t>
      </w:r>
      <w:proofErr w:type="spellStart"/>
      <w:r w:rsidRPr="00D205AB">
        <w:rPr>
          <w:rFonts w:ascii="Arial" w:hAnsi="Arial"/>
          <w:sz w:val="20"/>
          <w:szCs w:val="20"/>
        </w:rPr>
        <w:t>ReBEC</w:t>
      </w:r>
      <w:proofErr w:type="spellEnd"/>
      <w:r w:rsidRPr="00D205AB">
        <w:rPr>
          <w:rFonts w:ascii="Arial" w:hAnsi="Arial"/>
          <w:sz w:val="20"/>
          <w:szCs w:val="20"/>
        </w:rPr>
        <w:t xml:space="preserve">) platform under identifier </w:t>
      </w:r>
      <w:r w:rsidRPr="00D205AB">
        <w:rPr>
          <w:rFonts w:ascii="Arial" w:hAnsi="Arial"/>
          <w:sz w:val="20"/>
          <w:szCs w:val="20"/>
          <w:shd w:val="clear" w:color="auto" w:fill="FFFFFF"/>
        </w:rPr>
        <w:t>RBR-7xnnb4</w:t>
      </w:r>
      <w:proofErr w:type="gramStart"/>
      <w:r w:rsidRPr="00D205AB">
        <w:rPr>
          <w:rFonts w:ascii="Arial" w:hAnsi="Arial"/>
          <w:sz w:val="20"/>
          <w:szCs w:val="20"/>
          <w:shd w:val="clear" w:color="auto" w:fill="FFFFFF"/>
        </w:rPr>
        <w:t xml:space="preserve">z </w:t>
      </w:r>
      <w:r w:rsidRPr="00D205AB">
        <w:rPr>
          <w:rFonts w:ascii="Arial" w:hAnsi="Arial"/>
          <w:sz w:val="20"/>
          <w:szCs w:val="20"/>
        </w:rPr>
        <w:t>.</w:t>
      </w:r>
      <w:proofErr w:type="gramEnd"/>
      <w:r w:rsidRPr="00D205AB">
        <w:rPr>
          <w:rFonts w:ascii="Arial" w:hAnsi="Arial"/>
          <w:sz w:val="20"/>
          <w:szCs w:val="20"/>
        </w:rPr>
        <w:t xml:space="preserve"> All participants were informed about the potential benefits and risks of participating in the study and signed the Informed Consent Form (ICF). The research was carried out at a Family Health Unit in the city of </w:t>
      </w:r>
      <w:proofErr w:type="spellStart"/>
      <w:r w:rsidRPr="00D205AB">
        <w:rPr>
          <w:rFonts w:ascii="Arial" w:hAnsi="Arial"/>
          <w:sz w:val="20"/>
          <w:szCs w:val="20"/>
        </w:rPr>
        <w:t>Cascavel</w:t>
      </w:r>
      <w:proofErr w:type="spellEnd"/>
      <w:r w:rsidRPr="00D205AB">
        <w:rPr>
          <w:rFonts w:ascii="Arial" w:hAnsi="Arial"/>
          <w:sz w:val="20"/>
          <w:szCs w:val="20"/>
        </w:rPr>
        <w:t xml:space="preserve"> and also at the Dental Clinic of UNIOESTE, in the same city. Patients were screened using the following criteria:</w:t>
      </w:r>
    </w:p>
    <w:p w14:paraId="63DDA6C4" w14:textId="77777777" w:rsidR="00D205AB" w:rsidRPr="00D205AB" w:rsidRDefault="00D205AB" w:rsidP="00D205AB">
      <w:pPr>
        <w:pStyle w:val="Standard"/>
        <w:spacing w:line="276" w:lineRule="auto"/>
        <w:jc w:val="both"/>
        <w:rPr>
          <w:rFonts w:ascii="Arial" w:hAnsi="Arial"/>
          <w:b/>
          <w:sz w:val="20"/>
          <w:szCs w:val="20"/>
        </w:rPr>
      </w:pPr>
      <w:r w:rsidRPr="00D205AB">
        <w:rPr>
          <w:rFonts w:ascii="Arial" w:hAnsi="Arial"/>
          <w:b/>
          <w:sz w:val="20"/>
          <w:szCs w:val="20"/>
        </w:rPr>
        <w:t>Inclusion criteria:</w:t>
      </w:r>
    </w:p>
    <w:p w14:paraId="4953A58A" w14:textId="77777777"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t>a) Diagnosis of Type 2 Diabetes Mellitus with last glycated hemoglobin (Hba1c) test &gt; 7%;</w:t>
      </w:r>
    </w:p>
    <w:p w14:paraId="29026E09" w14:textId="77777777"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t>b) Age between 25 and 65 years;</w:t>
      </w:r>
    </w:p>
    <w:p w14:paraId="5D440D02" w14:textId="77777777"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lastRenderedPageBreak/>
        <w:t>c) Presence of at least four teeth in the oral cavity, with at least one element per hemiarch (excluding third molars);</w:t>
      </w:r>
    </w:p>
    <w:p w14:paraId="16B3F958" w14:textId="77777777"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t>d) Diagnosis of periodontitis Stage III or IV Grade C (bilateral periodontal pockets with CAL greater than or equal to 5 mm).</w:t>
      </w:r>
    </w:p>
    <w:p w14:paraId="117162DD" w14:textId="77777777" w:rsidR="00D205AB" w:rsidRPr="00D205AB" w:rsidRDefault="00D205AB" w:rsidP="00D205AB">
      <w:pPr>
        <w:pStyle w:val="Standard"/>
        <w:spacing w:line="276" w:lineRule="auto"/>
        <w:jc w:val="both"/>
        <w:rPr>
          <w:rFonts w:ascii="Arial" w:hAnsi="Arial"/>
          <w:b/>
          <w:sz w:val="20"/>
          <w:szCs w:val="20"/>
        </w:rPr>
      </w:pPr>
    </w:p>
    <w:p w14:paraId="45EA6D1C" w14:textId="77777777" w:rsidR="00D205AB" w:rsidRPr="00D205AB" w:rsidRDefault="00D205AB" w:rsidP="00D205AB">
      <w:pPr>
        <w:pStyle w:val="Standard"/>
        <w:spacing w:line="276" w:lineRule="auto"/>
        <w:jc w:val="both"/>
        <w:rPr>
          <w:rFonts w:ascii="Arial" w:hAnsi="Arial"/>
          <w:b/>
          <w:sz w:val="20"/>
          <w:szCs w:val="20"/>
        </w:rPr>
      </w:pPr>
      <w:r w:rsidRPr="00D205AB">
        <w:rPr>
          <w:rFonts w:ascii="Arial" w:hAnsi="Arial"/>
          <w:b/>
          <w:sz w:val="20"/>
          <w:szCs w:val="20"/>
        </w:rPr>
        <w:t>Exclusion criteria:</w:t>
      </w:r>
    </w:p>
    <w:p w14:paraId="4D68A72F" w14:textId="77777777"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t>a) Diagnosis of type 1 Diabetes Mellitus;</w:t>
      </w:r>
    </w:p>
    <w:p w14:paraId="42E29203" w14:textId="77777777"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t>b) Totally edentulous;</w:t>
      </w:r>
    </w:p>
    <w:p w14:paraId="09085210" w14:textId="77777777"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t>c) Pregnant and lactating women;</w:t>
      </w:r>
    </w:p>
    <w:p w14:paraId="1F40E28B" w14:textId="77777777"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t>d) Regular use (for 14 days or more) of antibiotics, anti-inflammatories and immunosuppressants in the last 90 days;</w:t>
      </w:r>
    </w:p>
    <w:p w14:paraId="173FA0DA" w14:textId="77777777"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t>e) Periodontal treatment in the last 180 days;</w:t>
      </w:r>
    </w:p>
    <w:p w14:paraId="7F0A8111" w14:textId="77777777"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t>f) Using orthodontic appliances;</w:t>
      </w:r>
    </w:p>
    <w:p w14:paraId="51065A04" w14:textId="77777777"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t>g) Smokers;</w:t>
      </w:r>
    </w:p>
    <w:p w14:paraId="7BB83A92" w14:textId="77777777" w:rsidR="00D205AB" w:rsidRPr="00D205AB" w:rsidRDefault="00D205AB" w:rsidP="00D205AB">
      <w:pPr>
        <w:pStyle w:val="Standard"/>
        <w:spacing w:line="276" w:lineRule="auto"/>
        <w:jc w:val="both"/>
        <w:rPr>
          <w:rFonts w:ascii="Arial" w:hAnsi="Arial"/>
          <w:sz w:val="20"/>
          <w:szCs w:val="20"/>
        </w:rPr>
      </w:pPr>
      <w:r w:rsidRPr="00D205AB">
        <w:rPr>
          <w:rFonts w:ascii="Arial" w:hAnsi="Arial"/>
          <w:sz w:val="20"/>
          <w:szCs w:val="20"/>
        </w:rPr>
        <w:t>h) Undergoing treatment for neoplasms.</w:t>
      </w:r>
    </w:p>
    <w:p w14:paraId="65ABDB30" w14:textId="77777777" w:rsidR="00D205AB" w:rsidRPr="00D205AB" w:rsidRDefault="00D205AB" w:rsidP="00D205AB">
      <w:pPr>
        <w:pStyle w:val="Standard"/>
        <w:spacing w:line="276" w:lineRule="auto"/>
        <w:jc w:val="both"/>
        <w:rPr>
          <w:rFonts w:ascii="Arial" w:hAnsi="Arial"/>
          <w:sz w:val="20"/>
          <w:szCs w:val="20"/>
        </w:rPr>
      </w:pPr>
    </w:p>
    <w:p w14:paraId="0D04ACDD" w14:textId="77777777" w:rsidR="00D205AB" w:rsidRPr="00D205AB" w:rsidRDefault="00D205AB" w:rsidP="00D205AB">
      <w:pPr>
        <w:spacing w:line="276" w:lineRule="auto"/>
        <w:ind w:firstLine="708"/>
        <w:jc w:val="both"/>
        <w:rPr>
          <w:rFonts w:ascii="Arial" w:hAnsi="Arial" w:cs="Arial"/>
          <w:b/>
          <w:bCs/>
        </w:rPr>
      </w:pPr>
      <w:r w:rsidRPr="00D205AB">
        <w:rPr>
          <w:rFonts w:ascii="Arial" w:hAnsi="Arial" w:cs="Arial"/>
        </w:rPr>
        <w:t xml:space="preserve">For sample calculation, the </w:t>
      </w:r>
      <w:proofErr w:type="spellStart"/>
      <w:r w:rsidRPr="00D205AB">
        <w:rPr>
          <w:rFonts w:ascii="Arial" w:hAnsi="Arial" w:cs="Arial"/>
        </w:rPr>
        <w:t>Bioestat</w:t>
      </w:r>
      <w:proofErr w:type="spellEnd"/>
      <w:r w:rsidRPr="00D205AB">
        <w:rPr>
          <w:rFonts w:ascii="Arial" w:hAnsi="Arial" w:cs="Arial"/>
        </w:rPr>
        <w:t xml:space="preserve"> 5.3 program (University of Bauru) was used to detect a clinically significant difference (of at least 0.5) in probing depth (ordinal categorical variable) between the groups, with an alpha error of 5%, test power of 80% and sigma of 5%, based on previously published data </w:t>
      </w:r>
      <w:r w:rsidRPr="00D205AB">
        <w:rPr>
          <w:rFonts w:ascii="Arial" w:hAnsi="Arial" w:cs="Arial"/>
          <w:bCs/>
        </w:rPr>
        <w:t xml:space="preserve">(Mirza </w:t>
      </w:r>
      <w:r w:rsidRPr="00D205AB">
        <w:rPr>
          <w:rFonts w:ascii="Arial" w:hAnsi="Arial" w:cs="Arial"/>
          <w:bCs/>
          <w:i/>
        </w:rPr>
        <w:t>et al</w:t>
      </w:r>
      <w:r w:rsidRPr="00D205AB">
        <w:rPr>
          <w:rFonts w:ascii="Arial" w:hAnsi="Arial" w:cs="Arial"/>
          <w:bCs/>
        </w:rPr>
        <w:t xml:space="preserve">., 2019; </w:t>
      </w:r>
      <w:proofErr w:type="spellStart"/>
      <w:r w:rsidRPr="00D205AB">
        <w:rPr>
          <w:rFonts w:ascii="Arial" w:hAnsi="Arial" w:cs="Arial"/>
          <w:bCs/>
        </w:rPr>
        <w:t>Zampiva</w:t>
      </w:r>
      <w:proofErr w:type="spellEnd"/>
      <w:r w:rsidRPr="00D205AB">
        <w:rPr>
          <w:rFonts w:ascii="Arial" w:hAnsi="Arial" w:cs="Arial"/>
          <w:bCs/>
        </w:rPr>
        <w:t xml:space="preserve"> </w:t>
      </w:r>
      <w:r w:rsidRPr="00D205AB">
        <w:rPr>
          <w:rFonts w:ascii="Arial" w:hAnsi="Arial" w:cs="Arial"/>
          <w:bCs/>
          <w:i/>
          <w:iCs/>
        </w:rPr>
        <w:t>et al</w:t>
      </w:r>
      <w:r w:rsidRPr="00D205AB">
        <w:rPr>
          <w:rFonts w:ascii="Arial" w:hAnsi="Arial" w:cs="Arial"/>
          <w:bCs/>
        </w:rPr>
        <w:t xml:space="preserve">., 2019). </w:t>
      </w:r>
      <w:r w:rsidRPr="00D205AB">
        <w:rPr>
          <w:rFonts w:ascii="Arial" w:hAnsi="Arial" w:cs="Arial"/>
        </w:rPr>
        <w:t xml:space="preserve"> N of 20 patients was obtained, already considering possible losses during the study.</w:t>
      </w:r>
    </w:p>
    <w:p w14:paraId="07684765" w14:textId="77777777" w:rsidR="00D205AB" w:rsidRPr="00D205AB" w:rsidRDefault="00D205AB" w:rsidP="00D205AB">
      <w:pPr>
        <w:pStyle w:val="Standard"/>
        <w:spacing w:line="276" w:lineRule="auto"/>
        <w:ind w:firstLine="708"/>
        <w:jc w:val="both"/>
        <w:rPr>
          <w:rFonts w:ascii="Arial" w:hAnsi="Arial"/>
          <w:sz w:val="20"/>
          <w:szCs w:val="20"/>
        </w:rPr>
      </w:pPr>
      <w:r w:rsidRPr="00D205AB">
        <w:rPr>
          <w:rFonts w:ascii="Arial" w:hAnsi="Arial"/>
          <w:sz w:val="20"/>
          <w:szCs w:val="20"/>
        </w:rPr>
        <w:t xml:space="preserve">Twenty patients were selected according to the inclusion criteria. The study was a split-mouth study with contralateral teeth, with periodontal pockets of at least 5 mm. Each side received one of the following treatments: SRP or SRP associated with multiple applications of </w:t>
      </w:r>
      <w:proofErr w:type="spellStart"/>
      <w:r w:rsidRPr="00D205AB">
        <w:rPr>
          <w:rFonts w:ascii="Arial" w:hAnsi="Arial"/>
          <w:sz w:val="20"/>
          <w:szCs w:val="20"/>
        </w:rPr>
        <w:t>aPDT</w:t>
      </w:r>
      <w:proofErr w:type="spellEnd"/>
      <w:r w:rsidRPr="00D205AB">
        <w:rPr>
          <w:rFonts w:ascii="Arial" w:hAnsi="Arial"/>
          <w:sz w:val="20"/>
          <w:szCs w:val="20"/>
        </w:rPr>
        <w:t>, according to sealed envelopes with randomization of the sides.</w:t>
      </w:r>
    </w:p>
    <w:p w14:paraId="4687AE81" w14:textId="77777777" w:rsidR="00D205AB" w:rsidRPr="00D205AB" w:rsidRDefault="00D205AB" w:rsidP="00D205AB">
      <w:pPr>
        <w:pStyle w:val="Standard"/>
        <w:spacing w:line="276" w:lineRule="auto"/>
        <w:ind w:firstLine="708"/>
        <w:jc w:val="both"/>
        <w:rPr>
          <w:rFonts w:ascii="Arial" w:hAnsi="Arial"/>
          <w:color w:val="000000"/>
          <w:sz w:val="20"/>
          <w:szCs w:val="20"/>
        </w:rPr>
      </w:pPr>
      <w:r w:rsidRPr="00D205AB">
        <w:rPr>
          <w:rFonts w:ascii="Arial" w:hAnsi="Arial"/>
          <w:color w:val="000000"/>
          <w:sz w:val="20"/>
          <w:szCs w:val="20"/>
        </w:rPr>
        <w:t>Patients were instructed at the beginning of their participation that the study would be divided into 5 visits, described below:</w:t>
      </w:r>
    </w:p>
    <w:p w14:paraId="5E3E6945" w14:textId="77777777" w:rsidR="00D205AB" w:rsidRPr="00D205AB" w:rsidRDefault="00D205AB" w:rsidP="00D205AB">
      <w:pPr>
        <w:pStyle w:val="Standard"/>
        <w:numPr>
          <w:ilvl w:val="0"/>
          <w:numId w:val="31"/>
        </w:numPr>
        <w:spacing w:line="276" w:lineRule="auto"/>
        <w:jc w:val="both"/>
        <w:rPr>
          <w:rFonts w:ascii="Arial" w:hAnsi="Arial"/>
          <w:color w:val="000000"/>
          <w:sz w:val="20"/>
          <w:szCs w:val="20"/>
        </w:rPr>
      </w:pPr>
      <w:r w:rsidRPr="00D205AB">
        <w:rPr>
          <w:rFonts w:ascii="Arial" w:hAnsi="Arial"/>
          <w:color w:val="000000"/>
          <w:sz w:val="20"/>
          <w:szCs w:val="20"/>
        </w:rPr>
        <w:t>Initial consultation: Anamnesis, clinical examination, request for laboratory tests, prescription of antibiotic prophylaxis and oral hygiene instructions.</w:t>
      </w:r>
    </w:p>
    <w:p w14:paraId="1B59772D" w14:textId="77777777" w:rsidR="00D205AB" w:rsidRPr="00D205AB" w:rsidRDefault="00D205AB" w:rsidP="00D205AB">
      <w:pPr>
        <w:pStyle w:val="Standard"/>
        <w:numPr>
          <w:ilvl w:val="0"/>
          <w:numId w:val="31"/>
        </w:numPr>
        <w:spacing w:line="276" w:lineRule="auto"/>
        <w:jc w:val="both"/>
        <w:rPr>
          <w:rFonts w:ascii="Arial" w:hAnsi="Arial"/>
          <w:color w:val="000000"/>
          <w:sz w:val="20"/>
          <w:szCs w:val="20"/>
        </w:rPr>
      </w:pPr>
      <w:r w:rsidRPr="00D205AB">
        <w:rPr>
          <w:rFonts w:ascii="Arial" w:hAnsi="Arial"/>
          <w:color w:val="000000"/>
          <w:sz w:val="20"/>
          <w:szCs w:val="20"/>
        </w:rPr>
        <w:t xml:space="preserve">Periodontal therapy: </w:t>
      </w:r>
      <w:proofErr w:type="spellStart"/>
      <w:r w:rsidRPr="00D205AB">
        <w:rPr>
          <w:rFonts w:ascii="Arial" w:hAnsi="Arial"/>
          <w:color w:val="000000"/>
          <w:sz w:val="20"/>
          <w:szCs w:val="20"/>
        </w:rPr>
        <w:t>Periogram</w:t>
      </w:r>
      <w:proofErr w:type="spellEnd"/>
      <w:r w:rsidRPr="00D205AB">
        <w:rPr>
          <w:rFonts w:ascii="Arial" w:hAnsi="Arial"/>
          <w:color w:val="000000"/>
          <w:sz w:val="20"/>
          <w:szCs w:val="20"/>
        </w:rPr>
        <w:t xml:space="preserve">, collection of gingival crevicular fluid for quantification, scaling and root </w:t>
      </w:r>
      <w:proofErr w:type="spellStart"/>
      <w:r w:rsidRPr="00D205AB">
        <w:rPr>
          <w:rFonts w:ascii="Arial" w:hAnsi="Arial"/>
          <w:color w:val="000000"/>
          <w:sz w:val="20"/>
          <w:szCs w:val="20"/>
        </w:rPr>
        <w:t>planing</w:t>
      </w:r>
      <w:proofErr w:type="spellEnd"/>
      <w:r w:rsidRPr="00D205AB">
        <w:rPr>
          <w:rFonts w:ascii="Arial" w:hAnsi="Arial"/>
          <w:color w:val="000000"/>
          <w:sz w:val="20"/>
          <w:szCs w:val="20"/>
        </w:rPr>
        <w:t xml:space="preserve"> and application of photodynamic therapy session 1 (0 days).</w:t>
      </w:r>
    </w:p>
    <w:p w14:paraId="523DBD88" w14:textId="77777777" w:rsidR="00D205AB" w:rsidRPr="00D205AB" w:rsidRDefault="00D205AB" w:rsidP="00D205AB">
      <w:pPr>
        <w:pStyle w:val="Standard"/>
        <w:numPr>
          <w:ilvl w:val="0"/>
          <w:numId w:val="31"/>
        </w:numPr>
        <w:spacing w:line="276" w:lineRule="auto"/>
        <w:jc w:val="both"/>
        <w:rPr>
          <w:rFonts w:ascii="Arial" w:hAnsi="Arial"/>
          <w:sz w:val="20"/>
          <w:szCs w:val="20"/>
        </w:rPr>
      </w:pPr>
      <w:r w:rsidRPr="00D205AB">
        <w:rPr>
          <w:rFonts w:ascii="Arial" w:hAnsi="Arial"/>
          <w:sz w:val="20"/>
          <w:szCs w:val="20"/>
        </w:rPr>
        <w:t xml:space="preserve">Second application of </w:t>
      </w:r>
      <w:proofErr w:type="spellStart"/>
      <w:r w:rsidRPr="00D205AB">
        <w:rPr>
          <w:rFonts w:ascii="Arial" w:hAnsi="Arial"/>
          <w:sz w:val="20"/>
          <w:szCs w:val="20"/>
        </w:rPr>
        <w:t>aPDT</w:t>
      </w:r>
      <w:proofErr w:type="spellEnd"/>
      <w:r w:rsidRPr="00D205AB">
        <w:rPr>
          <w:rFonts w:ascii="Arial" w:hAnsi="Arial"/>
          <w:sz w:val="20"/>
          <w:szCs w:val="20"/>
        </w:rPr>
        <w:t xml:space="preserve"> after 7 days.</w:t>
      </w:r>
    </w:p>
    <w:p w14:paraId="259CEF7D" w14:textId="77777777" w:rsidR="00D205AB" w:rsidRPr="00D205AB" w:rsidRDefault="00D205AB" w:rsidP="00D205AB">
      <w:pPr>
        <w:pStyle w:val="Standard"/>
        <w:numPr>
          <w:ilvl w:val="0"/>
          <w:numId w:val="31"/>
        </w:numPr>
        <w:spacing w:line="276" w:lineRule="auto"/>
        <w:jc w:val="both"/>
        <w:rPr>
          <w:rFonts w:ascii="Arial" w:hAnsi="Arial"/>
          <w:sz w:val="20"/>
          <w:szCs w:val="20"/>
        </w:rPr>
      </w:pPr>
      <w:r w:rsidRPr="00D205AB">
        <w:rPr>
          <w:rFonts w:ascii="Arial" w:hAnsi="Arial"/>
          <w:sz w:val="20"/>
          <w:szCs w:val="20"/>
        </w:rPr>
        <w:t xml:space="preserve">Third application of </w:t>
      </w:r>
      <w:proofErr w:type="spellStart"/>
      <w:r w:rsidRPr="00D205AB">
        <w:rPr>
          <w:rFonts w:ascii="Arial" w:hAnsi="Arial"/>
          <w:sz w:val="20"/>
          <w:szCs w:val="20"/>
        </w:rPr>
        <w:t>aPDT</w:t>
      </w:r>
      <w:proofErr w:type="spellEnd"/>
      <w:r w:rsidRPr="00D205AB">
        <w:rPr>
          <w:rFonts w:ascii="Arial" w:hAnsi="Arial"/>
          <w:sz w:val="20"/>
          <w:szCs w:val="20"/>
        </w:rPr>
        <w:t xml:space="preserve"> after 14 days. Antibiotic prophylaxis was prescribed for the next appointment.</w:t>
      </w:r>
    </w:p>
    <w:p w14:paraId="109C432A" w14:textId="77777777" w:rsidR="00D205AB" w:rsidRPr="00D205AB" w:rsidRDefault="00D205AB" w:rsidP="00D205AB">
      <w:pPr>
        <w:pStyle w:val="Standard"/>
        <w:numPr>
          <w:ilvl w:val="0"/>
          <w:numId w:val="31"/>
        </w:numPr>
        <w:spacing w:line="276" w:lineRule="auto"/>
        <w:jc w:val="both"/>
        <w:rPr>
          <w:rFonts w:ascii="Arial" w:hAnsi="Arial"/>
          <w:color w:val="000000"/>
          <w:sz w:val="20"/>
          <w:szCs w:val="20"/>
        </w:rPr>
      </w:pPr>
      <w:r w:rsidRPr="00D205AB">
        <w:rPr>
          <w:rFonts w:ascii="Arial" w:hAnsi="Arial"/>
          <w:color w:val="000000"/>
          <w:sz w:val="20"/>
          <w:szCs w:val="20"/>
        </w:rPr>
        <w:t>90-day reassessment: Periodontal examination, prophylaxis, collection of gingival crevicular fluid, request for laboratory tests and reinforcement of oral hygiene instructions.</w:t>
      </w:r>
    </w:p>
    <w:p w14:paraId="55C950F0" w14:textId="77777777" w:rsidR="00D205AB" w:rsidRPr="00D205AB" w:rsidRDefault="00D205AB" w:rsidP="00D205AB">
      <w:pPr>
        <w:pStyle w:val="Standard"/>
        <w:spacing w:line="276" w:lineRule="auto"/>
        <w:jc w:val="both"/>
        <w:rPr>
          <w:rFonts w:ascii="Arial" w:hAnsi="Arial"/>
          <w:color w:val="000000"/>
          <w:sz w:val="20"/>
          <w:szCs w:val="20"/>
        </w:rPr>
      </w:pPr>
    </w:p>
    <w:p w14:paraId="2732E73F" w14:textId="77777777" w:rsidR="00D205AB" w:rsidRPr="00D205AB" w:rsidRDefault="00D205AB" w:rsidP="00D205AB">
      <w:pPr>
        <w:pStyle w:val="Standard"/>
        <w:spacing w:line="276" w:lineRule="auto"/>
        <w:ind w:firstLine="360"/>
        <w:jc w:val="both"/>
        <w:rPr>
          <w:rFonts w:ascii="Arial" w:hAnsi="Arial"/>
          <w:sz w:val="20"/>
          <w:szCs w:val="20"/>
        </w:rPr>
      </w:pPr>
      <w:r w:rsidRPr="00D205AB">
        <w:rPr>
          <w:rFonts w:ascii="Arial" w:hAnsi="Arial"/>
          <w:sz w:val="20"/>
          <w:szCs w:val="20"/>
        </w:rPr>
        <w:t>An anamnesis questionnaire was applied to each patient, aiming to obtain information about systemic and oral health, confirming the information obtained initially and adding new information when necessary in each subsequent session. After performing the periodontal chart during the reassessment period, there was a new SRP in the remaining periodontal pockets, justifying the prescription of antibiotic prophylaxis prior to the session.</w:t>
      </w:r>
    </w:p>
    <w:p w14:paraId="66DE307B" w14:textId="77777777" w:rsidR="00D205AB" w:rsidRPr="00D205AB" w:rsidRDefault="00D205AB" w:rsidP="00D205AB">
      <w:pPr>
        <w:pStyle w:val="Standard"/>
        <w:spacing w:line="276" w:lineRule="auto"/>
        <w:ind w:firstLine="360"/>
        <w:jc w:val="both"/>
        <w:rPr>
          <w:rFonts w:ascii="Arial" w:hAnsi="Arial"/>
          <w:sz w:val="20"/>
          <w:szCs w:val="20"/>
        </w:rPr>
      </w:pPr>
      <w:r w:rsidRPr="00D205AB">
        <w:rPr>
          <w:rFonts w:ascii="Arial" w:hAnsi="Arial"/>
          <w:sz w:val="20"/>
          <w:szCs w:val="20"/>
        </w:rPr>
        <w:t>Examiner calibration consisted of two measurements of periodontal parameters in the same patient within 15 days (Kappa value = 0.9). The calibrated examiner recorded the following clinical periodontal parameters at six sites/tooth, excluding third molars and dental implants, using a periodontal millimeter probe: probing depth (PD), clinical attachment level (CAL), bleeding on probing (</w:t>
      </w:r>
      <w:proofErr w:type="spellStart"/>
      <w:r w:rsidRPr="00D205AB">
        <w:rPr>
          <w:rFonts w:ascii="Arial" w:hAnsi="Arial"/>
          <w:sz w:val="20"/>
          <w:szCs w:val="20"/>
        </w:rPr>
        <w:t>BoP</w:t>
      </w:r>
      <w:proofErr w:type="spellEnd"/>
      <w:r w:rsidRPr="00D205AB">
        <w:rPr>
          <w:rFonts w:ascii="Arial" w:hAnsi="Arial"/>
          <w:sz w:val="20"/>
          <w:szCs w:val="20"/>
        </w:rPr>
        <w:t>), and plaque index (PI).</w:t>
      </w:r>
    </w:p>
    <w:p w14:paraId="74F6BB4B" w14:textId="77777777" w:rsidR="00D205AB" w:rsidRPr="00D205AB" w:rsidRDefault="00D205AB" w:rsidP="00D205AB">
      <w:pPr>
        <w:autoSpaceDE w:val="0"/>
        <w:autoSpaceDN w:val="0"/>
        <w:adjustRightInd w:val="0"/>
        <w:spacing w:line="276" w:lineRule="auto"/>
        <w:ind w:firstLine="709"/>
        <w:jc w:val="both"/>
        <w:rPr>
          <w:rFonts w:ascii="Arial" w:hAnsi="Arial" w:cs="Arial"/>
        </w:rPr>
      </w:pPr>
      <w:r w:rsidRPr="00D205AB">
        <w:rPr>
          <w:rFonts w:ascii="Arial" w:hAnsi="Arial" w:cs="Arial"/>
        </w:rPr>
        <w:t xml:space="preserve">All patients received basic periodontal treatment and oral hygiene instruction. Periodontal treatment was performed by a single operator, through supragingival and subgingival scaling and root </w:t>
      </w:r>
      <w:proofErr w:type="spellStart"/>
      <w:r w:rsidRPr="00D205AB">
        <w:rPr>
          <w:rFonts w:ascii="Arial" w:hAnsi="Arial" w:cs="Arial"/>
        </w:rPr>
        <w:t>planing</w:t>
      </w:r>
      <w:proofErr w:type="spellEnd"/>
      <w:r w:rsidRPr="00D205AB">
        <w:rPr>
          <w:rFonts w:ascii="Arial" w:hAnsi="Arial" w:cs="Arial"/>
        </w:rPr>
        <w:t xml:space="preserve"> of all tooth surfaces, with manual and ultrasonic instrumentation under local anesthesia, when necessary. Gracey 5/6, 7/8, 11/12 and 13/14 periodontal curettes (Millennium®, São Paulo, Brazil) were used for manual instrumentation, and a piezoelectric device (Dabi Atlante®, São Paulo, Brazil) was used for ultrasonic instrumentation.</w:t>
      </w:r>
    </w:p>
    <w:p w14:paraId="387C1991" w14:textId="324DB44F" w:rsidR="00D205AB" w:rsidRPr="00D205AB" w:rsidRDefault="00D205AB" w:rsidP="00D205AB">
      <w:pPr>
        <w:pStyle w:val="Standard"/>
        <w:spacing w:line="276" w:lineRule="auto"/>
        <w:ind w:firstLine="708"/>
        <w:jc w:val="both"/>
        <w:rPr>
          <w:rFonts w:ascii="Arial" w:hAnsi="Arial"/>
          <w:color w:val="4472C4"/>
          <w:sz w:val="20"/>
          <w:szCs w:val="20"/>
        </w:rPr>
      </w:pPr>
      <w:r w:rsidRPr="00D205AB">
        <w:rPr>
          <w:rFonts w:ascii="Arial" w:hAnsi="Arial"/>
          <w:sz w:val="20"/>
          <w:szCs w:val="20"/>
        </w:rPr>
        <w:t xml:space="preserve">After complete subgingival mechanical debridement in the first session, the periodontal pockets randomized to receive the </w:t>
      </w:r>
      <w:proofErr w:type="spellStart"/>
      <w:r w:rsidRPr="00D205AB">
        <w:rPr>
          <w:rFonts w:ascii="Arial" w:hAnsi="Arial"/>
          <w:sz w:val="20"/>
          <w:szCs w:val="20"/>
        </w:rPr>
        <w:t>aPDT</w:t>
      </w:r>
      <w:proofErr w:type="spellEnd"/>
      <w:r w:rsidRPr="00D205AB">
        <w:rPr>
          <w:rFonts w:ascii="Arial" w:hAnsi="Arial"/>
          <w:sz w:val="20"/>
          <w:szCs w:val="20"/>
        </w:rPr>
        <w:t xml:space="preserve"> were irrigated with 0.9% saline solution. With the region clean and dry, relative isolation of the surgical field was performed. Then, the photosensitive substance Methylene Blue 0.01% (Manipulated - </w:t>
      </w:r>
      <w:proofErr w:type="spellStart"/>
      <w:r w:rsidRPr="00D205AB">
        <w:rPr>
          <w:rFonts w:ascii="Arial" w:hAnsi="Arial"/>
          <w:sz w:val="20"/>
          <w:szCs w:val="20"/>
        </w:rPr>
        <w:t>Farmácia</w:t>
      </w:r>
      <w:proofErr w:type="spellEnd"/>
      <w:r w:rsidRPr="00D205AB">
        <w:rPr>
          <w:rFonts w:ascii="Arial" w:hAnsi="Arial"/>
          <w:sz w:val="20"/>
          <w:szCs w:val="20"/>
        </w:rPr>
        <w:t xml:space="preserve"> </w:t>
      </w:r>
      <w:proofErr w:type="spellStart"/>
      <w:r w:rsidRPr="00D205AB">
        <w:rPr>
          <w:rFonts w:ascii="Arial" w:hAnsi="Arial"/>
          <w:sz w:val="20"/>
          <w:szCs w:val="20"/>
        </w:rPr>
        <w:t>Chamomila</w:t>
      </w:r>
      <w:proofErr w:type="spellEnd"/>
      <w:r w:rsidRPr="00D205AB">
        <w:rPr>
          <w:rFonts w:ascii="Arial" w:hAnsi="Arial"/>
          <w:sz w:val="20"/>
          <w:szCs w:val="20"/>
        </w:rPr>
        <w:t xml:space="preserve">®, </w:t>
      </w:r>
      <w:proofErr w:type="spellStart"/>
      <w:r w:rsidRPr="00D205AB">
        <w:rPr>
          <w:rFonts w:ascii="Arial" w:hAnsi="Arial"/>
          <w:sz w:val="20"/>
          <w:szCs w:val="20"/>
        </w:rPr>
        <w:t>Cascavel</w:t>
      </w:r>
      <w:proofErr w:type="spellEnd"/>
      <w:r w:rsidRPr="00D205AB">
        <w:rPr>
          <w:rFonts w:ascii="Arial" w:hAnsi="Arial"/>
          <w:sz w:val="20"/>
          <w:szCs w:val="20"/>
        </w:rPr>
        <w:t xml:space="preserve">, Brazil) was applied with the aid of a </w:t>
      </w:r>
      <w:r w:rsidRPr="00D205AB">
        <w:rPr>
          <w:rFonts w:ascii="Arial" w:eastAsia="Open Sans" w:hAnsi="Arial"/>
          <w:sz w:val="20"/>
          <w:szCs w:val="20"/>
        </w:rPr>
        <w:t>1ML insulin syringe and an 8X0.3mm needle (</w:t>
      </w:r>
      <w:proofErr w:type="spellStart"/>
      <w:r w:rsidRPr="00D205AB">
        <w:rPr>
          <w:rFonts w:ascii="Arial" w:eastAsia="Open Sans" w:hAnsi="Arial"/>
          <w:sz w:val="20"/>
          <w:szCs w:val="20"/>
        </w:rPr>
        <w:t>Descarpack</w:t>
      </w:r>
      <w:proofErr w:type="spellEnd"/>
      <w:proofErr w:type="gramStart"/>
      <w:r w:rsidRPr="00D205AB">
        <w:rPr>
          <w:rFonts w:ascii="Arial" w:eastAsia="Open Sans" w:hAnsi="Arial"/>
          <w:sz w:val="20"/>
          <w:szCs w:val="20"/>
        </w:rPr>
        <w:t xml:space="preserve">® </w:t>
      </w:r>
      <w:r w:rsidRPr="00D205AB">
        <w:rPr>
          <w:rFonts w:ascii="Arial" w:hAnsi="Arial"/>
          <w:sz w:val="20"/>
          <w:szCs w:val="20"/>
        </w:rPr>
        <w:t>,</w:t>
      </w:r>
      <w:proofErr w:type="gramEnd"/>
      <w:r w:rsidRPr="00D205AB">
        <w:rPr>
          <w:rFonts w:ascii="Arial" w:hAnsi="Arial"/>
          <w:sz w:val="20"/>
          <w:szCs w:val="20"/>
        </w:rPr>
        <w:t xml:space="preserve"> São Paulo, Brazil </w:t>
      </w:r>
      <w:r w:rsidRPr="00D205AB">
        <w:rPr>
          <w:rFonts w:ascii="Arial" w:eastAsia="Open Sans" w:hAnsi="Arial"/>
          <w:sz w:val="20"/>
          <w:szCs w:val="20"/>
        </w:rPr>
        <w:t xml:space="preserve">) </w:t>
      </w:r>
      <w:r w:rsidRPr="00D205AB">
        <w:rPr>
          <w:rFonts w:ascii="Arial" w:hAnsi="Arial"/>
          <w:sz w:val="20"/>
          <w:szCs w:val="20"/>
        </w:rPr>
        <w:t xml:space="preserve">from the bottom of the pocket to the gingival margin with a quantity sufficient for small extravasation (Figure 1 – A). After 5 minutes, abundant irrigation of the pockets with saline solution was performed to remove excess dye. Then, the stained area was irradiated with a low-power laser at a wavelength of 660 nm (Laser Duo - MMO®, São Paulo, Brazil), using a fiber optic probe (MMO®, São Paulo, Brazil) (Figure 1 – B). Irradiation was performed on six sites of each tooth for </w:t>
      </w:r>
      <w:r w:rsidRPr="00D205AB">
        <w:rPr>
          <w:rFonts w:ascii="Arial" w:hAnsi="Arial"/>
          <w:sz w:val="20"/>
          <w:szCs w:val="20"/>
        </w:rPr>
        <w:lastRenderedPageBreak/>
        <w:t>10 seconds, totaling 60 seconds per tooth (</w:t>
      </w:r>
      <w:r w:rsidR="00972844">
        <w:rPr>
          <w:rFonts w:ascii="Arial" w:hAnsi="Arial"/>
          <w:sz w:val="20"/>
          <w:szCs w:val="20"/>
        </w:rPr>
        <w:t>list</w:t>
      </w:r>
      <w:r w:rsidRPr="00D205AB">
        <w:rPr>
          <w:rFonts w:ascii="Arial" w:hAnsi="Arial"/>
          <w:sz w:val="20"/>
          <w:szCs w:val="20"/>
        </w:rPr>
        <w:t xml:space="preserve"> 1). All teeth with pockets equal to or greater than 5 mm in that hemiarch received the same procedure. After laser application, the teeth were irrigated with saline solution to completely remove the product. The applications of </w:t>
      </w:r>
      <w:proofErr w:type="spellStart"/>
      <w:r w:rsidRPr="00D205AB">
        <w:rPr>
          <w:rFonts w:ascii="Arial" w:hAnsi="Arial"/>
          <w:sz w:val="20"/>
          <w:szCs w:val="20"/>
        </w:rPr>
        <w:t>TFDa</w:t>
      </w:r>
      <w:proofErr w:type="spellEnd"/>
      <w:r w:rsidRPr="00D205AB">
        <w:rPr>
          <w:rFonts w:ascii="Arial" w:hAnsi="Arial"/>
          <w:sz w:val="20"/>
          <w:szCs w:val="20"/>
        </w:rPr>
        <w:t xml:space="preserve"> were repeated after 7 and 14 days (Claudio </w:t>
      </w:r>
      <w:r w:rsidRPr="00D205AB">
        <w:rPr>
          <w:rFonts w:ascii="Arial" w:hAnsi="Arial"/>
          <w:i/>
          <w:iCs/>
          <w:sz w:val="20"/>
          <w:szCs w:val="20"/>
        </w:rPr>
        <w:t xml:space="preserve">et </w:t>
      </w:r>
      <w:proofErr w:type="gramStart"/>
      <w:r w:rsidRPr="00D205AB">
        <w:rPr>
          <w:rFonts w:ascii="Arial" w:hAnsi="Arial"/>
          <w:i/>
          <w:iCs/>
          <w:sz w:val="20"/>
          <w:szCs w:val="20"/>
        </w:rPr>
        <w:t xml:space="preserve">al </w:t>
      </w:r>
      <w:r w:rsidRPr="00D205AB">
        <w:rPr>
          <w:rFonts w:ascii="Arial" w:hAnsi="Arial"/>
          <w:sz w:val="20"/>
          <w:szCs w:val="20"/>
        </w:rPr>
        <w:t>.</w:t>
      </w:r>
      <w:proofErr w:type="gramEnd"/>
      <w:r w:rsidRPr="00D205AB">
        <w:rPr>
          <w:rFonts w:ascii="Arial" w:hAnsi="Arial"/>
          <w:sz w:val="20"/>
          <w:szCs w:val="20"/>
        </w:rPr>
        <w:t>, 2021).</w:t>
      </w:r>
    </w:p>
    <w:p w14:paraId="0BEDAA1E" w14:textId="77777777" w:rsidR="00D205AB" w:rsidRPr="00D205AB" w:rsidRDefault="00D205AB" w:rsidP="00D205AB">
      <w:pPr>
        <w:pStyle w:val="Standard"/>
        <w:jc w:val="both"/>
        <w:rPr>
          <w:rFonts w:ascii="Arial" w:hAnsi="Arial"/>
          <w:sz w:val="20"/>
          <w:szCs w:val="20"/>
        </w:rPr>
      </w:pPr>
      <w:r w:rsidRPr="00D205AB">
        <w:rPr>
          <w:rFonts w:ascii="Arial" w:hAnsi="Arial"/>
          <w:i/>
          <w:iCs/>
          <w:sz w:val="20"/>
          <w:szCs w:val="20"/>
        </w:rPr>
        <w:t xml:space="preserve">Sham </w:t>
      </w:r>
      <w:r w:rsidRPr="00D205AB">
        <w:rPr>
          <w:rFonts w:ascii="Arial" w:hAnsi="Arial"/>
          <w:sz w:val="20"/>
          <w:szCs w:val="20"/>
        </w:rPr>
        <w:t xml:space="preserve">procedure was performed concomitantly on the contralateral teeth that did not receive </w:t>
      </w:r>
      <w:proofErr w:type="spellStart"/>
      <w:r w:rsidRPr="00D205AB">
        <w:rPr>
          <w:rFonts w:ascii="Arial" w:hAnsi="Arial"/>
          <w:sz w:val="20"/>
          <w:szCs w:val="20"/>
        </w:rPr>
        <w:t>aPDT</w:t>
      </w:r>
      <w:proofErr w:type="spellEnd"/>
      <w:r w:rsidRPr="00D205AB">
        <w:rPr>
          <w:rFonts w:ascii="Arial" w:hAnsi="Arial"/>
          <w:sz w:val="20"/>
          <w:szCs w:val="20"/>
        </w:rPr>
        <w:t>. In the control teeth, the periodontal pockets were irrigated with saline solution and the laser application was simulated.</w:t>
      </w:r>
    </w:p>
    <w:p w14:paraId="37A3FD97" w14:textId="77777777" w:rsidR="00D205AB" w:rsidRDefault="00D205AB" w:rsidP="00D205AB">
      <w:pPr>
        <w:pStyle w:val="Standard"/>
        <w:spacing w:line="276" w:lineRule="auto"/>
        <w:jc w:val="both"/>
        <w:rPr>
          <w:rFonts w:ascii="Arial" w:hAnsi="Arial"/>
          <w:b/>
          <w:bCs/>
          <w:sz w:val="20"/>
        </w:rPr>
      </w:pPr>
    </w:p>
    <w:p w14:paraId="294468A4" w14:textId="0E0DEC71" w:rsidR="00D205AB" w:rsidRPr="00D205AB" w:rsidRDefault="00972844" w:rsidP="00D205AB">
      <w:pPr>
        <w:pStyle w:val="Standard"/>
        <w:spacing w:line="276" w:lineRule="auto"/>
        <w:jc w:val="both"/>
        <w:rPr>
          <w:rFonts w:ascii="Arial" w:hAnsi="Arial"/>
          <w:sz w:val="20"/>
        </w:rPr>
      </w:pPr>
      <w:r>
        <w:rPr>
          <w:rFonts w:ascii="Arial" w:hAnsi="Arial"/>
          <w:b/>
          <w:bCs/>
          <w:sz w:val="20"/>
        </w:rPr>
        <w:t>list</w:t>
      </w:r>
      <w:r w:rsidR="00D205AB" w:rsidRPr="00D205AB">
        <w:rPr>
          <w:rFonts w:ascii="Arial" w:hAnsi="Arial"/>
          <w:b/>
          <w:bCs/>
          <w:sz w:val="20"/>
        </w:rPr>
        <w:t xml:space="preserve"> 1 </w:t>
      </w:r>
      <w:r w:rsidR="00D205AB" w:rsidRPr="00D205AB">
        <w:rPr>
          <w:rFonts w:ascii="Arial" w:hAnsi="Arial"/>
          <w:sz w:val="20"/>
        </w:rPr>
        <w:t>- Specifications of antimicrobial photodynamic therapy parameters:</w:t>
      </w:r>
    </w:p>
    <w:tbl>
      <w:tblPr>
        <w:tblpPr w:leftFromText="180" w:rightFromText="180" w:vertAnchor="text" w:horzAnchor="page" w:tblpX="1974" w:tblpY="3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8"/>
        <w:gridCol w:w="4412"/>
      </w:tblGrid>
      <w:tr w:rsidR="00D205AB" w:rsidRPr="00D205AB" w14:paraId="6FC8EB75" w14:textId="77777777" w:rsidTr="004751FB">
        <w:tc>
          <w:tcPr>
            <w:tcW w:w="4308" w:type="dxa"/>
          </w:tcPr>
          <w:p w14:paraId="406F2CCD"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Dye</w:t>
            </w:r>
          </w:p>
        </w:tc>
        <w:tc>
          <w:tcPr>
            <w:tcW w:w="4412" w:type="dxa"/>
          </w:tcPr>
          <w:p w14:paraId="04168A6B"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Methylene Blue 10mg/ml</w:t>
            </w:r>
          </w:p>
        </w:tc>
      </w:tr>
      <w:tr w:rsidR="00D205AB" w:rsidRPr="00D205AB" w14:paraId="2357CEB2" w14:textId="77777777" w:rsidTr="004751FB">
        <w:tc>
          <w:tcPr>
            <w:tcW w:w="4308" w:type="dxa"/>
          </w:tcPr>
          <w:p w14:paraId="09FDD760"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Laser Type</w:t>
            </w:r>
          </w:p>
        </w:tc>
        <w:tc>
          <w:tcPr>
            <w:tcW w:w="4412" w:type="dxa"/>
          </w:tcPr>
          <w:p w14:paraId="6A3C38B1"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Diode (</w:t>
            </w:r>
            <w:proofErr w:type="spellStart"/>
            <w:r w:rsidRPr="00D205AB">
              <w:rPr>
                <w:rFonts w:ascii="Arial" w:hAnsi="Arial"/>
                <w:sz w:val="20"/>
              </w:rPr>
              <w:t>InGaAIP</w:t>
            </w:r>
            <w:proofErr w:type="spellEnd"/>
            <w:r w:rsidRPr="00D205AB">
              <w:rPr>
                <w:rFonts w:ascii="Arial" w:hAnsi="Arial"/>
                <w:sz w:val="20"/>
              </w:rPr>
              <w:t>)</w:t>
            </w:r>
          </w:p>
        </w:tc>
      </w:tr>
      <w:tr w:rsidR="00D205AB" w:rsidRPr="00D205AB" w14:paraId="6526417C" w14:textId="77777777" w:rsidTr="004751FB">
        <w:tc>
          <w:tcPr>
            <w:tcW w:w="4308" w:type="dxa"/>
          </w:tcPr>
          <w:p w14:paraId="7AA147D2"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Wave-length</w:t>
            </w:r>
          </w:p>
        </w:tc>
        <w:tc>
          <w:tcPr>
            <w:tcW w:w="4412" w:type="dxa"/>
          </w:tcPr>
          <w:p w14:paraId="184D363B"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660 nm (red)</w:t>
            </w:r>
          </w:p>
        </w:tc>
      </w:tr>
      <w:tr w:rsidR="00D205AB" w:rsidRPr="00D205AB" w14:paraId="7DB3D2A8" w14:textId="77777777" w:rsidTr="004751FB">
        <w:tc>
          <w:tcPr>
            <w:tcW w:w="4308" w:type="dxa"/>
          </w:tcPr>
          <w:p w14:paraId="07AB19E7"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Device power</w:t>
            </w:r>
          </w:p>
        </w:tc>
        <w:tc>
          <w:tcPr>
            <w:tcW w:w="4412" w:type="dxa"/>
          </w:tcPr>
          <w:p w14:paraId="4A0D5CF4"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100mW</w:t>
            </w:r>
          </w:p>
        </w:tc>
      </w:tr>
      <w:tr w:rsidR="00D205AB" w:rsidRPr="00D205AB" w14:paraId="2D70699C" w14:textId="77777777" w:rsidTr="004751FB">
        <w:tc>
          <w:tcPr>
            <w:tcW w:w="4308" w:type="dxa"/>
          </w:tcPr>
          <w:p w14:paraId="76A564F3"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Dose</w:t>
            </w:r>
          </w:p>
        </w:tc>
        <w:tc>
          <w:tcPr>
            <w:tcW w:w="4412" w:type="dxa"/>
          </w:tcPr>
          <w:p w14:paraId="421EAA19"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200 J/cm²</w:t>
            </w:r>
          </w:p>
        </w:tc>
      </w:tr>
      <w:tr w:rsidR="00D205AB" w:rsidRPr="00D205AB" w14:paraId="0758C9F5" w14:textId="77777777" w:rsidTr="004751FB">
        <w:tc>
          <w:tcPr>
            <w:tcW w:w="4308" w:type="dxa"/>
          </w:tcPr>
          <w:p w14:paraId="4C90480F"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Total energy</w:t>
            </w:r>
          </w:p>
        </w:tc>
        <w:tc>
          <w:tcPr>
            <w:tcW w:w="4412" w:type="dxa"/>
          </w:tcPr>
          <w:p w14:paraId="56293EBD"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6 J</w:t>
            </w:r>
          </w:p>
        </w:tc>
      </w:tr>
      <w:tr w:rsidR="00D205AB" w:rsidRPr="00D205AB" w14:paraId="6E2AC7B7" w14:textId="77777777" w:rsidTr="004751FB">
        <w:tc>
          <w:tcPr>
            <w:tcW w:w="4308" w:type="dxa"/>
          </w:tcPr>
          <w:p w14:paraId="744861B1"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Application mode</w:t>
            </w:r>
          </w:p>
        </w:tc>
        <w:tc>
          <w:tcPr>
            <w:tcW w:w="4412" w:type="dxa"/>
          </w:tcPr>
          <w:p w14:paraId="17D8AB27"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Via gingival sulcus (fiber optic)</w:t>
            </w:r>
          </w:p>
        </w:tc>
      </w:tr>
      <w:tr w:rsidR="00D205AB" w:rsidRPr="00D205AB" w14:paraId="3401C750" w14:textId="77777777" w:rsidTr="004751FB">
        <w:tc>
          <w:tcPr>
            <w:tcW w:w="4308" w:type="dxa"/>
          </w:tcPr>
          <w:p w14:paraId="7A3C9B6E"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Application type</w:t>
            </w:r>
          </w:p>
        </w:tc>
        <w:tc>
          <w:tcPr>
            <w:tcW w:w="4412" w:type="dxa"/>
          </w:tcPr>
          <w:p w14:paraId="0223D728"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Punctual (10 seconds per site)</w:t>
            </w:r>
          </w:p>
        </w:tc>
      </w:tr>
      <w:tr w:rsidR="00D205AB" w:rsidRPr="00D205AB" w14:paraId="5BD07586" w14:textId="77777777" w:rsidTr="004751FB">
        <w:tc>
          <w:tcPr>
            <w:tcW w:w="4308" w:type="dxa"/>
          </w:tcPr>
          <w:p w14:paraId="4348213B"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Optical fiber length</w:t>
            </w:r>
          </w:p>
        </w:tc>
        <w:tc>
          <w:tcPr>
            <w:tcW w:w="4412" w:type="dxa"/>
          </w:tcPr>
          <w:p w14:paraId="412FA4C2"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38mm</w:t>
            </w:r>
          </w:p>
        </w:tc>
      </w:tr>
      <w:tr w:rsidR="00D205AB" w:rsidRPr="00D205AB" w14:paraId="3954E7FC" w14:textId="77777777" w:rsidTr="004751FB">
        <w:tc>
          <w:tcPr>
            <w:tcW w:w="4308" w:type="dxa"/>
          </w:tcPr>
          <w:p w14:paraId="673987B8"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Time</w:t>
            </w:r>
          </w:p>
        </w:tc>
        <w:tc>
          <w:tcPr>
            <w:tcW w:w="4412" w:type="dxa"/>
          </w:tcPr>
          <w:p w14:paraId="25188938"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60 seconds/tooth</w:t>
            </w:r>
          </w:p>
        </w:tc>
      </w:tr>
      <w:tr w:rsidR="00D205AB" w:rsidRPr="00D205AB" w14:paraId="05DA49EB" w14:textId="77777777" w:rsidTr="004751FB">
        <w:tc>
          <w:tcPr>
            <w:tcW w:w="4308" w:type="dxa"/>
          </w:tcPr>
          <w:p w14:paraId="095482B2"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Number of sessions</w:t>
            </w:r>
          </w:p>
        </w:tc>
        <w:tc>
          <w:tcPr>
            <w:tcW w:w="4412" w:type="dxa"/>
          </w:tcPr>
          <w:p w14:paraId="0A269978" w14:textId="77777777" w:rsidR="00D205AB" w:rsidRPr="00D205AB" w:rsidRDefault="00D205AB" w:rsidP="004751FB">
            <w:pPr>
              <w:pStyle w:val="Standard"/>
              <w:spacing w:line="276" w:lineRule="auto"/>
              <w:jc w:val="center"/>
              <w:rPr>
                <w:rFonts w:ascii="Arial" w:hAnsi="Arial"/>
                <w:sz w:val="20"/>
              </w:rPr>
            </w:pPr>
            <w:r w:rsidRPr="00D205AB">
              <w:rPr>
                <w:rFonts w:ascii="Arial" w:hAnsi="Arial"/>
                <w:sz w:val="20"/>
              </w:rPr>
              <w:t>3 sessions (0, 7 and 14 days)</w:t>
            </w:r>
          </w:p>
        </w:tc>
      </w:tr>
    </w:tbl>
    <w:p w14:paraId="22526E20" w14:textId="77777777" w:rsidR="00D205AB" w:rsidRPr="001C3132" w:rsidRDefault="00D205AB" w:rsidP="00D205AB">
      <w:pPr>
        <w:pStyle w:val="Standard"/>
        <w:spacing w:line="276" w:lineRule="auto"/>
        <w:jc w:val="both"/>
        <w:rPr>
          <w:rFonts w:ascii="Arial" w:hAnsi="Arial"/>
        </w:rPr>
      </w:pPr>
    </w:p>
    <w:p w14:paraId="4F578C7A" w14:textId="77777777" w:rsidR="00D205AB" w:rsidRPr="00D205AB" w:rsidRDefault="00D205AB" w:rsidP="00D205AB">
      <w:pPr>
        <w:pStyle w:val="BodyText"/>
        <w:spacing w:before="137" w:line="276" w:lineRule="auto"/>
        <w:ind w:right="-1" w:firstLine="708"/>
        <w:jc w:val="both"/>
        <w:rPr>
          <w:rFonts w:ascii="Arial" w:hAnsi="Arial" w:cs="Arial"/>
        </w:rPr>
      </w:pPr>
      <w:r w:rsidRPr="00D205AB">
        <w:rPr>
          <w:rFonts w:ascii="Arial" w:hAnsi="Arial" w:cs="Arial"/>
        </w:rPr>
        <w:t>Prior to the start of periodontal treatment, each patient was asked to perform the following tests: glycated hemoglobin (HbA1c), fasting blood glucose (FBG) and lipid profile, which were repeated again 90 days after periodontal treatment.</w:t>
      </w:r>
    </w:p>
    <w:p w14:paraId="6CB50FC4" w14:textId="77777777" w:rsidR="00D205AB" w:rsidRPr="00D205AB" w:rsidRDefault="00D205AB" w:rsidP="00D205AB">
      <w:pPr>
        <w:tabs>
          <w:tab w:val="left" w:pos="0"/>
        </w:tabs>
        <w:spacing w:line="276" w:lineRule="auto"/>
        <w:jc w:val="both"/>
        <w:rPr>
          <w:rFonts w:ascii="Arial" w:hAnsi="Arial" w:cs="Arial"/>
          <w:bCs/>
        </w:rPr>
      </w:pPr>
      <w:r w:rsidRPr="00D205AB">
        <w:rPr>
          <w:rFonts w:ascii="Arial" w:hAnsi="Arial" w:cs="Arial"/>
          <w:bCs/>
        </w:rPr>
        <w:tab/>
        <w:t xml:space="preserve">To quantify gingival crevicular fluid (GCF), three collections were performed bilaterally per patient at the sites with the greatest probing depth. Sterile absorbent paper tips, 28 mm, size 40 (Tanari®, Amazonas, Brazil) were inserted below the gingival margin for 30 seconds (Figure 1 – C). The paper strips were immediately placed in a 0.2% ninhydrin alcohol solution for 1 minute. The strips were photographed and analyzed with a computer program (Image Pro Plus® Version 6.0, Media Cybernetics, Silver Spring, MD, USA) to determine the amount of fluid absorbed in mm2 </w:t>
      </w:r>
      <w:proofErr w:type="gramStart"/>
      <w:r w:rsidRPr="00D205AB">
        <w:rPr>
          <w:rFonts w:ascii="Arial" w:hAnsi="Arial" w:cs="Arial"/>
          <w:bCs/>
          <w:vertAlign w:val="superscript"/>
        </w:rPr>
        <w:t xml:space="preserve">( </w:t>
      </w:r>
      <w:r w:rsidRPr="00D205AB">
        <w:rPr>
          <w:rFonts w:ascii="Arial" w:hAnsi="Arial" w:cs="Arial"/>
          <w:bCs/>
        </w:rPr>
        <w:t>Lagos</w:t>
      </w:r>
      <w:proofErr w:type="gramEnd"/>
      <w:r w:rsidRPr="00D205AB">
        <w:rPr>
          <w:rFonts w:ascii="Arial" w:hAnsi="Arial" w:cs="Arial"/>
          <w:bCs/>
        </w:rPr>
        <w:t xml:space="preserve"> </w:t>
      </w:r>
      <w:r w:rsidRPr="00D205AB">
        <w:rPr>
          <w:rFonts w:ascii="Arial" w:hAnsi="Arial" w:cs="Arial"/>
          <w:bCs/>
          <w:i/>
          <w:iCs/>
        </w:rPr>
        <w:t xml:space="preserve">et al. </w:t>
      </w:r>
      <w:r w:rsidRPr="00D205AB">
        <w:rPr>
          <w:rFonts w:ascii="Arial" w:hAnsi="Arial" w:cs="Arial"/>
          <w:bCs/>
        </w:rPr>
        <w:t>, 2011).</w:t>
      </w:r>
    </w:p>
    <w:p w14:paraId="792ABE2C" w14:textId="77777777" w:rsidR="00D205AB" w:rsidRDefault="00D205AB" w:rsidP="00D205AB">
      <w:pPr>
        <w:tabs>
          <w:tab w:val="left" w:pos="0"/>
        </w:tabs>
        <w:spacing w:line="276" w:lineRule="auto"/>
        <w:jc w:val="both"/>
        <w:rPr>
          <w:rFonts w:ascii="Arial" w:hAnsi="Arial" w:cs="Arial"/>
          <w:bCs/>
          <w:sz w:val="24"/>
          <w:szCs w:val="24"/>
        </w:rPr>
      </w:pPr>
      <w:r>
        <w:rPr>
          <w:rFonts w:ascii="Arial" w:hAnsi="Arial" w:cs="Arial"/>
          <w:bCs/>
          <w:noProof/>
          <w:sz w:val="24"/>
          <w:szCs w:val="24"/>
          <w:lang w:val="pt-BR" w:eastAsia="pt-BR"/>
        </w:rPr>
        <w:drawing>
          <wp:inline distT="0" distB="0" distL="0" distR="0" wp14:anchorId="46D234F0" wp14:editId="0945BDA6">
            <wp:extent cx="5400040" cy="303720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037205"/>
                    </a:xfrm>
                    <a:prstGeom prst="rect">
                      <a:avLst/>
                    </a:prstGeom>
                  </pic:spPr>
                </pic:pic>
              </a:graphicData>
            </a:graphic>
          </wp:inline>
        </w:drawing>
      </w:r>
    </w:p>
    <w:p w14:paraId="77CE9471" w14:textId="77777777" w:rsidR="00D205AB" w:rsidRPr="001C3132" w:rsidRDefault="00D205AB" w:rsidP="00D205AB">
      <w:pPr>
        <w:tabs>
          <w:tab w:val="left" w:pos="0"/>
        </w:tabs>
        <w:spacing w:line="276" w:lineRule="auto"/>
        <w:jc w:val="both"/>
        <w:rPr>
          <w:rFonts w:ascii="Arial" w:hAnsi="Arial" w:cs="Arial"/>
          <w:bCs/>
          <w:sz w:val="24"/>
          <w:szCs w:val="24"/>
        </w:rPr>
      </w:pPr>
      <w:r w:rsidRPr="002A34C8">
        <w:rPr>
          <w:rFonts w:ascii="Arial" w:hAnsi="Arial" w:cs="Arial"/>
          <w:b/>
          <w:bCs/>
          <w:szCs w:val="24"/>
        </w:rPr>
        <w:t>Figure 1</w:t>
      </w:r>
      <w:r w:rsidRPr="002A34C8">
        <w:rPr>
          <w:rFonts w:ascii="Arial" w:hAnsi="Arial" w:cs="Arial"/>
          <w:bCs/>
          <w:szCs w:val="24"/>
        </w:rPr>
        <w:t xml:space="preserve"> </w:t>
      </w:r>
      <w:r>
        <w:rPr>
          <w:rFonts w:ascii="Arial" w:hAnsi="Arial" w:cs="Arial"/>
          <w:bCs/>
          <w:sz w:val="24"/>
          <w:szCs w:val="24"/>
        </w:rPr>
        <w:t xml:space="preserve">– </w:t>
      </w:r>
      <w:r w:rsidRPr="009C6BE6">
        <w:rPr>
          <w:rFonts w:ascii="Arial" w:hAnsi="Arial" w:cs="Arial"/>
          <w:b/>
          <w:sz w:val="18"/>
          <w:szCs w:val="18"/>
        </w:rPr>
        <w:t>A:</w:t>
      </w:r>
      <w:r>
        <w:rPr>
          <w:rFonts w:ascii="Arial" w:hAnsi="Arial" w:cs="Arial"/>
          <w:bCs/>
          <w:sz w:val="24"/>
          <w:szCs w:val="24"/>
        </w:rPr>
        <w:t xml:space="preserve"> </w:t>
      </w:r>
      <w:r w:rsidRPr="002A34C8">
        <w:rPr>
          <w:rFonts w:ascii="Arial" w:hAnsi="Arial" w:cs="Arial"/>
          <w:bCs/>
          <w:sz w:val="18"/>
          <w:szCs w:val="24"/>
        </w:rPr>
        <w:t xml:space="preserve">The first image exemplifies the application of AM in the periodontal sulcus. </w:t>
      </w:r>
      <w:r w:rsidRPr="009C6BE6">
        <w:rPr>
          <w:rFonts w:ascii="Arial" w:hAnsi="Arial" w:cs="Arial"/>
          <w:b/>
          <w:sz w:val="18"/>
          <w:szCs w:val="24"/>
        </w:rPr>
        <w:t xml:space="preserve">B: </w:t>
      </w:r>
      <w:r>
        <w:rPr>
          <w:rFonts w:ascii="Arial" w:hAnsi="Arial" w:cs="Arial"/>
          <w:bCs/>
          <w:sz w:val="18"/>
          <w:szCs w:val="24"/>
        </w:rPr>
        <w:t xml:space="preserve">The second image shows the insertion and activation of the low-power laser. </w:t>
      </w:r>
      <w:r w:rsidRPr="009C6BE6">
        <w:rPr>
          <w:rFonts w:ascii="Arial" w:hAnsi="Arial" w:cs="Arial"/>
          <w:b/>
          <w:sz w:val="18"/>
          <w:szCs w:val="24"/>
        </w:rPr>
        <w:t xml:space="preserve">C: </w:t>
      </w:r>
      <w:r>
        <w:rPr>
          <w:rFonts w:ascii="Arial" w:hAnsi="Arial" w:cs="Arial"/>
          <w:bCs/>
          <w:sz w:val="18"/>
          <w:szCs w:val="24"/>
        </w:rPr>
        <w:t>The third image exemplifies the collection of gingival crevicular fluid with an absorbent paper cone.</w:t>
      </w:r>
    </w:p>
    <w:p w14:paraId="4B21B9FF" w14:textId="77777777" w:rsidR="00D205AB" w:rsidRDefault="00D205AB" w:rsidP="00D205AB">
      <w:pPr>
        <w:pStyle w:val="BodyText"/>
        <w:spacing w:line="276" w:lineRule="auto"/>
        <w:ind w:right="97" w:firstLine="708"/>
        <w:rPr>
          <w:rFonts w:ascii="Arial" w:hAnsi="Arial" w:cs="Arial"/>
          <w:color w:val="000000"/>
          <w:szCs w:val="24"/>
        </w:rPr>
      </w:pPr>
    </w:p>
    <w:p w14:paraId="67E94AB8" w14:textId="77777777" w:rsidR="00AA74E0" w:rsidRPr="00AD5CC7" w:rsidRDefault="00D205AB" w:rsidP="00AD5CC7">
      <w:pPr>
        <w:pStyle w:val="BodyText"/>
        <w:spacing w:line="276" w:lineRule="auto"/>
        <w:ind w:right="97" w:firstLine="708"/>
        <w:jc w:val="both"/>
        <w:rPr>
          <w:rFonts w:ascii="Arial" w:hAnsi="Arial" w:cs="Arial"/>
          <w:color w:val="000000"/>
          <w:szCs w:val="24"/>
        </w:rPr>
      </w:pPr>
      <w:r w:rsidRPr="001C3132">
        <w:rPr>
          <w:rFonts w:ascii="Arial" w:hAnsi="Arial" w:cs="Arial"/>
          <w:color w:val="000000"/>
          <w:szCs w:val="24"/>
        </w:rPr>
        <w:t xml:space="preserve">Statistical analyses were performed using GraphPad Prism 8.0 software. The Shapiro-Wilk test was used to check normality. For parametric data, the paired t-test was used to compare the two treated sides. For non-parametric data, the </w:t>
      </w:r>
      <w:r w:rsidRPr="001C3132">
        <w:rPr>
          <w:rFonts w:ascii="Arial" w:hAnsi="Arial" w:cs="Arial"/>
          <w:color w:val="000000"/>
          <w:szCs w:val="24"/>
        </w:rPr>
        <w:lastRenderedPageBreak/>
        <w:t xml:space="preserve">Wilcoxon test was used. Differences between the two experimental times within the same group </w:t>
      </w:r>
      <w:r w:rsidRPr="001C3132">
        <w:rPr>
          <w:rFonts w:ascii="Arial" w:hAnsi="Arial" w:cs="Arial"/>
          <w:szCs w:val="24"/>
        </w:rPr>
        <w:t xml:space="preserve">were </w:t>
      </w:r>
      <w:r w:rsidRPr="001C3132">
        <w:rPr>
          <w:rFonts w:ascii="Arial" w:hAnsi="Arial" w:cs="Arial"/>
          <w:color w:val="000000"/>
          <w:szCs w:val="24"/>
        </w:rPr>
        <w:t>analyzed using one-way analysis of variance. A significance level of 5% (p&lt;0.05) was adopted.</w:t>
      </w:r>
    </w:p>
    <w:p w14:paraId="7BE461F0" w14:textId="77777777" w:rsidR="00790ADA" w:rsidRPr="00FB3A86" w:rsidRDefault="00790ADA" w:rsidP="00441B6F">
      <w:pPr>
        <w:pStyle w:val="Body"/>
        <w:spacing w:after="0"/>
        <w:rPr>
          <w:rFonts w:ascii="Arial" w:hAnsi="Arial" w:cs="Arial"/>
        </w:rPr>
      </w:pPr>
    </w:p>
    <w:p w14:paraId="038E200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E6ED53F" w14:textId="77777777" w:rsidR="00790ADA" w:rsidRPr="00FB3A86" w:rsidRDefault="00790ADA" w:rsidP="00441B6F">
      <w:pPr>
        <w:pStyle w:val="Head1"/>
        <w:spacing w:after="0"/>
        <w:jc w:val="both"/>
        <w:rPr>
          <w:rFonts w:ascii="Arial" w:hAnsi="Arial" w:cs="Arial"/>
        </w:rPr>
      </w:pPr>
    </w:p>
    <w:p w14:paraId="7CF7E0FF" w14:textId="77777777" w:rsidR="00AD5CC7" w:rsidRPr="00AD5CC7" w:rsidRDefault="00AD5CC7" w:rsidP="00AD5CC7">
      <w:pPr>
        <w:pStyle w:val="BodyText"/>
        <w:spacing w:line="276" w:lineRule="auto"/>
        <w:ind w:right="97" w:firstLine="708"/>
        <w:jc w:val="both"/>
        <w:rPr>
          <w:rFonts w:ascii="Arial" w:hAnsi="Arial" w:cs="Arial"/>
        </w:rPr>
      </w:pPr>
      <w:r w:rsidRPr="00AD5CC7">
        <w:rPr>
          <w:rFonts w:ascii="Arial" w:hAnsi="Arial" w:cs="Arial"/>
        </w:rPr>
        <w:t xml:space="preserve">Twenty patients were included in the study, 13 females and 7 males, with mean age of 48.8 years ± </w:t>
      </w:r>
      <w:proofErr w:type="gramStart"/>
      <w:r w:rsidRPr="00AD5CC7">
        <w:rPr>
          <w:rFonts w:ascii="Arial" w:hAnsi="Arial" w:cs="Arial"/>
        </w:rPr>
        <w:t>9.98 .</w:t>
      </w:r>
      <w:proofErr w:type="gramEnd"/>
      <w:r w:rsidRPr="00AD5CC7">
        <w:rPr>
          <w:rFonts w:ascii="Arial" w:hAnsi="Arial" w:cs="Arial"/>
        </w:rPr>
        <w:t xml:space="preserve"> The mean time since diagnosis of type 2 DM was 12.9 years ± </w:t>
      </w:r>
      <w:proofErr w:type="gramStart"/>
      <w:r w:rsidRPr="00AD5CC7">
        <w:rPr>
          <w:rFonts w:ascii="Arial" w:hAnsi="Arial" w:cs="Arial"/>
        </w:rPr>
        <w:t>12.4 .</w:t>
      </w:r>
      <w:proofErr w:type="gramEnd"/>
      <w:r w:rsidRPr="00AD5CC7">
        <w:rPr>
          <w:rFonts w:ascii="Arial" w:hAnsi="Arial" w:cs="Arial"/>
        </w:rPr>
        <w:t xml:space="preserve"> All individuals were using oral medication to control DM 2. In addition to oral medication, 7 patients were concomitantly using insulin. The mean body mass index (BMI) in the patients was 31.85 kg/m </w:t>
      </w:r>
      <w:r w:rsidRPr="00AD5CC7">
        <w:rPr>
          <w:rFonts w:ascii="Arial" w:hAnsi="Arial" w:cs="Arial"/>
          <w:vertAlign w:val="superscript"/>
        </w:rPr>
        <w:t xml:space="preserve">2 </w:t>
      </w:r>
      <w:r w:rsidRPr="00AD5CC7">
        <w:rPr>
          <w:rFonts w:ascii="Arial" w:hAnsi="Arial" w:cs="Arial"/>
        </w:rPr>
        <w:t xml:space="preserve">± </w:t>
      </w:r>
      <w:proofErr w:type="gramStart"/>
      <w:r w:rsidRPr="00AD5CC7">
        <w:rPr>
          <w:rFonts w:ascii="Arial" w:hAnsi="Arial" w:cs="Arial"/>
        </w:rPr>
        <w:t>4.60 ,</w:t>
      </w:r>
      <w:proofErr w:type="gramEnd"/>
      <w:r w:rsidRPr="00AD5CC7">
        <w:rPr>
          <w:rFonts w:ascii="Arial" w:hAnsi="Arial" w:cs="Arial"/>
        </w:rPr>
        <w:t xml:space="preserve"> characterized as obesity grade I.</w:t>
      </w:r>
    </w:p>
    <w:p w14:paraId="4C7F9471" w14:textId="77777777" w:rsidR="00AD5CC7" w:rsidRDefault="00AD5CC7" w:rsidP="00AD5CC7">
      <w:pPr>
        <w:spacing w:line="276" w:lineRule="auto"/>
        <w:ind w:firstLine="720"/>
        <w:jc w:val="both"/>
        <w:rPr>
          <w:rFonts w:ascii="Arial" w:hAnsi="Arial" w:cs="Arial"/>
        </w:rPr>
      </w:pPr>
      <w:r w:rsidRPr="00AD5CC7">
        <w:rPr>
          <w:rFonts w:ascii="Arial" w:hAnsi="Arial" w:cs="Arial"/>
        </w:rPr>
        <w:t xml:space="preserve">Table 1 shows the clinical parameters evaluated at baseline and at the 90-day reassessment. There was reduction in the periodontal parameters: probing depth and clinical attachment level at 90 days when compared to the initial period but with no difference between the side treated with SRP alone and the side treated with SRP + </w:t>
      </w:r>
      <w:proofErr w:type="spellStart"/>
      <w:r w:rsidRPr="00AD5CC7">
        <w:rPr>
          <w:rFonts w:ascii="Arial" w:hAnsi="Arial" w:cs="Arial"/>
        </w:rPr>
        <w:t>aPDT</w:t>
      </w:r>
      <w:proofErr w:type="spellEnd"/>
      <w:r w:rsidRPr="00AD5CC7">
        <w:rPr>
          <w:rFonts w:ascii="Arial" w:hAnsi="Arial" w:cs="Arial"/>
        </w:rPr>
        <w:t xml:space="preserve">, demonstrating that both treatments are effective in improving the periodontal condition. There was no change in the plaque index between two proposed treatments, comparing baseline and 90-day reassessment. The bleeding index on probing showed a statistically significant difference between the SRP side and the SRP + </w:t>
      </w:r>
      <w:proofErr w:type="spellStart"/>
      <w:r w:rsidRPr="00AD5CC7">
        <w:rPr>
          <w:rFonts w:ascii="Arial" w:hAnsi="Arial" w:cs="Arial"/>
        </w:rPr>
        <w:t>aPDT</w:t>
      </w:r>
      <w:proofErr w:type="spellEnd"/>
      <w:r w:rsidRPr="00AD5CC7">
        <w:rPr>
          <w:rFonts w:ascii="Arial" w:hAnsi="Arial" w:cs="Arial"/>
        </w:rPr>
        <w:t xml:space="preserve"> side at the initial evaluation. Due to this, there was a reduction in the </w:t>
      </w:r>
      <w:proofErr w:type="spellStart"/>
      <w:r w:rsidRPr="00AD5CC7">
        <w:rPr>
          <w:rFonts w:ascii="Arial" w:hAnsi="Arial" w:cs="Arial"/>
        </w:rPr>
        <w:t>BoP</w:t>
      </w:r>
      <w:proofErr w:type="spellEnd"/>
      <w:r w:rsidRPr="00AD5CC7">
        <w:rPr>
          <w:rFonts w:ascii="Arial" w:hAnsi="Arial" w:cs="Arial"/>
        </w:rPr>
        <w:t xml:space="preserve"> on the SRP + </w:t>
      </w:r>
      <w:proofErr w:type="spellStart"/>
      <w:r w:rsidRPr="00AD5CC7">
        <w:rPr>
          <w:rFonts w:ascii="Arial" w:hAnsi="Arial" w:cs="Arial"/>
        </w:rPr>
        <w:t>aPDT</w:t>
      </w:r>
      <w:proofErr w:type="spellEnd"/>
      <w:r w:rsidRPr="00AD5CC7">
        <w:rPr>
          <w:rFonts w:ascii="Arial" w:hAnsi="Arial" w:cs="Arial"/>
        </w:rPr>
        <w:t xml:space="preserve"> side when comparing the baseline and the 90-day period.</w:t>
      </w:r>
    </w:p>
    <w:p w14:paraId="556E8BFD" w14:textId="77777777" w:rsidR="00AD5CC7" w:rsidRPr="00AD5CC7" w:rsidRDefault="00AD5CC7" w:rsidP="00AD5CC7">
      <w:pPr>
        <w:spacing w:line="276" w:lineRule="auto"/>
        <w:ind w:firstLine="720"/>
        <w:jc w:val="both"/>
        <w:rPr>
          <w:rFonts w:ascii="Arial" w:hAnsi="Arial" w:cs="Arial"/>
        </w:rPr>
      </w:pPr>
    </w:p>
    <w:p w14:paraId="0CFD5A0E" w14:textId="77777777" w:rsidR="00AD5CC7" w:rsidRPr="00AD5CC7" w:rsidRDefault="00AD5CC7" w:rsidP="00AD5CC7">
      <w:pPr>
        <w:pStyle w:val="BodyText"/>
        <w:ind w:right="97"/>
        <w:jc w:val="both"/>
        <w:rPr>
          <w:rFonts w:ascii="Arial" w:hAnsi="Arial" w:cs="Arial"/>
          <w:b/>
        </w:rPr>
      </w:pPr>
      <w:r w:rsidRPr="00AD5CC7">
        <w:rPr>
          <w:rFonts w:ascii="Arial" w:hAnsi="Arial" w:cs="Arial"/>
          <w:b/>
        </w:rPr>
        <w:t xml:space="preserve">Table 1 – </w:t>
      </w:r>
      <w:r w:rsidRPr="00AD5CC7">
        <w:rPr>
          <w:rFonts w:ascii="Arial" w:hAnsi="Arial" w:cs="Arial"/>
        </w:rPr>
        <w:t>Periodontal clinical parameters of each group and period.</w:t>
      </w:r>
      <w:r w:rsidRPr="00AD5CC7">
        <w:rPr>
          <w:rFonts w:ascii="Arial" w:hAnsi="Arial" w:cs="Arial"/>
          <w:b/>
        </w:rPr>
        <w:t xml:space="preserve"> </w:t>
      </w:r>
    </w:p>
    <w:tbl>
      <w:tblPr>
        <w:tblStyle w:val="TableGrid"/>
        <w:tblW w:w="8790" w:type="dxa"/>
        <w:tblLook w:val="04A0" w:firstRow="1" w:lastRow="0" w:firstColumn="1" w:lastColumn="0" w:noHBand="0" w:noVBand="1"/>
      </w:tblPr>
      <w:tblGrid>
        <w:gridCol w:w="2197"/>
        <w:gridCol w:w="2197"/>
        <w:gridCol w:w="2198"/>
        <w:gridCol w:w="2198"/>
      </w:tblGrid>
      <w:tr w:rsidR="00AD5CC7" w:rsidRPr="00AD5CC7" w14:paraId="739308CE" w14:textId="77777777" w:rsidTr="004751FB">
        <w:trPr>
          <w:trHeight w:val="469"/>
        </w:trPr>
        <w:tc>
          <w:tcPr>
            <w:tcW w:w="2197" w:type="dxa"/>
          </w:tcPr>
          <w:p w14:paraId="6E748933" w14:textId="77777777" w:rsidR="00AD5CC7" w:rsidRPr="00AD5CC7" w:rsidRDefault="00AD5CC7" w:rsidP="00AD5CC7">
            <w:pPr>
              <w:pStyle w:val="BodyText"/>
              <w:ind w:right="97"/>
              <w:jc w:val="both"/>
              <w:rPr>
                <w:rFonts w:ascii="Arial" w:hAnsi="Arial" w:cs="Arial"/>
                <w:sz w:val="20"/>
                <w:szCs w:val="20"/>
              </w:rPr>
            </w:pPr>
          </w:p>
        </w:tc>
        <w:tc>
          <w:tcPr>
            <w:tcW w:w="2197" w:type="dxa"/>
          </w:tcPr>
          <w:p w14:paraId="07C059A0" w14:textId="77777777" w:rsidR="00AD5CC7" w:rsidRPr="00AD5CC7" w:rsidRDefault="00AD5CC7" w:rsidP="00AD5CC7">
            <w:pPr>
              <w:pStyle w:val="BodyText"/>
              <w:ind w:right="97"/>
              <w:jc w:val="both"/>
              <w:rPr>
                <w:rFonts w:ascii="Arial" w:hAnsi="Arial" w:cs="Arial"/>
                <w:sz w:val="20"/>
                <w:szCs w:val="20"/>
              </w:rPr>
            </w:pPr>
          </w:p>
        </w:tc>
        <w:tc>
          <w:tcPr>
            <w:tcW w:w="2198" w:type="dxa"/>
          </w:tcPr>
          <w:p w14:paraId="793AF868" w14:textId="77777777" w:rsidR="00AD5CC7" w:rsidRPr="00AD5CC7" w:rsidRDefault="00AD5CC7" w:rsidP="00AD5CC7">
            <w:pPr>
              <w:pStyle w:val="BodyText"/>
              <w:ind w:right="97"/>
              <w:jc w:val="both"/>
              <w:rPr>
                <w:rFonts w:ascii="Arial" w:hAnsi="Arial" w:cs="Arial"/>
                <w:b/>
                <w:sz w:val="20"/>
                <w:szCs w:val="20"/>
              </w:rPr>
            </w:pPr>
            <w:r w:rsidRPr="00AD5CC7">
              <w:rPr>
                <w:rFonts w:ascii="Arial" w:hAnsi="Arial" w:cs="Arial"/>
                <w:b/>
                <w:sz w:val="20"/>
                <w:szCs w:val="20"/>
              </w:rPr>
              <w:t>Baseline</w:t>
            </w:r>
          </w:p>
        </w:tc>
        <w:tc>
          <w:tcPr>
            <w:tcW w:w="2198" w:type="dxa"/>
          </w:tcPr>
          <w:p w14:paraId="6658B134" w14:textId="77777777" w:rsidR="00AD5CC7" w:rsidRPr="00AD5CC7" w:rsidRDefault="00AD5CC7" w:rsidP="00AD5CC7">
            <w:pPr>
              <w:pStyle w:val="BodyText"/>
              <w:ind w:right="97"/>
              <w:jc w:val="both"/>
              <w:rPr>
                <w:rFonts w:ascii="Arial" w:hAnsi="Arial" w:cs="Arial"/>
                <w:b/>
                <w:sz w:val="20"/>
                <w:szCs w:val="20"/>
              </w:rPr>
            </w:pPr>
            <w:r w:rsidRPr="00AD5CC7">
              <w:rPr>
                <w:rFonts w:ascii="Arial" w:hAnsi="Arial" w:cs="Arial"/>
                <w:b/>
                <w:sz w:val="20"/>
                <w:szCs w:val="20"/>
              </w:rPr>
              <w:t>90 days</w:t>
            </w:r>
          </w:p>
        </w:tc>
      </w:tr>
      <w:tr w:rsidR="00AD5CC7" w:rsidRPr="00AD5CC7" w14:paraId="56C1CFFA" w14:textId="77777777" w:rsidTr="004751FB">
        <w:trPr>
          <w:trHeight w:val="952"/>
        </w:trPr>
        <w:tc>
          <w:tcPr>
            <w:tcW w:w="2197" w:type="dxa"/>
          </w:tcPr>
          <w:p w14:paraId="6AC5BCC5"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PD (mm)</w:t>
            </w:r>
          </w:p>
        </w:tc>
        <w:tc>
          <w:tcPr>
            <w:tcW w:w="2197" w:type="dxa"/>
          </w:tcPr>
          <w:p w14:paraId="3EE7CE2C"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SRP</w:t>
            </w:r>
          </w:p>
          <w:p w14:paraId="5DDD4A85"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 xml:space="preserve">SRP + </w:t>
            </w:r>
            <w:proofErr w:type="spellStart"/>
            <w:r w:rsidRPr="00AD5CC7">
              <w:rPr>
                <w:rFonts w:ascii="Arial" w:hAnsi="Arial" w:cs="Arial"/>
                <w:sz w:val="20"/>
                <w:szCs w:val="20"/>
              </w:rPr>
              <w:t>aPDT</w:t>
            </w:r>
            <w:proofErr w:type="spellEnd"/>
          </w:p>
        </w:tc>
        <w:tc>
          <w:tcPr>
            <w:tcW w:w="2198" w:type="dxa"/>
          </w:tcPr>
          <w:p w14:paraId="0D80B6AC"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 xml:space="preserve">5.319 ± 0.556 </w:t>
            </w:r>
            <w:r w:rsidRPr="00AD5CC7">
              <w:rPr>
                <w:rFonts w:ascii="Arial" w:hAnsi="Arial" w:cs="Arial"/>
                <w:sz w:val="20"/>
                <w:szCs w:val="20"/>
                <w:vertAlign w:val="superscript"/>
              </w:rPr>
              <w:t>A</w:t>
            </w:r>
          </w:p>
          <w:p w14:paraId="1DEC9C9C"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 xml:space="preserve">5.318 ± 0.424 </w:t>
            </w:r>
            <w:r w:rsidRPr="00AD5CC7">
              <w:rPr>
                <w:rFonts w:ascii="Arial" w:hAnsi="Arial" w:cs="Arial"/>
                <w:sz w:val="20"/>
                <w:szCs w:val="20"/>
                <w:vertAlign w:val="superscript"/>
              </w:rPr>
              <w:t>A</w:t>
            </w:r>
          </w:p>
        </w:tc>
        <w:tc>
          <w:tcPr>
            <w:tcW w:w="2198" w:type="dxa"/>
          </w:tcPr>
          <w:p w14:paraId="1940C206"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 xml:space="preserve">3.234 ± 0.854 </w:t>
            </w:r>
            <w:r w:rsidRPr="00AD5CC7">
              <w:rPr>
                <w:rFonts w:ascii="Arial" w:hAnsi="Arial" w:cs="Arial"/>
                <w:sz w:val="20"/>
                <w:szCs w:val="20"/>
                <w:vertAlign w:val="superscript"/>
              </w:rPr>
              <w:t>B</w:t>
            </w:r>
          </w:p>
          <w:p w14:paraId="6460203E"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 xml:space="preserve">3.413 ± 0.815 </w:t>
            </w:r>
            <w:r w:rsidRPr="00AD5CC7">
              <w:rPr>
                <w:rFonts w:ascii="Arial" w:hAnsi="Arial" w:cs="Arial"/>
                <w:sz w:val="20"/>
                <w:szCs w:val="20"/>
                <w:vertAlign w:val="superscript"/>
              </w:rPr>
              <w:t>B</w:t>
            </w:r>
          </w:p>
        </w:tc>
      </w:tr>
      <w:tr w:rsidR="00AD5CC7" w:rsidRPr="00AD5CC7" w14:paraId="4329DD93" w14:textId="77777777" w:rsidTr="004751FB">
        <w:trPr>
          <w:trHeight w:val="952"/>
        </w:trPr>
        <w:tc>
          <w:tcPr>
            <w:tcW w:w="2197" w:type="dxa"/>
          </w:tcPr>
          <w:p w14:paraId="64548169"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CAL (mm)</w:t>
            </w:r>
          </w:p>
        </w:tc>
        <w:tc>
          <w:tcPr>
            <w:tcW w:w="2197" w:type="dxa"/>
          </w:tcPr>
          <w:p w14:paraId="18F57FF3"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SRP</w:t>
            </w:r>
          </w:p>
          <w:p w14:paraId="1D3A48D9"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 xml:space="preserve">SRP + </w:t>
            </w:r>
            <w:proofErr w:type="spellStart"/>
            <w:r w:rsidRPr="00AD5CC7">
              <w:rPr>
                <w:rFonts w:ascii="Arial" w:hAnsi="Arial" w:cs="Arial"/>
                <w:sz w:val="20"/>
                <w:szCs w:val="20"/>
              </w:rPr>
              <w:t>aPDT</w:t>
            </w:r>
            <w:proofErr w:type="spellEnd"/>
          </w:p>
        </w:tc>
        <w:tc>
          <w:tcPr>
            <w:tcW w:w="2198" w:type="dxa"/>
          </w:tcPr>
          <w:p w14:paraId="60096FD1"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 xml:space="preserve">5.899 ± 0.908 </w:t>
            </w:r>
            <w:r w:rsidRPr="00AD5CC7">
              <w:rPr>
                <w:rFonts w:ascii="Arial" w:hAnsi="Arial" w:cs="Arial"/>
                <w:sz w:val="20"/>
                <w:szCs w:val="20"/>
                <w:vertAlign w:val="superscript"/>
              </w:rPr>
              <w:t>A</w:t>
            </w:r>
          </w:p>
          <w:p w14:paraId="65138D99"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 xml:space="preserve">5.976 ± 1.545 </w:t>
            </w:r>
            <w:r w:rsidRPr="00AD5CC7">
              <w:rPr>
                <w:rFonts w:ascii="Arial" w:hAnsi="Arial" w:cs="Arial"/>
                <w:sz w:val="20"/>
                <w:szCs w:val="20"/>
                <w:vertAlign w:val="superscript"/>
              </w:rPr>
              <w:t>A</w:t>
            </w:r>
          </w:p>
        </w:tc>
        <w:tc>
          <w:tcPr>
            <w:tcW w:w="2198" w:type="dxa"/>
          </w:tcPr>
          <w:p w14:paraId="3A2C1D45"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 xml:space="preserve">3.701 ± 1.128 </w:t>
            </w:r>
            <w:r w:rsidRPr="00AD5CC7">
              <w:rPr>
                <w:rFonts w:ascii="Arial" w:hAnsi="Arial" w:cs="Arial"/>
                <w:sz w:val="20"/>
                <w:szCs w:val="20"/>
                <w:vertAlign w:val="superscript"/>
              </w:rPr>
              <w:t>B</w:t>
            </w:r>
          </w:p>
          <w:p w14:paraId="496BAF1E"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 xml:space="preserve">4.296 ± 1.723 </w:t>
            </w:r>
            <w:r w:rsidRPr="00AD5CC7">
              <w:rPr>
                <w:rFonts w:ascii="Arial" w:hAnsi="Arial" w:cs="Arial"/>
                <w:sz w:val="20"/>
                <w:szCs w:val="20"/>
                <w:vertAlign w:val="superscript"/>
              </w:rPr>
              <w:t>B</w:t>
            </w:r>
          </w:p>
        </w:tc>
      </w:tr>
      <w:tr w:rsidR="00AD5CC7" w:rsidRPr="00AD5CC7" w14:paraId="53B54064" w14:textId="77777777" w:rsidTr="004751FB">
        <w:trPr>
          <w:trHeight w:val="952"/>
        </w:trPr>
        <w:tc>
          <w:tcPr>
            <w:tcW w:w="2197" w:type="dxa"/>
          </w:tcPr>
          <w:p w14:paraId="38263BC6" w14:textId="77777777" w:rsidR="00AD5CC7" w:rsidRPr="00AD5CC7" w:rsidRDefault="00AD5CC7" w:rsidP="00AD5CC7">
            <w:pPr>
              <w:pStyle w:val="BodyText"/>
              <w:ind w:right="97"/>
              <w:jc w:val="both"/>
              <w:rPr>
                <w:rFonts w:ascii="Arial" w:hAnsi="Arial" w:cs="Arial"/>
                <w:sz w:val="20"/>
                <w:szCs w:val="20"/>
              </w:rPr>
            </w:pPr>
            <w:proofErr w:type="spellStart"/>
            <w:r w:rsidRPr="00AD5CC7">
              <w:rPr>
                <w:rFonts w:ascii="Arial" w:hAnsi="Arial" w:cs="Arial"/>
                <w:sz w:val="20"/>
                <w:szCs w:val="20"/>
              </w:rPr>
              <w:t>BoP</w:t>
            </w:r>
            <w:proofErr w:type="spellEnd"/>
            <w:r w:rsidRPr="00AD5CC7">
              <w:rPr>
                <w:rFonts w:ascii="Arial" w:hAnsi="Arial" w:cs="Arial"/>
                <w:sz w:val="20"/>
                <w:szCs w:val="20"/>
              </w:rPr>
              <w:t xml:space="preserve"> (%)</w:t>
            </w:r>
          </w:p>
        </w:tc>
        <w:tc>
          <w:tcPr>
            <w:tcW w:w="2197" w:type="dxa"/>
          </w:tcPr>
          <w:p w14:paraId="2DCFFFEF"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SRP</w:t>
            </w:r>
          </w:p>
          <w:p w14:paraId="1F9A47F9"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 xml:space="preserve">SRP + </w:t>
            </w:r>
            <w:proofErr w:type="spellStart"/>
            <w:r w:rsidRPr="00AD5CC7">
              <w:rPr>
                <w:rFonts w:ascii="Arial" w:hAnsi="Arial" w:cs="Arial"/>
                <w:sz w:val="20"/>
                <w:szCs w:val="20"/>
              </w:rPr>
              <w:t>aPDT</w:t>
            </w:r>
            <w:proofErr w:type="spellEnd"/>
          </w:p>
        </w:tc>
        <w:tc>
          <w:tcPr>
            <w:tcW w:w="2198" w:type="dxa"/>
          </w:tcPr>
          <w:p w14:paraId="7CC7CE41"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 xml:space="preserve">39.8% ± 8,16 </w:t>
            </w:r>
            <w:r w:rsidRPr="00AD5CC7">
              <w:rPr>
                <w:rFonts w:ascii="Arial" w:hAnsi="Arial" w:cs="Arial"/>
                <w:sz w:val="20"/>
                <w:szCs w:val="20"/>
                <w:vertAlign w:val="superscript"/>
              </w:rPr>
              <w:t>A</w:t>
            </w:r>
          </w:p>
          <w:p w14:paraId="184099AA"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 xml:space="preserve">53.3% ± 8,18 </w:t>
            </w:r>
            <w:r w:rsidRPr="00AD5CC7">
              <w:rPr>
                <w:rFonts w:ascii="Arial" w:hAnsi="Arial" w:cs="Arial"/>
                <w:sz w:val="20"/>
                <w:szCs w:val="20"/>
                <w:vertAlign w:val="superscript"/>
              </w:rPr>
              <w:t>B</w:t>
            </w:r>
          </w:p>
        </w:tc>
        <w:tc>
          <w:tcPr>
            <w:tcW w:w="2198" w:type="dxa"/>
          </w:tcPr>
          <w:p w14:paraId="0153C097"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 xml:space="preserve">28.6% ± 7,58 </w:t>
            </w:r>
            <w:r w:rsidRPr="00AD5CC7">
              <w:rPr>
                <w:rFonts w:ascii="Arial" w:hAnsi="Arial" w:cs="Arial"/>
                <w:sz w:val="20"/>
                <w:szCs w:val="20"/>
                <w:vertAlign w:val="superscript"/>
              </w:rPr>
              <w:t>A</w:t>
            </w:r>
          </w:p>
          <w:p w14:paraId="05100C51"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 xml:space="preserve">26.1% ± 6,63 </w:t>
            </w:r>
            <w:r w:rsidRPr="00AD5CC7">
              <w:rPr>
                <w:rFonts w:ascii="Arial" w:hAnsi="Arial" w:cs="Arial"/>
                <w:sz w:val="20"/>
                <w:szCs w:val="20"/>
                <w:vertAlign w:val="superscript"/>
              </w:rPr>
              <w:t>A</w:t>
            </w:r>
          </w:p>
        </w:tc>
      </w:tr>
      <w:tr w:rsidR="00AD5CC7" w:rsidRPr="00AD5CC7" w14:paraId="44EBA10B" w14:textId="77777777" w:rsidTr="004751FB">
        <w:trPr>
          <w:trHeight w:val="939"/>
        </w:trPr>
        <w:tc>
          <w:tcPr>
            <w:tcW w:w="2197" w:type="dxa"/>
          </w:tcPr>
          <w:p w14:paraId="6B740DCE"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PI (%)</w:t>
            </w:r>
          </w:p>
        </w:tc>
        <w:tc>
          <w:tcPr>
            <w:tcW w:w="2197" w:type="dxa"/>
          </w:tcPr>
          <w:p w14:paraId="5E4291BE"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SRP</w:t>
            </w:r>
          </w:p>
          <w:p w14:paraId="3ADE143E"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 xml:space="preserve">SRP + </w:t>
            </w:r>
            <w:proofErr w:type="spellStart"/>
            <w:r w:rsidRPr="00AD5CC7">
              <w:rPr>
                <w:rFonts w:ascii="Arial" w:hAnsi="Arial" w:cs="Arial"/>
                <w:sz w:val="20"/>
                <w:szCs w:val="20"/>
              </w:rPr>
              <w:t>aPDT</w:t>
            </w:r>
            <w:proofErr w:type="spellEnd"/>
          </w:p>
        </w:tc>
        <w:tc>
          <w:tcPr>
            <w:tcW w:w="2198" w:type="dxa"/>
          </w:tcPr>
          <w:p w14:paraId="74BB6FC7"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51.9% ± 11,8</w:t>
            </w:r>
          </w:p>
          <w:p w14:paraId="55BC1CA7"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50.5% ± 11,2</w:t>
            </w:r>
          </w:p>
        </w:tc>
        <w:tc>
          <w:tcPr>
            <w:tcW w:w="2198" w:type="dxa"/>
          </w:tcPr>
          <w:p w14:paraId="2CA41A25"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40.8% ± 12,5</w:t>
            </w:r>
          </w:p>
          <w:p w14:paraId="2E8BD15D" w14:textId="77777777" w:rsidR="00AD5CC7" w:rsidRPr="00AD5CC7" w:rsidRDefault="00AD5CC7" w:rsidP="00AD5CC7">
            <w:pPr>
              <w:pStyle w:val="BodyText"/>
              <w:ind w:right="97"/>
              <w:jc w:val="both"/>
              <w:rPr>
                <w:rFonts w:ascii="Arial" w:hAnsi="Arial" w:cs="Arial"/>
                <w:sz w:val="20"/>
                <w:szCs w:val="20"/>
              </w:rPr>
            </w:pPr>
            <w:r w:rsidRPr="00AD5CC7">
              <w:rPr>
                <w:rFonts w:ascii="Arial" w:hAnsi="Arial" w:cs="Arial"/>
                <w:sz w:val="20"/>
                <w:szCs w:val="20"/>
              </w:rPr>
              <w:t>33.2% ± 10,8</w:t>
            </w:r>
          </w:p>
        </w:tc>
      </w:tr>
    </w:tbl>
    <w:p w14:paraId="1E8E0F0C" w14:textId="77777777" w:rsidR="00AD5CC7" w:rsidRPr="00AD5CC7" w:rsidRDefault="00AD5CC7" w:rsidP="00AD5CC7">
      <w:pPr>
        <w:autoSpaceDE w:val="0"/>
        <w:jc w:val="both"/>
        <w:rPr>
          <w:rFonts w:ascii="Arial" w:hAnsi="Arial" w:cs="Arial"/>
          <w:bCs/>
          <w:color w:val="000000"/>
        </w:rPr>
      </w:pPr>
      <w:r w:rsidRPr="00AD5CC7">
        <w:rPr>
          <w:rFonts w:ascii="Arial" w:hAnsi="Arial" w:cs="Arial"/>
          <w:bCs/>
          <w:color w:val="000000"/>
        </w:rPr>
        <w:t xml:space="preserve">Different capital letters represent statistically significant difference (one-way ANOVA, </w:t>
      </w:r>
      <w:r>
        <w:rPr>
          <w:rFonts w:ascii="Arial" w:hAnsi="Arial" w:cs="Arial"/>
          <w:bCs/>
          <w:color w:val="000000"/>
        </w:rPr>
        <w:t>P=</w:t>
      </w:r>
      <w:r w:rsidRPr="00AD5CC7">
        <w:rPr>
          <w:rFonts w:ascii="Arial" w:hAnsi="Arial" w:cs="Arial"/>
          <w:bCs/>
          <w:color w:val="000000"/>
        </w:rPr>
        <w:t>.05).</w:t>
      </w:r>
    </w:p>
    <w:p w14:paraId="4AE3EFFD" w14:textId="77777777" w:rsidR="00AD5CC7" w:rsidRPr="00AD5CC7" w:rsidRDefault="00AD5CC7" w:rsidP="00AD5CC7">
      <w:pPr>
        <w:autoSpaceDE w:val="0"/>
        <w:jc w:val="both"/>
        <w:rPr>
          <w:rFonts w:ascii="Arial" w:hAnsi="Arial" w:cs="Arial"/>
          <w:bCs/>
          <w:color w:val="000000"/>
        </w:rPr>
      </w:pPr>
    </w:p>
    <w:p w14:paraId="257A9255" w14:textId="77777777" w:rsidR="00AD5CC7" w:rsidRPr="00AD5CC7" w:rsidRDefault="00AD5CC7" w:rsidP="00AD5CC7">
      <w:pPr>
        <w:autoSpaceDE w:val="0"/>
        <w:ind w:firstLine="708"/>
        <w:jc w:val="both"/>
        <w:rPr>
          <w:rFonts w:ascii="Arial" w:hAnsi="Arial" w:cs="Arial"/>
          <w:b/>
          <w:bCs/>
        </w:rPr>
      </w:pPr>
      <w:r w:rsidRPr="00AD5CC7">
        <w:rPr>
          <w:rFonts w:ascii="Arial" w:hAnsi="Arial" w:cs="Arial"/>
          <w:bCs/>
        </w:rPr>
        <w:t xml:space="preserve">Table 2 shows the evaluation of gingival crevicular fluid in the treatment groups over a period of 90 days. In </w:t>
      </w:r>
      <w:r w:rsidRPr="00AD5CC7">
        <w:rPr>
          <w:rFonts w:ascii="Arial" w:hAnsi="Arial" w:cs="Arial"/>
        </w:rPr>
        <w:t xml:space="preserve">this study, it was observed that there </w:t>
      </w:r>
      <w:proofErr w:type="gramStart"/>
      <w:r w:rsidRPr="00AD5CC7">
        <w:rPr>
          <w:rFonts w:ascii="Arial" w:hAnsi="Arial" w:cs="Arial"/>
        </w:rPr>
        <w:t>was  significant</w:t>
      </w:r>
      <w:proofErr w:type="gramEnd"/>
      <w:r w:rsidRPr="00AD5CC7">
        <w:rPr>
          <w:rFonts w:ascii="Arial" w:hAnsi="Arial" w:cs="Arial"/>
        </w:rPr>
        <w:t xml:space="preserve"> decrease </w:t>
      </w:r>
      <w:r w:rsidRPr="00AD5CC7">
        <w:rPr>
          <w:rFonts w:ascii="Arial" w:hAnsi="Arial" w:cs="Arial"/>
          <w:bCs/>
        </w:rPr>
        <w:t xml:space="preserve">in the amount of gingival crevicular fluid </w:t>
      </w:r>
      <w:r w:rsidRPr="00AD5CC7">
        <w:rPr>
          <w:rFonts w:ascii="Arial" w:hAnsi="Arial" w:cs="Arial"/>
        </w:rPr>
        <w:t xml:space="preserve">in the </w:t>
      </w:r>
      <w:proofErr w:type="spellStart"/>
      <w:r w:rsidRPr="00AD5CC7">
        <w:rPr>
          <w:rFonts w:ascii="Arial" w:hAnsi="Arial" w:cs="Arial"/>
        </w:rPr>
        <w:t>SRP+aPDT</w:t>
      </w:r>
      <w:proofErr w:type="spellEnd"/>
      <w:r w:rsidRPr="00AD5CC7">
        <w:rPr>
          <w:rFonts w:ascii="Arial" w:hAnsi="Arial" w:cs="Arial"/>
        </w:rPr>
        <w:t xml:space="preserve"> group after 90 days.</w:t>
      </w:r>
    </w:p>
    <w:p w14:paraId="6A4C7D0D" w14:textId="77777777" w:rsidR="00AD5CC7" w:rsidRPr="00AD5CC7" w:rsidRDefault="00AD5CC7" w:rsidP="00AD5CC7">
      <w:pPr>
        <w:autoSpaceDE w:val="0"/>
        <w:jc w:val="both"/>
        <w:rPr>
          <w:rFonts w:ascii="Arial" w:hAnsi="Arial" w:cs="Arial"/>
          <w:bCs/>
          <w:color w:val="000000"/>
        </w:rPr>
      </w:pPr>
    </w:p>
    <w:tbl>
      <w:tblPr>
        <w:tblStyle w:val="TableGrid"/>
        <w:tblpPr w:leftFromText="141" w:rightFromText="141" w:vertAnchor="text" w:horzAnchor="page" w:tblpX="2461" w:tblpY="902"/>
        <w:tblW w:w="7278" w:type="dxa"/>
        <w:tblLayout w:type="fixed"/>
        <w:tblLook w:val="04A0" w:firstRow="1" w:lastRow="0" w:firstColumn="1" w:lastColumn="0" w:noHBand="0" w:noVBand="1"/>
      </w:tblPr>
      <w:tblGrid>
        <w:gridCol w:w="2130"/>
        <w:gridCol w:w="2130"/>
        <w:gridCol w:w="3018"/>
      </w:tblGrid>
      <w:tr w:rsidR="00AD5CC7" w:rsidRPr="00AD5CC7" w14:paraId="633F77E1" w14:textId="77777777" w:rsidTr="004751FB">
        <w:trPr>
          <w:trHeight w:val="342"/>
        </w:trPr>
        <w:tc>
          <w:tcPr>
            <w:tcW w:w="2130" w:type="dxa"/>
          </w:tcPr>
          <w:p w14:paraId="13664214" w14:textId="77777777" w:rsidR="00AD5CC7" w:rsidRPr="00AD5CC7" w:rsidRDefault="00AD5CC7" w:rsidP="00AD5CC7">
            <w:pPr>
              <w:tabs>
                <w:tab w:val="left" w:pos="9070"/>
              </w:tabs>
              <w:autoSpaceDE w:val="0"/>
              <w:autoSpaceDN w:val="0"/>
              <w:adjustRightInd w:val="0"/>
              <w:spacing w:line="360" w:lineRule="auto"/>
              <w:jc w:val="both"/>
              <w:rPr>
                <w:rFonts w:ascii="Arial" w:hAnsi="Arial" w:cs="Arial"/>
                <w:bCs/>
                <w:sz w:val="20"/>
                <w:szCs w:val="20"/>
              </w:rPr>
            </w:pPr>
            <w:r w:rsidRPr="00AD5CC7">
              <w:rPr>
                <w:rFonts w:ascii="Arial" w:hAnsi="Arial" w:cs="Arial"/>
                <w:bCs/>
                <w:sz w:val="20"/>
                <w:szCs w:val="20"/>
              </w:rPr>
              <w:t>Groups</w:t>
            </w:r>
          </w:p>
        </w:tc>
        <w:tc>
          <w:tcPr>
            <w:tcW w:w="2130" w:type="dxa"/>
          </w:tcPr>
          <w:p w14:paraId="5501B163" w14:textId="77777777" w:rsidR="00AD5CC7" w:rsidRPr="00AD5CC7" w:rsidRDefault="00AD5CC7" w:rsidP="00AD5CC7">
            <w:pPr>
              <w:jc w:val="both"/>
              <w:rPr>
                <w:rFonts w:ascii="Arial" w:eastAsia="Times New Roman" w:hAnsi="Arial" w:cs="Arial"/>
                <w:bCs/>
                <w:sz w:val="20"/>
                <w:szCs w:val="20"/>
              </w:rPr>
            </w:pPr>
            <w:r w:rsidRPr="00AD5CC7">
              <w:rPr>
                <w:rFonts w:ascii="Arial" w:hAnsi="Arial" w:cs="Arial"/>
                <w:bCs/>
                <w:sz w:val="20"/>
                <w:szCs w:val="20"/>
              </w:rPr>
              <w:t>SRP</w:t>
            </w:r>
          </w:p>
          <w:p w14:paraId="3CFEFEAD" w14:textId="77777777" w:rsidR="00AD5CC7" w:rsidRPr="00AD5CC7" w:rsidRDefault="00AD5CC7" w:rsidP="00AD5CC7">
            <w:pPr>
              <w:tabs>
                <w:tab w:val="left" w:pos="9070"/>
              </w:tabs>
              <w:autoSpaceDE w:val="0"/>
              <w:autoSpaceDN w:val="0"/>
              <w:adjustRightInd w:val="0"/>
              <w:spacing w:line="360" w:lineRule="auto"/>
              <w:jc w:val="both"/>
              <w:rPr>
                <w:rFonts w:ascii="Arial" w:hAnsi="Arial" w:cs="Arial"/>
                <w:bCs/>
                <w:sz w:val="20"/>
                <w:szCs w:val="20"/>
              </w:rPr>
            </w:pPr>
          </w:p>
        </w:tc>
        <w:tc>
          <w:tcPr>
            <w:tcW w:w="3018" w:type="dxa"/>
          </w:tcPr>
          <w:p w14:paraId="1D7D1947" w14:textId="77777777" w:rsidR="00AD5CC7" w:rsidRPr="00AD5CC7" w:rsidRDefault="00AD5CC7" w:rsidP="00AD5CC7">
            <w:pPr>
              <w:jc w:val="both"/>
              <w:rPr>
                <w:rFonts w:ascii="Arial" w:hAnsi="Arial" w:cs="Arial"/>
                <w:bCs/>
                <w:sz w:val="20"/>
                <w:szCs w:val="20"/>
              </w:rPr>
            </w:pPr>
            <w:proofErr w:type="spellStart"/>
            <w:r w:rsidRPr="00AD5CC7">
              <w:rPr>
                <w:rFonts w:ascii="Arial" w:hAnsi="Arial" w:cs="Arial"/>
                <w:bCs/>
                <w:sz w:val="20"/>
                <w:szCs w:val="20"/>
              </w:rPr>
              <w:t>SRP+aPDT</w:t>
            </w:r>
            <w:proofErr w:type="spellEnd"/>
          </w:p>
        </w:tc>
      </w:tr>
      <w:tr w:rsidR="00AD5CC7" w:rsidRPr="00AD5CC7" w14:paraId="522DDC4C" w14:textId="77777777" w:rsidTr="004751FB">
        <w:trPr>
          <w:trHeight w:val="381"/>
        </w:trPr>
        <w:tc>
          <w:tcPr>
            <w:tcW w:w="2130" w:type="dxa"/>
          </w:tcPr>
          <w:p w14:paraId="14E6F0B2" w14:textId="77777777" w:rsidR="00AD5CC7" w:rsidRPr="00AD5CC7" w:rsidRDefault="00AD5CC7" w:rsidP="00AD5CC7">
            <w:pPr>
              <w:tabs>
                <w:tab w:val="left" w:pos="9070"/>
              </w:tabs>
              <w:autoSpaceDE w:val="0"/>
              <w:autoSpaceDN w:val="0"/>
              <w:adjustRightInd w:val="0"/>
              <w:spacing w:line="360" w:lineRule="auto"/>
              <w:jc w:val="both"/>
              <w:rPr>
                <w:rFonts w:ascii="Arial" w:hAnsi="Arial" w:cs="Arial"/>
                <w:b/>
                <w:bCs/>
                <w:sz w:val="20"/>
                <w:szCs w:val="20"/>
              </w:rPr>
            </w:pPr>
            <w:r w:rsidRPr="00AD5CC7">
              <w:rPr>
                <w:rFonts w:ascii="Arial" w:hAnsi="Arial" w:cs="Arial"/>
                <w:b/>
                <w:sz w:val="20"/>
                <w:szCs w:val="20"/>
              </w:rPr>
              <w:t>Baseline</w:t>
            </w:r>
          </w:p>
        </w:tc>
        <w:tc>
          <w:tcPr>
            <w:tcW w:w="2130" w:type="dxa"/>
          </w:tcPr>
          <w:p w14:paraId="7AAC9D19" w14:textId="77777777" w:rsidR="00AD5CC7" w:rsidRPr="00AD5CC7" w:rsidRDefault="00AD5CC7" w:rsidP="00AD5CC7">
            <w:pPr>
              <w:tabs>
                <w:tab w:val="left" w:pos="9070"/>
              </w:tabs>
              <w:autoSpaceDE w:val="0"/>
              <w:autoSpaceDN w:val="0"/>
              <w:adjustRightInd w:val="0"/>
              <w:spacing w:line="360" w:lineRule="auto"/>
              <w:jc w:val="both"/>
              <w:rPr>
                <w:rFonts w:ascii="Arial" w:hAnsi="Arial" w:cs="Arial"/>
                <w:b/>
                <w:sz w:val="20"/>
                <w:szCs w:val="20"/>
              </w:rPr>
            </w:pPr>
            <w:r w:rsidRPr="00AD5CC7">
              <w:rPr>
                <w:rFonts w:ascii="Arial" w:hAnsi="Arial" w:cs="Arial"/>
                <w:sz w:val="20"/>
                <w:szCs w:val="20"/>
              </w:rPr>
              <w:t xml:space="preserve">7.91 ± 4.53 </w:t>
            </w:r>
            <w:r w:rsidRPr="00AD5CC7">
              <w:rPr>
                <w:rFonts w:ascii="Arial" w:hAnsi="Arial" w:cs="Arial"/>
                <w:sz w:val="20"/>
                <w:szCs w:val="20"/>
                <w:vertAlign w:val="superscript"/>
              </w:rPr>
              <w:t>A</w:t>
            </w:r>
          </w:p>
        </w:tc>
        <w:tc>
          <w:tcPr>
            <w:tcW w:w="3018" w:type="dxa"/>
          </w:tcPr>
          <w:p w14:paraId="4B13D060" w14:textId="77777777" w:rsidR="00AD5CC7" w:rsidRPr="00AD5CC7" w:rsidRDefault="00AD5CC7" w:rsidP="00AD5CC7">
            <w:pPr>
              <w:tabs>
                <w:tab w:val="left" w:pos="9070"/>
              </w:tabs>
              <w:autoSpaceDE w:val="0"/>
              <w:autoSpaceDN w:val="0"/>
              <w:adjustRightInd w:val="0"/>
              <w:spacing w:line="360" w:lineRule="auto"/>
              <w:jc w:val="both"/>
              <w:rPr>
                <w:rFonts w:ascii="Arial" w:hAnsi="Arial" w:cs="Arial"/>
                <w:b/>
                <w:sz w:val="20"/>
                <w:szCs w:val="20"/>
              </w:rPr>
            </w:pPr>
            <w:r w:rsidRPr="00AD5CC7">
              <w:rPr>
                <w:rFonts w:ascii="Arial" w:hAnsi="Arial" w:cs="Arial"/>
                <w:sz w:val="20"/>
                <w:szCs w:val="20"/>
              </w:rPr>
              <w:t xml:space="preserve">8.02 ± 3.08 </w:t>
            </w:r>
            <w:r w:rsidRPr="00AD5CC7">
              <w:rPr>
                <w:rFonts w:ascii="Arial" w:hAnsi="Arial" w:cs="Arial"/>
                <w:sz w:val="20"/>
                <w:szCs w:val="20"/>
                <w:vertAlign w:val="superscript"/>
              </w:rPr>
              <w:t>A</w:t>
            </w:r>
          </w:p>
        </w:tc>
      </w:tr>
      <w:tr w:rsidR="00AD5CC7" w:rsidRPr="00AD5CC7" w14:paraId="22250DDA" w14:textId="77777777" w:rsidTr="004751FB">
        <w:trPr>
          <w:trHeight w:val="288"/>
        </w:trPr>
        <w:tc>
          <w:tcPr>
            <w:tcW w:w="2130" w:type="dxa"/>
          </w:tcPr>
          <w:p w14:paraId="44693F41" w14:textId="77777777" w:rsidR="00AD5CC7" w:rsidRPr="00AD5CC7" w:rsidRDefault="00AD5CC7" w:rsidP="00AD5CC7">
            <w:pPr>
              <w:tabs>
                <w:tab w:val="left" w:pos="9070"/>
              </w:tabs>
              <w:autoSpaceDE w:val="0"/>
              <w:autoSpaceDN w:val="0"/>
              <w:adjustRightInd w:val="0"/>
              <w:spacing w:line="360" w:lineRule="auto"/>
              <w:jc w:val="both"/>
              <w:rPr>
                <w:rFonts w:ascii="Arial" w:hAnsi="Arial" w:cs="Arial"/>
                <w:b/>
                <w:bCs/>
                <w:sz w:val="20"/>
                <w:szCs w:val="20"/>
              </w:rPr>
            </w:pPr>
            <w:r w:rsidRPr="00AD5CC7">
              <w:rPr>
                <w:rFonts w:ascii="Arial" w:hAnsi="Arial" w:cs="Arial"/>
                <w:b/>
                <w:sz w:val="20"/>
                <w:szCs w:val="20"/>
              </w:rPr>
              <w:t>90 days</w:t>
            </w:r>
          </w:p>
        </w:tc>
        <w:tc>
          <w:tcPr>
            <w:tcW w:w="2130" w:type="dxa"/>
          </w:tcPr>
          <w:p w14:paraId="14AC6CD1" w14:textId="77777777" w:rsidR="00AD5CC7" w:rsidRPr="00AD5CC7" w:rsidRDefault="00AD5CC7" w:rsidP="00AD5CC7">
            <w:pPr>
              <w:tabs>
                <w:tab w:val="left" w:pos="9070"/>
              </w:tabs>
              <w:spacing w:line="360" w:lineRule="auto"/>
              <w:jc w:val="both"/>
              <w:rPr>
                <w:rFonts w:ascii="Arial" w:hAnsi="Arial" w:cs="Arial"/>
                <w:b/>
                <w:sz w:val="20"/>
                <w:szCs w:val="20"/>
              </w:rPr>
            </w:pPr>
            <w:r w:rsidRPr="00AD5CC7">
              <w:rPr>
                <w:rFonts w:ascii="Arial" w:hAnsi="Arial" w:cs="Arial"/>
                <w:sz w:val="20"/>
                <w:szCs w:val="20"/>
              </w:rPr>
              <w:t xml:space="preserve">5.59 ± 5.56 </w:t>
            </w:r>
            <w:r w:rsidRPr="00AD5CC7">
              <w:rPr>
                <w:rFonts w:ascii="Arial" w:hAnsi="Arial" w:cs="Arial"/>
                <w:sz w:val="20"/>
                <w:szCs w:val="20"/>
                <w:vertAlign w:val="superscript"/>
              </w:rPr>
              <w:t>A</w:t>
            </w:r>
          </w:p>
        </w:tc>
        <w:tc>
          <w:tcPr>
            <w:tcW w:w="3018" w:type="dxa"/>
          </w:tcPr>
          <w:p w14:paraId="35D75D5A" w14:textId="77777777" w:rsidR="00AD5CC7" w:rsidRPr="00AD5CC7" w:rsidRDefault="00AD5CC7" w:rsidP="00AD5CC7">
            <w:pPr>
              <w:tabs>
                <w:tab w:val="left" w:pos="9070"/>
              </w:tabs>
              <w:spacing w:line="360" w:lineRule="auto"/>
              <w:jc w:val="both"/>
              <w:rPr>
                <w:rFonts w:ascii="Arial" w:hAnsi="Arial" w:cs="Arial"/>
                <w:sz w:val="20"/>
                <w:szCs w:val="20"/>
              </w:rPr>
            </w:pPr>
            <w:r w:rsidRPr="00AD5CC7">
              <w:rPr>
                <w:rFonts w:ascii="Arial" w:hAnsi="Arial" w:cs="Arial"/>
                <w:sz w:val="20"/>
                <w:szCs w:val="20"/>
              </w:rPr>
              <w:t xml:space="preserve">4.84 ± 2.87 </w:t>
            </w:r>
            <w:r w:rsidRPr="00AD5CC7">
              <w:rPr>
                <w:rFonts w:ascii="Arial" w:hAnsi="Arial" w:cs="Arial"/>
                <w:sz w:val="20"/>
                <w:szCs w:val="20"/>
                <w:vertAlign w:val="superscript"/>
              </w:rPr>
              <w:t>B</w:t>
            </w:r>
          </w:p>
        </w:tc>
      </w:tr>
    </w:tbl>
    <w:p w14:paraId="02913AF7" w14:textId="77777777" w:rsidR="00AD5CC7" w:rsidRPr="00AD5CC7" w:rsidRDefault="00AD5CC7" w:rsidP="00AD5CC7">
      <w:pPr>
        <w:autoSpaceDE w:val="0"/>
        <w:spacing w:line="276" w:lineRule="auto"/>
        <w:jc w:val="both"/>
        <w:rPr>
          <w:rFonts w:ascii="Arial" w:hAnsi="Arial" w:cs="Arial"/>
        </w:rPr>
      </w:pPr>
      <w:r w:rsidRPr="00AD5CC7">
        <w:rPr>
          <w:rFonts w:ascii="Arial" w:hAnsi="Arial" w:cs="Arial"/>
          <w:b/>
          <w:bCs/>
        </w:rPr>
        <w:t xml:space="preserve">Table 2– </w:t>
      </w:r>
      <w:r w:rsidRPr="00AD5CC7">
        <w:rPr>
          <w:rFonts w:ascii="Arial" w:hAnsi="Arial" w:cs="Arial"/>
        </w:rPr>
        <w:t>Gingival Crevicular Fluid measurements in both groups at baseline and 90 days.</w:t>
      </w:r>
    </w:p>
    <w:p w14:paraId="188FD63F" w14:textId="77777777" w:rsidR="00AD5CC7" w:rsidRPr="00AD5CC7" w:rsidRDefault="00AD5CC7" w:rsidP="00AD5CC7">
      <w:pPr>
        <w:autoSpaceDE w:val="0"/>
        <w:jc w:val="both"/>
        <w:rPr>
          <w:rFonts w:ascii="Arial" w:hAnsi="Arial" w:cs="Arial"/>
          <w:bCs/>
          <w:color w:val="000000"/>
        </w:rPr>
      </w:pPr>
    </w:p>
    <w:p w14:paraId="611AF16C" w14:textId="77777777" w:rsidR="00AD5CC7" w:rsidRPr="00AD5CC7" w:rsidRDefault="00AD5CC7" w:rsidP="00AD5CC7">
      <w:pPr>
        <w:autoSpaceDE w:val="0"/>
        <w:jc w:val="both"/>
        <w:rPr>
          <w:rFonts w:ascii="Arial" w:hAnsi="Arial" w:cs="Arial"/>
          <w:bCs/>
          <w:color w:val="000000"/>
        </w:rPr>
      </w:pPr>
    </w:p>
    <w:p w14:paraId="61ACB877" w14:textId="77777777" w:rsidR="00AD5CC7" w:rsidRPr="00AD5CC7" w:rsidRDefault="00AD5CC7" w:rsidP="00AD5CC7">
      <w:pPr>
        <w:autoSpaceDE w:val="0"/>
        <w:jc w:val="both"/>
        <w:rPr>
          <w:rFonts w:ascii="Arial" w:hAnsi="Arial" w:cs="Arial"/>
          <w:bCs/>
          <w:color w:val="000000"/>
        </w:rPr>
      </w:pPr>
    </w:p>
    <w:p w14:paraId="3A2D8D37" w14:textId="77777777" w:rsidR="00AD5CC7" w:rsidRPr="00AD5CC7" w:rsidRDefault="00AD5CC7" w:rsidP="00AD5CC7">
      <w:pPr>
        <w:autoSpaceDE w:val="0"/>
        <w:jc w:val="both"/>
        <w:rPr>
          <w:rFonts w:ascii="Arial" w:hAnsi="Arial" w:cs="Arial"/>
          <w:bCs/>
          <w:color w:val="000000"/>
        </w:rPr>
      </w:pPr>
    </w:p>
    <w:p w14:paraId="008F449C" w14:textId="77777777" w:rsidR="00AD5CC7" w:rsidRPr="00AD5CC7" w:rsidRDefault="00AD5CC7" w:rsidP="00AD5CC7">
      <w:pPr>
        <w:autoSpaceDE w:val="0"/>
        <w:jc w:val="both"/>
        <w:rPr>
          <w:rFonts w:ascii="Arial" w:hAnsi="Arial" w:cs="Arial"/>
          <w:bCs/>
          <w:color w:val="000000"/>
        </w:rPr>
      </w:pPr>
    </w:p>
    <w:p w14:paraId="1347CF0B" w14:textId="77777777" w:rsidR="00AD5CC7" w:rsidRDefault="00AD5CC7" w:rsidP="00AD5CC7">
      <w:pPr>
        <w:autoSpaceDE w:val="0"/>
        <w:jc w:val="both"/>
        <w:rPr>
          <w:rFonts w:ascii="Arial" w:hAnsi="Arial" w:cs="Arial"/>
          <w:bCs/>
          <w:color w:val="000000"/>
        </w:rPr>
      </w:pPr>
    </w:p>
    <w:p w14:paraId="44DE9F94" w14:textId="77777777" w:rsidR="00AD5CC7" w:rsidRDefault="00AD5CC7" w:rsidP="00AD5CC7">
      <w:pPr>
        <w:autoSpaceDE w:val="0"/>
        <w:jc w:val="both"/>
        <w:rPr>
          <w:rFonts w:ascii="Arial" w:hAnsi="Arial" w:cs="Arial"/>
          <w:bCs/>
          <w:color w:val="000000"/>
        </w:rPr>
      </w:pPr>
    </w:p>
    <w:p w14:paraId="2B9CDA27" w14:textId="77777777" w:rsidR="00AD5CC7" w:rsidRDefault="00AD5CC7" w:rsidP="00AD5CC7">
      <w:pPr>
        <w:autoSpaceDE w:val="0"/>
        <w:jc w:val="both"/>
        <w:rPr>
          <w:rFonts w:ascii="Arial" w:hAnsi="Arial" w:cs="Arial"/>
          <w:bCs/>
          <w:color w:val="000000"/>
        </w:rPr>
      </w:pPr>
    </w:p>
    <w:p w14:paraId="3B69E32F" w14:textId="77777777" w:rsidR="00AD5CC7" w:rsidRDefault="00AD5CC7" w:rsidP="00AD5CC7">
      <w:pPr>
        <w:autoSpaceDE w:val="0"/>
        <w:jc w:val="both"/>
        <w:rPr>
          <w:rFonts w:ascii="Arial" w:hAnsi="Arial" w:cs="Arial"/>
          <w:bCs/>
          <w:color w:val="000000"/>
        </w:rPr>
      </w:pPr>
    </w:p>
    <w:p w14:paraId="683D53D2" w14:textId="77777777" w:rsidR="00AD5CC7" w:rsidRPr="00AD5CC7" w:rsidRDefault="00AD5CC7" w:rsidP="00AD5CC7">
      <w:pPr>
        <w:autoSpaceDE w:val="0"/>
        <w:jc w:val="both"/>
        <w:rPr>
          <w:rFonts w:ascii="Arial" w:hAnsi="Arial" w:cs="Arial"/>
          <w:bCs/>
          <w:color w:val="000000"/>
        </w:rPr>
      </w:pPr>
      <w:r w:rsidRPr="00AD5CC7">
        <w:rPr>
          <w:rFonts w:ascii="Arial" w:hAnsi="Arial" w:cs="Arial"/>
          <w:bCs/>
          <w:color w:val="000000"/>
        </w:rPr>
        <w:t>Different capital letters represent statistically significant difference (one-way ANOVA, P = .05).</w:t>
      </w:r>
    </w:p>
    <w:p w14:paraId="13C57FA6" w14:textId="77777777" w:rsidR="00AD5CC7" w:rsidRDefault="00AD5CC7" w:rsidP="00AD5CC7">
      <w:pPr>
        <w:autoSpaceDE w:val="0"/>
        <w:spacing w:line="276" w:lineRule="auto"/>
        <w:ind w:firstLine="720"/>
        <w:jc w:val="both"/>
        <w:rPr>
          <w:rFonts w:ascii="Arial" w:hAnsi="Arial" w:cs="Arial"/>
          <w:bCs/>
        </w:rPr>
      </w:pPr>
      <w:r w:rsidRPr="00AD5CC7">
        <w:rPr>
          <w:rFonts w:ascii="Arial" w:hAnsi="Arial" w:cs="Arial"/>
          <w:bCs/>
        </w:rPr>
        <w:t xml:space="preserve">Table 3 shows the results of the following laboratory tests: glycated hemoglobin, fasting blood glucose, triglycerides, total cholesterol, HDL and LDL cholesterol levels. There was a statistically significant reduction only in the glycated </w:t>
      </w:r>
      <w:r w:rsidRPr="00AD5CC7">
        <w:rPr>
          <w:rFonts w:ascii="Arial" w:hAnsi="Arial" w:cs="Arial"/>
          <w:bCs/>
        </w:rPr>
        <w:lastRenderedPageBreak/>
        <w:t>hemoglobin value at 90 days when compared to the initial value. The other laboratory tests did not show a statistically significant difference, but showed a tendency to improve after treatment in the 90-day reassessment.</w:t>
      </w:r>
    </w:p>
    <w:p w14:paraId="1ABECD69" w14:textId="77777777" w:rsidR="00AD5CC7" w:rsidRPr="00AD5CC7" w:rsidRDefault="00AD5CC7" w:rsidP="00AD5CC7">
      <w:pPr>
        <w:autoSpaceDE w:val="0"/>
        <w:spacing w:line="276" w:lineRule="auto"/>
        <w:ind w:firstLine="720"/>
        <w:jc w:val="both"/>
        <w:rPr>
          <w:rFonts w:ascii="Arial" w:hAnsi="Arial" w:cs="Arial"/>
          <w:bCs/>
        </w:rPr>
      </w:pPr>
    </w:p>
    <w:p w14:paraId="24DB0146" w14:textId="77777777" w:rsidR="00AD5CC7" w:rsidRPr="00AD5CC7" w:rsidRDefault="00AD5CC7" w:rsidP="00AD5CC7">
      <w:pPr>
        <w:jc w:val="both"/>
        <w:rPr>
          <w:rFonts w:ascii="Arial" w:hAnsi="Arial" w:cs="Arial"/>
          <w:b/>
          <w:lang w:eastAsia="pt-BR"/>
        </w:rPr>
      </w:pPr>
      <w:r w:rsidRPr="00AD5CC7">
        <w:rPr>
          <w:rFonts w:ascii="Arial" w:hAnsi="Arial" w:cs="Arial"/>
          <w:b/>
          <w:lang w:eastAsia="pt-BR"/>
        </w:rPr>
        <w:t xml:space="preserve">Table 3 – </w:t>
      </w:r>
      <w:r w:rsidRPr="00AD5CC7">
        <w:rPr>
          <w:rFonts w:ascii="Arial" w:hAnsi="Arial" w:cs="Arial"/>
        </w:rPr>
        <w:t>Baseline and 90-day laboratory results.</w:t>
      </w:r>
    </w:p>
    <w:tbl>
      <w:tblPr>
        <w:tblStyle w:val="TableGrid"/>
        <w:tblW w:w="0" w:type="auto"/>
        <w:tblLook w:val="04A0" w:firstRow="1" w:lastRow="0" w:firstColumn="1" w:lastColumn="0" w:noHBand="0" w:noVBand="1"/>
      </w:tblPr>
      <w:tblGrid>
        <w:gridCol w:w="2831"/>
        <w:gridCol w:w="2831"/>
        <w:gridCol w:w="2832"/>
      </w:tblGrid>
      <w:tr w:rsidR="00AD5CC7" w:rsidRPr="00AD5CC7" w14:paraId="1AB9055F" w14:textId="77777777" w:rsidTr="004751FB">
        <w:tc>
          <w:tcPr>
            <w:tcW w:w="2831" w:type="dxa"/>
          </w:tcPr>
          <w:p w14:paraId="00CCA2E4" w14:textId="77777777" w:rsidR="00AD5CC7" w:rsidRPr="00AD5CC7" w:rsidRDefault="00AD5CC7" w:rsidP="00AD5CC7">
            <w:pPr>
              <w:jc w:val="both"/>
              <w:rPr>
                <w:rFonts w:ascii="Arial" w:hAnsi="Arial" w:cs="Arial"/>
                <w:sz w:val="20"/>
                <w:szCs w:val="20"/>
              </w:rPr>
            </w:pPr>
          </w:p>
        </w:tc>
        <w:tc>
          <w:tcPr>
            <w:tcW w:w="2831" w:type="dxa"/>
          </w:tcPr>
          <w:p w14:paraId="4591AABE" w14:textId="77777777" w:rsidR="00AD5CC7" w:rsidRPr="00AD5CC7" w:rsidRDefault="00AD5CC7" w:rsidP="00AD5CC7">
            <w:pPr>
              <w:jc w:val="both"/>
              <w:rPr>
                <w:rFonts w:ascii="Arial" w:hAnsi="Arial" w:cs="Arial"/>
                <w:b/>
                <w:sz w:val="20"/>
                <w:szCs w:val="20"/>
              </w:rPr>
            </w:pPr>
            <w:r w:rsidRPr="00AD5CC7">
              <w:rPr>
                <w:rFonts w:ascii="Arial" w:hAnsi="Arial" w:cs="Arial"/>
                <w:b/>
                <w:sz w:val="20"/>
                <w:szCs w:val="20"/>
              </w:rPr>
              <w:t>Baseline</w:t>
            </w:r>
          </w:p>
        </w:tc>
        <w:tc>
          <w:tcPr>
            <w:tcW w:w="2832" w:type="dxa"/>
          </w:tcPr>
          <w:p w14:paraId="0050116C" w14:textId="77777777" w:rsidR="00AD5CC7" w:rsidRPr="00AD5CC7" w:rsidRDefault="00AD5CC7" w:rsidP="00AD5CC7">
            <w:pPr>
              <w:jc w:val="both"/>
              <w:rPr>
                <w:rFonts w:ascii="Arial" w:hAnsi="Arial" w:cs="Arial"/>
                <w:b/>
                <w:sz w:val="20"/>
                <w:szCs w:val="20"/>
              </w:rPr>
            </w:pPr>
            <w:r w:rsidRPr="00AD5CC7">
              <w:rPr>
                <w:rFonts w:ascii="Arial" w:hAnsi="Arial" w:cs="Arial"/>
                <w:b/>
                <w:sz w:val="20"/>
                <w:szCs w:val="20"/>
              </w:rPr>
              <w:t>90 days</w:t>
            </w:r>
          </w:p>
        </w:tc>
      </w:tr>
      <w:tr w:rsidR="00AD5CC7" w:rsidRPr="00AD5CC7" w14:paraId="6A97AE5E" w14:textId="77777777" w:rsidTr="004751FB">
        <w:tc>
          <w:tcPr>
            <w:tcW w:w="2831" w:type="dxa"/>
          </w:tcPr>
          <w:p w14:paraId="470FDCA3" w14:textId="77777777" w:rsidR="00AD5CC7" w:rsidRPr="00AD5CC7" w:rsidRDefault="00AD5CC7" w:rsidP="00AD5CC7">
            <w:pPr>
              <w:spacing w:line="276" w:lineRule="auto"/>
              <w:jc w:val="both"/>
              <w:rPr>
                <w:rFonts w:ascii="Arial" w:hAnsi="Arial" w:cs="Arial"/>
                <w:sz w:val="20"/>
                <w:szCs w:val="20"/>
              </w:rPr>
            </w:pPr>
            <w:r w:rsidRPr="00AD5CC7">
              <w:rPr>
                <w:rFonts w:ascii="Arial" w:hAnsi="Arial" w:cs="Arial"/>
                <w:sz w:val="20"/>
                <w:szCs w:val="20"/>
              </w:rPr>
              <w:t>Fasting blood glucose</w:t>
            </w:r>
          </w:p>
        </w:tc>
        <w:tc>
          <w:tcPr>
            <w:tcW w:w="2831" w:type="dxa"/>
          </w:tcPr>
          <w:p w14:paraId="46903A3F" w14:textId="77777777" w:rsidR="00AD5CC7" w:rsidRPr="00AD5CC7" w:rsidRDefault="00AD5CC7" w:rsidP="00AD5CC7">
            <w:pPr>
              <w:spacing w:line="276" w:lineRule="auto"/>
              <w:jc w:val="both"/>
              <w:rPr>
                <w:rFonts w:ascii="Arial" w:hAnsi="Arial" w:cs="Arial"/>
                <w:sz w:val="20"/>
                <w:szCs w:val="20"/>
              </w:rPr>
            </w:pPr>
            <w:r w:rsidRPr="00AD5CC7">
              <w:rPr>
                <w:rFonts w:ascii="Arial" w:hAnsi="Arial" w:cs="Arial"/>
                <w:sz w:val="20"/>
                <w:szCs w:val="20"/>
              </w:rPr>
              <w:t>199.5 ± 63.3</w:t>
            </w:r>
          </w:p>
        </w:tc>
        <w:tc>
          <w:tcPr>
            <w:tcW w:w="2832" w:type="dxa"/>
          </w:tcPr>
          <w:p w14:paraId="26176558" w14:textId="77777777" w:rsidR="00AD5CC7" w:rsidRPr="00AD5CC7" w:rsidRDefault="00AD5CC7" w:rsidP="00AD5CC7">
            <w:pPr>
              <w:spacing w:line="276" w:lineRule="auto"/>
              <w:jc w:val="both"/>
              <w:rPr>
                <w:rFonts w:ascii="Arial" w:hAnsi="Arial" w:cs="Arial"/>
                <w:sz w:val="20"/>
                <w:szCs w:val="20"/>
              </w:rPr>
            </w:pPr>
            <w:r w:rsidRPr="00AD5CC7">
              <w:rPr>
                <w:rFonts w:ascii="Arial" w:hAnsi="Arial" w:cs="Arial"/>
                <w:sz w:val="20"/>
                <w:szCs w:val="20"/>
              </w:rPr>
              <w:t>167 ± 46.6</w:t>
            </w:r>
          </w:p>
        </w:tc>
      </w:tr>
      <w:tr w:rsidR="00AD5CC7" w:rsidRPr="00AD5CC7" w14:paraId="0F717398" w14:textId="77777777" w:rsidTr="004751FB">
        <w:tc>
          <w:tcPr>
            <w:tcW w:w="2831" w:type="dxa"/>
          </w:tcPr>
          <w:p w14:paraId="58093E57" w14:textId="77777777" w:rsidR="00AD5CC7" w:rsidRPr="00AD5CC7" w:rsidRDefault="00AD5CC7" w:rsidP="00AD5CC7">
            <w:pPr>
              <w:spacing w:line="276" w:lineRule="auto"/>
              <w:jc w:val="both"/>
              <w:rPr>
                <w:rFonts w:ascii="Arial" w:hAnsi="Arial" w:cs="Arial"/>
                <w:sz w:val="20"/>
                <w:szCs w:val="20"/>
              </w:rPr>
            </w:pPr>
            <w:r w:rsidRPr="00AD5CC7">
              <w:rPr>
                <w:rFonts w:ascii="Arial" w:hAnsi="Arial" w:cs="Arial"/>
                <w:sz w:val="20"/>
                <w:szCs w:val="20"/>
              </w:rPr>
              <w:t>HbA1c</w:t>
            </w:r>
          </w:p>
        </w:tc>
        <w:tc>
          <w:tcPr>
            <w:tcW w:w="2831" w:type="dxa"/>
          </w:tcPr>
          <w:p w14:paraId="75A9628C" w14:textId="77777777" w:rsidR="00AD5CC7" w:rsidRPr="00AD5CC7" w:rsidRDefault="00AD5CC7" w:rsidP="00AD5CC7">
            <w:pPr>
              <w:spacing w:line="276" w:lineRule="auto"/>
              <w:jc w:val="both"/>
              <w:rPr>
                <w:rFonts w:ascii="Arial" w:hAnsi="Arial" w:cs="Arial"/>
                <w:sz w:val="20"/>
                <w:szCs w:val="20"/>
              </w:rPr>
            </w:pPr>
            <w:r w:rsidRPr="00AD5CC7">
              <w:rPr>
                <w:rFonts w:ascii="Arial" w:hAnsi="Arial" w:cs="Arial"/>
                <w:sz w:val="20"/>
                <w:szCs w:val="20"/>
              </w:rPr>
              <w:t>9.52 ± 1.69</w:t>
            </w:r>
          </w:p>
        </w:tc>
        <w:tc>
          <w:tcPr>
            <w:tcW w:w="2832" w:type="dxa"/>
          </w:tcPr>
          <w:p w14:paraId="7E3697FB" w14:textId="77777777" w:rsidR="00AD5CC7" w:rsidRPr="00AD5CC7" w:rsidRDefault="00AD5CC7" w:rsidP="00AD5CC7">
            <w:pPr>
              <w:spacing w:line="276" w:lineRule="auto"/>
              <w:jc w:val="both"/>
              <w:rPr>
                <w:rFonts w:ascii="Arial" w:hAnsi="Arial" w:cs="Arial"/>
                <w:sz w:val="20"/>
                <w:szCs w:val="20"/>
              </w:rPr>
            </w:pPr>
            <w:r w:rsidRPr="00AD5CC7">
              <w:rPr>
                <w:rFonts w:ascii="Arial" w:hAnsi="Arial" w:cs="Arial"/>
                <w:sz w:val="20"/>
                <w:szCs w:val="20"/>
              </w:rPr>
              <w:t xml:space="preserve">7.94 ± 1.41 </w:t>
            </w:r>
            <w:r w:rsidRPr="00AD5CC7">
              <w:rPr>
                <w:rFonts w:ascii="Arial" w:hAnsi="Arial" w:cs="Arial"/>
                <w:b/>
                <w:sz w:val="20"/>
                <w:szCs w:val="20"/>
                <w:vertAlign w:val="superscript"/>
              </w:rPr>
              <w:t>*</w:t>
            </w:r>
          </w:p>
        </w:tc>
      </w:tr>
      <w:tr w:rsidR="00AD5CC7" w:rsidRPr="00AD5CC7" w14:paraId="445DE52F" w14:textId="77777777" w:rsidTr="004751FB">
        <w:tc>
          <w:tcPr>
            <w:tcW w:w="2831" w:type="dxa"/>
          </w:tcPr>
          <w:p w14:paraId="0E6C47FE" w14:textId="77777777" w:rsidR="00AD5CC7" w:rsidRPr="00AD5CC7" w:rsidRDefault="00AD5CC7" w:rsidP="00AD5CC7">
            <w:pPr>
              <w:spacing w:line="276" w:lineRule="auto"/>
              <w:jc w:val="both"/>
              <w:rPr>
                <w:rFonts w:ascii="Arial" w:hAnsi="Arial" w:cs="Arial"/>
                <w:sz w:val="20"/>
                <w:szCs w:val="20"/>
              </w:rPr>
            </w:pPr>
            <w:r w:rsidRPr="00AD5CC7">
              <w:rPr>
                <w:rFonts w:ascii="Arial" w:hAnsi="Arial" w:cs="Arial"/>
                <w:sz w:val="20"/>
                <w:szCs w:val="20"/>
              </w:rPr>
              <w:t>Total cholesterol</w:t>
            </w:r>
          </w:p>
        </w:tc>
        <w:tc>
          <w:tcPr>
            <w:tcW w:w="2831" w:type="dxa"/>
          </w:tcPr>
          <w:p w14:paraId="6B129078" w14:textId="77777777" w:rsidR="00AD5CC7" w:rsidRPr="00AD5CC7" w:rsidRDefault="00AD5CC7" w:rsidP="00AD5CC7">
            <w:pPr>
              <w:spacing w:line="276" w:lineRule="auto"/>
              <w:jc w:val="both"/>
              <w:rPr>
                <w:rFonts w:ascii="Arial" w:hAnsi="Arial" w:cs="Arial"/>
                <w:sz w:val="20"/>
                <w:szCs w:val="20"/>
              </w:rPr>
            </w:pPr>
            <w:r w:rsidRPr="00AD5CC7">
              <w:rPr>
                <w:rFonts w:ascii="Arial" w:hAnsi="Arial" w:cs="Arial"/>
                <w:sz w:val="20"/>
                <w:szCs w:val="20"/>
              </w:rPr>
              <w:t>178.8 ± 28.5</w:t>
            </w:r>
          </w:p>
        </w:tc>
        <w:tc>
          <w:tcPr>
            <w:tcW w:w="2832" w:type="dxa"/>
          </w:tcPr>
          <w:p w14:paraId="423D4A73" w14:textId="77777777" w:rsidR="00AD5CC7" w:rsidRPr="00AD5CC7" w:rsidRDefault="00AD5CC7" w:rsidP="00AD5CC7">
            <w:pPr>
              <w:spacing w:line="276" w:lineRule="auto"/>
              <w:jc w:val="both"/>
              <w:rPr>
                <w:rFonts w:ascii="Arial" w:hAnsi="Arial" w:cs="Arial"/>
                <w:sz w:val="20"/>
                <w:szCs w:val="20"/>
              </w:rPr>
            </w:pPr>
            <w:r w:rsidRPr="00AD5CC7">
              <w:rPr>
                <w:rFonts w:ascii="Arial" w:hAnsi="Arial" w:cs="Arial"/>
                <w:sz w:val="20"/>
                <w:szCs w:val="20"/>
              </w:rPr>
              <w:t>172.7 ± 42.1</w:t>
            </w:r>
          </w:p>
        </w:tc>
      </w:tr>
      <w:tr w:rsidR="00AD5CC7" w:rsidRPr="00AD5CC7" w14:paraId="73DD13EA" w14:textId="77777777" w:rsidTr="004751FB">
        <w:tc>
          <w:tcPr>
            <w:tcW w:w="2831" w:type="dxa"/>
          </w:tcPr>
          <w:p w14:paraId="612E19E2" w14:textId="77777777" w:rsidR="00AD5CC7" w:rsidRPr="00AD5CC7" w:rsidRDefault="00AD5CC7" w:rsidP="00AD5CC7">
            <w:pPr>
              <w:spacing w:line="276" w:lineRule="auto"/>
              <w:jc w:val="both"/>
              <w:rPr>
                <w:rFonts w:ascii="Arial" w:hAnsi="Arial" w:cs="Arial"/>
                <w:sz w:val="20"/>
                <w:szCs w:val="20"/>
              </w:rPr>
            </w:pPr>
            <w:r w:rsidRPr="00AD5CC7">
              <w:rPr>
                <w:rFonts w:ascii="Arial" w:hAnsi="Arial" w:cs="Arial"/>
                <w:sz w:val="20"/>
                <w:szCs w:val="20"/>
              </w:rPr>
              <w:t>HDL cholesterol</w:t>
            </w:r>
          </w:p>
        </w:tc>
        <w:tc>
          <w:tcPr>
            <w:tcW w:w="2831" w:type="dxa"/>
          </w:tcPr>
          <w:p w14:paraId="40A3DCD3" w14:textId="77777777" w:rsidR="00AD5CC7" w:rsidRPr="00AD5CC7" w:rsidRDefault="00AD5CC7" w:rsidP="00AD5CC7">
            <w:pPr>
              <w:spacing w:line="276" w:lineRule="auto"/>
              <w:jc w:val="both"/>
              <w:rPr>
                <w:rFonts w:ascii="Arial" w:hAnsi="Arial" w:cs="Arial"/>
                <w:sz w:val="20"/>
                <w:szCs w:val="20"/>
              </w:rPr>
            </w:pPr>
            <w:r w:rsidRPr="00AD5CC7">
              <w:rPr>
                <w:rFonts w:ascii="Arial" w:hAnsi="Arial" w:cs="Arial"/>
                <w:sz w:val="20"/>
                <w:szCs w:val="20"/>
              </w:rPr>
              <w:t>42.5 ± 6.59</w:t>
            </w:r>
          </w:p>
        </w:tc>
        <w:tc>
          <w:tcPr>
            <w:tcW w:w="2832" w:type="dxa"/>
          </w:tcPr>
          <w:p w14:paraId="695B6FCE" w14:textId="77777777" w:rsidR="00AD5CC7" w:rsidRPr="00AD5CC7" w:rsidRDefault="00AD5CC7" w:rsidP="00AD5CC7">
            <w:pPr>
              <w:spacing w:line="276" w:lineRule="auto"/>
              <w:jc w:val="both"/>
              <w:rPr>
                <w:rFonts w:ascii="Arial" w:hAnsi="Arial" w:cs="Arial"/>
                <w:sz w:val="20"/>
                <w:szCs w:val="20"/>
              </w:rPr>
            </w:pPr>
            <w:r w:rsidRPr="00AD5CC7">
              <w:rPr>
                <w:rFonts w:ascii="Arial" w:hAnsi="Arial" w:cs="Arial"/>
                <w:sz w:val="20"/>
                <w:szCs w:val="20"/>
              </w:rPr>
              <w:t>40.6 ± 11.5</w:t>
            </w:r>
          </w:p>
        </w:tc>
      </w:tr>
      <w:tr w:rsidR="00AD5CC7" w:rsidRPr="00AD5CC7" w14:paraId="04BA139C" w14:textId="77777777" w:rsidTr="004751FB">
        <w:tc>
          <w:tcPr>
            <w:tcW w:w="2831" w:type="dxa"/>
          </w:tcPr>
          <w:p w14:paraId="0351EF4C" w14:textId="77777777" w:rsidR="00AD5CC7" w:rsidRPr="00AD5CC7" w:rsidRDefault="00AD5CC7" w:rsidP="00AD5CC7">
            <w:pPr>
              <w:spacing w:line="276" w:lineRule="auto"/>
              <w:jc w:val="both"/>
              <w:rPr>
                <w:rFonts w:ascii="Arial" w:hAnsi="Arial" w:cs="Arial"/>
                <w:sz w:val="20"/>
                <w:szCs w:val="20"/>
              </w:rPr>
            </w:pPr>
            <w:r w:rsidRPr="00AD5CC7">
              <w:rPr>
                <w:rFonts w:ascii="Arial" w:hAnsi="Arial" w:cs="Arial"/>
                <w:sz w:val="20"/>
                <w:szCs w:val="20"/>
              </w:rPr>
              <w:t>LDL cholesterol</w:t>
            </w:r>
          </w:p>
        </w:tc>
        <w:tc>
          <w:tcPr>
            <w:tcW w:w="2831" w:type="dxa"/>
          </w:tcPr>
          <w:p w14:paraId="7955F0AD" w14:textId="77777777" w:rsidR="00AD5CC7" w:rsidRPr="00AD5CC7" w:rsidRDefault="00AD5CC7" w:rsidP="00AD5CC7">
            <w:pPr>
              <w:spacing w:line="276" w:lineRule="auto"/>
              <w:jc w:val="both"/>
              <w:rPr>
                <w:rFonts w:ascii="Arial" w:hAnsi="Arial" w:cs="Arial"/>
                <w:sz w:val="20"/>
                <w:szCs w:val="20"/>
              </w:rPr>
            </w:pPr>
            <w:r w:rsidRPr="00AD5CC7">
              <w:rPr>
                <w:rFonts w:ascii="Arial" w:hAnsi="Arial" w:cs="Arial"/>
                <w:sz w:val="20"/>
                <w:szCs w:val="20"/>
              </w:rPr>
              <w:t>107.1 ± 26.7</w:t>
            </w:r>
          </w:p>
        </w:tc>
        <w:tc>
          <w:tcPr>
            <w:tcW w:w="2832" w:type="dxa"/>
          </w:tcPr>
          <w:p w14:paraId="70FF1448" w14:textId="77777777" w:rsidR="00AD5CC7" w:rsidRPr="00AD5CC7" w:rsidRDefault="00AD5CC7" w:rsidP="00AD5CC7">
            <w:pPr>
              <w:spacing w:line="276" w:lineRule="auto"/>
              <w:jc w:val="both"/>
              <w:rPr>
                <w:rFonts w:ascii="Arial" w:hAnsi="Arial" w:cs="Arial"/>
                <w:sz w:val="20"/>
                <w:szCs w:val="20"/>
              </w:rPr>
            </w:pPr>
            <w:r w:rsidRPr="00AD5CC7">
              <w:rPr>
                <w:rFonts w:ascii="Arial" w:hAnsi="Arial" w:cs="Arial"/>
                <w:sz w:val="20"/>
                <w:szCs w:val="20"/>
              </w:rPr>
              <w:t>96.4 ± 32.4</w:t>
            </w:r>
          </w:p>
        </w:tc>
      </w:tr>
      <w:tr w:rsidR="00AD5CC7" w:rsidRPr="00AD5CC7" w14:paraId="44C83FD7" w14:textId="77777777" w:rsidTr="004751FB">
        <w:tc>
          <w:tcPr>
            <w:tcW w:w="2831" w:type="dxa"/>
          </w:tcPr>
          <w:p w14:paraId="718EE81D" w14:textId="77777777" w:rsidR="00AD5CC7" w:rsidRPr="00AD5CC7" w:rsidRDefault="00AD5CC7" w:rsidP="00AD5CC7">
            <w:pPr>
              <w:spacing w:line="276" w:lineRule="auto"/>
              <w:jc w:val="both"/>
              <w:rPr>
                <w:rFonts w:ascii="Arial" w:hAnsi="Arial" w:cs="Arial"/>
                <w:sz w:val="20"/>
                <w:szCs w:val="20"/>
              </w:rPr>
            </w:pPr>
            <w:r w:rsidRPr="00AD5CC7">
              <w:rPr>
                <w:rFonts w:ascii="Arial" w:hAnsi="Arial" w:cs="Arial"/>
                <w:sz w:val="20"/>
                <w:szCs w:val="20"/>
              </w:rPr>
              <w:t>Triglycerides</w:t>
            </w:r>
          </w:p>
        </w:tc>
        <w:tc>
          <w:tcPr>
            <w:tcW w:w="2831" w:type="dxa"/>
          </w:tcPr>
          <w:p w14:paraId="126B9354" w14:textId="77777777" w:rsidR="00AD5CC7" w:rsidRPr="00AD5CC7" w:rsidRDefault="00AD5CC7" w:rsidP="00AD5CC7">
            <w:pPr>
              <w:spacing w:line="276" w:lineRule="auto"/>
              <w:jc w:val="both"/>
              <w:rPr>
                <w:rFonts w:ascii="Arial" w:hAnsi="Arial" w:cs="Arial"/>
                <w:sz w:val="20"/>
                <w:szCs w:val="20"/>
              </w:rPr>
            </w:pPr>
            <w:r w:rsidRPr="00AD5CC7">
              <w:rPr>
                <w:rFonts w:ascii="Arial" w:hAnsi="Arial" w:cs="Arial"/>
                <w:sz w:val="20"/>
                <w:szCs w:val="20"/>
              </w:rPr>
              <w:t>170.8 ± 71.9</w:t>
            </w:r>
          </w:p>
        </w:tc>
        <w:tc>
          <w:tcPr>
            <w:tcW w:w="2832" w:type="dxa"/>
          </w:tcPr>
          <w:p w14:paraId="43FFBB7B" w14:textId="77777777" w:rsidR="00AD5CC7" w:rsidRPr="00AD5CC7" w:rsidRDefault="00AD5CC7" w:rsidP="00AD5CC7">
            <w:pPr>
              <w:spacing w:line="276" w:lineRule="auto"/>
              <w:jc w:val="both"/>
              <w:rPr>
                <w:rFonts w:ascii="Arial" w:hAnsi="Arial" w:cs="Arial"/>
                <w:sz w:val="20"/>
                <w:szCs w:val="20"/>
              </w:rPr>
            </w:pPr>
            <w:r w:rsidRPr="00AD5CC7">
              <w:rPr>
                <w:rFonts w:ascii="Arial" w:hAnsi="Arial" w:cs="Arial"/>
                <w:sz w:val="20"/>
                <w:szCs w:val="20"/>
              </w:rPr>
              <w:t>162.3 ± 86.6</w:t>
            </w:r>
          </w:p>
        </w:tc>
      </w:tr>
    </w:tbl>
    <w:p w14:paraId="5145F2FF" w14:textId="77777777" w:rsidR="00AD5CC7" w:rsidRPr="00AD5CC7" w:rsidRDefault="00AD5CC7" w:rsidP="00AD5CC7">
      <w:pPr>
        <w:spacing w:line="360" w:lineRule="auto"/>
        <w:jc w:val="both"/>
        <w:rPr>
          <w:rFonts w:ascii="Arial" w:hAnsi="Arial" w:cs="Arial"/>
        </w:rPr>
      </w:pPr>
      <w:r w:rsidRPr="00AD5CC7">
        <w:rPr>
          <w:rFonts w:ascii="Arial" w:hAnsi="Arial" w:cs="Arial"/>
        </w:rPr>
        <w:t>Different symbols (*): statistically different data (P = .05).</w:t>
      </w:r>
    </w:p>
    <w:p w14:paraId="0387FCF4" w14:textId="77777777" w:rsidR="00AD5CC7" w:rsidRPr="00AD5CC7" w:rsidRDefault="00AD5CC7" w:rsidP="00AD5CC7">
      <w:pPr>
        <w:pStyle w:val="BodyText"/>
        <w:spacing w:line="276" w:lineRule="auto"/>
        <w:ind w:right="97" w:firstLine="709"/>
        <w:jc w:val="both"/>
        <w:rPr>
          <w:rFonts w:ascii="Arial" w:hAnsi="Arial" w:cs="Arial"/>
        </w:rPr>
      </w:pPr>
      <w:r w:rsidRPr="00AD5CC7">
        <w:rPr>
          <w:rFonts w:ascii="Arial" w:hAnsi="Arial" w:cs="Arial"/>
        </w:rPr>
        <w:t xml:space="preserve">T2DM and periodontitis have a well-documented bidirectional relationship in many reviews and epidemiological studies (Wu </w:t>
      </w:r>
      <w:r w:rsidRPr="00AD5CC7">
        <w:rPr>
          <w:rFonts w:ascii="Arial" w:hAnsi="Arial" w:cs="Arial"/>
          <w:i/>
        </w:rPr>
        <w:t xml:space="preserve">et al., </w:t>
      </w:r>
      <w:r w:rsidRPr="00AD5CC7">
        <w:rPr>
          <w:rFonts w:ascii="Arial" w:hAnsi="Arial" w:cs="Arial"/>
        </w:rPr>
        <w:t xml:space="preserve">2020). Periodontitis is recognized as the sixth complication of DM. Thus, periodontitis influences glycemic control, being a risk factor for the development of other DM complications. This interrelationship is caused by several complex mechanisms, determined by both common </w:t>
      </w:r>
      <w:proofErr w:type="spellStart"/>
      <w:r w:rsidRPr="00AD5CC7">
        <w:rPr>
          <w:rFonts w:ascii="Arial" w:hAnsi="Arial" w:cs="Arial"/>
        </w:rPr>
        <w:t>etiopathogenic</w:t>
      </w:r>
      <w:proofErr w:type="spellEnd"/>
      <w:r w:rsidRPr="00AD5CC7">
        <w:rPr>
          <w:rFonts w:ascii="Arial" w:hAnsi="Arial" w:cs="Arial"/>
        </w:rPr>
        <w:t xml:space="preserve"> factors and overlapping phenomena due to high prevalence characteristics (</w:t>
      </w:r>
      <w:proofErr w:type="spellStart"/>
      <w:r w:rsidR="004751FB">
        <w:rPr>
          <w:rFonts w:ascii="Arial" w:hAnsi="Arial" w:cs="Arial"/>
        </w:rPr>
        <w:t>Lalla</w:t>
      </w:r>
      <w:proofErr w:type="spellEnd"/>
      <w:r w:rsidR="004751FB">
        <w:rPr>
          <w:rFonts w:ascii="Arial" w:hAnsi="Arial" w:cs="Arial"/>
        </w:rPr>
        <w:t xml:space="preserve"> &amp; </w:t>
      </w:r>
      <w:proofErr w:type="spellStart"/>
      <w:r w:rsidR="004751FB">
        <w:rPr>
          <w:rFonts w:ascii="Arial" w:hAnsi="Arial" w:cs="Arial"/>
        </w:rPr>
        <w:t>Papapanou</w:t>
      </w:r>
      <w:proofErr w:type="spellEnd"/>
      <w:r w:rsidR="004751FB">
        <w:rPr>
          <w:rFonts w:ascii="Arial" w:hAnsi="Arial" w:cs="Arial"/>
        </w:rPr>
        <w:t>, 2011</w:t>
      </w:r>
      <w:r w:rsidRPr="00AD5CC7">
        <w:rPr>
          <w:rFonts w:ascii="Arial" w:hAnsi="Arial" w:cs="Arial"/>
        </w:rPr>
        <w:t>).</w:t>
      </w:r>
    </w:p>
    <w:p w14:paraId="12FFC7BA" w14:textId="77777777" w:rsidR="00AD5CC7" w:rsidRPr="00AD5CC7" w:rsidRDefault="00AD5CC7" w:rsidP="00AD5CC7">
      <w:pPr>
        <w:spacing w:line="276" w:lineRule="auto"/>
        <w:ind w:firstLine="708"/>
        <w:jc w:val="both"/>
        <w:rPr>
          <w:rFonts w:ascii="Arial" w:hAnsi="Arial" w:cs="Arial"/>
        </w:rPr>
      </w:pPr>
      <w:r w:rsidRPr="00AD5CC7">
        <w:rPr>
          <w:rFonts w:ascii="Arial" w:hAnsi="Arial" w:cs="Arial"/>
        </w:rPr>
        <w:t>The studies available to date demonstrate that periodontal therapy contributes significantly to glycemic control in patients with T2DM, especially in patients with higher baseline HbA1c levels (</w:t>
      </w:r>
      <w:r w:rsidRPr="00AD5CC7">
        <w:rPr>
          <w:rStyle w:val="y2iqfc"/>
          <w:rFonts w:ascii="Arial" w:hAnsi="Arial" w:cs="Arial"/>
          <w:lang w:val="pt-PT"/>
        </w:rPr>
        <w:t xml:space="preserve">Al-Zahrani </w:t>
      </w:r>
      <w:r w:rsidRPr="00AD5CC7">
        <w:rPr>
          <w:rStyle w:val="y2iqfc"/>
          <w:rFonts w:ascii="Arial" w:hAnsi="Arial" w:cs="Arial"/>
          <w:i/>
          <w:iCs/>
          <w:lang w:val="pt-PT"/>
        </w:rPr>
        <w:t>et al</w:t>
      </w:r>
      <w:r w:rsidRPr="00AD5CC7">
        <w:rPr>
          <w:rStyle w:val="y2iqfc"/>
          <w:rFonts w:ascii="Arial" w:hAnsi="Arial" w:cs="Arial"/>
          <w:lang w:val="pt-PT"/>
        </w:rPr>
        <w:t xml:space="preserve">., 2009; Ramos </w:t>
      </w:r>
      <w:r w:rsidRPr="00AD5CC7">
        <w:rPr>
          <w:rStyle w:val="y2iqfc"/>
          <w:rFonts w:ascii="Arial" w:hAnsi="Arial" w:cs="Arial"/>
          <w:i/>
          <w:iCs/>
          <w:lang w:val="pt-PT"/>
        </w:rPr>
        <w:t>et al</w:t>
      </w:r>
      <w:r w:rsidRPr="00AD5CC7">
        <w:rPr>
          <w:rStyle w:val="y2iqfc"/>
          <w:rFonts w:ascii="Arial" w:hAnsi="Arial" w:cs="Arial"/>
          <w:lang w:val="pt-PT"/>
        </w:rPr>
        <w:t>., 2016</w:t>
      </w:r>
      <w:r w:rsidRPr="00AD5CC7">
        <w:rPr>
          <w:rFonts w:ascii="Arial" w:hAnsi="Arial" w:cs="Arial"/>
        </w:rPr>
        <w:t xml:space="preserve">; Mirza </w:t>
      </w:r>
      <w:r w:rsidRPr="00AD5CC7">
        <w:rPr>
          <w:rFonts w:ascii="Arial" w:hAnsi="Arial" w:cs="Arial"/>
          <w:i/>
        </w:rPr>
        <w:t xml:space="preserve">et al., </w:t>
      </w:r>
      <w:r w:rsidRPr="00AD5CC7">
        <w:rPr>
          <w:rFonts w:ascii="Arial" w:hAnsi="Arial" w:cs="Arial"/>
        </w:rPr>
        <w:t>2019). However, the existing clinical trials comparing the two types of periodontal therapies proposed in our study were controversial. Thus, the objective of this study was to determine whether there is superiority between the periodontal techniques used in the patient's periodontal parameters, which could define a standard in periodontal treatment for diabetic patients. Controlling these two diseases can help prevent the development of complications related to them.</w:t>
      </w:r>
    </w:p>
    <w:p w14:paraId="799DEF0D" w14:textId="77777777" w:rsidR="00AD5CC7" w:rsidRPr="00AD5CC7" w:rsidRDefault="00AD5CC7" w:rsidP="00AD5CC7">
      <w:pPr>
        <w:spacing w:line="276" w:lineRule="auto"/>
        <w:ind w:firstLine="708"/>
        <w:jc w:val="both"/>
        <w:rPr>
          <w:rFonts w:ascii="Arial" w:hAnsi="Arial" w:cs="Arial"/>
        </w:rPr>
      </w:pPr>
      <w:r w:rsidRPr="00AD5CC7">
        <w:rPr>
          <w:rFonts w:ascii="Arial" w:hAnsi="Arial" w:cs="Arial"/>
        </w:rPr>
        <w:t xml:space="preserve">Wu </w:t>
      </w:r>
      <w:r w:rsidRPr="00AD5CC7">
        <w:rPr>
          <w:rFonts w:ascii="Arial" w:hAnsi="Arial" w:cs="Arial"/>
          <w:i/>
        </w:rPr>
        <w:t>et al</w:t>
      </w:r>
      <w:r w:rsidRPr="00AD5CC7">
        <w:rPr>
          <w:rFonts w:ascii="Arial" w:hAnsi="Arial" w:cs="Arial"/>
        </w:rPr>
        <w:t>.’s 2020 study, a systematic review and meta-analysis involving 11,459 participants, revealed a significant association between type 2 diabetes mellitus (T2DM) and periodontitis. The authors concluded that T2DM may increase the risk of developing periodontitis by 34% (P = .002). The study also explored the reverse association, finding that severe periodontitis increased the risk of T2DM by 53% (P = .000), while mild periodontitis had a less pronounced effect (relative risk (RR) = 1.28, P = .007).</w:t>
      </w:r>
    </w:p>
    <w:p w14:paraId="3AE8C6AD" w14:textId="77777777" w:rsidR="00AD5CC7" w:rsidRPr="00AD5CC7" w:rsidRDefault="00AD5CC7" w:rsidP="00AD5CC7">
      <w:pPr>
        <w:spacing w:line="276" w:lineRule="auto"/>
        <w:ind w:firstLine="708"/>
        <w:jc w:val="both"/>
        <w:rPr>
          <w:rFonts w:ascii="Arial" w:hAnsi="Arial" w:cs="Arial"/>
        </w:rPr>
      </w:pPr>
      <w:r w:rsidRPr="00AD5CC7">
        <w:rPr>
          <w:rFonts w:ascii="Arial" w:hAnsi="Arial" w:cs="Arial"/>
        </w:rPr>
        <w:t xml:space="preserve">The main objective of periodontal therapy is the removal of sub- and supragingival biofilm and calculus, with consequent reduction of the periodontal inflammatory burden, reestablishment of homeostasis of periodontium tissues and stabilization of the progression of periodontal disease (Bezerra </w:t>
      </w:r>
      <w:r w:rsidRPr="00AD5CC7">
        <w:rPr>
          <w:rFonts w:ascii="Arial" w:hAnsi="Arial" w:cs="Arial"/>
          <w:i/>
        </w:rPr>
        <w:t>et al</w:t>
      </w:r>
      <w:r w:rsidRPr="00AD5CC7">
        <w:rPr>
          <w:rFonts w:ascii="Arial" w:hAnsi="Arial" w:cs="Arial"/>
        </w:rPr>
        <w:t xml:space="preserve">., 2022). For this, the periodontal therapy known as the gold standard is scaling and root </w:t>
      </w:r>
      <w:proofErr w:type="spellStart"/>
      <w:r w:rsidRPr="00AD5CC7">
        <w:rPr>
          <w:rFonts w:ascii="Arial" w:hAnsi="Arial" w:cs="Arial"/>
        </w:rPr>
        <w:t>planing</w:t>
      </w:r>
      <w:proofErr w:type="spellEnd"/>
      <w:r w:rsidRPr="00AD5CC7">
        <w:rPr>
          <w:rFonts w:ascii="Arial" w:hAnsi="Arial" w:cs="Arial"/>
        </w:rPr>
        <w:t xml:space="preserve">. </w:t>
      </w:r>
      <w:r w:rsidRPr="00AD5CC7">
        <w:rPr>
          <w:rFonts w:ascii="Arial" w:hAnsi="Arial" w:cs="Arial"/>
          <w:bCs/>
        </w:rPr>
        <w:t xml:space="preserve">Impaired healing observed in diabetic patients can affect the results of periodontal treatment and may require an additional approach (Ko </w:t>
      </w:r>
      <w:r w:rsidRPr="00AD5CC7">
        <w:rPr>
          <w:rFonts w:ascii="Arial" w:hAnsi="Arial" w:cs="Arial"/>
          <w:bCs/>
          <w:i/>
        </w:rPr>
        <w:t>et al</w:t>
      </w:r>
      <w:r w:rsidRPr="00AD5CC7">
        <w:rPr>
          <w:rFonts w:ascii="Arial" w:hAnsi="Arial" w:cs="Arial"/>
          <w:bCs/>
        </w:rPr>
        <w:t xml:space="preserve">., 2020). Previous studies suggest that mechanical periodontal debridement alone may not be sufficient </w:t>
      </w:r>
      <w:r w:rsidRPr="00AD5CC7">
        <w:rPr>
          <w:rFonts w:ascii="Arial" w:hAnsi="Arial" w:cs="Arial"/>
        </w:rPr>
        <w:t xml:space="preserve">to achieve a </w:t>
      </w:r>
      <w:proofErr w:type="spellStart"/>
      <w:r w:rsidRPr="00AD5CC7">
        <w:rPr>
          <w:rFonts w:ascii="Arial" w:hAnsi="Arial" w:cs="Arial"/>
        </w:rPr>
        <w:t>periodontopathogenic</w:t>
      </w:r>
      <w:proofErr w:type="spellEnd"/>
      <w:r w:rsidRPr="00AD5CC7">
        <w:rPr>
          <w:rFonts w:ascii="Arial" w:hAnsi="Arial" w:cs="Arial"/>
        </w:rPr>
        <w:t xml:space="preserve"> profile compatible with health in diabetic individuals (</w:t>
      </w:r>
      <w:proofErr w:type="spellStart"/>
      <w:r w:rsidRPr="00AD5CC7">
        <w:rPr>
          <w:rFonts w:ascii="Arial" w:hAnsi="Arial" w:cs="Arial"/>
        </w:rPr>
        <w:t>Grellmann</w:t>
      </w:r>
      <w:proofErr w:type="spellEnd"/>
      <w:r w:rsidRPr="00AD5CC7">
        <w:rPr>
          <w:rFonts w:ascii="Arial" w:hAnsi="Arial" w:cs="Arial"/>
        </w:rPr>
        <w:t xml:space="preserve"> </w:t>
      </w:r>
      <w:r w:rsidRPr="00AD5CC7">
        <w:rPr>
          <w:rFonts w:ascii="Arial" w:hAnsi="Arial" w:cs="Arial"/>
          <w:i/>
        </w:rPr>
        <w:t>et al</w:t>
      </w:r>
      <w:r w:rsidRPr="00AD5CC7">
        <w:rPr>
          <w:rFonts w:ascii="Arial" w:hAnsi="Arial" w:cs="Arial"/>
        </w:rPr>
        <w:t xml:space="preserve">, 2016). This may increase the chances of unsuccessful therapy, especially in deep periodontal pockets, </w:t>
      </w:r>
      <w:proofErr w:type="spellStart"/>
      <w:r w:rsidRPr="00AD5CC7">
        <w:rPr>
          <w:rFonts w:ascii="Arial" w:hAnsi="Arial" w:cs="Arial"/>
        </w:rPr>
        <w:t>furcations</w:t>
      </w:r>
      <w:proofErr w:type="spellEnd"/>
      <w:r w:rsidRPr="00AD5CC7">
        <w:rPr>
          <w:rFonts w:ascii="Arial" w:hAnsi="Arial" w:cs="Arial"/>
        </w:rPr>
        <w:t xml:space="preserve"> and complex pockets. </w:t>
      </w:r>
      <w:r w:rsidRPr="00AD5CC7">
        <w:rPr>
          <w:rFonts w:ascii="Arial" w:hAnsi="Arial" w:cs="Arial"/>
          <w:bCs/>
        </w:rPr>
        <w:t>Antimicrobial photodynamic therapy (PDT) is a local approach that can promote bacterial decontamination in periodontal pockets, acting as an adjunctive therapy to ARR.</w:t>
      </w:r>
    </w:p>
    <w:p w14:paraId="0F1AA58E" w14:textId="77777777" w:rsidR="00AD5CC7" w:rsidRPr="00AD5CC7" w:rsidRDefault="00AD5CC7" w:rsidP="00AD5CC7">
      <w:pPr>
        <w:spacing w:line="276" w:lineRule="auto"/>
        <w:ind w:firstLine="708"/>
        <w:jc w:val="both"/>
        <w:rPr>
          <w:rFonts w:ascii="Arial" w:hAnsi="Arial" w:cs="Arial"/>
        </w:rPr>
      </w:pPr>
      <w:r w:rsidRPr="00AD5CC7">
        <w:rPr>
          <w:rFonts w:ascii="Arial" w:hAnsi="Arial" w:cs="Arial"/>
        </w:rPr>
        <w:t xml:space="preserve">A split-mouth clinical study by Feng </w:t>
      </w:r>
      <w:r w:rsidRPr="00687105">
        <w:rPr>
          <w:rFonts w:ascii="Arial" w:hAnsi="Arial" w:cs="Arial"/>
          <w:i/>
        </w:rPr>
        <w:t>et al</w:t>
      </w:r>
      <w:r w:rsidRPr="00AD5CC7">
        <w:rPr>
          <w:rFonts w:ascii="Arial" w:hAnsi="Arial" w:cs="Arial"/>
        </w:rPr>
        <w:t xml:space="preserve">. in 2021 concluded that the use of adjunctive </w:t>
      </w:r>
      <w:proofErr w:type="spellStart"/>
      <w:proofErr w:type="gramStart"/>
      <w:r w:rsidRPr="00AD5CC7">
        <w:rPr>
          <w:rFonts w:ascii="Arial" w:hAnsi="Arial" w:cs="Arial"/>
        </w:rPr>
        <w:t>Er:YAG</w:t>
      </w:r>
      <w:proofErr w:type="spellEnd"/>
      <w:proofErr w:type="gramEnd"/>
      <w:r w:rsidRPr="00AD5CC7">
        <w:rPr>
          <w:rFonts w:ascii="Arial" w:hAnsi="Arial" w:cs="Arial"/>
        </w:rPr>
        <w:t xml:space="preserve"> laser in non-surgical periodontal therapy of patients with inadequately controlled type 2 diabetes mellitus was more effective in reducing periodontal parameters. A reduction in fasting blood glucose and HbA1c values was also observed. In controversy, in the study </w:t>
      </w:r>
      <w:r w:rsidR="003F21F9">
        <w:rPr>
          <w:rFonts w:ascii="Arial" w:hAnsi="Arial" w:cs="Arial"/>
        </w:rPr>
        <w:t xml:space="preserve">by </w:t>
      </w:r>
      <w:proofErr w:type="spellStart"/>
      <w:r w:rsidR="003F21F9">
        <w:rPr>
          <w:rFonts w:ascii="Arial" w:hAnsi="Arial" w:cs="Arial"/>
        </w:rPr>
        <w:t>Demirturk-Gocgun</w:t>
      </w:r>
      <w:proofErr w:type="spellEnd"/>
      <w:r w:rsidR="003F21F9">
        <w:rPr>
          <w:rFonts w:ascii="Arial" w:hAnsi="Arial" w:cs="Arial"/>
        </w:rPr>
        <w:t xml:space="preserve"> </w:t>
      </w:r>
      <w:r w:rsidR="003F21F9" w:rsidRPr="003F21F9">
        <w:rPr>
          <w:rFonts w:ascii="Arial" w:hAnsi="Arial" w:cs="Arial"/>
          <w:i/>
        </w:rPr>
        <w:t>et al</w:t>
      </w:r>
      <w:r w:rsidR="003F21F9">
        <w:rPr>
          <w:rFonts w:ascii="Arial" w:hAnsi="Arial" w:cs="Arial"/>
        </w:rPr>
        <w:t>. (2017</w:t>
      </w:r>
      <w:r w:rsidRPr="00AD5CC7">
        <w:rPr>
          <w:rFonts w:ascii="Arial" w:hAnsi="Arial" w:cs="Arial"/>
        </w:rPr>
        <w:t>), the use of low-level laser associated with non-surgical periodontal therapy did not show a superior effect to periodontal therapy alone in type 2 diabetic individuals.</w:t>
      </w:r>
    </w:p>
    <w:p w14:paraId="0C4DEFBD" w14:textId="77777777" w:rsidR="00AD5CC7" w:rsidRPr="00AD5CC7" w:rsidRDefault="00AD5CC7" w:rsidP="00AD5CC7">
      <w:pPr>
        <w:spacing w:line="276" w:lineRule="auto"/>
        <w:ind w:firstLine="708"/>
        <w:jc w:val="both"/>
        <w:rPr>
          <w:rFonts w:ascii="Arial" w:hAnsi="Arial" w:cs="Arial"/>
        </w:rPr>
      </w:pPr>
      <w:r w:rsidRPr="00AD5CC7">
        <w:rPr>
          <w:rFonts w:ascii="Arial" w:hAnsi="Arial" w:cs="Arial"/>
        </w:rPr>
        <w:t xml:space="preserve">Our study did not detect statistically significant differences in the clinical parameters evaluated when the SRP group was compared to the SRP + </w:t>
      </w:r>
      <w:proofErr w:type="spellStart"/>
      <w:r w:rsidRPr="00AD5CC7">
        <w:rPr>
          <w:rFonts w:ascii="Arial" w:hAnsi="Arial" w:cs="Arial"/>
        </w:rPr>
        <w:t>aPDT</w:t>
      </w:r>
      <w:proofErr w:type="spellEnd"/>
      <w:r w:rsidRPr="00AD5CC7">
        <w:rPr>
          <w:rFonts w:ascii="Arial" w:hAnsi="Arial" w:cs="Arial"/>
        </w:rPr>
        <w:t xml:space="preserve"> group in a short period of time (90 days). However, in the intragroup comparison, both groups showed statistically significant changes in clinical parameters, which demonstrates that the application of photodynamic therapy in the protocol suggested in our study did not present additional benefits to SRP for the treatment of chronic periodontitis in decompensated type 2 diabetic patients. This result is similar to that found in three other studies that aimed to evaluate the effect of </w:t>
      </w:r>
      <w:proofErr w:type="spellStart"/>
      <w:r w:rsidRPr="00AD5CC7">
        <w:rPr>
          <w:rFonts w:ascii="Arial" w:hAnsi="Arial" w:cs="Arial"/>
        </w:rPr>
        <w:t>aPDT</w:t>
      </w:r>
      <w:proofErr w:type="spellEnd"/>
      <w:r w:rsidRPr="00AD5CC7">
        <w:rPr>
          <w:rFonts w:ascii="Arial" w:hAnsi="Arial" w:cs="Arial"/>
        </w:rPr>
        <w:t xml:space="preserve"> on the periodontal tissues of diabetic individuals, but with differences in the low-power laser application protocols (</w:t>
      </w:r>
      <w:proofErr w:type="spellStart"/>
      <w:r w:rsidRPr="00AD5CC7">
        <w:rPr>
          <w:rFonts w:ascii="Arial" w:hAnsi="Arial" w:cs="Arial"/>
        </w:rPr>
        <w:t>Zarahni</w:t>
      </w:r>
      <w:proofErr w:type="spellEnd"/>
      <w:r w:rsidRPr="00AD5CC7">
        <w:rPr>
          <w:rFonts w:ascii="Arial" w:hAnsi="Arial" w:cs="Arial"/>
        </w:rPr>
        <w:t xml:space="preserve">, 2009, Macedo </w:t>
      </w:r>
      <w:r w:rsidRPr="00AD5CC7">
        <w:rPr>
          <w:rFonts w:ascii="Arial" w:hAnsi="Arial" w:cs="Arial"/>
          <w:i/>
        </w:rPr>
        <w:t>et al.</w:t>
      </w:r>
      <w:r w:rsidRPr="00AD5CC7">
        <w:rPr>
          <w:rFonts w:ascii="Arial" w:hAnsi="Arial" w:cs="Arial"/>
        </w:rPr>
        <w:t xml:space="preserve">, 2014, Santos </w:t>
      </w:r>
      <w:r w:rsidRPr="00AD5CC7">
        <w:rPr>
          <w:rFonts w:ascii="Arial" w:hAnsi="Arial" w:cs="Arial"/>
          <w:i/>
        </w:rPr>
        <w:t>et al</w:t>
      </w:r>
      <w:r w:rsidRPr="00AD5CC7">
        <w:rPr>
          <w:rFonts w:ascii="Arial" w:hAnsi="Arial" w:cs="Arial"/>
        </w:rPr>
        <w:t>., 2016).</w:t>
      </w:r>
    </w:p>
    <w:p w14:paraId="24F2CD26" w14:textId="77777777" w:rsidR="00AD5CC7" w:rsidRPr="00AD5CC7" w:rsidRDefault="00AD5CC7" w:rsidP="00AD5CC7">
      <w:pPr>
        <w:pStyle w:val="BodyText"/>
        <w:spacing w:line="276" w:lineRule="auto"/>
        <w:ind w:right="97" w:firstLine="708"/>
        <w:jc w:val="both"/>
        <w:rPr>
          <w:rFonts w:ascii="Arial" w:hAnsi="Arial" w:cs="Arial"/>
          <w:lang w:val="pt-PT"/>
        </w:rPr>
      </w:pPr>
      <w:r w:rsidRPr="00AD5CC7">
        <w:rPr>
          <w:rStyle w:val="y2iqfc"/>
          <w:rFonts w:ascii="Arial" w:hAnsi="Arial" w:cs="Arial"/>
          <w:lang w:val="pt-PT"/>
        </w:rPr>
        <w:t xml:space="preserve">Regarding the gingival index (GI) and probing depth (PD), when compared between the initial period and 90 days, there were significant results in both groups, as well as in the reduction in the clinical attachment level (NIC), demonstrating an effective action of photodynamic therapy (Table 1). However, when comparing the groups in this parameter, there was </w:t>
      </w:r>
      <w:r w:rsidRPr="00AD5CC7">
        <w:rPr>
          <w:rStyle w:val="y2iqfc"/>
          <w:rFonts w:ascii="Arial" w:hAnsi="Arial" w:cs="Arial"/>
          <w:lang w:val="pt-PT"/>
        </w:rPr>
        <w:lastRenderedPageBreak/>
        <w:t xml:space="preserve">no significant predominance among them. In the study carried out by Al-Zawawi </w:t>
      </w:r>
      <w:r w:rsidRPr="00AD5CC7">
        <w:rPr>
          <w:rStyle w:val="y2iqfc"/>
          <w:rFonts w:ascii="Arial" w:hAnsi="Arial" w:cs="Arial"/>
          <w:i/>
          <w:iCs/>
          <w:lang w:val="pt-PT"/>
        </w:rPr>
        <w:t>et al</w:t>
      </w:r>
      <w:r w:rsidRPr="00AD5CC7">
        <w:rPr>
          <w:rStyle w:val="y2iqfc"/>
          <w:rFonts w:ascii="Arial" w:hAnsi="Arial" w:cs="Arial"/>
          <w:lang w:val="pt-PT"/>
        </w:rPr>
        <w:t>. (2020), similarly, there was a reduction in the GI and PD parameters in non-diabetic patients after scaling and root planing and photodynamic therapy. In comparison, in the present study, the decrease in these parameters was evidenced in patients with type 2 diabetes mellitus, that is, patients who present a worse clinical manifestation of periodontitis.</w:t>
      </w:r>
    </w:p>
    <w:p w14:paraId="11B4FA15" w14:textId="77777777" w:rsidR="00AD5CC7" w:rsidRPr="00AD5CC7" w:rsidRDefault="00AD5CC7" w:rsidP="00AD5CC7">
      <w:pPr>
        <w:spacing w:line="276" w:lineRule="auto"/>
        <w:ind w:firstLine="708"/>
        <w:jc w:val="both"/>
        <w:rPr>
          <w:rStyle w:val="y2iqfc"/>
          <w:rFonts w:ascii="Arial" w:hAnsi="Arial" w:cs="Arial"/>
          <w:lang w:val="pt-PT"/>
        </w:rPr>
      </w:pPr>
      <w:r w:rsidRPr="00AD5CC7">
        <w:rPr>
          <w:rStyle w:val="y2iqfc"/>
          <w:rFonts w:ascii="Arial" w:hAnsi="Arial" w:cs="Arial"/>
          <w:lang w:val="pt-PT"/>
        </w:rPr>
        <w:t>In the bleeding on probing (BoP) parameter, in comparison between the initial period and 90 days of both groups, significantly better results were obtained (p&lt;0.05). There was no significant difference between the compared groups. In a similar study carried out by</w:t>
      </w:r>
      <w:r w:rsidRPr="00AD5CC7">
        <w:rPr>
          <w:rFonts w:ascii="Arial" w:hAnsi="Arial" w:cs="Arial"/>
        </w:rPr>
        <w:t xml:space="preserve"> </w:t>
      </w:r>
      <w:r w:rsidRPr="00AD5CC7">
        <w:rPr>
          <w:rFonts w:ascii="Arial" w:hAnsi="Arial" w:cs="Arial"/>
        </w:rPr>
        <w:fldChar w:fldCharType="begin" w:fldLock="1"/>
      </w:r>
      <w:r w:rsidRPr="00AD5CC7">
        <w:rPr>
          <w:rFonts w:ascii="Arial" w:hAnsi="Arial" w:cs="Arial"/>
        </w:rPr>
        <w:instrText>ADDIN CSL_CITATION {"citationItems":[{"id":"ITEM-1","itemData":{"DOI":"10.1016/j.pdpdt.2018.04.013","ISSN":"18731597","PMID":"29709606","abstract":"Background: This pilot study aimed to evaluate the effect of antimicrobial photodynamic therapy (aPDT) as an adjuvant to non-surgical periodontal therapy (NSPT) on periodontal status and glycemic control in patients with type 2 diabetes mellitus and generalized chronic periodontitis. Methods: Twelve patients were evaluated at five time points: during the preparation of the patient (T0), during the treatment phase (T1) and after 30 (T2), 90 (T3) and 180 (T4) days. The patients had a mean age of 52.2 years and a 9.58-year history of diabetes, on average, and were divided into two randomized treatment groups: 6 patients received NSPT combined with aPDT (G1) and 6 patients received only NSPT (G2). The aPDT was applied associating the photosensitizing agent methylene blue (10 mg/ ml) with a red laser (660 nm–40 mW). The total time of exposure was 2 min per tooth. Results: Whitin the limitation of this study, the results showed that the plaque index reduced significantly only in the control group (p = 0.02) at T2 (30 days). For bleeding on probing, both groups showed a significant reduction between T1 and T2, with no difference between groups G1 and G2. Regarding the probing depth, there were no differences between groups, but the parameters decreased over time when compared to T1. The glycated haemoglobin and fructosamine levels did not significantly differ between or within the groups at any time point. Conclusion: When NSPT was combined with aPDT, no additional benefits were observed for the periodontal and metabolic clinical parameters.","author":[{"dropping-particle":"","family":"Barbosa","given":"Flávia Isabela","non-dropping-particle":"","parse-names":false,"suffix":""},{"dropping-particle":"","family":"Araújo","given":"Patrícia Valente","non-dropping-particle":"","parse-names":false,"suffix":""},{"dropping-particle":"","family":"Machado","given":"Lucas José Campos","non-dropping-particle":"","parse-names":false,"suffix":""},{"dropping-particle":"","family":"Magalhães","given":"Cláudia Silami","non-dropping-particle":"","parse-names":false,"suffix":""},{"dropping-particle":"","family":"Guimarães","given":"Milena Maria Moreira","non-dropping-particle":"","parse-names":false,"suffix":""},{"dropping-particle":"","family":"Moreira","given":"Allyson Nogueira","non-dropping-particle":"","parse-names":false,"suffix":""}],"container-title":"Photodiagnosis and Photodynamic Therapy","id":"ITEM-1","issued":{"date-parts":[["2018"]]},"page":"245-250","publisher":"Elsevier B.V.","title":"Effect of photodynamic therapy as an adjuvant to non-surgical periodontal therapy: Periodontal and metabolic evaluation in patients with type 2 diabetes mellitus","type":"article-journal","volume":"22"},"uris":["http://www.mendeley.com/documents/?uuid=831001ba-dc80-4436-9bad-87db5dbe9ed4"]}],"mendeley":{"formattedCitation":"(BARBOSA &lt;i&gt;et al.&lt;/i&gt;, 2018)","plainTextFormattedCitation":"(BARBOSA et al., 2018)","previouslyFormattedCitation":"(BARBOSA &lt;i&gt;et al.&lt;/i&gt;, 2018)"},"properties":{"noteIndex":0},"schema":"https://github.com/citation-style-language/schema/raw/master/csl-citation.json"}</w:instrText>
      </w:r>
      <w:r w:rsidRPr="00AD5CC7">
        <w:rPr>
          <w:rFonts w:ascii="Arial" w:hAnsi="Arial" w:cs="Arial"/>
        </w:rPr>
        <w:fldChar w:fldCharType="separate"/>
      </w:r>
      <w:r w:rsidRPr="00AD5CC7">
        <w:rPr>
          <w:rFonts w:ascii="Arial" w:hAnsi="Arial" w:cs="Arial"/>
          <w:noProof/>
        </w:rPr>
        <w:t xml:space="preserve">Barbosa </w:t>
      </w:r>
      <w:r w:rsidRPr="00AD5CC7">
        <w:rPr>
          <w:rFonts w:ascii="Arial" w:hAnsi="Arial" w:cs="Arial"/>
          <w:i/>
          <w:noProof/>
        </w:rPr>
        <w:t xml:space="preserve">et al. </w:t>
      </w:r>
      <w:r w:rsidRPr="00AD5CC7">
        <w:rPr>
          <w:rFonts w:ascii="Arial" w:hAnsi="Arial" w:cs="Arial"/>
          <w:noProof/>
        </w:rPr>
        <w:t xml:space="preserve">(2018), </w:t>
      </w:r>
      <w:r w:rsidRPr="00AD5CC7">
        <w:rPr>
          <w:rFonts w:ascii="Arial" w:hAnsi="Arial" w:cs="Arial"/>
        </w:rPr>
        <w:fldChar w:fldCharType="end"/>
      </w:r>
      <w:r w:rsidRPr="00AD5CC7">
        <w:rPr>
          <w:rFonts w:ascii="Arial" w:hAnsi="Arial" w:cs="Arial"/>
        </w:rPr>
        <w:t xml:space="preserve">bleeding on probing parameters also reduced considerably after 2 and 4 months and similarly to the present study, there were no significant differences between the </w:t>
      </w:r>
      <w:r w:rsidRPr="00AD5CC7">
        <w:rPr>
          <w:rStyle w:val="y2iqfc"/>
          <w:rFonts w:ascii="Arial" w:hAnsi="Arial" w:cs="Arial"/>
          <w:lang w:val="pt-PT"/>
        </w:rPr>
        <w:t>scaling and root planing groups and those associated with photodynamic therapy. This demonstrates that basic periodontal therapy is sufficient to control gingival inflammation and bleeding and that there are no significant differences when aPDT is introduced to the treatment in a short evaluation period. Furthermore, this result shows the importance of the patient's contribution to the effectiveness of the treatment with daily control of bacterial plaque.</w:t>
      </w:r>
    </w:p>
    <w:p w14:paraId="66EAB1D9" w14:textId="77777777" w:rsidR="00AD5CC7" w:rsidRPr="00AD5CC7" w:rsidRDefault="00AD5CC7" w:rsidP="00AD5CC7">
      <w:pPr>
        <w:pStyle w:val="BodyText"/>
        <w:spacing w:line="276" w:lineRule="auto"/>
        <w:ind w:right="97" w:firstLine="709"/>
        <w:jc w:val="both"/>
        <w:rPr>
          <w:rStyle w:val="y2iqfc"/>
          <w:rFonts w:ascii="Arial" w:hAnsi="Arial" w:cs="Arial"/>
          <w:lang w:val="pt-PT"/>
        </w:rPr>
      </w:pPr>
      <w:r w:rsidRPr="00AD5CC7">
        <w:rPr>
          <w:rStyle w:val="y2iqfc"/>
          <w:rFonts w:ascii="Arial" w:hAnsi="Arial" w:cs="Arial"/>
          <w:lang w:val="pt-PT"/>
        </w:rPr>
        <w:t xml:space="preserve">The results of the present clinical study are in agreement with previous research comparing therapeutic modalities (Al-Zahrani </w:t>
      </w:r>
      <w:r w:rsidRPr="00AD5CC7">
        <w:rPr>
          <w:rStyle w:val="y2iqfc"/>
          <w:rFonts w:ascii="Arial" w:hAnsi="Arial" w:cs="Arial"/>
          <w:i/>
          <w:iCs/>
          <w:lang w:val="pt-PT"/>
        </w:rPr>
        <w:t>et al</w:t>
      </w:r>
      <w:r w:rsidRPr="00AD5CC7">
        <w:rPr>
          <w:rStyle w:val="y2iqfc"/>
          <w:rFonts w:ascii="Arial" w:hAnsi="Arial" w:cs="Arial"/>
          <w:lang w:val="pt-PT"/>
        </w:rPr>
        <w:t xml:space="preserve">., 2009; Ramos </w:t>
      </w:r>
      <w:r w:rsidRPr="00AD5CC7">
        <w:rPr>
          <w:rStyle w:val="y2iqfc"/>
          <w:rFonts w:ascii="Arial" w:hAnsi="Arial" w:cs="Arial"/>
          <w:i/>
          <w:iCs/>
          <w:lang w:val="pt-PT"/>
        </w:rPr>
        <w:t>et al</w:t>
      </w:r>
      <w:r w:rsidRPr="00AD5CC7">
        <w:rPr>
          <w:rStyle w:val="y2iqfc"/>
          <w:rFonts w:ascii="Arial" w:hAnsi="Arial" w:cs="Arial"/>
          <w:lang w:val="pt-PT"/>
        </w:rPr>
        <w:t xml:space="preserve">., 2016). It is noteworthy that in these aforementioned studies, periodontal clinical parameters also showed satisfactory results in the groups in which only manual instrumentation was performed. Furthermore, in the study by Al-Zahrani </w:t>
      </w:r>
      <w:r w:rsidRPr="00AD5CC7">
        <w:rPr>
          <w:rStyle w:val="y2iqfc"/>
          <w:rFonts w:ascii="Arial" w:hAnsi="Arial" w:cs="Arial"/>
          <w:i/>
          <w:iCs/>
          <w:lang w:val="pt-PT"/>
        </w:rPr>
        <w:t>et al.</w:t>
      </w:r>
      <w:r w:rsidRPr="00AD5CC7">
        <w:rPr>
          <w:rStyle w:val="y2iqfc"/>
          <w:rFonts w:ascii="Arial" w:hAnsi="Arial" w:cs="Arial"/>
          <w:lang w:val="pt-PT"/>
        </w:rPr>
        <w:t xml:space="preserve"> (2009), which compared an additional group using systemic antimicrobial doxycycline, a greater reduction in serum glycosylated hemoglobin levels was demonstrated, corroborating our study, which did not use any antimicrobial and excluded patients who used antibiotic therapy in the months prior to the study. This could be considered an important key factor suggesting that antimicrobials can be used to reduce serum glycosylated hemoglobin values ​​in patients with type 2 diabetes mellitus (Mirza </w:t>
      </w:r>
      <w:r w:rsidRPr="00AD5CC7">
        <w:rPr>
          <w:rStyle w:val="y2iqfc"/>
          <w:rFonts w:ascii="Arial" w:hAnsi="Arial" w:cs="Arial"/>
          <w:i/>
          <w:iCs/>
          <w:lang w:val="pt-PT"/>
        </w:rPr>
        <w:t>et al</w:t>
      </w:r>
      <w:r w:rsidRPr="00AD5CC7">
        <w:rPr>
          <w:rStyle w:val="y2iqfc"/>
          <w:rFonts w:ascii="Arial" w:hAnsi="Arial" w:cs="Arial"/>
          <w:lang w:val="pt-PT"/>
        </w:rPr>
        <w:t>., 2019).</w:t>
      </w:r>
    </w:p>
    <w:p w14:paraId="54B5B0D7" w14:textId="77777777" w:rsidR="00AD5CC7" w:rsidRPr="00AD5CC7" w:rsidRDefault="00AD5CC7" w:rsidP="00AD5CC7">
      <w:pPr>
        <w:spacing w:line="276" w:lineRule="auto"/>
        <w:ind w:firstLine="708"/>
        <w:jc w:val="both"/>
        <w:rPr>
          <w:rFonts w:ascii="Arial" w:hAnsi="Arial" w:cs="Arial"/>
        </w:rPr>
      </w:pPr>
      <w:r w:rsidRPr="00AD5CC7">
        <w:rPr>
          <w:rFonts w:ascii="Arial" w:hAnsi="Arial" w:cs="Arial"/>
        </w:rPr>
        <w:t xml:space="preserve">A study by Claudio </w:t>
      </w:r>
      <w:r w:rsidRPr="00AD5CC7">
        <w:rPr>
          <w:rStyle w:val="y2iqfc"/>
          <w:rFonts w:ascii="Arial" w:hAnsi="Arial" w:cs="Arial"/>
          <w:i/>
          <w:iCs/>
          <w:lang w:val="pt-PT"/>
        </w:rPr>
        <w:t>et al</w:t>
      </w:r>
      <w:r w:rsidRPr="00AD5CC7">
        <w:rPr>
          <w:rStyle w:val="y2iqfc"/>
          <w:rFonts w:ascii="Arial" w:hAnsi="Arial" w:cs="Arial"/>
          <w:lang w:val="pt-PT"/>
        </w:rPr>
        <w:t xml:space="preserve">. </w:t>
      </w:r>
      <w:r w:rsidRPr="00AD5CC7">
        <w:rPr>
          <w:rFonts w:ascii="Arial" w:hAnsi="Arial" w:cs="Arial"/>
        </w:rPr>
        <w:t xml:space="preserve">(2021) demonstrated that the use of multiple sessions of PDT as adjuvant therapy in the periodontal treatment of decompensated diabetic patients with periodontitis promotes benefits, when compared to the group that received only scaling and root </w:t>
      </w:r>
      <w:proofErr w:type="spellStart"/>
      <w:r w:rsidRPr="00AD5CC7">
        <w:rPr>
          <w:rFonts w:ascii="Arial" w:hAnsi="Arial" w:cs="Arial"/>
        </w:rPr>
        <w:t>planing</w:t>
      </w:r>
      <w:proofErr w:type="spellEnd"/>
      <w:r w:rsidRPr="00AD5CC7">
        <w:rPr>
          <w:rFonts w:ascii="Arial" w:hAnsi="Arial" w:cs="Arial"/>
        </w:rPr>
        <w:t>, over a long period of time (180 days). Our study, being short -term, may have made it difficult to see more evident results when comparing treatments. Therefore, we suggest the need for clinical trials with longer follow-up.</w:t>
      </w:r>
    </w:p>
    <w:p w14:paraId="594E0E3B" w14:textId="77777777" w:rsidR="00AD5CC7" w:rsidRPr="00AD5CC7" w:rsidRDefault="00AD5CC7" w:rsidP="00AD5CC7">
      <w:pPr>
        <w:pStyle w:val="BodyText"/>
        <w:spacing w:line="276" w:lineRule="auto"/>
        <w:ind w:right="97" w:firstLine="708"/>
        <w:jc w:val="both"/>
        <w:rPr>
          <w:rFonts w:ascii="Arial" w:hAnsi="Arial" w:cs="Arial"/>
        </w:rPr>
      </w:pPr>
      <w:r w:rsidRPr="00AD5CC7">
        <w:rPr>
          <w:rFonts w:ascii="Arial" w:hAnsi="Arial" w:cs="Arial"/>
        </w:rPr>
        <w:t>Regarding the results presented</w:t>
      </w:r>
      <w:r w:rsidRPr="00AD5CC7">
        <w:rPr>
          <w:rFonts w:ascii="Arial" w:hAnsi="Arial" w:cs="Arial"/>
          <w:color w:val="4F81BD" w:themeColor="accent1"/>
        </w:rPr>
        <w:t xml:space="preserve"> </w:t>
      </w:r>
      <w:r w:rsidRPr="00AD5CC7">
        <w:rPr>
          <w:rFonts w:ascii="Arial" w:hAnsi="Arial" w:cs="Arial"/>
        </w:rPr>
        <w:t xml:space="preserve">it was also observed that there was a statistically significant decrease in the amount of gingival crevicular fluid after 90 days in the SRP + APDT group, demonstrating the superiority of this treatment in reducing inflammation in a short period of time (Table 2). Therefore, this result suggests that three applications of PDT may provide additional benefits to periodontal treatment, considering the reduction in the amount of gingival crevicular fluid. </w:t>
      </w:r>
      <w:r w:rsidRPr="00AD5CC7">
        <w:rPr>
          <w:rStyle w:val="y2iqfc"/>
          <w:rFonts w:ascii="Arial" w:hAnsi="Arial" w:cs="Arial"/>
          <w:lang w:val="pt-PT"/>
        </w:rPr>
        <w:t xml:space="preserve">In a recent study (Al-Zawawi </w:t>
      </w:r>
      <w:r w:rsidRPr="00AD5CC7">
        <w:rPr>
          <w:rStyle w:val="y2iqfc"/>
          <w:rFonts w:ascii="Arial" w:hAnsi="Arial" w:cs="Arial"/>
          <w:i/>
          <w:iCs/>
          <w:lang w:val="pt-PT"/>
        </w:rPr>
        <w:t>et al</w:t>
      </w:r>
      <w:r w:rsidRPr="00AD5CC7">
        <w:rPr>
          <w:rStyle w:val="y2iqfc"/>
          <w:rFonts w:ascii="Arial" w:hAnsi="Arial" w:cs="Arial"/>
          <w:lang w:val="pt-PT"/>
        </w:rPr>
        <w:t xml:space="preserve">., 2020), the authors found that after mechanical removal of plaque from the gingival sulcus and application of PDT, the resulting reaction eliminated pathogenic bacteria in all aspects of the therapy, facilitating the healing of periodontal tissues. </w:t>
      </w:r>
      <w:r w:rsidRPr="00AD5CC7">
        <w:rPr>
          <w:rFonts w:ascii="Arial" w:hAnsi="Arial" w:cs="Arial"/>
        </w:rPr>
        <w:t xml:space="preserve">In a study by </w:t>
      </w:r>
      <w:proofErr w:type="spellStart"/>
      <w:r w:rsidRPr="00AD5CC7">
        <w:rPr>
          <w:rFonts w:ascii="Arial" w:hAnsi="Arial" w:cs="Arial"/>
        </w:rPr>
        <w:t>Akansel</w:t>
      </w:r>
      <w:proofErr w:type="spellEnd"/>
      <w:r w:rsidRPr="00AD5CC7">
        <w:rPr>
          <w:rFonts w:ascii="Arial" w:hAnsi="Arial" w:cs="Arial"/>
        </w:rPr>
        <w:t xml:space="preserve"> </w:t>
      </w:r>
      <w:r w:rsidRPr="00AD5CC7">
        <w:rPr>
          <w:rFonts w:ascii="Arial" w:hAnsi="Arial" w:cs="Arial"/>
          <w:i/>
          <w:iCs/>
        </w:rPr>
        <w:t xml:space="preserve">et al. </w:t>
      </w:r>
      <w:r w:rsidRPr="00AD5CC7">
        <w:rPr>
          <w:rFonts w:ascii="Arial" w:hAnsi="Arial" w:cs="Arial"/>
        </w:rPr>
        <w:t>(2023) carried out in diabetic and non-diabetic patients with periodontal disease, the authors presented results that revealed the short-term impacts of PDT on periodontal healing, observing superior efficacy in periodontal parameters in diabetic patients. Therefore, it can be speculated that PDT may have a very short-term anti-inflammatory contribution to basic periodontal treatment, only in impaired healing conditions, such as in patients with diabetes mellitus.</w:t>
      </w:r>
    </w:p>
    <w:p w14:paraId="2284DD61" w14:textId="77777777" w:rsidR="00AD5CC7" w:rsidRPr="00AD5CC7" w:rsidRDefault="00AD5CC7" w:rsidP="00AD5CC7">
      <w:pPr>
        <w:spacing w:line="276" w:lineRule="auto"/>
        <w:ind w:firstLine="708"/>
        <w:jc w:val="both"/>
        <w:rPr>
          <w:rFonts w:ascii="Arial" w:hAnsi="Arial" w:cs="Arial"/>
          <w:lang w:val="pt-PT"/>
        </w:rPr>
      </w:pPr>
      <w:r w:rsidRPr="00AD5CC7">
        <w:rPr>
          <w:rFonts w:ascii="Arial" w:hAnsi="Arial" w:cs="Arial"/>
        </w:rPr>
        <w:t xml:space="preserve">We observed a reduction in glycated hemoglobin levels in the short-term follow-up after non-surgical periodontal therapy, corroborating results already seen in meta-analyses (Preshaw </w:t>
      </w:r>
      <w:r w:rsidRPr="00AD5CC7">
        <w:rPr>
          <w:rFonts w:ascii="Arial" w:hAnsi="Arial" w:cs="Arial"/>
          <w:i/>
        </w:rPr>
        <w:t>et al</w:t>
      </w:r>
      <w:r w:rsidRPr="00AD5CC7">
        <w:rPr>
          <w:rFonts w:ascii="Arial" w:hAnsi="Arial" w:cs="Arial"/>
        </w:rPr>
        <w:t xml:space="preserve">., 2011). In 2010, the international Cochrane network reported studies that investigated the relationship between periodontal treatment and glycemic control in people with diabetes. The studies included in this meta-analysis reported a significant reduction in HbA1c of 0.40% 90 to 120 days after conventional periodontal </w:t>
      </w:r>
      <w:proofErr w:type="gramStart"/>
      <w:r w:rsidRPr="00AD5CC7">
        <w:rPr>
          <w:rFonts w:ascii="Arial" w:hAnsi="Arial" w:cs="Arial"/>
        </w:rPr>
        <w:t>therapy .</w:t>
      </w:r>
      <w:proofErr w:type="gramEnd"/>
      <w:r w:rsidRPr="00AD5CC7">
        <w:rPr>
          <w:rFonts w:ascii="Arial" w:hAnsi="Arial" w:cs="Arial"/>
        </w:rPr>
        <w:t xml:space="preserve"> </w:t>
      </w:r>
      <w:r w:rsidRPr="00AD5CC7">
        <w:rPr>
          <w:rStyle w:val="y2iqfc"/>
          <w:rFonts w:ascii="Arial" w:hAnsi="Arial" w:cs="Arial"/>
          <w:lang w:val="pt-PT"/>
        </w:rPr>
        <w:t>Furthermore, we observed a trend of improvement in the other laboratory parameters evaluated in our study after periodontal therapy (Table 3). Since periodontal disease is characterized as an immunoinflammatory disease that begins in response to a microbial challenge, it is plausible to suggest that the inflammatory mediators present in periodontal disease may also influence the systemic inflammatory burden (</w:t>
      </w:r>
      <w:r w:rsidRPr="00AD5CC7">
        <w:rPr>
          <w:rFonts w:ascii="Arial" w:hAnsi="Arial" w:cs="Arial"/>
          <w:shd w:val="clear" w:color="auto" w:fill="FFFFFF"/>
        </w:rPr>
        <w:t>Carrizales-Sepúlveda</w:t>
      </w:r>
      <w:r w:rsidRPr="00AD5CC7">
        <w:rPr>
          <w:rStyle w:val="author-sup-separator"/>
          <w:rFonts w:ascii="Arial" w:hAnsi="Arial" w:cs="Arial"/>
          <w:shd w:val="clear" w:color="auto" w:fill="FFFFFF"/>
          <w:vertAlign w:val="superscript"/>
        </w:rPr>
        <w:t> </w:t>
      </w:r>
      <w:r w:rsidRPr="00AD5CC7">
        <w:rPr>
          <w:rStyle w:val="author-sup-separator"/>
          <w:rFonts w:ascii="Arial" w:hAnsi="Arial" w:cs="Arial"/>
          <w:i/>
          <w:shd w:val="clear" w:color="auto" w:fill="FFFFFF"/>
        </w:rPr>
        <w:t xml:space="preserve">et </w:t>
      </w:r>
      <w:r w:rsidRPr="00AD5CC7">
        <w:rPr>
          <w:rStyle w:val="y2iqfc"/>
          <w:rFonts w:ascii="Arial" w:hAnsi="Arial" w:cs="Arial"/>
          <w:i/>
          <w:lang w:val="pt-PT"/>
        </w:rPr>
        <w:t>al.,</w:t>
      </w:r>
      <w:r w:rsidRPr="00AD5CC7">
        <w:rPr>
          <w:rStyle w:val="y2iqfc"/>
          <w:rFonts w:ascii="Arial" w:hAnsi="Arial" w:cs="Arial"/>
          <w:lang w:val="pt-PT"/>
        </w:rPr>
        <w:t>2018; Dalacqua, 2019).</w:t>
      </w:r>
    </w:p>
    <w:p w14:paraId="5E2D93F3" w14:textId="77777777" w:rsidR="00790ADA" w:rsidRPr="00FB3A86" w:rsidRDefault="00790ADA" w:rsidP="00441B6F">
      <w:pPr>
        <w:pStyle w:val="Body"/>
        <w:spacing w:after="0"/>
        <w:rPr>
          <w:rFonts w:ascii="Arial" w:hAnsi="Arial" w:cs="Arial"/>
        </w:rPr>
      </w:pPr>
    </w:p>
    <w:p w14:paraId="1591B69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2163BC9" w14:textId="77777777" w:rsidR="00790ADA" w:rsidRPr="00FB3A86" w:rsidRDefault="00790ADA" w:rsidP="00AD5CC7">
      <w:pPr>
        <w:pStyle w:val="ConcHead"/>
        <w:spacing w:after="0"/>
        <w:jc w:val="both"/>
        <w:rPr>
          <w:rFonts w:ascii="Arial" w:hAnsi="Arial" w:cs="Arial"/>
        </w:rPr>
      </w:pPr>
    </w:p>
    <w:p w14:paraId="09654FCD" w14:textId="64BEF3A5" w:rsidR="00E509FA" w:rsidRPr="00E509FA" w:rsidRDefault="00AD5CC7" w:rsidP="00E509FA">
      <w:pPr>
        <w:pStyle w:val="BodyText"/>
        <w:spacing w:line="276" w:lineRule="auto"/>
        <w:ind w:right="97"/>
        <w:jc w:val="both"/>
        <w:rPr>
          <w:rFonts w:ascii="Arial" w:hAnsi="Arial" w:cs="Arial"/>
          <w:szCs w:val="24"/>
        </w:rPr>
      </w:pPr>
      <w:r w:rsidRPr="003E323D">
        <w:rPr>
          <w:rFonts w:ascii="Arial" w:hAnsi="Arial" w:cs="Arial"/>
          <w:szCs w:val="24"/>
        </w:rPr>
        <w:t xml:space="preserve">We can conclude that in a short period of follow-up there was an improvement in the periodontal clinical condition, but there was no predominance in the clinical parameters, despite the reduction of gingival crevicular fluid, with the use of </w:t>
      </w:r>
      <w:r w:rsidRPr="003E323D">
        <w:rPr>
          <w:rFonts w:ascii="Arial" w:hAnsi="Arial" w:cs="Arial"/>
          <w:szCs w:val="24"/>
        </w:rPr>
        <w:lastRenderedPageBreak/>
        <w:t xml:space="preserve">photodynamic therapy associated with scaling and root </w:t>
      </w:r>
      <w:proofErr w:type="spellStart"/>
      <w:r w:rsidRPr="003E323D">
        <w:rPr>
          <w:rFonts w:ascii="Arial" w:hAnsi="Arial" w:cs="Arial"/>
          <w:szCs w:val="24"/>
        </w:rPr>
        <w:t>planing</w:t>
      </w:r>
      <w:proofErr w:type="spellEnd"/>
      <w:r w:rsidRPr="003E323D">
        <w:rPr>
          <w:rFonts w:ascii="Arial" w:hAnsi="Arial" w:cs="Arial"/>
          <w:szCs w:val="24"/>
        </w:rPr>
        <w:t xml:space="preserve"> compared to only scaling and root </w:t>
      </w:r>
      <w:proofErr w:type="spellStart"/>
      <w:r w:rsidRPr="003E323D">
        <w:rPr>
          <w:rFonts w:ascii="Arial" w:hAnsi="Arial" w:cs="Arial"/>
          <w:szCs w:val="24"/>
        </w:rPr>
        <w:t>planing</w:t>
      </w:r>
      <w:proofErr w:type="spellEnd"/>
      <w:r w:rsidRPr="003E323D">
        <w:rPr>
          <w:rFonts w:ascii="Arial" w:hAnsi="Arial" w:cs="Arial"/>
          <w:szCs w:val="24"/>
        </w:rPr>
        <w:t xml:space="preserve"> in diabetic patients.</w:t>
      </w:r>
    </w:p>
    <w:p w14:paraId="7A29B96C" w14:textId="77777777" w:rsidR="002B685A" w:rsidRDefault="002B685A" w:rsidP="00441B6F">
      <w:pPr>
        <w:pStyle w:val="ReferHead"/>
        <w:spacing w:after="0"/>
        <w:jc w:val="both"/>
        <w:rPr>
          <w:rFonts w:ascii="Arial" w:hAnsi="Arial" w:cs="Arial"/>
          <w:bCs/>
        </w:rPr>
      </w:pPr>
      <w:bookmarkStart w:id="0" w:name="_GoBack"/>
      <w:bookmarkEnd w:id="0"/>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2DBB6B55" w14:textId="77777777" w:rsidR="002B685A" w:rsidRPr="002B685A" w:rsidRDefault="002B685A" w:rsidP="00441B6F">
      <w:pPr>
        <w:pStyle w:val="ReferHead"/>
        <w:spacing w:after="0"/>
        <w:jc w:val="both"/>
        <w:rPr>
          <w:rFonts w:ascii="Arial" w:hAnsi="Arial" w:cs="Arial"/>
          <w:bCs/>
        </w:rPr>
      </w:pPr>
    </w:p>
    <w:p w14:paraId="0A11628A" w14:textId="77777777" w:rsidR="005C784C" w:rsidRDefault="0044482F" w:rsidP="00441B6F">
      <w:pPr>
        <w:pStyle w:val="ReferHead"/>
        <w:spacing w:after="0"/>
        <w:jc w:val="both"/>
        <w:rPr>
          <w:rFonts w:ascii="Arial" w:hAnsi="Arial" w:cs="Arial"/>
          <w:b w:val="0"/>
          <w:caps w:val="0"/>
          <w:sz w:val="20"/>
        </w:rPr>
      </w:pPr>
      <w:r w:rsidRPr="0044482F">
        <w:rPr>
          <w:rFonts w:ascii="Arial" w:hAnsi="Arial" w:cs="Arial"/>
          <w:b w:val="0"/>
          <w:caps w:val="0"/>
          <w:sz w:val="20"/>
        </w:rPr>
        <w:t>All participants were informed about the potential benefits and risks of participating in the study and signed the Informed Consent Form (ICF). This study was authorized by the Human Research Ethics Committee of the Western Paraná State University (UNIOESTE), under opinion 49535421.6.0000.0107. It is registered in the Brazilian Clinical Trials Registry (</w:t>
      </w:r>
      <w:proofErr w:type="spellStart"/>
      <w:r w:rsidRPr="0044482F">
        <w:rPr>
          <w:rFonts w:ascii="Arial" w:hAnsi="Arial" w:cs="Arial"/>
          <w:b w:val="0"/>
          <w:caps w:val="0"/>
          <w:sz w:val="20"/>
        </w:rPr>
        <w:t>ReBEC</w:t>
      </w:r>
      <w:proofErr w:type="spellEnd"/>
      <w:r w:rsidRPr="0044482F">
        <w:rPr>
          <w:rFonts w:ascii="Arial" w:hAnsi="Arial" w:cs="Arial"/>
          <w:b w:val="0"/>
          <w:caps w:val="0"/>
          <w:sz w:val="20"/>
        </w:rPr>
        <w:t>) platfor</w:t>
      </w:r>
      <w:r>
        <w:rPr>
          <w:rFonts w:ascii="Arial" w:hAnsi="Arial" w:cs="Arial"/>
          <w:b w:val="0"/>
          <w:caps w:val="0"/>
          <w:sz w:val="20"/>
        </w:rPr>
        <w:t xml:space="preserve">m under identifier RBR-7xnnb4z </w:t>
      </w:r>
    </w:p>
    <w:p w14:paraId="57FE069F" w14:textId="77777777" w:rsidR="0044482F" w:rsidRDefault="0044482F" w:rsidP="00441B6F">
      <w:pPr>
        <w:pStyle w:val="ReferHead"/>
        <w:spacing w:after="0"/>
        <w:jc w:val="both"/>
        <w:rPr>
          <w:rFonts w:ascii="Arial" w:hAnsi="Arial" w:cs="Arial"/>
          <w:b w:val="0"/>
          <w:caps w:val="0"/>
          <w:sz w:val="20"/>
        </w:rPr>
      </w:pPr>
    </w:p>
    <w:p w14:paraId="4750EE55"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06D4144A" w14:textId="77777777" w:rsidR="005C784C" w:rsidRPr="002B685A" w:rsidRDefault="005C784C" w:rsidP="00441B6F">
      <w:pPr>
        <w:pStyle w:val="ReferHead"/>
        <w:spacing w:after="0"/>
        <w:jc w:val="both"/>
        <w:rPr>
          <w:rFonts w:ascii="Arial" w:hAnsi="Arial" w:cs="Arial"/>
          <w:bCs/>
        </w:rPr>
      </w:pPr>
    </w:p>
    <w:p w14:paraId="111B1375" w14:textId="77777777" w:rsidR="0041027F" w:rsidRPr="00D71E3C" w:rsidRDefault="00B8669B" w:rsidP="00441B6F">
      <w:pPr>
        <w:pStyle w:val="ReferHead"/>
        <w:spacing w:after="0"/>
        <w:jc w:val="both"/>
        <w:rPr>
          <w:rFonts w:ascii="Arial" w:hAnsi="Arial" w:cs="Arial"/>
          <w:b w:val="0"/>
          <w:caps w:val="0"/>
          <w:sz w:val="20"/>
        </w:rPr>
      </w:pPr>
      <w:r w:rsidRPr="0044482F">
        <w:rPr>
          <w:rFonts w:ascii="Arial" w:hAnsi="Arial" w:cs="Arial"/>
          <w:b w:val="0"/>
          <w:caps w:val="0"/>
          <w:sz w:val="20"/>
        </w:rPr>
        <w:t>This study was authorized by the Human Research Ethics Committee of the Western Paraná State University (UNIOESTE), under opinion 49535421.6.0000.0107. It is registered in the Brazilian Clinical Trials Registry (</w:t>
      </w:r>
      <w:proofErr w:type="spellStart"/>
      <w:r w:rsidRPr="0044482F">
        <w:rPr>
          <w:rFonts w:ascii="Arial" w:hAnsi="Arial" w:cs="Arial"/>
          <w:b w:val="0"/>
          <w:caps w:val="0"/>
          <w:sz w:val="20"/>
        </w:rPr>
        <w:t>ReBEC</w:t>
      </w:r>
      <w:proofErr w:type="spellEnd"/>
      <w:r w:rsidRPr="0044482F">
        <w:rPr>
          <w:rFonts w:ascii="Arial" w:hAnsi="Arial" w:cs="Arial"/>
          <w:b w:val="0"/>
          <w:caps w:val="0"/>
          <w:sz w:val="20"/>
        </w:rPr>
        <w:t>) platfor</w:t>
      </w:r>
      <w:r w:rsidR="00D71E3C">
        <w:rPr>
          <w:rFonts w:ascii="Arial" w:hAnsi="Arial" w:cs="Arial"/>
          <w:b w:val="0"/>
          <w:caps w:val="0"/>
          <w:sz w:val="20"/>
        </w:rPr>
        <w:t xml:space="preserve">m under identifier RBR-7xnnb4z. </w:t>
      </w:r>
      <w:r w:rsidR="001A29D8" w:rsidRPr="00D71E3C">
        <w:rPr>
          <w:rFonts w:ascii="Arial" w:hAnsi="Arial" w:cs="Arial"/>
          <w:b w:val="0"/>
          <w:caps w:val="0"/>
          <w:sz w:val="20"/>
        </w:rPr>
        <w:t>All authors hereby declare that a</w:t>
      </w:r>
      <w:r w:rsidR="0041027F" w:rsidRPr="00D71E3C">
        <w:rPr>
          <w:rFonts w:ascii="Arial" w:hAnsi="Arial" w:cs="Arial"/>
          <w:b w:val="0"/>
          <w:caps w:val="0"/>
          <w:sz w:val="20"/>
        </w:rPr>
        <w:t xml:space="preserve">ll </w:t>
      </w:r>
      <w:r w:rsidR="00F469F0" w:rsidRPr="00D71E3C">
        <w:rPr>
          <w:rFonts w:ascii="Arial" w:hAnsi="Arial" w:cs="Arial"/>
          <w:b w:val="0"/>
          <w:caps w:val="0"/>
          <w:sz w:val="20"/>
        </w:rPr>
        <w:t>experiments</w:t>
      </w:r>
      <w:r w:rsidR="0041027F" w:rsidRPr="00D71E3C">
        <w:rPr>
          <w:rFonts w:ascii="Arial" w:hAnsi="Arial" w:cs="Arial"/>
          <w:b w:val="0"/>
          <w:caps w:val="0"/>
          <w:sz w:val="20"/>
        </w:rPr>
        <w:t xml:space="preserve"> have been examined</w:t>
      </w:r>
      <w:r w:rsidR="001A29D8" w:rsidRPr="00D71E3C">
        <w:rPr>
          <w:rFonts w:ascii="Arial" w:hAnsi="Arial" w:cs="Arial"/>
          <w:b w:val="0"/>
          <w:caps w:val="0"/>
          <w:sz w:val="20"/>
        </w:rPr>
        <w:t xml:space="preserve"> and approved</w:t>
      </w:r>
      <w:r w:rsidR="0041027F" w:rsidRPr="00D71E3C">
        <w:rPr>
          <w:rFonts w:ascii="Arial" w:hAnsi="Arial" w:cs="Arial"/>
          <w:b w:val="0"/>
          <w:caps w:val="0"/>
          <w:sz w:val="20"/>
        </w:rPr>
        <w:t xml:space="preserve"> by the appropriate ethics committee and have therefore been performed in accordance with the ethical standards laid down in the 1964 Declaration of Helsinki.</w:t>
      </w:r>
    </w:p>
    <w:p w14:paraId="56C6284C" w14:textId="77777777" w:rsidR="00860000" w:rsidRDefault="00860000" w:rsidP="00441B6F">
      <w:pPr>
        <w:pStyle w:val="ReferHead"/>
        <w:spacing w:after="0"/>
        <w:jc w:val="both"/>
        <w:rPr>
          <w:rFonts w:ascii="Arial" w:hAnsi="Arial" w:cs="Arial"/>
        </w:rPr>
      </w:pPr>
    </w:p>
    <w:p w14:paraId="0B04DFA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505B12F" w14:textId="77777777" w:rsidR="00790ADA" w:rsidRPr="00FB3A86" w:rsidRDefault="00790ADA" w:rsidP="00441B6F">
      <w:pPr>
        <w:pStyle w:val="ReferHead"/>
        <w:spacing w:after="0"/>
        <w:jc w:val="both"/>
        <w:rPr>
          <w:rFonts w:ascii="Arial" w:hAnsi="Arial" w:cs="Arial"/>
        </w:rPr>
      </w:pPr>
    </w:p>
    <w:p w14:paraId="566B40E6" w14:textId="77777777" w:rsidR="004751FB" w:rsidRPr="00AF518B" w:rsidRDefault="004751FB" w:rsidP="004751FB">
      <w:pPr>
        <w:pStyle w:val="ListParagraph"/>
        <w:numPr>
          <w:ilvl w:val="0"/>
          <w:numId w:val="33"/>
        </w:numPr>
        <w:suppressAutoHyphens w:val="0"/>
        <w:jc w:val="both"/>
        <w:rPr>
          <w:rFonts w:ascii="Arial" w:hAnsi="Arial" w:cs="Arial"/>
          <w:sz w:val="20"/>
          <w:szCs w:val="20"/>
        </w:rPr>
      </w:pPr>
      <w:r w:rsidRPr="00AF518B">
        <w:rPr>
          <w:rStyle w:val="Strong"/>
          <w:rFonts w:ascii="Arial" w:hAnsi="Arial" w:cs="Arial"/>
          <w:b w:val="0"/>
          <w:sz w:val="20"/>
          <w:szCs w:val="20"/>
        </w:rPr>
        <w:t>Organização Mundial da Saúde (OMS).</w:t>
      </w:r>
      <w:r w:rsidRPr="00AF518B">
        <w:rPr>
          <w:rFonts w:ascii="Arial" w:hAnsi="Arial" w:cs="Arial"/>
          <w:sz w:val="20"/>
          <w:szCs w:val="20"/>
        </w:rPr>
        <w:t xml:space="preserve"> (2012). </w:t>
      </w:r>
      <w:r w:rsidRPr="00AF518B">
        <w:rPr>
          <w:rStyle w:val="Emphasis"/>
          <w:rFonts w:ascii="Arial" w:hAnsi="Arial" w:cs="Arial"/>
          <w:sz w:val="20"/>
          <w:szCs w:val="20"/>
        </w:rPr>
        <w:t>Global status report on noncommunicable diseases 2010</w:t>
      </w:r>
      <w:r w:rsidRPr="00AF518B">
        <w:rPr>
          <w:rFonts w:ascii="Arial" w:hAnsi="Arial" w:cs="Arial"/>
          <w:sz w:val="20"/>
          <w:szCs w:val="20"/>
        </w:rPr>
        <w:t xml:space="preserve">. World Health Organization. Recuperado de </w:t>
      </w:r>
      <w:r>
        <w:fldChar w:fldCharType="begin"/>
      </w:r>
      <w:r>
        <w:instrText>HYPERLINK "https://www.who.int/publications/i/item/9789240686458" \t "_new"</w:instrText>
      </w:r>
      <w:r>
        <w:fldChar w:fldCharType="separate"/>
      </w:r>
      <w:r w:rsidRPr="00AF518B">
        <w:rPr>
          <w:rStyle w:val="Hyperlink"/>
          <w:rFonts w:ascii="Arial" w:hAnsi="Arial" w:cs="Arial"/>
          <w:color w:val="auto"/>
          <w:sz w:val="20"/>
          <w:szCs w:val="20"/>
        </w:rPr>
        <w:t>https://www.who.int/publications/i/item/9789240686458</w:t>
      </w:r>
      <w:r>
        <w:fldChar w:fldCharType="end"/>
      </w:r>
    </w:p>
    <w:p w14:paraId="6BA595D0" w14:textId="77777777" w:rsidR="004751FB" w:rsidRPr="00AF518B" w:rsidRDefault="004751FB" w:rsidP="004751FB">
      <w:pPr>
        <w:jc w:val="both"/>
        <w:rPr>
          <w:rFonts w:ascii="Arial" w:hAnsi="Arial" w:cs="Arial"/>
        </w:rPr>
      </w:pPr>
    </w:p>
    <w:p w14:paraId="4A7139BC" w14:textId="77777777" w:rsidR="004751FB" w:rsidRPr="00AF518B" w:rsidRDefault="004751FB" w:rsidP="004751FB">
      <w:pPr>
        <w:pStyle w:val="ListParagraph"/>
        <w:numPr>
          <w:ilvl w:val="0"/>
          <w:numId w:val="33"/>
        </w:numPr>
        <w:suppressAutoHyphens w:val="0"/>
        <w:jc w:val="both"/>
        <w:rPr>
          <w:rStyle w:val="Hyperlink"/>
          <w:rFonts w:ascii="Arial" w:hAnsi="Arial" w:cs="Arial"/>
          <w:color w:val="auto"/>
          <w:sz w:val="20"/>
          <w:szCs w:val="20"/>
        </w:rPr>
      </w:pPr>
      <w:r w:rsidRPr="00AF518B">
        <w:rPr>
          <w:rStyle w:val="Strong"/>
          <w:rFonts w:ascii="Arial" w:hAnsi="Arial" w:cs="Arial"/>
          <w:b w:val="0"/>
          <w:sz w:val="20"/>
          <w:szCs w:val="20"/>
        </w:rPr>
        <w:t>Lira-Junior, R., &amp; Figueredo, C. M.</w:t>
      </w:r>
      <w:r w:rsidRPr="00AF518B">
        <w:rPr>
          <w:rFonts w:ascii="Arial" w:hAnsi="Arial" w:cs="Arial"/>
          <w:sz w:val="20"/>
          <w:szCs w:val="20"/>
        </w:rPr>
        <w:t xml:space="preserve"> (2016). Periodontal and inflammatory bowel diseases: Is there evidence of complex pathogenic interactions? </w:t>
      </w:r>
      <w:r w:rsidRPr="00AF518B">
        <w:rPr>
          <w:rStyle w:val="Emphasis"/>
          <w:rFonts w:ascii="Arial" w:hAnsi="Arial" w:cs="Arial"/>
          <w:sz w:val="20"/>
          <w:szCs w:val="20"/>
        </w:rPr>
        <w:t>World Journal of Gastroenterology, 22</w:t>
      </w:r>
      <w:r w:rsidRPr="00AF518B">
        <w:rPr>
          <w:rFonts w:ascii="Arial" w:hAnsi="Arial" w:cs="Arial"/>
          <w:sz w:val="20"/>
          <w:szCs w:val="20"/>
        </w:rPr>
        <w:t xml:space="preserve">(35), 7963–7972. </w:t>
      </w:r>
      <w:hyperlink r:id="rId15" w:history="1">
        <w:r w:rsidRPr="00AF518B">
          <w:rPr>
            <w:rStyle w:val="Hyperlink"/>
            <w:rFonts w:ascii="Arial" w:hAnsi="Arial" w:cs="Arial"/>
            <w:color w:val="auto"/>
            <w:sz w:val="20"/>
            <w:szCs w:val="20"/>
          </w:rPr>
          <w:t>https://doi.org/10.3748/wjg.v22.i35.7963</w:t>
        </w:r>
      </w:hyperlink>
    </w:p>
    <w:p w14:paraId="74C0ADCC" w14:textId="77777777" w:rsidR="004751FB" w:rsidRPr="00AF518B" w:rsidRDefault="004751FB" w:rsidP="004751FB">
      <w:pPr>
        <w:jc w:val="both"/>
        <w:rPr>
          <w:rStyle w:val="Hyperlink"/>
          <w:rFonts w:ascii="Arial" w:hAnsi="Arial" w:cs="Arial"/>
          <w:color w:val="auto"/>
        </w:rPr>
      </w:pPr>
    </w:p>
    <w:p w14:paraId="1ED85669" w14:textId="77777777" w:rsidR="004751FB" w:rsidRPr="00AF518B" w:rsidRDefault="004751FB" w:rsidP="004751FB">
      <w:pPr>
        <w:pStyle w:val="ListParagraph"/>
        <w:numPr>
          <w:ilvl w:val="0"/>
          <w:numId w:val="33"/>
        </w:numPr>
        <w:suppressAutoHyphens w:val="0"/>
        <w:jc w:val="both"/>
        <w:rPr>
          <w:rFonts w:ascii="Arial" w:hAnsi="Arial" w:cs="Arial"/>
          <w:sz w:val="20"/>
          <w:szCs w:val="20"/>
        </w:rPr>
      </w:pPr>
      <w:r w:rsidRPr="00AF518B">
        <w:rPr>
          <w:rStyle w:val="Strong"/>
          <w:rFonts w:ascii="Arial" w:hAnsi="Arial" w:cs="Arial"/>
          <w:b w:val="0"/>
          <w:sz w:val="20"/>
          <w:szCs w:val="20"/>
        </w:rPr>
        <w:t>Chee, B., Park, B., &amp; Bartold, M. P.</w:t>
      </w:r>
      <w:r w:rsidRPr="00AF518B">
        <w:rPr>
          <w:rFonts w:ascii="Arial" w:hAnsi="Arial" w:cs="Arial"/>
          <w:sz w:val="20"/>
          <w:szCs w:val="20"/>
        </w:rPr>
        <w:t xml:space="preserve"> (2013). Periodontitis and type II diabetes: A two-way relationship. </w:t>
      </w:r>
      <w:r w:rsidRPr="00AF518B">
        <w:rPr>
          <w:rStyle w:val="Emphasis"/>
          <w:rFonts w:ascii="Arial" w:hAnsi="Arial" w:cs="Arial"/>
          <w:sz w:val="20"/>
          <w:szCs w:val="20"/>
        </w:rPr>
        <w:t>International Journal of Evidence-Based Healthcare</w:t>
      </w:r>
      <w:r w:rsidRPr="00AF518B">
        <w:rPr>
          <w:rFonts w:ascii="Arial" w:hAnsi="Arial" w:cs="Arial"/>
          <w:sz w:val="20"/>
          <w:szCs w:val="20"/>
        </w:rPr>
        <w:t xml:space="preserve">, </w:t>
      </w:r>
      <w:r w:rsidRPr="00AF518B">
        <w:rPr>
          <w:rStyle w:val="Emphasis"/>
          <w:rFonts w:ascii="Arial" w:hAnsi="Arial" w:cs="Arial"/>
          <w:sz w:val="20"/>
          <w:szCs w:val="20"/>
        </w:rPr>
        <w:t>11</w:t>
      </w:r>
      <w:r w:rsidRPr="00AF518B">
        <w:rPr>
          <w:rFonts w:ascii="Arial" w:hAnsi="Arial" w:cs="Arial"/>
          <w:sz w:val="20"/>
          <w:szCs w:val="20"/>
        </w:rPr>
        <w:t xml:space="preserve">(4), 317–329. </w:t>
      </w:r>
      <w:hyperlink r:id="rId16" w:history="1">
        <w:r w:rsidRPr="00AF518B">
          <w:rPr>
            <w:rStyle w:val="Hyperlink"/>
            <w:rFonts w:ascii="Arial" w:hAnsi="Arial" w:cs="Arial"/>
            <w:color w:val="auto"/>
            <w:sz w:val="20"/>
            <w:szCs w:val="20"/>
          </w:rPr>
          <w:t>https://doi.org/10.1111/1744-1609.12068</w:t>
        </w:r>
      </w:hyperlink>
    </w:p>
    <w:p w14:paraId="6C77B1D0" w14:textId="77777777" w:rsidR="004751FB" w:rsidRPr="00AF518B" w:rsidRDefault="004751FB" w:rsidP="004751FB">
      <w:pPr>
        <w:jc w:val="both"/>
        <w:rPr>
          <w:rStyle w:val="Hyperlink"/>
          <w:rFonts w:ascii="Arial" w:hAnsi="Arial" w:cs="Arial"/>
          <w:color w:val="auto"/>
        </w:rPr>
      </w:pPr>
    </w:p>
    <w:p w14:paraId="46ED7731" w14:textId="77777777" w:rsidR="004751FB" w:rsidRPr="00AF518B" w:rsidRDefault="004751FB" w:rsidP="004751FB">
      <w:pPr>
        <w:pStyle w:val="ListParagraph"/>
        <w:numPr>
          <w:ilvl w:val="0"/>
          <w:numId w:val="33"/>
        </w:numPr>
        <w:suppressAutoHyphens w:val="0"/>
        <w:spacing w:after="160"/>
        <w:jc w:val="both"/>
        <w:rPr>
          <w:rFonts w:ascii="Arial" w:hAnsi="Arial" w:cs="Arial"/>
          <w:sz w:val="20"/>
          <w:szCs w:val="20"/>
        </w:rPr>
      </w:pPr>
      <w:r w:rsidRPr="00AF518B">
        <w:rPr>
          <w:rStyle w:val="Strong"/>
          <w:rFonts w:ascii="Arial" w:hAnsi="Arial" w:cs="Arial"/>
          <w:b w:val="0"/>
          <w:sz w:val="20"/>
          <w:szCs w:val="20"/>
        </w:rPr>
        <w:t>Al-Momani, M. M.</w:t>
      </w:r>
      <w:r w:rsidRPr="00AF518B">
        <w:rPr>
          <w:rFonts w:ascii="Arial" w:hAnsi="Arial" w:cs="Arial"/>
          <w:sz w:val="20"/>
          <w:szCs w:val="20"/>
        </w:rPr>
        <w:t xml:space="preserve"> (2021). Indocyanine-mediated antimicrobial photodynamic therapy promotes superior clinical effects in stage III and grade C chronic periodontitis among controlled and uncontrolled diabetes mellitus: A randomized controlled clinical trial. </w:t>
      </w:r>
      <w:r w:rsidRPr="00AF518B">
        <w:rPr>
          <w:rStyle w:val="Emphasis"/>
          <w:rFonts w:ascii="Arial" w:hAnsi="Arial" w:cs="Arial"/>
          <w:sz w:val="20"/>
          <w:szCs w:val="20"/>
        </w:rPr>
        <w:t>Photodiagnosis and Photodynamic Therapy, 35</w:t>
      </w:r>
      <w:r w:rsidRPr="00AF518B">
        <w:rPr>
          <w:rFonts w:ascii="Arial" w:hAnsi="Arial" w:cs="Arial"/>
          <w:sz w:val="20"/>
          <w:szCs w:val="20"/>
        </w:rPr>
        <w:t xml:space="preserve">, 102379. </w:t>
      </w:r>
      <w:hyperlink r:id="rId17" w:history="1">
        <w:r w:rsidRPr="00AF518B">
          <w:rPr>
            <w:rStyle w:val="Hyperlink"/>
            <w:rFonts w:ascii="Arial" w:hAnsi="Arial" w:cs="Arial"/>
            <w:color w:val="auto"/>
            <w:sz w:val="20"/>
            <w:szCs w:val="20"/>
          </w:rPr>
          <w:t>https://doi.org/10.1016/j.pdpdt.2021.102379</w:t>
        </w:r>
      </w:hyperlink>
    </w:p>
    <w:p w14:paraId="1F026BBE" w14:textId="77777777" w:rsidR="004751FB" w:rsidRPr="00AF518B" w:rsidRDefault="004751FB" w:rsidP="004751FB">
      <w:pPr>
        <w:jc w:val="both"/>
        <w:rPr>
          <w:rStyle w:val="Hyperlink"/>
          <w:rFonts w:ascii="Arial" w:hAnsi="Arial" w:cs="Arial"/>
          <w:color w:val="auto"/>
        </w:rPr>
      </w:pPr>
    </w:p>
    <w:p w14:paraId="3AEC22CD" w14:textId="77777777" w:rsidR="004751FB" w:rsidRPr="00AF518B" w:rsidRDefault="004751FB" w:rsidP="004751FB">
      <w:pPr>
        <w:pStyle w:val="ListParagraph"/>
        <w:numPr>
          <w:ilvl w:val="0"/>
          <w:numId w:val="33"/>
        </w:numPr>
        <w:suppressAutoHyphens w:val="0"/>
        <w:jc w:val="both"/>
        <w:rPr>
          <w:rFonts w:ascii="Arial" w:hAnsi="Arial" w:cs="Arial"/>
          <w:sz w:val="20"/>
          <w:szCs w:val="20"/>
        </w:rPr>
      </w:pPr>
      <w:r w:rsidRPr="00AF518B">
        <w:rPr>
          <w:rStyle w:val="Strong"/>
          <w:rFonts w:ascii="Arial" w:hAnsi="Arial" w:cs="Arial"/>
          <w:b w:val="0"/>
          <w:sz w:val="20"/>
          <w:szCs w:val="20"/>
        </w:rPr>
        <w:t>INTERNATIONAL DIABETES FEDERATION.</w:t>
      </w:r>
      <w:r w:rsidRPr="00AF518B">
        <w:rPr>
          <w:rFonts w:ascii="Arial" w:hAnsi="Arial" w:cs="Arial"/>
          <w:sz w:val="20"/>
          <w:szCs w:val="20"/>
        </w:rPr>
        <w:t xml:space="preserve"> </w:t>
      </w:r>
      <w:r w:rsidRPr="00AF518B">
        <w:rPr>
          <w:rStyle w:val="Emphasis"/>
          <w:rFonts w:ascii="Arial" w:hAnsi="Arial" w:cs="Arial"/>
          <w:sz w:val="20"/>
          <w:szCs w:val="20"/>
        </w:rPr>
        <w:t>IDF Diabetes Atlas</w:t>
      </w:r>
      <w:r w:rsidRPr="00AF518B">
        <w:rPr>
          <w:rFonts w:ascii="Arial" w:hAnsi="Arial" w:cs="Arial"/>
          <w:sz w:val="20"/>
          <w:szCs w:val="20"/>
        </w:rPr>
        <w:t>. 9. ed. Bruxelas: International Diabetes Federation, 2019.</w:t>
      </w:r>
    </w:p>
    <w:p w14:paraId="0FFFF6F4" w14:textId="77777777" w:rsidR="004751FB" w:rsidRPr="00AF518B" w:rsidRDefault="004751FB" w:rsidP="004751FB">
      <w:pPr>
        <w:pStyle w:val="ListParagraph"/>
        <w:jc w:val="both"/>
        <w:rPr>
          <w:rFonts w:ascii="Arial" w:hAnsi="Arial" w:cs="Arial"/>
          <w:sz w:val="20"/>
          <w:szCs w:val="20"/>
        </w:rPr>
      </w:pPr>
    </w:p>
    <w:p w14:paraId="69B1B85E" w14:textId="77777777" w:rsidR="004751FB" w:rsidRPr="00AF518B" w:rsidRDefault="004751FB" w:rsidP="004751FB">
      <w:pPr>
        <w:pStyle w:val="ListParagraph"/>
        <w:jc w:val="both"/>
        <w:rPr>
          <w:rFonts w:ascii="Arial" w:hAnsi="Arial" w:cs="Arial"/>
          <w:sz w:val="20"/>
          <w:szCs w:val="20"/>
        </w:rPr>
      </w:pPr>
    </w:p>
    <w:p w14:paraId="61FAE429" w14:textId="77777777" w:rsidR="004751FB" w:rsidRPr="00AF518B" w:rsidRDefault="004751FB" w:rsidP="004751FB">
      <w:pPr>
        <w:pStyle w:val="ListParagraph"/>
        <w:numPr>
          <w:ilvl w:val="0"/>
          <w:numId w:val="33"/>
        </w:numPr>
        <w:suppressAutoHyphens w:val="0"/>
        <w:spacing w:before="100" w:beforeAutospacing="1" w:after="100" w:afterAutospacing="1"/>
        <w:jc w:val="both"/>
        <w:rPr>
          <w:rFonts w:ascii="Arial" w:hAnsi="Arial" w:cs="Arial"/>
          <w:sz w:val="20"/>
          <w:szCs w:val="20"/>
        </w:rPr>
      </w:pPr>
      <w:r w:rsidRPr="00AF518B">
        <w:rPr>
          <w:rStyle w:val="Strong"/>
          <w:rFonts w:ascii="Arial" w:hAnsi="Arial" w:cs="Arial"/>
          <w:b w:val="0"/>
          <w:sz w:val="20"/>
          <w:szCs w:val="20"/>
        </w:rPr>
        <w:t>SOCIEDADE BRASILEIRA DE DIABETES.</w:t>
      </w:r>
      <w:r w:rsidRPr="00AF518B">
        <w:rPr>
          <w:rFonts w:ascii="Arial" w:hAnsi="Arial" w:cs="Arial"/>
          <w:sz w:val="20"/>
          <w:szCs w:val="20"/>
        </w:rPr>
        <w:t xml:space="preserve"> </w:t>
      </w:r>
      <w:r w:rsidRPr="00AF518B">
        <w:rPr>
          <w:rStyle w:val="Emphasis"/>
          <w:rFonts w:ascii="Arial" w:hAnsi="Arial" w:cs="Arial"/>
          <w:sz w:val="20"/>
          <w:szCs w:val="20"/>
        </w:rPr>
        <w:t>Diretrizes da Sociedade Brasileira de Diabetes: 2017-2018</w:t>
      </w:r>
      <w:r w:rsidRPr="00AF518B">
        <w:rPr>
          <w:rFonts w:ascii="Arial" w:hAnsi="Arial" w:cs="Arial"/>
          <w:sz w:val="20"/>
          <w:szCs w:val="20"/>
        </w:rPr>
        <w:t>. São Paulo: Clannad, 2018.</w:t>
      </w:r>
    </w:p>
    <w:p w14:paraId="710FD5F4" w14:textId="77777777" w:rsidR="004751FB" w:rsidRPr="00AF518B" w:rsidRDefault="004751FB" w:rsidP="004751FB">
      <w:pPr>
        <w:pStyle w:val="ListParagraph"/>
        <w:spacing w:before="100" w:beforeAutospacing="1" w:after="100" w:afterAutospacing="1"/>
        <w:jc w:val="both"/>
        <w:rPr>
          <w:rFonts w:ascii="Arial" w:hAnsi="Arial" w:cs="Arial"/>
          <w:sz w:val="20"/>
          <w:szCs w:val="20"/>
        </w:rPr>
      </w:pPr>
    </w:p>
    <w:p w14:paraId="078FE269" w14:textId="77777777" w:rsidR="004751FB" w:rsidRPr="00AF518B" w:rsidRDefault="004751FB" w:rsidP="004751FB">
      <w:pPr>
        <w:pStyle w:val="ListParagraph"/>
        <w:numPr>
          <w:ilvl w:val="0"/>
          <w:numId w:val="33"/>
        </w:numPr>
        <w:suppressAutoHyphens w:val="0"/>
        <w:spacing w:before="100" w:beforeAutospacing="1" w:after="100" w:afterAutospacing="1"/>
        <w:jc w:val="both"/>
        <w:rPr>
          <w:rFonts w:ascii="Arial" w:hAnsi="Arial" w:cs="Arial"/>
          <w:sz w:val="20"/>
          <w:szCs w:val="20"/>
        </w:rPr>
      </w:pPr>
      <w:r w:rsidRPr="00AF518B">
        <w:rPr>
          <w:rStyle w:val="Strong"/>
          <w:rFonts w:ascii="Arial" w:hAnsi="Arial" w:cs="Arial"/>
          <w:b w:val="0"/>
          <w:sz w:val="20"/>
          <w:szCs w:val="20"/>
        </w:rPr>
        <w:t>Holzhausen, M., França, B. N., Gasparoni, L. M., Rebeis, E. S., Saraiva, L., Villar, C. C., Pannuti, C. M., &amp; Romito, G. A.</w:t>
      </w:r>
      <w:r w:rsidRPr="00AF518B">
        <w:rPr>
          <w:rFonts w:ascii="Arial" w:hAnsi="Arial" w:cs="Arial"/>
          <w:sz w:val="20"/>
          <w:szCs w:val="20"/>
        </w:rPr>
        <w:t xml:space="preserve"> (2019). </w:t>
      </w:r>
      <w:r w:rsidRPr="00AF518B">
        <w:rPr>
          <w:rStyle w:val="Emphasis"/>
          <w:rFonts w:ascii="Arial" w:hAnsi="Arial" w:cs="Arial"/>
          <w:sz w:val="20"/>
          <w:szCs w:val="20"/>
        </w:rPr>
        <w:t>Sistema de classificação das doenças e condições periodontais</w:t>
      </w:r>
      <w:r w:rsidRPr="00AF518B">
        <w:rPr>
          <w:rFonts w:ascii="Arial" w:hAnsi="Arial" w:cs="Arial"/>
          <w:sz w:val="20"/>
          <w:szCs w:val="20"/>
        </w:rPr>
        <w:t xml:space="preserve"> [Internet]. São Paulo: Faculdade de Odontologia da USP.</w:t>
      </w:r>
    </w:p>
    <w:p w14:paraId="35ED97DC" w14:textId="77777777" w:rsidR="004751FB" w:rsidRPr="00AF518B" w:rsidRDefault="004751FB" w:rsidP="004751FB">
      <w:pPr>
        <w:pStyle w:val="ListParagraph"/>
        <w:jc w:val="both"/>
        <w:rPr>
          <w:rFonts w:ascii="Arial" w:hAnsi="Arial" w:cs="Arial"/>
          <w:sz w:val="20"/>
          <w:szCs w:val="20"/>
        </w:rPr>
      </w:pPr>
    </w:p>
    <w:p w14:paraId="76E791DC" w14:textId="77777777" w:rsidR="004751FB" w:rsidRPr="00AF518B" w:rsidRDefault="004751FB" w:rsidP="004751FB">
      <w:pPr>
        <w:pStyle w:val="ListParagraph"/>
        <w:spacing w:before="100" w:beforeAutospacing="1" w:after="100" w:afterAutospacing="1"/>
        <w:jc w:val="both"/>
        <w:rPr>
          <w:rFonts w:ascii="Arial" w:hAnsi="Arial" w:cs="Arial"/>
          <w:sz w:val="20"/>
          <w:szCs w:val="20"/>
        </w:rPr>
      </w:pPr>
    </w:p>
    <w:p w14:paraId="2CD394F1" w14:textId="77777777" w:rsidR="004751FB" w:rsidRPr="00AF518B" w:rsidRDefault="004751FB" w:rsidP="004751FB">
      <w:pPr>
        <w:pStyle w:val="ListParagraph"/>
        <w:numPr>
          <w:ilvl w:val="0"/>
          <w:numId w:val="33"/>
        </w:numPr>
        <w:suppressAutoHyphens w:val="0"/>
        <w:jc w:val="both"/>
        <w:rPr>
          <w:rFonts w:ascii="Arial" w:hAnsi="Arial" w:cs="Arial"/>
          <w:sz w:val="20"/>
          <w:szCs w:val="20"/>
        </w:rPr>
      </w:pPr>
      <w:r w:rsidRPr="00AF518B">
        <w:rPr>
          <w:rStyle w:val="Strong"/>
          <w:rFonts w:ascii="Arial" w:hAnsi="Arial" w:cs="Arial"/>
          <w:b w:val="0"/>
          <w:sz w:val="20"/>
          <w:szCs w:val="20"/>
        </w:rPr>
        <w:t>Lima, V., Bezerra, M. M., Leitão, R. F. C., Brito, G. A. C., Rocha, F. A. C., &amp; Ribeiro, R. A.</w:t>
      </w:r>
      <w:r w:rsidRPr="00AF518B">
        <w:rPr>
          <w:rFonts w:ascii="Arial" w:hAnsi="Arial" w:cs="Arial"/>
          <w:sz w:val="20"/>
          <w:szCs w:val="20"/>
        </w:rPr>
        <w:t xml:space="preserve"> (2008). Principais mediadores inflamatórios envolvidos na fisiopatologia da periodontite: Papel de moduladores farmacológicos. </w:t>
      </w:r>
      <w:r w:rsidRPr="00AF518B">
        <w:rPr>
          <w:rStyle w:val="Emphasis"/>
          <w:rFonts w:ascii="Arial" w:hAnsi="Arial" w:cs="Arial"/>
          <w:sz w:val="20"/>
          <w:szCs w:val="20"/>
        </w:rPr>
        <w:t>Revista Periodontia, 18</w:t>
      </w:r>
      <w:r w:rsidRPr="00AF518B">
        <w:rPr>
          <w:rFonts w:ascii="Arial" w:hAnsi="Arial" w:cs="Arial"/>
          <w:sz w:val="20"/>
          <w:szCs w:val="20"/>
        </w:rPr>
        <w:t>(3), 7-19.</w:t>
      </w:r>
    </w:p>
    <w:p w14:paraId="4C05AA4E" w14:textId="77777777" w:rsidR="004751FB" w:rsidRPr="00AF518B" w:rsidRDefault="004751FB" w:rsidP="004751FB">
      <w:pPr>
        <w:jc w:val="both"/>
        <w:rPr>
          <w:rFonts w:ascii="Arial" w:hAnsi="Arial" w:cs="Arial"/>
        </w:rPr>
      </w:pPr>
    </w:p>
    <w:p w14:paraId="10635A7D" w14:textId="77777777" w:rsidR="004751FB" w:rsidRPr="00AF518B" w:rsidRDefault="004751FB" w:rsidP="004751FB">
      <w:pPr>
        <w:pStyle w:val="ListParagraph"/>
        <w:numPr>
          <w:ilvl w:val="0"/>
          <w:numId w:val="33"/>
        </w:numPr>
        <w:suppressAutoHyphens w:val="0"/>
        <w:jc w:val="both"/>
        <w:rPr>
          <w:rFonts w:ascii="Arial" w:hAnsi="Arial" w:cs="Arial"/>
          <w:sz w:val="20"/>
          <w:szCs w:val="20"/>
        </w:rPr>
      </w:pPr>
      <w:r w:rsidRPr="00AF518B">
        <w:rPr>
          <w:rStyle w:val="Strong"/>
          <w:rFonts w:ascii="Arial" w:hAnsi="Arial" w:cs="Arial"/>
          <w:b w:val="0"/>
          <w:sz w:val="20"/>
          <w:szCs w:val="20"/>
        </w:rPr>
        <w:t>Dias, R. B., Almeida, M. O. S., Ribeiro, E. D. P., &amp; Naves, R. C.</w:t>
      </w:r>
      <w:r w:rsidRPr="00AF518B">
        <w:rPr>
          <w:rFonts w:ascii="Arial" w:hAnsi="Arial" w:cs="Arial"/>
          <w:sz w:val="20"/>
          <w:szCs w:val="20"/>
        </w:rPr>
        <w:t xml:space="preserve"> (2011). Estudo da obesidade como indicador de risco para a doença periodontal. </w:t>
      </w:r>
      <w:r w:rsidRPr="00AF518B">
        <w:rPr>
          <w:rStyle w:val="Emphasis"/>
          <w:rFonts w:ascii="Arial" w:hAnsi="Arial" w:cs="Arial"/>
          <w:sz w:val="20"/>
          <w:szCs w:val="20"/>
        </w:rPr>
        <w:t>Brazil Journal of Periodontology, 21</w:t>
      </w:r>
      <w:r w:rsidRPr="00AF518B">
        <w:rPr>
          <w:rFonts w:ascii="Arial" w:hAnsi="Arial" w:cs="Arial"/>
          <w:sz w:val="20"/>
          <w:szCs w:val="20"/>
        </w:rPr>
        <w:t>(2), 70-78.</w:t>
      </w:r>
    </w:p>
    <w:p w14:paraId="4E933351" w14:textId="77777777" w:rsidR="004751FB" w:rsidRPr="00AF518B" w:rsidRDefault="004751FB" w:rsidP="004751FB">
      <w:pPr>
        <w:jc w:val="both"/>
        <w:rPr>
          <w:rFonts w:ascii="Arial" w:hAnsi="Arial" w:cs="Arial"/>
        </w:rPr>
      </w:pPr>
    </w:p>
    <w:p w14:paraId="00249654" w14:textId="77777777" w:rsidR="004751FB" w:rsidRPr="00AF518B" w:rsidRDefault="004751FB" w:rsidP="004751FB">
      <w:pPr>
        <w:pStyle w:val="ListParagraph"/>
        <w:numPr>
          <w:ilvl w:val="0"/>
          <w:numId w:val="33"/>
        </w:numPr>
        <w:suppressAutoHyphens w:val="0"/>
        <w:ind w:right="-1"/>
        <w:jc w:val="both"/>
        <w:rPr>
          <w:rFonts w:ascii="Arial" w:hAnsi="Arial" w:cs="Arial"/>
          <w:sz w:val="20"/>
          <w:szCs w:val="20"/>
        </w:rPr>
      </w:pPr>
      <w:r w:rsidRPr="00AF518B">
        <w:rPr>
          <w:rStyle w:val="Strong"/>
          <w:rFonts w:ascii="Arial" w:hAnsi="Arial" w:cs="Arial"/>
          <w:b w:val="0"/>
          <w:sz w:val="20"/>
          <w:szCs w:val="20"/>
        </w:rPr>
        <w:t>Torrungruang, K., Jitpakdeebordin, S., Charatkulangkun, O., &amp; Gleebbua, Y.</w:t>
      </w:r>
      <w:r w:rsidRPr="00AF518B">
        <w:rPr>
          <w:rFonts w:ascii="Arial" w:hAnsi="Arial" w:cs="Arial"/>
          <w:sz w:val="20"/>
          <w:szCs w:val="20"/>
        </w:rPr>
        <w:t xml:space="preserve"> (2015). </w:t>
      </w:r>
      <w:r w:rsidRPr="00AF518B">
        <w:rPr>
          <w:rStyle w:val="Emphasis"/>
          <w:rFonts w:ascii="Arial" w:hAnsi="Arial" w:cs="Arial"/>
          <w:sz w:val="20"/>
          <w:szCs w:val="20"/>
        </w:rPr>
        <w:t>Porphyromonas gingivalis, Aggregatibacter actinomycetemcomitans, and Treponema denticola / Prevotella intermedia co-infection are associated with severe periodontitis in a Thai population</w:t>
      </w:r>
      <w:r w:rsidRPr="00AF518B">
        <w:rPr>
          <w:rFonts w:ascii="Arial" w:hAnsi="Arial" w:cs="Arial"/>
          <w:sz w:val="20"/>
          <w:szCs w:val="20"/>
        </w:rPr>
        <w:t xml:space="preserve">. </w:t>
      </w:r>
      <w:r w:rsidRPr="00AF518B">
        <w:rPr>
          <w:rStyle w:val="Emphasis"/>
          <w:rFonts w:ascii="Arial" w:hAnsi="Arial" w:cs="Arial"/>
          <w:sz w:val="20"/>
          <w:szCs w:val="20"/>
        </w:rPr>
        <w:t>PLOS ONE, 10</w:t>
      </w:r>
      <w:r w:rsidRPr="00AF518B">
        <w:rPr>
          <w:rFonts w:ascii="Arial" w:hAnsi="Arial" w:cs="Arial"/>
          <w:sz w:val="20"/>
          <w:szCs w:val="20"/>
        </w:rPr>
        <w:t>(8), 35-38. https://doi.org/10.1371/journal.pone.0136646</w:t>
      </w:r>
    </w:p>
    <w:p w14:paraId="16A7B736" w14:textId="77777777" w:rsidR="004751FB" w:rsidRPr="00AF518B" w:rsidRDefault="004751FB" w:rsidP="004751FB">
      <w:pPr>
        <w:jc w:val="both"/>
        <w:rPr>
          <w:rFonts w:ascii="Arial" w:hAnsi="Arial" w:cs="Arial"/>
        </w:rPr>
      </w:pPr>
    </w:p>
    <w:p w14:paraId="3B2C49EB" w14:textId="77777777" w:rsidR="004751FB" w:rsidRPr="00AF518B" w:rsidRDefault="004751FB" w:rsidP="004751FB">
      <w:pPr>
        <w:pStyle w:val="ListParagraph"/>
        <w:numPr>
          <w:ilvl w:val="0"/>
          <w:numId w:val="33"/>
        </w:numPr>
        <w:suppressAutoHyphens w:val="0"/>
        <w:jc w:val="both"/>
        <w:rPr>
          <w:rFonts w:ascii="Arial" w:hAnsi="Arial" w:cs="Arial"/>
          <w:sz w:val="20"/>
          <w:szCs w:val="20"/>
        </w:rPr>
      </w:pPr>
      <w:r w:rsidRPr="00AF518B">
        <w:rPr>
          <w:rStyle w:val="Strong"/>
          <w:rFonts w:ascii="Arial" w:hAnsi="Arial" w:cs="Arial"/>
          <w:b w:val="0"/>
          <w:sz w:val="20"/>
          <w:szCs w:val="20"/>
        </w:rPr>
        <w:lastRenderedPageBreak/>
        <w:t>Lindhe, J., Lang, N., &amp; Karring, T.</w:t>
      </w:r>
      <w:r w:rsidRPr="00AF518B">
        <w:rPr>
          <w:rFonts w:ascii="Arial" w:hAnsi="Arial" w:cs="Arial"/>
          <w:sz w:val="20"/>
          <w:szCs w:val="20"/>
        </w:rPr>
        <w:t xml:space="preserve"> (2010). </w:t>
      </w:r>
      <w:r w:rsidRPr="00AF518B">
        <w:rPr>
          <w:rStyle w:val="Emphasis"/>
          <w:rFonts w:ascii="Arial" w:hAnsi="Arial" w:cs="Arial"/>
          <w:sz w:val="20"/>
          <w:szCs w:val="20"/>
        </w:rPr>
        <w:t>Tratado de periodontia clínica e implantologia oral</w:t>
      </w:r>
      <w:r w:rsidRPr="00AF518B">
        <w:rPr>
          <w:rFonts w:ascii="Arial" w:hAnsi="Arial" w:cs="Arial"/>
          <w:sz w:val="20"/>
          <w:szCs w:val="20"/>
        </w:rPr>
        <w:t xml:space="preserve"> (5ª ed.). Guanabara Koogan.</w:t>
      </w:r>
    </w:p>
    <w:p w14:paraId="2D1C802A" w14:textId="77777777" w:rsidR="004751FB" w:rsidRPr="00AF518B" w:rsidRDefault="004751FB" w:rsidP="004751FB">
      <w:pPr>
        <w:jc w:val="both"/>
        <w:rPr>
          <w:rFonts w:ascii="Arial" w:hAnsi="Arial" w:cs="Arial"/>
        </w:rPr>
      </w:pPr>
    </w:p>
    <w:p w14:paraId="396D955D" w14:textId="77777777" w:rsidR="004751FB" w:rsidRPr="00AF518B" w:rsidRDefault="004751FB" w:rsidP="004751FB">
      <w:pPr>
        <w:pStyle w:val="BodyText"/>
        <w:numPr>
          <w:ilvl w:val="0"/>
          <w:numId w:val="33"/>
        </w:numPr>
        <w:spacing w:before="120" w:after="0"/>
        <w:ind w:right="-1"/>
        <w:jc w:val="both"/>
        <w:rPr>
          <w:rFonts w:ascii="Arial" w:hAnsi="Arial" w:cs="Arial"/>
          <w:noProof/>
        </w:rPr>
      </w:pPr>
      <w:r w:rsidRPr="00AF518B">
        <w:rPr>
          <w:rStyle w:val="Strong"/>
          <w:rFonts w:ascii="Arial" w:hAnsi="Arial" w:cs="Arial"/>
          <w:b w:val="0"/>
        </w:rPr>
        <w:t>Martins, S. H. L.</w:t>
      </w:r>
      <w:r w:rsidRPr="00AF518B">
        <w:rPr>
          <w:rFonts w:ascii="Arial" w:hAnsi="Arial" w:cs="Arial"/>
        </w:rPr>
        <w:t xml:space="preserve"> (2016). </w:t>
      </w:r>
      <w:proofErr w:type="spellStart"/>
      <w:r w:rsidRPr="00AF518B">
        <w:rPr>
          <w:rStyle w:val="Emphasis"/>
          <w:rFonts w:ascii="Arial" w:hAnsi="Arial" w:cs="Arial"/>
        </w:rPr>
        <w:t>Efeitos</w:t>
      </w:r>
      <w:proofErr w:type="spellEnd"/>
      <w:r w:rsidRPr="00AF518B">
        <w:rPr>
          <w:rStyle w:val="Emphasis"/>
          <w:rFonts w:ascii="Arial" w:hAnsi="Arial" w:cs="Arial"/>
        </w:rPr>
        <w:t xml:space="preserve"> </w:t>
      </w:r>
      <w:proofErr w:type="spellStart"/>
      <w:r w:rsidRPr="00AF518B">
        <w:rPr>
          <w:rStyle w:val="Emphasis"/>
          <w:rFonts w:ascii="Arial" w:hAnsi="Arial" w:cs="Arial"/>
        </w:rPr>
        <w:t>clínicos</w:t>
      </w:r>
      <w:proofErr w:type="spellEnd"/>
      <w:r w:rsidRPr="00AF518B">
        <w:rPr>
          <w:rStyle w:val="Emphasis"/>
          <w:rFonts w:ascii="Arial" w:hAnsi="Arial" w:cs="Arial"/>
        </w:rPr>
        <w:t xml:space="preserve"> e </w:t>
      </w:r>
      <w:proofErr w:type="spellStart"/>
      <w:r w:rsidRPr="00AF518B">
        <w:rPr>
          <w:rStyle w:val="Emphasis"/>
          <w:rFonts w:ascii="Arial" w:hAnsi="Arial" w:cs="Arial"/>
        </w:rPr>
        <w:t>microbiológicos</w:t>
      </w:r>
      <w:proofErr w:type="spellEnd"/>
      <w:r w:rsidRPr="00AF518B">
        <w:rPr>
          <w:rStyle w:val="Emphasis"/>
          <w:rFonts w:ascii="Arial" w:hAnsi="Arial" w:cs="Arial"/>
        </w:rPr>
        <w:t xml:space="preserve"> da </w:t>
      </w:r>
      <w:proofErr w:type="spellStart"/>
      <w:r w:rsidRPr="00AF518B">
        <w:rPr>
          <w:rStyle w:val="Emphasis"/>
          <w:rFonts w:ascii="Arial" w:hAnsi="Arial" w:cs="Arial"/>
        </w:rPr>
        <w:t>Terapia</w:t>
      </w:r>
      <w:proofErr w:type="spellEnd"/>
      <w:r w:rsidRPr="00AF518B">
        <w:rPr>
          <w:rStyle w:val="Emphasis"/>
          <w:rFonts w:ascii="Arial" w:hAnsi="Arial" w:cs="Arial"/>
        </w:rPr>
        <w:t xml:space="preserve"> </w:t>
      </w:r>
      <w:proofErr w:type="spellStart"/>
      <w:r w:rsidRPr="00AF518B">
        <w:rPr>
          <w:rStyle w:val="Emphasis"/>
          <w:rFonts w:ascii="Arial" w:hAnsi="Arial" w:cs="Arial"/>
        </w:rPr>
        <w:t>Fotodinâmica</w:t>
      </w:r>
      <w:proofErr w:type="spellEnd"/>
      <w:r w:rsidRPr="00AF518B">
        <w:rPr>
          <w:rStyle w:val="Emphasis"/>
          <w:rFonts w:ascii="Arial" w:hAnsi="Arial" w:cs="Arial"/>
        </w:rPr>
        <w:t xml:space="preserve"> </w:t>
      </w:r>
      <w:proofErr w:type="spellStart"/>
      <w:r w:rsidRPr="00AF518B">
        <w:rPr>
          <w:rStyle w:val="Emphasis"/>
          <w:rFonts w:ascii="Arial" w:hAnsi="Arial" w:cs="Arial"/>
        </w:rPr>
        <w:t>Antimicrobiana</w:t>
      </w:r>
      <w:proofErr w:type="spellEnd"/>
      <w:r w:rsidRPr="00AF518B">
        <w:rPr>
          <w:rStyle w:val="Emphasis"/>
          <w:rFonts w:ascii="Arial" w:hAnsi="Arial" w:cs="Arial"/>
        </w:rPr>
        <w:t xml:space="preserve"> no </w:t>
      </w:r>
      <w:proofErr w:type="spellStart"/>
      <w:r w:rsidRPr="00AF518B">
        <w:rPr>
          <w:rStyle w:val="Emphasis"/>
          <w:rFonts w:ascii="Arial" w:hAnsi="Arial" w:cs="Arial"/>
        </w:rPr>
        <w:t>tratamento</w:t>
      </w:r>
      <w:proofErr w:type="spellEnd"/>
      <w:r w:rsidRPr="00AF518B">
        <w:rPr>
          <w:rStyle w:val="Emphasis"/>
          <w:rFonts w:ascii="Arial" w:hAnsi="Arial" w:cs="Arial"/>
        </w:rPr>
        <w:t xml:space="preserve"> </w:t>
      </w:r>
      <w:proofErr w:type="spellStart"/>
      <w:r w:rsidRPr="00AF518B">
        <w:rPr>
          <w:rStyle w:val="Emphasis"/>
          <w:rFonts w:ascii="Arial" w:hAnsi="Arial" w:cs="Arial"/>
        </w:rPr>
        <w:t>cirúrgico</w:t>
      </w:r>
      <w:proofErr w:type="spellEnd"/>
      <w:r w:rsidRPr="00AF518B">
        <w:rPr>
          <w:rStyle w:val="Emphasis"/>
          <w:rFonts w:ascii="Arial" w:hAnsi="Arial" w:cs="Arial"/>
        </w:rPr>
        <w:t xml:space="preserve"> da </w:t>
      </w:r>
      <w:proofErr w:type="spellStart"/>
      <w:r w:rsidRPr="00AF518B">
        <w:rPr>
          <w:rStyle w:val="Emphasis"/>
          <w:rFonts w:ascii="Arial" w:hAnsi="Arial" w:cs="Arial"/>
        </w:rPr>
        <w:t>Periodontite</w:t>
      </w:r>
      <w:proofErr w:type="spellEnd"/>
      <w:r w:rsidRPr="00AF518B">
        <w:rPr>
          <w:rStyle w:val="Emphasis"/>
          <w:rFonts w:ascii="Arial" w:hAnsi="Arial" w:cs="Arial"/>
        </w:rPr>
        <w:t xml:space="preserve"> </w:t>
      </w:r>
      <w:proofErr w:type="spellStart"/>
      <w:r w:rsidRPr="00AF518B">
        <w:rPr>
          <w:rStyle w:val="Emphasis"/>
          <w:rFonts w:ascii="Arial" w:hAnsi="Arial" w:cs="Arial"/>
        </w:rPr>
        <w:t>Crônica</w:t>
      </w:r>
      <w:proofErr w:type="spellEnd"/>
      <w:r w:rsidRPr="00AF518B">
        <w:rPr>
          <w:rStyle w:val="Emphasis"/>
          <w:rFonts w:ascii="Arial" w:hAnsi="Arial" w:cs="Arial"/>
        </w:rPr>
        <w:t xml:space="preserve">: Um </w:t>
      </w:r>
      <w:proofErr w:type="spellStart"/>
      <w:r w:rsidRPr="00AF518B">
        <w:rPr>
          <w:rStyle w:val="Emphasis"/>
          <w:rFonts w:ascii="Arial" w:hAnsi="Arial" w:cs="Arial"/>
        </w:rPr>
        <w:t>estudo</w:t>
      </w:r>
      <w:proofErr w:type="spellEnd"/>
      <w:r w:rsidRPr="00AF518B">
        <w:rPr>
          <w:rStyle w:val="Emphasis"/>
          <w:rFonts w:ascii="Arial" w:hAnsi="Arial" w:cs="Arial"/>
        </w:rPr>
        <w:t xml:space="preserve"> </w:t>
      </w:r>
      <w:proofErr w:type="spellStart"/>
      <w:r w:rsidRPr="00AF518B">
        <w:rPr>
          <w:rStyle w:val="Emphasis"/>
          <w:rFonts w:ascii="Arial" w:hAnsi="Arial" w:cs="Arial"/>
        </w:rPr>
        <w:t>clínico</w:t>
      </w:r>
      <w:proofErr w:type="spellEnd"/>
      <w:r w:rsidRPr="00AF518B">
        <w:rPr>
          <w:rStyle w:val="Emphasis"/>
          <w:rFonts w:ascii="Arial" w:hAnsi="Arial" w:cs="Arial"/>
        </w:rPr>
        <w:t xml:space="preserve"> do </w:t>
      </w:r>
      <w:proofErr w:type="spellStart"/>
      <w:r w:rsidRPr="00AF518B">
        <w:rPr>
          <w:rStyle w:val="Emphasis"/>
          <w:rFonts w:ascii="Arial" w:hAnsi="Arial" w:cs="Arial"/>
        </w:rPr>
        <w:t>tipo</w:t>
      </w:r>
      <w:proofErr w:type="spellEnd"/>
      <w:r w:rsidRPr="00AF518B">
        <w:rPr>
          <w:rStyle w:val="Emphasis"/>
          <w:rFonts w:ascii="Arial" w:hAnsi="Arial" w:cs="Arial"/>
        </w:rPr>
        <w:t xml:space="preserve"> </w:t>
      </w:r>
      <w:proofErr w:type="spellStart"/>
      <w:r w:rsidRPr="00AF518B">
        <w:rPr>
          <w:rStyle w:val="Emphasis"/>
          <w:rFonts w:ascii="Arial" w:hAnsi="Arial" w:cs="Arial"/>
        </w:rPr>
        <w:t>boca-dividida</w:t>
      </w:r>
      <w:proofErr w:type="spellEnd"/>
      <w:r w:rsidRPr="00AF518B">
        <w:rPr>
          <w:rStyle w:val="Emphasis"/>
          <w:rFonts w:ascii="Arial" w:hAnsi="Arial" w:cs="Arial"/>
        </w:rPr>
        <w:t xml:space="preserve">, </w:t>
      </w:r>
      <w:proofErr w:type="spellStart"/>
      <w:r w:rsidRPr="00AF518B">
        <w:rPr>
          <w:rStyle w:val="Emphasis"/>
          <w:rFonts w:ascii="Arial" w:hAnsi="Arial" w:cs="Arial"/>
        </w:rPr>
        <w:t>controlado</w:t>
      </w:r>
      <w:proofErr w:type="spellEnd"/>
      <w:r w:rsidRPr="00AF518B">
        <w:rPr>
          <w:rStyle w:val="Emphasis"/>
          <w:rFonts w:ascii="Arial" w:hAnsi="Arial" w:cs="Arial"/>
        </w:rPr>
        <w:t xml:space="preserve">, </w:t>
      </w:r>
      <w:proofErr w:type="spellStart"/>
      <w:r w:rsidRPr="00AF518B">
        <w:rPr>
          <w:rStyle w:val="Emphasis"/>
          <w:rFonts w:ascii="Arial" w:hAnsi="Arial" w:cs="Arial"/>
        </w:rPr>
        <w:t>aleatorizado</w:t>
      </w:r>
      <w:proofErr w:type="spellEnd"/>
      <w:r w:rsidRPr="00AF518B">
        <w:rPr>
          <w:rStyle w:val="Emphasis"/>
          <w:rFonts w:ascii="Arial" w:hAnsi="Arial" w:cs="Arial"/>
        </w:rPr>
        <w:t xml:space="preserve"> e </w:t>
      </w:r>
      <w:proofErr w:type="spellStart"/>
      <w:r w:rsidRPr="00AF518B">
        <w:rPr>
          <w:rStyle w:val="Emphasis"/>
          <w:rFonts w:ascii="Arial" w:hAnsi="Arial" w:cs="Arial"/>
        </w:rPr>
        <w:t>duplo-cego</w:t>
      </w:r>
      <w:proofErr w:type="spellEnd"/>
      <w:r w:rsidRPr="00AF518B">
        <w:rPr>
          <w:rFonts w:ascii="Arial" w:hAnsi="Arial" w:cs="Arial"/>
        </w:rPr>
        <w:t xml:space="preserve"> (</w:t>
      </w:r>
      <w:proofErr w:type="spellStart"/>
      <w:r w:rsidRPr="00AF518B">
        <w:rPr>
          <w:rFonts w:ascii="Arial" w:hAnsi="Arial" w:cs="Arial"/>
        </w:rPr>
        <w:t>Dissertação</w:t>
      </w:r>
      <w:proofErr w:type="spellEnd"/>
      <w:r w:rsidRPr="00AF518B">
        <w:rPr>
          <w:rFonts w:ascii="Arial" w:hAnsi="Arial" w:cs="Arial"/>
        </w:rPr>
        <w:t xml:space="preserve"> de </w:t>
      </w:r>
      <w:proofErr w:type="spellStart"/>
      <w:r w:rsidRPr="00AF518B">
        <w:rPr>
          <w:rFonts w:ascii="Arial" w:hAnsi="Arial" w:cs="Arial"/>
        </w:rPr>
        <w:t>mestrado</w:t>
      </w:r>
      <w:proofErr w:type="spellEnd"/>
      <w:r w:rsidRPr="00AF518B">
        <w:rPr>
          <w:rFonts w:ascii="Arial" w:hAnsi="Arial" w:cs="Arial"/>
        </w:rPr>
        <w:t xml:space="preserve">). </w:t>
      </w:r>
      <w:proofErr w:type="spellStart"/>
      <w:r w:rsidRPr="00AF518B">
        <w:rPr>
          <w:rFonts w:ascii="Arial" w:hAnsi="Arial" w:cs="Arial"/>
        </w:rPr>
        <w:t>Universidade</w:t>
      </w:r>
      <w:proofErr w:type="spellEnd"/>
      <w:r w:rsidRPr="00AF518B">
        <w:rPr>
          <w:rFonts w:ascii="Arial" w:hAnsi="Arial" w:cs="Arial"/>
        </w:rPr>
        <w:t xml:space="preserve"> de São Paulo, </w:t>
      </w:r>
      <w:proofErr w:type="spellStart"/>
      <w:r w:rsidRPr="00AF518B">
        <w:rPr>
          <w:rFonts w:ascii="Arial" w:hAnsi="Arial" w:cs="Arial"/>
        </w:rPr>
        <w:t>Ribeirão</w:t>
      </w:r>
      <w:proofErr w:type="spellEnd"/>
      <w:r w:rsidRPr="00AF518B">
        <w:rPr>
          <w:rFonts w:ascii="Arial" w:hAnsi="Arial" w:cs="Arial"/>
        </w:rPr>
        <w:t xml:space="preserve"> Preto.</w:t>
      </w:r>
    </w:p>
    <w:p w14:paraId="3C07DCEA" w14:textId="77777777" w:rsidR="004751FB" w:rsidRPr="00AF518B" w:rsidRDefault="004751FB" w:rsidP="004751FB">
      <w:pPr>
        <w:jc w:val="both"/>
        <w:rPr>
          <w:rFonts w:ascii="Arial" w:hAnsi="Arial" w:cs="Arial"/>
        </w:rPr>
      </w:pPr>
    </w:p>
    <w:p w14:paraId="14B2C577" w14:textId="77777777" w:rsidR="004751FB" w:rsidRPr="00AF518B" w:rsidRDefault="004751FB" w:rsidP="004751FB">
      <w:pPr>
        <w:pStyle w:val="ListParagraph"/>
        <w:numPr>
          <w:ilvl w:val="0"/>
          <w:numId w:val="33"/>
        </w:numPr>
        <w:suppressAutoHyphens w:val="0"/>
        <w:jc w:val="both"/>
        <w:rPr>
          <w:rFonts w:ascii="Arial" w:hAnsi="Arial" w:cs="Arial"/>
          <w:sz w:val="20"/>
          <w:szCs w:val="20"/>
        </w:rPr>
      </w:pPr>
      <w:r w:rsidRPr="00AF518B">
        <w:rPr>
          <w:rStyle w:val="Strong"/>
          <w:rFonts w:ascii="Arial" w:hAnsi="Arial" w:cs="Arial"/>
          <w:b w:val="0"/>
          <w:sz w:val="20"/>
          <w:szCs w:val="20"/>
        </w:rPr>
        <w:t>Ishikawa, I., Aoki, A., Takasaki, A. A., Mizutani, K., Sasaki, K. M., &amp; Izumi, Y.</w:t>
      </w:r>
      <w:r w:rsidRPr="00AF518B">
        <w:rPr>
          <w:rFonts w:ascii="Arial" w:hAnsi="Arial" w:cs="Arial"/>
          <w:sz w:val="20"/>
          <w:szCs w:val="20"/>
        </w:rPr>
        <w:t xml:space="preserve"> (2009). Application of lasers in periodontics: True innovation or myth? </w:t>
      </w:r>
      <w:r w:rsidRPr="00AF518B">
        <w:rPr>
          <w:rStyle w:val="Emphasis"/>
          <w:rFonts w:ascii="Arial" w:hAnsi="Arial" w:cs="Arial"/>
          <w:sz w:val="20"/>
          <w:szCs w:val="20"/>
        </w:rPr>
        <w:t>Periodontology 2000, 50</w:t>
      </w:r>
      <w:r w:rsidRPr="00AF518B">
        <w:rPr>
          <w:rFonts w:ascii="Arial" w:hAnsi="Arial" w:cs="Arial"/>
          <w:sz w:val="20"/>
          <w:szCs w:val="20"/>
        </w:rPr>
        <w:t xml:space="preserve">(1), 90-126. </w:t>
      </w:r>
      <w:r>
        <w:fldChar w:fldCharType="begin"/>
      </w:r>
      <w:r>
        <w:instrText>HYPERLINK "https://doi.org/10.1111/j.1600-0757.2008.00283.x"</w:instrText>
      </w:r>
      <w:r>
        <w:fldChar w:fldCharType="separate"/>
      </w:r>
      <w:r w:rsidRPr="00AF518B">
        <w:rPr>
          <w:rStyle w:val="Hyperlink"/>
          <w:rFonts w:ascii="Arial" w:hAnsi="Arial" w:cs="Arial"/>
          <w:color w:val="auto"/>
          <w:sz w:val="20"/>
          <w:szCs w:val="20"/>
        </w:rPr>
        <w:t>https://doi.org/10.1111/j.1600-0757.2008.00283.x</w:t>
      </w:r>
      <w:r>
        <w:fldChar w:fldCharType="end"/>
      </w:r>
    </w:p>
    <w:p w14:paraId="294E3282" w14:textId="77777777" w:rsidR="004751FB" w:rsidRPr="00AF518B" w:rsidRDefault="004751FB" w:rsidP="004751FB">
      <w:pPr>
        <w:pStyle w:val="ListParagraph"/>
        <w:jc w:val="both"/>
        <w:rPr>
          <w:rFonts w:ascii="Arial" w:hAnsi="Arial" w:cs="Arial"/>
          <w:sz w:val="20"/>
          <w:szCs w:val="20"/>
        </w:rPr>
      </w:pPr>
    </w:p>
    <w:p w14:paraId="37F47B9F" w14:textId="77777777" w:rsidR="004751FB" w:rsidRPr="00AF518B" w:rsidRDefault="004751FB" w:rsidP="004751FB">
      <w:pPr>
        <w:pStyle w:val="ListParagraph"/>
        <w:numPr>
          <w:ilvl w:val="0"/>
          <w:numId w:val="33"/>
        </w:numPr>
        <w:suppressAutoHyphens w:val="0"/>
        <w:jc w:val="both"/>
        <w:rPr>
          <w:rFonts w:ascii="Arial" w:hAnsi="Arial" w:cs="Arial"/>
          <w:sz w:val="20"/>
          <w:szCs w:val="20"/>
        </w:rPr>
      </w:pPr>
      <w:r w:rsidRPr="00AF518B">
        <w:rPr>
          <w:rFonts w:ascii="Arial" w:hAnsi="Arial" w:cs="Arial"/>
          <w:sz w:val="20"/>
          <w:szCs w:val="20"/>
        </w:rPr>
        <w:t xml:space="preserve">Simpson, T. C., Clarkson, J. E., Worthington, H. V., MacDonald, L., Weldon, J. C., Needleman, I., Iheozor-Ejiofor, Z., Wild, S. H., Qureshi, A., Walker, A., Patel, V. A., Boyers, D., &amp; Twigg, J. (2022). </w:t>
      </w:r>
      <w:r w:rsidRPr="00AF518B">
        <w:rPr>
          <w:rStyle w:val="Emphasis"/>
          <w:rFonts w:ascii="Arial" w:hAnsi="Arial" w:cs="Arial"/>
          <w:sz w:val="20"/>
          <w:szCs w:val="20"/>
        </w:rPr>
        <w:t>Treatment of periodontitis for glycaemic control in people with diabetes mellitus</w:t>
      </w:r>
      <w:r w:rsidRPr="00AF518B">
        <w:rPr>
          <w:rFonts w:ascii="Arial" w:hAnsi="Arial" w:cs="Arial"/>
          <w:sz w:val="20"/>
          <w:szCs w:val="20"/>
        </w:rPr>
        <w:t>. Cochrane Database of Systematic Reviews, 2022(4), CD004714. https://doi.org/10.1002/14651858.CD004714.pub4</w:t>
      </w:r>
    </w:p>
    <w:p w14:paraId="393746CC" w14:textId="77777777" w:rsidR="004751FB" w:rsidRPr="00AF518B" w:rsidRDefault="004751FB" w:rsidP="004751FB">
      <w:pPr>
        <w:pStyle w:val="BodyText"/>
        <w:numPr>
          <w:ilvl w:val="0"/>
          <w:numId w:val="33"/>
        </w:numPr>
        <w:spacing w:before="120" w:after="0"/>
        <w:ind w:right="-1"/>
        <w:jc w:val="both"/>
        <w:rPr>
          <w:rFonts w:ascii="Arial" w:hAnsi="Arial" w:cs="Arial"/>
        </w:rPr>
      </w:pPr>
      <w:r w:rsidRPr="00AF518B">
        <w:rPr>
          <w:rStyle w:val="Strong"/>
          <w:rFonts w:ascii="Arial" w:hAnsi="Arial" w:cs="Arial"/>
          <w:b w:val="0"/>
        </w:rPr>
        <w:t>Mirza, S., Khan, A. A., Al-</w:t>
      </w:r>
      <w:proofErr w:type="spellStart"/>
      <w:r w:rsidRPr="00AF518B">
        <w:rPr>
          <w:rStyle w:val="Strong"/>
          <w:rFonts w:ascii="Arial" w:hAnsi="Arial" w:cs="Arial"/>
          <w:b w:val="0"/>
        </w:rPr>
        <w:t>Kheraif</w:t>
      </w:r>
      <w:proofErr w:type="spellEnd"/>
      <w:r w:rsidRPr="00AF518B">
        <w:rPr>
          <w:rStyle w:val="Strong"/>
          <w:rFonts w:ascii="Arial" w:hAnsi="Arial" w:cs="Arial"/>
          <w:b w:val="0"/>
        </w:rPr>
        <w:t>, A. A., Khan, S. Z., &amp; Shafqat, S. S.</w:t>
      </w:r>
      <w:r w:rsidRPr="00AF518B">
        <w:rPr>
          <w:rFonts w:ascii="Arial" w:hAnsi="Arial" w:cs="Arial"/>
        </w:rPr>
        <w:t xml:space="preserve"> (2019). Efficacy of adjunctive photodynamic therapy on the clinical periodontal, HbA1c and advanced glycation end product levels among mild to moderate chronic periodontal disease patients with type 2 diabetes mellitus: A randomized controlled clinical trial. </w:t>
      </w:r>
      <w:proofErr w:type="spellStart"/>
      <w:r w:rsidRPr="00AF518B">
        <w:rPr>
          <w:rStyle w:val="Emphasis"/>
          <w:rFonts w:ascii="Arial" w:hAnsi="Arial" w:cs="Arial"/>
        </w:rPr>
        <w:t>Photodiagnosis</w:t>
      </w:r>
      <w:proofErr w:type="spellEnd"/>
      <w:r w:rsidRPr="00AF518B">
        <w:rPr>
          <w:rStyle w:val="Emphasis"/>
          <w:rFonts w:ascii="Arial" w:hAnsi="Arial" w:cs="Arial"/>
        </w:rPr>
        <w:t xml:space="preserve"> and Photodynamic Therapy, 28</w:t>
      </w:r>
      <w:r w:rsidRPr="00AF518B">
        <w:rPr>
          <w:rFonts w:ascii="Arial" w:hAnsi="Arial" w:cs="Arial"/>
        </w:rPr>
        <w:t xml:space="preserve">, 177–182. </w:t>
      </w:r>
      <w:hyperlink r:id="rId18" w:history="1">
        <w:r w:rsidRPr="00AF518B">
          <w:rPr>
            <w:rStyle w:val="Hyperlink"/>
            <w:rFonts w:ascii="Arial" w:hAnsi="Arial" w:cs="Arial"/>
            <w:color w:val="auto"/>
          </w:rPr>
          <w:t>https://doi.org/10.1016/j.pdpdt.2019.08.003</w:t>
        </w:r>
      </w:hyperlink>
    </w:p>
    <w:p w14:paraId="18A3D741" w14:textId="77777777" w:rsidR="004751FB" w:rsidRPr="00AF518B" w:rsidRDefault="004751FB" w:rsidP="004751FB">
      <w:pPr>
        <w:jc w:val="both"/>
        <w:rPr>
          <w:rFonts w:ascii="Arial" w:hAnsi="Arial" w:cs="Arial"/>
        </w:rPr>
      </w:pPr>
    </w:p>
    <w:p w14:paraId="6085959A" w14:textId="77777777" w:rsidR="004751FB" w:rsidRPr="00AF518B" w:rsidRDefault="004751FB" w:rsidP="004751FB">
      <w:pPr>
        <w:pStyle w:val="ListParagraph"/>
        <w:numPr>
          <w:ilvl w:val="0"/>
          <w:numId w:val="33"/>
        </w:numPr>
        <w:suppressAutoHyphens w:val="0"/>
        <w:jc w:val="both"/>
        <w:rPr>
          <w:rFonts w:ascii="Arial" w:hAnsi="Arial" w:cs="Arial"/>
          <w:sz w:val="20"/>
          <w:szCs w:val="20"/>
        </w:rPr>
      </w:pPr>
      <w:r w:rsidRPr="00AF518B">
        <w:rPr>
          <w:rFonts w:ascii="Arial" w:hAnsi="Arial" w:cs="Arial"/>
          <w:sz w:val="20"/>
          <w:szCs w:val="20"/>
        </w:rPr>
        <w:t xml:space="preserve">Chen, Y.-F., Zhan, Q., Wu, C.-Z., Yuan, Y.-H., Chen, W., Yu, F.-Y., Li, Y., &amp; Li, L.-J. (2021). Baseline HbA1c level influences the effect of periodontal therapy on glycemic control in people with type 2 diabetes and periodontitis: A systematic review on randomized controlled trials. </w:t>
      </w:r>
      <w:r w:rsidRPr="00AF518B">
        <w:rPr>
          <w:rStyle w:val="Emphasis"/>
          <w:rFonts w:ascii="Arial" w:hAnsi="Arial" w:cs="Arial"/>
          <w:sz w:val="20"/>
          <w:szCs w:val="20"/>
        </w:rPr>
        <w:t>Diabetes Therapy, 12</w:t>
      </w:r>
      <w:r w:rsidRPr="00AF518B">
        <w:rPr>
          <w:rFonts w:ascii="Arial" w:hAnsi="Arial" w:cs="Arial"/>
          <w:sz w:val="20"/>
          <w:szCs w:val="20"/>
        </w:rPr>
        <w:t xml:space="preserve">(5), 1241–1259. </w:t>
      </w:r>
      <w:r>
        <w:fldChar w:fldCharType="begin"/>
      </w:r>
      <w:r>
        <w:instrText>HYPERLINK "https://doi.org/10.1007/s13300-021-01000-6"</w:instrText>
      </w:r>
      <w:r>
        <w:fldChar w:fldCharType="separate"/>
      </w:r>
      <w:r w:rsidRPr="00AF518B">
        <w:rPr>
          <w:rStyle w:val="Hyperlink"/>
          <w:rFonts w:ascii="Arial" w:hAnsi="Arial" w:cs="Arial"/>
          <w:color w:val="auto"/>
          <w:sz w:val="20"/>
          <w:szCs w:val="20"/>
        </w:rPr>
        <w:t>https://doi.org/10.1007/s13300-021-01000-6</w:t>
      </w:r>
      <w:r>
        <w:fldChar w:fldCharType="end"/>
      </w:r>
    </w:p>
    <w:p w14:paraId="7FC92F99" w14:textId="77777777" w:rsidR="004751FB" w:rsidRPr="00AF518B" w:rsidRDefault="004751FB" w:rsidP="004751FB">
      <w:pPr>
        <w:pStyle w:val="ListParagraph"/>
        <w:jc w:val="both"/>
        <w:rPr>
          <w:rFonts w:ascii="Arial" w:hAnsi="Arial" w:cs="Arial"/>
          <w:sz w:val="20"/>
          <w:szCs w:val="20"/>
        </w:rPr>
      </w:pPr>
    </w:p>
    <w:p w14:paraId="64340E0B" w14:textId="77777777" w:rsidR="004751FB" w:rsidRPr="00AF518B" w:rsidRDefault="004751FB" w:rsidP="004751FB">
      <w:pPr>
        <w:pStyle w:val="ListParagraph"/>
        <w:jc w:val="both"/>
        <w:rPr>
          <w:rFonts w:ascii="Arial" w:hAnsi="Arial" w:cs="Arial"/>
          <w:sz w:val="20"/>
          <w:szCs w:val="20"/>
        </w:rPr>
      </w:pPr>
    </w:p>
    <w:p w14:paraId="3C0BB9CD" w14:textId="77777777" w:rsidR="004751FB" w:rsidRPr="00AF518B" w:rsidRDefault="004751FB" w:rsidP="004751FB">
      <w:pPr>
        <w:pStyle w:val="ListParagraph"/>
        <w:numPr>
          <w:ilvl w:val="0"/>
          <w:numId w:val="33"/>
        </w:numPr>
        <w:suppressAutoHyphens w:val="0"/>
        <w:spacing w:before="100" w:beforeAutospacing="1" w:after="100" w:afterAutospacing="1"/>
        <w:jc w:val="both"/>
        <w:rPr>
          <w:rFonts w:ascii="Arial" w:hAnsi="Arial" w:cs="Arial"/>
          <w:sz w:val="20"/>
          <w:szCs w:val="20"/>
          <w:lang w:eastAsia="pt-BR"/>
        </w:rPr>
      </w:pPr>
      <w:r w:rsidRPr="00AF518B">
        <w:rPr>
          <w:rStyle w:val="Strong"/>
          <w:rFonts w:ascii="Arial" w:hAnsi="Arial" w:cs="Arial"/>
          <w:b w:val="0"/>
          <w:sz w:val="20"/>
          <w:szCs w:val="20"/>
        </w:rPr>
        <w:t>Zampiva, M. M. M., Paula, T. N. P., Neto, T. T., Nakamura, K. K., Ueda, J. K., Nassar, P. O., &amp; Nassar, C. A.</w:t>
      </w:r>
      <w:r w:rsidRPr="00AF518B">
        <w:rPr>
          <w:rFonts w:ascii="Arial" w:hAnsi="Arial" w:cs="Arial"/>
          <w:sz w:val="20"/>
          <w:szCs w:val="20"/>
        </w:rPr>
        <w:t xml:space="preserve"> (2019). Clinical evaluation of obesity in patients with type 2 diabetes mellitus after periodontal treatment: A comparative study. </w:t>
      </w:r>
      <w:r w:rsidRPr="00AF518B">
        <w:rPr>
          <w:rStyle w:val="Emphasis"/>
          <w:rFonts w:ascii="Arial" w:hAnsi="Arial" w:cs="Arial"/>
          <w:sz w:val="20"/>
          <w:szCs w:val="20"/>
        </w:rPr>
        <w:t>Journal of the International Academy of Periodontology, 21</w:t>
      </w:r>
      <w:r w:rsidRPr="00AF518B">
        <w:rPr>
          <w:rFonts w:ascii="Arial" w:hAnsi="Arial" w:cs="Arial"/>
          <w:sz w:val="20"/>
          <w:szCs w:val="20"/>
        </w:rPr>
        <w:t>(4), 132-138.</w:t>
      </w:r>
    </w:p>
    <w:p w14:paraId="28E3C657" w14:textId="77777777" w:rsidR="004751FB" w:rsidRPr="00AF518B" w:rsidRDefault="004751FB" w:rsidP="004751FB">
      <w:pPr>
        <w:pStyle w:val="ListParagraph"/>
        <w:spacing w:before="100" w:beforeAutospacing="1" w:after="100" w:afterAutospacing="1"/>
        <w:jc w:val="both"/>
        <w:rPr>
          <w:rFonts w:ascii="Arial" w:hAnsi="Arial" w:cs="Arial"/>
          <w:sz w:val="20"/>
          <w:szCs w:val="20"/>
          <w:lang w:eastAsia="pt-BR"/>
        </w:rPr>
      </w:pPr>
    </w:p>
    <w:p w14:paraId="453CBB6A" w14:textId="77777777" w:rsidR="004751FB" w:rsidRPr="00AF518B" w:rsidRDefault="004751FB" w:rsidP="004751FB">
      <w:pPr>
        <w:pStyle w:val="ListParagraph"/>
        <w:numPr>
          <w:ilvl w:val="0"/>
          <w:numId w:val="33"/>
        </w:numPr>
        <w:suppressAutoHyphens w:val="0"/>
        <w:jc w:val="both"/>
        <w:rPr>
          <w:rStyle w:val="Hyperlink"/>
          <w:rFonts w:ascii="Arial" w:hAnsi="Arial" w:cs="Arial"/>
          <w:color w:val="auto"/>
          <w:sz w:val="20"/>
          <w:szCs w:val="20"/>
        </w:rPr>
      </w:pPr>
      <w:r w:rsidRPr="00AF518B">
        <w:rPr>
          <w:rStyle w:val="Strong"/>
          <w:rFonts w:ascii="Arial" w:hAnsi="Arial" w:cs="Arial"/>
          <w:b w:val="0"/>
          <w:sz w:val="20"/>
          <w:szCs w:val="20"/>
        </w:rPr>
        <w:t>Cláudio, M. M., Nuernberg, M. A. A., Rodrigues, J. V. S., Belizário, L. C. G., Batista, J. A., Duque, C., Garcia, V. G., &amp; Theodoro, L. H.</w:t>
      </w:r>
      <w:r w:rsidRPr="00AF518B">
        <w:rPr>
          <w:rFonts w:ascii="Arial" w:hAnsi="Arial" w:cs="Arial"/>
          <w:sz w:val="20"/>
          <w:szCs w:val="20"/>
        </w:rPr>
        <w:t xml:space="preserve"> (2021). Effects of multiple sessions of antimicrobial photodynamic therapy (aPDT) in the treatment of periodontitis in patients with uncompensated type 2 diabetes: A randomized controlled clinical study. </w:t>
      </w:r>
      <w:r w:rsidRPr="00AF518B">
        <w:rPr>
          <w:rStyle w:val="Emphasis"/>
          <w:rFonts w:ascii="Arial" w:hAnsi="Arial" w:cs="Arial"/>
          <w:sz w:val="20"/>
          <w:szCs w:val="20"/>
        </w:rPr>
        <w:t>Photodiagnosis and Photodynamic Therapy, 35</w:t>
      </w:r>
      <w:r w:rsidRPr="00AF518B">
        <w:rPr>
          <w:rFonts w:ascii="Arial" w:hAnsi="Arial" w:cs="Arial"/>
          <w:sz w:val="20"/>
          <w:szCs w:val="20"/>
        </w:rPr>
        <w:t xml:space="preserve">, 102451. </w:t>
      </w:r>
      <w:hyperlink r:id="rId19" w:history="1">
        <w:r w:rsidRPr="00AF518B">
          <w:rPr>
            <w:rStyle w:val="Hyperlink"/>
            <w:rFonts w:ascii="Arial" w:hAnsi="Arial" w:cs="Arial"/>
            <w:color w:val="auto"/>
            <w:sz w:val="20"/>
            <w:szCs w:val="20"/>
          </w:rPr>
          <w:t>https://doi.org/10.1016/j.pdpdt.2021.102451</w:t>
        </w:r>
      </w:hyperlink>
    </w:p>
    <w:p w14:paraId="45EEBA1C" w14:textId="77777777" w:rsidR="004751FB" w:rsidRPr="00AF518B" w:rsidRDefault="004751FB" w:rsidP="004751FB">
      <w:pPr>
        <w:pStyle w:val="ListParagraph"/>
        <w:jc w:val="both"/>
        <w:rPr>
          <w:rStyle w:val="Hyperlink"/>
          <w:rFonts w:ascii="Arial" w:hAnsi="Arial" w:cs="Arial"/>
          <w:color w:val="auto"/>
          <w:sz w:val="20"/>
          <w:szCs w:val="20"/>
        </w:rPr>
      </w:pPr>
    </w:p>
    <w:p w14:paraId="72668D86" w14:textId="77777777" w:rsidR="004751FB" w:rsidRPr="00AF518B" w:rsidRDefault="004751FB" w:rsidP="004751FB">
      <w:pPr>
        <w:pStyle w:val="ListParagraph"/>
        <w:jc w:val="both"/>
        <w:rPr>
          <w:rStyle w:val="Hyperlink"/>
          <w:rFonts w:ascii="Arial" w:hAnsi="Arial" w:cs="Arial"/>
          <w:color w:val="auto"/>
          <w:sz w:val="20"/>
          <w:szCs w:val="20"/>
        </w:rPr>
      </w:pPr>
    </w:p>
    <w:p w14:paraId="63504736" w14:textId="77777777" w:rsidR="004751FB" w:rsidRPr="00AF518B" w:rsidRDefault="004751FB" w:rsidP="004751FB">
      <w:pPr>
        <w:pStyle w:val="ListParagraph"/>
        <w:numPr>
          <w:ilvl w:val="0"/>
          <w:numId w:val="33"/>
        </w:numPr>
        <w:suppressAutoHyphens w:val="0"/>
        <w:spacing w:before="100" w:beforeAutospacing="1" w:after="100" w:afterAutospacing="1"/>
        <w:jc w:val="both"/>
        <w:rPr>
          <w:rFonts w:ascii="Arial" w:hAnsi="Arial" w:cs="Arial"/>
          <w:sz w:val="20"/>
          <w:szCs w:val="20"/>
          <w:lang w:eastAsia="pt-BR"/>
        </w:rPr>
      </w:pPr>
      <w:r w:rsidRPr="00AF518B">
        <w:rPr>
          <w:rFonts w:ascii="Arial" w:hAnsi="Arial" w:cs="Arial"/>
          <w:bCs/>
          <w:sz w:val="20"/>
          <w:szCs w:val="20"/>
          <w:lang w:eastAsia="pt-BR"/>
        </w:rPr>
        <w:t>Wu, C.-Z., Yuan, Y.-H., Liu, H.-H., Li, S.-S., Zhang, B.-W., Chen, W., An, Z.-J., Chen, S.-Y., Wu, Y.-Z., Han, B., Li, C.-J., &amp; Li, L.-J.</w:t>
      </w:r>
      <w:r w:rsidRPr="00AF518B">
        <w:rPr>
          <w:rFonts w:ascii="Arial" w:hAnsi="Arial" w:cs="Arial"/>
          <w:sz w:val="20"/>
          <w:szCs w:val="20"/>
          <w:lang w:eastAsia="pt-BR"/>
        </w:rPr>
        <w:t xml:space="preserve"> (2020). Epidemiologic relationship between periodontitis and type 2 diabetes mellitus. </w:t>
      </w:r>
      <w:r w:rsidRPr="00AF518B">
        <w:rPr>
          <w:rFonts w:ascii="Arial" w:hAnsi="Arial" w:cs="Arial"/>
          <w:i/>
          <w:iCs/>
          <w:sz w:val="20"/>
          <w:szCs w:val="20"/>
          <w:lang w:eastAsia="pt-BR"/>
        </w:rPr>
        <w:t>BMC Oral Health, 20</w:t>
      </w:r>
      <w:r w:rsidRPr="00AF518B">
        <w:rPr>
          <w:rFonts w:ascii="Arial" w:hAnsi="Arial" w:cs="Arial"/>
          <w:sz w:val="20"/>
          <w:szCs w:val="20"/>
          <w:lang w:eastAsia="pt-BR"/>
        </w:rPr>
        <w:t xml:space="preserve">(1), 204. </w:t>
      </w:r>
      <w:hyperlink r:id="rId20" w:history="1">
        <w:r w:rsidRPr="00AF518B">
          <w:rPr>
            <w:rStyle w:val="Hyperlink"/>
            <w:rFonts w:ascii="Arial" w:hAnsi="Arial" w:cs="Arial"/>
            <w:color w:val="auto"/>
            <w:sz w:val="20"/>
            <w:szCs w:val="20"/>
            <w:lang w:eastAsia="pt-BR"/>
          </w:rPr>
          <w:t>https://doi.org/10.1186/s12903-020-01180-w</w:t>
        </w:r>
      </w:hyperlink>
    </w:p>
    <w:p w14:paraId="19C8D470" w14:textId="77777777" w:rsidR="004751FB" w:rsidRPr="00AF518B" w:rsidRDefault="004751FB" w:rsidP="004751FB">
      <w:pPr>
        <w:pStyle w:val="ListParagraph"/>
        <w:spacing w:before="100" w:beforeAutospacing="1" w:after="100" w:afterAutospacing="1"/>
        <w:jc w:val="both"/>
        <w:rPr>
          <w:rFonts w:ascii="Arial" w:hAnsi="Arial" w:cs="Arial"/>
          <w:sz w:val="20"/>
          <w:szCs w:val="20"/>
          <w:lang w:eastAsia="pt-BR"/>
        </w:rPr>
      </w:pPr>
    </w:p>
    <w:p w14:paraId="488A7CCB" w14:textId="77777777" w:rsidR="004751FB" w:rsidRPr="00AF518B" w:rsidRDefault="004751FB" w:rsidP="004751FB">
      <w:pPr>
        <w:pStyle w:val="ListParagraph"/>
        <w:numPr>
          <w:ilvl w:val="0"/>
          <w:numId w:val="33"/>
        </w:numPr>
        <w:suppressAutoHyphens w:val="0"/>
        <w:spacing w:before="100" w:beforeAutospacing="1" w:after="100" w:afterAutospacing="1"/>
        <w:jc w:val="both"/>
        <w:rPr>
          <w:rFonts w:ascii="Arial" w:hAnsi="Arial" w:cs="Arial"/>
          <w:sz w:val="20"/>
          <w:szCs w:val="20"/>
          <w:lang w:eastAsia="pt-BR"/>
        </w:rPr>
      </w:pPr>
      <w:r w:rsidRPr="00AF518B">
        <w:rPr>
          <w:rFonts w:ascii="Arial" w:hAnsi="Arial" w:cs="Arial"/>
          <w:sz w:val="20"/>
          <w:szCs w:val="20"/>
        </w:rPr>
        <w:t xml:space="preserve">Lalla, E., &amp; Papapanou, P. N. (2011). Diabetes mellitus and periodontitis: A tale of two common interrelated diseases. </w:t>
      </w:r>
      <w:r w:rsidRPr="00AF518B">
        <w:rPr>
          <w:rStyle w:val="Emphasis"/>
          <w:rFonts w:ascii="Arial" w:hAnsi="Arial" w:cs="Arial"/>
          <w:sz w:val="20"/>
          <w:szCs w:val="20"/>
        </w:rPr>
        <w:t>Nature Reviews Endocrinology, 7</w:t>
      </w:r>
      <w:r w:rsidRPr="00AF518B">
        <w:rPr>
          <w:rFonts w:ascii="Arial" w:hAnsi="Arial" w:cs="Arial"/>
          <w:sz w:val="20"/>
          <w:szCs w:val="20"/>
        </w:rPr>
        <w:t xml:space="preserve">(12), 738–748. </w:t>
      </w:r>
      <w:hyperlink r:id="rId21" w:history="1">
        <w:r w:rsidRPr="00AF518B">
          <w:rPr>
            <w:rStyle w:val="Hyperlink"/>
            <w:rFonts w:ascii="Arial" w:hAnsi="Arial" w:cs="Arial"/>
            <w:color w:val="auto"/>
            <w:sz w:val="20"/>
            <w:szCs w:val="20"/>
          </w:rPr>
          <w:t>https://doi.org/10.1038/nrendo.2011.106</w:t>
        </w:r>
      </w:hyperlink>
    </w:p>
    <w:p w14:paraId="03E242C1" w14:textId="77777777" w:rsidR="004751FB" w:rsidRPr="00AF518B" w:rsidRDefault="004751FB" w:rsidP="004751FB">
      <w:pPr>
        <w:pStyle w:val="ListParagraph"/>
        <w:jc w:val="both"/>
        <w:rPr>
          <w:rFonts w:ascii="Arial" w:hAnsi="Arial" w:cs="Arial"/>
          <w:sz w:val="20"/>
          <w:szCs w:val="20"/>
          <w:lang w:eastAsia="pt-BR"/>
        </w:rPr>
      </w:pPr>
    </w:p>
    <w:p w14:paraId="1A2792C6" w14:textId="77777777" w:rsidR="004751FB" w:rsidRPr="00AF518B" w:rsidRDefault="004751FB" w:rsidP="004751FB">
      <w:pPr>
        <w:pStyle w:val="ListParagraph"/>
        <w:spacing w:before="100" w:beforeAutospacing="1" w:after="100" w:afterAutospacing="1"/>
        <w:jc w:val="both"/>
        <w:rPr>
          <w:rFonts w:ascii="Arial" w:hAnsi="Arial" w:cs="Arial"/>
          <w:sz w:val="20"/>
          <w:szCs w:val="20"/>
          <w:lang w:eastAsia="pt-BR"/>
        </w:rPr>
      </w:pPr>
    </w:p>
    <w:p w14:paraId="7B36734B" w14:textId="77777777" w:rsidR="004751FB" w:rsidRPr="00AF518B" w:rsidRDefault="004751FB" w:rsidP="004751FB">
      <w:pPr>
        <w:pStyle w:val="ListParagraph"/>
        <w:numPr>
          <w:ilvl w:val="0"/>
          <w:numId w:val="33"/>
        </w:numPr>
        <w:suppressAutoHyphens w:val="0"/>
        <w:jc w:val="both"/>
        <w:rPr>
          <w:rStyle w:val="Hyperlink"/>
          <w:rFonts w:ascii="Arial" w:hAnsi="Arial" w:cs="Arial"/>
          <w:color w:val="auto"/>
          <w:sz w:val="20"/>
          <w:szCs w:val="20"/>
          <w:u w:val="none"/>
        </w:rPr>
      </w:pPr>
      <w:r w:rsidRPr="00AF518B">
        <w:rPr>
          <w:rStyle w:val="Strong"/>
          <w:rFonts w:ascii="Arial" w:hAnsi="Arial" w:cs="Arial"/>
          <w:b w:val="0"/>
          <w:sz w:val="20"/>
          <w:szCs w:val="20"/>
        </w:rPr>
        <w:t>Bezerra, B., Monajemzadeh, S., Silva, D., &amp; Pirih, F. Q.</w:t>
      </w:r>
      <w:r w:rsidRPr="00AF518B">
        <w:rPr>
          <w:rFonts w:ascii="Arial" w:hAnsi="Arial" w:cs="Arial"/>
          <w:sz w:val="20"/>
          <w:szCs w:val="20"/>
        </w:rPr>
        <w:t xml:space="preserve"> (2022). Modulating the immune response in periodontitis. </w:t>
      </w:r>
      <w:r w:rsidRPr="00AF518B">
        <w:rPr>
          <w:rStyle w:val="Emphasis"/>
          <w:rFonts w:ascii="Arial" w:hAnsi="Arial" w:cs="Arial"/>
          <w:sz w:val="20"/>
          <w:szCs w:val="20"/>
        </w:rPr>
        <w:t>Frontiers in Dental Medicine, 3</w:t>
      </w:r>
      <w:r w:rsidRPr="00AF518B">
        <w:rPr>
          <w:rFonts w:ascii="Arial" w:hAnsi="Arial" w:cs="Arial"/>
          <w:sz w:val="20"/>
          <w:szCs w:val="20"/>
        </w:rPr>
        <w:t xml:space="preserve">, 879131. </w:t>
      </w:r>
      <w:hyperlink r:id="rId22" w:history="1">
        <w:r w:rsidRPr="00AF518B">
          <w:rPr>
            <w:rStyle w:val="Hyperlink"/>
            <w:rFonts w:ascii="Arial" w:hAnsi="Arial" w:cs="Arial"/>
            <w:color w:val="auto"/>
            <w:sz w:val="20"/>
            <w:szCs w:val="20"/>
          </w:rPr>
          <w:t>https://doi.org/10.3389/fdmed.2022.879131</w:t>
        </w:r>
      </w:hyperlink>
    </w:p>
    <w:p w14:paraId="72F1FB61" w14:textId="77777777" w:rsidR="004751FB" w:rsidRPr="00AF518B" w:rsidRDefault="004751FB" w:rsidP="004751FB">
      <w:pPr>
        <w:pStyle w:val="ListParagraph"/>
        <w:jc w:val="both"/>
        <w:rPr>
          <w:rFonts w:ascii="Arial" w:hAnsi="Arial" w:cs="Arial"/>
          <w:sz w:val="20"/>
          <w:szCs w:val="20"/>
        </w:rPr>
      </w:pPr>
    </w:p>
    <w:p w14:paraId="4845B13F" w14:textId="77777777" w:rsidR="004751FB" w:rsidRPr="00AF518B" w:rsidRDefault="004751FB" w:rsidP="004751FB">
      <w:pPr>
        <w:pStyle w:val="ListParagraph"/>
        <w:jc w:val="both"/>
        <w:rPr>
          <w:rFonts w:ascii="Arial" w:hAnsi="Arial" w:cs="Arial"/>
          <w:sz w:val="20"/>
          <w:szCs w:val="20"/>
        </w:rPr>
      </w:pPr>
    </w:p>
    <w:p w14:paraId="34ADA537" w14:textId="77777777" w:rsidR="004751FB" w:rsidRPr="00AF518B" w:rsidRDefault="004751FB" w:rsidP="004751FB">
      <w:pPr>
        <w:pStyle w:val="ListParagraph"/>
        <w:numPr>
          <w:ilvl w:val="0"/>
          <w:numId w:val="33"/>
        </w:numPr>
        <w:suppressAutoHyphens w:val="0"/>
        <w:spacing w:before="100" w:beforeAutospacing="1" w:after="100" w:afterAutospacing="1"/>
        <w:jc w:val="both"/>
        <w:rPr>
          <w:rStyle w:val="Hyperlink"/>
          <w:rFonts w:ascii="Arial" w:hAnsi="Arial" w:cs="Arial"/>
          <w:color w:val="auto"/>
          <w:sz w:val="20"/>
          <w:szCs w:val="20"/>
          <w:u w:val="none"/>
        </w:rPr>
      </w:pPr>
      <w:r w:rsidRPr="00AF518B">
        <w:rPr>
          <w:rStyle w:val="Strong"/>
          <w:rFonts w:ascii="Arial" w:hAnsi="Arial" w:cs="Arial"/>
          <w:b w:val="0"/>
          <w:sz w:val="20"/>
          <w:szCs w:val="20"/>
        </w:rPr>
        <w:t>Ko, K. I., Sculean, A., &amp; Graves, D. T.</w:t>
      </w:r>
      <w:r w:rsidRPr="00AF518B">
        <w:rPr>
          <w:rFonts w:ascii="Arial" w:hAnsi="Arial" w:cs="Arial"/>
          <w:sz w:val="20"/>
          <w:szCs w:val="20"/>
        </w:rPr>
        <w:t xml:space="preserve"> (2021). Diabetic wound healing in soft and hard oral tissues. </w:t>
      </w:r>
      <w:r w:rsidRPr="00AF518B">
        <w:rPr>
          <w:rStyle w:val="Emphasis"/>
          <w:rFonts w:ascii="Arial" w:hAnsi="Arial" w:cs="Arial"/>
          <w:sz w:val="20"/>
          <w:szCs w:val="20"/>
        </w:rPr>
        <w:t>Translational Research, 236</w:t>
      </w:r>
      <w:r w:rsidRPr="00AF518B">
        <w:rPr>
          <w:rFonts w:ascii="Arial" w:hAnsi="Arial" w:cs="Arial"/>
          <w:sz w:val="20"/>
          <w:szCs w:val="20"/>
        </w:rPr>
        <w:t xml:space="preserve">, 72–86. </w:t>
      </w:r>
      <w:r>
        <w:fldChar w:fldCharType="begin"/>
      </w:r>
      <w:r>
        <w:instrText>HYPERLINK "https://doi.org/10.1016/j.trsl.2021.05.001"</w:instrText>
      </w:r>
      <w:r>
        <w:fldChar w:fldCharType="separate"/>
      </w:r>
      <w:r w:rsidRPr="00AF518B">
        <w:rPr>
          <w:rStyle w:val="Hyperlink"/>
          <w:rFonts w:ascii="Arial" w:hAnsi="Arial" w:cs="Arial"/>
          <w:color w:val="auto"/>
          <w:sz w:val="20"/>
          <w:szCs w:val="20"/>
        </w:rPr>
        <w:t>https://doi.org/10.1016/j.trsl.2021.05.001</w:t>
      </w:r>
      <w:r>
        <w:fldChar w:fldCharType="end"/>
      </w:r>
    </w:p>
    <w:p w14:paraId="04A7F4F8" w14:textId="77777777" w:rsidR="004751FB" w:rsidRPr="00AF518B" w:rsidRDefault="004751FB" w:rsidP="004751FB">
      <w:pPr>
        <w:pStyle w:val="ListParagraph"/>
        <w:spacing w:before="100" w:beforeAutospacing="1" w:after="100" w:afterAutospacing="1"/>
        <w:jc w:val="both"/>
        <w:rPr>
          <w:rFonts w:ascii="Arial" w:hAnsi="Arial" w:cs="Arial"/>
          <w:sz w:val="20"/>
          <w:szCs w:val="20"/>
        </w:rPr>
      </w:pPr>
    </w:p>
    <w:p w14:paraId="3A6D743C" w14:textId="77777777" w:rsidR="004751FB" w:rsidRPr="00AF518B" w:rsidRDefault="004751FB" w:rsidP="004751FB">
      <w:pPr>
        <w:pStyle w:val="ListParagraph"/>
        <w:numPr>
          <w:ilvl w:val="0"/>
          <w:numId w:val="33"/>
        </w:numPr>
        <w:suppressAutoHyphens w:val="0"/>
        <w:spacing w:before="100" w:beforeAutospacing="1" w:after="100" w:afterAutospacing="1"/>
        <w:jc w:val="both"/>
        <w:rPr>
          <w:rFonts w:ascii="Arial" w:hAnsi="Arial" w:cs="Arial"/>
          <w:sz w:val="20"/>
          <w:szCs w:val="20"/>
          <w:lang w:eastAsia="pt-BR"/>
        </w:rPr>
      </w:pPr>
      <w:r w:rsidRPr="00AF518B">
        <w:rPr>
          <w:rFonts w:ascii="Arial" w:hAnsi="Arial" w:cs="Arial"/>
          <w:bCs/>
          <w:sz w:val="20"/>
          <w:szCs w:val="20"/>
          <w:lang w:eastAsia="pt-BR"/>
        </w:rPr>
        <w:t>Grellmann, A. P., Sfreddo, C. S., Maier, J., Lenzi, T. L., &amp; Zanatta, F. B.</w:t>
      </w:r>
      <w:r w:rsidRPr="00AF518B">
        <w:rPr>
          <w:rFonts w:ascii="Arial" w:hAnsi="Arial" w:cs="Arial"/>
          <w:sz w:val="20"/>
          <w:szCs w:val="20"/>
          <w:lang w:eastAsia="pt-BR"/>
        </w:rPr>
        <w:t xml:space="preserve"> (2016). Systemic antimicrobials adjuvant to periodontal therapy in diabetic subjects: A meta-analysis. </w:t>
      </w:r>
      <w:r w:rsidRPr="00AF518B">
        <w:rPr>
          <w:rFonts w:ascii="Arial" w:hAnsi="Arial" w:cs="Arial"/>
          <w:i/>
          <w:iCs/>
          <w:sz w:val="20"/>
          <w:szCs w:val="20"/>
          <w:lang w:eastAsia="pt-BR"/>
        </w:rPr>
        <w:t>Journal of Clinical Periodontology, 43</w:t>
      </w:r>
      <w:r w:rsidRPr="00AF518B">
        <w:rPr>
          <w:rFonts w:ascii="Arial" w:hAnsi="Arial" w:cs="Arial"/>
          <w:sz w:val="20"/>
          <w:szCs w:val="20"/>
          <w:lang w:eastAsia="pt-BR"/>
        </w:rPr>
        <w:t xml:space="preserve">(3), 250–260. </w:t>
      </w:r>
      <w:hyperlink r:id="rId23" w:history="1">
        <w:r w:rsidRPr="00AF518B">
          <w:rPr>
            <w:rStyle w:val="Hyperlink"/>
            <w:rFonts w:ascii="Arial" w:hAnsi="Arial" w:cs="Arial"/>
            <w:color w:val="auto"/>
            <w:sz w:val="20"/>
            <w:szCs w:val="20"/>
            <w:lang w:eastAsia="pt-BR"/>
          </w:rPr>
          <w:t>https://doi.org/10.1111/jcpe.12514</w:t>
        </w:r>
      </w:hyperlink>
    </w:p>
    <w:p w14:paraId="1410E6BC" w14:textId="77777777" w:rsidR="004751FB" w:rsidRPr="00AF518B" w:rsidRDefault="004751FB" w:rsidP="004751FB">
      <w:pPr>
        <w:pStyle w:val="ListParagraph"/>
        <w:jc w:val="both"/>
        <w:rPr>
          <w:rFonts w:ascii="Arial" w:hAnsi="Arial" w:cs="Arial"/>
          <w:sz w:val="20"/>
          <w:szCs w:val="20"/>
          <w:lang w:eastAsia="pt-BR"/>
        </w:rPr>
      </w:pPr>
    </w:p>
    <w:p w14:paraId="677071F7" w14:textId="77777777" w:rsidR="004751FB" w:rsidRPr="00AF518B" w:rsidRDefault="004751FB" w:rsidP="004751FB">
      <w:pPr>
        <w:pStyle w:val="ListParagraph"/>
        <w:spacing w:before="100" w:beforeAutospacing="1" w:after="100" w:afterAutospacing="1"/>
        <w:jc w:val="both"/>
        <w:rPr>
          <w:rFonts w:ascii="Arial" w:hAnsi="Arial" w:cs="Arial"/>
          <w:sz w:val="20"/>
          <w:szCs w:val="20"/>
          <w:lang w:eastAsia="pt-BR"/>
        </w:rPr>
      </w:pPr>
    </w:p>
    <w:p w14:paraId="5FD10F5C" w14:textId="77777777" w:rsidR="004751FB" w:rsidRPr="00AF518B" w:rsidRDefault="004751FB" w:rsidP="004751FB">
      <w:pPr>
        <w:pStyle w:val="ListParagraph"/>
        <w:numPr>
          <w:ilvl w:val="0"/>
          <w:numId w:val="33"/>
        </w:numPr>
        <w:suppressAutoHyphens w:val="0"/>
        <w:spacing w:after="160"/>
        <w:jc w:val="both"/>
        <w:rPr>
          <w:rFonts w:ascii="Arial" w:hAnsi="Arial" w:cs="Arial"/>
          <w:sz w:val="20"/>
          <w:szCs w:val="20"/>
        </w:rPr>
      </w:pPr>
      <w:r w:rsidRPr="00AF518B">
        <w:rPr>
          <w:rStyle w:val="Strong"/>
          <w:rFonts w:ascii="Arial" w:hAnsi="Arial" w:cs="Arial"/>
          <w:b w:val="0"/>
          <w:sz w:val="20"/>
          <w:szCs w:val="20"/>
        </w:rPr>
        <w:t>Feng, C., Ding, Y., Tang, L., Gui, Y., Shen, X., He, L., Lu, X., &amp; Leung, W. K.</w:t>
      </w:r>
      <w:r w:rsidRPr="00AF518B">
        <w:rPr>
          <w:rFonts w:ascii="Arial" w:hAnsi="Arial" w:cs="Arial"/>
          <w:sz w:val="20"/>
          <w:szCs w:val="20"/>
        </w:rPr>
        <w:t xml:space="preserve"> (2022). Adjunctive Er:YAG laser in non-surgical periodontal therapy of patients with inadequately controlled type 2 diabetes mellitus: A split-mouth randomized controlled study. </w:t>
      </w:r>
      <w:r w:rsidRPr="00AF518B">
        <w:rPr>
          <w:rStyle w:val="Emphasis"/>
          <w:rFonts w:ascii="Arial" w:hAnsi="Arial" w:cs="Arial"/>
          <w:sz w:val="20"/>
          <w:szCs w:val="20"/>
        </w:rPr>
        <w:t>Journal of Periodontal Research, 57</w:t>
      </w:r>
      <w:r w:rsidRPr="00AF518B">
        <w:rPr>
          <w:rFonts w:ascii="Arial" w:hAnsi="Arial" w:cs="Arial"/>
          <w:sz w:val="20"/>
          <w:szCs w:val="20"/>
        </w:rPr>
        <w:t xml:space="preserve">(1), 63–74. </w:t>
      </w:r>
      <w:hyperlink r:id="rId24" w:history="1">
        <w:r w:rsidRPr="00AF518B">
          <w:rPr>
            <w:rStyle w:val="Hyperlink"/>
            <w:rFonts w:ascii="Arial" w:hAnsi="Arial" w:cs="Arial"/>
            <w:color w:val="auto"/>
            <w:sz w:val="20"/>
            <w:szCs w:val="20"/>
          </w:rPr>
          <w:t>https://doi.org/10.1111/jre.12938</w:t>
        </w:r>
      </w:hyperlink>
    </w:p>
    <w:p w14:paraId="72471536" w14:textId="77777777" w:rsidR="004751FB" w:rsidRPr="00AF518B" w:rsidRDefault="004751FB" w:rsidP="004751FB">
      <w:pPr>
        <w:pStyle w:val="ListParagraph"/>
        <w:jc w:val="both"/>
        <w:rPr>
          <w:rFonts w:ascii="Arial" w:hAnsi="Arial" w:cs="Arial"/>
          <w:sz w:val="20"/>
          <w:szCs w:val="20"/>
        </w:rPr>
      </w:pPr>
    </w:p>
    <w:p w14:paraId="2C059BD3" w14:textId="77777777" w:rsidR="004751FB" w:rsidRPr="00AF518B" w:rsidRDefault="004751FB" w:rsidP="004751FB">
      <w:pPr>
        <w:pStyle w:val="ListParagraph"/>
        <w:numPr>
          <w:ilvl w:val="0"/>
          <w:numId w:val="33"/>
        </w:numPr>
        <w:suppressAutoHyphens w:val="0"/>
        <w:spacing w:after="160"/>
        <w:jc w:val="both"/>
        <w:rPr>
          <w:rFonts w:ascii="Arial" w:hAnsi="Arial" w:cs="Arial"/>
          <w:sz w:val="20"/>
          <w:szCs w:val="20"/>
        </w:rPr>
      </w:pPr>
      <w:r w:rsidRPr="00AF518B">
        <w:rPr>
          <w:rFonts w:ascii="Arial" w:hAnsi="Arial" w:cs="Arial"/>
          <w:sz w:val="20"/>
          <w:szCs w:val="20"/>
        </w:rPr>
        <w:t xml:space="preserve">Özberk, S. S., Gündoğar, H., Özkaya, M., Taner, İ. L., &amp; Erciyas, K. (2019). The effect of photobiomodulation therapy on nonsurgical periodontal treatment in patients with type 2 diabetes mellitus: A randomized controlled, single-blind, split-mouth clinical trial. </w:t>
      </w:r>
      <w:r w:rsidRPr="00AF518B">
        <w:rPr>
          <w:rStyle w:val="Emphasis"/>
          <w:rFonts w:ascii="Arial" w:hAnsi="Arial" w:cs="Arial"/>
          <w:sz w:val="20"/>
          <w:szCs w:val="20"/>
        </w:rPr>
        <w:t>Lasers in Medical Science, 35</w:t>
      </w:r>
      <w:r w:rsidRPr="00AF518B">
        <w:rPr>
          <w:rFonts w:ascii="Arial" w:hAnsi="Arial" w:cs="Arial"/>
          <w:sz w:val="20"/>
          <w:szCs w:val="20"/>
        </w:rPr>
        <w:t xml:space="preserve">(1), 93–100. </w:t>
      </w:r>
      <w:hyperlink r:id="rId25" w:history="1">
        <w:r w:rsidRPr="00AF518B">
          <w:rPr>
            <w:rStyle w:val="Hyperlink"/>
            <w:rFonts w:ascii="Arial" w:hAnsi="Arial" w:cs="Arial"/>
            <w:color w:val="auto"/>
            <w:sz w:val="20"/>
            <w:szCs w:val="20"/>
          </w:rPr>
          <w:t>https://doi.org/10.1007/s10103-019-02897-z</w:t>
        </w:r>
      </w:hyperlink>
    </w:p>
    <w:p w14:paraId="6E37B402" w14:textId="77777777" w:rsidR="004751FB" w:rsidRPr="00AF518B" w:rsidRDefault="004751FB" w:rsidP="004751FB">
      <w:pPr>
        <w:pStyle w:val="ListParagraph"/>
        <w:jc w:val="both"/>
        <w:rPr>
          <w:rFonts w:ascii="Arial" w:hAnsi="Arial" w:cs="Arial"/>
          <w:sz w:val="20"/>
          <w:szCs w:val="20"/>
        </w:rPr>
      </w:pPr>
    </w:p>
    <w:p w14:paraId="6A01A011" w14:textId="77777777" w:rsidR="004751FB" w:rsidRPr="00AF518B" w:rsidRDefault="004751FB" w:rsidP="004751FB">
      <w:pPr>
        <w:pStyle w:val="ListParagraph"/>
        <w:widowControl w:val="0"/>
        <w:numPr>
          <w:ilvl w:val="0"/>
          <w:numId w:val="33"/>
        </w:numPr>
        <w:suppressAutoHyphens w:val="0"/>
        <w:autoSpaceDE w:val="0"/>
        <w:autoSpaceDN w:val="0"/>
        <w:adjustRightInd w:val="0"/>
        <w:spacing w:after="160"/>
        <w:ind w:right="-1"/>
        <w:jc w:val="both"/>
        <w:rPr>
          <w:rFonts w:ascii="Arial" w:hAnsi="Arial" w:cs="Arial"/>
          <w:sz w:val="20"/>
          <w:szCs w:val="20"/>
        </w:rPr>
      </w:pPr>
      <w:r w:rsidRPr="00AF518B">
        <w:rPr>
          <w:rFonts w:ascii="Arial" w:hAnsi="Arial" w:cs="Arial"/>
          <w:sz w:val="20"/>
          <w:szCs w:val="20"/>
        </w:rPr>
        <w:t xml:space="preserve">Demirturk-Gocgun, O., Baser, U., Aykol-Sahin, G., Dinccag, N., Issever, H., &amp; Yalcin, F. (2017). Role of low-level laser therapy as an adjunct to initial periodontal treatment in type 2 diabetic patients: A split-mouth, randomized, controlled clinical trial. </w:t>
      </w:r>
      <w:r w:rsidRPr="00AF518B">
        <w:rPr>
          <w:rStyle w:val="Emphasis"/>
          <w:rFonts w:ascii="Arial" w:hAnsi="Arial" w:cs="Arial"/>
          <w:sz w:val="20"/>
          <w:szCs w:val="20"/>
        </w:rPr>
        <w:t>Photomedicine and Laser Surgery, 35</w:t>
      </w:r>
      <w:r w:rsidRPr="00AF518B">
        <w:rPr>
          <w:rFonts w:ascii="Arial" w:hAnsi="Arial" w:cs="Arial"/>
          <w:sz w:val="20"/>
          <w:szCs w:val="20"/>
        </w:rPr>
        <w:t xml:space="preserve">(2), 70–76. </w:t>
      </w:r>
      <w:hyperlink r:id="rId26" w:history="1">
        <w:r w:rsidRPr="00AF518B">
          <w:rPr>
            <w:rStyle w:val="Hyperlink"/>
            <w:rFonts w:ascii="Arial" w:hAnsi="Arial" w:cs="Arial"/>
            <w:color w:val="auto"/>
            <w:sz w:val="20"/>
            <w:szCs w:val="20"/>
          </w:rPr>
          <w:t>https://doi.org/10.1089/pho.2016.4117</w:t>
        </w:r>
      </w:hyperlink>
    </w:p>
    <w:p w14:paraId="5B66A961" w14:textId="77777777" w:rsidR="004751FB" w:rsidRPr="00AF518B" w:rsidRDefault="004751FB" w:rsidP="004751FB">
      <w:pPr>
        <w:pStyle w:val="ListParagraph"/>
        <w:widowControl w:val="0"/>
        <w:autoSpaceDE w:val="0"/>
        <w:autoSpaceDN w:val="0"/>
        <w:adjustRightInd w:val="0"/>
        <w:ind w:right="-1"/>
        <w:jc w:val="both"/>
        <w:rPr>
          <w:rFonts w:ascii="Arial" w:hAnsi="Arial" w:cs="Arial"/>
          <w:sz w:val="20"/>
          <w:szCs w:val="20"/>
        </w:rPr>
      </w:pPr>
    </w:p>
    <w:p w14:paraId="0C7CDC16" w14:textId="77777777" w:rsidR="004751FB" w:rsidRPr="00AF518B" w:rsidRDefault="004751FB" w:rsidP="004751FB">
      <w:pPr>
        <w:pStyle w:val="ListParagraph"/>
        <w:widowControl w:val="0"/>
        <w:numPr>
          <w:ilvl w:val="0"/>
          <w:numId w:val="33"/>
        </w:numPr>
        <w:suppressAutoHyphens w:val="0"/>
        <w:autoSpaceDE w:val="0"/>
        <w:autoSpaceDN w:val="0"/>
        <w:adjustRightInd w:val="0"/>
        <w:spacing w:after="160"/>
        <w:ind w:right="-1"/>
        <w:jc w:val="both"/>
        <w:rPr>
          <w:rStyle w:val="Hyperlink"/>
          <w:rFonts w:ascii="Arial" w:hAnsi="Arial" w:cs="Arial"/>
          <w:color w:val="auto"/>
          <w:sz w:val="20"/>
          <w:szCs w:val="20"/>
          <w:u w:val="none"/>
        </w:rPr>
      </w:pPr>
      <w:r w:rsidRPr="00AF518B">
        <w:rPr>
          <w:rStyle w:val="Strong"/>
          <w:rFonts w:ascii="Arial" w:hAnsi="Arial" w:cs="Arial"/>
          <w:b w:val="0"/>
          <w:sz w:val="20"/>
          <w:szCs w:val="20"/>
        </w:rPr>
        <w:t>Al-Zahrani, M. S., Bamshmous, S. O., Alhassani, A. A., &amp; Al-Sherbini, M. M.</w:t>
      </w:r>
      <w:r w:rsidRPr="00AF518B">
        <w:rPr>
          <w:rFonts w:ascii="Arial" w:hAnsi="Arial" w:cs="Arial"/>
          <w:sz w:val="20"/>
          <w:szCs w:val="20"/>
        </w:rPr>
        <w:t xml:space="preserve"> (2009). Short-term effects of photodynamic therapy on periodontal status and glycemic control of patients with diabetes. </w:t>
      </w:r>
      <w:r w:rsidRPr="00AF518B">
        <w:rPr>
          <w:rStyle w:val="Emphasis"/>
          <w:rFonts w:ascii="Arial" w:hAnsi="Arial" w:cs="Arial"/>
          <w:sz w:val="20"/>
          <w:szCs w:val="20"/>
        </w:rPr>
        <w:t>Journal of Periodontology, 80</w:t>
      </w:r>
      <w:r w:rsidRPr="00AF518B">
        <w:rPr>
          <w:rFonts w:ascii="Arial" w:hAnsi="Arial" w:cs="Arial"/>
          <w:sz w:val="20"/>
          <w:szCs w:val="20"/>
        </w:rPr>
        <w:t xml:space="preserve">(10), 1568–1573. </w:t>
      </w:r>
      <w:hyperlink r:id="rId27" w:history="1">
        <w:r w:rsidRPr="00AF518B">
          <w:rPr>
            <w:rStyle w:val="Hyperlink"/>
            <w:rFonts w:ascii="Arial" w:hAnsi="Arial" w:cs="Arial"/>
            <w:color w:val="auto"/>
            <w:sz w:val="20"/>
            <w:szCs w:val="20"/>
          </w:rPr>
          <w:t>https://doi.org/10.1902/jop.2009.090206</w:t>
        </w:r>
      </w:hyperlink>
    </w:p>
    <w:p w14:paraId="2D13F669" w14:textId="77777777" w:rsidR="004751FB" w:rsidRPr="00AF518B" w:rsidRDefault="004751FB" w:rsidP="004751FB">
      <w:pPr>
        <w:pStyle w:val="ListParagraph"/>
        <w:jc w:val="both"/>
        <w:rPr>
          <w:rFonts w:ascii="Arial" w:hAnsi="Arial" w:cs="Arial"/>
          <w:sz w:val="20"/>
          <w:szCs w:val="20"/>
        </w:rPr>
      </w:pPr>
    </w:p>
    <w:p w14:paraId="71E0D962" w14:textId="77777777" w:rsidR="004751FB" w:rsidRPr="00AF518B" w:rsidRDefault="004751FB" w:rsidP="004751FB">
      <w:pPr>
        <w:pStyle w:val="ListParagraph"/>
        <w:widowControl w:val="0"/>
        <w:autoSpaceDE w:val="0"/>
        <w:autoSpaceDN w:val="0"/>
        <w:adjustRightInd w:val="0"/>
        <w:ind w:right="-1"/>
        <w:jc w:val="both"/>
        <w:rPr>
          <w:rFonts w:ascii="Arial" w:hAnsi="Arial" w:cs="Arial"/>
          <w:sz w:val="20"/>
          <w:szCs w:val="20"/>
        </w:rPr>
      </w:pPr>
    </w:p>
    <w:p w14:paraId="5A006A21" w14:textId="77777777" w:rsidR="004751FB" w:rsidRPr="00AF518B" w:rsidRDefault="004751FB" w:rsidP="004751FB">
      <w:pPr>
        <w:pStyle w:val="ListParagraph"/>
        <w:numPr>
          <w:ilvl w:val="0"/>
          <w:numId w:val="33"/>
        </w:numPr>
        <w:suppressAutoHyphens w:val="0"/>
        <w:ind w:right="-1"/>
        <w:jc w:val="both"/>
        <w:rPr>
          <w:rFonts w:ascii="Arial" w:hAnsi="Arial" w:cs="Arial"/>
          <w:sz w:val="20"/>
          <w:szCs w:val="20"/>
        </w:rPr>
      </w:pPr>
      <w:r w:rsidRPr="00AF518B">
        <w:rPr>
          <w:rStyle w:val="Strong"/>
          <w:rFonts w:ascii="Arial" w:hAnsi="Arial" w:cs="Arial"/>
          <w:b w:val="0"/>
          <w:sz w:val="20"/>
          <w:szCs w:val="20"/>
        </w:rPr>
        <w:t>Ramos, U. D., Ayub, L. G., Reino, D. M., Grisi, M. F., Taba, M. Júnior, Souza, S. L., Palioto, D. B., &amp; Novaes, A. B. Júnior.</w:t>
      </w:r>
      <w:r w:rsidRPr="00AF518B">
        <w:rPr>
          <w:rFonts w:ascii="Arial" w:hAnsi="Arial" w:cs="Arial"/>
          <w:sz w:val="20"/>
          <w:szCs w:val="20"/>
        </w:rPr>
        <w:t xml:space="preserve"> (2016). Antimicrobial photodynamic therapy as an alternative to systemic antibiotics: Results from a double-blind, randomized, placebo-controlled, clinical study on type 2 diabetics. </w:t>
      </w:r>
      <w:r w:rsidRPr="00AF518B">
        <w:rPr>
          <w:rStyle w:val="Emphasis"/>
          <w:rFonts w:ascii="Arial" w:hAnsi="Arial" w:cs="Arial"/>
          <w:sz w:val="20"/>
          <w:szCs w:val="20"/>
        </w:rPr>
        <w:t>Journal of Clinical Periodontology, 43</w:t>
      </w:r>
      <w:r w:rsidRPr="00AF518B">
        <w:rPr>
          <w:rFonts w:ascii="Arial" w:hAnsi="Arial" w:cs="Arial"/>
          <w:sz w:val="20"/>
          <w:szCs w:val="20"/>
        </w:rPr>
        <w:t xml:space="preserve">(2), 147–155. </w:t>
      </w:r>
      <w:hyperlink r:id="rId28" w:history="1">
        <w:r w:rsidRPr="00AF518B">
          <w:rPr>
            <w:rStyle w:val="Hyperlink"/>
            <w:rFonts w:ascii="Arial" w:hAnsi="Arial" w:cs="Arial"/>
            <w:color w:val="auto"/>
            <w:sz w:val="20"/>
            <w:szCs w:val="20"/>
          </w:rPr>
          <w:t>https://doi.org/10.1111/jcpe.12498</w:t>
        </w:r>
      </w:hyperlink>
    </w:p>
    <w:p w14:paraId="5CF4529F" w14:textId="77777777" w:rsidR="004751FB" w:rsidRPr="00AF518B" w:rsidRDefault="004751FB" w:rsidP="004751FB">
      <w:pPr>
        <w:widowControl w:val="0"/>
        <w:autoSpaceDE w:val="0"/>
        <w:autoSpaceDN w:val="0"/>
        <w:adjustRightInd w:val="0"/>
        <w:ind w:right="-1"/>
        <w:jc w:val="both"/>
        <w:rPr>
          <w:rFonts w:ascii="Arial" w:hAnsi="Arial" w:cs="Arial"/>
          <w:noProof/>
        </w:rPr>
      </w:pPr>
    </w:p>
    <w:p w14:paraId="2412876A" w14:textId="77777777" w:rsidR="004751FB" w:rsidRPr="00AF518B" w:rsidRDefault="004751FB" w:rsidP="004751FB">
      <w:pPr>
        <w:pStyle w:val="BodyText"/>
        <w:numPr>
          <w:ilvl w:val="0"/>
          <w:numId w:val="33"/>
        </w:numPr>
        <w:spacing w:before="120" w:after="0"/>
        <w:ind w:right="-1"/>
        <w:jc w:val="both"/>
        <w:rPr>
          <w:rFonts w:ascii="Arial" w:hAnsi="Arial" w:cs="Arial"/>
        </w:rPr>
      </w:pPr>
      <w:r w:rsidRPr="00AF518B">
        <w:rPr>
          <w:rStyle w:val="Strong"/>
          <w:rFonts w:ascii="Arial" w:hAnsi="Arial" w:cs="Arial"/>
          <w:b w:val="0"/>
        </w:rPr>
        <w:t xml:space="preserve">Macedo, G. O., Novaes, A. B., Souza, S. L., Taba, M., </w:t>
      </w:r>
      <w:proofErr w:type="spellStart"/>
      <w:r w:rsidRPr="00AF518B">
        <w:rPr>
          <w:rStyle w:val="Strong"/>
          <w:rFonts w:ascii="Arial" w:hAnsi="Arial" w:cs="Arial"/>
          <w:b w:val="0"/>
        </w:rPr>
        <w:t>Palioto</w:t>
      </w:r>
      <w:proofErr w:type="spellEnd"/>
      <w:r w:rsidRPr="00AF518B">
        <w:rPr>
          <w:rStyle w:val="Strong"/>
          <w:rFonts w:ascii="Arial" w:hAnsi="Arial" w:cs="Arial"/>
          <w:b w:val="0"/>
        </w:rPr>
        <w:t>, D. B., &amp; Grisi, M. F.</w:t>
      </w:r>
      <w:r w:rsidRPr="00AF518B">
        <w:rPr>
          <w:rFonts w:ascii="Arial" w:hAnsi="Arial" w:cs="Arial"/>
        </w:rPr>
        <w:t xml:space="preserve"> (2014). Additional effects of </w:t>
      </w:r>
      <w:proofErr w:type="spellStart"/>
      <w:r w:rsidRPr="00AF518B">
        <w:rPr>
          <w:rFonts w:ascii="Arial" w:hAnsi="Arial" w:cs="Arial"/>
        </w:rPr>
        <w:t>aPDT</w:t>
      </w:r>
      <w:proofErr w:type="spellEnd"/>
      <w:r w:rsidRPr="00AF518B">
        <w:rPr>
          <w:rFonts w:ascii="Arial" w:hAnsi="Arial" w:cs="Arial"/>
        </w:rPr>
        <w:t xml:space="preserve"> on nonsurgical periodontal treatment with doxycycline in type II diabetes: A randomized, controlled clinical trial. </w:t>
      </w:r>
      <w:r w:rsidRPr="00AF518B">
        <w:rPr>
          <w:rStyle w:val="Emphasis"/>
          <w:rFonts w:ascii="Arial" w:hAnsi="Arial" w:cs="Arial"/>
        </w:rPr>
        <w:t>Lasers in Medical Science, 29</w:t>
      </w:r>
      <w:r w:rsidRPr="00AF518B">
        <w:rPr>
          <w:rFonts w:ascii="Arial" w:hAnsi="Arial" w:cs="Arial"/>
        </w:rPr>
        <w:t xml:space="preserve">(3), 881–886. </w:t>
      </w:r>
      <w:hyperlink r:id="rId29" w:history="1">
        <w:r w:rsidRPr="00AF518B">
          <w:rPr>
            <w:rStyle w:val="Hyperlink"/>
            <w:rFonts w:ascii="Arial" w:hAnsi="Arial" w:cs="Arial"/>
            <w:color w:val="auto"/>
          </w:rPr>
          <w:t>https://doi.org/10.1007/s10103-013-1285-6</w:t>
        </w:r>
      </w:hyperlink>
    </w:p>
    <w:p w14:paraId="75E1A554" w14:textId="77777777" w:rsidR="004751FB" w:rsidRPr="00AF518B" w:rsidRDefault="004751FB" w:rsidP="004751FB">
      <w:pPr>
        <w:pStyle w:val="ListParagraph"/>
        <w:numPr>
          <w:ilvl w:val="0"/>
          <w:numId w:val="33"/>
        </w:numPr>
        <w:suppressAutoHyphens w:val="0"/>
        <w:spacing w:before="100" w:beforeAutospacing="1" w:after="100" w:afterAutospacing="1"/>
        <w:jc w:val="both"/>
        <w:rPr>
          <w:rStyle w:val="Hyperlink"/>
          <w:rFonts w:ascii="Arial" w:hAnsi="Arial" w:cs="Arial"/>
          <w:color w:val="auto"/>
          <w:sz w:val="20"/>
          <w:szCs w:val="20"/>
          <w:u w:val="none"/>
        </w:rPr>
      </w:pPr>
      <w:r w:rsidRPr="00AF518B">
        <w:rPr>
          <w:rStyle w:val="Strong"/>
          <w:rFonts w:ascii="Arial" w:hAnsi="Arial" w:cs="Arial"/>
          <w:b w:val="0"/>
          <w:sz w:val="20"/>
          <w:szCs w:val="20"/>
        </w:rPr>
        <w:t>Santos, N. C., Andere, N. M., Araujo, C. F., Marco, A. C., Santos, L. M., Jardini, M. A., &amp; Santamaria, M. P.</w:t>
      </w:r>
      <w:r w:rsidRPr="00AF518B">
        <w:rPr>
          <w:rFonts w:ascii="Arial" w:hAnsi="Arial" w:cs="Arial"/>
          <w:sz w:val="20"/>
          <w:szCs w:val="20"/>
        </w:rPr>
        <w:t xml:space="preserve"> (2016). Local adjunct effect of antimicrobial photodynamic therapy for the treatment of chronic periodontitis in type 2 diabetics: Split-mouth double-blind randomized controlled clinical trial. </w:t>
      </w:r>
      <w:r w:rsidRPr="00AF518B">
        <w:rPr>
          <w:rStyle w:val="Emphasis"/>
          <w:rFonts w:ascii="Arial" w:hAnsi="Arial" w:cs="Arial"/>
          <w:sz w:val="20"/>
          <w:szCs w:val="20"/>
        </w:rPr>
        <w:t>Lasers in Medical Science, 31</w:t>
      </w:r>
      <w:r w:rsidRPr="00AF518B">
        <w:rPr>
          <w:rFonts w:ascii="Arial" w:hAnsi="Arial" w:cs="Arial"/>
          <w:sz w:val="20"/>
          <w:szCs w:val="20"/>
        </w:rPr>
        <w:t xml:space="preserve">(8), 1633–1640. </w:t>
      </w:r>
      <w:hyperlink r:id="rId30" w:history="1">
        <w:r w:rsidRPr="00AF518B">
          <w:rPr>
            <w:rStyle w:val="Hyperlink"/>
            <w:rFonts w:ascii="Arial" w:hAnsi="Arial" w:cs="Arial"/>
            <w:color w:val="auto"/>
            <w:sz w:val="20"/>
            <w:szCs w:val="20"/>
          </w:rPr>
          <w:t>https://doi.org/10.1007/s10103-016-2030-8</w:t>
        </w:r>
      </w:hyperlink>
    </w:p>
    <w:p w14:paraId="6C906DB7" w14:textId="77777777" w:rsidR="004751FB" w:rsidRPr="00AF518B" w:rsidRDefault="004751FB" w:rsidP="004751FB">
      <w:pPr>
        <w:pStyle w:val="ListParagraph"/>
        <w:spacing w:before="100" w:beforeAutospacing="1" w:after="100" w:afterAutospacing="1"/>
        <w:jc w:val="both"/>
        <w:rPr>
          <w:rFonts w:ascii="Arial" w:hAnsi="Arial" w:cs="Arial"/>
          <w:sz w:val="20"/>
          <w:szCs w:val="20"/>
        </w:rPr>
      </w:pPr>
    </w:p>
    <w:p w14:paraId="7BCDFC63" w14:textId="77777777" w:rsidR="004751FB" w:rsidRPr="00AF518B" w:rsidRDefault="004751FB" w:rsidP="004751FB">
      <w:pPr>
        <w:pStyle w:val="ListParagraph"/>
        <w:widowControl w:val="0"/>
        <w:numPr>
          <w:ilvl w:val="0"/>
          <w:numId w:val="33"/>
        </w:numPr>
        <w:suppressAutoHyphens w:val="0"/>
        <w:autoSpaceDE w:val="0"/>
        <w:autoSpaceDN w:val="0"/>
        <w:adjustRightInd w:val="0"/>
        <w:spacing w:after="160"/>
        <w:ind w:right="-1"/>
        <w:jc w:val="both"/>
        <w:rPr>
          <w:rFonts w:ascii="Arial" w:hAnsi="Arial" w:cs="Arial"/>
          <w:noProof/>
          <w:sz w:val="20"/>
          <w:szCs w:val="20"/>
        </w:rPr>
      </w:pPr>
      <w:r w:rsidRPr="00AF518B">
        <w:rPr>
          <w:rStyle w:val="Strong"/>
          <w:rFonts w:ascii="Arial" w:hAnsi="Arial" w:cs="Arial"/>
          <w:b w:val="0"/>
          <w:sz w:val="20"/>
          <w:szCs w:val="20"/>
        </w:rPr>
        <w:t>Al-Zawawi, A. S., Bukhari, I. A., Bello-Correa, F. O., Sheikh, S. A., Albaijan, R., &amp; Vohra, F.</w:t>
      </w:r>
      <w:r w:rsidRPr="00AF518B">
        <w:rPr>
          <w:rFonts w:ascii="Arial" w:hAnsi="Arial" w:cs="Arial"/>
          <w:sz w:val="20"/>
          <w:szCs w:val="20"/>
        </w:rPr>
        <w:t xml:space="preserve"> (2020). Influence of root debridement with adjunct photodynamic therapy on periodontal parameters and gingival crevicular fluid cortisol levels among patients with and without type-2 diabetes mellitus. </w:t>
      </w:r>
      <w:r w:rsidRPr="00AF518B">
        <w:rPr>
          <w:rStyle w:val="Emphasis"/>
          <w:rFonts w:ascii="Arial" w:hAnsi="Arial" w:cs="Arial"/>
          <w:sz w:val="20"/>
          <w:szCs w:val="20"/>
        </w:rPr>
        <w:t>Photodiagnosis and Photodynamic Therapy, 32</w:t>
      </w:r>
      <w:r w:rsidRPr="00AF518B">
        <w:rPr>
          <w:rFonts w:ascii="Arial" w:hAnsi="Arial" w:cs="Arial"/>
          <w:sz w:val="20"/>
          <w:szCs w:val="20"/>
        </w:rPr>
        <w:t xml:space="preserve">, 102076. </w:t>
      </w:r>
      <w:hyperlink r:id="rId31" w:history="1">
        <w:r w:rsidRPr="00AF518B">
          <w:rPr>
            <w:rStyle w:val="Hyperlink"/>
            <w:rFonts w:ascii="Arial" w:hAnsi="Arial" w:cs="Arial"/>
            <w:color w:val="auto"/>
            <w:sz w:val="20"/>
            <w:szCs w:val="20"/>
          </w:rPr>
          <w:t>https://doi.org/10.1016/j.pdpdt.2020.102076</w:t>
        </w:r>
      </w:hyperlink>
    </w:p>
    <w:p w14:paraId="28586C5C" w14:textId="77777777" w:rsidR="004751FB" w:rsidRPr="00AF518B" w:rsidRDefault="004751FB" w:rsidP="004751FB">
      <w:pPr>
        <w:pStyle w:val="ListParagraph"/>
        <w:widowControl w:val="0"/>
        <w:autoSpaceDE w:val="0"/>
        <w:autoSpaceDN w:val="0"/>
        <w:adjustRightInd w:val="0"/>
        <w:ind w:right="-1"/>
        <w:jc w:val="both"/>
        <w:rPr>
          <w:rFonts w:ascii="Arial" w:hAnsi="Arial" w:cs="Arial"/>
          <w:noProof/>
          <w:sz w:val="20"/>
          <w:szCs w:val="20"/>
        </w:rPr>
      </w:pPr>
    </w:p>
    <w:p w14:paraId="6341CBC7" w14:textId="77777777" w:rsidR="004751FB" w:rsidRPr="00AF518B" w:rsidRDefault="004751FB" w:rsidP="004751FB">
      <w:pPr>
        <w:pStyle w:val="ListParagraph"/>
        <w:widowControl w:val="0"/>
        <w:numPr>
          <w:ilvl w:val="0"/>
          <w:numId w:val="33"/>
        </w:numPr>
        <w:suppressAutoHyphens w:val="0"/>
        <w:autoSpaceDE w:val="0"/>
        <w:autoSpaceDN w:val="0"/>
        <w:adjustRightInd w:val="0"/>
        <w:spacing w:after="160"/>
        <w:ind w:right="-1"/>
        <w:jc w:val="both"/>
        <w:rPr>
          <w:rStyle w:val="Hyperlink"/>
          <w:rFonts w:ascii="Arial" w:hAnsi="Arial" w:cs="Arial"/>
          <w:color w:val="auto"/>
          <w:sz w:val="20"/>
          <w:szCs w:val="20"/>
          <w:u w:val="none"/>
        </w:rPr>
      </w:pPr>
      <w:r w:rsidRPr="00AF518B">
        <w:rPr>
          <w:rStyle w:val="Strong"/>
          <w:rFonts w:ascii="Arial" w:hAnsi="Arial" w:cs="Arial"/>
          <w:b w:val="0"/>
          <w:sz w:val="20"/>
          <w:szCs w:val="20"/>
        </w:rPr>
        <w:t>Barbosa, F. I., Araújo, P. V., Machado, L. J. C., Magalhães, C. S., Guimarães, M. M. M., &amp; Moreira, A. N.</w:t>
      </w:r>
      <w:r w:rsidRPr="00AF518B">
        <w:rPr>
          <w:rFonts w:ascii="Arial" w:hAnsi="Arial" w:cs="Arial"/>
          <w:sz w:val="20"/>
          <w:szCs w:val="20"/>
        </w:rPr>
        <w:t xml:space="preserve"> (2018). Effect of photodynamic therapy as an adjuvant to non-surgical periodontal therapy: Periodontal and metabolic evaluation in patients with type 2 diabetes mellitus. </w:t>
      </w:r>
      <w:r w:rsidRPr="00AF518B">
        <w:rPr>
          <w:rStyle w:val="Emphasis"/>
          <w:rFonts w:ascii="Arial" w:hAnsi="Arial" w:cs="Arial"/>
          <w:sz w:val="20"/>
          <w:szCs w:val="20"/>
        </w:rPr>
        <w:t>Photodiagnosis and Photodynamic Therapy, 22</w:t>
      </w:r>
      <w:r w:rsidRPr="00AF518B">
        <w:rPr>
          <w:rFonts w:ascii="Arial" w:hAnsi="Arial" w:cs="Arial"/>
          <w:sz w:val="20"/>
          <w:szCs w:val="20"/>
        </w:rPr>
        <w:t xml:space="preserve">, 245–250. </w:t>
      </w:r>
      <w:hyperlink r:id="rId32" w:history="1">
        <w:r w:rsidRPr="00AF518B">
          <w:rPr>
            <w:rStyle w:val="Hyperlink"/>
            <w:rFonts w:ascii="Arial" w:hAnsi="Arial" w:cs="Arial"/>
            <w:color w:val="auto"/>
            <w:sz w:val="20"/>
            <w:szCs w:val="20"/>
          </w:rPr>
          <w:t>https://doi.org/10.1016/j.pdpdt.2018.04.013</w:t>
        </w:r>
      </w:hyperlink>
    </w:p>
    <w:p w14:paraId="6E3380A2" w14:textId="77777777" w:rsidR="004751FB" w:rsidRPr="00AF518B" w:rsidRDefault="004751FB" w:rsidP="004751FB">
      <w:pPr>
        <w:pStyle w:val="ListParagraph"/>
        <w:jc w:val="both"/>
        <w:rPr>
          <w:rFonts w:ascii="Arial" w:hAnsi="Arial" w:cs="Arial"/>
          <w:sz w:val="20"/>
          <w:szCs w:val="20"/>
        </w:rPr>
      </w:pPr>
    </w:p>
    <w:p w14:paraId="48DAC3E8" w14:textId="77777777" w:rsidR="004751FB" w:rsidRPr="00AF518B" w:rsidRDefault="004751FB" w:rsidP="004751FB">
      <w:pPr>
        <w:pStyle w:val="ListParagraph"/>
        <w:widowControl w:val="0"/>
        <w:autoSpaceDE w:val="0"/>
        <w:autoSpaceDN w:val="0"/>
        <w:adjustRightInd w:val="0"/>
        <w:ind w:right="-1"/>
        <w:jc w:val="both"/>
        <w:rPr>
          <w:rFonts w:ascii="Arial" w:hAnsi="Arial" w:cs="Arial"/>
          <w:sz w:val="20"/>
          <w:szCs w:val="20"/>
        </w:rPr>
      </w:pPr>
    </w:p>
    <w:p w14:paraId="0B9A7B45" w14:textId="77777777" w:rsidR="004751FB" w:rsidRPr="00AF518B" w:rsidRDefault="004751FB" w:rsidP="004751FB">
      <w:pPr>
        <w:pStyle w:val="ListParagraph"/>
        <w:numPr>
          <w:ilvl w:val="0"/>
          <w:numId w:val="33"/>
        </w:numPr>
        <w:suppressAutoHyphens w:val="0"/>
        <w:spacing w:after="160"/>
        <w:ind w:right="-1"/>
        <w:jc w:val="both"/>
        <w:rPr>
          <w:rFonts w:ascii="Arial" w:hAnsi="Arial" w:cs="Arial"/>
          <w:noProof/>
          <w:sz w:val="20"/>
          <w:szCs w:val="20"/>
        </w:rPr>
      </w:pPr>
      <w:r w:rsidRPr="00AF518B">
        <w:rPr>
          <w:rStyle w:val="Strong"/>
          <w:rFonts w:ascii="Arial" w:hAnsi="Arial" w:cs="Arial"/>
          <w:b w:val="0"/>
          <w:sz w:val="20"/>
          <w:szCs w:val="20"/>
        </w:rPr>
        <w:t>Carrizales-Sepúlveda, E. F., Ordaz-Farías, A., Vera-Pineda, R., &amp; Flores-Ramírez, R.</w:t>
      </w:r>
      <w:r w:rsidRPr="00AF518B">
        <w:rPr>
          <w:rFonts w:ascii="Arial" w:hAnsi="Arial" w:cs="Arial"/>
          <w:sz w:val="20"/>
          <w:szCs w:val="20"/>
        </w:rPr>
        <w:t xml:space="preserve"> (2018). Periodontal disease, systemic inflammation and the risk of cardiovascular disease. </w:t>
      </w:r>
      <w:r w:rsidRPr="00AF518B">
        <w:rPr>
          <w:rStyle w:val="Emphasis"/>
          <w:rFonts w:ascii="Arial" w:hAnsi="Arial" w:cs="Arial"/>
          <w:sz w:val="20"/>
          <w:szCs w:val="20"/>
        </w:rPr>
        <w:t>Heart, Lung and Circulation, 27</w:t>
      </w:r>
      <w:r w:rsidRPr="00AF518B">
        <w:rPr>
          <w:rFonts w:ascii="Arial" w:hAnsi="Arial" w:cs="Arial"/>
          <w:sz w:val="20"/>
          <w:szCs w:val="20"/>
        </w:rPr>
        <w:t xml:space="preserve">(11), 1306–1312. </w:t>
      </w:r>
      <w:hyperlink r:id="rId33" w:tgtFrame="_new" w:history="1">
        <w:r w:rsidRPr="00AF518B">
          <w:rPr>
            <w:rStyle w:val="Hyperlink"/>
            <w:rFonts w:ascii="Arial" w:hAnsi="Arial" w:cs="Arial"/>
            <w:color w:val="auto"/>
            <w:sz w:val="20"/>
            <w:szCs w:val="20"/>
          </w:rPr>
          <w:t>https://doi.org/10.1016/j.hlc.2018.05.102</w:t>
        </w:r>
      </w:hyperlink>
    </w:p>
    <w:p w14:paraId="4077AD54" w14:textId="77777777" w:rsidR="004751FB" w:rsidRPr="00AF518B" w:rsidRDefault="004751FB" w:rsidP="004751FB">
      <w:pPr>
        <w:jc w:val="both"/>
        <w:rPr>
          <w:rFonts w:ascii="Arial" w:hAnsi="Arial" w:cs="Arial"/>
        </w:rPr>
      </w:pPr>
    </w:p>
    <w:p w14:paraId="4A41503F" w14:textId="77777777" w:rsidR="004751FB" w:rsidRPr="00AF518B" w:rsidRDefault="004751FB" w:rsidP="004751FB">
      <w:pPr>
        <w:pStyle w:val="ListParagraph"/>
        <w:numPr>
          <w:ilvl w:val="0"/>
          <w:numId w:val="33"/>
        </w:numPr>
        <w:suppressAutoHyphens w:val="0"/>
        <w:jc w:val="both"/>
        <w:rPr>
          <w:rFonts w:ascii="Arial" w:hAnsi="Arial" w:cs="Arial"/>
          <w:sz w:val="20"/>
          <w:szCs w:val="20"/>
        </w:rPr>
      </w:pPr>
      <w:r w:rsidRPr="00AF518B">
        <w:rPr>
          <w:rStyle w:val="Strong"/>
          <w:rFonts w:ascii="Arial" w:hAnsi="Arial" w:cs="Arial"/>
          <w:b w:val="0"/>
          <w:sz w:val="20"/>
          <w:szCs w:val="20"/>
        </w:rPr>
        <w:t>DAL'ACQUA, Yasmin Simões.</w:t>
      </w:r>
      <w:r w:rsidRPr="00AF518B">
        <w:rPr>
          <w:rFonts w:ascii="Arial" w:hAnsi="Arial" w:cs="Arial"/>
          <w:sz w:val="20"/>
          <w:szCs w:val="20"/>
        </w:rPr>
        <w:t xml:space="preserve"> </w:t>
      </w:r>
      <w:r w:rsidRPr="00AF518B">
        <w:rPr>
          <w:rStyle w:val="Emphasis"/>
          <w:rFonts w:ascii="Arial" w:hAnsi="Arial" w:cs="Arial"/>
          <w:sz w:val="20"/>
          <w:szCs w:val="20"/>
        </w:rPr>
        <w:t>Photodynamic therapy as an adjuvant to periodontal treatment in patients with diabetes mellitus: a clinical and microbiological study</w:t>
      </w:r>
      <w:r w:rsidRPr="00AF518B">
        <w:rPr>
          <w:rFonts w:ascii="Arial" w:hAnsi="Arial" w:cs="Arial"/>
          <w:sz w:val="20"/>
          <w:szCs w:val="20"/>
        </w:rPr>
        <w:t xml:space="preserve">. 2022. [Tese de Doutorado] – Universidade de São Paulo, Faculdade de Odontologia de Ribeirão Preto, Ribeirão Preto, 2022. Disponível em: </w:t>
      </w:r>
      <w:hyperlink r:id="rId34" w:tgtFrame="_new" w:history="1">
        <w:r w:rsidRPr="00AF518B">
          <w:rPr>
            <w:rStyle w:val="Hyperlink"/>
            <w:rFonts w:ascii="Arial" w:hAnsi="Arial" w:cs="Arial"/>
            <w:color w:val="auto"/>
            <w:sz w:val="20"/>
            <w:szCs w:val="20"/>
          </w:rPr>
          <w:t>https://doi.org/10.11606/T.58.2022.tde-01122022-192904</w:t>
        </w:r>
      </w:hyperlink>
      <w:r w:rsidRPr="00AF518B">
        <w:rPr>
          <w:rFonts w:ascii="Arial" w:hAnsi="Arial" w:cs="Arial"/>
          <w:sz w:val="20"/>
          <w:szCs w:val="20"/>
        </w:rPr>
        <w:t>.</w:t>
      </w:r>
    </w:p>
    <w:p w14:paraId="46B06DD5" w14:textId="77777777" w:rsidR="00B01FCD" w:rsidRPr="00FB3A86" w:rsidRDefault="00B01FCD" w:rsidP="00441B6F">
      <w:pPr>
        <w:pStyle w:val="Appendix"/>
        <w:spacing w:after="0"/>
        <w:jc w:val="both"/>
        <w:rPr>
          <w:rFonts w:ascii="Arial" w:hAnsi="Arial" w:cs="Arial"/>
          <w:b w:val="0"/>
        </w:rPr>
      </w:pPr>
    </w:p>
    <w:sectPr w:rsidR="00B01FCD" w:rsidRPr="00FB3A86" w:rsidSect="00834F0A">
      <w:headerReference w:type="even" r:id="rId35"/>
      <w:headerReference w:type="default" r:id="rId36"/>
      <w:footerReference w:type="default" r:id="rId37"/>
      <w:headerReference w:type="first" r:id="rId3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1E837B" w14:textId="77777777" w:rsidR="006B7355" w:rsidRDefault="006B7355" w:rsidP="00C37E61">
      <w:r>
        <w:separator/>
      </w:r>
    </w:p>
  </w:endnote>
  <w:endnote w:type="continuationSeparator" w:id="0">
    <w:p w14:paraId="49E92241" w14:textId="77777777" w:rsidR="006B7355" w:rsidRDefault="006B735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default"/>
    <w:sig w:usb0="00000000" w:usb1="00000000" w:usb2="00000000" w:usb3="00000000" w:csb0="00040001" w:csb1="00000000"/>
  </w:font>
  <w:font w:name="NSimSun">
    <w:panose1 w:val="02010609030101010101"/>
    <w:charset w:val="86"/>
    <w:family w:val="modern"/>
    <w:pitch w:val="fixed"/>
    <w:sig w:usb0="00000203" w:usb1="288F0000" w:usb2="00000016" w:usb3="00000000" w:csb0="00040001" w:csb1="00000000"/>
  </w:font>
  <w:font w:name="TimesNewRomanPSMT">
    <w:altName w:val="Times New Roman"/>
    <w:charset w:val="80"/>
    <w:family w:val="auto"/>
    <w:pitch w:val="default"/>
    <w:sig w:usb0="00000000" w:usb1="0000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44A52" w14:textId="77777777" w:rsidR="00834F0A" w:rsidRDefault="00834F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EEEBA" w14:textId="77777777" w:rsidR="00834F0A" w:rsidRDefault="00834F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05214" w14:textId="77777777" w:rsidR="004751FB" w:rsidRDefault="004751FB">
    <w:pPr>
      <w:pStyle w:val="Footer"/>
      <w:rPr>
        <w:rFonts w:ascii="Arial" w:hAnsi="Arial" w:cs="Arial"/>
        <w:sz w:val="16"/>
      </w:rPr>
    </w:pPr>
  </w:p>
  <w:p w14:paraId="47598EE0" w14:textId="77777777" w:rsidR="004751FB" w:rsidRDefault="004751FB"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1CAF766" w14:textId="77777777" w:rsidR="004751FB" w:rsidRDefault="004751FB">
    <w:pPr>
      <w:pStyle w:val="Footer"/>
      <w:rPr>
        <w:rFonts w:ascii="Arial" w:hAnsi="Arial" w:cs="Arial"/>
        <w:sz w:val="16"/>
      </w:rPr>
    </w:pPr>
  </w:p>
  <w:p w14:paraId="7281DD97" w14:textId="77777777" w:rsidR="004751FB" w:rsidRPr="009E048A" w:rsidRDefault="004751FB">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F2F42" w14:textId="77777777" w:rsidR="004751FB" w:rsidRPr="00C37E61" w:rsidRDefault="004751FB"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E3B57" w14:textId="77777777" w:rsidR="006B7355" w:rsidRDefault="006B7355" w:rsidP="00C37E61">
      <w:r>
        <w:separator/>
      </w:r>
    </w:p>
  </w:footnote>
  <w:footnote w:type="continuationSeparator" w:id="0">
    <w:p w14:paraId="1735F6A2" w14:textId="77777777" w:rsidR="006B7355" w:rsidRDefault="006B735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73154" w14:textId="1AD676DF" w:rsidR="00834F0A" w:rsidRDefault="00834F0A">
    <w:pPr>
      <w:pStyle w:val="Header"/>
    </w:pPr>
    <w:r>
      <w:rPr>
        <w:noProof/>
      </w:rPr>
      <w:pict w14:anchorId="342F6F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0132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19871" w14:textId="3AAE5120" w:rsidR="00834F0A" w:rsidRDefault="00834F0A">
    <w:pPr>
      <w:pStyle w:val="Header"/>
    </w:pPr>
    <w:r>
      <w:rPr>
        <w:noProof/>
      </w:rPr>
      <w:pict w14:anchorId="7ED489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0133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200D8" w14:textId="32A0B6C6" w:rsidR="004751FB" w:rsidRPr="00296529" w:rsidRDefault="00834F0A" w:rsidP="00296529">
    <w:pPr>
      <w:ind w:left="2160"/>
      <w:jc w:val="center"/>
      <w:rPr>
        <w:rFonts w:ascii="Times New Roman" w:eastAsia="Calibri" w:hAnsi="Times New Roman"/>
        <w:i/>
        <w:sz w:val="18"/>
        <w:szCs w:val="22"/>
      </w:rPr>
    </w:pPr>
    <w:r>
      <w:rPr>
        <w:noProof/>
      </w:rPr>
      <w:pict w14:anchorId="262D4A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01328"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0273B15" w14:textId="77777777" w:rsidR="004751FB" w:rsidRPr="00296529" w:rsidRDefault="004751FB"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C125B95" w14:textId="77777777" w:rsidR="004751FB" w:rsidRPr="00296529" w:rsidRDefault="004751FB"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75063DC" w14:textId="77777777" w:rsidR="004751FB" w:rsidRPr="00296529" w:rsidRDefault="004751FB"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213A4CD" w14:textId="77777777" w:rsidR="004751FB" w:rsidRDefault="004751FB"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6A5F097" w14:textId="77777777" w:rsidR="004751FB" w:rsidRDefault="004751FB"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70B9976" w14:textId="77777777" w:rsidR="004751FB" w:rsidRDefault="004751FB">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D0FA3" w14:textId="466EA019" w:rsidR="00834F0A" w:rsidRDefault="00834F0A">
    <w:pPr>
      <w:pStyle w:val="Header"/>
    </w:pPr>
    <w:r>
      <w:rPr>
        <w:noProof/>
      </w:rPr>
      <w:pict w14:anchorId="5EC1A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01332"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91E2B" w14:textId="4D4C2C3D" w:rsidR="00834F0A" w:rsidRDefault="00834F0A">
    <w:pPr>
      <w:pStyle w:val="Header"/>
    </w:pPr>
    <w:r>
      <w:rPr>
        <w:noProof/>
      </w:rPr>
      <w:pict w14:anchorId="65B434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01333"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FD5A2" w14:textId="737BE12C" w:rsidR="00834F0A" w:rsidRDefault="00834F0A">
    <w:pPr>
      <w:pStyle w:val="Header"/>
    </w:pPr>
    <w:r>
      <w:rPr>
        <w:noProof/>
      </w:rPr>
      <w:pict w14:anchorId="7ED2AE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401331"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F61CC4"/>
    <w:multiLevelType w:val="multilevel"/>
    <w:tmpl w:val="0EF61CC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9455E85"/>
    <w:multiLevelType w:val="hybridMultilevel"/>
    <w:tmpl w:val="EE280668"/>
    <w:lvl w:ilvl="0" w:tplc="19AAEBAA">
      <w:start w:val="1"/>
      <w:numFmt w:val="decimal"/>
      <w:lvlText w:val="%1."/>
      <w:lvlJc w:val="left"/>
      <w:pPr>
        <w:ind w:left="4612" w:hanging="360"/>
      </w:pPr>
      <w:rPr>
        <w:rFonts w:hint="default"/>
        <w:vertAlign w:val="superscript"/>
      </w:rPr>
    </w:lvl>
    <w:lvl w:ilvl="1" w:tplc="04160019" w:tentative="1">
      <w:start w:val="1"/>
      <w:numFmt w:val="lowerLetter"/>
      <w:lvlText w:val="%2."/>
      <w:lvlJc w:val="left"/>
      <w:pPr>
        <w:ind w:left="5332" w:hanging="360"/>
      </w:pPr>
    </w:lvl>
    <w:lvl w:ilvl="2" w:tplc="0416001B" w:tentative="1">
      <w:start w:val="1"/>
      <w:numFmt w:val="lowerRoman"/>
      <w:lvlText w:val="%3."/>
      <w:lvlJc w:val="right"/>
      <w:pPr>
        <w:ind w:left="6052" w:hanging="180"/>
      </w:pPr>
    </w:lvl>
    <w:lvl w:ilvl="3" w:tplc="0416000F" w:tentative="1">
      <w:start w:val="1"/>
      <w:numFmt w:val="decimal"/>
      <w:lvlText w:val="%4."/>
      <w:lvlJc w:val="left"/>
      <w:pPr>
        <w:ind w:left="6772" w:hanging="360"/>
      </w:pPr>
    </w:lvl>
    <w:lvl w:ilvl="4" w:tplc="04160019" w:tentative="1">
      <w:start w:val="1"/>
      <w:numFmt w:val="lowerLetter"/>
      <w:lvlText w:val="%5."/>
      <w:lvlJc w:val="left"/>
      <w:pPr>
        <w:ind w:left="7492" w:hanging="360"/>
      </w:pPr>
    </w:lvl>
    <w:lvl w:ilvl="5" w:tplc="0416001B" w:tentative="1">
      <w:start w:val="1"/>
      <w:numFmt w:val="lowerRoman"/>
      <w:lvlText w:val="%6."/>
      <w:lvlJc w:val="right"/>
      <w:pPr>
        <w:ind w:left="8212" w:hanging="180"/>
      </w:pPr>
    </w:lvl>
    <w:lvl w:ilvl="6" w:tplc="0416000F" w:tentative="1">
      <w:start w:val="1"/>
      <w:numFmt w:val="decimal"/>
      <w:lvlText w:val="%7."/>
      <w:lvlJc w:val="left"/>
      <w:pPr>
        <w:ind w:left="8932" w:hanging="360"/>
      </w:pPr>
    </w:lvl>
    <w:lvl w:ilvl="7" w:tplc="04160019" w:tentative="1">
      <w:start w:val="1"/>
      <w:numFmt w:val="lowerLetter"/>
      <w:lvlText w:val="%8."/>
      <w:lvlJc w:val="left"/>
      <w:pPr>
        <w:ind w:left="9652" w:hanging="360"/>
      </w:pPr>
    </w:lvl>
    <w:lvl w:ilvl="8" w:tplc="0416001B" w:tentative="1">
      <w:start w:val="1"/>
      <w:numFmt w:val="lowerRoman"/>
      <w:lvlText w:val="%9."/>
      <w:lvlJc w:val="right"/>
      <w:pPr>
        <w:ind w:left="10372" w:hanging="180"/>
      </w:pPr>
    </w:lvl>
  </w:abstractNum>
  <w:abstractNum w:abstractNumId="17" w15:restartNumberingAfterBreak="0">
    <w:nsid w:val="3FB13C42"/>
    <w:multiLevelType w:val="hybridMultilevel"/>
    <w:tmpl w:val="DF94DB0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1"/>
  </w:num>
  <w:num w:numId="31">
    <w:abstractNumId w:val="7"/>
  </w:num>
  <w:num w:numId="32">
    <w:abstractNumId w:val="16"/>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F3C87"/>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B33F9"/>
    <w:rsid w:val="003C4C86"/>
    <w:rsid w:val="003C6258"/>
    <w:rsid w:val="003E2904"/>
    <w:rsid w:val="003F21F9"/>
    <w:rsid w:val="00401927"/>
    <w:rsid w:val="0041027F"/>
    <w:rsid w:val="00412475"/>
    <w:rsid w:val="00423789"/>
    <w:rsid w:val="00440F43"/>
    <w:rsid w:val="00441B6F"/>
    <w:rsid w:val="0044482F"/>
    <w:rsid w:val="00446221"/>
    <w:rsid w:val="00450E62"/>
    <w:rsid w:val="004539DB"/>
    <w:rsid w:val="00471A80"/>
    <w:rsid w:val="004751FB"/>
    <w:rsid w:val="004D305E"/>
    <w:rsid w:val="004D4277"/>
    <w:rsid w:val="00502516"/>
    <w:rsid w:val="00505F06"/>
    <w:rsid w:val="00506828"/>
    <w:rsid w:val="0053056E"/>
    <w:rsid w:val="00554FDA"/>
    <w:rsid w:val="005C784C"/>
    <w:rsid w:val="005D17F6"/>
    <w:rsid w:val="005E5539"/>
    <w:rsid w:val="00602BF5"/>
    <w:rsid w:val="00617FDD"/>
    <w:rsid w:val="00620558"/>
    <w:rsid w:val="00633614"/>
    <w:rsid w:val="00633F68"/>
    <w:rsid w:val="0063458B"/>
    <w:rsid w:val="00636EB2"/>
    <w:rsid w:val="006375B8"/>
    <w:rsid w:val="0064223D"/>
    <w:rsid w:val="00655216"/>
    <w:rsid w:val="0066510A"/>
    <w:rsid w:val="00673F9F"/>
    <w:rsid w:val="00686953"/>
    <w:rsid w:val="00687105"/>
    <w:rsid w:val="00687DEA"/>
    <w:rsid w:val="00687E67"/>
    <w:rsid w:val="006967F7"/>
    <w:rsid w:val="006A250C"/>
    <w:rsid w:val="006B21D3"/>
    <w:rsid w:val="006B57D0"/>
    <w:rsid w:val="006B7355"/>
    <w:rsid w:val="006D30FF"/>
    <w:rsid w:val="006D6940"/>
    <w:rsid w:val="006F081A"/>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34F0A"/>
    <w:rsid w:val="00860000"/>
    <w:rsid w:val="00863BD3"/>
    <w:rsid w:val="008641ED"/>
    <w:rsid w:val="0086451F"/>
    <w:rsid w:val="00866D66"/>
    <w:rsid w:val="008671C6"/>
    <w:rsid w:val="00875803"/>
    <w:rsid w:val="00876513"/>
    <w:rsid w:val="008A508A"/>
    <w:rsid w:val="008B459E"/>
    <w:rsid w:val="008E13AE"/>
    <w:rsid w:val="008E1506"/>
    <w:rsid w:val="008E710C"/>
    <w:rsid w:val="008F69D6"/>
    <w:rsid w:val="00902823"/>
    <w:rsid w:val="00915CA6"/>
    <w:rsid w:val="00927834"/>
    <w:rsid w:val="009500A6"/>
    <w:rsid w:val="00957C18"/>
    <w:rsid w:val="009659BA"/>
    <w:rsid w:val="00972844"/>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D5CC7"/>
    <w:rsid w:val="00AE008F"/>
    <w:rsid w:val="00AF4393"/>
    <w:rsid w:val="00B01FCD"/>
    <w:rsid w:val="00B1776C"/>
    <w:rsid w:val="00B52583"/>
    <w:rsid w:val="00B52896"/>
    <w:rsid w:val="00B8669B"/>
    <w:rsid w:val="00B95236"/>
    <w:rsid w:val="00B96BD9"/>
    <w:rsid w:val="00BA1B01"/>
    <w:rsid w:val="00BA2641"/>
    <w:rsid w:val="00BB37AA"/>
    <w:rsid w:val="00BC53A0"/>
    <w:rsid w:val="00BC69E9"/>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CF2967"/>
    <w:rsid w:val="00D173F1"/>
    <w:rsid w:val="00D205AB"/>
    <w:rsid w:val="00D71E3C"/>
    <w:rsid w:val="00D74CB0"/>
    <w:rsid w:val="00D8295D"/>
    <w:rsid w:val="00DB16BB"/>
    <w:rsid w:val="00DC2A65"/>
    <w:rsid w:val="00DE15F0"/>
    <w:rsid w:val="00DE5663"/>
    <w:rsid w:val="00DE78AA"/>
    <w:rsid w:val="00E053D0"/>
    <w:rsid w:val="00E15994"/>
    <w:rsid w:val="00E3114E"/>
    <w:rsid w:val="00E31A70"/>
    <w:rsid w:val="00E35B02"/>
    <w:rsid w:val="00E509FA"/>
    <w:rsid w:val="00E66496"/>
    <w:rsid w:val="00E66B35"/>
    <w:rsid w:val="00E66E10"/>
    <w:rsid w:val="00E769F6"/>
    <w:rsid w:val="00E8407C"/>
    <w:rsid w:val="00E84F3C"/>
    <w:rsid w:val="00EA012C"/>
    <w:rsid w:val="00EC5A6A"/>
    <w:rsid w:val="00EC6A55"/>
    <w:rsid w:val="00ED0288"/>
    <w:rsid w:val="00EE52CB"/>
    <w:rsid w:val="00EF581D"/>
    <w:rsid w:val="00EF7FD8"/>
    <w:rsid w:val="00F06F59"/>
    <w:rsid w:val="00F17988"/>
    <w:rsid w:val="00F306FC"/>
    <w:rsid w:val="00F45257"/>
    <w:rsid w:val="00F469F0"/>
    <w:rsid w:val="00F53273"/>
    <w:rsid w:val="00F64C59"/>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5462BD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oPendente1">
    <w:name w:val="Menção Pendente1"/>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D205AB"/>
    <w:pPr>
      <w:spacing w:after="120"/>
    </w:pPr>
  </w:style>
  <w:style w:type="character" w:customStyle="1" w:styleId="BodyTextChar">
    <w:name w:val="Body Text Char"/>
    <w:basedOn w:val="DefaultParagraphFont"/>
    <w:link w:val="BodyText"/>
    <w:rsid w:val="00D205AB"/>
    <w:rPr>
      <w:rFonts w:ascii="Helvetica" w:hAnsi="Helvetica"/>
    </w:rPr>
  </w:style>
  <w:style w:type="paragraph" w:customStyle="1" w:styleId="Standard">
    <w:name w:val="Standard"/>
    <w:qFormat/>
    <w:rsid w:val="00D205AB"/>
    <w:pPr>
      <w:suppressAutoHyphens/>
      <w:textAlignment w:val="baseline"/>
    </w:pPr>
    <w:rPr>
      <w:rFonts w:ascii="Liberation Serif" w:eastAsia="NSimSun" w:hAnsi="Liberation Serif" w:cs="Arial"/>
      <w:kern w:val="2"/>
      <w:sz w:val="24"/>
      <w:szCs w:val="24"/>
      <w:lang w:val="en" w:eastAsia="zh-CN" w:bidi="hi-IN"/>
    </w:rPr>
  </w:style>
  <w:style w:type="character" w:customStyle="1" w:styleId="y2iqfc">
    <w:name w:val="y2iqfc"/>
    <w:basedOn w:val="DefaultParagraphFont"/>
    <w:rsid w:val="00AD5CC7"/>
  </w:style>
  <w:style w:type="character" w:customStyle="1" w:styleId="author-sup-separator">
    <w:name w:val="author-sup-separator"/>
    <w:basedOn w:val="DefaultParagraphFont"/>
    <w:rsid w:val="00AD5CC7"/>
  </w:style>
  <w:style w:type="paragraph" w:styleId="ListParagraph">
    <w:name w:val="List Paragraph"/>
    <w:basedOn w:val="Normal"/>
    <w:uiPriority w:val="34"/>
    <w:qFormat/>
    <w:rsid w:val="00620558"/>
    <w:pPr>
      <w:suppressAutoHyphens/>
      <w:ind w:left="720"/>
      <w:contextualSpacing/>
    </w:pPr>
    <w:rPr>
      <w:rFonts w:ascii="Times New Roman" w:hAnsi="Times New Roman"/>
      <w:sz w:val="24"/>
      <w:szCs w:val="24"/>
      <w:lang w:val="pt-BR" w:eastAsia="ar-SA"/>
    </w:rPr>
  </w:style>
  <w:style w:type="character" w:styleId="Strong">
    <w:name w:val="Strong"/>
    <w:uiPriority w:val="22"/>
    <w:qFormat/>
    <w:rsid w:val="004751FB"/>
    <w:rPr>
      <w:b/>
      <w:bCs/>
    </w:rPr>
  </w:style>
  <w:style w:type="character" w:styleId="UnresolvedMention">
    <w:name w:val="Unresolved Mention"/>
    <w:basedOn w:val="DefaultParagraphFont"/>
    <w:uiPriority w:val="99"/>
    <w:semiHidden/>
    <w:unhideWhenUsed/>
    <w:rsid w:val="00AF43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16/j.pdpdt.2019.08.003" TargetMode="External"/><Relationship Id="rId26" Type="http://schemas.openxmlformats.org/officeDocument/2006/relationships/hyperlink" Target="https://doi.org/10.1089/pho.2016.4117" TargetMode="External"/><Relationship Id="rId39" Type="http://schemas.openxmlformats.org/officeDocument/2006/relationships/fontTable" Target="fontTable.xml"/><Relationship Id="rId21" Type="http://schemas.openxmlformats.org/officeDocument/2006/relationships/hyperlink" Target="https://doi.org/10.1038/nrendo.2011.106" TargetMode="External"/><Relationship Id="rId34" Type="http://schemas.openxmlformats.org/officeDocument/2006/relationships/hyperlink" Target="https://doi.org/10.11606/T.58.2022.tde-01122022-192904"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16/j.pdpdt.2021.102379" TargetMode="External"/><Relationship Id="rId25" Type="http://schemas.openxmlformats.org/officeDocument/2006/relationships/hyperlink" Target="https://doi.org/10.1007/s10103-019-02897-z" TargetMode="External"/><Relationship Id="rId33" Type="http://schemas.openxmlformats.org/officeDocument/2006/relationships/hyperlink" Target="https://doi.org/10.1016/j.hlc.2018.05.102"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doi.org/10.1111/1744-1609.12068" TargetMode="External"/><Relationship Id="rId20" Type="http://schemas.openxmlformats.org/officeDocument/2006/relationships/hyperlink" Target="https://doi.org/10.1186/s12903-020-01180-w" TargetMode="External"/><Relationship Id="rId29" Type="http://schemas.openxmlformats.org/officeDocument/2006/relationships/hyperlink" Target="https://doi.org/10.1007/s10103-013-128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11/jre.12938" TargetMode="External"/><Relationship Id="rId32" Type="http://schemas.openxmlformats.org/officeDocument/2006/relationships/hyperlink" Target="https://doi.org/10.1016/j.pdpdt.2018.04.013"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3748/wjg.v22.i35.7963" TargetMode="External"/><Relationship Id="rId23" Type="http://schemas.openxmlformats.org/officeDocument/2006/relationships/hyperlink" Target="https://doi.org/10.1111/jcpe.12514" TargetMode="External"/><Relationship Id="rId28" Type="http://schemas.openxmlformats.org/officeDocument/2006/relationships/hyperlink" Target="https://doi.org/10.1111/jcpe.12498" TargetMode="External"/><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doi.org/10.1016/j.pdpdt.2021.102451" TargetMode="External"/><Relationship Id="rId31" Type="http://schemas.openxmlformats.org/officeDocument/2006/relationships/hyperlink" Target="https://doi.org/10.1016/j.pdpdt.2020.10207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389/fdmed.2022.879131" TargetMode="External"/><Relationship Id="rId27" Type="http://schemas.openxmlformats.org/officeDocument/2006/relationships/hyperlink" Target="https://doi.org/10.1902/jop.2009.090206" TargetMode="External"/><Relationship Id="rId30" Type="http://schemas.openxmlformats.org/officeDocument/2006/relationships/hyperlink" Target="https://doi.org/10.1007/s10103-016-2030-8" TargetMode="External"/><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E988E-9AA6-4D10-B306-AAA5BC000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10</Pages>
  <Words>7055</Words>
  <Characters>40216</Characters>
  <Application>Microsoft Office Word</Application>
  <DocSecurity>0</DocSecurity>
  <Lines>335</Lines>
  <Paragraphs>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47177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cp:revision>
  <cp:lastPrinted>1999-07-06T11:00:00Z</cp:lastPrinted>
  <dcterms:created xsi:type="dcterms:W3CDTF">2025-04-21T18:38:00Z</dcterms:created>
  <dcterms:modified xsi:type="dcterms:W3CDTF">2025-04-24T11:29:00Z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fbe4ca95384d11b10f61408fe954a007ca925979663dccb1bbfad5ef4fd18249</vt:lpwstr>
  </property>
</Properties>
</file>