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7E99D" w14:textId="77777777" w:rsidR="00754C9A" w:rsidRDefault="00754C9A" w:rsidP="00441B6F">
      <w:pPr>
        <w:pStyle w:val="Title"/>
        <w:spacing w:after="0"/>
        <w:jc w:val="both"/>
        <w:rPr>
          <w:rFonts w:ascii="Arial" w:hAnsi="Arial" w:cs="Arial"/>
        </w:rPr>
      </w:pPr>
    </w:p>
    <w:p w14:paraId="1799FCE3" w14:textId="77777777" w:rsidR="0075332D" w:rsidRDefault="0075332D" w:rsidP="0075332D">
      <w:pPr>
        <w:pStyle w:val="Author"/>
        <w:rPr>
          <w:rFonts w:ascii="Arial" w:hAnsi="Arial" w:cs="Arial"/>
          <w:bCs/>
          <w:iCs/>
          <w:kern w:val="28"/>
          <w:sz w:val="36"/>
        </w:rPr>
      </w:pPr>
      <w:r w:rsidRPr="0075332D">
        <w:rPr>
          <w:rFonts w:ascii="Arial" w:hAnsi="Arial" w:cs="Arial"/>
          <w:bCs/>
          <w:iCs/>
          <w:kern w:val="28"/>
          <w:sz w:val="36"/>
        </w:rPr>
        <w:t>Effectiveness of Melodic Intonation Therapy</w:t>
      </w:r>
    </w:p>
    <w:p w14:paraId="2537E6DF" w14:textId="1BD9DF8B" w:rsidR="00163BC4" w:rsidRDefault="0075332D" w:rsidP="002E0E08">
      <w:pPr>
        <w:pStyle w:val="Author"/>
        <w:rPr>
          <w:rFonts w:ascii="Arial" w:hAnsi="Arial" w:cs="Arial"/>
          <w:bCs/>
          <w:iCs/>
          <w:kern w:val="28"/>
          <w:sz w:val="36"/>
        </w:rPr>
      </w:pPr>
      <w:r w:rsidRPr="0075332D">
        <w:rPr>
          <w:rFonts w:ascii="Arial" w:hAnsi="Arial" w:cs="Arial"/>
          <w:bCs/>
          <w:iCs/>
          <w:kern w:val="28"/>
          <w:sz w:val="36"/>
        </w:rPr>
        <w:t xml:space="preserve"> (MIT) for Patients</w:t>
      </w:r>
      <w:r w:rsidR="002E0E08">
        <w:rPr>
          <w:rFonts w:ascii="Arial" w:hAnsi="Arial" w:cs="Arial"/>
          <w:bCs/>
          <w:iCs/>
          <w:kern w:val="28"/>
          <w:sz w:val="36"/>
        </w:rPr>
        <w:t xml:space="preserve"> </w:t>
      </w:r>
      <w:r w:rsidRPr="0075332D">
        <w:rPr>
          <w:rFonts w:ascii="Arial" w:hAnsi="Arial" w:cs="Arial"/>
          <w:bCs/>
          <w:iCs/>
          <w:kern w:val="28"/>
          <w:sz w:val="36"/>
        </w:rPr>
        <w:t>with Non-fluent Aphasia</w:t>
      </w:r>
    </w:p>
    <w:p w14:paraId="624D15D4" w14:textId="77777777" w:rsidR="002813B1" w:rsidRDefault="002813B1" w:rsidP="002E0E08">
      <w:pPr>
        <w:pStyle w:val="Author"/>
        <w:rPr>
          <w:rFonts w:ascii="Arial" w:hAnsi="Arial" w:cs="Arial"/>
          <w:bCs/>
          <w:iCs/>
          <w:kern w:val="28"/>
          <w:sz w:val="36"/>
        </w:rPr>
      </w:pPr>
    </w:p>
    <w:p w14:paraId="3BA94DD6" w14:textId="77777777" w:rsidR="002E0E08" w:rsidRPr="00163BC4" w:rsidRDefault="002E0E08" w:rsidP="0075332D">
      <w:pPr>
        <w:pStyle w:val="Author"/>
        <w:spacing w:line="240" w:lineRule="auto"/>
        <w:rPr>
          <w:rFonts w:ascii="Arial" w:hAnsi="Arial" w:cs="Arial"/>
          <w:bCs/>
          <w:iCs/>
          <w:kern w:val="28"/>
          <w:sz w:val="36"/>
        </w:rPr>
      </w:pPr>
    </w:p>
    <w:p w14:paraId="19077111" w14:textId="77777777" w:rsidR="00F829BE" w:rsidRPr="00FB3A86" w:rsidRDefault="00F829BE" w:rsidP="00441B6F">
      <w:pPr>
        <w:pStyle w:val="Affiliation"/>
        <w:spacing w:after="0" w:line="240" w:lineRule="auto"/>
        <w:jc w:val="both"/>
        <w:rPr>
          <w:rFonts w:ascii="Arial" w:hAnsi="Arial" w:cs="Arial"/>
        </w:rPr>
      </w:pPr>
    </w:p>
    <w:p w14:paraId="4D895A96" w14:textId="77777777" w:rsidR="00B01FCD" w:rsidRPr="00FB3A86" w:rsidRDefault="006907CA" w:rsidP="00441B6F">
      <w:pPr>
        <w:pStyle w:val="Copyright"/>
        <w:spacing w:after="0" w:line="240" w:lineRule="auto"/>
        <w:jc w:val="both"/>
        <w:rPr>
          <w:rFonts w:ascii="Arial" w:hAnsi="Arial" w:cs="Arial"/>
        </w:rPr>
        <w:sectPr w:rsidR="00B01FCD" w:rsidRPr="00FB3A86" w:rsidSect="0087292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3FEECD4" wp14:editId="05D047FA">
                <wp:extent cx="5303520" cy="635"/>
                <wp:effectExtent l="15240" t="10795" r="15240"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0A6B4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29651C49" w14:textId="5F122703"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26FAF6A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3"/>
      </w:tblGrid>
      <w:tr w:rsidR="00296529" w:rsidRPr="001E44FE" w14:paraId="7A11C7EA" w14:textId="77777777" w:rsidTr="001E44FE">
        <w:tc>
          <w:tcPr>
            <w:tcW w:w="9576" w:type="dxa"/>
            <w:shd w:val="clear" w:color="auto" w:fill="F2F2F2"/>
          </w:tcPr>
          <w:p w14:paraId="04D57895" w14:textId="77777777" w:rsidR="00E3114E" w:rsidRDefault="00AB7234" w:rsidP="00441B6F">
            <w:pPr>
              <w:pStyle w:val="Body"/>
              <w:spacing w:after="0"/>
              <w:rPr>
                <w:rFonts w:ascii="Arial" w:eastAsia="Calibri" w:hAnsi="Arial" w:cs="Arial"/>
                <w:szCs w:val="22"/>
              </w:rPr>
            </w:pPr>
            <w:r w:rsidRPr="00AB7234">
              <w:rPr>
                <w:rFonts w:ascii="Arial" w:eastAsia="Calibri" w:hAnsi="Arial" w:cs="Arial"/>
                <w:szCs w:val="22"/>
              </w:rPr>
              <w:t>Language is the source of human life and power. Aphasia is the most common cause of language deficits in adult. Non-fluent aphasia is most commonly results from a lesion in the left frontal lobe involving the left posterior inferior frontal region known as Broca’s area, and patients who are non-fluent usually have the ability to comprehend the speech of others, but are unable to produce words themselves. Most of the non-fluent aphasic patients receive traditional therapy and practice the repetition of words and phrases. Mechanisms are also taught in traditional therapy to compensate for lost language function such as drawing and using phrases that are easier to pronounce. Melodic Intonation Therapy (MIT) is a treatment approach for patients with non-fluent aphasia to express verbal agility. In this study researcher intended to find out the level of improvement occurred in expressive language of patients with non-fluent aphasia through the use of MIT.</w:t>
            </w:r>
          </w:p>
          <w:p w14:paraId="0C7F8EAD" w14:textId="77777777" w:rsidR="00AB7234" w:rsidRDefault="00AB7234" w:rsidP="00441B6F">
            <w:pPr>
              <w:pStyle w:val="Body"/>
              <w:spacing w:after="0"/>
              <w:rPr>
                <w:rFonts w:ascii="Arial" w:eastAsia="Calibri" w:hAnsi="Arial" w:cs="Arial"/>
                <w:szCs w:val="22"/>
              </w:rPr>
            </w:pPr>
          </w:p>
          <w:p w14:paraId="2059D149" w14:textId="77777777" w:rsidR="00E3114E" w:rsidRDefault="00E3114E" w:rsidP="00441B6F">
            <w:pPr>
              <w:pStyle w:val="Body"/>
              <w:spacing w:after="0"/>
              <w:rPr>
                <w:rFonts w:ascii="Arial" w:eastAsia="Calibri" w:hAnsi="Arial" w:cs="Arial"/>
                <w:b/>
                <w:szCs w:val="22"/>
              </w:rPr>
            </w:pPr>
          </w:p>
          <w:p w14:paraId="30BEA3CE" w14:textId="77777777" w:rsidR="00AB7234"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AB7234" w:rsidRPr="00AB7234">
              <w:rPr>
                <w:rFonts w:ascii="Arial" w:eastAsia="Calibri" w:hAnsi="Arial" w:cs="Arial"/>
                <w:szCs w:val="22"/>
              </w:rPr>
              <w:t>The main objective of the study was to find out the effectiveness of MIT program in the management of patients with non-fluent aphasia.</w:t>
            </w:r>
          </w:p>
          <w:p w14:paraId="1C9ED7D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619EA" w:rsidRPr="005619EA">
              <w:rPr>
                <w:rFonts w:ascii="Arial" w:eastAsia="Calibri" w:hAnsi="Arial" w:cs="Arial"/>
                <w:szCs w:val="22"/>
              </w:rPr>
              <w:t xml:space="preserve">The study was conducted following the pre-experimental research design of quantitative design. </w:t>
            </w:r>
          </w:p>
          <w:p w14:paraId="14CB7AA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15186">
              <w:rPr>
                <w:rFonts w:ascii="Arial" w:eastAsia="Calibri" w:hAnsi="Arial" w:cs="Arial"/>
                <w:szCs w:val="22"/>
              </w:rPr>
              <w:t xml:space="preserve">Sample: </w:t>
            </w:r>
            <w:r w:rsidR="005619EA" w:rsidRPr="005619EA">
              <w:rPr>
                <w:rFonts w:ascii="Arial" w:eastAsia="Calibri" w:hAnsi="Arial" w:cs="Arial"/>
                <w:szCs w:val="22"/>
              </w:rPr>
              <w:t xml:space="preserve">The study was conducted in two settings. Setting were adult neurology unit of Speech &amp; Language Therapy (SLT) dept. CRP, Savar and CRP, Mirpur. </w:t>
            </w:r>
            <w:r w:rsidRPr="00BA1B01">
              <w:rPr>
                <w:rFonts w:ascii="Arial" w:eastAsia="Calibri" w:hAnsi="Arial" w:cs="Arial"/>
                <w:szCs w:val="22"/>
              </w:rPr>
              <w:t xml:space="preserve"> between June 2009 and July 2010.</w:t>
            </w:r>
          </w:p>
          <w:p w14:paraId="5D2CEB7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619EA" w:rsidRPr="005619EA">
              <w:rPr>
                <w:rFonts w:ascii="Arial" w:eastAsia="Calibri" w:hAnsi="Arial" w:cs="Arial"/>
                <w:szCs w:val="22"/>
              </w:rPr>
              <w:t xml:space="preserve">The study was conducted following the pre-experimental research design of quantitative design. The specific type of pre-experimental research which was used in this study was the pretest-posttest design. Four participants were selected purposively with non-fluent aphasia from the adult neurology unit of Speech &amp; Language Therapy department CRP, Savar (4 participants) and Mirpur (2 participants).  Patients were allocated for MIT and they received 12 – 16 sessions of treatment in this quantitative same subject design study. Patients were assessed two times (before and after giving MIT) by using three subtests (Repetition, responsive Naming and Confrontation Naming) of Boston Diagnostic Aphasia Examination (BDAE) established by </w:t>
            </w:r>
            <w:proofErr w:type="spellStart"/>
            <w:r w:rsidR="005619EA" w:rsidRPr="005619EA">
              <w:rPr>
                <w:rFonts w:ascii="Arial" w:eastAsia="Calibri" w:hAnsi="Arial" w:cs="Arial"/>
                <w:szCs w:val="22"/>
              </w:rPr>
              <w:t>Goodglass</w:t>
            </w:r>
            <w:proofErr w:type="spellEnd"/>
            <w:r w:rsidR="005619EA" w:rsidRPr="005619EA">
              <w:rPr>
                <w:rFonts w:ascii="Arial" w:eastAsia="Calibri" w:hAnsi="Arial" w:cs="Arial"/>
                <w:szCs w:val="22"/>
              </w:rPr>
              <w:t xml:space="preserve"> &amp; Kaplan in 1972</w:t>
            </w:r>
            <w:r w:rsidR="005619EA">
              <w:rPr>
                <w:rFonts w:ascii="Arial" w:eastAsia="Calibri" w:hAnsi="Arial" w:cs="Arial"/>
                <w:szCs w:val="22"/>
              </w:rPr>
              <w:t xml:space="preserve">     </w:t>
            </w:r>
            <w:r w:rsidR="005619EA" w:rsidRPr="005619EA">
              <w:rPr>
                <w:rFonts w:ascii="Arial" w:eastAsia="Calibri" w:hAnsi="Arial" w:cs="Arial"/>
                <w:szCs w:val="22"/>
              </w:rPr>
              <w:t>The data was analyzed by using related ‘t’ test. In this study, the hypothesis was one-tailed as it was predicting a specific direction to the results. To support the hypothesis and/or to reject the null hypothesis the investigator has used related ‘t’ test to find out ‘p’ value so that the result can be significant.</w:t>
            </w:r>
          </w:p>
          <w:p w14:paraId="1F527180" w14:textId="77777777" w:rsidR="005619EA"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619EA" w:rsidRPr="005619EA">
              <w:rPr>
                <w:rFonts w:ascii="Arial" w:eastAsia="Calibri" w:hAnsi="Arial" w:cs="Arial"/>
                <w:szCs w:val="22"/>
              </w:rPr>
              <w:t>The result shows positive changes in all the outcome areas of language after receiving MIT. The ‘p’ value (by which we can measure the significance of the result) of the different variables are repetition of word (&lt;.01), repetition of phrase (&lt;.025), responsive naming (&lt;.005) and confrontation naming (&lt;.01). This means that MIT was effective for patients with non-fluent aphasia. Total significance of the study was &lt;.01.</w:t>
            </w:r>
          </w:p>
          <w:p w14:paraId="38D90E99"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619EA" w:rsidRPr="005619EA">
              <w:rPr>
                <w:rFonts w:ascii="Arial" w:eastAsia="Calibri" w:hAnsi="Arial" w:cs="Arial"/>
                <w:szCs w:val="22"/>
              </w:rPr>
              <w:t>MIT has a positive and significant effect on the improvement of repetition of word, repetition of phrase, responsive naming and confrontation naming in this particular study. For long time effectiveness MIT program should be started as early as possible as part of best practice for patients with non-fluent aphasia.</w:t>
            </w:r>
          </w:p>
        </w:tc>
      </w:tr>
    </w:tbl>
    <w:p w14:paraId="172F4F07" w14:textId="77777777" w:rsidR="00636EB2" w:rsidRDefault="00636EB2" w:rsidP="00441B6F">
      <w:pPr>
        <w:pStyle w:val="Body"/>
        <w:spacing w:after="0"/>
        <w:rPr>
          <w:rFonts w:ascii="Arial" w:hAnsi="Arial" w:cs="Arial"/>
          <w:i/>
        </w:rPr>
      </w:pPr>
    </w:p>
    <w:p w14:paraId="3EF2D2D5" w14:textId="77777777" w:rsidR="0024282C" w:rsidRDefault="0024282C" w:rsidP="00441B6F">
      <w:pPr>
        <w:pStyle w:val="Body"/>
        <w:spacing w:after="0"/>
        <w:rPr>
          <w:rFonts w:ascii="Arial" w:hAnsi="Arial" w:cs="Arial"/>
          <w:i/>
          <w:sz w:val="18"/>
        </w:rPr>
      </w:pPr>
    </w:p>
    <w:p w14:paraId="048F113F" w14:textId="77777777" w:rsidR="00505F06" w:rsidRPr="00A24E7E" w:rsidRDefault="00505F06" w:rsidP="00441B6F">
      <w:pPr>
        <w:pStyle w:val="Body"/>
        <w:spacing w:after="0"/>
        <w:rPr>
          <w:rFonts w:ascii="Arial" w:hAnsi="Arial" w:cs="Arial"/>
          <w:i/>
        </w:rPr>
      </w:pPr>
    </w:p>
    <w:p w14:paraId="1C9902E5" w14:textId="64B9B451" w:rsidR="00790ADA" w:rsidRPr="001F4A28" w:rsidRDefault="00902823" w:rsidP="002813B1">
      <w:pPr>
        <w:pStyle w:val="AbstHead"/>
        <w:spacing w:after="0"/>
        <w:jc w:val="both"/>
        <w:rPr>
          <w:rFonts w:ascii="Arial" w:hAnsi="Arial" w:cs="Arial"/>
          <w:sz w:val="20"/>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510BD2B" w14:textId="77777777" w:rsidR="001F4A28" w:rsidRPr="00FB3A86" w:rsidRDefault="001F4A28" w:rsidP="00441B6F">
      <w:pPr>
        <w:pStyle w:val="AbstHead"/>
        <w:spacing w:after="0"/>
        <w:jc w:val="both"/>
        <w:rPr>
          <w:rFonts w:ascii="Arial" w:hAnsi="Arial" w:cs="Arial"/>
        </w:rPr>
      </w:pPr>
    </w:p>
    <w:p w14:paraId="5E35FA61" w14:textId="77777777" w:rsidR="001F4A28" w:rsidRPr="001F4A28" w:rsidRDefault="001F4A28" w:rsidP="001F4A28">
      <w:pPr>
        <w:pStyle w:val="Body"/>
        <w:rPr>
          <w:rFonts w:ascii="Arial" w:hAnsi="Arial" w:cs="Arial"/>
        </w:rPr>
      </w:pPr>
      <w:r w:rsidRPr="001F4A28">
        <w:rPr>
          <w:rFonts w:ascii="Arial" w:hAnsi="Arial" w:cs="Arial"/>
        </w:rPr>
        <w:t xml:space="preserve">Language is the source of human life and power. Language enables individual to describe and clarify their thoughts for themselves and others (Fromkin and Rodman, as cited in </w:t>
      </w:r>
      <w:proofErr w:type="spellStart"/>
      <w:r w:rsidRPr="001F4A28">
        <w:rPr>
          <w:rFonts w:ascii="Arial" w:hAnsi="Arial" w:cs="Arial"/>
        </w:rPr>
        <w:t>Chapey</w:t>
      </w:r>
      <w:proofErr w:type="spellEnd"/>
      <w:r w:rsidRPr="001F4A28">
        <w:rPr>
          <w:rFonts w:ascii="Arial" w:hAnsi="Arial" w:cs="Arial"/>
        </w:rPr>
        <w:t>, 1994). Aphasia is an acquired communication disorder that impairs a person’s ability to process language. Aphasia can affect the ability to read, write, or use spoken language. Although there are no accurate data on the overall incidence and prevalence of aphasia, it is one of the most common deficits following neurological disease. For example, approximately a third of those who survive an acute stroke will have a significant impairment of language function (</w:t>
      </w:r>
      <w:proofErr w:type="spellStart"/>
      <w:r w:rsidRPr="001F4A28">
        <w:rPr>
          <w:rFonts w:ascii="Arial" w:hAnsi="Arial" w:cs="Arial"/>
        </w:rPr>
        <w:t>Stegmayer</w:t>
      </w:r>
      <w:proofErr w:type="spellEnd"/>
      <w:r w:rsidRPr="001F4A28">
        <w:rPr>
          <w:rFonts w:ascii="Arial" w:hAnsi="Arial" w:cs="Arial"/>
        </w:rPr>
        <w:t xml:space="preserve">, </w:t>
      </w:r>
      <w:proofErr w:type="spellStart"/>
      <w:r w:rsidRPr="001F4A28">
        <w:rPr>
          <w:rFonts w:ascii="Arial" w:hAnsi="Arial" w:cs="Arial"/>
        </w:rPr>
        <w:t>Asplund</w:t>
      </w:r>
      <w:proofErr w:type="spellEnd"/>
      <w:r w:rsidRPr="001F4A28">
        <w:rPr>
          <w:rFonts w:ascii="Arial" w:hAnsi="Arial" w:cs="Arial"/>
        </w:rPr>
        <w:t xml:space="preserve">, &amp; Wester, 1994) and </w:t>
      </w:r>
      <w:r w:rsidRPr="001F4A28">
        <w:rPr>
          <w:rFonts w:ascii="Arial" w:hAnsi="Arial" w:cs="Arial"/>
        </w:rPr>
        <w:lastRenderedPageBreak/>
        <w:t xml:space="preserve">approximately 30–43% of those affected will remain aphasic in the long term (Laska, </w:t>
      </w:r>
      <w:proofErr w:type="spellStart"/>
      <w:r w:rsidRPr="001F4A28">
        <w:rPr>
          <w:rFonts w:ascii="Arial" w:hAnsi="Arial" w:cs="Arial"/>
        </w:rPr>
        <w:t>Hellbolm</w:t>
      </w:r>
      <w:proofErr w:type="spellEnd"/>
      <w:r w:rsidRPr="001F4A28">
        <w:rPr>
          <w:rFonts w:ascii="Arial" w:hAnsi="Arial" w:cs="Arial"/>
        </w:rPr>
        <w:t>, Murray, Kahan, &amp; Arbin, 2001). According to American Heart Association and the National Institutes of Health, 600,000–750,000 new strokes are occurring in the USA every year, approximately 20% of them result in some form of aphasia (</w:t>
      </w:r>
      <w:proofErr w:type="spellStart"/>
      <w:r w:rsidRPr="001F4A28">
        <w:rPr>
          <w:rFonts w:ascii="Arial" w:hAnsi="Arial" w:cs="Arial"/>
        </w:rPr>
        <w:t>Schlaug</w:t>
      </w:r>
      <w:proofErr w:type="spellEnd"/>
      <w:r w:rsidRPr="001F4A28">
        <w:rPr>
          <w:rFonts w:ascii="Arial" w:hAnsi="Arial" w:cs="Arial"/>
        </w:rPr>
        <w:t xml:space="preserve">, </w:t>
      </w:r>
      <w:proofErr w:type="spellStart"/>
      <w:r w:rsidRPr="001F4A28">
        <w:rPr>
          <w:rFonts w:ascii="Arial" w:hAnsi="Arial" w:cs="Arial"/>
        </w:rPr>
        <w:t>Marchina</w:t>
      </w:r>
      <w:proofErr w:type="spellEnd"/>
      <w:r w:rsidRPr="001F4A28">
        <w:rPr>
          <w:rFonts w:ascii="Arial" w:hAnsi="Arial" w:cs="Arial"/>
        </w:rPr>
        <w:t xml:space="preserve">, &amp; </w:t>
      </w:r>
      <w:proofErr w:type="spellStart"/>
      <w:r w:rsidRPr="001F4A28">
        <w:rPr>
          <w:rFonts w:ascii="Arial" w:hAnsi="Arial" w:cs="Arial"/>
        </w:rPr>
        <w:t>Nortan</w:t>
      </w:r>
      <w:proofErr w:type="spellEnd"/>
      <w:r w:rsidRPr="001F4A28">
        <w:rPr>
          <w:rFonts w:ascii="Arial" w:hAnsi="Arial" w:cs="Arial"/>
        </w:rPr>
        <w:t>, 2008). Another estimates showed 750,000–800,000 new stroke cases occurring in the USA each year, approximately 25–50% present with some form of aphasia (</w:t>
      </w:r>
      <w:proofErr w:type="spellStart"/>
      <w:r w:rsidRPr="001F4A28">
        <w:rPr>
          <w:rFonts w:ascii="Arial" w:hAnsi="Arial" w:cs="Arial"/>
        </w:rPr>
        <w:t>Schlaug</w:t>
      </w:r>
      <w:proofErr w:type="spellEnd"/>
      <w:r w:rsidRPr="001F4A28">
        <w:rPr>
          <w:rFonts w:ascii="Arial" w:hAnsi="Arial" w:cs="Arial"/>
        </w:rPr>
        <w:t xml:space="preserve">, Norton, </w:t>
      </w:r>
      <w:proofErr w:type="spellStart"/>
      <w:r w:rsidRPr="001F4A28">
        <w:rPr>
          <w:rFonts w:ascii="Arial" w:hAnsi="Arial" w:cs="Arial"/>
        </w:rPr>
        <w:t>Marchina</w:t>
      </w:r>
      <w:proofErr w:type="spellEnd"/>
      <w:r w:rsidRPr="001F4A28">
        <w:rPr>
          <w:rFonts w:ascii="Arial" w:hAnsi="Arial" w:cs="Arial"/>
        </w:rPr>
        <w:t xml:space="preserve">, </w:t>
      </w:r>
      <w:proofErr w:type="spellStart"/>
      <w:r w:rsidRPr="001F4A28">
        <w:rPr>
          <w:rFonts w:ascii="Arial" w:hAnsi="Arial" w:cs="Arial"/>
        </w:rPr>
        <w:t>Zipse</w:t>
      </w:r>
      <w:proofErr w:type="spellEnd"/>
      <w:r w:rsidRPr="001F4A28">
        <w:rPr>
          <w:rFonts w:ascii="Arial" w:hAnsi="Arial" w:cs="Arial"/>
        </w:rPr>
        <w:t xml:space="preserve">, &amp; Wan, 2010). According to estimates by the National Stroke Association, approximately 800,000 Canadian people have a stroke each year and of these 25%–35% develop aphasia (Dickey et al., 2010). </w:t>
      </w:r>
    </w:p>
    <w:p w14:paraId="57D33A52" w14:textId="77777777" w:rsidR="001F4A28" w:rsidRPr="001F4A28" w:rsidRDefault="001F4A28" w:rsidP="001F4A28">
      <w:pPr>
        <w:pStyle w:val="Body"/>
        <w:rPr>
          <w:rFonts w:ascii="Arial" w:hAnsi="Arial" w:cs="Arial"/>
        </w:rPr>
      </w:pPr>
      <w:r w:rsidRPr="001F4A28">
        <w:rPr>
          <w:rFonts w:ascii="Arial" w:hAnsi="Arial" w:cs="Arial"/>
        </w:rPr>
        <w:t xml:space="preserve">Aphasia is an acquired communication disorder caused by brain damage, characterized by an impairment of language, including expressive production of language, comprehension of language, reading, and writing. It is not the result of sensory or motor impairments. The severity and characteristics of this impairment vary considerably depending on the location and extent of brain injury (Darley, 1982). Aphasia is classified according to fluency of verbal output; either fluent or non-fluent. Non-fluent aphasia often occurs as a result of damage in the left middle cerebral artery territory, directly or indirectly affecting the speech area commonly referred to as </w:t>
      </w:r>
      <w:proofErr w:type="spellStart"/>
      <w:r w:rsidRPr="001F4A28">
        <w:rPr>
          <w:rFonts w:ascii="Arial" w:hAnsi="Arial" w:cs="Arial"/>
        </w:rPr>
        <w:t>Broca’s</w:t>
      </w:r>
      <w:proofErr w:type="spellEnd"/>
      <w:r w:rsidRPr="001F4A28">
        <w:rPr>
          <w:rFonts w:ascii="Arial" w:hAnsi="Arial" w:cs="Arial"/>
        </w:rPr>
        <w:t xml:space="preserve"> area (</w:t>
      </w:r>
      <w:proofErr w:type="spellStart"/>
      <w:r w:rsidRPr="001F4A28">
        <w:rPr>
          <w:rFonts w:ascii="Arial" w:hAnsi="Arial" w:cs="Arial"/>
        </w:rPr>
        <w:t>Conklyn</w:t>
      </w:r>
      <w:proofErr w:type="spellEnd"/>
      <w:r w:rsidRPr="001F4A28">
        <w:rPr>
          <w:rFonts w:ascii="Arial" w:hAnsi="Arial" w:cs="Arial"/>
        </w:rPr>
        <w:t xml:space="preserve">, Novak, </w:t>
      </w:r>
      <w:proofErr w:type="spellStart"/>
      <w:r w:rsidRPr="001F4A28">
        <w:rPr>
          <w:rFonts w:ascii="Arial" w:hAnsi="Arial" w:cs="Arial"/>
        </w:rPr>
        <w:t>Boissy</w:t>
      </w:r>
      <w:proofErr w:type="spellEnd"/>
      <w:r w:rsidRPr="001F4A28">
        <w:rPr>
          <w:rFonts w:ascii="Arial" w:hAnsi="Arial" w:cs="Arial"/>
        </w:rPr>
        <w:t xml:space="preserve">, </w:t>
      </w:r>
      <w:proofErr w:type="spellStart"/>
      <w:r w:rsidRPr="001F4A28">
        <w:rPr>
          <w:rFonts w:ascii="Arial" w:hAnsi="Arial" w:cs="Arial"/>
        </w:rPr>
        <w:t>Bethoux</w:t>
      </w:r>
      <w:proofErr w:type="spellEnd"/>
      <w:r w:rsidRPr="001F4A28">
        <w:rPr>
          <w:rFonts w:ascii="Arial" w:hAnsi="Arial" w:cs="Arial"/>
        </w:rPr>
        <w:t xml:space="preserve">, &amp; </w:t>
      </w:r>
      <w:proofErr w:type="spellStart"/>
      <w:r w:rsidRPr="001F4A28">
        <w:rPr>
          <w:rFonts w:ascii="Arial" w:hAnsi="Arial" w:cs="Arial"/>
        </w:rPr>
        <w:t>Chemali</w:t>
      </w:r>
      <w:proofErr w:type="spellEnd"/>
      <w:r w:rsidRPr="001F4A28">
        <w:rPr>
          <w:rFonts w:ascii="Arial" w:hAnsi="Arial" w:cs="Arial"/>
        </w:rPr>
        <w:t xml:space="preserve">, 2012). These patients usually have the ability to comprehend the speech of others, but they are unable to produce clear/meaningful words themselves (Kertesz, Lesk, &amp; McCabe, 1977).  </w:t>
      </w:r>
    </w:p>
    <w:p w14:paraId="5D7148E2" w14:textId="77777777" w:rsidR="001F4A28" w:rsidRPr="001F4A28" w:rsidRDefault="001F4A28" w:rsidP="001F4A28">
      <w:pPr>
        <w:pStyle w:val="Body"/>
        <w:rPr>
          <w:rFonts w:ascii="Arial" w:hAnsi="Arial" w:cs="Arial"/>
        </w:rPr>
      </w:pPr>
      <w:r w:rsidRPr="001F4A28">
        <w:rPr>
          <w:rFonts w:ascii="Arial" w:hAnsi="Arial" w:cs="Arial"/>
        </w:rPr>
        <w:t xml:space="preserve">One of the few accepted treatments for non-fluent aphasia is Melodic Intonation Therapy (MIT) a treatment that uses the musical elements of speech (melody and rhythm) to improve expressive language by capitalizing on preserved function (singing) and engaging language-capable regions in the undamaged right hemisphere (Albert, Sparks, &amp; Helm, 1973; Sparks, Helm, &amp; Albert 1974; Marshall, &amp; Holtzapple, 1976; Helm-Estabrooks, &amp; Albert, 2004; </w:t>
      </w:r>
      <w:proofErr w:type="spellStart"/>
      <w:r w:rsidRPr="001F4A28">
        <w:rPr>
          <w:rFonts w:ascii="Arial" w:hAnsi="Arial" w:cs="Arial"/>
        </w:rPr>
        <w:t>Schlaug</w:t>
      </w:r>
      <w:proofErr w:type="spellEnd"/>
      <w:r w:rsidRPr="001F4A28">
        <w:rPr>
          <w:rFonts w:ascii="Arial" w:hAnsi="Arial" w:cs="Arial"/>
        </w:rPr>
        <w:t xml:space="preserve">, </w:t>
      </w:r>
      <w:proofErr w:type="spellStart"/>
      <w:r w:rsidRPr="001F4A28">
        <w:rPr>
          <w:rFonts w:ascii="Arial" w:hAnsi="Arial" w:cs="Arial"/>
        </w:rPr>
        <w:t>Marchina</w:t>
      </w:r>
      <w:proofErr w:type="spellEnd"/>
      <w:r w:rsidRPr="001F4A28">
        <w:rPr>
          <w:rFonts w:ascii="Arial" w:hAnsi="Arial" w:cs="Arial"/>
        </w:rPr>
        <w:t xml:space="preserve">, &amp; Norton, 2008; Norton, </w:t>
      </w:r>
      <w:proofErr w:type="spellStart"/>
      <w:r w:rsidRPr="001F4A28">
        <w:rPr>
          <w:rFonts w:ascii="Arial" w:hAnsi="Arial" w:cs="Arial"/>
        </w:rPr>
        <w:t>Zipse</w:t>
      </w:r>
      <w:proofErr w:type="spellEnd"/>
      <w:r w:rsidRPr="001F4A28">
        <w:rPr>
          <w:rFonts w:ascii="Arial" w:hAnsi="Arial" w:cs="Arial"/>
        </w:rPr>
        <w:t xml:space="preserve">, </w:t>
      </w:r>
      <w:proofErr w:type="spellStart"/>
      <w:r w:rsidRPr="001F4A28">
        <w:rPr>
          <w:rFonts w:ascii="Arial" w:hAnsi="Arial" w:cs="Arial"/>
        </w:rPr>
        <w:t>Marchina</w:t>
      </w:r>
      <w:proofErr w:type="spellEnd"/>
      <w:r w:rsidRPr="001F4A28">
        <w:rPr>
          <w:rFonts w:ascii="Arial" w:hAnsi="Arial" w:cs="Arial"/>
        </w:rPr>
        <w:t xml:space="preserve">, &amp; </w:t>
      </w:r>
      <w:proofErr w:type="spellStart"/>
      <w:r w:rsidRPr="001F4A28">
        <w:rPr>
          <w:rFonts w:ascii="Arial" w:hAnsi="Arial" w:cs="Arial"/>
        </w:rPr>
        <w:t>Schlaug</w:t>
      </w:r>
      <w:proofErr w:type="spellEnd"/>
      <w:r w:rsidRPr="001F4A28">
        <w:rPr>
          <w:rFonts w:ascii="Arial" w:hAnsi="Arial" w:cs="Arial"/>
        </w:rPr>
        <w:t>, 2009). MIT is a method which developed for assisting the adult aphasic patient regains their verbal communication and MIT is presented with step-by-step procedures and suggestions (Sparks, &amp; Holland, 1976).</w:t>
      </w:r>
    </w:p>
    <w:p w14:paraId="5E05F1EC" w14:textId="77777777" w:rsidR="00790ADA" w:rsidRDefault="001F4A28" w:rsidP="001F4A28">
      <w:pPr>
        <w:pStyle w:val="Body"/>
        <w:spacing w:after="0"/>
        <w:rPr>
          <w:rFonts w:ascii="Arial" w:hAnsi="Arial" w:cs="Arial"/>
        </w:rPr>
      </w:pPr>
      <w:r w:rsidRPr="001F4A28">
        <w:rPr>
          <w:rFonts w:ascii="Arial" w:hAnsi="Arial" w:cs="Arial"/>
        </w:rPr>
        <w:t>In this study the investigator intended to find out the level and type of improvement occurred in expressive language of patients with non-fluent aphasia through the use of MIT in CRP, Bangladesh.</w:t>
      </w:r>
    </w:p>
    <w:p w14:paraId="251ED330" w14:textId="77777777" w:rsidR="001F4A28" w:rsidRDefault="001F4A28" w:rsidP="001F4A28">
      <w:pPr>
        <w:pStyle w:val="Body"/>
        <w:spacing w:after="0"/>
        <w:rPr>
          <w:rFonts w:ascii="Arial" w:hAnsi="Arial" w:cs="Arial"/>
        </w:rPr>
      </w:pPr>
    </w:p>
    <w:p w14:paraId="2A9893DB" w14:textId="77777777" w:rsidR="001F4A28" w:rsidRPr="001F4A28" w:rsidRDefault="001F4A28" w:rsidP="001F4A28">
      <w:pPr>
        <w:pStyle w:val="Body"/>
        <w:rPr>
          <w:rFonts w:ascii="Arial" w:hAnsi="Arial" w:cs="Arial"/>
          <w:b/>
        </w:rPr>
      </w:pPr>
      <w:r w:rsidRPr="001F4A28">
        <w:rPr>
          <w:rFonts w:ascii="Arial" w:hAnsi="Arial" w:cs="Arial"/>
          <w:b/>
        </w:rPr>
        <w:t>1.2 Background and Literature Review</w:t>
      </w:r>
    </w:p>
    <w:p w14:paraId="3A6D13F9" w14:textId="77777777" w:rsidR="001F4A28" w:rsidRPr="001F4A28" w:rsidRDefault="001F4A28" w:rsidP="001F4A28">
      <w:pPr>
        <w:pStyle w:val="Body"/>
        <w:rPr>
          <w:rFonts w:ascii="Arial" w:hAnsi="Arial" w:cs="Arial"/>
        </w:rPr>
      </w:pPr>
      <w:r w:rsidRPr="001F4A28">
        <w:rPr>
          <w:rFonts w:ascii="Arial" w:hAnsi="Arial" w:cs="Arial"/>
        </w:rPr>
        <w:t>Aphasia is common following stroke (</w:t>
      </w:r>
      <w:proofErr w:type="spellStart"/>
      <w:r w:rsidRPr="001F4A28">
        <w:rPr>
          <w:rFonts w:ascii="Arial" w:hAnsi="Arial" w:cs="Arial"/>
        </w:rPr>
        <w:t>Bersano</w:t>
      </w:r>
      <w:proofErr w:type="spellEnd"/>
      <w:r w:rsidRPr="001F4A28">
        <w:rPr>
          <w:rFonts w:ascii="Arial" w:hAnsi="Arial" w:cs="Arial"/>
        </w:rPr>
        <w:t xml:space="preserve">, </w:t>
      </w:r>
      <w:proofErr w:type="spellStart"/>
      <w:r w:rsidRPr="001F4A28">
        <w:rPr>
          <w:rFonts w:ascii="Arial" w:hAnsi="Arial" w:cs="Arial"/>
        </w:rPr>
        <w:t>Burgio</w:t>
      </w:r>
      <w:proofErr w:type="spellEnd"/>
      <w:r w:rsidRPr="001F4A28">
        <w:rPr>
          <w:rFonts w:ascii="Arial" w:hAnsi="Arial" w:cs="Arial"/>
        </w:rPr>
        <w:t xml:space="preserve">, </w:t>
      </w:r>
      <w:proofErr w:type="spellStart"/>
      <w:r w:rsidRPr="001F4A28">
        <w:rPr>
          <w:rFonts w:ascii="Arial" w:hAnsi="Arial" w:cs="Arial"/>
        </w:rPr>
        <w:t>Gattinoni</w:t>
      </w:r>
      <w:proofErr w:type="spellEnd"/>
      <w:r w:rsidRPr="001F4A28">
        <w:rPr>
          <w:rFonts w:ascii="Arial" w:hAnsi="Arial" w:cs="Arial"/>
        </w:rPr>
        <w:t xml:space="preserve">, &amp; </w:t>
      </w:r>
      <w:proofErr w:type="spellStart"/>
      <w:r w:rsidRPr="001F4A28">
        <w:rPr>
          <w:rFonts w:ascii="Arial" w:hAnsi="Arial" w:cs="Arial"/>
        </w:rPr>
        <w:t>Candelise</w:t>
      </w:r>
      <w:proofErr w:type="spellEnd"/>
      <w:r w:rsidRPr="001F4A28">
        <w:rPr>
          <w:rFonts w:ascii="Arial" w:hAnsi="Arial" w:cs="Arial"/>
        </w:rPr>
        <w:t xml:space="preserve">, 2009; Pederson, Jorgensen, Nakayama, Raaschou, &amp; Olsen, 1995) and Scarpa, Colombo, </w:t>
      </w:r>
      <w:proofErr w:type="spellStart"/>
      <w:r w:rsidRPr="001F4A28">
        <w:rPr>
          <w:rFonts w:ascii="Arial" w:hAnsi="Arial" w:cs="Arial"/>
        </w:rPr>
        <w:t>Sorgato</w:t>
      </w:r>
      <w:proofErr w:type="spellEnd"/>
      <w:r w:rsidRPr="001F4A28">
        <w:rPr>
          <w:rFonts w:ascii="Arial" w:hAnsi="Arial" w:cs="Arial"/>
        </w:rPr>
        <w:t xml:space="preserve">, &amp; </w:t>
      </w:r>
      <w:proofErr w:type="spellStart"/>
      <w:r w:rsidRPr="001F4A28">
        <w:rPr>
          <w:rFonts w:ascii="Arial" w:hAnsi="Arial" w:cs="Arial"/>
        </w:rPr>
        <w:t>DeRenzi</w:t>
      </w:r>
      <w:proofErr w:type="spellEnd"/>
      <w:r w:rsidRPr="001F4A28">
        <w:rPr>
          <w:rFonts w:ascii="Arial" w:hAnsi="Arial" w:cs="Arial"/>
        </w:rPr>
        <w:t xml:space="preserve"> (1987) states that recent studies utilizing neuroimaging techniques reveal a neural network for language processing that extends well beyond the classically discussed Broca’s and Wernicke’s areas. Language processing involves cortical regions such as the temporal and prefrontal regions of the left hemisphere beyond Broca’s and Wernicke’s areas with also implicated subcortical regions of the left basal ganglia and thalamus (Damasio &amp; Tranel, 1993; Damasio, Damasio, Rizzo, Varney, &amp; </w:t>
      </w:r>
      <w:proofErr w:type="spellStart"/>
      <w:r w:rsidRPr="001F4A28">
        <w:rPr>
          <w:rFonts w:ascii="Arial" w:hAnsi="Arial" w:cs="Arial"/>
        </w:rPr>
        <w:t>Gersh</w:t>
      </w:r>
      <w:proofErr w:type="spellEnd"/>
      <w:r w:rsidRPr="001F4A28">
        <w:rPr>
          <w:rFonts w:ascii="Arial" w:hAnsi="Arial" w:cs="Arial"/>
        </w:rPr>
        <w:t xml:space="preserve">, 1982; Graff-Radford, </w:t>
      </w:r>
      <w:proofErr w:type="spellStart"/>
      <w:r w:rsidRPr="001F4A28">
        <w:rPr>
          <w:rFonts w:ascii="Arial" w:hAnsi="Arial" w:cs="Arial"/>
        </w:rPr>
        <w:t>Schelper</w:t>
      </w:r>
      <w:proofErr w:type="spellEnd"/>
      <w:r w:rsidRPr="001F4A28">
        <w:rPr>
          <w:rFonts w:ascii="Arial" w:hAnsi="Arial" w:cs="Arial"/>
        </w:rPr>
        <w:t xml:space="preserve">, </w:t>
      </w:r>
      <w:proofErr w:type="spellStart"/>
      <w:r w:rsidRPr="001F4A28">
        <w:rPr>
          <w:rFonts w:ascii="Arial" w:hAnsi="Arial" w:cs="Arial"/>
        </w:rPr>
        <w:t>Ilinsky</w:t>
      </w:r>
      <w:proofErr w:type="spellEnd"/>
      <w:r w:rsidRPr="001F4A28">
        <w:rPr>
          <w:rFonts w:ascii="Arial" w:hAnsi="Arial" w:cs="Arial"/>
        </w:rPr>
        <w:t xml:space="preserve">, &amp; Damasio, 1985). According to Stahl, Kotz, Henseler, Turner, &amp; Geyer, (2011, p. 3085) “non-fluent aphasia usually co-occurs with speech disorders that include difficulties to plan and to execute oral, speech-specific movements (apraxia of speech), to coordinate articulatory organs, respiration and larynx (dysarthria) or to swallow (dysphasia)”. </w:t>
      </w:r>
    </w:p>
    <w:p w14:paraId="05A40204" w14:textId="77777777" w:rsidR="001F4A28" w:rsidRPr="001F4A28" w:rsidRDefault="001F4A28" w:rsidP="001F4A28">
      <w:pPr>
        <w:pStyle w:val="Body"/>
        <w:rPr>
          <w:rFonts w:ascii="Arial" w:hAnsi="Arial" w:cs="Arial"/>
        </w:rPr>
      </w:pPr>
      <w:r w:rsidRPr="001F4A28">
        <w:rPr>
          <w:rFonts w:ascii="Arial" w:hAnsi="Arial" w:cs="Arial"/>
        </w:rPr>
        <w:t xml:space="preserve">Patients with a left hemisphere stroke frequently suffer from various language-related disorders that restrain or disrupt the spontaneous expression of speech. This type of impairments are commonly grouped together under the heading of non-fluent aphasia, a considerable number of patients with non-fluent aphasia never recover completely, even with intensive therapy (Stahl, Kotz, Henseler, Turner, &amp; Geyer, 2011). For nearly two centuries clinicians have observed that patients with non-fluent aphasia are nevertheless able to sing, with some even being able to sing words (Mills, 1904; </w:t>
      </w:r>
      <w:proofErr w:type="spellStart"/>
      <w:r w:rsidRPr="001F4A28">
        <w:rPr>
          <w:rFonts w:ascii="Arial" w:hAnsi="Arial" w:cs="Arial"/>
        </w:rPr>
        <w:t>Gerstmann</w:t>
      </w:r>
      <w:proofErr w:type="spellEnd"/>
      <w:r w:rsidRPr="001F4A28">
        <w:rPr>
          <w:rFonts w:ascii="Arial" w:hAnsi="Arial" w:cs="Arial"/>
        </w:rPr>
        <w:t xml:space="preserve">, 1964; </w:t>
      </w:r>
      <w:proofErr w:type="spellStart"/>
      <w:r w:rsidRPr="001F4A28">
        <w:rPr>
          <w:rFonts w:ascii="Arial" w:hAnsi="Arial" w:cs="Arial"/>
        </w:rPr>
        <w:t>Yamadori</w:t>
      </w:r>
      <w:proofErr w:type="spellEnd"/>
      <w:r w:rsidRPr="001F4A28">
        <w:rPr>
          <w:rFonts w:ascii="Arial" w:hAnsi="Arial" w:cs="Arial"/>
        </w:rPr>
        <w:t xml:space="preserve">, </w:t>
      </w:r>
      <w:proofErr w:type="spellStart"/>
      <w:r w:rsidRPr="001F4A28">
        <w:rPr>
          <w:rFonts w:ascii="Arial" w:hAnsi="Arial" w:cs="Arial"/>
        </w:rPr>
        <w:t>Osumi</w:t>
      </w:r>
      <w:proofErr w:type="spellEnd"/>
      <w:r w:rsidRPr="001F4A28">
        <w:rPr>
          <w:rFonts w:ascii="Arial" w:hAnsi="Arial" w:cs="Arial"/>
        </w:rPr>
        <w:t xml:space="preserve">, Masuhara, &amp; Okubo, 1977). This observation has inspired a number of clinical interventions worldwide; among them the highly discussed is MIT (Albert, Sparks, &amp; </w:t>
      </w:r>
      <w:r w:rsidRPr="001F4A28">
        <w:rPr>
          <w:rFonts w:ascii="Arial" w:hAnsi="Arial" w:cs="Arial"/>
        </w:rPr>
        <w:lastRenderedPageBreak/>
        <w:t xml:space="preserve">Helm, 1973). MIT has been reported as an effective treatment approach to non-fluent aphasia since its first introduction (Albert, Sparks, &amp; Helm, 1973). It utilizes the musical elements of speech (rhythm and melody) to facilitate speech production by capitalizing on some functions presumably sub-served by the undamaged right hemisphere for patients with non-fluent aphasia (Norton, </w:t>
      </w:r>
      <w:proofErr w:type="spellStart"/>
      <w:r w:rsidRPr="001F4A28">
        <w:rPr>
          <w:rFonts w:ascii="Arial" w:hAnsi="Arial" w:cs="Arial"/>
        </w:rPr>
        <w:t>Zipse</w:t>
      </w:r>
      <w:proofErr w:type="spellEnd"/>
      <w:r w:rsidRPr="001F4A28">
        <w:rPr>
          <w:rFonts w:ascii="Arial" w:hAnsi="Arial" w:cs="Arial"/>
        </w:rPr>
        <w:t xml:space="preserve">, </w:t>
      </w:r>
      <w:proofErr w:type="spellStart"/>
      <w:r w:rsidRPr="001F4A28">
        <w:rPr>
          <w:rFonts w:ascii="Arial" w:hAnsi="Arial" w:cs="Arial"/>
        </w:rPr>
        <w:t>Marchina</w:t>
      </w:r>
      <w:proofErr w:type="spellEnd"/>
      <w:r w:rsidRPr="001F4A28">
        <w:rPr>
          <w:rFonts w:ascii="Arial" w:hAnsi="Arial" w:cs="Arial"/>
        </w:rPr>
        <w:t xml:space="preserve">, &amp; </w:t>
      </w:r>
      <w:proofErr w:type="spellStart"/>
      <w:r w:rsidRPr="001F4A28">
        <w:rPr>
          <w:rFonts w:ascii="Arial" w:hAnsi="Arial" w:cs="Arial"/>
        </w:rPr>
        <w:t>Schlaug</w:t>
      </w:r>
      <w:proofErr w:type="spellEnd"/>
      <w:r w:rsidRPr="001F4A28">
        <w:rPr>
          <w:rFonts w:ascii="Arial" w:hAnsi="Arial" w:cs="Arial"/>
        </w:rPr>
        <w:t xml:space="preserve">, 2009). MIT was developed as a compensatory strategy for facilitating and retrieving propositional (see glossary) language in people with aphasia (Kouri, &amp; Winn, 2006).  Racette, Bard, &amp; Peretz, (2006, p. 2571), claimed that “MIT treatments emphasizing rhythm (with stressing points emphasized by the spoken syllable and hand tapping) lead to better syllable repetition than treatments emphasizing intonation (tone contour and melodic intonation)”. MIT’s advantage is related to rhythm which is that singing slows down the rate of word production and thereby may improve intelligibility (Laughlin, </w:t>
      </w:r>
      <w:proofErr w:type="spellStart"/>
      <w:r w:rsidRPr="001F4A28">
        <w:rPr>
          <w:rFonts w:ascii="Arial" w:hAnsi="Arial" w:cs="Arial"/>
        </w:rPr>
        <w:t>Naeser</w:t>
      </w:r>
      <w:proofErr w:type="spellEnd"/>
      <w:r w:rsidRPr="001F4A28">
        <w:rPr>
          <w:rFonts w:ascii="Arial" w:hAnsi="Arial" w:cs="Arial"/>
        </w:rPr>
        <w:t xml:space="preserve">, &amp; Gordon, 1979; Pilon, McIntosh, &amp; Thaut, 1998). </w:t>
      </w:r>
    </w:p>
    <w:p w14:paraId="7FEDFCA9" w14:textId="77777777" w:rsidR="001F4A28" w:rsidRPr="001F4A28" w:rsidRDefault="001F4A28" w:rsidP="001F4A28">
      <w:pPr>
        <w:pStyle w:val="Body"/>
        <w:rPr>
          <w:rFonts w:ascii="Arial" w:hAnsi="Arial" w:cs="Arial"/>
        </w:rPr>
      </w:pPr>
      <w:r w:rsidRPr="001F4A28">
        <w:rPr>
          <w:rFonts w:ascii="Arial" w:hAnsi="Arial" w:cs="Arial"/>
        </w:rPr>
        <w:t xml:space="preserve">MIT is described by Sparks and Holland (1976) as a method to aid adults with severe aphasia in recovery of the ability to encode thoughts into units of meaningful verbal communication. MIT was inspired by the observation that individuals with non-fluent aphasia sometimes can sing words or phrases that they normally cannot speak. This phenomenon has been noticed for the past 250 years (Brust, 2001). In studies, patients were able to sing entire songs with provided text that they could not speak with normal intonation (Wilson, Parsons, &amp; </w:t>
      </w:r>
      <w:proofErr w:type="spellStart"/>
      <w:r w:rsidRPr="001F4A28">
        <w:rPr>
          <w:rFonts w:ascii="Arial" w:hAnsi="Arial" w:cs="Arial"/>
        </w:rPr>
        <w:t>Reutens</w:t>
      </w:r>
      <w:proofErr w:type="spellEnd"/>
      <w:r w:rsidRPr="001F4A28">
        <w:rPr>
          <w:rFonts w:ascii="Arial" w:hAnsi="Arial" w:cs="Arial"/>
        </w:rPr>
        <w:t>, 2006). It is believed that this is because singing capabilities are stored in the right hemisphere of the brain, which is likely to remain unaffected after a stroke in the left hemisphere (</w:t>
      </w:r>
      <w:proofErr w:type="spellStart"/>
      <w:r w:rsidRPr="001F4A28">
        <w:rPr>
          <w:rFonts w:ascii="Arial" w:hAnsi="Arial" w:cs="Arial"/>
        </w:rPr>
        <w:t>Schlaug</w:t>
      </w:r>
      <w:proofErr w:type="spellEnd"/>
      <w:r w:rsidRPr="001F4A28">
        <w:rPr>
          <w:rFonts w:ascii="Arial" w:hAnsi="Arial" w:cs="Arial"/>
        </w:rPr>
        <w:t xml:space="preserve">, </w:t>
      </w:r>
      <w:proofErr w:type="spellStart"/>
      <w:r w:rsidRPr="001F4A28">
        <w:rPr>
          <w:rFonts w:ascii="Arial" w:hAnsi="Arial" w:cs="Arial"/>
        </w:rPr>
        <w:t>Marchina</w:t>
      </w:r>
      <w:proofErr w:type="spellEnd"/>
      <w:r w:rsidRPr="001F4A28">
        <w:rPr>
          <w:rFonts w:ascii="Arial" w:hAnsi="Arial" w:cs="Arial"/>
        </w:rPr>
        <w:t xml:space="preserve">, &amp; </w:t>
      </w:r>
      <w:proofErr w:type="spellStart"/>
      <w:r w:rsidRPr="001F4A28">
        <w:rPr>
          <w:rFonts w:ascii="Arial" w:hAnsi="Arial" w:cs="Arial"/>
        </w:rPr>
        <w:t>Nortan</w:t>
      </w:r>
      <w:proofErr w:type="spellEnd"/>
      <w:r w:rsidRPr="001F4A28">
        <w:rPr>
          <w:rFonts w:ascii="Arial" w:hAnsi="Arial" w:cs="Arial"/>
        </w:rPr>
        <w:t xml:space="preserve">, 2008). The goal of MIT is to utilize singing to access the language-capable region in the right hemisphere and use these regions to compensate for lost function in the left hemisphere (Sparks &amp; Holland 1976). </w:t>
      </w:r>
    </w:p>
    <w:p w14:paraId="6802DBD9" w14:textId="77777777" w:rsidR="001F4A28" w:rsidRPr="001F4A28" w:rsidRDefault="001F4A28" w:rsidP="001F4A28">
      <w:pPr>
        <w:pStyle w:val="Body"/>
        <w:rPr>
          <w:rFonts w:ascii="Arial" w:hAnsi="Arial" w:cs="Arial"/>
        </w:rPr>
      </w:pPr>
      <w:r w:rsidRPr="001F4A28">
        <w:rPr>
          <w:rFonts w:ascii="Arial" w:hAnsi="Arial" w:cs="Arial"/>
        </w:rPr>
        <w:t xml:space="preserve">The efficacy of MIT has been proven by studies that show that MIT can result in greater recovery when compared to non-intonation therapy (Wilson, Parsons, &amp; </w:t>
      </w:r>
      <w:proofErr w:type="spellStart"/>
      <w:r w:rsidRPr="001F4A28">
        <w:rPr>
          <w:rFonts w:ascii="Arial" w:hAnsi="Arial" w:cs="Arial"/>
        </w:rPr>
        <w:t>Reutens</w:t>
      </w:r>
      <w:proofErr w:type="spellEnd"/>
      <w:r w:rsidRPr="001F4A28">
        <w:rPr>
          <w:rFonts w:ascii="Arial" w:hAnsi="Arial" w:cs="Arial"/>
        </w:rPr>
        <w:t>, 2006).  Functional magnetic resonance imaging (fMRI) studies have proven that MIT uses both sides of the brain to recover lost function, as opposed to traditional therapies that utilize only the left hemisphere (Crosson, et al. 2007). Furthermore, it has been seen that, in MIT, individuals with small lesions in the left hemisphere seem to recover by activation of the left hemisphere perilesional cortex, while, in individuals with larger left-hemisphere lesions, there is a recruitment of the use of language-capable regions in the right hemisphere (</w:t>
      </w:r>
      <w:proofErr w:type="spellStart"/>
      <w:r w:rsidRPr="001F4A28">
        <w:rPr>
          <w:rFonts w:ascii="Arial" w:hAnsi="Arial" w:cs="Arial"/>
        </w:rPr>
        <w:t>Schlaug</w:t>
      </w:r>
      <w:proofErr w:type="spellEnd"/>
      <w:r w:rsidRPr="001F4A28">
        <w:rPr>
          <w:rFonts w:ascii="Arial" w:hAnsi="Arial" w:cs="Arial"/>
        </w:rPr>
        <w:t xml:space="preserve">, </w:t>
      </w:r>
      <w:proofErr w:type="spellStart"/>
      <w:r w:rsidRPr="001F4A28">
        <w:rPr>
          <w:rFonts w:ascii="Arial" w:hAnsi="Arial" w:cs="Arial"/>
        </w:rPr>
        <w:t>Marchina</w:t>
      </w:r>
      <w:proofErr w:type="spellEnd"/>
      <w:r w:rsidRPr="001F4A28">
        <w:rPr>
          <w:rFonts w:ascii="Arial" w:hAnsi="Arial" w:cs="Arial"/>
        </w:rPr>
        <w:t xml:space="preserve">, &amp; </w:t>
      </w:r>
      <w:proofErr w:type="spellStart"/>
      <w:r w:rsidRPr="001F4A28">
        <w:rPr>
          <w:rFonts w:ascii="Arial" w:hAnsi="Arial" w:cs="Arial"/>
        </w:rPr>
        <w:t>Nortan</w:t>
      </w:r>
      <w:proofErr w:type="spellEnd"/>
      <w:r w:rsidRPr="001F4A28">
        <w:rPr>
          <w:rFonts w:ascii="Arial" w:hAnsi="Arial" w:cs="Arial"/>
        </w:rPr>
        <w:t xml:space="preserve">, 2008). Though the original intention for developing MIT was to assist aphasic patients in regaining some of their ability to use language (Albert, Sparks and Helm, 1973; Sparks, &amp; Holland, 1976), some clinicians are using the technique as a phonological intervention for clients with verbal apraxia and foreign accent reduction (Wambaugh, &amp; Martinez, 2000; </w:t>
      </w:r>
      <w:proofErr w:type="spellStart"/>
      <w:r w:rsidRPr="001F4A28">
        <w:rPr>
          <w:rFonts w:ascii="Arial" w:hAnsi="Arial" w:cs="Arial"/>
        </w:rPr>
        <w:t>Martikainen</w:t>
      </w:r>
      <w:proofErr w:type="spellEnd"/>
      <w:r w:rsidRPr="001F4A28">
        <w:rPr>
          <w:rFonts w:ascii="Arial" w:hAnsi="Arial" w:cs="Arial"/>
        </w:rPr>
        <w:t xml:space="preserve">, &amp; </w:t>
      </w:r>
      <w:proofErr w:type="spellStart"/>
      <w:r w:rsidRPr="001F4A28">
        <w:rPr>
          <w:rFonts w:ascii="Arial" w:hAnsi="Arial" w:cs="Arial"/>
        </w:rPr>
        <w:t>Korpilahti</w:t>
      </w:r>
      <w:proofErr w:type="spellEnd"/>
      <w:r w:rsidRPr="001F4A28">
        <w:rPr>
          <w:rFonts w:ascii="Arial" w:hAnsi="Arial" w:cs="Arial"/>
        </w:rPr>
        <w:t xml:space="preserve">, 2011; Blythe, 2012). MIT was originally designed to lead non-fluent aphasics from intoning (singing) simple 2-3 syllable phrases to speaking phrases of five or more syllables (Sparks, Helm, &amp; Albert, 1974); </w:t>
      </w:r>
    </w:p>
    <w:p w14:paraId="50B908CB" w14:textId="77777777" w:rsidR="001F4A28" w:rsidRPr="001F4A28" w:rsidRDefault="001F4A28" w:rsidP="001F4A28">
      <w:pPr>
        <w:pStyle w:val="Body"/>
        <w:rPr>
          <w:rFonts w:ascii="Arial" w:hAnsi="Arial" w:cs="Arial"/>
        </w:rPr>
      </w:pPr>
      <w:r w:rsidRPr="001F4A28">
        <w:rPr>
          <w:rFonts w:ascii="Arial" w:hAnsi="Arial" w:cs="Arial"/>
        </w:rPr>
        <w:t xml:space="preserve">The supportive evidence comes predominantly from case or case series reports (Sparks, Helm &amp; Albert, 1974) of 8 patients who had shown no improvement in verbal expression (despite other therapy) before entering the MIT program. Six of the 8 patients had notable improvement in propositional speech with MIT.   Marshall and Holtzapple (1976) examined 4 patients by using MIT and 3 patients showed improvement after applied MIT. One patient had no improvement just after MIT, but improvement on follow-up. Goldfarb and Bader (1979) as cited in van der </w:t>
      </w:r>
      <w:proofErr w:type="spellStart"/>
      <w:r w:rsidRPr="001F4A28">
        <w:rPr>
          <w:rFonts w:ascii="Arial" w:hAnsi="Arial" w:cs="Arial"/>
        </w:rPr>
        <w:t>Meulen</w:t>
      </w:r>
      <w:proofErr w:type="spellEnd"/>
      <w:r w:rsidRPr="001F4A28">
        <w:rPr>
          <w:rFonts w:ascii="Arial" w:hAnsi="Arial" w:cs="Arial"/>
        </w:rPr>
        <w:t xml:space="preserve">, van de </w:t>
      </w:r>
      <w:proofErr w:type="spellStart"/>
      <w:r w:rsidRPr="001F4A28">
        <w:rPr>
          <w:rFonts w:ascii="Arial" w:hAnsi="Arial" w:cs="Arial"/>
        </w:rPr>
        <w:t>Sandt-Koenderman</w:t>
      </w:r>
      <w:proofErr w:type="spellEnd"/>
      <w:r w:rsidRPr="001F4A28">
        <w:rPr>
          <w:rFonts w:ascii="Arial" w:hAnsi="Arial" w:cs="Arial"/>
        </w:rPr>
        <w:t xml:space="preserve">, &amp; </w:t>
      </w:r>
      <w:proofErr w:type="spellStart"/>
      <w:r w:rsidRPr="001F4A28">
        <w:rPr>
          <w:rFonts w:ascii="Arial" w:hAnsi="Arial" w:cs="Arial"/>
        </w:rPr>
        <w:t>Ribbers</w:t>
      </w:r>
      <w:proofErr w:type="spellEnd"/>
      <w:r w:rsidRPr="001F4A28">
        <w:rPr>
          <w:rFonts w:ascii="Arial" w:hAnsi="Arial" w:cs="Arial"/>
        </w:rPr>
        <w:t xml:space="preserve"> (2012) had shown on a single case and found improvement in trained phrases. Popovici and Mihailescu (1992) as cited in van der </w:t>
      </w:r>
      <w:proofErr w:type="spellStart"/>
      <w:r w:rsidRPr="001F4A28">
        <w:rPr>
          <w:rFonts w:ascii="Arial" w:hAnsi="Arial" w:cs="Arial"/>
        </w:rPr>
        <w:t>Meulen</w:t>
      </w:r>
      <w:proofErr w:type="spellEnd"/>
      <w:r w:rsidRPr="001F4A28">
        <w:rPr>
          <w:rFonts w:ascii="Arial" w:hAnsi="Arial" w:cs="Arial"/>
        </w:rPr>
        <w:t xml:space="preserve">, van de </w:t>
      </w:r>
      <w:proofErr w:type="spellStart"/>
      <w:r w:rsidRPr="001F4A28">
        <w:rPr>
          <w:rFonts w:ascii="Arial" w:hAnsi="Arial" w:cs="Arial"/>
        </w:rPr>
        <w:t>Sandt-Koenderman</w:t>
      </w:r>
      <w:proofErr w:type="spellEnd"/>
      <w:r w:rsidRPr="001F4A28">
        <w:rPr>
          <w:rFonts w:ascii="Arial" w:hAnsi="Arial" w:cs="Arial"/>
        </w:rPr>
        <w:t xml:space="preserve">, &amp; </w:t>
      </w:r>
      <w:proofErr w:type="spellStart"/>
      <w:r w:rsidRPr="001F4A28">
        <w:rPr>
          <w:rFonts w:ascii="Arial" w:hAnsi="Arial" w:cs="Arial"/>
        </w:rPr>
        <w:t>Ribbers</w:t>
      </w:r>
      <w:proofErr w:type="spellEnd"/>
      <w:r w:rsidRPr="001F4A28">
        <w:rPr>
          <w:rFonts w:ascii="Arial" w:hAnsi="Arial" w:cs="Arial"/>
        </w:rPr>
        <w:t xml:space="preserve"> (2012) studied the largest cohort (80 patients on MIT group, 80 patients on control group), but they combined MIT with reading and writing. This differs considerably from the classic MIT approach, in which the use of reading and writing is not allowed. Their study showed significantly higher improvement on verbal output measures (repetition and naming) in MIT group. </w:t>
      </w:r>
    </w:p>
    <w:p w14:paraId="65934257" w14:textId="77777777" w:rsidR="001F4A28" w:rsidRPr="001F4A28" w:rsidRDefault="001F4A28" w:rsidP="001F4A28">
      <w:pPr>
        <w:pStyle w:val="Body"/>
        <w:rPr>
          <w:rFonts w:ascii="Arial" w:hAnsi="Arial" w:cs="Arial"/>
        </w:rPr>
      </w:pPr>
      <w:r w:rsidRPr="001F4A28">
        <w:rPr>
          <w:rFonts w:ascii="Arial" w:hAnsi="Arial" w:cs="Arial"/>
        </w:rPr>
        <w:t xml:space="preserve">Belin et al., (1996) studied on 7 patients with non-fluent aphasia and found significant improvement on language outcome measures during MIT in all participants. Carlomagno et al., (1997) and Baker (2000) as cited in van der </w:t>
      </w:r>
      <w:proofErr w:type="spellStart"/>
      <w:r w:rsidRPr="001F4A28">
        <w:rPr>
          <w:rFonts w:ascii="Arial" w:hAnsi="Arial" w:cs="Arial"/>
        </w:rPr>
        <w:t>Meulen</w:t>
      </w:r>
      <w:proofErr w:type="spellEnd"/>
      <w:r w:rsidRPr="001F4A28">
        <w:rPr>
          <w:rFonts w:ascii="Arial" w:hAnsi="Arial" w:cs="Arial"/>
        </w:rPr>
        <w:t xml:space="preserve">, van de </w:t>
      </w:r>
      <w:proofErr w:type="spellStart"/>
      <w:r w:rsidRPr="001F4A28">
        <w:rPr>
          <w:rFonts w:ascii="Arial" w:hAnsi="Arial" w:cs="Arial"/>
        </w:rPr>
        <w:t>Sandt-Koenderman</w:t>
      </w:r>
      <w:proofErr w:type="spellEnd"/>
      <w:r w:rsidRPr="001F4A28">
        <w:rPr>
          <w:rFonts w:ascii="Arial" w:hAnsi="Arial" w:cs="Arial"/>
        </w:rPr>
        <w:t xml:space="preserve">, &amp; </w:t>
      </w:r>
      <w:proofErr w:type="spellStart"/>
      <w:r w:rsidRPr="001F4A28">
        <w:rPr>
          <w:rFonts w:ascii="Arial" w:hAnsi="Arial" w:cs="Arial"/>
        </w:rPr>
        <w:t>Ribbers</w:t>
      </w:r>
      <w:proofErr w:type="spellEnd"/>
      <w:r w:rsidRPr="001F4A28">
        <w:rPr>
          <w:rFonts w:ascii="Arial" w:hAnsi="Arial" w:cs="Arial"/>
        </w:rPr>
        <w:t xml:space="preserve"> (2012) examined two </w:t>
      </w:r>
      <w:r w:rsidRPr="001F4A28">
        <w:rPr>
          <w:rFonts w:ascii="Arial" w:hAnsi="Arial" w:cs="Arial"/>
        </w:rPr>
        <w:lastRenderedPageBreak/>
        <w:t xml:space="preserve">patient and found improvement on outcome measures of repetition and naming tests production of trained words and phrases. </w:t>
      </w:r>
      <w:proofErr w:type="spellStart"/>
      <w:r w:rsidRPr="001F4A28">
        <w:rPr>
          <w:rFonts w:ascii="Arial" w:hAnsi="Arial" w:cs="Arial"/>
        </w:rPr>
        <w:t>Bonakdapour</w:t>
      </w:r>
      <w:proofErr w:type="spellEnd"/>
      <w:r w:rsidRPr="001F4A28">
        <w:rPr>
          <w:rFonts w:ascii="Arial" w:hAnsi="Arial" w:cs="Arial"/>
        </w:rPr>
        <w:t xml:space="preserve">, </w:t>
      </w:r>
      <w:proofErr w:type="spellStart"/>
      <w:r w:rsidRPr="001F4A28">
        <w:rPr>
          <w:rFonts w:ascii="Arial" w:hAnsi="Arial" w:cs="Arial"/>
        </w:rPr>
        <w:t>Eftekharzadeh</w:t>
      </w:r>
      <w:proofErr w:type="spellEnd"/>
      <w:r w:rsidRPr="001F4A28">
        <w:rPr>
          <w:rFonts w:ascii="Arial" w:hAnsi="Arial" w:cs="Arial"/>
        </w:rPr>
        <w:t xml:space="preserve"> &amp; </w:t>
      </w:r>
      <w:proofErr w:type="spellStart"/>
      <w:r w:rsidRPr="001F4A28">
        <w:rPr>
          <w:rFonts w:ascii="Arial" w:hAnsi="Arial" w:cs="Arial"/>
        </w:rPr>
        <w:t>Ashayeri</w:t>
      </w:r>
      <w:proofErr w:type="spellEnd"/>
      <w:r w:rsidRPr="001F4A28">
        <w:rPr>
          <w:rFonts w:ascii="Arial" w:hAnsi="Arial" w:cs="Arial"/>
        </w:rPr>
        <w:t xml:space="preserve">, (2003) examined the effect of MIT in a group of 7 Persian-speaking individuals with chronic non-fluent aphasia (no control group). Results indicated significant improvement on subtests standard aphasia test; correct information units (CIUs) in connected speech. Wilson, Parsons &amp; </w:t>
      </w:r>
      <w:proofErr w:type="spellStart"/>
      <w:r w:rsidRPr="001F4A28">
        <w:rPr>
          <w:rFonts w:ascii="Arial" w:hAnsi="Arial" w:cs="Arial"/>
        </w:rPr>
        <w:t>Reutens</w:t>
      </w:r>
      <w:proofErr w:type="spellEnd"/>
      <w:r w:rsidRPr="001F4A28">
        <w:rPr>
          <w:rFonts w:ascii="Arial" w:hAnsi="Arial" w:cs="Arial"/>
        </w:rPr>
        <w:t xml:space="preserve"> (2006) studied of a single case where outcome measure had production of trained and untrained items in MIT repetition versus normative repetition. Result indicated that no difference between MIT repetition and normative repetition directly after therapy. </w:t>
      </w:r>
      <w:proofErr w:type="spellStart"/>
      <w:r w:rsidRPr="001F4A28">
        <w:rPr>
          <w:rFonts w:ascii="Arial" w:hAnsi="Arial" w:cs="Arial"/>
        </w:rPr>
        <w:t>Schlaug</w:t>
      </w:r>
      <w:proofErr w:type="spellEnd"/>
      <w:r w:rsidRPr="001F4A28">
        <w:rPr>
          <w:rFonts w:ascii="Arial" w:hAnsi="Arial" w:cs="Arial"/>
        </w:rPr>
        <w:t xml:space="preserve">, </w:t>
      </w:r>
      <w:proofErr w:type="spellStart"/>
      <w:r w:rsidRPr="001F4A28">
        <w:rPr>
          <w:rFonts w:ascii="Arial" w:hAnsi="Arial" w:cs="Arial"/>
        </w:rPr>
        <w:t>Marchina</w:t>
      </w:r>
      <w:proofErr w:type="spellEnd"/>
      <w:r w:rsidRPr="001F4A28">
        <w:rPr>
          <w:rFonts w:ascii="Arial" w:hAnsi="Arial" w:cs="Arial"/>
        </w:rPr>
        <w:t xml:space="preserve"> &amp; Norton, (2008 &amp; 2009) studied on two &amp; six patients with case-control and neuroimaging design for measuring picture naming; correct information units (CIUs) in connected speech and result showed that experimental group greater improvement than the control group in speech outcome measures.  </w:t>
      </w:r>
    </w:p>
    <w:p w14:paraId="5D64E157" w14:textId="77777777" w:rsidR="001F4A28" w:rsidRDefault="001F4A28" w:rsidP="001F4A28">
      <w:pPr>
        <w:pStyle w:val="Body"/>
        <w:spacing w:after="0"/>
        <w:rPr>
          <w:rFonts w:ascii="Arial" w:hAnsi="Arial" w:cs="Arial"/>
        </w:rPr>
      </w:pPr>
      <w:r w:rsidRPr="001F4A28">
        <w:rPr>
          <w:rFonts w:ascii="Arial" w:hAnsi="Arial" w:cs="Arial"/>
        </w:rPr>
        <w:t xml:space="preserve">Hough, (2010) showed improvement in trained and untrained phrases, also at follow-up; increased communicative effectiveness and communicative independence on a single case. MIT program improvements not only in the area of verbal language but also in the areas of auditory comprehension in patients with non-fluent aphasia, though results are debated (Sparks, Helm &amp; Albert, 1974; Popovici &amp; </w:t>
      </w:r>
      <w:proofErr w:type="spellStart"/>
      <w:r w:rsidRPr="001F4A28">
        <w:rPr>
          <w:rFonts w:ascii="Arial" w:hAnsi="Arial" w:cs="Arial"/>
        </w:rPr>
        <w:t>Mihailescu</w:t>
      </w:r>
      <w:proofErr w:type="spellEnd"/>
      <w:r w:rsidRPr="001F4A28">
        <w:rPr>
          <w:rFonts w:ascii="Arial" w:hAnsi="Arial" w:cs="Arial"/>
        </w:rPr>
        <w:t xml:space="preserve">, 1992; </w:t>
      </w:r>
      <w:proofErr w:type="spellStart"/>
      <w:r w:rsidRPr="001F4A28">
        <w:rPr>
          <w:rFonts w:ascii="Arial" w:hAnsi="Arial" w:cs="Arial"/>
        </w:rPr>
        <w:t>Bonakdapour</w:t>
      </w:r>
      <w:proofErr w:type="spellEnd"/>
      <w:r w:rsidRPr="001F4A28">
        <w:rPr>
          <w:rFonts w:ascii="Arial" w:hAnsi="Arial" w:cs="Arial"/>
        </w:rPr>
        <w:t xml:space="preserve">, </w:t>
      </w:r>
      <w:proofErr w:type="spellStart"/>
      <w:r w:rsidRPr="001F4A28">
        <w:rPr>
          <w:rFonts w:ascii="Arial" w:hAnsi="Arial" w:cs="Arial"/>
        </w:rPr>
        <w:t>Eftekharzadeh</w:t>
      </w:r>
      <w:proofErr w:type="spellEnd"/>
      <w:r w:rsidRPr="001F4A28">
        <w:rPr>
          <w:rFonts w:ascii="Arial" w:hAnsi="Arial" w:cs="Arial"/>
        </w:rPr>
        <w:t xml:space="preserve"> &amp; </w:t>
      </w:r>
      <w:proofErr w:type="spellStart"/>
      <w:r w:rsidRPr="001F4A28">
        <w:rPr>
          <w:rFonts w:ascii="Arial" w:hAnsi="Arial" w:cs="Arial"/>
        </w:rPr>
        <w:t>Ashayeri</w:t>
      </w:r>
      <w:proofErr w:type="spellEnd"/>
      <w:r w:rsidRPr="001F4A28">
        <w:rPr>
          <w:rFonts w:ascii="Arial" w:hAnsi="Arial" w:cs="Arial"/>
        </w:rPr>
        <w:t>, 2003). The study of Springer, Willmes &amp; Haag (1993) was a cross-over study comparing 2 treatment methods in 12 German-speaking patients with non-fluent aphasia: MIT versus linguistically oriented treatment. One group (6 patients) received MIT; the other group (6 patients) received the linguistically oriented treatment for 2 weeks. Results indicated that greater immediate improvement after linguistic treatment than MIT. It was important to found whether MIT is effective for treating non-fluent aphasia or not so that the clinician can make decision about treatment procedure. So, the core task of this study was to evaluate the effectiveness of MIT for patients with non-fluent aphasia in Bangla language. Because most of the study had done in English language and other language e.g. Persian, Chinese but had no any study in Bangla language for finding effectiveness of MIT.</w:t>
      </w:r>
    </w:p>
    <w:p w14:paraId="0225A95D" w14:textId="77777777" w:rsidR="001F4A28" w:rsidRDefault="001F4A28" w:rsidP="001F4A28">
      <w:pPr>
        <w:pStyle w:val="Body"/>
        <w:spacing w:after="0"/>
        <w:rPr>
          <w:rFonts w:ascii="Arial" w:hAnsi="Arial" w:cs="Arial"/>
        </w:rPr>
      </w:pPr>
    </w:p>
    <w:p w14:paraId="79DF17B1" w14:textId="77777777" w:rsidR="001F4A28" w:rsidRDefault="001F4A28" w:rsidP="001F4A28">
      <w:pPr>
        <w:pStyle w:val="Body"/>
        <w:spacing w:after="0"/>
        <w:rPr>
          <w:rFonts w:ascii="Arial" w:hAnsi="Arial" w:cs="Arial"/>
          <w:b/>
        </w:rPr>
      </w:pPr>
      <w:r w:rsidRPr="001F4A28">
        <w:rPr>
          <w:rFonts w:ascii="Arial" w:hAnsi="Arial" w:cs="Arial"/>
          <w:b/>
        </w:rPr>
        <w:t xml:space="preserve">1.3 Rationale </w:t>
      </w:r>
    </w:p>
    <w:p w14:paraId="7E9CE95F" w14:textId="77777777" w:rsidR="001F4A28" w:rsidRDefault="001F4A28" w:rsidP="001F4A28">
      <w:pPr>
        <w:pStyle w:val="Body"/>
        <w:spacing w:after="0"/>
        <w:rPr>
          <w:rFonts w:ascii="Arial" w:hAnsi="Arial" w:cs="Arial"/>
        </w:rPr>
      </w:pPr>
    </w:p>
    <w:p w14:paraId="64B1CD08" w14:textId="77777777" w:rsidR="001F4A28" w:rsidRPr="001F4A28" w:rsidRDefault="001F4A28" w:rsidP="001F4A28">
      <w:pPr>
        <w:rPr>
          <w:rFonts w:ascii="Arial" w:hAnsi="Arial" w:cs="Arial"/>
        </w:rPr>
      </w:pPr>
      <w:r w:rsidRPr="001F4A28">
        <w:rPr>
          <w:rFonts w:ascii="Arial" w:hAnsi="Arial" w:cs="Arial"/>
        </w:rPr>
        <w:t>Still there is no research explaining the effectiveness of MIT in Bangladesh. Speech &amp; Language Therapy (SLT) is a new profession in Bangladesh and recently MIT is being used structurally for patients with non-fluent aphasia in Center for the Rehabilitation of the Paralyzed (CRP). This research would be helpful in making Speech &amp; Language Therapists (SLTs) aware of the importance of MIT for patients with non-fluent aphasia and would also encourage making the current SLT practice more evidence based, client centered and effective. Evidence based practice (EBP) considered to be a vital component of clinical effectiveness which involves identifying the most effective treatment for individual patient based on study findings as well as clinical experience (</w:t>
      </w:r>
      <w:proofErr w:type="spellStart"/>
      <w:r w:rsidRPr="001F4A28">
        <w:rPr>
          <w:rFonts w:ascii="Arial" w:hAnsi="Arial" w:cs="Arial"/>
        </w:rPr>
        <w:t>Dollaghan</w:t>
      </w:r>
      <w:proofErr w:type="spellEnd"/>
      <w:r w:rsidRPr="001F4A28">
        <w:rPr>
          <w:rFonts w:ascii="Arial" w:hAnsi="Arial" w:cs="Arial"/>
        </w:rPr>
        <w:t>, 2007). So this research would explore whether manipulation of MIT is effective or not for patients with non-fluent aphasia in Bangladesh. Thus this research would contribute to enhance the quality of SLT service in Bangladesh.</w:t>
      </w:r>
    </w:p>
    <w:p w14:paraId="14139EED" w14:textId="77777777" w:rsidR="001F4A28" w:rsidRDefault="001F4A28" w:rsidP="001F4A28">
      <w:pPr>
        <w:pStyle w:val="Body"/>
        <w:spacing w:after="0"/>
        <w:rPr>
          <w:rFonts w:ascii="Arial" w:hAnsi="Arial" w:cs="Arial"/>
        </w:rPr>
      </w:pPr>
    </w:p>
    <w:p w14:paraId="4FC4969B" w14:textId="77777777" w:rsidR="00A533D1" w:rsidRPr="00A533D1" w:rsidRDefault="00A533D1" w:rsidP="00A533D1">
      <w:pPr>
        <w:pStyle w:val="Body"/>
        <w:rPr>
          <w:rFonts w:ascii="Arial" w:hAnsi="Arial" w:cs="Arial"/>
          <w:b/>
        </w:rPr>
      </w:pPr>
      <w:r w:rsidRPr="00A533D1">
        <w:rPr>
          <w:rFonts w:ascii="Arial" w:hAnsi="Arial" w:cs="Arial"/>
          <w:b/>
        </w:rPr>
        <w:t>1.4 Operational Definition</w:t>
      </w:r>
    </w:p>
    <w:p w14:paraId="43D28E1A" w14:textId="77777777" w:rsidR="00A533D1" w:rsidRPr="00A533D1" w:rsidRDefault="00A533D1" w:rsidP="00A533D1">
      <w:pPr>
        <w:pStyle w:val="Body"/>
        <w:rPr>
          <w:rFonts w:ascii="Arial" w:hAnsi="Arial" w:cs="Arial"/>
          <w:b/>
        </w:rPr>
      </w:pPr>
      <w:r w:rsidRPr="00A533D1">
        <w:rPr>
          <w:rFonts w:ascii="Arial" w:hAnsi="Arial" w:cs="Arial"/>
          <w:b/>
        </w:rPr>
        <w:t>Effectiveness</w:t>
      </w:r>
    </w:p>
    <w:p w14:paraId="7FA25475" w14:textId="77777777" w:rsidR="00A533D1" w:rsidRPr="00A533D1" w:rsidRDefault="00A533D1" w:rsidP="00A533D1">
      <w:pPr>
        <w:pStyle w:val="Body"/>
        <w:rPr>
          <w:rFonts w:ascii="Arial" w:hAnsi="Arial" w:cs="Arial"/>
        </w:rPr>
      </w:pPr>
      <w:r w:rsidRPr="00A533D1">
        <w:rPr>
          <w:rFonts w:ascii="Arial" w:hAnsi="Arial" w:cs="Arial"/>
        </w:rPr>
        <w:t>Effectiveness is the capability of producing a desired result it means it has an intended or expected outcome which means creative, productive or effective (Harper &amp; Douglas, 2011). As Wojtczak (2002) cited in Harvey (2004) defined effectiveness is a measure of the extent to which a specific intervention, procedure, regimen, or service, when deployed in the field in routine circumstances, does what it is intended to do for a specified population. In health field, it is a measure of output from those health services that contribute towards reducing the dimension of a problem or improving an unsatisfactory situation (Sultana, 2011).</w:t>
      </w:r>
    </w:p>
    <w:p w14:paraId="118F049E" w14:textId="77777777" w:rsidR="00A533D1" w:rsidRDefault="00A533D1" w:rsidP="00A533D1">
      <w:pPr>
        <w:pStyle w:val="Body"/>
        <w:rPr>
          <w:rFonts w:ascii="Arial" w:hAnsi="Arial" w:cs="Arial"/>
        </w:rPr>
      </w:pPr>
      <w:r w:rsidRPr="00A533D1">
        <w:rPr>
          <w:rFonts w:ascii="Arial" w:hAnsi="Arial" w:cs="Arial"/>
        </w:rPr>
        <w:lastRenderedPageBreak/>
        <w:t xml:space="preserve">In this study the investigator tried to identify the extent to which MIT has an effect on expressive language modality in patients with non-fluent aphasia. This would help the investigator to set indicator and evidence and to collect meaningful information about MIT for the treatment of patients with non-fluent aphasia in CRP, Bangladesh. </w:t>
      </w:r>
    </w:p>
    <w:p w14:paraId="36B0DB78" w14:textId="77777777" w:rsidR="00A533D1" w:rsidRPr="00A533D1" w:rsidRDefault="00A533D1" w:rsidP="00A533D1">
      <w:pPr>
        <w:pStyle w:val="Body"/>
        <w:rPr>
          <w:rFonts w:ascii="Arial" w:hAnsi="Arial" w:cs="Arial"/>
          <w:b/>
        </w:rPr>
      </w:pPr>
      <w:r w:rsidRPr="00A533D1">
        <w:rPr>
          <w:rFonts w:ascii="Arial" w:hAnsi="Arial" w:cs="Arial"/>
          <w:b/>
        </w:rPr>
        <w:t>Non-fluent aphasia</w:t>
      </w:r>
    </w:p>
    <w:p w14:paraId="39E05BAB" w14:textId="77777777" w:rsidR="00A533D1" w:rsidRPr="00A533D1" w:rsidRDefault="00A533D1" w:rsidP="00A533D1">
      <w:pPr>
        <w:pStyle w:val="Body"/>
        <w:rPr>
          <w:rFonts w:ascii="Arial" w:hAnsi="Arial" w:cs="Arial"/>
        </w:rPr>
      </w:pPr>
      <w:r w:rsidRPr="00A533D1">
        <w:rPr>
          <w:rFonts w:ascii="Arial" w:hAnsi="Arial" w:cs="Arial"/>
        </w:rPr>
        <w:t xml:space="preserve">Non-fluent aphasia is most commonly results from a lesion in the left frontal lobe involving the left posterior inferior frontal region known as Broca’s area, the region is named after Paul Broca in 1864, who first linked this area of the brain with non-fluent aphasia; this region is thought to consist of the posterior inferior frontal gyrus encompassing Brodmann’s areas 44 and 45 (Kertesz, Lesk, &amp; McCabe, 1977; </w:t>
      </w:r>
      <w:proofErr w:type="spellStart"/>
      <w:r w:rsidRPr="00A533D1">
        <w:rPr>
          <w:rFonts w:ascii="Arial" w:hAnsi="Arial" w:cs="Arial"/>
        </w:rPr>
        <w:t>Schlaug</w:t>
      </w:r>
      <w:proofErr w:type="spellEnd"/>
      <w:r w:rsidRPr="00A533D1">
        <w:rPr>
          <w:rFonts w:ascii="Arial" w:hAnsi="Arial" w:cs="Arial"/>
        </w:rPr>
        <w:t xml:space="preserve">, Norton, </w:t>
      </w:r>
      <w:proofErr w:type="spellStart"/>
      <w:r w:rsidRPr="00A533D1">
        <w:rPr>
          <w:rFonts w:ascii="Arial" w:hAnsi="Arial" w:cs="Arial"/>
        </w:rPr>
        <w:t>Marchina</w:t>
      </w:r>
      <w:proofErr w:type="spellEnd"/>
      <w:r w:rsidRPr="00A533D1">
        <w:rPr>
          <w:rFonts w:ascii="Arial" w:hAnsi="Arial" w:cs="Arial"/>
        </w:rPr>
        <w:t xml:space="preserve">, </w:t>
      </w:r>
      <w:proofErr w:type="spellStart"/>
      <w:r w:rsidRPr="00A533D1">
        <w:rPr>
          <w:rFonts w:ascii="Arial" w:hAnsi="Arial" w:cs="Arial"/>
        </w:rPr>
        <w:t>Zipse</w:t>
      </w:r>
      <w:proofErr w:type="spellEnd"/>
      <w:r w:rsidRPr="00A533D1">
        <w:rPr>
          <w:rFonts w:ascii="Arial" w:hAnsi="Arial" w:cs="Arial"/>
        </w:rPr>
        <w:t>, &amp; Wan, 2010) and patients who are non-fluent usually have the ability to comprehend the speech of others, but are unable to produce words themselves (Kertesz, Lesk, &amp; McCabe, 1977). In older literature, it is called verbal aphasia (Head, 1920) non-fluent aphasia is characterized by the loss of the ability to produce language; spoken or written (</w:t>
      </w:r>
      <w:proofErr w:type="spellStart"/>
      <w:r w:rsidRPr="00A533D1">
        <w:rPr>
          <w:rFonts w:ascii="Arial" w:hAnsi="Arial" w:cs="Arial"/>
        </w:rPr>
        <w:t>Chapey</w:t>
      </w:r>
      <w:proofErr w:type="spellEnd"/>
      <w:r w:rsidRPr="00A533D1">
        <w:rPr>
          <w:rFonts w:ascii="Arial" w:hAnsi="Arial" w:cs="Arial"/>
        </w:rPr>
        <w:t xml:space="preserve">, 1994). </w:t>
      </w:r>
    </w:p>
    <w:p w14:paraId="6F297720" w14:textId="77777777" w:rsidR="00A533D1" w:rsidRPr="00A533D1" w:rsidRDefault="00A533D1" w:rsidP="00A533D1">
      <w:pPr>
        <w:pStyle w:val="Body"/>
        <w:rPr>
          <w:rFonts w:ascii="Arial" w:hAnsi="Arial" w:cs="Arial"/>
        </w:rPr>
      </w:pPr>
      <w:r w:rsidRPr="00A533D1">
        <w:rPr>
          <w:rFonts w:ascii="Arial" w:hAnsi="Arial" w:cs="Arial"/>
        </w:rPr>
        <w:t>The most common cause of non-fluent aphasia is brain damage resulting from a stroke — the blockage or rupture of a blood vessel in the brain. Some form of aphasia occurs in 34 to 38% of patients with stroke (</w:t>
      </w:r>
      <w:proofErr w:type="spellStart"/>
      <w:r w:rsidRPr="00A533D1">
        <w:rPr>
          <w:rFonts w:ascii="Arial" w:hAnsi="Arial" w:cs="Arial"/>
        </w:rPr>
        <w:t>Bakheit</w:t>
      </w:r>
      <w:proofErr w:type="spellEnd"/>
      <w:r w:rsidRPr="00A533D1">
        <w:rPr>
          <w:rFonts w:ascii="Arial" w:hAnsi="Arial" w:cs="Arial"/>
        </w:rPr>
        <w:t>, Shaw, Carrington, Griffiths, 2007), non-fluent aphasia occurs in approximately 12% of new cases of aphasia caused by stroke (Pedersen, Vinter, Olsen, 2004). In most cases, non-fluent aphasia is caused by a stroke in Broca's area or the surrounding vicinity. However, cases of non-fluent aphasia have been seen in patients with strokes in other areas (Wernicke’s area) of the brain. Patients with classic symptoms of non-fluent aphasia in general have more acute brain lesions, whereas patients with larger, widespread lesions exhibit a variety of symptoms that may be classified as global aphasia or left unclassified (</w:t>
      </w:r>
      <w:proofErr w:type="spellStart"/>
      <w:r w:rsidRPr="00A533D1">
        <w:rPr>
          <w:rFonts w:ascii="Arial" w:hAnsi="Arial" w:cs="Arial"/>
        </w:rPr>
        <w:t>Bakheit</w:t>
      </w:r>
      <w:proofErr w:type="spellEnd"/>
      <w:r w:rsidRPr="00A533D1">
        <w:rPr>
          <w:rFonts w:ascii="Arial" w:hAnsi="Arial" w:cs="Arial"/>
        </w:rPr>
        <w:t>, Shaw, Carrington, Griffiths, 2007). Non-fluent aphasia can also be caused by trauma to the brain, tumor, cerebral hemorrhage, extradural hematoma (</w:t>
      </w:r>
      <w:proofErr w:type="spellStart"/>
      <w:r w:rsidRPr="00A533D1">
        <w:rPr>
          <w:rFonts w:ascii="Arial" w:hAnsi="Arial" w:cs="Arial"/>
        </w:rPr>
        <w:t>Orzeren</w:t>
      </w:r>
      <w:proofErr w:type="spellEnd"/>
      <w:r w:rsidRPr="00A533D1">
        <w:rPr>
          <w:rFonts w:ascii="Arial" w:hAnsi="Arial" w:cs="Arial"/>
        </w:rPr>
        <w:t xml:space="preserve">, </w:t>
      </w:r>
      <w:proofErr w:type="spellStart"/>
      <w:r w:rsidRPr="00A533D1">
        <w:rPr>
          <w:rFonts w:ascii="Arial" w:hAnsi="Arial" w:cs="Arial"/>
        </w:rPr>
        <w:t>Koc</w:t>
      </w:r>
      <w:proofErr w:type="spellEnd"/>
      <w:r w:rsidRPr="00A533D1">
        <w:rPr>
          <w:rFonts w:ascii="Arial" w:hAnsi="Arial" w:cs="Arial"/>
        </w:rPr>
        <w:t xml:space="preserve">, </w:t>
      </w:r>
      <w:proofErr w:type="spellStart"/>
      <w:r w:rsidRPr="00A533D1">
        <w:rPr>
          <w:rFonts w:ascii="Arial" w:hAnsi="Arial" w:cs="Arial"/>
        </w:rPr>
        <w:t>Demirkiran</w:t>
      </w:r>
      <w:proofErr w:type="spellEnd"/>
      <w:r w:rsidRPr="00A533D1">
        <w:rPr>
          <w:rFonts w:ascii="Arial" w:hAnsi="Arial" w:cs="Arial"/>
        </w:rPr>
        <w:t xml:space="preserve">, </w:t>
      </w:r>
      <w:proofErr w:type="spellStart"/>
      <w:r w:rsidRPr="00A533D1">
        <w:rPr>
          <w:rFonts w:ascii="Arial" w:hAnsi="Arial" w:cs="Arial"/>
        </w:rPr>
        <w:t>Sonmezler</w:t>
      </w:r>
      <w:proofErr w:type="spellEnd"/>
      <w:r w:rsidRPr="00A533D1">
        <w:rPr>
          <w:rFonts w:ascii="Arial" w:hAnsi="Arial" w:cs="Arial"/>
        </w:rPr>
        <w:t xml:space="preserve">, 2006; </w:t>
      </w:r>
      <w:proofErr w:type="spellStart"/>
      <w:r w:rsidRPr="00A533D1">
        <w:rPr>
          <w:rFonts w:ascii="Arial" w:hAnsi="Arial" w:cs="Arial"/>
        </w:rPr>
        <w:t>Commondoor</w:t>
      </w:r>
      <w:proofErr w:type="spellEnd"/>
      <w:r w:rsidRPr="00A533D1">
        <w:rPr>
          <w:rFonts w:ascii="Arial" w:hAnsi="Arial" w:cs="Arial"/>
        </w:rPr>
        <w:t xml:space="preserve">, Eisenhut, Fowler, </w:t>
      </w:r>
      <w:proofErr w:type="spellStart"/>
      <w:r w:rsidRPr="00A533D1">
        <w:rPr>
          <w:rFonts w:ascii="Arial" w:hAnsi="Arial" w:cs="Arial"/>
        </w:rPr>
        <w:t>Kirollos</w:t>
      </w:r>
      <w:proofErr w:type="spellEnd"/>
      <w:r w:rsidRPr="00A533D1">
        <w:rPr>
          <w:rFonts w:ascii="Arial" w:hAnsi="Arial" w:cs="Arial"/>
        </w:rPr>
        <w:t>, &amp; Nathwani, 2009).</w:t>
      </w:r>
    </w:p>
    <w:p w14:paraId="24CBF5D2" w14:textId="77777777" w:rsidR="00A533D1" w:rsidRPr="00A533D1" w:rsidRDefault="00A533D1" w:rsidP="00A533D1">
      <w:pPr>
        <w:pStyle w:val="Body"/>
        <w:rPr>
          <w:rFonts w:ascii="Arial" w:hAnsi="Arial" w:cs="Arial"/>
        </w:rPr>
      </w:pPr>
      <w:r w:rsidRPr="00A533D1">
        <w:rPr>
          <w:rFonts w:ascii="Arial" w:hAnsi="Arial" w:cs="Arial"/>
        </w:rPr>
        <w:t xml:space="preserve">The symptoms of non-fluent aphasia is characterized by halting, effortful, labored speech production, whether expressing original ideas or repeating. The person knows what they want to say but is unable to program the tongue, teeth, palate, and lips to get the message out. Patients with non-fluent aphasia struggle to get words out, speak in very short sentences and leave out words (Helm-Estabrooks, &amp; Albert, 2004). An example of non-fluent aphasia provided by </w:t>
      </w:r>
      <w:proofErr w:type="spellStart"/>
      <w:r w:rsidRPr="00A533D1">
        <w:rPr>
          <w:rFonts w:ascii="Arial" w:hAnsi="Arial" w:cs="Arial"/>
        </w:rPr>
        <w:t>Goodglass</w:t>
      </w:r>
      <w:proofErr w:type="spellEnd"/>
      <w:r w:rsidRPr="00A533D1">
        <w:rPr>
          <w:rFonts w:ascii="Arial" w:hAnsi="Arial" w:cs="Arial"/>
        </w:rPr>
        <w:t>, &amp; Kaplan, (1976)</w:t>
      </w:r>
    </w:p>
    <w:p w14:paraId="3FA2420B" w14:textId="77777777" w:rsidR="00A533D1" w:rsidRPr="00A533D1" w:rsidRDefault="00A533D1" w:rsidP="00A533D1">
      <w:pPr>
        <w:pStyle w:val="Body"/>
        <w:rPr>
          <w:rFonts w:ascii="Arial" w:hAnsi="Arial" w:cs="Arial"/>
        </w:rPr>
      </w:pPr>
      <w:r w:rsidRPr="00A533D1">
        <w:rPr>
          <w:rFonts w:ascii="Arial" w:hAnsi="Arial" w:cs="Arial"/>
        </w:rPr>
        <w:t>Yes... ah... Monday... er... Dad and Peter H... and Dad.... er... hospital... and ah... Wednesday... Wednesday, nine o'clock... and oh... Thursday... ten o'clock, ah doctors... two... an' doctors... and er... teeth... yah.</w:t>
      </w:r>
    </w:p>
    <w:p w14:paraId="4ECC8825" w14:textId="77777777" w:rsidR="00A533D1" w:rsidRPr="00A533D1" w:rsidRDefault="00A533D1" w:rsidP="00A533D1">
      <w:pPr>
        <w:pStyle w:val="Body"/>
        <w:rPr>
          <w:rFonts w:ascii="Arial" w:hAnsi="Arial" w:cs="Arial"/>
        </w:rPr>
      </w:pPr>
      <w:r w:rsidRPr="00A533D1">
        <w:rPr>
          <w:rFonts w:ascii="Arial" w:hAnsi="Arial" w:cs="Arial"/>
        </w:rPr>
        <w:t>Non-fluent aphasia is much more than a deficit in producing words. In general, three major speech deficits are produced by lesions in and around Broca’s area: (1) agrammatism, (2) anomia and (3) articulation difficulties (Helm-Estabrooks, &amp; Albert, 2004). Agrammatism refers to difficulty in using grammatical construction, as evidence in the above example. Anomia refers to a word finding difficulty and anomia is actually primary symptoms of all types of aphasia. In the third major characteristic, articulation difficulties refers to mispronunciation of a word, often altering the sequence of sounds, for example lipstick might be pronounced “</w:t>
      </w:r>
      <w:proofErr w:type="spellStart"/>
      <w:r w:rsidRPr="00A533D1">
        <w:rPr>
          <w:rFonts w:ascii="Arial" w:hAnsi="Arial" w:cs="Arial"/>
        </w:rPr>
        <w:t>likstip</w:t>
      </w:r>
      <w:proofErr w:type="spellEnd"/>
      <w:r w:rsidRPr="00A533D1">
        <w:rPr>
          <w:rFonts w:ascii="Arial" w:hAnsi="Arial" w:cs="Arial"/>
        </w:rPr>
        <w:t>” (Helm-</w:t>
      </w:r>
      <w:proofErr w:type="spellStart"/>
      <w:r w:rsidRPr="00A533D1">
        <w:rPr>
          <w:rFonts w:ascii="Arial" w:hAnsi="Arial" w:cs="Arial"/>
        </w:rPr>
        <w:t>Estabrooks</w:t>
      </w:r>
      <w:proofErr w:type="spellEnd"/>
      <w:r w:rsidRPr="00A533D1">
        <w:rPr>
          <w:rFonts w:ascii="Arial" w:hAnsi="Arial" w:cs="Arial"/>
        </w:rPr>
        <w:t>, &amp; Albert, 2004).</w:t>
      </w:r>
    </w:p>
    <w:p w14:paraId="178FDFB7" w14:textId="77777777" w:rsidR="00A533D1" w:rsidRDefault="00A533D1" w:rsidP="00A533D1">
      <w:pPr>
        <w:pStyle w:val="Body"/>
        <w:spacing w:after="0"/>
        <w:rPr>
          <w:rFonts w:ascii="Arial" w:hAnsi="Arial" w:cs="Arial"/>
        </w:rPr>
      </w:pPr>
      <w:r w:rsidRPr="00A533D1">
        <w:rPr>
          <w:rFonts w:ascii="Arial" w:hAnsi="Arial" w:cs="Arial"/>
        </w:rPr>
        <w:t>Prognosis of non-fluent aphasia depends on so many factors like age, cause, area of and size of brain lesion and also availability of rehabilitation services (</w:t>
      </w:r>
      <w:proofErr w:type="spellStart"/>
      <w:r w:rsidRPr="00A533D1">
        <w:rPr>
          <w:rFonts w:ascii="Arial" w:hAnsi="Arial" w:cs="Arial"/>
        </w:rPr>
        <w:t>Naeser</w:t>
      </w:r>
      <w:proofErr w:type="spellEnd"/>
      <w:r w:rsidRPr="00A533D1">
        <w:rPr>
          <w:rFonts w:ascii="Arial" w:hAnsi="Arial" w:cs="Arial"/>
        </w:rPr>
        <w:t xml:space="preserve">, 1987). </w:t>
      </w:r>
      <w:proofErr w:type="spellStart"/>
      <w:r w:rsidRPr="00A533D1">
        <w:rPr>
          <w:rFonts w:ascii="Arial" w:hAnsi="Arial" w:cs="Arial"/>
        </w:rPr>
        <w:t>Bakheit</w:t>
      </w:r>
      <w:proofErr w:type="spellEnd"/>
      <w:r w:rsidRPr="00A533D1">
        <w:rPr>
          <w:rFonts w:ascii="Arial" w:hAnsi="Arial" w:cs="Arial"/>
        </w:rPr>
        <w:t xml:space="preserve">, Shaw, Carrington, &amp; Griffiths, (2007) found in their study that, most of the patients with non-fluent aphasia recovery is seen within the first year following a stroke or injury and the majority of this improvement is seen in the first four weeks in therapy following a stroke and slows thereafter. Another Study has also found that prognosis of non-fluent aphasia correlates strongly with the initial severity of impairment (Pedersen, Vinter, &amp; Olsen, 2004). Those with the greatest initial disability tend to show the greatest </w:t>
      </w:r>
      <w:r w:rsidRPr="00A533D1">
        <w:rPr>
          <w:rFonts w:ascii="Arial" w:hAnsi="Arial" w:cs="Arial"/>
        </w:rPr>
        <w:lastRenderedPageBreak/>
        <w:t>improvement among test groups (Pedersen, Vinter, &amp; Olsen, 2004). Depression, anxiety and social withdrawal are all factors which have been proven to affect negatively a patient's chance of recovery (Code, Hemsley, &amp; Herrmann, 1999). It has also been seen that patients with aphasia caused by sub cortical lesions have a better chance of recovery than those with aphasia due to cortical stroke (Liang, et al., 2011). A considerable number of these patients never recover completely, despite intensive therapy (Stahl, Kotz, Henseler, Turner, &amp; Geyer, 2011).</w:t>
      </w:r>
    </w:p>
    <w:p w14:paraId="05863505" w14:textId="77777777" w:rsidR="00A533D1" w:rsidRDefault="00A533D1" w:rsidP="00A533D1">
      <w:pPr>
        <w:pStyle w:val="Body"/>
        <w:spacing w:after="0"/>
        <w:rPr>
          <w:rFonts w:ascii="Arial" w:hAnsi="Arial" w:cs="Arial"/>
        </w:rPr>
      </w:pPr>
    </w:p>
    <w:p w14:paraId="08ACA383" w14:textId="77777777" w:rsidR="00A533D1" w:rsidRPr="00A533D1" w:rsidRDefault="00A533D1" w:rsidP="00A533D1">
      <w:pPr>
        <w:pStyle w:val="Body"/>
        <w:rPr>
          <w:rFonts w:ascii="Arial" w:hAnsi="Arial" w:cs="Arial"/>
          <w:b/>
        </w:rPr>
      </w:pPr>
      <w:r w:rsidRPr="00A533D1">
        <w:rPr>
          <w:rFonts w:ascii="Arial" w:hAnsi="Arial" w:cs="Arial"/>
        </w:rPr>
        <w:t xml:space="preserve"> </w:t>
      </w:r>
      <w:r w:rsidRPr="00A533D1">
        <w:rPr>
          <w:rFonts w:ascii="Arial" w:hAnsi="Arial" w:cs="Arial"/>
          <w:b/>
        </w:rPr>
        <w:t>Melodic Intonation Therapy (MIT)</w:t>
      </w:r>
    </w:p>
    <w:p w14:paraId="62098FE3" w14:textId="77777777" w:rsidR="00A533D1" w:rsidRPr="00A533D1" w:rsidRDefault="00A533D1" w:rsidP="00A533D1">
      <w:pPr>
        <w:pStyle w:val="Body"/>
        <w:rPr>
          <w:rFonts w:ascii="Arial" w:hAnsi="Arial" w:cs="Arial"/>
        </w:rPr>
      </w:pPr>
      <w:r w:rsidRPr="00A533D1">
        <w:rPr>
          <w:rFonts w:ascii="Arial" w:hAnsi="Arial" w:cs="Arial"/>
        </w:rPr>
        <w:t>MIT is a treatment programme for patients with non-fluent aphasia persistent and severely impaired verbal output as well as better preserved auditory comprehension abilities (Sparks &amp; Deck, 1986). MIT is an aphasia treatment program that use musical intonation, continuous voicing, and rhythmic tapping to teach verbal expressions to clients with severe non-fluent aphasia with good auditory comprehension (</w:t>
      </w:r>
      <w:proofErr w:type="spellStart"/>
      <w:r w:rsidRPr="00A533D1">
        <w:rPr>
          <w:rFonts w:ascii="Arial" w:hAnsi="Arial" w:cs="Arial"/>
        </w:rPr>
        <w:t>Schlaug</w:t>
      </w:r>
      <w:proofErr w:type="spellEnd"/>
      <w:r w:rsidRPr="00A533D1">
        <w:rPr>
          <w:rFonts w:ascii="Arial" w:hAnsi="Arial" w:cs="Arial"/>
        </w:rPr>
        <w:t xml:space="preserve">, </w:t>
      </w:r>
      <w:proofErr w:type="spellStart"/>
      <w:r w:rsidRPr="00A533D1">
        <w:rPr>
          <w:rFonts w:ascii="Arial" w:hAnsi="Arial" w:cs="Arial"/>
        </w:rPr>
        <w:t>Marchina</w:t>
      </w:r>
      <w:proofErr w:type="spellEnd"/>
      <w:r w:rsidRPr="00A533D1">
        <w:rPr>
          <w:rFonts w:ascii="Arial" w:hAnsi="Arial" w:cs="Arial"/>
        </w:rPr>
        <w:t xml:space="preserve">, &amp; </w:t>
      </w:r>
      <w:proofErr w:type="spellStart"/>
      <w:r w:rsidRPr="00A533D1">
        <w:rPr>
          <w:rFonts w:ascii="Arial" w:hAnsi="Arial" w:cs="Arial"/>
        </w:rPr>
        <w:t>Nortan</w:t>
      </w:r>
      <w:proofErr w:type="spellEnd"/>
      <w:r w:rsidRPr="00A533D1">
        <w:rPr>
          <w:rFonts w:ascii="Arial" w:hAnsi="Arial" w:cs="Arial"/>
        </w:rPr>
        <w:t>, 2008). It was first described by Albert and colleagues in 1973 to aid speech recovery in adult aphasic patients at the Aphasia Research Center of the Boston's Veterans Administration Hospital (Albert, Helm &amp; Sparks, 1973; Carroll, 1996). It consists of a hierarchically structured programme with three levels, there are few consecutive steps in each level (Sparks &amp; Deck, 1986).</w:t>
      </w:r>
    </w:p>
    <w:p w14:paraId="23E1D341" w14:textId="77777777" w:rsidR="00A533D1" w:rsidRDefault="00A533D1" w:rsidP="00A533D1">
      <w:pPr>
        <w:pStyle w:val="Body"/>
        <w:spacing w:after="0"/>
        <w:rPr>
          <w:rFonts w:ascii="Arial" w:hAnsi="Arial" w:cs="Arial"/>
        </w:rPr>
      </w:pPr>
      <w:r w:rsidRPr="00A533D1">
        <w:rPr>
          <w:rFonts w:ascii="Arial" w:hAnsi="Arial" w:cs="Arial"/>
        </w:rPr>
        <w:t xml:space="preserve">On the first level, a short daily-life utterance is hummed and tapped out by the therapist in a syllable-by-syllable fashion (first step) and then intoned on a high note–low note pattern which slows the output rate and exaggerates the natural prosody of the spoken utterance (second step). In the third step, the therapist and the patient intone the same item together, and in the fourth step they begin together but the therapist fades out and the patient has to complete the item. In the fifth step the patient is asked to produce the intoned utterance alone. Then a new item is introduced and worked out along the same five steps. The four steps of the second level include immediate and delayed repetition, and items are expanded by introducing new and increasingly longer sentences. The third level begins with delayed repetition of the intoned sentence. However, the following steps require the patient to repeat the item only with exaggerated prosody and then to respond in normal speech to a probe question. Throughout the procedure, patient and clinician sit facing each other. MIT gives the clinician flexibility in determining appropriate target phrases and in adapting to changes in intonation patterns created by the patient (Norton, </w:t>
      </w:r>
      <w:proofErr w:type="spellStart"/>
      <w:r w:rsidRPr="00A533D1">
        <w:rPr>
          <w:rFonts w:ascii="Arial" w:hAnsi="Arial" w:cs="Arial"/>
        </w:rPr>
        <w:t>Zipse</w:t>
      </w:r>
      <w:proofErr w:type="spellEnd"/>
      <w:r w:rsidRPr="00A533D1">
        <w:rPr>
          <w:rFonts w:ascii="Arial" w:hAnsi="Arial" w:cs="Arial"/>
        </w:rPr>
        <w:t xml:space="preserve">, </w:t>
      </w:r>
      <w:proofErr w:type="spellStart"/>
      <w:r w:rsidRPr="00A533D1">
        <w:rPr>
          <w:rFonts w:ascii="Arial" w:hAnsi="Arial" w:cs="Arial"/>
        </w:rPr>
        <w:t>Marchina</w:t>
      </w:r>
      <w:proofErr w:type="spellEnd"/>
      <w:r w:rsidRPr="00A533D1">
        <w:rPr>
          <w:rFonts w:ascii="Arial" w:hAnsi="Arial" w:cs="Arial"/>
        </w:rPr>
        <w:t xml:space="preserve">, &amp; </w:t>
      </w:r>
      <w:proofErr w:type="spellStart"/>
      <w:r w:rsidRPr="00A533D1">
        <w:rPr>
          <w:rFonts w:ascii="Arial" w:hAnsi="Arial" w:cs="Arial"/>
        </w:rPr>
        <w:t>Schlaug</w:t>
      </w:r>
      <w:proofErr w:type="spellEnd"/>
      <w:r w:rsidRPr="00A533D1">
        <w:rPr>
          <w:rFonts w:ascii="Arial" w:hAnsi="Arial" w:cs="Arial"/>
        </w:rPr>
        <w:t xml:space="preserve">, 2009). Three levels of MIT treatment protocol were given in annexure – 3. </w:t>
      </w:r>
    </w:p>
    <w:p w14:paraId="29722BA6" w14:textId="77777777" w:rsidR="00A533D1" w:rsidRDefault="00A533D1" w:rsidP="00A533D1">
      <w:pPr>
        <w:pStyle w:val="Body"/>
        <w:spacing w:after="0"/>
        <w:rPr>
          <w:rFonts w:ascii="Arial" w:hAnsi="Arial" w:cs="Arial"/>
        </w:rPr>
      </w:pPr>
    </w:p>
    <w:p w14:paraId="1C013A47" w14:textId="77777777" w:rsidR="00A533D1" w:rsidRPr="00A533D1" w:rsidRDefault="00A533D1" w:rsidP="00A533D1">
      <w:pPr>
        <w:pStyle w:val="Body"/>
        <w:rPr>
          <w:rFonts w:ascii="Arial" w:hAnsi="Arial" w:cs="Arial"/>
          <w:b/>
        </w:rPr>
      </w:pPr>
      <w:r w:rsidRPr="00A533D1">
        <w:rPr>
          <w:rFonts w:ascii="Arial" w:hAnsi="Arial" w:cs="Arial"/>
          <w:b/>
        </w:rPr>
        <w:t>Ideal candidates for MIT:</w:t>
      </w:r>
    </w:p>
    <w:p w14:paraId="76256764" w14:textId="77777777" w:rsidR="00A533D1" w:rsidRPr="00A533D1" w:rsidRDefault="00A533D1" w:rsidP="00A533D1">
      <w:pPr>
        <w:pStyle w:val="Body"/>
        <w:rPr>
          <w:rFonts w:ascii="Arial" w:hAnsi="Arial" w:cs="Arial"/>
        </w:rPr>
      </w:pPr>
      <w:r w:rsidRPr="00A533D1">
        <w:rPr>
          <w:rFonts w:ascii="Arial" w:hAnsi="Arial" w:cs="Arial"/>
        </w:rPr>
        <w:t>A good response to MIT is defined as improvement in conversational speech skills. Patients who are most likely to respond well to this treatment have most or all of following characteristics:</w:t>
      </w:r>
    </w:p>
    <w:p w14:paraId="13FC70F9" w14:textId="77777777" w:rsidR="00A533D1" w:rsidRPr="00A533D1" w:rsidRDefault="00A533D1" w:rsidP="00A533D1">
      <w:pPr>
        <w:pStyle w:val="Body"/>
        <w:numPr>
          <w:ilvl w:val="0"/>
          <w:numId w:val="31"/>
        </w:numPr>
        <w:rPr>
          <w:rFonts w:ascii="Arial" w:hAnsi="Arial" w:cs="Arial"/>
        </w:rPr>
      </w:pPr>
      <w:r w:rsidRPr="00A533D1">
        <w:rPr>
          <w:rFonts w:ascii="Arial" w:hAnsi="Arial" w:cs="Arial"/>
        </w:rPr>
        <w:t>a unilateral, Left Hemisphere stroke</w:t>
      </w:r>
    </w:p>
    <w:p w14:paraId="5686CDDB" w14:textId="77777777" w:rsidR="00A533D1" w:rsidRPr="00A533D1" w:rsidRDefault="00A533D1" w:rsidP="00A533D1">
      <w:pPr>
        <w:pStyle w:val="Body"/>
        <w:numPr>
          <w:ilvl w:val="0"/>
          <w:numId w:val="31"/>
        </w:numPr>
        <w:rPr>
          <w:rFonts w:ascii="Arial" w:hAnsi="Arial" w:cs="Arial"/>
        </w:rPr>
      </w:pPr>
      <w:r w:rsidRPr="00A533D1">
        <w:rPr>
          <w:rFonts w:ascii="Arial" w:hAnsi="Arial" w:cs="Arial"/>
        </w:rPr>
        <w:t>poorly articulated, non-fluent, or severely restricted verbal output that may be confined to a non-sense stereotype (</w:t>
      </w:r>
      <w:proofErr w:type="spellStart"/>
      <w:r w:rsidRPr="00A533D1">
        <w:rPr>
          <w:rFonts w:ascii="Arial" w:hAnsi="Arial" w:cs="Arial"/>
        </w:rPr>
        <w:t>eg</w:t>
      </w:r>
      <w:proofErr w:type="spellEnd"/>
      <w:r w:rsidRPr="00A533D1">
        <w:rPr>
          <w:rFonts w:ascii="Arial" w:hAnsi="Arial" w:cs="Arial"/>
        </w:rPr>
        <w:t>, “</w:t>
      </w:r>
      <w:proofErr w:type="spellStart"/>
      <w:r w:rsidRPr="00A533D1">
        <w:rPr>
          <w:rFonts w:ascii="Arial" w:hAnsi="Arial" w:cs="Arial"/>
        </w:rPr>
        <w:t>bika</w:t>
      </w:r>
      <w:proofErr w:type="spellEnd"/>
      <w:r w:rsidRPr="00A533D1">
        <w:rPr>
          <w:rFonts w:ascii="Arial" w:hAnsi="Arial" w:cs="Arial"/>
        </w:rPr>
        <w:t xml:space="preserve">, </w:t>
      </w:r>
      <w:proofErr w:type="spellStart"/>
      <w:r w:rsidRPr="00A533D1">
        <w:rPr>
          <w:rFonts w:ascii="Arial" w:hAnsi="Arial" w:cs="Arial"/>
        </w:rPr>
        <w:t>bika</w:t>
      </w:r>
      <w:proofErr w:type="spellEnd"/>
      <w:r w:rsidRPr="00A533D1">
        <w:rPr>
          <w:rFonts w:ascii="Arial" w:hAnsi="Arial" w:cs="Arial"/>
        </w:rPr>
        <w:t xml:space="preserve">, </w:t>
      </w:r>
      <w:proofErr w:type="spellStart"/>
      <w:r w:rsidRPr="00A533D1">
        <w:rPr>
          <w:rFonts w:ascii="Arial" w:hAnsi="Arial" w:cs="Arial"/>
        </w:rPr>
        <w:t>bika</w:t>
      </w:r>
      <w:proofErr w:type="spellEnd"/>
      <w:r w:rsidRPr="00A533D1">
        <w:rPr>
          <w:rFonts w:ascii="Arial" w:hAnsi="Arial" w:cs="Arial"/>
        </w:rPr>
        <w:t>”)</w:t>
      </w:r>
    </w:p>
    <w:p w14:paraId="0C943CC1" w14:textId="77777777" w:rsidR="00A533D1" w:rsidRPr="00A533D1" w:rsidRDefault="00A533D1" w:rsidP="00A533D1">
      <w:pPr>
        <w:pStyle w:val="Body"/>
        <w:numPr>
          <w:ilvl w:val="0"/>
          <w:numId w:val="31"/>
        </w:numPr>
        <w:rPr>
          <w:rFonts w:ascii="Arial" w:hAnsi="Arial" w:cs="Arial"/>
        </w:rPr>
      </w:pPr>
      <w:r w:rsidRPr="00A533D1">
        <w:rPr>
          <w:rFonts w:ascii="Arial" w:hAnsi="Arial" w:cs="Arial"/>
        </w:rPr>
        <w:t>ability to produce some intelligible words while singing familiar song</w:t>
      </w:r>
    </w:p>
    <w:p w14:paraId="2DEB64B2" w14:textId="77777777" w:rsidR="00A533D1" w:rsidRPr="00A533D1" w:rsidRDefault="00A533D1" w:rsidP="00A533D1">
      <w:pPr>
        <w:pStyle w:val="Body"/>
        <w:numPr>
          <w:ilvl w:val="0"/>
          <w:numId w:val="31"/>
        </w:numPr>
        <w:rPr>
          <w:rFonts w:ascii="Arial" w:hAnsi="Arial" w:cs="Arial"/>
        </w:rPr>
      </w:pPr>
      <w:r w:rsidRPr="00A533D1">
        <w:rPr>
          <w:rFonts w:ascii="Arial" w:hAnsi="Arial" w:cs="Arial"/>
        </w:rPr>
        <w:t>poor repetition, even for single words</w:t>
      </w:r>
    </w:p>
    <w:p w14:paraId="3A82DD6D" w14:textId="77777777" w:rsidR="00A533D1" w:rsidRPr="00A533D1" w:rsidRDefault="00A533D1" w:rsidP="00A533D1">
      <w:pPr>
        <w:pStyle w:val="Body"/>
        <w:numPr>
          <w:ilvl w:val="0"/>
          <w:numId w:val="31"/>
        </w:numPr>
        <w:rPr>
          <w:rFonts w:ascii="Arial" w:hAnsi="Arial" w:cs="Arial"/>
        </w:rPr>
      </w:pPr>
      <w:r w:rsidRPr="00A533D1">
        <w:rPr>
          <w:rFonts w:ascii="Arial" w:hAnsi="Arial" w:cs="Arial"/>
        </w:rPr>
        <w:t>moderately well preserved auditory comprehension</w:t>
      </w:r>
    </w:p>
    <w:p w14:paraId="4975737E" w14:textId="77777777" w:rsidR="00A533D1" w:rsidRPr="00A533D1" w:rsidRDefault="00A533D1" w:rsidP="00A533D1">
      <w:pPr>
        <w:pStyle w:val="Body"/>
        <w:numPr>
          <w:ilvl w:val="0"/>
          <w:numId w:val="31"/>
        </w:numPr>
        <w:rPr>
          <w:rFonts w:ascii="Arial" w:hAnsi="Arial" w:cs="Arial"/>
        </w:rPr>
      </w:pPr>
      <w:r w:rsidRPr="00A533D1">
        <w:rPr>
          <w:rFonts w:ascii="Arial" w:hAnsi="Arial" w:cs="Arial"/>
        </w:rPr>
        <w:t>poorly articulated, attempts at speech</w:t>
      </w:r>
    </w:p>
    <w:p w14:paraId="39DC7AE5" w14:textId="77777777" w:rsidR="00A533D1" w:rsidRPr="00A533D1" w:rsidRDefault="00A533D1" w:rsidP="00A533D1">
      <w:pPr>
        <w:pStyle w:val="Body"/>
        <w:numPr>
          <w:ilvl w:val="0"/>
          <w:numId w:val="31"/>
        </w:numPr>
        <w:rPr>
          <w:rFonts w:ascii="Arial" w:hAnsi="Arial" w:cs="Arial"/>
        </w:rPr>
      </w:pPr>
      <w:r w:rsidRPr="00A533D1">
        <w:rPr>
          <w:rFonts w:ascii="Arial" w:hAnsi="Arial" w:cs="Arial"/>
        </w:rPr>
        <w:t xml:space="preserve">good motivation, emotional stability, and good attention span. </w:t>
      </w:r>
    </w:p>
    <w:p w14:paraId="5A638007" w14:textId="77777777" w:rsidR="00A533D1" w:rsidRDefault="00A533D1" w:rsidP="00A533D1">
      <w:pPr>
        <w:pStyle w:val="Body"/>
        <w:spacing w:after="0"/>
        <w:ind w:firstLine="720"/>
        <w:rPr>
          <w:rFonts w:ascii="Arial" w:hAnsi="Arial" w:cs="Arial"/>
        </w:rPr>
      </w:pPr>
      <w:r w:rsidRPr="00A533D1">
        <w:rPr>
          <w:rFonts w:ascii="Arial" w:hAnsi="Arial" w:cs="Arial"/>
        </w:rPr>
        <w:lastRenderedPageBreak/>
        <w:t>(Helm-Estabrooks, &amp; Albert, 2004)</w:t>
      </w:r>
    </w:p>
    <w:p w14:paraId="36336868" w14:textId="77777777" w:rsidR="00A533D1" w:rsidRDefault="00A533D1" w:rsidP="00A533D1">
      <w:pPr>
        <w:pStyle w:val="Body"/>
        <w:spacing w:after="0"/>
        <w:ind w:firstLine="720"/>
        <w:rPr>
          <w:rFonts w:ascii="Arial" w:hAnsi="Arial" w:cs="Arial"/>
        </w:rPr>
      </w:pPr>
    </w:p>
    <w:p w14:paraId="6D392BC7" w14:textId="77777777" w:rsidR="005C5FC0" w:rsidRPr="005C5FC0" w:rsidRDefault="005C5FC0" w:rsidP="005C5FC0">
      <w:pPr>
        <w:spacing w:before="120" w:after="120" w:line="360" w:lineRule="auto"/>
        <w:jc w:val="both"/>
        <w:rPr>
          <w:rFonts w:ascii="Times New Roman" w:hAnsi="Times New Roman"/>
          <w:sz w:val="24"/>
          <w:szCs w:val="24"/>
        </w:rPr>
      </w:pPr>
      <w:r w:rsidRPr="005C5FC0">
        <w:rPr>
          <w:rFonts w:ascii="Times New Roman" w:hAnsi="Times New Roman"/>
          <w:b/>
          <w:bCs/>
          <w:sz w:val="24"/>
          <w:szCs w:val="24"/>
        </w:rPr>
        <w:t>1.5 Hypothesis</w:t>
      </w:r>
      <w:r w:rsidRPr="005C5FC0">
        <w:rPr>
          <w:rFonts w:ascii="Times New Roman" w:hAnsi="Times New Roman"/>
          <w:sz w:val="24"/>
          <w:szCs w:val="24"/>
        </w:rPr>
        <w:t xml:space="preserve"> </w:t>
      </w:r>
    </w:p>
    <w:p w14:paraId="455174DE" w14:textId="77777777" w:rsidR="005C5FC0" w:rsidRPr="005C5FC0" w:rsidRDefault="005C5FC0" w:rsidP="005C5FC0">
      <w:pPr>
        <w:spacing w:before="120" w:after="120"/>
        <w:jc w:val="both"/>
        <w:rPr>
          <w:rFonts w:ascii="Times New Roman" w:hAnsi="Times New Roman"/>
          <w:sz w:val="24"/>
          <w:szCs w:val="24"/>
        </w:rPr>
      </w:pPr>
      <w:r w:rsidRPr="005C5FC0">
        <w:rPr>
          <w:rFonts w:ascii="Times New Roman" w:hAnsi="Times New Roman"/>
          <w:sz w:val="24"/>
          <w:szCs w:val="24"/>
        </w:rPr>
        <w:t>Melodic Intonation Therapy is an effective treatment program for patients with non-fluent aphasia.</w:t>
      </w:r>
    </w:p>
    <w:p w14:paraId="60FD40FD" w14:textId="77777777" w:rsidR="005C5FC0" w:rsidRPr="005C5FC0" w:rsidRDefault="005C5FC0" w:rsidP="005C5FC0">
      <w:pPr>
        <w:spacing w:before="120" w:after="120"/>
        <w:jc w:val="both"/>
        <w:rPr>
          <w:rFonts w:ascii="Times New Roman" w:hAnsi="Times New Roman"/>
          <w:b/>
          <w:bCs/>
          <w:sz w:val="24"/>
          <w:szCs w:val="24"/>
        </w:rPr>
      </w:pPr>
      <w:r w:rsidRPr="005C5FC0">
        <w:rPr>
          <w:rFonts w:ascii="Times New Roman" w:hAnsi="Times New Roman"/>
          <w:b/>
          <w:bCs/>
          <w:sz w:val="24"/>
          <w:szCs w:val="24"/>
        </w:rPr>
        <w:t>Null hypothesis</w:t>
      </w:r>
    </w:p>
    <w:p w14:paraId="6EB309AA" w14:textId="77777777" w:rsidR="005C5FC0" w:rsidRPr="005C5FC0" w:rsidRDefault="005C5FC0" w:rsidP="005C5FC0">
      <w:pPr>
        <w:spacing w:before="120" w:after="120"/>
        <w:jc w:val="both"/>
        <w:rPr>
          <w:rFonts w:ascii="Times New Roman" w:hAnsi="Times New Roman"/>
          <w:sz w:val="24"/>
          <w:szCs w:val="24"/>
        </w:rPr>
      </w:pPr>
      <w:r w:rsidRPr="005C5FC0">
        <w:rPr>
          <w:rFonts w:ascii="Times New Roman" w:hAnsi="Times New Roman"/>
          <w:sz w:val="24"/>
          <w:szCs w:val="24"/>
        </w:rPr>
        <w:t>Melodic Intonation Therapy is not an effective treatment program for patients with non-fluent aphasia.</w:t>
      </w:r>
    </w:p>
    <w:p w14:paraId="6586C434" w14:textId="77777777" w:rsidR="005C5FC0" w:rsidRPr="005C5FC0" w:rsidRDefault="005C5FC0" w:rsidP="005C5FC0">
      <w:pPr>
        <w:spacing w:before="120" w:after="120"/>
        <w:jc w:val="both"/>
        <w:rPr>
          <w:rFonts w:ascii="Times New Roman" w:hAnsi="Times New Roman"/>
          <w:sz w:val="24"/>
          <w:szCs w:val="24"/>
        </w:rPr>
      </w:pPr>
      <w:r w:rsidRPr="005C5FC0">
        <w:rPr>
          <w:rFonts w:ascii="Times New Roman" w:hAnsi="Times New Roman"/>
          <w:b/>
          <w:bCs/>
          <w:sz w:val="24"/>
          <w:szCs w:val="24"/>
        </w:rPr>
        <w:t>1.6 Objectives of the study</w:t>
      </w:r>
    </w:p>
    <w:p w14:paraId="7E21EC0F" w14:textId="77777777" w:rsidR="005C5FC0" w:rsidRPr="005C5FC0" w:rsidRDefault="005C5FC0" w:rsidP="005C5FC0">
      <w:pPr>
        <w:spacing w:before="120" w:after="120"/>
        <w:jc w:val="both"/>
        <w:rPr>
          <w:rFonts w:ascii="Times New Roman" w:hAnsi="Times New Roman"/>
          <w:sz w:val="24"/>
          <w:szCs w:val="24"/>
        </w:rPr>
      </w:pPr>
      <w:r w:rsidRPr="005C5FC0">
        <w:rPr>
          <w:rFonts w:ascii="Times New Roman" w:hAnsi="Times New Roman"/>
          <w:sz w:val="24"/>
          <w:szCs w:val="24"/>
        </w:rPr>
        <w:t>The main objective of the study was to find out the effectiveness of MIT program in the management of patients with non-fluent aphasia.</w:t>
      </w:r>
    </w:p>
    <w:p w14:paraId="7669EE3D" w14:textId="77777777" w:rsidR="005C5FC0" w:rsidRPr="005C5FC0" w:rsidRDefault="005C5FC0" w:rsidP="005C5FC0">
      <w:pPr>
        <w:spacing w:before="120" w:after="120"/>
        <w:jc w:val="both"/>
        <w:rPr>
          <w:rFonts w:ascii="Times New Roman" w:hAnsi="Times New Roman"/>
          <w:sz w:val="24"/>
          <w:szCs w:val="24"/>
        </w:rPr>
      </w:pPr>
      <w:r w:rsidRPr="005C5FC0">
        <w:rPr>
          <w:rFonts w:ascii="Times New Roman" w:hAnsi="Times New Roman"/>
          <w:b/>
          <w:bCs/>
          <w:sz w:val="24"/>
          <w:szCs w:val="24"/>
        </w:rPr>
        <w:t>Specific objectives</w:t>
      </w:r>
    </w:p>
    <w:p w14:paraId="58E57E7D" w14:textId="77777777" w:rsidR="005C5FC0" w:rsidRPr="005C5FC0" w:rsidRDefault="005C5FC0" w:rsidP="005C5FC0">
      <w:pPr>
        <w:numPr>
          <w:ilvl w:val="0"/>
          <w:numId w:val="32"/>
        </w:numPr>
        <w:spacing w:before="120" w:after="120"/>
        <w:jc w:val="both"/>
        <w:rPr>
          <w:rFonts w:ascii="Times New Roman" w:hAnsi="Times New Roman"/>
          <w:bCs/>
          <w:iCs/>
          <w:sz w:val="24"/>
          <w:szCs w:val="24"/>
        </w:rPr>
      </w:pPr>
      <w:r w:rsidRPr="005C5FC0">
        <w:rPr>
          <w:rFonts w:ascii="Times New Roman" w:hAnsi="Times New Roman"/>
          <w:bCs/>
          <w:iCs/>
          <w:sz w:val="24"/>
          <w:szCs w:val="24"/>
        </w:rPr>
        <w:t>To identify the level of change in repetition of word in patients with non-fluent aphasia.</w:t>
      </w:r>
    </w:p>
    <w:p w14:paraId="773263A3" w14:textId="77777777" w:rsidR="005C5FC0" w:rsidRPr="005C5FC0" w:rsidRDefault="005C5FC0" w:rsidP="005C5FC0">
      <w:pPr>
        <w:numPr>
          <w:ilvl w:val="0"/>
          <w:numId w:val="32"/>
        </w:numPr>
        <w:spacing w:before="120" w:after="120"/>
        <w:jc w:val="both"/>
        <w:rPr>
          <w:rFonts w:ascii="Times New Roman" w:hAnsi="Times New Roman"/>
          <w:bCs/>
          <w:iCs/>
          <w:sz w:val="24"/>
          <w:szCs w:val="24"/>
        </w:rPr>
      </w:pPr>
      <w:r w:rsidRPr="005C5FC0">
        <w:rPr>
          <w:rFonts w:ascii="Times New Roman" w:hAnsi="Times New Roman"/>
          <w:bCs/>
          <w:iCs/>
          <w:sz w:val="24"/>
          <w:szCs w:val="24"/>
        </w:rPr>
        <w:t>To determine the change in repetition of phrase in patients with non-fluent aphasia.</w:t>
      </w:r>
    </w:p>
    <w:p w14:paraId="6325696F" w14:textId="77777777" w:rsidR="005C5FC0" w:rsidRPr="005C5FC0" w:rsidRDefault="005C5FC0" w:rsidP="005C5FC0">
      <w:pPr>
        <w:numPr>
          <w:ilvl w:val="0"/>
          <w:numId w:val="32"/>
        </w:numPr>
        <w:spacing w:before="120" w:after="120"/>
        <w:jc w:val="both"/>
        <w:rPr>
          <w:rFonts w:ascii="Times New Roman" w:hAnsi="Times New Roman"/>
          <w:bCs/>
          <w:iCs/>
          <w:sz w:val="24"/>
          <w:szCs w:val="24"/>
        </w:rPr>
      </w:pPr>
      <w:r w:rsidRPr="005C5FC0">
        <w:rPr>
          <w:rFonts w:ascii="Times New Roman" w:hAnsi="Times New Roman"/>
          <w:bCs/>
          <w:iCs/>
          <w:sz w:val="24"/>
          <w:szCs w:val="24"/>
        </w:rPr>
        <w:t>To determine the change in responsive naming in patients with non-fluent aphasia.</w:t>
      </w:r>
    </w:p>
    <w:p w14:paraId="2D4AC608" w14:textId="77777777" w:rsidR="005C5FC0" w:rsidRPr="005C5FC0" w:rsidRDefault="005C5FC0" w:rsidP="005C5FC0">
      <w:pPr>
        <w:numPr>
          <w:ilvl w:val="0"/>
          <w:numId w:val="32"/>
        </w:numPr>
        <w:spacing w:before="120" w:after="120"/>
        <w:jc w:val="both"/>
        <w:rPr>
          <w:rFonts w:ascii="Times New Roman" w:hAnsi="Times New Roman"/>
          <w:bCs/>
          <w:iCs/>
          <w:sz w:val="24"/>
          <w:szCs w:val="24"/>
        </w:rPr>
      </w:pPr>
      <w:r w:rsidRPr="005C5FC0">
        <w:rPr>
          <w:rFonts w:ascii="Times New Roman" w:hAnsi="Times New Roman"/>
          <w:bCs/>
          <w:iCs/>
          <w:sz w:val="24"/>
          <w:szCs w:val="24"/>
        </w:rPr>
        <w:t>To determine the change in confrontation naming in patients with non-fluent aphasia.</w:t>
      </w:r>
    </w:p>
    <w:p w14:paraId="289BDA4E" w14:textId="77777777" w:rsidR="005C5FC0" w:rsidRPr="005C5FC0" w:rsidRDefault="005C5FC0" w:rsidP="005C5FC0">
      <w:pPr>
        <w:spacing w:before="120" w:after="120"/>
        <w:jc w:val="both"/>
        <w:rPr>
          <w:rFonts w:ascii="Times New Roman" w:hAnsi="Times New Roman"/>
          <w:bCs/>
          <w:sz w:val="24"/>
          <w:szCs w:val="24"/>
        </w:rPr>
      </w:pPr>
    </w:p>
    <w:p w14:paraId="7E129B0E" w14:textId="77777777" w:rsidR="005C5FC0" w:rsidRPr="005C5FC0" w:rsidRDefault="005C5FC0" w:rsidP="005C5FC0">
      <w:pPr>
        <w:rPr>
          <w:rFonts w:ascii="Arial" w:hAnsi="Arial" w:cs="Arial"/>
          <w:b/>
          <w:caps/>
          <w:sz w:val="22"/>
        </w:rPr>
      </w:pPr>
      <w:r>
        <w:rPr>
          <w:rFonts w:ascii="Arial" w:hAnsi="Arial" w:cs="Arial"/>
        </w:rPr>
        <w:br w:type="page"/>
      </w:r>
    </w:p>
    <w:p w14:paraId="2AD3552F" w14:textId="30172BAD"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0877B189" w14:textId="77777777" w:rsidR="00790ADA" w:rsidRPr="00FB3A86" w:rsidRDefault="00790ADA" w:rsidP="00441B6F">
      <w:pPr>
        <w:pStyle w:val="AbstHead"/>
        <w:spacing w:after="0"/>
        <w:jc w:val="both"/>
        <w:rPr>
          <w:rFonts w:ascii="Arial" w:hAnsi="Arial" w:cs="Arial"/>
        </w:rPr>
      </w:pPr>
    </w:p>
    <w:p w14:paraId="72E296DA" w14:textId="77777777" w:rsidR="005C5FC0" w:rsidRPr="005C5FC0" w:rsidRDefault="005C5FC0" w:rsidP="005C5FC0">
      <w:pPr>
        <w:pStyle w:val="Body"/>
        <w:rPr>
          <w:rFonts w:ascii="Arial" w:hAnsi="Arial" w:cs="Arial"/>
          <w:b/>
        </w:rPr>
      </w:pPr>
      <w:r w:rsidRPr="005C5FC0">
        <w:rPr>
          <w:rFonts w:ascii="Arial" w:hAnsi="Arial" w:cs="Arial"/>
          <w:b/>
        </w:rPr>
        <w:t xml:space="preserve">2.1 Study Design </w:t>
      </w:r>
    </w:p>
    <w:p w14:paraId="79C23156" w14:textId="77777777" w:rsidR="00790ADA" w:rsidRDefault="005C5FC0" w:rsidP="005C5FC0">
      <w:pPr>
        <w:pStyle w:val="Body"/>
        <w:spacing w:after="0"/>
        <w:rPr>
          <w:rFonts w:ascii="Arial" w:hAnsi="Arial" w:cs="Arial"/>
        </w:rPr>
      </w:pPr>
      <w:r w:rsidRPr="005C5FC0">
        <w:rPr>
          <w:rFonts w:ascii="Arial" w:hAnsi="Arial" w:cs="Arial"/>
        </w:rPr>
        <w:t>The study was conducted following the pre-experimental research design. Pre-experimental design is that in which two of the three criteria for true-experimental design are absent. In pre-experimental, it is possible to describe phenomena or relationship (Hicks, 1999).  The specific type of pre-experimental research which was used in this study was the pretest-posttest design. It is valuable in describing what occurs after the introduction of the independent variable e. g. repetition of words, repetition of phrase, responsive naming &amp; confrontation naming (Bailey, 1997). This design uses a single group as experimental group for the experiment. Here the experimental group acted as their own control group (</w:t>
      </w:r>
      <w:proofErr w:type="spellStart"/>
      <w:r w:rsidRPr="005C5FC0">
        <w:rPr>
          <w:rFonts w:ascii="Arial" w:hAnsi="Arial" w:cs="Arial"/>
        </w:rPr>
        <w:t>Depoy</w:t>
      </w:r>
      <w:proofErr w:type="spellEnd"/>
      <w:r w:rsidRPr="005C5FC0">
        <w:rPr>
          <w:rFonts w:ascii="Arial" w:hAnsi="Arial" w:cs="Arial"/>
        </w:rPr>
        <w:t xml:space="preserve"> &amp; Gitlin, 1998). The same subject design is a variant of experimental design which involves testing the same group of subjects on two or more occasions. They are typically used in before and after designs (Hicks, 1999). If subjects are tested before and after the intervention, a change in scores on the dependent variable can be reported. Albert, Sparks, &amp; Helm (1973), Sparks, Helm, &amp; Albert (1974) and Moses (1977) also used same study design in their research study where they wanted to find out effectiveness of MIT for patients with non-fluent aphasia.</w:t>
      </w:r>
    </w:p>
    <w:p w14:paraId="29EBB218" w14:textId="77777777" w:rsidR="005C5FC0" w:rsidRDefault="005C5FC0" w:rsidP="005C5FC0">
      <w:pPr>
        <w:pStyle w:val="Body"/>
        <w:spacing w:after="0"/>
        <w:rPr>
          <w:rFonts w:ascii="Arial" w:hAnsi="Arial" w:cs="Arial"/>
        </w:rPr>
      </w:pPr>
    </w:p>
    <w:p w14:paraId="521C1451" w14:textId="77777777" w:rsidR="005C5FC0" w:rsidRPr="005C5FC0" w:rsidRDefault="005C5FC0" w:rsidP="005C5FC0">
      <w:pPr>
        <w:pStyle w:val="Body"/>
        <w:rPr>
          <w:rFonts w:ascii="Arial" w:hAnsi="Arial" w:cs="Arial"/>
          <w:b/>
        </w:rPr>
      </w:pPr>
      <w:r w:rsidRPr="005C5FC0">
        <w:rPr>
          <w:rFonts w:ascii="Arial" w:hAnsi="Arial" w:cs="Arial"/>
          <w:b/>
        </w:rPr>
        <w:t>2.2 Study Setting</w:t>
      </w:r>
    </w:p>
    <w:p w14:paraId="1A4439D9" w14:textId="77777777" w:rsidR="005C5FC0" w:rsidRPr="005C5FC0" w:rsidRDefault="005C5FC0" w:rsidP="005C5FC0">
      <w:pPr>
        <w:pStyle w:val="Body"/>
        <w:rPr>
          <w:rFonts w:ascii="Arial" w:hAnsi="Arial" w:cs="Arial"/>
        </w:rPr>
      </w:pPr>
      <w:r w:rsidRPr="005C5FC0">
        <w:rPr>
          <w:rFonts w:ascii="Arial" w:hAnsi="Arial" w:cs="Arial"/>
        </w:rPr>
        <w:t xml:space="preserve">The study was conducted in two settings. Setting were adult neurology unit of Speech &amp; Language Therapy (SLT) dept. CRP, Savar and CRP, Mirpur. </w:t>
      </w:r>
    </w:p>
    <w:p w14:paraId="466C0C2E" w14:textId="77777777" w:rsidR="002E0D56" w:rsidRDefault="005C5FC0" w:rsidP="005C5FC0">
      <w:pPr>
        <w:pStyle w:val="Body"/>
        <w:spacing w:after="0"/>
        <w:rPr>
          <w:rFonts w:ascii="Arial" w:hAnsi="Arial" w:cs="Arial"/>
        </w:rPr>
      </w:pPr>
      <w:r w:rsidRPr="005C5FC0">
        <w:rPr>
          <w:rFonts w:ascii="Arial" w:hAnsi="Arial" w:cs="Arial"/>
        </w:rPr>
        <w:t>These two settings were used because these two settings were the only specialized center where patients with non-fluent aphasia are available with also qualified Speech and Language Therapists (SLTs) are available who works with aphasia (Speech and Language Therapy, n.d.).</w:t>
      </w:r>
    </w:p>
    <w:p w14:paraId="3A1C0C17" w14:textId="77777777" w:rsidR="005C5FC0" w:rsidRDefault="005C5FC0" w:rsidP="005C5FC0">
      <w:pPr>
        <w:pStyle w:val="Body"/>
        <w:spacing w:after="0"/>
        <w:rPr>
          <w:rFonts w:ascii="Arial" w:hAnsi="Arial" w:cs="Arial"/>
        </w:rPr>
      </w:pPr>
    </w:p>
    <w:p w14:paraId="61089DDA" w14:textId="77777777" w:rsidR="005C5FC0" w:rsidRPr="005C5FC0" w:rsidRDefault="005C5FC0" w:rsidP="005C5FC0">
      <w:pPr>
        <w:pStyle w:val="Body"/>
        <w:rPr>
          <w:rFonts w:ascii="Arial" w:hAnsi="Arial" w:cs="Arial"/>
          <w:b/>
        </w:rPr>
      </w:pPr>
      <w:r w:rsidRPr="005C5FC0">
        <w:rPr>
          <w:rFonts w:ascii="Arial" w:hAnsi="Arial" w:cs="Arial"/>
          <w:b/>
        </w:rPr>
        <w:t>2.3 Sample Size</w:t>
      </w:r>
    </w:p>
    <w:p w14:paraId="229CA9AF" w14:textId="77777777" w:rsidR="00790ADA" w:rsidRDefault="005C5FC0" w:rsidP="005C5FC0">
      <w:pPr>
        <w:pStyle w:val="Body"/>
        <w:spacing w:after="0"/>
        <w:rPr>
          <w:rFonts w:ascii="Arial" w:hAnsi="Arial" w:cs="Arial"/>
        </w:rPr>
      </w:pPr>
      <w:r w:rsidRPr="005C5FC0">
        <w:rPr>
          <w:rFonts w:ascii="Arial" w:hAnsi="Arial" w:cs="Arial"/>
        </w:rPr>
        <w:t>It is very difficult to establishing the best size of sample since this decision depends very largely on the research which is being undertaken (Hicks, 1999). The total number of participants was 4 (Four). This study project was in course curriculum, and there were verities of limitations, for example unavailable participants of related condition, time length etc. so that investigator completed this study with 4 (four) participants.</w:t>
      </w:r>
    </w:p>
    <w:p w14:paraId="6F267138" w14:textId="77777777" w:rsidR="005C5FC0" w:rsidRPr="00502516" w:rsidRDefault="005C5FC0" w:rsidP="005C5FC0">
      <w:pPr>
        <w:pStyle w:val="Body"/>
        <w:spacing w:after="0"/>
        <w:rPr>
          <w:rFonts w:ascii="Arial" w:hAnsi="Arial" w:cs="Arial"/>
        </w:rPr>
      </w:pPr>
    </w:p>
    <w:p w14:paraId="30D25899" w14:textId="77777777" w:rsidR="005C5FC0" w:rsidRPr="005C5FC0" w:rsidRDefault="005C5FC0" w:rsidP="005C5FC0">
      <w:pPr>
        <w:pStyle w:val="Body"/>
        <w:rPr>
          <w:rFonts w:ascii="Arial" w:hAnsi="Arial" w:cs="Arial"/>
          <w:b/>
        </w:rPr>
      </w:pPr>
      <w:r w:rsidRPr="005C5FC0">
        <w:rPr>
          <w:rFonts w:ascii="Arial" w:hAnsi="Arial" w:cs="Arial"/>
          <w:b/>
        </w:rPr>
        <w:t>2.4 Sampling Procedure</w:t>
      </w:r>
    </w:p>
    <w:p w14:paraId="109DA4C0" w14:textId="77777777" w:rsidR="005C5FC0" w:rsidRPr="005C5FC0" w:rsidRDefault="005C5FC0" w:rsidP="005C5FC0">
      <w:pPr>
        <w:pStyle w:val="Body"/>
        <w:rPr>
          <w:rFonts w:ascii="Arial" w:hAnsi="Arial" w:cs="Arial"/>
        </w:rPr>
      </w:pPr>
      <w:r w:rsidRPr="005C5FC0">
        <w:rPr>
          <w:rFonts w:ascii="Arial" w:hAnsi="Arial" w:cs="Arial"/>
        </w:rPr>
        <w:t>The participants were a small group and each participant had verity of associated problems. It was indeed difficult to choose a sample that claim to be representative of the population. In this study, the investigator was selected 6 (six) samples purposively for collecting data from the adult neurology unit of SLT dept. CRP, Savar and Mirpur. Among of six samples one sample didn’t match with the inclusion criteria (attention span was very poor and stoke held following head injury) and another one sample had gone (due to personal problem, took 5 therapy session) from study setting before collecting post data and these 2 (two) participants were selected from the adult neurology unit of SLT dept. CRP, Mirpur. Finally to carry out the research project 4 (four) participants with non-fluent aphasia were selected purposively from the adult neurology unit of SLT dept. CRP, Savar. Many other investigators had done their study with small participants as like Marshall and Holtzapple in 1976 with 4 participants, Carlomagno et al., (1997) with 2 participants, Hough (2010) with one participant, so investigator had done this study with 4 participants.</w:t>
      </w:r>
    </w:p>
    <w:p w14:paraId="0AC611F3" w14:textId="77777777" w:rsidR="005C5FC0" w:rsidRDefault="005C5FC0" w:rsidP="005C5FC0">
      <w:pPr>
        <w:pStyle w:val="Body"/>
        <w:rPr>
          <w:rFonts w:ascii="Arial" w:hAnsi="Arial" w:cs="Arial"/>
        </w:rPr>
      </w:pPr>
      <w:r w:rsidRPr="005C5FC0">
        <w:rPr>
          <w:rFonts w:ascii="Arial" w:hAnsi="Arial" w:cs="Arial"/>
        </w:rPr>
        <w:t xml:space="preserve">Purposive sampling referred a purpose in mind and the samples are thus selected to include people of interest and exclude those who do not suit the purpose (Hicks, 1999). In purposive sampling the researcher attempts to obtain sample that appears to him/her to be representative of the population </w:t>
      </w:r>
      <w:r w:rsidRPr="005C5FC0">
        <w:rPr>
          <w:rFonts w:ascii="Arial" w:hAnsi="Arial" w:cs="Arial"/>
        </w:rPr>
        <w:lastRenderedPageBreak/>
        <w:t>and will usually try to ensure that a range from one extreme to the other included (</w:t>
      </w:r>
      <w:proofErr w:type="spellStart"/>
      <w:r w:rsidRPr="005C5FC0">
        <w:rPr>
          <w:rFonts w:ascii="Arial" w:hAnsi="Arial" w:cs="Arial"/>
        </w:rPr>
        <w:t>Depoy</w:t>
      </w:r>
      <w:proofErr w:type="spellEnd"/>
      <w:r w:rsidRPr="005C5FC0">
        <w:rPr>
          <w:rFonts w:ascii="Arial" w:hAnsi="Arial" w:cs="Arial"/>
        </w:rPr>
        <w:t xml:space="preserve">, &amp; Gitlin, 1998). Purposive sampling is different from convenience sampling because here the researchers does not simply study whoever is available, but uses their judgment to select that they believe, based on prior information, will provide the data they need (Frankel, &amp; Waller, 2000). A large sample is more likely to be representative of the population than a smaller one and secondly small sample size would be corrected by an increase in the stringency with which the analysis will conduct (Hicks, 1999). </w:t>
      </w:r>
    </w:p>
    <w:p w14:paraId="6BAB5398" w14:textId="77777777" w:rsidR="005C5FC0" w:rsidRPr="005C5FC0" w:rsidRDefault="005C5FC0" w:rsidP="00864B54">
      <w:pPr>
        <w:pStyle w:val="Body"/>
        <w:spacing w:line="276" w:lineRule="auto"/>
        <w:rPr>
          <w:rFonts w:ascii="Arial" w:hAnsi="Arial" w:cs="Arial"/>
          <w:b/>
          <w:bCs/>
        </w:rPr>
      </w:pPr>
      <w:r w:rsidRPr="005C5FC0">
        <w:rPr>
          <w:rFonts w:ascii="Arial" w:hAnsi="Arial" w:cs="Arial"/>
          <w:b/>
          <w:bCs/>
        </w:rPr>
        <w:t>2.4.1 Inclusion criteria:</w:t>
      </w:r>
    </w:p>
    <w:p w14:paraId="26B2D087" w14:textId="77777777" w:rsidR="005C5FC0" w:rsidRPr="005C5FC0" w:rsidRDefault="005C5FC0" w:rsidP="00864B54">
      <w:pPr>
        <w:pStyle w:val="Body"/>
        <w:numPr>
          <w:ilvl w:val="0"/>
          <w:numId w:val="33"/>
        </w:numPr>
        <w:spacing w:line="276" w:lineRule="auto"/>
        <w:rPr>
          <w:rFonts w:ascii="Arial" w:hAnsi="Arial" w:cs="Arial"/>
        </w:rPr>
      </w:pPr>
      <w:r w:rsidRPr="005C5FC0">
        <w:rPr>
          <w:rFonts w:ascii="Arial" w:hAnsi="Arial" w:cs="Arial"/>
        </w:rPr>
        <w:t>Participants who had non-fluent aphasia diagnosed by BDAE following unilateral left hemisphere stroke</w:t>
      </w:r>
    </w:p>
    <w:p w14:paraId="34F68A82" w14:textId="77777777" w:rsidR="005C5FC0" w:rsidRPr="005C5FC0" w:rsidRDefault="005C5FC0" w:rsidP="00864B54">
      <w:pPr>
        <w:pStyle w:val="Body"/>
        <w:numPr>
          <w:ilvl w:val="0"/>
          <w:numId w:val="33"/>
        </w:numPr>
        <w:spacing w:line="276" w:lineRule="auto"/>
        <w:rPr>
          <w:rFonts w:ascii="Arial" w:hAnsi="Arial" w:cs="Arial"/>
        </w:rPr>
      </w:pPr>
      <w:r w:rsidRPr="005C5FC0">
        <w:rPr>
          <w:rFonts w:ascii="Arial" w:hAnsi="Arial" w:cs="Arial"/>
        </w:rPr>
        <w:t>Participants who didn’t receive melodic intonation therapy before.</w:t>
      </w:r>
    </w:p>
    <w:p w14:paraId="712C714B" w14:textId="77777777" w:rsidR="005C5FC0" w:rsidRPr="005C5FC0" w:rsidRDefault="005C5FC0" w:rsidP="00864B54">
      <w:pPr>
        <w:pStyle w:val="Body"/>
        <w:numPr>
          <w:ilvl w:val="0"/>
          <w:numId w:val="33"/>
        </w:numPr>
        <w:spacing w:line="276" w:lineRule="auto"/>
        <w:rPr>
          <w:rFonts w:ascii="Arial" w:hAnsi="Arial" w:cs="Arial"/>
        </w:rPr>
      </w:pPr>
      <w:r w:rsidRPr="005C5FC0">
        <w:rPr>
          <w:rFonts w:ascii="Arial" w:hAnsi="Arial" w:cs="Arial"/>
        </w:rPr>
        <w:t>Participants who had good attention span and emotionally stable.</w:t>
      </w:r>
    </w:p>
    <w:p w14:paraId="510342CE" w14:textId="77777777" w:rsidR="005C5FC0" w:rsidRPr="005C5FC0" w:rsidRDefault="005C5FC0" w:rsidP="00864B54">
      <w:pPr>
        <w:pStyle w:val="Body"/>
        <w:numPr>
          <w:ilvl w:val="0"/>
          <w:numId w:val="33"/>
        </w:numPr>
        <w:spacing w:line="276" w:lineRule="auto"/>
        <w:rPr>
          <w:rFonts w:ascii="Arial" w:hAnsi="Arial" w:cs="Arial"/>
        </w:rPr>
      </w:pPr>
      <w:r w:rsidRPr="005C5FC0">
        <w:rPr>
          <w:rFonts w:ascii="Arial" w:hAnsi="Arial" w:cs="Arial"/>
        </w:rPr>
        <w:t>Assessment execute by a qualified SLTs and intern.</w:t>
      </w:r>
    </w:p>
    <w:p w14:paraId="0526BCB8" w14:textId="77777777" w:rsidR="005C5FC0" w:rsidRDefault="005C5FC0" w:rsidP="005C5FC0">
      <w:pPr>
        <w:spacing w:before="120" w:after="120" w:line="360" w:lineRule="auto"/>
        <w:jc w:val="both"/>
        <w:rPr>
          <w:rFonts w:ascii="Times New Roman" w:hAnsi="Times New Roman"/>
          <w:b/>
          <w:bCs/>
          <w:sz w:val="24"/>
          <w:szCs w:val="24"/>
        </w:rPr>
      </w:pPr>
      <w:r>
        <w:rPr>
          <w:rFonts w:ascii="Times New Roman" w:hAnsi="Times New Roman"/>
          <w:b/>
          <w:bCs/>
          <w:sz w:val="24"/>
          <w:szCs w:val="24"/>
        </w:rPr>
        <w:t>2.4.2 Exclusion criteria:</w:t>
      </w:r>
    </w:p>
    <w:p w14:paraId="3A229731" w14:textId="77777777" w:rsidR="005C5FC0" w:rsidRDefault="005C5FC0" w:rsidP="005C5FC0">
      <w:pPr>
        <w:pStyle w:val="ListParagraph"/>
        <w:numPr>
          <w:ilvl w:val="0"/>
          <w:numId w:val="34"/>
        </w:numPr>
        <w:spacing w:before="120" w:after="120" w:line="360" w:lineRule="auto"/>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Participants with fluent aphasia, anomic aphasia.</w:t>
      </w:r>
    </w:p>
    <w:p w14:paraId="5C0EFD0E" w14:textId="77777777" w:rsidR="005C5FC0" w:rsidRDefault="005C5FC0" w:rsidP="005C5FC0">
      <w:pPr>
        <w:pStyle w:val="ListParagraph"/>
        <w:numPr>
          <w:ilvl w:val="0"/>
          <w:numId w:val="34"/>
        </w:numPr>
        <w:spacing w:before="120" w:after="120" w:line="360" w:lineRule="auto"/>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Non-fluent aphasic patient following tumor, head injury and degenerative disease.</w:t>
      </w:r>
    </w:p>
    <w:p w14:paraId="460EDC26" w14:textId="77777777" w:rsidR="00864B54" w:rsidRPr="00864B54" w:rsidRDefault="00864B54" w:rsidP="00864B54">
      <w:pPr>
        <w:pStyle w:val="Body"/>
        <w:rPr>
          <w:rFonts w:ascii="Arial" w:hAnsi="Arial" w:cs="Arial"/>
          <w:b/>
        </w:rPr>
      </w:pPr>
      <w:r w:rsidRPr="00864B54">
        <w:rPr>
          <w:rFonts w:ascii="Arial" w:hAnsi="Arial" w:cs="Arial"/>
          <w:b/>
        </w:rPr>
        <w:t>2.5 Rational for the Criteria</w:t>
      </w:r>
    </w:p>
    <w:p w14:paraId="43208462" w14:textId="77777777" w:rsidR="005C5FC0" w:rsidRPr="005C5FC0" w:rsidRDefault="00864B54" w:rsidP="00864B54">
      <w:pPr>
        <w:pStyle w:val="Body"/>
        <w:rPr>
          <w:rFonts w:ascii="Arial" w:hAnsi="Arial" w:cs="Arial"/>
        </w:rPr>
      </w:pPr>
      <w:r w:rsidRPr="00864B54">
        <w:rPr>
          <w:rFonts w:ascii="Arial" w:hAnsi="Arial" w:cs="Arial"/>
        </w:rPr>
        <w:t xml:space="preserve">Participants were selected from patients with non-fluent aphasia following unilateral left hemisphere stroke because they are the best candidates for MIT, they have the ability to understand language but are not able to verbally express their own thoughts (Helm-Estabrooks &amp; Albert, 2004; Sparks, Helm &amp; Albert, 1973). The patient is diagnosed by qualified SLTs by using subtests (repetition of words, repetition of phrase, responsive naming &amp; confrontation naming) of BDAE because it is very difficult to diagnose patients with non-fluent aphasia, who have actually symptoms from non-fluent aphasia. Participants were not selected from patients with non-fluent aphasia following tumor or head injury &amp; degenerative disease because there have chance to right hemisphere damage (Helm-Estabrooks &amp; Albert, 2004). </w:t>
      </w:r>
    </w:p>
    <w:p w14:paraId="518370A1" w14:textId="77777777" w:rsidR="00864B54" w:rsidRDefault="00864B54" w:rsidP="00441B6F">
      <w:pPr>
        <w:pStyle w:val="Body"/>
        <w:spacing w:after="0"/>
        <w:rPr>
          <w:rFonts w:ascii="Arial" w:hAnsi="Arial" w:cs="Arial"/>
          <w:b/>
        </w:rPr>
      </w:pPr>
      <w:r w:rsidRPr="00864B54">
        <w:rPr>
          <w:rFonts w:ascii="Arial" w:hAnsi="Arial" w:cs="Arial"/>
          <w:b/>
        </w:rPr>
        <w:t xml:space="preserve">2.6 Data collection </w:t>
      </w:r>
    </w:p>
    <w:p w14:paraId="3A849FD7" w14:textId="77777777" w:rsidR="00864B54" w:rsidRDefault="00864B54" w:rsidP="00441B6F">
      <w:pPr>
        <w:pStyle w:val="Body"/>
        <w:spacing w:after="0"/>
        <w:rPr>
          <w:rFonts w:ascii="Arial" w:hAnsi="Arial" w:cs="Arial"/>
          <w:b/>
        </w:rPr>
      </w:pPr>
    </w:p>
    <w:p w14:paraId="0CF4BC4C" w14:textId="77777777" w:rsidR="00864B54" w:rsidRDefault="00864B54" w:rsidP="00864B54">
      <w:pPr>
        <w:pStyle w:val="Body"/>
        <w:spacing w:after="0"/>
        <w:rPr>
          <w:rFonts w:ascii="Arial" w:hAnsi="Arial" w:cs="Arial"/>
          <w:b/>
          <w:bCs/>
        </w:rPr>
      </w:pPr>
      <w:r w:rsidRPr="00864B54">
        <w:rPr>
          <w:rFonts w:ascii="Arial" w:hAnsi="Arial" w:cs="Arial"/>
          <w:b/>
          <w:bCs/>
        </w:rPr>
        <w:t>2.6.1 Data collection tools</w:t>
      </w:r>
    </w:p>
    <w:p w14:paraId="23E86423" w14:textId="77777777" w:rsidR="00864B54" w:rsidRPr="00864B54" w:rsidRDefault="00864B54" w:rsidP="00864B54">
      <w:pPr>
        <w:pStyle w:val="Body"/>
        <w:spacing w:after="0"/>
        <w:rPr>
          <w:rFonts w:ascii="Arial" w:hAnsi="Arial" w:cs="Arial"/>
        </w:rPr>
      </w:pPr>
    </w:p>
    <w:p w14:paraId="255652DB" w14:textId="77777777" w:rsidR="00864B54" w:rsidRPr="00864B54" w:rsidRDefault="00864B54" w:rsidP="00864B54">
      <w:pPr>
        <w:pStyle w:val="Body"/>
        <w:spacing w:after="0"/>
        <w:rPr>
          <w:rFonts w:ascii="Arial" w:hAnsi="Arial" w:cs="Arial"/>
        </w:rPr>
      </w:pPr>
      <w:r w:rsidRPr="00864B54">
        <w:rPr>
          <w:rFonts w:ascii="Arial" w:hAnsi="Arial" w:cs="Arial"/>
        </w:rPr>
        <w:t xml:space="preserve">This study was conducted to find out the effectiveness of MIT program for patients with non-fluent aphasia. To measure the effectiveness of MIT, the investigator used subtests (repetition of words, repetition of phrase, responsive naming &amp; confrontation naming) of Boston Diagnostic Aphasia Examination (BDAE) as a tool for pre – </w:t>
      </w:r>
      <w:proofErr w:type="spellStart"/>
      <w:r w:rsidRPr="00864B54">
        <w:rPr>
          <w:rFonts w:ascii="Arial" w:hAnsi="Arial" w:cs="Arial"/>
        </w:rPr>
        <w:t>post test</w:t>
      </w:r>
      <w:proofErr w:type="spellEnd"/>
      <w:r w:rsidRPr="00864B54">
        <w:rPr>
          <w:rFonts w:ascii="Arial" w:hAnsi="Arial" w:cs="Arial"/>
        </w:rPr>
        <w:t>. Albert, Helm &amp; Sparks, (1973) were used BDAE for collecting data in their study to find out the effectiveness of MIT.</w:t>
      </w:r>
    </w:p>
    <w:p w14:paraId="7BB5619D" w14:textId="77777777" w:rsidR="00864B54" w:rsidRPr="00864B54" w:rsidRDefault="00864B54" w:rsidP="00864B54">
      <w:pPr>
        <w:pStyle w:val="Body"/>
        <w:rPr>
          <w:rFonts w:ascii="Arial" w:hAnsi="Arial" w:cs="Arial"/>
          <w:b/>
          <w:bCs/>
        </w:rPr>
      </w:pPr>
      <w:r w:rsidRPr="00864B54">
        <w:rPr>
          <w:rFonts w:ascii="Arial" w:hAnsi="Arial" w:cs="Arial"/>
          <w:b/>
          <w:bCs/>
        </w:rPr>
        <w:t>Boston Diagnostic Aphasia Examination (BDAE)</w:t>
      </w:r>
    </w:p>
    <w:p w14:paraId="786EBDDE" w14:textId="77777777" w:rsidR="00864B54" w:rsidRPr="00864B54" w:rsidRDefault="00864B54" w:rsidP="00864B54">
      <w:pPr>
        <w:pStyle w:val="Body"/>
        <w:rPr>
          <w:rFonts w:ascii="Arial" w:hAnsi="Arial" w:cs="Arial"/>
          <w:bCs/>
        </w:rPr>
      </w:pPr>
      <w:r w:rsidRPr="00864B54">
        <w:rPr>
          <w:rFonts w:ascii="Arial" w:hAnsi="Arial" w:cs="Arial"/>
          <w:bCs/>
        </w:rPr>
        <w:t xml:space="preserve">The Boston Diagnostic Aphasia Examination (BDAE) is a comprehensive, multi-factorial battery created by Harold </w:t>
      </w:r>
      <w:proofErr w:type="spellStart"/>
      <w:r w:rsidRPr="00864B54">
        <w:rPr>
          <w:rFonts w:ascii="Arial" w:hAnsi="Arial" w:cs="Arial"/>
          <w:bCs/>
        </w:rPr>
        <w:t>Goodglass</w:t>
      </w:r>
      <w:proofErr w:type="spellEnd"/>
      <w:r w:rsidRPr="00864B54">
        <w:rPr>
          <w:rFonts w:ascii="Arial" w:hAnsi="Arial" w:cs="Arial"/>
          <w:bCs/>
        </w:rPr>
        <w:t xml:space="preserve"> and Edith Kaplan in 1972 to evaluate a broad range of language impairments in patients with aphasia.  This test evaluates various perceptual modalities (e.g., auditory, visual, and gestural) processing functions (e.g., comprehension, analysis, problem-solving) </w:t>
      </w:r>
      <w:r w:rsidRPr="00864B54">
        <w:rPr>
          <w:rFonts w:ascii="Arial" w:hAnsi="Arial" w:cs="Arial"/>
          <w:bCs/>
        </w:rPr>
        <w:lastRenderedPageBreak/>
        <w:t>and response modalities (e.g., writing, articulation, and manipulation) (</w:t>
      </w:r>
      <w:proofErr w:type="spellStart"/>
      <w:r w:rsidRPr="00864B54">
        <w:rPr>
          <w:rFonts w:ascii="Arial" w:hAnsi="Arial" w:cs="Arial"/>
          <w:bCs/>
        </w:rPr>
        <w:t>Goodglass</w:t>
      </w:r>
      <w:proofErr w:type="spellEnd"/>
      <w:r w:rsidRPr="00864B54">
        <w:rPr>
          <w:rFonts w:ascii="Arial" w:hAnsi="Arial" w:cs="Arial"/>
          <w:bCs/>
        </w:rPr>
        <w:t xml:space="preserve">, &amp; Kaplan, 1972). BDAE has five tests and under each five test has subtest. These are the followings – </w:t>
      </w:r>
    </w:p>
    <w:p w14:paraId="4B76D4F9" w14:textId="77777777" w:rsidR="00864B54" w:rsidRPr="00864B54" w:rsidRDefault="00864B54" w:rsidP="00864B54">
      <w:pPr>
        <w:pStyle w:val="Body"/>
        <w:rPr>
          <w:rFonts w:ascii="Arial" w:hAnsi="Arial" w:cs="Arial"/>
          <w:bCs/>
        </w:rPr>
      </w:pPr>
      <w:r w:rsidRPr="00864B54">
        <w:rPr>
          <w:rFonts w:ascii="Arial" w:hAnsi="Arial" w:cs="Arial"/>
          <w:bCs/>
        </w:rPr>
        <w:t xml:space="preserve">1. Conversational and expository speech – conduct informal exchange, e.g. response to greetings. 2. Auditory comprehension there is four subtests a) Word discrimination e. g. smoking, drinking b) Body-part identification e.g. ear, head c) Commands e. g. point the ceiling, then to the floor d) Complex ideational material e. g. can you use a hammer to pound nails. 3. Oral expression – has also ten subtests a) Oral agility like nonverbal agility e. g. purse lips, release and verbal agility e. g. mama, mama…etc. b) Automatized sequences e. g. days of week, months of year c) Recitation, singing, and rhythm d) Repetition of words e. g. chair, 1776 etc. e) Repeating phrases e. g. you know how, </w:t>
      </w:r>
      <w:proofErr w:type="spellStart"/>
      <w:r w:rsidRPr="00864B54">
        <w:rPr>
          <w:rFonts w:ascii="Arial" w:hAnsi="Arial" w:cs="Arial"/>
          <w:bCs/>
        </w:rPr>
        <w:t>lims</w:t>
      </w:r>
      <w:proofErr w:type="spellEnd"/>
      <w:r w:rsidRPr="00864B54">
        <w:rPr>
          <w:rFonts w:ascii="Arial" w:hAnsi="Arial" w:cs="Arial"/>
          <w:bCs/>
        </w:rPr>
        <w:t xml:space="preserve"> are sour f) Word reading e. g. circle, purple g) Responsive naming e. g. what do you do with a razor? h) Visual confrontation naming e. g. objects: key, glove; letters: H, T etc. i) Animal naming j) Oral sentence reading e. g. I got home from work. 4. Understanding written language – has four subtests a) Symbol and word discrimination e. g. on_____ F_____ b) Phonetic association like word recognition e. g. ship___ book___ and Comprehension of oral spelling e. g. N-O, E-L-B-O-W c) Word-picture matching e. g. chair ____ brown ____ d) Reading sentences and paragraphs. 5. Writing there also has four subtests a) Mechanics of writing e. g. name and address b) Recall of written symbols c) Written word-finding like spelling to dictation e. g. soft ___ fight ___ and written confrontation naming e. g. key, red d) Written formulation e. g. narrative writing</w:t>
      </w:r>
    </w:p>
    <w:p w14:paraId="28D540E1" w14:textId="77777777" w:rsidR="00864B54" w:rsidRPr="00864B54" w:rsidRDefault="00864B54" w:rsidP="00864B54">
      <w:pPr>
        <w:pStyle w:val="Body"/>
        <w:spacing w:after="0"/>
        <w:rPr>
          <w:rFonts w:ascii="Arial" w:hAnsi="Arial" w:cs="Arial"/>
          <w:bCs/>
        </w:rPr>
      </w:pPr>
      <w:r w:rsidRPr="00864B54">
        <w:rPr>
          <w:rFonts w:ascii="Arial" w:hAnsi="Arial" w:cs="Arial"/>
          <w:bCs/>
        </w:rPr>
        <w:t xml:space="preserve">In this study the investigator used repetition of word &amp; phrase, responsive naming, and confrontation naming task of BDAE to assess patients with non-fluent aphasia before and after implementation of MIT. The investigator translated data collection tool in Bangla language according to cultural perspectives and checked by supervisor. Because original versions of BDAE subtests were in English language, where some portion was unfamiliar for Bangla speaking population. Translating procedures of BDAE subtests – repetition of words there has ten items. Among of them two (W &amp; Methodist Episcopal) items were translated in cultural view and rest of the items were same just translated in Bangla. Repetition of phrase, in this subtest has sixteen items which is divided in high and low probability phrase and the investigator just translated in Bangla of this subtest. Responsive naming where had ten items and investigator was translated in Bangla language. Visual confrontation naming, there were thirty eight items from different categories among of them one (Cactus) item was translated in cultural views and rest of the items were same. Data collection tool is presented in </w:t>
      </w:r>
      <w:bookmarkStart w:id="1" w:name="_Hlk196213606"/>
      <w:r w:rsidRPr="00864B54">
        <w:rPr>
          <w:rFonts w:ascii="Arial" w:hAnsi="Arial" w:cs="Arial"/>
          <w:bCs/>
        </w:rPr>
        <w:t xml:space="preserve">annexure </w:t>
      </w:r>
      <w:bookmarkEnd w:id="1"/>
      <w:r w:rsidRPr="00864B54">
        <w:rPr>
          <w:rFonts w:ascii="Arial" w:hAnsi="Arial" w:cs="Arial"/>
          <w:bCs/>
        </w:rPr>
        <w:t>4.</w:t>
      </w:r>
    </w:p>
    <w:p w14:paraId="1826CB36" w14:textId="77777777" w:rsidR="00864B54" w:rsidRPr="00864B54" w:rsidRDefault="00864B54" w:rsidP="00441B6F">
      <w:pPr>
        <w:pStyle w:val="Body"/>
        <w:spacing w:after="0"/>
        <w:rPr>
          <w:rFonts w:ascii="Arial" w:hAnsi="Arial" w:cs="Arial"/>
        </w:rPr>
      </w:pPr>
    </w:p>
    <w:p w14:paraId="234E976F" w14:textId="77777777" w:rsidR="00864B54" w:rsidRPr="00864B54" w:rsidRDefault="00864B54" w:rsidP="00864B54">
      <w:pPr>
        <w:pStyle w:val="Body"/>
        <w:rPr>
          <w:rFonts w:ascii="Arial" w:hAnsi="Arial" w:cs="Arial"/>
          <w:b/>
        </w:rPr>
      </w:pPr>
      <w:r w:rsidRPr="00864B54">
        <w:rPr>
          <w:rFonts w:ascii="Arial" w:hAnsi="Arial" w:cs="Arial"/>
          <w:b/>
        </w:rPr>
        <w:t xml:space="preserve">2.6.2 Data collection procedure </w:t>
      </w:r>
    </w:p>
    <w:p w14:paraId="19143560" w14:textId="77777777" w:rsidR="00864B54" w:rsidRPr="00864B54" w:rsidRDefault="00864B54" w:rsidP="00864B54">
      <w:pPr>
        <w:pStyle w:val="Body"/>
        <w:rPr>
          <w:rFonts w:ascii="Arial" w:hAnsi="Arial" w:cs="Arial"/>
        </w:rPr>
      </w:pPr>
      <w:r w:rsidRPr="00864B54">
        <w:rPr>
          <w:rFonts w:ascii="Arial" w:hAnsi="Arial" w:cs="Arial"/>
        </w:rPr>
        <w:t xml:space="preserve">The participants of the study were chosen purposively for the experiment. Before starting the treatment, at first day of data collection the investigator introduced himself with the participant &amp; participant’s caregiver, explained the purpose of the study and the role of the participant in the study. The investigator collects written consent form (annexure – 5) participant’s caregiver. Then the investigator took initial data (which were </w:t>
      </w:r>
      <w:proofErr w:type="spellStart"/>
      <w:r w:rsidRPr="00864B54">
        <w:rPr>
          <w:rFonts w:ascii="Arial" w:hAnsi="Arial" w:cs="Arial"/>
        </w:rPr>
        <w:t>pre test</w:t>
      </w:r>
      <w:proofErr w:type="spellEnd"/>
      <w:r w:rsidRPr="00864B54">
        <w:rPr>
          <w:rFonts w:ascii="Arial" w:hAnsi="Arial" w:cs="Arial"/>
        </w:rPr>
        <w:t xml:space="preserve"> data) on the following areas by using BDAE.</w:t>
      </w:r>
    </w:p>
    <w:p w14:paraId="37505242" w14:textId="77777777" w:rsidR="00864B54" w:rsidRPr="00864B54" w:rsidRDefault="00864B54" w:rsidP="00864B54">
      <w:pPr>
        <w:pStyle w:val="Body"/>
        <w:numPr>
          <w:ilvl w:val="0"/>
          <w:numId w:val="35"/>
        </w:numPr>
        <w:rPr>
          <w:rFonts w:ascii="Arial" w:hAnsi="Arial" w:cs="Arial"/>
        </w:rPr>
      </w:pPr>
      <w:r w:rsidRPr="00864B54">
        <w:rPr>
          <w:rFonts w:ascii="Arial" w:hAnsi="Arial" w:cs="Arial"/>
        </w:rPr>
        <w:t>Repetition of word</w:t>
      </w:r>
    </w:p>
    <w:p w14:paraId="1F70722A" w14:textId="77777777" w:rsidR="00864B54" w:rsidRPr="00864B54" w:rsidRDefault="00864B54" w:rsidP="00864B54">
      <w:pPr>
        <w:pStyle w:val="Body"/>
        <w:numPr>
          <w:ilvl w:val="0"/>
          <w:numId w:val="35"/>
        </w:numPr>
        <w:rPr>
          <w:rFonts w:ascii="Arial" w:hAnsi="Arial" w:cs="Arial"/>
        </w:rPr>
      </w:pPr>
      <w:r w:rsidRPr="00864B54">
        <w:rPr>
          <w:rFonts w:ascii="Arial" w:hAnsi="Arial" w:cs="Arial"/>
        </w:rPr>
        <w:t>Repetition of phrase</w:t>
      </w:r>
    </w:p>
    <w:p w14:paraId="37D873F9" w14:textId="77777777" w:rsidR="00864B54" w:rsidRPr="00864B54" w:rsidRDefault="00864B54" w:rsidP="00864B54">
      <w:pPr>
        <w:pStyle w:val="Body"/>
        <w:numPr>
          <w:ilvl w:val="0"/>
          <w:numId w:val="35"/>
        </w:numPr>
        <w:rPr>
          <w:rFonts w:ascii="Arial" w:hAnsi="Arial" w:cs="Arial"/>
        </w:rPr>
      </w:pPr>
      <w:r w:rsidRPr="00864B54">
        <w:rPr>
          <w:rFonts w:ascii="Arial" w:hAnsi="Arial" w:cs="Arial"/>
        </w:rPr>
        <w:t>Responsive naming</w:t>
      </w:r>
    </w:p>
    <w:p w14:paraId="05E5F293" w14:textId="77777777" w:rsidR="00864B54" w:rsidRPr="00864B54" w:rsidRDefault="00864B54" w:rsidP="00864B54">
      <w:pPr>
        <w:pStyle w:val="Body"/>
        <w:numPr>
          <w:ilvl w:val="0"/>
          <w:numId w:val="35"/>
        </w:numPr>
        <w:rPr>
          <w:rFonts w:ascii="Arial" w:hAnsi="Arial" w:cs="Arial"/>
        </w:rPr>
      </w:pPr>
      <w:r w:rsidRPr="00864B54">
        <w:rPr>
          <w:rFonts w:ascii="Arial" w:hAnsi="Arial" w:cs="Arial"/>
        </w:rPr>
        <w:t>Confrontation naming</w:t>
      </w:r>
    </w:p>
    <w:p w14:paraId="6197A015" w14:textId="77777777" w:rsidR="00864B54" w:rsidRPr="00864B54" w:rsidRDefault="00864B54" w:rsidP="00864B54">
      <w:pPr>
        <w:pStyle w:val="Body"/>
        <w:rPr>
          <w:rFonts w:ascii="Arial" w:hAnsi="Arial" w:cs="Arial"/>
        </w:rPr>
      </w:pPr>
      <w:r w:rsidRPr="00864B54">
        <w:rPr>
          <w:rFonts w:ascii="Arial" w:hAnsi="Arial" w:cs="Arial"/>
        </w:rPr>
        <w:t xml:space="preserve">Then the investigator informed the qualified and intern SLTs about the treatment program, the techniques that would be used in the treatment program; target areas in which the investigator was looking for change and how many sessions the participants need to be seen. The participants received the MIT treatment program from the adult neurology unit of SLT department, CRP, Savar </w:t>
      </w:r>
      <w:r w:rsidRPr="00864B54">
        <w:rPr>
          <w:rFonts w:ascii="Arial" w:hAnsi="Arial" w:cs="Arial"/>
        </w:rPr>
        <w:lastRenderedPageBreak/>
        <w:t xml:space="preserve">and Mirpur for 45 to 50 min for 12-16 (3 – 4 weeks) sessions at the rate of approximately 4 sessions per week. Best administration time of MIT is 3 – 6 weeks, 5sessions/week and 1 – 1.5 h/session (Helm-Estabrooks &amp; Albert, 2004; </w:t>
      </w:r>
      <w:proofErr w:type="spellStart"/>
      <w:r w:rsidRPr="00864B54">
        <w:rPr>
          <w:rFonts w:ascii="Arial" w:hAnsi="Arial" w:cs="Arial"/>
        </w:rPr>
        <w:t>Schlaug</w:t>
      </w:r>
      <w:proofErr w:type="spellEnd"/>
      <w:r w:rsidRPr="00864B54">
        <w:rPr>
          <w:rFonts w:ascii="Arial" w:hAnsi="Arial" w:cs="Arial"/>
        </w:rPr>
        <w:t xml:space="preserve">, </w:t>
      </w:r>
      <w:proofErr w:type="spellStart"/>
      <w:r w:rsidRPr="00864B54">
        <w:rPr>
          <w:rFonts w:ascii="Arial" w:hAnsi="Arial" w:cs="Arial"/>
        </w:rPr>
        <w:t>Marchina</w:t>
      </w:r>
      <w:proofErr w:type="spellEnd"/>
      <w:r w:rsidRPr="00864B54">
        <w:rPr>
          <w:rFonts w:ascii="Arial" w:hAnsi="Arial" w:cs="Arial"/>
        </w:rPr>
        <w:t xml:space="preserve">, &amp; </w:t>
      </w:r>
      <w:proofErr w:type="spellStart"/>
      <w:r w:rsidRPr="00864B54">
        <w:rPr>
          <w:rFonts w:ascii="Arial" w:hAnsi="Arial" w:cs="Arial"/>
        </w:rPr>
        <w:t>Nortan</w:t>
      </w:r>
      <w:proofErr w:type="spellEnd"/>
      <w:r w:rsidRPr="00864B54">
        <w:rPr>
          <w:rFonts w:ascii="Arial" w:hAnsi="Arial" w:cs="Arial"/>
        </w:rPr>
        <w:t xml:space="preserve">, 2009). Here the investigator was </w:t>
      </w:r>
      <w:proofErr w:type="spellStart"/>
      <w:r w:rsidRPr="00864B54">
        <w:rPr>
          <w:rFonts w:ascii="Arial" w:hAnsi="Arial" w:cs="Arial"/>
        </w:rPr>
        <w:t>minized</w:t>
      </w:r>
      <w:proofErr w:type="spellEnd"/>
      <w:r w:rsidRPr="00864B54">
        <w:rPr>
          <w:rFonts w:ascii="Arial" w:hAnsi="Arial" w:cs="Arial"/>
        </w:rPr>
        <w:t xml:space="preserve"> the administration time of MIT due to time limitation of study conduct. At last session the investigator again collect data (which were post test data) on repetition of word and phrase, responsive naming and confrontation naming areas by using BDAE. </w:t>
      </w:r>
    </w:p>
    <w:p w14:paraId="10E525B1" w14:textId="77777777" w:rsidR="00864B54" w:rsidRDefault="00864B54" w:rsidP="00441B6F">
      <w:pPr>
        <w:pStyle w:val="Body"/>
        <w:spacing w:after="0"/>
        <w:rPr>
          <w:rFonts w:ascii="Arial" w:hAnsi="Arial" w:cs="Arial"/>
        </w:rPr>
      </w:pPr>
    </w:p>
    <w:p w14:paraId="41E3A588" w14:textId="77777777" w:rsidR="00864B54" w:rsidRPr="00864B54" w:rsidRDefault="00864B54" w:rsidP="00864B54">
      <w:pPr>
        <w:pStyle w:val="Body"/>
        <w:rPr>
          <w:rFonts w:ascii="Arial" w:hAnsi="Arial" w:cs="Arial"/>
          <w:b/>
        </w:rPr>
      </w:pPr>
      <w:r w:rsidRPr="00864B54">
        <w:rPr>
          <w:rFonts w:ascii="Arial" w:hAnsi="Arial" w:cs="Arial"/>
          <w:b/>
        </w:rPr>
        <w:t>2.7 Data analysis</w:t>
      </w:r>
    </w:p>
    <w:p w14:paraId="55522F04" w14:textId="77777777" w:rsidR="00864B54" w:rsidRPr="00864B54" w:rsidRDefault="00864B54" w:rsidP="00864B54">
      <w:pPr>
        <w:pStyle w:val="Body"/>
        <w:rPr>
          <w:rFonts w:ascii="Arial" w:hAnsi="Arial" w:cs="Arial"/>
        </w:rPr>
      </w:pPr>
      <w:r w:rsidRPr="00864B54">
        <w:rPr>
          <w:rFonts w:ascii="Arial" w:hAnsi="Arial" w:cs="Arial"/>
        </w:rPr>
        <w:t xml:space="preserve">All participants name were coded to maintain confidentiality. The data were gathered through the pre-test scores (data gathered before the implication of treatment) and post-test scores (data gathered after the implication of treatment) of each participants of the study in four measuring areas. Data analysis was done with statistical calculation using the inferential statistics parametric </w:t>
      </w:r>
      <w:proofErr w:type="spellStart"/>
      <w:r w:rsidRPr="00864B54">
        <w:rPr>
          <w:rFonts w:ascii="Arial" w:hAnsi="Arial" w:cs="Arial"/>
        </w:rPr>
        <w:t>related‘t</w:t>
      </w:r>
      <w:proofErr w:type="spellEnd"/>
      <w:r w:rsidRPr="00864B54">
        <w:rPr>
          <w:rFonts w:ascii="Arial" w:hAnsi="Arial" w:cs="Arial"/>
        </w:rPr>
        <w:t xml:space="preserve">’ test. The ‘t’ test is used when participants have been used as their own control group and when group consists of individuals, who have been matched on some characteristics and the </w:t>
      </w:r>
      <w:proofErr w:type="spellStart"/>
      <w:r w:rsidRPr="00864B54">
        <w:rPr>
          <w:rFonts w:ascii="Arial" w:hAnsi="Arial" w:cs="Arial"/>
        </w:rPr>
        <w:t>related‘t</w:t>
      </w:r>
      <w:proofErr w:type="spellEnd"/>
      <w:r w:rsidRPr="00864B54">
        <w:rPr>
          <w:rFonts w:ascii="Arial" w:hAnsi="Arial" w:cs="Arial"/>
        </w:rPr>
        <w:t xml:space="preserve">’ test is quite powerful and can be based on groups of subjects smaller than 25 (Baily, 1997). </w:t>
      </w:r>
    </w:p>
    <w:p w14:paraId="4CE299C6" w14:textId="77777777" w:rsidR="00864B54" w:rsidRPr="00864B54" w:rsidRDefault="00864B54" w:rsidP="00864B54">
      <w:pPr>
        <w:pStyle w:val="Body"/>
        <w:rPr>
          <w:rFonts w:ascii="Arial" w:hAnsi="Arial" w:cs="Arial"/>
        </w:rPr>
      </w:pPr>
      <w:r w:rsidRPr="00864B54">
        <w:rPr>
          <w:rFonts w:ascii="Arial" w:hAnsi="Arial" w:cs="Arial"/>
        </w:rPr>
        <w:t xml:space="preserve">Hicks (1999, p. 151) claimed that “the related </w:t>
      </w:r>
      <w:proofErr w:type="spellStart"/>
      <w:r w:rsidRPr="00864B54">
        <w:rPr>
          <w:rFonts w:ascii="Arial" w:hAnsi="Arial" w:cs="Arial"/>
        </w:rPr>
        <w:t>t</w:t>
      </w:r>
      <w:proofErr w:type="spellEnd"/>
      <w:r w:rsidRPr="00864B54">
        <w:rPr>
          <w:rFonts w:ascii="Arial" w:hAnsi="Arial" w:cs="Arial"/>
        </w:rPr>
        <w:t xml:space="preserve"> test is especially suitable for ‘before and after’ type designs, for instance, when the researcher wish to compare the effects of a treatment on one group of subjects”. Outcomes would be measured by collecting the scores of different variables and the scores would be considered of interval/ratio data. In analyzing the data by </w:t>
      </w:r>
      <w:proofErr w:type="spellStart"/>
      <w:r w:rsidRPr="00864B54">
        <w:rPr>
          <w:rFonts w:ascii="Arial" w:hAnsi="Arial" w:cs="Arial"/>
        </w:rPr>
        <w:t>using‘t</w:t>
      </w:r>
      <w:proofErr w:type="spellEnd"/>
      <w:r w:rsidRPr="00864B54">
        <w:rPr>
          <w:rFonts w:ascii="Arial" w:hAnsi="Arial" w:cs="Arial"/>
        </w:rPr>
        <w:t xml:space="preserve">’ test, the investigator calculated the total of the pre-test and post-test scores for findings total significance and of each repetition of word &amp; phrase, responsive naming and confrontation naming areas and explored the mean of the pre-test and the post-test scores of each participant. Then the investigator compared the mean scores of these areas and explored the differences of the mean scores. </w:t>
      </w:r>
    </w:p>
    <w:p w14:paraId="2C321B4B" w14:textId="77777777" w:rsidR="00864B54" w:rsidRPr="00864B54" w:rsidRDefault="00864B54" w:rsidP="00864B54">
      <w:pPr>
        <w:pStyle w:val="Body"/>
        <w:rPr>
          <w:rFonts w:ascii="Arial" w:hAnsi="Arial" w:cs="Arial"/>
        </w:rPr>
      </w:pPr>
      <w:r w:rsidRPr="00864B54">
        <w:rPr>
          <w:rFonts w:ascii="Arial" w:hAnsi="Arial" w:cs="Arial"/>
        </w:rPr>
        <w:t xml:space="preserve">To find out the value of ‘t’ the researcher has used the following formula. </w:t>
      </w:r>
    </w:p>
    <w:p w14:paraId="194DE856" w14:textId="77777777" w:rsidR="00864B54" w:rsidRPr="00864B54" w:rsidRDefault="00864B54" w:rsidP="00864B54">
      <w:pPr>
        <w:pStyle w:val="Body"/>
        <w:rPr>
          <w:rFonts w:ascii="Arial" w:hAnsi="Arial" w:cs="Arial"/>
        </w:rPr>
      </w:pPr>
      <w:r w:rsidRPr="00864B54">
        <w:rPr>
          <w:rFonts w:ascii="Arial" w:hAnsi="Arial" w:cs="Arial"/>
        </w:rPr>
        <w:t xml:space="preserve">             ‘t’ = (∑▒d)/</w:t>
      </w:r>
      <w:proofErr w:type="gramStart"/>
      <w:r w:rsidRPr="00864B54">
        <w:rPr>
          <w:rFonts w:ascii="Arial" w:hAnsi="Arial" w:cs="Arial"/>
        </w:rPr>
        <w:t>√(</w:t>
      </w:r>
      <w:proofErr w:type="gramEnd"/>
      <w:r w:rsidRPr="00864B54">
        <w:rPr>
          <w:rFonts w:ascii="Arial" w:hAnsi="Arial" w:cs="Arial"/>
        </w:rPr>
        <w:t>(N∑▒d^2-(∑▒├ d) ┤^2)/(N-1))</w:t>
      </w:r>
    </w:p>
    <w:p w14:paraId="5CD6E7C8" w14:textId="77777777" w:rsidR="00864B54" w:rsidRPr="00864B54" w:rsidRDefault="00864B54" w:rsidP="00864B54">
      <w:pPr>
        <w:pStyle w:val="Body"/>
        <w:rPr>
          <w:rFonts w:ascii="Arial" w:hAnsi="Arial" w:cs="Arial"/>
        </w:rPr>
      </w:pPr>
      <w:r w:rsidRPr="00864B54">
        <w:rPr>
          <w:rFonts w:ascii="Arial" w:hAnsi="Arial" w:cs="Arial"/>
        </w:rPr>
        <w:t xml:space="preserve"> = The total of differences.</w:t>
      </w:r>
    </w:p>
    <w:p w14:paraId="3B86DADE" w14:textId="77777777" w:rsidR="00864B54" w:rsidRPr="00864B54" w:rsidRDefault="00864B54" w:rsidP="00864B54">
      <w:pPr>
        <w:pStyle w:val="Body"/>
        <w:rPr>
          <w:rFonts w:ascii="Arial" w:hAnsi="Arial" w:cs="Arial"/>
        </w:rPr>
      </w:pPr>
      <w:r w:rsidRPr="00864B54">
        <w:rPr>
          <w:rFonts w:ascii="Arial" w:hAnsi="Arial" w:cs="Arial"/>
        </w:rPr>
        <w:t xml:space="preserve"> = The total of the differences squared.</w:t>
      </w:r>
    </w:p>
    <w:p w14:paraId="3F87501D" w14:textId="77777777" w:rsidR="00864B54" w:rsidRPr="00864B54" w:rsidRDefault="00864B54" w:rsidP="00864B54">
      <w:pPr>
        <w:pStyle w:val="Body"/>
        <w:rPr>
          <w:rFonts w:ascii="Arial" w:hAnsi="Arial" w:cs="Arial"/>
        </w:rPr>
      </w:pPr>
      <w:r w:rsidRPr="00864B54">
        <w:rPr>
          <w:rFonts w:ascii="Arial" w:hAnsi="Arial" w:cs="Arial"/>
        </w:rPr>
        <w:t xml:space="preserve"> = The total of squared differences.</w:t>
      </w:r>
    </w:p>
    <w:p w14:paraId="45193DBB" w14:textId="77777777" w:rsidR="00864B54" w:rsidRPr="00864B54" w:rsidRDefault="00864B54" w:rsidP="00864B54">
      <w:pPr>
        <w:pStyle w:val="Body"/>
        <w:rPr>
          <w:rFonts w:ascii="Arial" w:hAnsi="Arial" w:cs="Arial"/>
        </w:rPr>
      </w:pPr>
      <w:r w:rsidRPr="00864B54">
        <w:rPr>
          <w:rFonts w:ascii="Arial" w:hAnsi="Arial" w:cs="Arial"/>
        </w:rPr>
        <w:t>N= Number of the subject.</w:t>
      </w:r>
    </w:p>
    <w:p w14:paraId="7461F690" w14:textId="77777777" w:rsidR="00864B54" w:rsidRPr="00864B54" w:rsidRDefault="00864B54" w:rsidP="00864B54">
      <w:pPr>
        <w:pStyle w:val="Body"/>
        <w:rPr>
          <w:rFonts w:ascii="Arial" w:hAnsi="Arial" w:cs="Arial"/>
        </w:rPr>
      </w:pPr>
      <w:r w:rsidRPr="00864B54">
        <w:rPr>
          <w:rFonts w:ascii="Arial" w:hAnsi="Arial" w:cs="Arial"/>
        </w:rPr>
        <w:t>N-1= degree of freedom. The sign is df. A complex concepts involved in some statistical tests which refer to the extent to which data have the capacity to vary one certain limit have been imposed (Hicks, 1999).</w:t>
      </w:r>
    </w:p>
    <w:p w14:paraId="6D3CE506" w14:textId="77777777" w:rsidR="00864B54" w:rsidRPr="00864B54" w:rsidRDefault="00864B54" w:rsidP="00864B54">
      <w:pPr>
        <w:pStyle w:val="Body"/>
        <w:rPr>
          <w:rFonts w:ascii="Arial" w:hAnsi="Arial" w:cs="Arial"/>
        </w:rPr>
      </w:pPr>
      <w:r w:rsidRPr="00864B54">
        <w:rPr>
          <w:rFonts w:ascii="Arial" w:hAnsi="Arial" w:cs="Arial"/>
        </w:rPr>
        <w:t>√= The square root of the final calculation of everything under the square root sign.</w:t>
      </w:r>
    </w:p>
    <w:p w14:paraId="542B1AFA" w14:textId="77777777" w:rsidR="00864B54" w:rsidRDefault="00864B54" w:rsidP="00864B54">
      <w:pPr>
        <w:pStyle w:val="Body"/>
        <w:spacing w:after="0"/>
        <w:rPr>
          <w:rFonts w:ascii="Arial" w:hAnsi="Arial" w:cs="Arial"/>
        </w:rPr>
      </w:pPr>
      <w:r w:rsidRPr="00864B54">
        <w:rPr>
          <w:rFonts w:ascii="Arial" w:hAnsi="Arial" w:cs="Arial"/>
        </w:rPr>
        <w:t xml:space="preserve">In this study, the hypothesis was one tailed as it was predicting a specific direction to the results (Hicks, 1999). To support the hypothesis and/or to reject the null hypothesis the investigator used </w:t>
      </w:r>
      <w:proofErr w:type="spellStart"/>
      <w:r w:rsidRPr="00864B54">
        <w:rPr>
          <w:rFonts w:ascii="Arial" w:hAnsi="Arial" w:cs="Arial"/>
        </w:rPr>
        <w:t>related‘t</w:t>
      </w:r>
      <w:proofErr w:type="spellEnd"/>
      <w:r w:rsidRPr="00864B54">
        <w:rPr>
          <w:rFonts w:ascii="Arial" w:hAnsi="Arial" w:cs="Arial"/>
        </w:rPr>
        <w:t>’ test to find out the ‘p’ value so that the result can be significant.</w:t>
      </w:r>
    </w:p>
    <w:p w14:paraId="14B6D625" w14:textId="77777777" w:rsidR="00864B54" w:rsidRDefault="00864B54" w:rsidP="00864B54">
      <w:pPr>
        <w:pStyle w:val="Body"/>
        <w:spacing w:after="0"/>
        <w:rPr>
          <w:rFonts w:ascii="Arial" w:hAnsi="Arial" w:cs="Arial"/>
        </w:rPr>
      </w:pPr>
    </w:p>
    <w:p w14:paraId="4541FD71" w14:textId="77777777" w:rsidR="00864B54" w:rsidRPr="00864B54" w:rsidRDefault="00864B54" w:rsidP="00864B54">
      <w:pPr>
        <w:pStyle w:val="Body"/>
        <w:rPr>
          <w:rFonts w:ascii="Arial" w:hAnsi="Arial" w:cs="Arial"/>
          <w:b/>
        </w:rPr>
      </w:pPr>
      <w:r w:rsidRPr="00864B54">
        <w:rPr>
          <w:rFonts w:ascii="Arial" w:hAnsi="Arial" w:cs="Arial"/>
          <w:b/>
        </w:rPr>
        <w:t xml:space="preserve">2.8 Ethical Consideration </w:t>
      </w:r>
    </w:p>
    <w:p w14:paraId="0FA4B424" w14:textId="77777777" w:rsidR="00864B54" w:rsidRPr="00864B54" w:rsidRDefault="00864B54" w:rsidP="00864B54">
      <w:pPr>
        <w:pStyle w:val="Body"/>
        <w:rPr>
          <w:rFonts w:ascii="Arial" w:hAnsi="Arial" w:cs="Arial"/>
        </w:rPr>
      </w:pPr>
      <w:r w:rsidRPr="00864B54">
        <w:rPr>
          <w:rFonts w:ascii="Arial" w:hAnsi="Arial" w:cs="Arial"/>
        </w:rPr>
        <w:t xml:space="preserve">Written inform consent in Bangla (which is presented annexure 5) was given to all participants caregiver prior to the completion of the pre-test. The investigator received a written form from every </w:t>
      </w:r>
      <w:r w:rsidRPr="00864B54">
        <w:rPr>
          <w:rFonts w:ascii="Arial" w:hAnsi="Arial" w:cs="Arial"/>
        </w:rPr>
        <w:lastRenderedPageBreak/>
        <w:t>participant’s caregiver including signature. Participant’s caregiver was also informed verbally about the study purpose and their role in the study. Participant’s participation was voluntarily. Every effort was made to keep information confidential. Name and identity of the participants were not documented in this study. All the data was keep in a secured place. Only selected persons had the access of that information. Considering all those ethical norms and values no ethical problems arise as there were some personal and sensitive questions.  No compensation was provided for participating in this study and voluntary withdrawal without consequence.</w:t>
      </w:r>
    </w:p>
    <w:p w14:paraId="3C9F859F" w14:textId="77777777" w:rsidR="00864B54" w:rsidRPr="00864B54" w:rsidRDefault="00864B54" w:rsidP="00864B54">
      <w:pPr>
        <w:pStyle w:val="Body"/>
        <w:rPr>
          <w:rFonts w:ascii="Arial" w:hAnsi="Arial" w:cs="Arial"/>
        </w:rPr>
      </w:pPr>
    </w:p>
    <w:p w14:paraId="4ED5F59C" w14:textId="77777777" w:rsidR="00864B54" w:rsidRPr="00864B54" w:rsidRDefault="00864B54" w:rsidP="00864B54">
      <w:pPr>
        <w:pStyle w:val="Body"/>
        <w:spacing w:after="0"/>
        <w:rPr>
          <w:rFonts w:ascii="Arial" w:hAnsi="Arial" w:cs="Arial"/>
        </w:rPr>
      </w:pPr>
    </w:p>
    <w:p w14:paraId="2E98E24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A2E1AD5" w14:textId="77777777" w:rsidR="00790ADA" w:rsidRPr="00FB3A86" w:rsidRDefault="00790ADA" w:rsidP="00441B6F">
      <w:pPr>
        <w:pStyle w:val="Head1"/>
        <w:spacing w:after="0"/>
        <w:jc w:val="both"/>
        <w:rPr>
          <w:rFonts w:ascii="Arial" w:hAnsi="Arial" w:cs="Arial"/>
        </w:rPr>
      </w:pPr>
    </w:p>
    <w:p w14:paraId="15C83114" w14:textId="77777777" w:rsidR="00790ADA" w:rsidRDefault="00864B54" w:rsidP="00441B6F">
      <w:pPr>
        <w:pStyle w:val="Body"/>
        <w:spacing w:after="0"/>
        <w:rPr>
          <w:rFonts w:ascii="Arial" w:hAnsi="Arial" w:cs="Arial"/>
        </w:rPr>
      </w:pPr>
      <w:r w:rsidRPr="00864B54">
        <w:rPr>
          <w:rFonts w:ascii="Arial" w:hAnsi="Arial" w:cs="Arial"/>
        </w:rPr>
        <w:t xml:space="preserve">The main objective of this study was to find out the effectiveness of MIT for patients with non-fluent aphasia. This study conducted with four participants and they were assessed two times before and after implementing the treatment. The results were analyzed by statistical calculation using the inferential statistics parametric </w:t>
      </w:r>
      <w:proofErr w:type="spellStart"/>
      <w:r w:rsidRPr="00864B54">
        <w:rPr>
          <w:rFonts w:ascii="Arial" w:hAnsi="Arial" w:cs="Arial"/>
        </w:rPr>
        <w:t>related‘t</w:t>
      </w:r>
      <w:proofErr w:type="spellEnd"/>
      <w:r w:rsidRPr="00864B54">
        <w:rPr>
          <w:rFonts w:ascii="Arial" w:hAnsi="Arial" w:cs="Arial"/>
        </w:rPr>
        <w:t>’ test. After completing the statistical analysis of the data, the researcher found the mean differences in the outcome area of repetition of word and phrase, responsive naming and confrontation naming. In this chapter, the numerical outcome of the study is described statistically by the use of descriptive statistics (mean). Demographic data of the participants and the findings of the study in different target areas are also presented in this chapter by using table and bar chart.</w:t>
      </w:r>
    </w:p>
    <w:p w14:paraId="3C0F7B9F" w14:textId="77777777" w:rsidR="00864B54" w:rsidRDefault="00864B54" w:rsidP="00441B6F">
      <w:pPr>
        <w:pStyle w:val="Body"/>
        <w:spacing w:after="0"/>
        <w:rPr>
          <w:rFonts w:ascii="Arial" w:hAnsi="Arial" w:cs="Arial"/>
        </w:rPr>
      </w:pPr>
    </w:p>
    <w:p w14:paraId="390654CF" w14:textId="77777777" w:rsidR="00864B54" w:rsidRDefault="00864B54" w:rsidP="00864B54">
      <w:pPr>
        <w:pStyle w:val="Body"/>
        <w:spacing w:after="0"/>
        <w:rPr>
          <w:rFonts w:ascii="Arial" w:hAnsi="Arial" w:cs="Arial"/>
          <w:b/>
        </w:rPr>
      </w:pPr>
      <w:r w:rsidRPr="00864B54">
        <w:rPr>
          <w:rFonts w:ascii="Arial" w:hAnsi="Arial" w:cs="Arial"/>
          <w:b/>
        </w:rPr>
        <w:t>3.1 Demographic information of the participants</w:t>
      </w:r>
    </w:p>
    <w:p w14:paraId="42F05F11" w14:textId="77777777" w:rsidR="00864B54" w:rsidRPr="00864B54" w:rsidRDefault="00864B54" w:rsidP="00864B54">
      <w:pPr>
        <w:pStyle w:val="Body"/>
        <w:spacing w:after="0"/>
        <w:rPr>
          <w:rFonts w:ascii="Arial" w:hAnsi="Arial" w:cs="Arial"/>
          <w:b/>
        </w:rPr>
      </w:pPr>
    </w:p>
    <w:p w14:paraId="1A7BEF29" w14:textId="77777777" w:rsidR="00864B54" w:rsidRDefault="00864B54" w:rsidP="00864B54">
      <w:pPr>
        <w:pStyle w:val="Body"/>
        <w:spacing w:after="0"/>
        <w:rPr>
          <w:rFonts w:ascii="Arial" w:hAnsi="Arial" w:cs="Arial"/>
        </w:rPr>
      </w:pPr>
      <w:r w:rsidRPr="00864B54">
        <w:rPr>
          <w:rFonts w:ascii="Arial" w:hAnsi="Arial" w:cs="Arial"/>
        </w:rPr>
        <w:t>In the following table demographic data of the participants is presented:</w:t>
      </w:r>
    </w:p>
    <w:p w14:paraId="1F92C586" w14:textId="77777777" w:rsidR="00864B54" w:rsidRPr="00864B54" w:rsidRDefault="00864B54" w:rsidP="00864B54">
      <w:pPr>
        <w:pStyle w:val="Body"/>
        <w:spacing w:after="0"/>
        <w:rPr>
          <w:rFonts w:ascii="Arial" w:hAnsi="Arial" w:cs="Arial"/>
        </w:rPr>
      </w:pPr>
    </w:p>
    <w:tbl>
      <w:tblPr>
        <w:tblStyle w:val="TableGrid"/>
        <w:tblW w:w="0" w:type="auto"/>
        <w:tblLook w:val="04A0" w:firstRow="1" w:lastRow="0" w:firstColumn="1" w:lastColumn="0" w:noHBand="0" w:noVBand="1"/>
      </w:tblPr>
      <w:tblGrid>
        <w:gridCol w:w="2088"/>
        <w:gridCol w:w="1572"/>
        <w:gridCol w:w="1488"/>
        <w:gridCol w:w="2340"/>
        <w:gridCol w:w="1755"/>
      </w:tblGrid>
      <w:tr w:rsidR="00864B54" w:rsidRPr="00864B54" w14:paraId="624E5451" w14:textId="77777777" w:rsidTr="00864B54">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0600C" w14:textId="77777777" w:rsidR="00864B54" w:rsidRPr="00864B54" w:rsidRDefault="00864B54" w:rsidP="00864B54">
            <w:pPr>
              <w:pStyle w:val="Body"/>
              <w:rPr>
                <w:rFonts w:ascii="Arial" w:hAnsi="Arial" w:cs="Arial"/>
                <w:b/>
                <w:sz w:val="20"/>
              </w:rPr>
            </w:pPr>
            <w:r w:rsidRPr="00864B54">
              <w:rPr>
                <w:rFonts w:ascii="Arial" w:hAnsi="Arial" w:cs="Arial"/>
                <w:b/>
                <w:sz w:val="20"/>
              </w:rPr>
              <w:t>Participants Code</w:t>
            </w:r>
          </w:p>
        </w:tc>
        <w:tc>
          <w:tcPr>
            <w:tcW w:w="1572" w:type="dxa"/>
            <w:tcBorders>
              <w:top w:val="single" w:sz="4" w:space="0" w:color="000000" w:themeColor="text1"/>
              <w:left w:val="single" w:sz="4" w:space="0" w:color="auto"/>
              <w:bottom w:val="single" w:sz="4" w:space="0" w:color="000000" w:themeColor="text1"/>
              <w:right w:val="single" w:sz="4" w:space="0" w:color="auto"/>
            </w:tcBorders>
            <w:hideMark/>
          </w:tcPr>
          <w:p w14:paraId="7561994D" w14:textId="77777777" w:rsidR="00864B54" w:rsidRPr="00864B54" w:rsidRDefault="00864B54" w:rsidP="00864B54">
            <w:pPr>
              <w:pStyle w:val="Body"/>
              <w:rPr>
                <w:rFonts w:ascii="Arial" w:hAnsi="Arial" w:cs="Arial"/>
                <w:b/>
                <w:sz w:val="20"/>
              </w:rPr>
            </w:pPr>
            <w:r w:rsidRPr="00864B54">
              <w:rPr>
                <w:rFonts w:ascii="Arial" w:hAnsi="Arial" w:cs="Arial"/>
                <w:b/>
                <w:sz w:val="20"/>
              </w:rPr>
              <w:t>Age (years)</w:t>
            </w:r>
          </w:p>
        </w:tc>
        <w:tc>
          <w:tcPr>
            <w:tcW w:w="1488" w:type="dxa"/>
            <w:tcBorders>
              <w:top w:val="single" w:sz="4" w:space="0" w:color="000000" w:themeColor="text1"/>
              <w:left w:val="single" w:sz="4" w:space="0" w:color="auto"/>
              <w:bottom w:val="single" w:sz="4" w:space="0" w:color="000000" w:themeColor="text1"/>
              <w:right w:val="single" w:sz="4" w:space="0" w:color="auto"/>
            </w:tcBorders>
            <w:hideMark/>
          </w:tcPr>
          <w:p w14:paraId="3C432339" w14:textId="77777777" w:rsidR="00864B54" w:rsidRPr="00864B54" w:rsidRDefault="00864B54" w:rsidP="00864B54">
            <w:pPr>
              <w:pStyle w:val="Body"/>
              <w:rPr>
                <w:rFonts w:ascii="Arial" w:hAnsi="Arial" w:cs="Arial"/>
                <w:b/>
                <w:sz w:val="20"/>
              </w:rPr>
            </w:pPr>
            <w:r w:rsidRPr="00864B54">
              <w:rPr>
                <w:rFonts w:ascii="Arial" w:hAnsi="Arial" w:cs="Arial"/>
                <w:b/>
                <w:sz w:val="20"/>
              </w:rPr>
              <w:t>Sex</w:t>
            </w:r>
          </w:p>
        </w:tc>
        <w:tc>
          <w:tcPr>
            <w:tcW w:w="2340" w:type="dxa"/>
            <w:tcBorders>
              <w:top w:val="single" w:sz="4" w:space="0" w:color="000000" w:themeColor="text1"/>
              <w:left w:val="single" w:sz="4" w:space="0" w:color="auto"/>
              <w:bottom w:val="single" w:sz="4" w:space="0" w:color="000000" w:themeColor="text1"/>
              <w:right w:val="single" w:sz="4" w:space="0" w:color="auto"/>
            </w:tcBorders>
            <w:hideMark/>
          </w:tcPr>
          <w:p w14:paraId="76AB0C1C" w14:textId="77777777" w:rsidR="00864B54" w:rsidRPr="00864B54" w:rsidRDefault="00864B54" w:rsidP="00864B54">
            <w:pPr>
              <w:pStyle w:val="Body"/>
              <w:rPr>
                <w:rFonts w:ascii="Arial" w:hAnsi="Arial" w:cs="Arial"/>
                <w:b/>
                <w:sz w:val="20"/>
              </w:rPr>
            </w:pPr>
            <w:r w:rsidRPr="00864B54">
              <w:rPr>
                <w:rFonts w:ascii="Arial" w:hAnsi="Arial" w:cs="Arial"/>
                <w:b/>
                <w:sz w:val="20"/>
              </w:rPr>
              <w:t>Post-onset Aphasia</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C762D" w14:textId="77777777" w:rsidR="00864B54" w:rsidRPr="00864B54" w:rsidRDefault="00864B54" w:rsidP="00864B54">
            <w:pPr>
              <w:pStyle w:val="Body"/>
              <w:rPr>
                <w:rFonts w:ascii="Arial" w:hAnsi="Arial" w:cs="Arial"/>
                <w:b/>
                <w:sz w:val="20"/>
              </w:rPr>
            </w:pPr>
            <w:r w:rsidRPr="00864B54">
              <w:rPr>
                <w:rFonts w:ascii="Arial" w:hAnsi="Arial" w:cs="Arial"/>
                <w:b/>
                <w:sz w:val="20"/>
              </w:rPr>
              <w:t>Total sessions</w:t>
            </w:r>
          </w:p>
        </w:tc>
      </w:tr>
      <w:tr w:rsidR="00864B54" w:rsidRPr="00864B54" w14:paraId="5F1C9D52" w14:textId="77777777" w:rsidTr="00864B54">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59B90" w14:textId="77777777" w:rsidR="00864B54" w:rsidRPr="00864B54" w:rsidRDefault="00864B54" w:rsidP="00864B54">
            <w:pPr>
              <w:pStyle w:val="Body"/>
              <w:rPr>
                <w:rFonts w:ascii="Arial" w:hAnsi="Arial" w:cs="Arial"/>
                <w:sz w:val="20"/>
              </w:rPr>
            </w:pPr>
            <w:r w:rsidRPr="00864B54">
              <w:rPr>
                <w:rFonts w:ascii="Arial" w:hAnsi="Arial" w:cs="Arial"/>
                <w:sz w:val="20"/>
              </w:rPr>
              <w:t>01</w:t>
            </w:r>
          </w:p>
        </w:tc>
        <w:tc>
          <w:tcPr>
            <w:tcW w:w="1572" w:type="dxa"/>
            <w:tcBorders>
              <w:top w:val="single" w:sz="4" w:space="0" w:color="000000" w:themeColor="text1"/>
              <w:left w:val="single" w:sz="4" w:space="0" w:color="auto"/>
              <w:bottom w:val="single" w:sz="4" w:space="0" w:color="000000" w:themeColor="text1"/>
              <w:right w:val="single" w:sz="4" w:space="0" w:color="auto"/>
            </w:tcBorders>
            <w:hideMark/>
          </w:tcPr>
          <w:p w14:paraId="5C2DD1FB" w14:textId="77777777" w:rsidR="00864B54" w:rsidRPr="00864B54" w:rsidRDefault="00864B54" w:rsidP="00864B54">
            <w:pPr>
              <w:pStyle w:val="Body"/>
              <w:rPr>
                <w:rFonts w:ascii="Arial" w:hAnsi="Arial" w:cs="Arial"/>
                <w:sz w:val="20"/>
              </w:rPr>
            </w:pPr>
            <w:r w:rsidRPr="00864B54">
              <w:rPr>
                <w:rFonts w:ascii="Arial" w:hAnsi="Arial" w:cs="Arial"/>
                <w:sz w:val="20"/>
              </w:rPr>
              <w:t>50</w:t>
            </w:r>
          </w:p>
        </w:tc>
        <w:tc>
          <w:tcPr>
            <w:tcW w:w="1488" w:type="dxa"/>
            <w:tcBorders>
              <w:top w:val="single" w:sz="4" w:space="0" w:color="000000" w:themeColor="text1"/>
              <w:left w:val="single" w:sz="4" w:space="0" w:color="auto"/>
              <w:bottom w:val="single" w:sz="4" w:space="0" w:color="000000" w:themeColor="text1"/>
              <w:right w:val="single" w:sz="4" w:space="0" w:color="auto"/>
            </w:tcBorders>
            <w:hideMark/>
          </w:tcPr>
          <w:p w14:paraId="64DD6EF6" w14:textId="77777777" w:rsidR="00864B54" w:rsidRPr="00864B54" w:rsidRDefault="00864B54" w:rsidP="00864B54">
            <w:pPr>
              <w:pStyle w:val="Body"/>
              <w:rPr>
                <w:rFonts w:ascii="Arial" w:hAnsi="Arial" w:cs="Arial"/>
                <w:sz w:val="20"/>
              </w:rPr>
            </w:pPr>
            <w:r w:rsidRPr="00864B54">
              <w:rPr>
                <w:rFonts w:ascii="Arial" w:hAnsi="Arial" w:cs="Arial"/>
                <w:sz w:val="20"/>
              </w:rPr>
              <w:t>Male</w:t>
            </w:r>
          </w:p>
        </w:tc>
        <w:tc>
          <w:tcPr>
            <w:tcW w:w="2340" w:type="dxa"/>
            <w:tcBorders>
              <w:top w:val="single" w:sz="4" w:space="0" w:color="000000" w:themeColor="text1"/>
              <w:left w:val="single" w:sz="4" w:space="0" w:color="auto"/>
              <w:bottom w:val="single" w:sz="4" w:space="0" w:color="000000" w:themeColor="text1"/>
              <w:right w:val="single" w:sz="4" w:space="0" w:color="auto"/>
            </w:tcBorders>
            <w:hideMark/>
          </w:tcPr>
          <w:p w14:paraId="1DF6B8F9" w14:textId="77777777" w:rsidR="00864B54" w:rsidRPr="00864B54" w:rsidRDefault="00864B54" w:rsidP="00864B54">
            <w:pPr>
              <w:pStyle w:val="Body"/>
              <w:rPr>
                <w:rFonts w:ascii="Arial" w:hAnsi="Arial" w:cs="Arial"/>
                <w:sz w:val="20"/>
              </w:rPr>
            </w:pPr>
            <w:r w:rsidRPr="00864B54">
              <w:rPr>
                <w:rFonts w:ascii="Arial" w:hAnsi="Arial" w:cs="Arial"/>
                <w:sz w:val="20"/>
              </w:rPr>
              <w:t>05 months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2E7A0" w14:textId="77777777" w:rsidR="00864B54" w:rsidRPr="00864B54" w:rsidRDefault="00864B54" w:rsidP="00864B54">
            <w:pPr>
              <w:pStyle w:val="Body"/>
              <w:rPr>
                <w:rFonts w:ascii="Arial" w:hAnsi="Arial" w:cs="Arial"/>
                <w:sz w:val="20"/>
              </w:rPr>
            </w:pPr>
            <w:r w:rsidRPr="00864B54">
              <w:rPr>
                <w:rFonts w:ascii="Arial" w:hAnsi="Arial" w:cs="Arial"/>
                <w:sz w:val="20"/>
              </w:rPr>
              <w:t>16</w:t>
            </w:r>
          </w:p>
        </w:tc>
      </w:tr>
      <w:tr w:rsidR="00864B54" w:rsidRPr="00864B54" w14:paraId="7BB85903" w14:textId="77777777" w:rsidTr="00864B54">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C3578" w14:textId="77777777" w:rsidR="00864B54" w:rsidRPr="00864B54" w:rsidRDefault="00864B54" w:rsidP="00864B54">
            <w:pPr>
              <w:pStyle w:val="Body"/>
              <w:rPr>
                <w:rFonts w:ascii="Arial" w:hAnsi="Arial" w:cs="Arial"/>
                <w:sz w:val="20"/>
              </w:rPr>
            </w:pPr>
            <w:r w:rsidRPr="00864B54">
              <w:rPr>
                <w:rFonts w:ascii="Arial" w:hAnsi="Arial" w:cs="Arial"/>
                <w:sz w:val="20"/>
              </w:rPr>
              <w:t>02</w:t>
            </w:r>
          </w:p>
        </w:tc>
        <w:tc>
          <w:tcPr>
            <w:tcW w:w="1572" w:type="dxa"/>
            <w:tcBorders>
              <w:top w:val="single" w:sz="4" w:space="0" w:color="000000" w:themeColor="text1"/>
              <w:left w:val="single" w:sz="4" w:space="0" w:color="auto"/>
              <w:bottom w:val="single" w:sz="4" w:space="0" w:color="000000" w:themeColor="text1"/>
              <w:right w:val="single" w:sz="4" w:space="0" w:color="auto"/>
            </w:tcBorders>
            <w:hideMark/>
          </w:tcPr>
          <w:p w14:paraId="202C1EE7" w14:textId="77777777" w:rsidR="00864B54" w:rsidRPr="00864B54" w:rsidRDefault="00864B54" w:rsidP="00864B54">
            <w:pPr>
              <w:pStyle w:val="Body"/>
              <w:rPr>
                <w:rFonts w:ascii="Arial" w:hAnsi="Arial" w:cs="Arial"/>
                <w:sz w:val="20"/>
              </w:rPr>
            </w:pPr>
            <w:r w:rsidRPr="00864B54">
              <w:rPr>
                <w:rFonts w:ascii="Arial" w:hAnsi="Arial" w:cs="Arial"/>
                <w:sz w:val="20"/>
              </w:rPr>
              <w:t>55</w:t>
            </w:r>
          </w:p>
        </w:tc>
        <w:tc>
          <w:tcPr>
            <w:tcW w:w="1488" w:type="dxa"/>
            <w:tcBorders>
              <w:top w:val="single" w:sz="4" w:space="0" w:color="000000" w:themeColor="text1"/>
              <w:left w:val="single" w:sz="4" w:space="0" w:color="auto"/>
              <w:bottom w:val="single" w:sz="4" w:space="0" w:color="000000" w:themeColor="text1"/>
              <w:right w:val="single" w:sz="4" w:space="0" w:color="auto"/>
            </w:tcBorders>
            <w:hideMark/>
          </w:tcPr>
          <w:p w14:paraId="57AA4362" w14:textId="77777777" w:rsidR="00864B54" w:rsidRPr="00864B54" w:rsidRDefault="00864B54" w:rsidP="00864B54">
            <w:pPr>
              <w:pStyle w:val="Body"/>
              <w:rPr>
                <w:rFonts w:ascii="Arial" w:hAnsi="Arial" w:cs="Arial"/>
                <w:sz w:val="20"/>
              </w:rPr>
            </w:pPr>
            <w:r w:rsidRPr="00864B54">
              <w:rPr>
                <w:rFonts w:ascii="Arial" w:hAnsi="Arial" w:cs="Arial"/>
                <w:sz w:val="20"/>
              </w:rPr>
              <w:t>Male</w:t>
            </w:r>
          </w:p>
        </w:tc>
        <w:tc>
          <w:tcPr>
            <w:tcW w:w="2340" w:type="dxa"/>
            <w:tcBorders>
              <w:top w:val="single" w:sz="4" w:space="0" w:color="000000" w:themeColor="text1"/>
              <w:left w:val="single" w:sz="4" w:space="0" w:color="auto"/>
              <w:bottom w:val="single" w:sz="4" w:space="0" w:color="000000" w:themeColor="text1"/>
              <w:right w:val="single" w:sz="4" w:space="0" w:color="auto"/>
            </w:tcBorders>
            <w:hideMark/>
          </w:tcPr>
          <w:p w14:paraId="39E7DAAC" w14:textId="77777777" w:rsidR="00864B54" w:rsidRPr="00864B54" w:rsidRDefault="00864B54" w:rsidP="00864B54">
            <w:pPr>
              <w:pStyle w:val="Body"/>
              <w:rPr>
                <w:rFonts w:ascii="Arial" w:hAnsi="Arial" w:cs="Arial"/>
                <w:sz w:val="20"/>
              </w:rPr>
            </w:pPr>
            <w:r w:rsidRPr="00864B54">
              <w:rPr>
                <w:rFonts w:ascii="Arial" w:hAnsi="Arial" w:cs="Arial"/>
                <w:sz w:val="20"/>
              </w:rPr>
              <w:t>01 month</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CCAAF" w14:textId="77777777" w:rsidR="00864B54" w:rsidRPr="00864B54" w:rsidRDefault="00864B54" w:rsidP="00864B54">
            <w:pPr>
              <w:pStyle w:val="Body"/>
              <w:rPr>
                <w:rFonts w:ascii="Arial" w:hAnsi="Arial" w:cs="Arial"/>
                <w:sz w:val="20"/>
              </w:rPr>
            </w:pPr>
            <w:r w:rsidRPr="00864B54">
              <w:rPr>
                <w:rFonts w:ascii="Arial" w:hAnsi="Arial" w:cs="Arial"/>
                <w:sz w:val="20"/>
              </w:rPr>
              <w:t>16</w:t>
            </w:r>
          </w:p>
        </w:tc>
      </w:tr>
      <w:tr w:rsidR="00864B54" w:rsidRPr="00864B54" w14:paraId="6736FC6D" w14:textId="77777777" w:rsidTr="00864B54">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BC631" w14:textId="77777777" w:rsidR="00864B54" w:rsidRPr="00864B54" w:rsidRDefault="00864B54" w:rsidP="00864B54">
            <w:pPr>
              <w:pStyle w:val="Body"/>
              <w:rPr>
                <w:rFonts w:ascii="Arial" w:hAnsi="Arial" w:cs="Arial"/>
                <w:sz w:val="20"/>
              </w:rPr>
            </w:pPr>
            <w:r w:rsidRPr="00864B54">
              <w:rPr>
                <w:rFonts w:ascii="Arial" w:hAnsi="Arial" w:cs="Arial"/>
                <w:sz w:val="20"/>
              </w:rPr>
              <w:t>03</w:t>
            </w:r>
          </w:p>
        </w:tc>
        <w:tc>
          <w:tcPr>
            <w:tcW w:w="1572" w:type="dxa"/>
            <w:tcBorders>
              <w:top w:val="single" w:sz="4" w:space="0" w:color="000000" w:themeColor="text1"/>
              <w:left w:val="single" w:sz="4" w:space="0" w:color="auto"/>
              <w:bottom w:val="single" w:sz="4" w:space="0" w:color="000000" w:themeColor="text1"/>
              <w:right w:val="single" w:sz="4" w:space="0" w:color="auto"/>
            </w:tcBorders>
            <w:hideMark/>
          </w:tcPr>
          <w:p w14:paraId="122F3A9E" w14:textId="77777777" w:rsidR="00864B54" w:rsidRPr="00864B54" w:rsidRDefault="00864B54" w:rsidP="00864B54">
            <w:pPr>
              <w:pStyle w:val="Body"/>
              <w:rPr>
                <w:rFonts w:ascii="Arial" w:hAnsi="Arial" w:cs="Arial"/>
                <w:sz w:val="20"/>
              </w:rPr>
            </w:pPr>
            <w:r w:rsidRPr="00864B54">
              <w:rPr>
                <w:rFonts w:ascii="Arial" w:hAnsi="Arial" w:cs="Arial"/>
                <w:sz w:val="20"/>
              </w:rPr>
              <w:t>40</w:t>
            </w:r>
          </w:p>
        </w:tc>
        <w:tc>
          <w:tcPr>
            <w:tcW w:w="1488" w:type="dxa"/>
            <w:tcBorders>
              <w:top w:val="single" w:sz="4" w:space="0" w:color="000000" w:themeColor="text1"/>
              <w:left w:val="single" w:sz="4" w:space="0" w:color="auto"/>
              <w:bottom w:val="single" w:sz="4" w:space="0" w:color="000000" w:themeColor="text1"/>
              <w:right w:val="single" w:sz="4" w:space="0" w:color="auto"/>
            </w:tcBorders>
            <w:hideMark/>
          </w:tcPr>
          <w:p w14:paraId="38E879B2" w14:textId="77777777" w:rsidR="00864B54" w:rsidRPr="00864B54" w:rsidRDefault="00864B54" w:rsidP="00864B54">
            <w:pPr>
              <w:pStyle w:val="Body"/>
              <w:rPr>
                <w:rFonts w:ascii="Arial" w:hAnsi="Arial" w:cs="Arial"/>
                <w:sz w:val="20"/>
              </w:rPr>
            </w:pPr>
            <w:r w:rsidRPr="00864B54">
              <w:rPr>
                <w:rFonts w:ascii="Arial" w:hAnsi="Arial" w:cs="Arial"/>
                <w:sz w:val="20"/>
              </w:rPr>
              <w:t>Female</w:t>
            </w:r>
          </w:p>
        </w:tc>
        <w:tc>
          <w:tcPr>
            <w:tcW w:w="2340" w:type="dxa"/>
            <w:tcBorders>
              <w:top w:val="single" w:sz="4" w:space="0" w:color="000000" w:themeColor="text1"/>
              <w:left w:val="single" w:sz="4" w:space="0" w:color="auto"/>
              <w:bottom w:val="single" w:sz="4" w:space="0" w:color="000000" w:themeColor="text1"/>
              <w:right w:val="single" w:sz="4" w:space="0" w:color="auto"/>
            </w:tcBorders>
            <w:hideMark/>
          </w:tcPr>
          <w:p w14:paraId="49916147" w14:textId="77777777" w:rsidR="00864B54" w:rsidRPr="00864B54" w:rsidRDefault="00864B54" w:rsidP="00864B54">
            <w:pPr>
              <w:pStyle w:val="Body"/>
              <w:rPr>
                <w:rFonts w:ascii="Arial" w:hAnsi="Arial" w:cs="Arial"/>
                <w:sz w:val="20"/>
              </w:rPr>
            </w:pPr>
            <w:r w:rsidRPr="00864B54">
              <w:rPr>
                <w:rFonts w:ascii="Arial" w:hAnsi="Arial" w:cs="Arial"/>
                <w:sz w:val="20"/>
              </w:rPr>
              <w:t>03 months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DC2CC" w14:textId="77777777" w:rsidR="00864B54" w:rsidRPr="00864B54" w:rsidRDefault="00864B54" w:rsidP="00864B54">
            <w:pPr>
              <w:pStyle w:val="Body"/>
              <w:rPr>
                <w:rFonts w:ascii="Arial" w:hAnsi="Arial" w:cs="Arial"/>
                <w:sz w:val="20"/>
              </w:rPr>
            </w:pPr>
            <w:r w:rsidRPr="00864B54">
              <w:rPr>
                <w:rFonts w:ascii="Arial" w:hAnsi="Arial" w:cs="Arial"/>
                <w:sz w:val="20"/>
              </w:rPr>
              <w:t>16</w:t>
            </w:r>
          </w:p>
        </w:tc>
      </w:tr>
      <w:tr w:rsidR="00864B54" w:rsidRPr="00864B54" w14:paraId="32951B50" w14:textId="77777777" w:rsidTr="00864B54">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C627" w14:textId="77777777" w:rsidR="00864B54" w:rsidRPr="00864B54" w:rsidRDefault="00864B54" w:rsidP="00864B54">
            <w:pPr>
              <w:pStyle w:val="Body"/>
              <w:rPr>
                <w:rFonts w:ascii="Arial" w:hAnsi="Arial" w:cs="Arial"/>
                <w:sz w:val="20"/>
              </w:rPr>
            </w:pPr>
            <w:r w:rsidRPr="00864B54">
              <w:rPr>
                <w:rFonts w:ascii="Arial" w:hAnsi="Arial" w:cs="Arial"/>
                <w:sz w:val="20"/>
              </w:rPr>
              <w:t>04</w:t>
            </w:r>
          </w:p>
        </w:tc>
        <w:tc>
          <w:tcPr>
            <w:tcW w:w="1572" w:type="dxa"/>
            <w:tcBorders>
              <w:top w:val="single" w:sz="4" w:space="0" w:color="000000" w:themeColor="text1"/>
              <w:left w:val="single" w:sz="4" w:space="0" w:color="auto"/>
              <w:bottom w:val="single" w:sz="4" w:space="0" w:color="000000" w:themeColor="text1"/>
              <w:right w:val="single" w:sz="4" w:space="0" w:color="auto"/>
            </w:tcBorders>
            <w:hideMark/>
          </w:tcPr>
          <w:p w14:paraId="718496DD" w14:textId="77777777" w:rsidR="00864B54" w:rsidRPr="00864B54" w:rsidRDefault="00864B54" w:rsidP="00864B54">
            <w:pPr>
              <w:pStyle w:val="Body"/>
              <w:rPr>
                <w:rFonts w:ascii="Arial" w:hAnsi="Arial" w:cs="Arial"/>
                <w:sz w:val="20"/>
              </w:rPr>
            </w:pPr>
            <w:r w:rsidRPr="00864B54">
              <w:rPr>
                <w:rFonts w:ascii="Arial" w:hAnsi="Arial" w:cs="Arial"/>
                <w:sz w:val="20"/>
              </w:rPr>
              <w:t>70</w:t>
            </w:r>
          </w:p>
        </w:tc>
        <w:tc>
          <w:tcPr>
            <w:tcW w:w="1488" w:type="dxa"/>
            <w:tcBorders>
              <w:top w:val="single" w:sz="4" w:space="0" w:color="000000" w:themeColor="text1"/>
              <w:left w:val="single" w:sz="4" w:space="0" w:color="auto"/>
              <w:bottom w:val="single" w:sz="4" w:space="0" w:color="000000" w:themeColor="text1"/>
              <w:right w:val="single" w:sz="4" w:space="0" w:color="auto"/>
            </w:tcBorders>
            <w:hideMark/>
          </w:tcPr>
          <w:p w14:paraId="069C8E2E" w14:textId="77777777" w:rsidR="00864B54" w:rsidRPr="00864B54" w:rsidRDefault="00864B54" w:rsidP="00864B54">
            <w:pPr>
              <w:pStyle w:val="Body"/>
              <w:rPr>
                <w:rFonts w:ascii="Arial" w:hAnsi="Arial" w:cs="Arial"/>
                <w:sz w:val="20"/>
              </w:rPr>
            </w:pPr>
            <w:r w:rsidRPr="00864B54">
              <w:rPr>
                <w:rFonts w:ascii="Arial" w:hAnsi="Arial" w:cs="Arial"/>
                <w:sz w:val="20"/>
              </w:rPr>
              <w:t>Male</w:t>
            </w:r>
          </w:p>
        </w:tc>
        <w:tc>
          <w:tcPr>
            <w:tcW w:w="2340" w:type="dxa"/>
            <w:tcBorders>
              <w:top w:val="single" w:sz="4" w:space="0" w:color="000000" w:themeColor="text1"/>
              <w:left w:val="single" w:sz="4" w:space="0" w:color="auto"/>
              <w:bottom w:val="single" w:sz="4" w:space="0" w:color="000000" w:themeColor="text1"/>
              <w:right w:val="single" w:sz="4" w:space="0" w:color="auto"/>
            </w:tcBorders>
            <w:hideMark/>
          </w:tcPr>
          <w:p w14:paraId="3F0731C9" w14:textId="77777777" w:rsidR="00864B54" w:rsidRPr="00864B54" w:rsidRDefault="00864B54" w:rsidP="00864B54">
            <w:pPr>
              <w:pStyle w:val="Body"/>
              <w:rPr>
                <w:rFonts w:ascii="Arial" w:hAnsi="Arial" w:cs="Arial"/>
                <w:sz w:val="20"/>
              </w:rPr>
            </w:pPr>
            <w:r w:rsidRPr="00864B54">
              <w:rPr>
                <w:rFonts w:ascii="Arial" w:hAnsi="Arial" w:cs="Arial"/>
                <w:sz w:val="20"/>
              </w:rPr>
              <w:t>10 months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DB2E8" w14:textId="77777777" w:rsidR="00864B54" w:rsidRPr="00864B54" w:rsidRDefault="00864B54" w:rsidP="00864B54">
            <w:pPr>
              <w:pStyle w:val="Body"/>
              <w:rPr>
                <w:rFonts w:ascii="Arial" w:hAnsi="Arial" w:cs="Arial"/>
                <w:sz w:val="20"/>
              </w:rPr>
            </w:pPr>
            <w:r w:rsidRPr="00864B54">
              <w:rPr>
                <w:rFonts w:ascii="Arial" w:hAnsi="Arial" w:cs="Arial"/>
                <w:sz w:val="20"/>
              </w:rPr>
              <w:t>12</w:t>
            </w:r>
          </w:p>
        </w:tc>
      </w:tr>
    </w:tbl>
    <w:p w14:paraId="1D45AC46" w14:textId="77777777" w:rsidR="00864B54" w:rsidRPr="00864B54" w:rsidRDefault="00864B54" w:rsidP="00864B54">
      <w:pPr>
        <w:pStyle w:val="Body"/>
        <w:spacing w:after="0"/>
        <w:rPr>
          <w:rFonts w:ascii="Arial" w:hAnsi="Arial" w:cs="Arial"/>
          <w:b/>
        </w:rPr>
      </w:pPr>
      <w:r w:rsidRPr="00864B54">
        <w:rPr>
          <w:rFonts w:ascii="Arial" w:hAnsi="Arial" w:cs="Arial"/>
          <w:b/>
        </w:rPr>
        <w:t xml:space="preserve">                          Table 1: Demographic information of the participants</w:t>
      </w:r>
    </w:p>
    <w:p w14:paraId="14EEB59A" w14:textId="77777777" w:rsidR="00790ADA" w:rsidRDefault="00864B54" w:rsidP="00441B6F">
      <w:pPr>
        <w:pStyle w:val="Body"/>
        <w:spacing w:after="0"/>
        <w:rPr>
          <w:rFonts w:ascii="Arial" w:hAnsi="Arial" w:cs="Arial"/>
        </w:rPr>
      </w:pPr>
      <w:r w:rsidRPr="00864B54">
        <w:rPr>
          <w:rFonts w:ascii="Arial" w:hAnsi="Arial" w:cs="Arial"/>
        </w:rPr>
        <w:t>The above case summery shows that the total number participants were 4 and their age range was between 40 to 70 years. Among 4 participants, 3 (75%) participants were male and 1 participant (25%) was female. Among 4 participants, 2 participants time of post-onset aphasia was between 1 month to 3 months and 2 participants time of post-onset aphasia was between 5 months to 10 months.</w:t>
      </w:r>
    </w:p>
    <w:p w14:paraId="24B982F4" w14:textId="77777777" w:rsidR="00864B54" w:rsidRDefault="00864B54" w:rsidP="00441B6F">
      <w:pPr>
        <w:pStyle w:val="Body"/>
        <w:spacing w:after="0"/>
        <w:rPr>
          <w:rFonts w:ascii="Arial" w:hAnsi="Arial" w:cs="Arial"/>
        </w:rPr>
      </w:pPr>
    </w:p>
    <w:p w14:paraId="7BE19258" w14:textId="77777777" w:rsidR="00864B54" w:rsidRPr="00864B54" w:rsidRDefault="00864B54" w:rsidP="00864B54">
      <w:pPr>
        <w:pStyle w:val="Body"/>
        <w:spacing w:after="0"/>
        <w:rPr>
          <w:rFonts w:ascii="Arial" w:hAnsi="Arial" w:cs="Arial"/>
          <w:b/>
        </w:rPr>
      </w:pPr>
      <w:r w:rsidRPr="00864B54">
        <w:rPr>
          <w:rFonts w:ascii="Arial" w:hAnsi="Arial" w:cs="Arial"/>
          <w:b/>
        </w:rPr>
        <w:t>3.2 Significance level of total score on BDAE</w:t>
      </w:r>
    </w:p>
    <w:p w14:paraId="17B833A8" w14:textId="77777777" w:rsidR="00864B54" w:rsidRPr="00864B54" w:rsidRDefault="00864B54" w:rsidP="00864B54">
      <w:pPr>
        <w:pStyle w:val="Body"/>
        <w:spacing w:after="0"/>
        <w:rPr>
          <w:rFonts w:ascii="Arial" w:hAnsi="Arial" w:cs="Arial"/>
        </w:rPr>
      </w:pPr>
      <w:r w:rsidRPr="00864B54">
        <w:rPr>
          <w:rFonts w:ascii="Arial" w:hAnsi="Arial" w:cs="Arial"/>
        </w:rPr>
        <w:t xml:space="preserve">The total findings of the outcome measures represent that, the mean score of participants before applying MIT was 7.32 and after applying MIT was 14.15 (data is presented in table 2). Therefore the mean score of participants of total findings improved after applying MIT. </w:t>
      </w:r>
    </w:p>
    <w:p w14:paraId="10A266E9" w14:textId="77777777" w:rsidR="00864B54" w:rsidRPr="00864B54" w:rsidRDefault="00864B54" w:rsidP="00864B54">
      <w:pPr>
        <w:pStyle w:val="Body"/>
        <w:rPr>
          <w:rFonts w:ascii="Arial" w:hAnsi="Arial" w:cs="Arial"/>
        </w:rPr>
        <w:sectPr w:rsidR="00864B54" w:rsidRPr="00864B54" w:rsidSect="00872929">
          <w:type w:val="continuous"/>
          <w:pgSz w:w="11907" w:h="16839"/>
          <w:pgMar w:top="2880" w:right="1440" w:bottom="1440" w:left="1440" w:header="720" w:footer="720" w:gutter="0"/>
          <w:cols w:space="720"/>
        </w:sectPr>
      </w:pPr>
    </w:p>
    <w:p w14:paraId="4152B8EF" w14:textId="77777777" w:rsidR="00864B54" w:rsidRPr="00864B54" w:rsidRDefault="00864B54" w:rsidP="00864B54">
      <w:pPr>
        <w:pStyle w:val="Body"/>
        <w:spacing w:after="0"/>
        <w:rPr>
          <w:rFonts w:ascii="Arial" w:hAnsi="Arial" w:cs="Arial"/>
        </w:rPr>
      </w:pPr>
      <w:r w:rsidRPr="00864B54">
        <w:rPr>
          <w:rFonts w:ascii="Arial" w:hAnsi="Arial" w:cs="Arial"/>
        </w:rPr>
        <w:lastRenderedPageBreak/>
        <w:t>The study showed that the average/mean scores were better after receiving MIT than before receiving MIT.</w:t>
      </w:r>
    </w:p>
    <w:tbl>
      <w:tblPr>
        <w:tblStyle w:val="TableGrid"/>
        <w:tblW w:w="0" w:type="auto"/>
        <w:tblInd w:w="108" w:type="dxa"/>
        <w:tblLook w:val="04A0" w:firstRow="1" w:lastRow="0" w:firstColumn="1" w:lastColumn="0" w:noHBand="0" w:noVBand="1"/>
      </w:tblPr>
      <w:tblGrid>
        <w:gridCol w:w="1620"/>
        <w:gridCol w:w="2070"/>
        <w:gridCol w:w="2160"/>
        <w:gridCol w:w="1530"/>
        <w:gridCol w:w="1620"/>
      </w:tblGrid>
      <w:tr w:rsidR="00864B54" w:rsidRPr="00864B54" w14:paraId="45ACC2B5" w14:textId="77777777" w:rsidTr="00864B54">
        <w:trPr>
          <w:trHeight w:val="165"/>
        </w:trPr>
        <w:tc>
          <w:tcPr>
            <w:tcW w:w="1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D7CD2" w14:textId="77777777" w:rsidR="00864B54" w:rsidRPr="00864B54" w:rsidRDefault="00864B54" w:rsidP="00864B54">
            <w:pPr>
              <w:pStyle w:val="Body"/>
              <w:rPr>
                <w:rFonts w:ascii="Arial" w:hAnsi="Arial" w:cs="Arial"/>
                <w:b/>
                <w:sz w:val="20"/>
              </w:rPr>
            </w:pPr>
            <w:r w:rsidRPr="00864B54">
              <w:rPr>
                <w:rFonts w:ascii="Arial" w:hAnsi="Arial" w:cs="Arial"/>
                <w:b/>
                <w:sz w:val="20"/>
              </w:rPr>
              <w:t>Participants</w:t>
            </w:r>
          </w:p>
        </w:tc>
        <w:tc>
          <w:tcPr>
            <w:tcW w:w="207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7FA4F84" w14:textId="77777777" w:rsidR="00864B54" w:rsidRPr="00864B54" w:rsidRDefault="00864B54" w:rsidP="00864B54">
            <w:pPr>
              <w:pStyle w:val="Body"/>
              <w:rPr>
                <w:rFonts w:ascii="Arial" w:hAnsi="Arial" w:cs="Arial"/>
                <w:b/>
                <w:sz w:val="20"/>
              </w:rPr>
            </w:pPr>
            <w:r w:rsidRPr="00864B54">
              <w:rPr>
                <w:rFonts w:ascii="Arial" w:hAnsi="Arial" w:cs="Arial"/>
                <w:b/>
                <w:sz w:val="20"/>
              </w:rPr>
              <w:t>Total outcome measure  Pre-test x1</w:t>
            </w:r>
          </w:p>
        </w:tc>
        <w:tc>
          <w:tcPr>
            <w:tcW w:w="216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8C962E1" w14:textId="77777777" w:rsidR="00864B54" w:rsidRPr="00864B54" w:rsidRDefault="00864B54" w:rsidP="00864B54">
            <w:pPr>
              <w:pStyle w:val="Body"/>
              <w:rPr>
                <w:rFonts w:ascii="Arial" w:hAnsi="Arial" w:cs="Arial"/>
                <w:b/>
                <w:sz w:val="20"/>
              </w:rPr>
            </w:pPr>
            <w:r w:rsidRPr="00864B54">
              <w:rPr>
                <w:rFonts w:ascii="Arial" w:hAnsi="Arial" w:cs="Arial"/>
                <w:b/>
                <w:sz w:val="20"/>
              </w:rPr>
              <w:t>Total outcome measure  Post-test x2</w:t>
            </w:r>
          </w:p>
        </w:tc>
        <w:tc>
          <w:tcPr>
            <w:tcW w:w="3150" w:type="dxa"/>
            <w:gridSpan w:val="2"/>
            <w:tcBorders>
              <w:top w:val="single" w:sz="4" w:space="0" w:color="000000" w:themeColor="text1"/>
              <w:left w:val="single" w:sz="4" w:space="0" w:color="auto"/>
              <w:bottom w:val="single" w:sz="4" w:space="0" w:color="auto"/>
              <w:right w:val="single" w:sz="4" w:space="0" w:color="000000" w:themeColor="text1"/>
            </w:tcBorders>
            <w:hideMark/>
          </w:tcPr>
          <w:p w14:paraId="20E3291B" w14:textId="77777777" w:rsidR="00864B54" w:rsidRPr="00864B54" w:rsidRDefault="00864B54" w:rsidP="00864B54">
            <w:pPr>
              <w:pStyle w:val="Body"/>
              <w:rPr>
                <w:rFonts w:ascii="Arial" w:hAnsi="Arial" w:cs="Arial"/>
                <w:b/>
                <w:sz w:val="20"/>
              </w:rPr>
            </w:pPr>
            <w:r w:rsidRPr="00864B54">
              <w:rPr>
                <w:rFonts w:ascii="Arial" w:hAnsi="Arial" w:cs="Arial"/>
                <w:b/>
                <w:sz w:val="20"/>
              </w:rPr>
              <w:t xml:space="preserve">Difference between </w:t>
            </w:r>
            <w:proofErr w:type="spellStart"/>
            <w:r w:rsidRPr="00864B54">
              <w:rPr>
                <w:rFonts w:ascii="Arial" w:hAnsi="Arial" w:cs="Arial"/>
                <w:b/>
                <w:sz w:val="20"/>
              </w:rPr>
              <w:t>pre test</w:t>
            </w:r>
            <w:proofErr w:type="spellEnd"/>
            <w:r w:rsidRPr="00864B54">
              <w:rPr>
                <w:rFonts w:ascii="Arial" w:hAnsi="Arial" w:cs="Arial"/>
                <w:b/>
                <w:sz w:val="20"/>
              </w:rPr>
              <w:t xml:space="preserve"> and post test</w:t>
            </w:r>
          </w:p>
        </w:tc>
      </w:tr>
      <w:tr w:rsidR="00864B54" w:rsidRPr="00864B54" w14:paraId="78002215" w14:textId="77777777" w:rsidTr="00864B54">
        <w:trPr>
          <w:trHeight w:val="10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B661B0" w14:textId="77777777" w:rsidR="00864B54" w:rsidRPr="00864B54" w:rsidRDefault="00864B54" w:rsidP="00864B54">
            <w:pPr>
              <w:pStyle w:val="Body"/>
              <w:rPr>
                <w:rFonts w:ascii="Arial" w:hAnsi="Arial" w:cs="Arial"/>
                <w:b/>
                <w:sz w:val="20"/>
              </w:rPr>
            </w:pPr>
          </w:p>
        </w:tc>
        <w:tc>
          <w:tcPr>
            <w:tcW w:w="0" w:type="auto"/>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2CE5ECC" w14:textId="77777777" w:rsidR="00864B54" w:rsidRPr="00864B54" w:rsidRDefault="00864B54" w:rsidP="00864B54">
            <w:pPr>
              <w:pStyle w:val="Body"/>
              <w:rPr>
                <w:rFonts w:ascii="Arial" w:hAnsi="Arial" w:cs="Arial"/>
                <w:b/>
                <w:sz w:val="20"/>
              </w:rPr>
            </w:pPr>
          </w:p>
        </w:tc>
        <w:tc>
          <w:tcPr>
            <w:tcW w:w="0" w:type="auto"/>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217AB5A" w14:textId="77777777" w:rsidR="00864B54" w:rsidRPr="00864B54" w:rsidRDefault="00864B54" w:rsidP="00864B54">
            <w:pPr>
              <w:pStyle w:val="Body"/>
              <w:rPr>
                <w:rFonts w:ascii="Arial" w:hAnsi="Arial" w:cs="Arial"/>
                <w:b/>
                <w:sz w:val="20"/>
              </w:rPr>
            </w:pPr>
          </w:p>
        </w:tc>
        <w:tc>
          <w:tcPr>
            <w:tcW w:w="1530" w:type="dxa"/>
            <w:tcBorders>
              <w:top w:val="single" w:sz="4" w:space="0" w:color="auto"/>
              <w:left w:val="single" w:sz="4" w:space="0" w:color="auto"/>
              <w:bottom w:val="single" w:sz="4" w:space="0" w:color="000000" w:themeColor="text1"/>
              <w:right w:val="single" w:sz="4" w:space="0" w:color="auto"/>
            </w:tcBorders>
            <w:hideMark/>
          </w:tcPr>
          <w:p w14:paraId="01155D1D" w14:textId="77777777" w:rsidR="00864B54" w:rsidRPr="00864B54" w:rsidRDefault="00864B54" w:rsidP="00864B54">
            <w:pPr>
              <w:pStyle w:val="Body"/>
              <w:rPr>
                <w:rFonts w:ascii="Arial" w:hAnsi="Arial" w:cs="Arial"/>
                <w:sz w:val="20"/>
              </w:rPr>
            </w:pPr>
            <w:r w:rsidRPr="00864B54">
              <w:rPr>
                <w:rFonts w:ascii="Arial" w:hAnsi="Arial" w:cs="Arial"/>
                <w:sz w:val="20"/>
              </w:rPr>
              <w:t>d= x2-x1</w:t>
            </w:r>
          </w:p>
        </w:tc>
        <w:tc>
          <w:tcPr>
            <w:tcW w:w="1620" w:type="dxa"/>
            <w:tcBorders>
              <w:top w:val="single" w:sz="4" w:space="0" w:color="auto"/>
              <w:left w:val="single" w:sz="4" w:space="0" w:color="auto"/>
              <w:bottom w:val="single" w:sz="4" w:space="0" w:color="000000" w:themeColor="text1"/>
              <w:right w:val="single" w:sz="4" w:space="0" w:color="000000" w:themeColor="text1"/>
            </w:tcBorders>
            <w:hideMark/>
          </w:tcPr>
          <w:p w14:paraId="2BA1C49A" w14:textId="77777777" w:rsidR="00864B54" w:rsidRPr="00864B54" w:rsidRDefault="00864B54" w:rsidP="00864B54">
            <w:pPr>
              <w:pStyle w:val="Body"/>
              <w:rPr>
                <w:rFonts w:ascii="Arial" w:hAnsi="Arial" w:cs="Arial"/>
                <w:sz w:val="20"/>
              </w:rPr>
            </w:pPr>
            <w:r w:rsidRPr="00864B54">
              <w:rPr>
                <w:rFonts w:ascii="Arial" w:hAnsi="Arial" w:cs="Arial"/>
                <w:sz w:val="20"/>
              </w:rPr>
              <w:t>d</w:t>
            </w:r>
            <w:r w:rsidRPr="00864B54">
              <w:rPr>
                <w:rFonts w:ascii="Arial" w:hAnsi="Arial" w:cs="Arial"/>
                <w:sz w:val="20"/>
                <w:vertAlign w:val="superscript"/>
              </w:rPr>
              <w:t>2</w:t>
            </w:r>
          </w:p>
        </w:tc>
      </w:tr>
      <w:tr w:rsidR="00864B54" w:rsidRPr="00864B54" w14:paraId="11AB2F52" w14:textId="77777777" w:rsidTr="00864B54">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878AD" w14:textId="77777777" w:rsidR="00864B54" w:rsidRPr="00864B54" w:rsidRDefault="00864B54" w:rsidP="00864B54">
            <w:pPr>
              <w:pStyle w:val="Body"/>
              <w:rPr>
                <w:rFonts w:ascii="Arial" w:hAnsi="Arial" w:cs="Arial"/>
                <w:sz w:val="20"/>
              </w:rPr>
            </w:pPr>
            <w:r w:rsidRPr="00864B54">
              <w:rPr>
                <w:rFonts w:ascii="Arial" w:hAnsi="Arial" w:cs="Arial"/>
                <w:sz w:val="20"/>
              </w:rPr>
              <w:t>P1</w:t>
            </w:r>
          </w:p>
        </w:tc>
        <w:tc>
          <w:tcPr>
            <w:tcW w:w="2070" w:type="dxa"/>
            <w:tcBorders>
              <w:top w:val="single" w:sz="4" w:space="0" w:color="000000" w:themeColor="text1"/>
              <w:left w:val="single" w:sz="4" w:space="0" w:color="auto"/>
              <w:bottom w:val="single" w:sz="4" w:space="0" w:color="000000" w:themeColor="text1"/>
              <w:right w:val="single" w:sz="4" w:space="0" w:color="auto"/>
            </w:tcBorders>
            <w:hideMark/>
          </w:tcPr>
          <w:p w14:paraId="03AA5C71" w14:textId="77777777" w:rsidR="00864B54" w:rsidRPr="00864B54" w:rsidRDefault="00864B54" w:rsidP="00864B54">
            <w:pPr>
              <w:pStyle w:val="Body"/>
              <w:rPr>
                <w:rFonts w:ascii="Arial" w:hAnsi="Arial" w:cs="Arial"/>
                <w:sz w:val="20"/>
              </w:rPr>
            </w:pPr>
            <w:r w:rsidRPr="00864B54">
              <w:rPr>
                <w:rFonts w:ascii="Arial" w:hAnsi="Arial" w:cs="Arial"/>
                <w:sz w:val="20"/>
              </w:rPr>
              <w:t>8.82</w:t>
            </w: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39A91B7D" w14:textId="77777777" w:rsidR="00864B54" w:rsidRPr="00864B54" w:rsidRDefault="00864B54" w:rsidP="00864B54">
            <w:pPr>
              <w:pStyle w:val="Body"/>
              <w:rPr>
                <w:rFonts w:ascii="Arial" w:hAnsi="Arial" w:cs="Arial"/>
                <w:sz w:val="20"/>
              </w:rPr>
            </w:pPr>
            <w:r w:rsidRPr="00864B54">
              <w:rPr>
                <w:rFonts w:ascii="Arial" w:hAnsi="Arial" w:cs="Arial"/>
                <w:sz w:val="20"/>
              </w:rPr>
              <w:t>13.15</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27906C58" w14:textId="77777777" w:rsidR="00864B54" w:rsidRPr="00864B54" w:rsidRDefault="00864B54" w:rsidP="00864B54">
            <w:pPr>
              <w:pStyle w:val="Body"/>
              <w:rPr>
                <w:rFonts w:ascii="Arial" w:hAnsi="Arial" w:cs="Arial"/>
                <w:sz w:val="20"/>
              </w:rPr>
            </w:pPr>
            <w:r w:rsidRPr="00864B54">
              <w:rPr>
                <w:rFonts w:ascii="Arial" w:hAnsi="Arial" w:cs="Arial"/>
                <w:sz w:val="20"/>
              </w:rPr>
              <w:t>4.33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92EF4" w14:textId="77777777" w:rsidR="00864B54" w:rsidRPr="00864B54" w:rsidRDefault="00864B54" w:rsidP="00864B54">
            <w:pPr>
              <w:pStyle w:val="Body"/>
              <w:rPr>
                <w:rFonts w:ascii="Arial" w:hAnsi="Arial" w:cs="Arial"/>
                <w:sz w:val="20"/>
              </w:rPr>
            </w:pPr>
            <w:r w:rsidRPr="00864B54">
              <w:rPr>
                <w:rFonts w:ascii="Arial" w:hAnsi="Arial" w:cs="Arial"/>
                <w:sz w:val="20"/>
              </w:rPr>
              <w:t>18.74</w:t>
            </w:r>
          </w:p>
        </w:tc>
      </w:tr>
      <w:tr w:rsidR="00864B54" w:rsidRPr="00864B54" w14:paraId="77765CCD" w14:textId="77777777" w:rsidTr="00864B54">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306BF" w14:textId="77777777" w:rsidR="00864B54" w:rsidRPr="00864B54" w:rsidRDefault="00864B54" w:rsidP="00864B54">
            <w:pPr>
              <w:pStyle w:val="Body"/>
              <w:rPr>
                <w:rFonts w:ascii="Arial" w:hAnsi="Arial" w:cs="Arial"/>
                <w:sz w:val="20"/>
              </w:rPr>
            </w:pPr>
            <w:r w:rsidRPr="00864B54">
              <w:rPr>
                <w:rFonts w:ascii="Arial" w:hAnsi="Arial" w:cs="Arial"/>
                <w:sz w:val="20"/>
              </w:rPr>
              <w:t>P2</w:t>
            </w:r>
          </w:p>
        </w:tc>
        <w:tc>
          <w:tcPr>
            <w:tcW w:w="2070" w:type="dxa"/>
            <w:tcBorders>
              <w:top w:val="single" w:sz="4" w:space="0" w:color="000000" w:themeColor="text1"/>
              <w:left w:val="single" w:sz="4" w:space="0" w:color="auto"/>
              <w:bottom w:val="single" w:sz="4" w:space="0" w:color="000000" w:themeColor="text1"/>
              <w:right w:val="single" w:sz="4" w:space="0" w:color="auto"/>
            </w:tcBorders>
            <w:hideMark/>
          </w:tcPr>
          <w:p w14:paraId="7966C2CC" w14:textId="77777777" w:rsidR="00864B54" w:rsidRPr="00864B54" w:rsidRDefault="00864B54" w:rsidP="00864B54">
            <w:pPr>
              <w:pStyle w:val="Body"/>
              <w:rPr>
                <w:rFonts w:ascii="Arial" w:hAnsi="Arial" w:cs="Arial"/>
                <w:sz w:val="20"/>
              </w:rPr>
            </w:pPr>
            <w:r w:rsidRPr="00864B54">
              <w:rPr>
                <w:rFonts w:ascii="Arial" w:hAnsi="Arial" w:cs="Arial"/>
                <w:sz w:val="20"/>
              </w:rPr>
              <w:t>6.33</w:t>
            </w: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764BFE39" w14:textId="77777777" w:rsidR="00864B54" w:rsidRPr="00864B54" w:rsidRDefault="00864B54" w:rsidP="00864B54">
            <w:pPr>
              <w:pStyle w:val="Body"/>
              <w:rPr>
                <w:rFonts w:ascii="Arial" w:hAnsi="Arial" w:cs="Arial"/>
                <w:sz w:val="20"/>
              </w:rPr>
            </w:pPr>
            <w:r w:rsidRPr="00864B54">
              <w:rPr>
                <w:rFonts w:ascii="Arial" w:hAnsi="Arial" w:cs="Arial"/>
                <w:sz w:val="20"/>
              </w:rPr>
              <w:t>12.15</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5C64C31F" w14:textId="77777777" w:rsidR="00864B54" w:rsidRPr="00864B54" w:rsidRDefault="00864B54" w:rsidP="00864B54">
            <w:pPr>
              <w:pStyle w:val="Body"/>
              <w:rPr>
                <w:rFonts w:ascii="Arial" w:hAnsi="Arial" w:cs="Arial"/>
                <w:sz w:val="20"/>
              </w:rPr>
            </w:pPr>
            <w:r w:rsidRPr="00864B54">
              <w:rPr>
                <w:rFonts w:ascii="Arial" w:hAnsi="Arial" w:cs="Arial"/>
                <w:sz w:val="20"/>
              </w:rPr>
              <w:t>5.82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6431" w14:textId="77777777" w:rsidR="00864B54" w:rsidRPr="00864B54" w:rsidRDefault="00864B54" w:rsidP="00864B54">
            <w:pPr>
              <w:pStyle w:val="Body"/>
              <w:rPr>
                <w:rFonts w:ascii="Arial" w:hAnsi="Arial" w:cs="Arial"/>
                <w:sz w:val="20"/>
              </w:rPr>
            </w:pPr>
            <w:r w:rsidRPr="00864B54">
              <w:rPr>
                <w:rFonts w:ascii="Arial" w:hAnsi="Arial" w:cs="Arial"/>
                <w:sz w:val="20"/>
              </w:rPr>
              <w:t>33.87</w:t>
            </w:r>
          </w:p>
        </w:tc>
      </w:tr>
      <w:tr w:rsidR="00864B54" w:rsidRPr="00864B54" w14:paraId="40A31874" w14:textId="77777777" w:rsidTr="00864B54">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31CBC" w14:textId="77777777" w:rsidR="00864B54" w:rsidRPr="00864B54" w:rsidRDefault="00864B54" w:rsidP="00864B54">
            <w:pPr>
              <w:pStyle w:val="Body"/>
              <w:rPr>
                <w:rFonts w:ascii="Arial" w:hAnsi="Arial" w:cs="Arial"/>
                <w:sz w:val="20"/>
              </w:rPr>
            </w:pPr>
            <w:r w:rsidRPr="00864B54">
              <w:rPr>
                <w:rFonts w:ascii="Arial" w:hAnsi="Arial" w:cs="Arial"/>
                <w:sz w:val="20"/>
              </w:rPr>
              <w:t>P3</w:t>
            </w:r>
          </w:p>
        </w:tc>
        <w:tc>
          <w:tcPr>
            <w:tcW w:w="2070" w:type="dxa"/>
            <w:tcBorders>
              <w:top w:val="single" w:sz="4" w:space="0" w:color="000000" w:themeColor="text1"/>
              <w:left w:val="single" w:sz="4" w:space="0" w:color="auto"/>
              <w:bottom w:val="single" w:sz="4" w:space="0" w:color="000000" w:themeColor="text1"/>
              <w:right w:val="single" w:sz="4" w:space="0" w:color="auto"/>
            </w:tcBorders>
            <w:hideMark/>
          </w:tcPr>
          <w:p w14:paraId="4802204E" w14:textId="77777777" w:rsidR="00864B54" w:rsidRPr="00864B54" w:rsidRDefault="00864B54" w:rsidP="00864B54">
            <w:pPr>
              <w:pStyle w:val="Body"/>
              <w:rPr>
                <w:rFonts w:ascii="Arial" w:hAnsi="Arial" w:cs="Arial"/>
                <w:sz w:val="20"/>
              </w:rPr>
            </w:pPr>
            <w:r w:rsidRPr="00864B54">
              <w:rPr>
                <w:rFonts w:ascii="Arial" w:hAnsi="Arial" w:cs="Arial"/>
                <w:sz w:val="20"/>
              </w:rPr>
              <w:t>7.99</w:t>
            </w: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149E192B" w14:textId="77777777" w:rsidR="00864B54" w:rsidRPr="00864B54" w:rsidRDefault="00864B54" w:rsidP="00864B54">
            <w:pPr>
              <w:pStyle w:val="Body"/>
              <w:rPr>
                <w:rFonts w:ascii="Arial" w:hAnsi="Arial" w:cs="Arial"/>
                <w:sz w:val="20"/>
              </w:rPr>
            </w:pPr>
            <w:r w:rsidRPr="00864B54">
              <w:rPr>
                <w:rFonts w:ascii="Arial" w:hAnsi="Arial" w:cs="Arial"/>
                <w:sz w:val="20"/>
              </w:rPr>
              <w:t>19.98</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10384F61" w14:textId="77777777" w:rsidR="00864B54" w:rsidRPr="00864B54" w:rsidRDefault="00864B54" w:rsidP="00864B54">
            <w:pPr>
              <w:pStyle w:val="Body"/>
              <w:rPr>
                <w:rFonts w:ascii="Arial" w:hAnsi="Arial" w:cs="Arial"/>
                <w:sz w:val="20"/>
              </w:rPr>
            </w:pPr>
            <w:r w:rsidRPr="00864B54">
              <w:rPr>
                <w:rFonts w:ascii="Arial" w:hAnsi="Arial" w:cs="Arial"/>
                <w:sz w:val="20"/>
              </w:rPr>
              <w:t>11.99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9FE06" w14:textId="77777777" w:rsidR="00864B54" w:rsidRPr="00864B54" w:rsidRDefault="00864B54" w:rsidP="00864B54">
            <w:pPr>
              <w:pStyle w:val="Body"/>
              <w:rPr>
                <w:rFonts w:ascii="Arial" w:hAnsi="Arial" w:cs="Arial"/>
                <w:sz w:val="20"/>
              </w:rPr>
            </w:pPr>
            <w:r w:rsidRPr="00864B54">
              <w:rPr>
                <w:rFonts w:ascii="Arial" w:hAnsi="Arial" w:cs="Arial"/>
                <w:sz w:val="20"/>
              </w:rPr>
              <w:t>143.76</w:t>
            </w:r>
          </w:p>
        </w:tc>
      </w:tr>
      <w:tr w:rsidR="00864B54" w:rsidRPr="00864B54" w14:paraId="2FB92883" w14:textId="77777777" w:rsidTr="00864B54">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DDFAC" w14:textId="77777777" w:rsidR="00864B54" w:rsidRPr="00864B54" w:rsidRDefault="00864B54" w:rsidP="00864B54">
            <w:pPr>
              <w:pStyle w:val="Body"/>
              <w:rPr>
                <w:rFonts w:ascii="Arial" w:hAnsi="Arial" w:cs="Arial"/>
                <w:sz w:val="20"/>
              </w:rPr>
            </w:pPr>
            <w:r w:rsidRPr="00864B54">
              <w:rPr>
                <w:rFonts w:ascii="Arial" w:hAnsi="Arial" w:cs="Arial"/>
                <w:sz w:val="20"/>
              </w:rPr>
              <w:t>P4</w:t>
            </w:r>
          </w:p>
        </w:tc>
        <w:tc>
          <w:tcPr>
            <w:tcW w:w="2070" w:type="dxa"/>
            <w:tcBorders>
              <w:top w:val="single" w:sz="4" w:space="0" w:color="000000" w:themeColor="text1"/>
              <w:left w:val="single" w:sz="4" w:space="0" w:color="auto"/>
              <w:bottom w:val="single" w:sz="4" w:space="0" w:color="000000" w:themeColor="text1"/>
              <w:right w:val="single" w:sz="4" w:space="0" w:color="auto"/>
            </w:tcBorders>
            <w:hideMark/>
          </w:tcPr>
          <w:p w14:paraId="7FAAB8E6" w14:textId="77777777" w:rsidR="00864B54" w:rsidRPr="00864B54" w:rsidRDefault="00864B54" w:rsidP="00864B54">
            <w:pPr>
              <w:pStyle w:val="Body"/>
              <w:rPr>
                <w:rFonts w:ascii="Arial" w:hAnsi="Arial" w:cs="Arial"/>
                <w:sz w:val="20"/>
              </w:rPr>
            </w:pPr>
            <w:r w:rsidRPr="00864B54">
              <w:rPr>
                <w:rFonts w:ascii="Arial" w:hAnsi="Arial" w:cs="Arial"/>
                <w:sz w:val="20"/>
              </w:rPr>
              <w:t>6.16</w:t>
            </w: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53845394" w14:textId="77777777" w:rsidR="00864B54" w:rsidRPr="00864B54" w:rsidRDefault="00864B54" w:rsidP="00864B54">
            <w:pPr>
              <w:pStyle w:val="Body"/>
              <w:rPr>
                <w:rFonts w:ascii="Arial" w:hAnsi="Arial" w:cs="Arial"/>
                <w:sz w:val="20"/>
              </w:rPr>
            </w:pPr>
            <w:r w:rsidRPr="00864B54">
              <w:rPr>
                <w:rFonts w:ascii="Arial" w:hAnsi="Arial" w:cs="Arial"/>
                <w:sz w:val="20"/>
              </w:rPr>
              <w:t>11.32</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168730B5" w14:textId="77777777" w:rsidR="00864B54" w:rsidRPr="00864B54" w:rsidRDefault="00864B54" w:rsidP="00864B54">
            <w:pPr>
              <w:pStyle w:val="Body"/>
              <w:rPr>
                <w:rFonts w:ascii="Arial" w:hAnsi="Arial" w:cs="Arial"/>
                <w:sz w:val="20"/>
              </w:rPr>
            </w:pPr>
            <w:r w:rsidRPr="00864B54">
              <w:rPr>
                <w:rFonts w:ascii="Arial" w:hAnsi="Arial" w:cs="Arial"/>
                <w:sz w:val="20"/>
              </w:rPr>
              <w:t>5.16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43E5C" w14:textId="77777777" w:rsidR="00864B54" w:rsidRPr="00864B54" w:rsidRDefault="00864B54" w:rsidP="00864B54">
            <w:pPr>
              <w:pStyle w:val="Body"/>
              <w:rPr>
                <w:rFonts w:ascii="Arial" w:hAnsi="Arial" w:cs="Arial"/>
                <w:sz w:val="20"/>
              </w:rPr>
            </w:pPr>
            <w:r w:rsidRPr="00864B54">
              <w:rPr>
                <w:rFonts w:ascii="Arial" w:hAnsi="Arial" w:cs="Arial"/>
                <w:sz w:val="20"/>
              </w:rPr>
              <w:t>26.62</w:t>
            </w:r>
          </w:p>
        </w:tc>
      </w:tr>
      <w:tr w:rsidR="00864B54" w:rsidRPr="00864B54" w14:paraId="4EC00E30" w14:textId="77777777" w:rsidTr="00864B54">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4024D" w14:textId="77777777" w:rsidR="00864B54" w:rsidRPr="00864B54" w:rsidRDefault="00864B54" w:rsidP="00864B54">
            <w:pPr>
              <w:pStyle w:val="Body"/>
              <w:rPr>
                <w:rFonts w:ascii="Arial" w:hAnsi="Arial" w:cs="Arial"/>
                <w:sz w:val="20"/>
              </w:rPr>
            </w:pPr>
          </w:p>
        </w:tc>
        <w:tc>
          <w:tcPr>
            <w:tcW w:w="2070" w:type="dxa"/>
            <w:tcBorders>
              <w:top w:val="single" w:sz="4" w:space="0" w:color="000000" w:themeColor="text1"/>
              <w:left w:val="single" w:sz="4" w:space="0" w:color="auto"/>
              <w:bottom w:val="single" w:sz="4" w:space="0" w:color="000000" w:themeColor="text1"/>
              <w:right w:val="single" w:sz="4" w:space="0" w:color="auto"/>
            </w:tcBorders>
            <w:hideMark/>
          </w:tcPr>
          <w:p w14:paraId="4AE94693" w14:textId="77777777" w:rsidR="00864B54" w:rsidRPr="00864B54" w:rsidRDefault="00864B54" w:rsidP="00864B54">
            <w:pPr>
              <w:pStyle w:val="Body"/>
              <w:rPr>
                <w:rFonts w:ascii="Arial" w:hAnsi="Arial" w:cs="Arial"/>
                <w:sz w:val="20"/>
              </w:rPr>
            </w:pPr>
            <w:r w:rsidRPr="00864B54">
              <w:rPr>
                <w:rFonts w:ascii="Arial" w:hAnsi="Arial" w:cs="Arial"/>
                <w:sz w:val="20"/>
              </w:rPr>
              <w:t>∑</w:t>
            </w:r>
            <w:r w:rsidRPr="00864B54">
              <w:rPr>
                <w:rFonts w:ascii="Arial" w:hAnsi="Arial" w:cs="Arial"/>
                <w:i/>
                <w:sz w:val="20"/>
              </w:rPr>
              <w:t>x</w:t>
            </w:r>
            <w:r w:rsidRPr="00864B54">
              <w:rPr>
                <w:rFonts w:ascii="Arial" w:hAnsi="Arial" w:cs="Arial"/>
                <w:sz w:val="20"/>
              </w:rPr>
              <w:t>1 = 29.3</w:t>
            </w: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72453FF4" w14:textId="77777777" w:rsidR="00864B54" w:rsidRPr="00864B54" w:rsidRDefault="00864B54" w:rsidP="00864B54">
            <w:pPr>
              <w:pStyle w:val="Body"/>
              <w:rPr>
                <w:rFonts w:ascii="Arial" w:hAnsi="Arial" w:cs="Arial"/>
                <w:sz w:val="20"/>
              </w:rPr>
            </w:pPr>
            <w:r w:rsidRPr="00864B54">
              <w:rPr>
                <w:rFonts w:ascii="Arial" w:hAnsi="Arial" w:cs="Arial"/>
                <w:sz w:val="20"/>
              </w:rPr>
              <w:t>∑</w:t>
            </w:r>
            <w:r w:rsidRPr="00864B54">
              <w:rPr>
                <w:rFonts w:ascii="Arial" w:hAnsi="Arial" w:cs="Arial"/>
                <w:i/>
                <w:sz w:val="20"/>
              </w:rPr>
              <w:t>x</w:t>
            </w:r>
            <w:r w:rsidRPr="00864B54">
              <w:rPr>
                <w:rFonts w:ascii="Arial" w:hAnsi="Arial" w:cs="Arial"/>
                <w:sz w:val="20"/>
              </w:rPr>
              <w:t>2 = 56.6</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65B36993" w14:textId="77777777" w:rsidR="00864B54" w:rsidRPr="00864B54" w:rsidRDefault="00864B54" w:rsidP="00864B54">
            <w:pPr>
              <w:pStyle w:val="Body"/>
              <w:rPr>
                <w:rFonts w:ascii="Arial" w:hAnsi="Arial" w:cs="Arial"/>
                <w:sz w:val="20"/>
              </w:rPr>
            </w:pPr>
            <w:r w:rsidRPr="00864B54">
              <w:rPr>
                <w:rFonts w:ascii="Arial" w:hAnsi="Arial" w:cs="Arial"/>
                <w:sz w:val="20"/>
              </w:rPr>
              <w:t>∑d = 27.3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62902" w14:textId="77777777" w:rsidR="00864B54" w:rsidRPr="00864B54" w:rsidRDefault="00864B54" w:rsidP="00864B54">
            <w:pPr>
              <w:pStyle w:val="Body"/>
              <w:rPr>
                <w:rFonts w:ascii="Arial" w:hAnsi="Arial" w:cs="Arial"/>
                <w:sz w:val="20"/>
              </w:rPr>
            </w:pPr>
            <w:r w:rsidRPr="00864B54">
              <w:rPr>
                <w:rFonts w:ascii="Arial" w:hAnsi="Arial" w:cs="Arial"/>
                <w:sz w:val="20"/>
              </w:rPr>
              <w:t>∑ d</w:t>
            </w:r>
            <w:r w:rsidRPr="00864B54">
              <w:rPr>
                <w:rFonts w:ascii="Arial" w:hAnsi="Arial" w:cs="Arial"/>
                <w:sz w:val="20"/>
                <w:vertAlign w:val="superscript"/>
              </w:rPr>
              <w:t>2</w:t>
            </w:r>
            <w:r w:rsidRPr="00864B54">
              <w:rPr>
                <w:rFonts w:ascii="Arial" w:hAnsi="Arial" w:cs="Arial"/>
                <w:sz w:val="20"/>
              </w:rPr>
              <w:t xml:space="preserve"> = 222.99</w:t>
            </w:r>
          </w:p>
        </w:tc>
      </w:tr>
      <w:tr w:rsidR="00864B54" w:rsidRPr="00864B54" w14:paraId="366BA8B4" w14:textId="77777777" w:rsidTr="00864B54">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D26D2" w14:textId="77777777" w:rsidR="00864B54" w:rsidRPr="00864B54" w:rsidRDefault="00864B54" w:rsidP="00864B54">
            <w:pPr>
              <w:pStyle w:val="Body"/>
              <w:rPr>
                <w:rFonts w:ascii="Arial" w:hAnsi="Arial" w:cs="Arial"/>
                <w:sz w:val="20"/>
              </w:rPr>
            </w:pPr>
          </w:p>
        </w:tc>
        <w:tc>
          <w:tcPr>
            <w:tcW w:w="2070" w:type="dxa"/>
            <w:tcBorders>
              <w:top w:val="single" w:sz="4" w:space="0" w:color="000000" w:themeColor="text1"/>
              <w:left w:val="single" w:sz="4" w:space="0" w:color="auto"/>
              <w:bottom w:val="single" w:sz="4" w:space="0" w:color="000000" w:themeColor="text1"/>
              <w:right w:val="single" w:sz="4" w:space="0" w:color="auto"/>
            </w:tcBorders>
            <w:hideMark/>
          </w:tcPr>
          <w:p w14:paraId="7CF728E4" w14:textId="77777777" w:rsidR="00864B54" w:rsidRPr="00864B54" w:rsidRDefault="00A26891" w:rsidP="00864B54">
            <w:pPr>
              <w:pStyle w:val="Body"/>
              <w:rPr>
                <w:rFonts w:ascii="Arial" w:hAnsi="Arial" w:cs="Arial"/>
                <w:sz w:val="20"/>
              </w:rPr>
            </w:pPr>
            <m:oMath>
              <m:acc>
                <m:accPr>
                  <m:chr m:val="̅"/>
                  <m:ctrlPr>
                    <w:rPr>
                      <w:rFonts w:ascii="Cambria Math" w:hAnsi="Cambria Math" w:cs="Arial"/>
                      <w:i/>
                      <w:sz w:val="20"/>
                    </w:rPr>
                  </m:ctrlPr>
                </m:accPr>
                <m:e>
                  <m:r>
                    <w:rPr>
                      <w:rFonts w:ascii="Cambria Math" w:hAnsi="Cambria Math" w:cs="Arial"/>
                    </w:rPr>
                    <m:t>x</m:t>
                  </m:r>
                  <m:r>
                    <w:rPr>
                      <w:rFonts w:ascii="Cambria Math" w:hAnsi="Cambria Math" w:cs="Arial"/>
                    </w:rPr>
                    <m:t>1</m:t>
                  </m:r>
                </m:e>
              </m:acc>
            </m:oMath>
            <w:r w:rsidR="00864B54" w:rsidRPr="00864B54">
              <w:rPr>
                <w:rFonts w:ascii="Arial" w:hAnsi="Arial" w:cs="Arial"/>
                <w:sz w:val="20"/>
              </w:rPr>
              <w:t xml:space="preserve"> = 7.32</w:t>
            </w: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30E8B488" w14:textId="77777777" w:rsidR="00864B54" w:rsidRPr="00864B54" w:rsidRDefault="00A26891" w:rsidP="00864B54">
            <w:pPr>
              <w:pStyle w:val="Body"/>
              <w:rPr>
                <w:rFonts w:ascii="Arial" w:hAnsi="Arial" w:cs="Arial"/>
                <w:sz w:val="20"/>
              </w:rPr>
            </w:pPr>
            <m:oMath>
              <m:acc>
                <m:accPr>
                  <m:chr m:val="̅"/>
                  <m:ctrlPr>
                    <w:rPr>
                      <w:rFonts w:ascii="Cambria Math" w:hAnsi="Cambria Math" w:cs="Arial"/>
                      <w:i/>
                      <w:sz w:val="20"/>
                    </w:rPr>
                  </m:ctrlPr>
                </m:accPr>
                <m:e>
                  <m:r>
                    <w:rPr>
                      <w:rFonts w:ascii="Cambria Math" w:hAnsi="Cambria Math" w:cs="Arial"/>
                    </w:rPr>
                    <m:t>x</m:t>
                  </m:r>
                  <m:r>
                    <w:rPr>
                      <w:rFonts w:ascii="Cambria Math" w:hAnsi="Cambria Math" w:cs="Arial"/>
                    </w:rPr>
                    <m:t>2</m:t>
                  </m:r>
                </m:e>
              </m:acc>
            </m:oMath>
            <w:r w:rsidR="00864B54" w:rsidRPr="00864B54">
              <w:rPr>
                <w:rFonts w:ascii="Arial" w:hAnsi="Arial" w:cs="Arial"/>
                <w:sz w:val="20"/>
              </w:rPr>
              <w:t xml:space="preserve"> = 14.15</w:t>
            </w:r>
          </w:p>
        </w:tc>
        <w:tc>
          <w:tcPr>
            <w:tcW w:w="1530" w:type="dxa"/>
            <w:tcBorders>
              <w:top w:val="single" w:sz="4" w:space="0" w:color="000000" w:themeColor="text1"/>
              <w:left w:val="single" w:sz="4" w:space="0" w:color="auto"/>
              <w:bottom w:val="single" w:sz="4" w:space="0" w:color="000000" w:themeColor="text1"/>
              <w:right w:val="single" w:sz="4" w:space="0" w:color="auto"/>
            </w:tcBorders>
          </w:tcPr>
          <w:p w14:paraId="6A628910" w14:textId="77777777" w:rsidR="00864B54" w:rsidRPr="00864B54" w:rsidRDefault="00864B54" w:rsidP="00864B54">
            <w:pPr>
              <w:pStyle w:val="Body"/>
              <w:rPr>
                <w:rFonts w:ascii="Arial" w:hAnsi="Arial" w:cs="Arial"/>
                <w:sz w:val="20"/>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12BD6" w14:textId="77777777" w:rsidR="00864B54" w:rsidRPr="00864B54" w:rsidRDefault="00864B54" w:rsidP="00864B54">
            <w:pPr>
              <w:pStyle w:val="Body"/>
              <w:rPr>
                <w:rFonts w:ascii="Arial" w:hAnsi="Arial" w:cs="Arial"/>
                <w:sz w:val="20"/>
              </w:rPr>
            </w:pPr>
          </w:p>
        </w:tc>
      </w:tr>
    </w:tbl>
    <w:p w14:paraId="5B33D3CF" w14:textId="77777777" w:rsidR="00864B54" w:rsidRPr="00864B54" w:rsidRDefault="00864B54" w:rsidP="00864B54">
      <w:pPr>
        <w:pStyle w:val="Body"/>
        <w:spacing w:after="0"/>
        <w:rPr>
          <w:rFonts w:ascii="Arial" w:hAnsi="Arial" w:cs="Arial"/>
          <w:b/>
        </w:rPr>
      </w:pPr>
      <w:r w:rsidRPr="00864B54">
        <w:rPr>
          <w:rFonts w:ascii="Arial" w:hAnsi="Arial" w:cs="Arial"/>
          <w:b/>
        </w:rPr>
        <w:t xml:space="preserve">                                                 Table 2: Mean of total score on BDAE</w:t>
      </w:r>
    </w:p>
    <w:p w14:paraId="6E51A4E8" w14:textId="0B30EA44" w:rsidR="00864B54" w:rsidRPr="00864B54" w:rsidRDefault="00864B54" w:rsidP="00864B54">
      <w:pPr>
        <w:pStyle w:val="Body"/>
        <w:spacing w:after="0"/>
        <w:rPr>
          <w:rFonts w:ascii="Arial" w:hAnsi="Arial" w:cs="Arial"/>
        </w:rPr>
      </w:pPr>
      <w:r w:rsidRPr="00864B54">
        <w:rPr>
          <w:rFonts w:ascii="Arial" w:hAnsi="Arial" w:cs="Arial"/>
        </w:rPr>
        <w:t xml:space="preserve">Statistical analysis of the data represented the ‘t’ value (calculation is presented in annexure </w:t>
      </w:r>
      <w:r w:rsidR="00EE71E0">
        <w:rPr>
          <w:rFonts w:ascii="Arial" w:hAnsi="Arial" w:cs="Arial"/>
        </w:rPr>
        <w:t>1</w:t>
      </w:r>
      <w:r w:rsidRPr="00864B54">
        <w:rPr>
          <w:rFonts w:ascii="Arial" w:hAnsi="Arial" w:cs="Arial"/>
        </w:rPr>
        <w:t>) of total findings which was significant (</w:t>
      </w:r>
      <w:proofErr w:type="gramStart"/>
      <w:r w:rsidRPr="00864B54">
        <w:rPr>
          <w:rFonts w:ascii="Arial" w:hAnsi="Arial" w:cs="Arial"/>
        </w:rPr>
        <w:t>t  =</w:t>
      </w:r>
      <w:proofErr w:type="gramEnd"/>
      <w:r w:rsidRPr="00864B54">
        <w:rPr>
          <w:rFonts w:ascii="Arial" w:hAnsi="Arial" w:cs="Arial"/>
        </w:rPr>
        <w:t xml:space="preserve"> 3.90, df = 3, p = &lt;.01, one tailed hypothesis). This means that the probability of the random error is less than 1 people among 100 people. The usual cut-off point for claiming support for significant level of the experimental hypothesis is 5% (Hicks, 1999) therefore it can be said that the findings of the study is significant. The bar chart (figure 1) is representing the improvement rate of each of 4 participants before and after applying MIT in total findings of outcome measures.</w:t>
      </w:r>
    </w:p>
    <w:p w14:paraId="4D304A06" w14:textId="77777777" w:rsidR="00864B54" w:rsidRDefault="00864B54" w:rsidP="00441B6F">
      <w:pPr>
        <w:pStyle w:val="Body"/>
        <w:spacing w:after="0"/>
        <w:rPr>
          <w:rFonts w:ascii="Arial" w:hAnsi="Arial" w:cs="Arial"/>
        </w:rPr>
      </w:pPr>
    </w:p>
    <w:p w14:paraId="509497D4" w14:textId="77777777" w:rsidR="0090374E" w:rsidRPr="0090374E" w:rsidRDefault="0090374E" w:rsidP="0090374E">
      <w:pPr>
        <w:pStyle w:val="Body"/>
        <w:spacing w:after="0"/>
        <w:rPr>
          <w:rFonts w:ascii="Arial" w:hAnsi="Arial" w:cs="Arial"/>
        </w:rPr>
      </w:pPr>
      <w:r w:rsidRPr="0090374E">
        <w:rPr>
          <w:rFonts w:ascii="Arial" w:hAnsi="Arial" w:cs="Arial"/>
        </w:rPr>
        <w:t xml:space="preserve">                  </w:t>
      </w:r>
      <w:r w:rsidRPr="0090374E">
        <w:rPr>
          <w:rFonts w:ascii="Arial" w:hAnsi="Arial" w:cs="Arial"/>
          <w:noProof/>
        </w:rPr>
        <w:drawing>
          <wp:inline distT="0" distB="0" distL="0" distR="0" wp14:anchorId="2265F5D3" wp14:editId="3C945560">
            <wp:extent cx="4410075" cy="279082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917D13" w14:textId="77777777" w:rsidR="0090374E" w:rsidRPr="0090374E" w:rsidRDefault="0090374E" w:rsidP="0090374E">
      <w:pPr>
        <w:pStyle w:val="Body"/>
        <w:spacing w:after="0"/>
        <w:rPr>
          <w:rFonts w:ascii="Arial" w:hAnsi="Arial" w:cs="Arial"/>
          <w:b/>
        </w:rPr>
      </w:pPr>
      <w:r w:rsidRPr="0090374E">
        <w:rPr>
          <w:rFonts w:ascii="Arial" w:hAnsi="Arial" w:cs="Arial"/>
          <w:b/>
        </w:rPr>
        <w:t xml:space="preserve">                           Figure 1: Participants performance in total score on BDAE</w:t>
      </w:r>
    </w:p>
    <w:p w14:paraId="3B7832AC" w14:textId="77777777" w:rsidR="0090374E" w:rsidRDefault="0090374E" w:rsidP="0090374E">
      <w:pPr>
        <w:pStyle w:val="Body"/>
        <w:spacing w:after="0"/>
        <w:rPr>
          <w:rFonts w:ascii="Arial" w:hAnsi="Arial" w:cs="Arial"/>
        </w:rPr>
      </w:pPr>
      <w:r w:rsidRPr="0090374E">
        <w:rPr>
          <w:rFonts w:ascii="Arial" w:hAnsi="Arial" w:cs="Arial"/>
        </w:rPr>
        <w:t>Form the Bar chart, it is observed that among 4 participants all of them gained significant improvement in total score on BDAE.</w:t>
      </w:r>
    </w:p>
    <w:p w14:paraId="0D3CB233" w14:textId="77777777" w:rsidR="0090374E" w:rsidRPr="0090374E" w:rsidRDefault="0090374E" w:rsidP="0090374E">
      <w:pPr>
        <w:pStyle w:val="Body"/>
        <w:spacing w:after="0"/>
        <w:rPr>
          <w:rFonts w:ascii="Arial" w:hAnsi="Arial" w:cs="Arial"/>
        </w:rPr>
      </w:pPr>
    </w:p>
    <w:p w14:paraId="6C8D0D77" w14:textId="77777777" w:rsidR="00864B54" w:rsidRDefault="00864B54" w:rsidP="00441B6F">
      <w:pPr>
        <w:pStyle w:val="Body"/>
        <w:spacing w:after="0"/>
        <w:rPr>
          <w:rFonts w:ascii="Arial" w:hAnsi="Arial" w:cs="Arial"/>
        </w:rPr>
      </w:pPr>
    </w:p>
    <w:p w14:paraId="7A4A7E3F" w14:textId="77777777" w:rsidR="0090374E" w:rsidRPr="0090374E" w:rsidRDefault="0090374E" w:rsidP="0090374E">
      <w:pPr>
        <w:pStyle w:val="Body"/>
        <w:spacing w:after="0"/>
        <w:rPr>
          <w:rFonts w:ascii="Arial" w:hAnsi="Arial" w:cs="Arial"/>
          <w:b/>
          <w:iCs/>
          <w:lang w:eastAsia="en-GB"/>
        </w:rPr>
      </w:pPr>
      <w:r w:rsidRPr="0090374E">
        <w:rPr>
          <w:rFonts w:ascii="Arial" w:hAnsi="Arial" w:cs="Arial"/>
          <w:b/>
          <w:iCs/>
          <w:lang w:eastAsia="en-GB"/>
        </w:rPr>
        <w:t>3.3 Different areas of outcome measures</w:t>
      </w:r>
    </w:p>
    <w:p w14:paraId="16DA2602" w14:textId="77777777" w:rsidR="0090374E" w:rsidRPr="0090374E" w:rsidRDefault="0090374E" w:rsidP="0090374E">
      <w:pPr>
        <w:pStyle w:val="Body"/>
        <w:spacing w:after="0"/>
        <w:rPr>
          <w:rFonts w:ascii="Arial" w:hAnsi="Arial" w:cs="Arial"/>
          <w:iCs/>
          <w:lang w:eastAsia="en-GB"/>
        </w:rPr>
      </w:pPr>
      <w:r w:rsidRPr="0090374E">
        <w:rPr>
          <w:rFonts w:ascii="Arial" w:hAnsi="Arial" w:cs="Arial"/>
          <w:iCs/>
          <w:lang w:eastAsia="en-GB"/>
        </w:rPr>
        <w:t xml:space="preserve">By using related ‘t’ test the investigator has analyzed the data and found the ‘t’ value of significance for the improvement in the areas of repetition of word and phrase, responsive naming and confrontation naming. The change in mean score and ‘t’ value of this areas is presented in the following table 3. </w:t>
      </w:r>
    </w:p>
    <w:tbl>
      <w:tblPr>
        <w:tblStyle w:val="TableGrid"/>
        <w:tblW w:w="0" w:type="auto"/>
        <w:tblLook w:val="04A0" w:firstRow="1" w:lastRow="0" w:firstColumn="1" w:lastColumn="0" w:noHBand="0" w:noVBand="1"/>
      </w:tblPr>
      <w:tblGrid>
        <w:gridCol w:w="1998"/>
        <w:gridCol w:w="1350"/>
        <w:gridCol w:w="1350"/>
        <w:gridCol w:w="1530"/>
        <w:gridCol w:w="1407"/>
        <w:gridCol w:w="1608"/>
      </w:tblGrid>
      <w:tr w:rsidR="0090374E" w:rsidRPr="0090374E" w14:paraId="50C3392E" w14:textId="77777777" w:rsidTr="0090374E">
        <w:trPr>
          <w:trHeight w:val="150"/>
        </w:trPr>
        <w:tc>
          <w:tcPr>
            <w:tcW w:w="19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0DC97" w14:textId="77777777" w:rsidR="0090374E" w:rsidRPr="0090374E" w:rsidRDefault="0090374E" w:rsidP="0090374E">
            <w:pPr>
              <w:pStyle w:val="Body"/>
              <w:rPr>
                <w:rFonts w:ascii="Arial" w:hAnsi="Arial" w:cs="Arial"/>
                <w:b/>
                <w:iCs/>
                <w:sz w:val="20"/>
                <w:lang w:eastAsia="en-GB"/>
              </w:rPr>
            </w:pPr>
            <w:r w:rsidRPr="0090374E">
              <w:rPr>
                <w:rFonts w:ascii="Arial" w:hAnsi="Arial" w:cs="Arial"/>
                <w:b/>
                <w:iCs/>
                <w:sz w:val="20"/>
                <w:lang w:eastAsia="en-GB"/>
              </w:rPr>
              <w:t>Area of outcome measures</w:t>
            </w:r>
          </w:p>
        </w:tc>
        <w:tc>
          <w:tcPr>
            <w:tcW w:w="2700" w:type="dxa"/>
            <w:gridSpan w:val="2"/>
            <w:tcBorders>
              <w:top w:val="single" w:sz="4" w:space="0" w:color="000000" w:themeColor="text1"/>
              <w:left w:val="single" w:sz="4" w:space="0" w:color="auto"/>
              <w:bottom w:val="single" w:sz="4" w:space="0" w:color="auto"/>
              <w:right w:val="single" w:sz="4" w:space="0" w:color="auto"/>
            </w:tcBorders>
            <w:hideMark/>
          </w:tcPr>
          <w:p w14:paraId="384B59BC" w14:textId="77777777" w:rsidR="0090374E" w:rsidRPr="0090374E" w:rsidRDefault="0090374E" w:rsidP="0090374E">
            <w:pPr>
              <w:pStyle w:val="Body"/>
              <w:rPr>
                <w:rFonts w:ascii="Arial" w:hAnsi="Arial" w:cs="Arial"/>
                <w:b/>
                <w:iCs/>
                <w:sz w:val="20"/>
                <w:lang w:eastAsia="en-GB"/>
              </w:rPr>
            </w:pPr>
            <w:r w:rsidRPr="0090374E">
              <w:rPr>
                <w:rFonts w:ascii="Arial" w:hAnsi="Arial" w:cs="Arial"/>
                <w:b/>
                <w:iCs/>
                <w:sz w:val="20"/>
                <w:lang w:eastAsia="en-GB"/>
              </w:rPr>
              <w:t>Mean</w:t>
            </w:r>
          </w:p>
        </w:tc>
        <w:tc>
          <w:tcPr>
            <w:tcW w:w="153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DBE42B6" w14:textId="77777777" w:rsidR="0090374E" w:rsidRPr="0090374E" w:rsidRDefault="0090374E" w:rsidP="0090374E">
            <w:pPr>
              <w:pStyle w:val="Body"/>
              <w:rPr>
                <w:rFonts w:ascii="Arial" w:hAnsi="Arial" w:cs="Arial"/>
                <w:b/>
                <w:iCs/>
                <w:sz w:val="20"/>
                <w:lang w:eastAsia="en-GB"/>
              </w:rPr>
            </w:pPr>
            <w:r w:rsidRPr="0090374E">
              <w:rPr>
                <w:rFonts w:ascii="Arial" w:hAnsi="Arial" w:cs="Arial"/>
                <w:b/>
                <w:iCs/>
                <w:sz w:val="20"/>
                <w:lang w:eastAsia="en-GB"/>
              </w:rPr>
              <w:t>‘t’ value</w:t>
            </w:r>
          </w:p>
        </w:tc>
        <w:tc>
          <w:tcPr>
            <w:tcW w:w="1407"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712098C" w14:textId="77777777" w:rsidR="0090374E" w:rsidRPr="0090374E" w:rsidRDefault="0090374E" w:rsidP="0090374E">
            <w:pPr>
              <w:pStyle w:val="Body"/>
              <w:rPr>
                <w:rFonts w:ascii="Arial" w:hAnsi="Arial" w:cs="Arial"/>
                <w:b/>
                <w:iCs/>
                <w:sz w:val="20"/>
                <w:lang w:eastAsia="en-GB"/>
              </w:rPr>
            </w:pPr>
            <w:r w:rsidRPr="0090374E">
              <w:rPr>
                <w:rFonts w:ascii="Arial" w:hAnsi="Arial" w:cs="Arial"/>
                <w:b/>
                <w:iCs/>
                <w:sz w:val="20"/>
                <w:lang w:eastAsia="en-GB"/>
              </w:rPr>
              <w:t>‘p’ value</w:t>
            </w:r>
          </w:p>
        </w:tc>
        <w:tc>
          <w:tcPr>
            <w:tcW w:w="16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51A00" w14:textId="77777777" w:rsidR="0090374E" w:rsidRPr="0090374E" w:rsidRDefault="0090374E" w:rsidP="0090374E">
            <w:pPr>
              <w:pStyle w:val="Body"/>
              <w:rPr>
                <w:rFonts w:ascii="Arial" w:hAnsi="Arial" w:cs="Arial"/>
                <w:b/>
                <w:iCs/>
                <w:sz w:val="20"/>
                <w:lang w:eastAsia="en-GB"/>
              </w:rPr>
            </w:pPr>
            <w:r w:rsidRPr="0090374E">
              <w:rPr>
                <w:rFonts w:ascii="Arial" w:hAnsi="Arial" w:cs="Arial"/>
                <w:b/>
                <w:iCs/>
                <w:sz w:val="20"/>
                <w:lang w:eastAsia="en-GB"/>
              </w:rPr>
              <w:t>Significance</w:t>
            </w:r>
          </w:p>
        </w:tc>
      </w:tr>
      <w:tr w:rsidR="0090374E" w:rsidRPr="0090374E" w14:paraId="19E9DD65" w14:textId="77777777" w:rsidTr="0090374E">
        <w:trPr>
          <w:trHeight w:val="12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7588FA" w14:textId="77777777" w:rsidR="0090374E" w:rsidRPr="0090374E" w:rsidRDefault="0090374E" w:rsidP="0090374E">
            <w:pPr>
              <w:pStyle w:val="Body"/>
              <w:rPr>
                <w:rFonts w:ascii="Arial" w:hAnsi="Arial" w:cs="Arial"/>
                <w:b/>
                <w:iCs/>
                <w:sz w:val="20"/>
                <w:lang w:eastAsia="en-GB"/>
              </w:rPr>
            </w:pPr>
          </w:p>
        </w:tc>
        <w:tc>
          <w:tcPr>
            <w:tcW w:w="1350" w:type="dxa"/>
            <w:tcBorders>
              <w:top w:val="single" w:sz="4" w:space="0" w:color="auto"/>
              <w:left w:val="single" w:sz="4" w:space="0" w:color="auto"/>
              <w:bottom w:val="single" w:sz="4" w:space="0" w:color="000000" w:themeColor="text1"/>
              <w:right w:val="single" w:sz="4" w:space="0" w:color="auto"/>
            </w:tcBorders>
            <w:hideMark/>
          </w:tcPr>
          <w:p w14:paraId="7414D4E8" w14:textId="77777777" w:rsidR="0090374E" w:rsidRPr="0090374E" w:rsidRDefault="0090374E" w:rsidP="0090374E">
            <w:pPr>
              <w:pStyle w:val="Body"/>
              <w:rPr>
                <w:rFonts w:ascii="Arial" w:hAnsi="Arial" w:cs="Arial"/>
                <w:b/>
                <w:iCs/>
                <w:sz w:val="20"/>
                <w:lang w:eastAsia="en-GB"/>
              </w:rPr>
            </w:pPr>
            <w:r w:rsidRPr="0090374E">
              <w:rPr>
                <w:rFonts w:ascii="Arial" w:hAnsi="Arial" w:cs="Arial"/>
                <w:b/>
                <w:iCs/>
                <w:sz w:val="20"/>
                <w:lang w:eastAsia="en-GB"/>
              </w:rPr>
              <w:t>Before treatment</w:t>
            </w:r>
          </w:p>
        </w:tc>
        <w:tc>
          <w:tcPr>
            <w:tcW w:w="1350" w:type="dxa"/>
            <w:tcBorders>
              <w:top w:val="single" w:sz="4" w:space="0" w:color="auto"/>
              <w:left w:val="single" w:sz="4" w:space="0" w:color="auto"/>
              <w:bottom w:val="single" w:sz="4" w:space="0" w:color="000000" w:themeColor="text1"/>
              <w:right w:val="single" w:sz="4" w:space="0" w:color="auto"/>
            </w:tcBorders>
            <w:hideMark/>
          </w:tcPr>
          <w:p w14:paraId="5E38AC4F" w14:textId="77777777" w:rsidR="0090374E" w:rsidRPr="0090374E" w:rsidRDefault="0090374E" w:rsidP="0090374E">
            <w:pPr>
              <w:pStyle w:val="Body"/>
              <w:rPr>
                <w:rFonts w:ascii="Arial" w:hAnsi="Arial" w:cs="Arial"/>
                <w:b/>
                <w:iCs/>
                <w:sz w:val="20"/>
                <w:lang w:eastAsia="en-GB"/>
              </w:rPr>
            </w:pPr>
            <w:r w:rsidRPr="0090374E">
              <w:rPr>
                <w:rFonts w:ascii="Arial" w:hAnsi="Arial" w:cs="Arial"/>
                <w:b/>
                <w:iCs/>
                <w:sz w:val="20"/>
                <w:lang w:eastAsia="en-GB"/>
              </w:rPr>
              <w:t>After treatment</w:t>
            </w:r>
          </w:p>
        </w:tc>
        <w:tc>
          <w:tcPr>
            <w:tcW w:w="0" w:type="auto"/>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F373F6C" w14:textId="77777777" w:rsidR="0090374E" w:rsidRPr="0090374E" w:rsidRDefault="0090374E" w:rsidP="0090374E">
            <w:pPr>
              <w:pStyle w:val="Body"/>
              <w:rPr>
                <w:rFonts w:ascii="Arial" w:hAnsi="Arial" w:cs="Arial"/>
                <w:b/>
                <w:iCs/>
                <w:sz w:val="20"/>
                <w:lang w:eastAsia="en-GB"/>
              </w:rPr>
            </w:pPr>
          </w:p>
        </w:tc>
        <w:tc>
          <w:tcPr>
            <w:tcW w:w="0" w:type="auto"/>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88DB37" w14:textId="77777777" w:rsidR="0090374E" w:rsidRPr="0090374E" w:rsidRDefault="0090374E" w:rsidP="0090374E">
            <w:pPr>
              <w:pStyle w:val="Body"/>
              <w:rPr>
                <w:rFonts w:ascii="Arial" w:hAnsi="Arial" w:cs="Arial"/>
                <w:b/>
                <w:iCs/>
                <w:sz w:val="20"/>
                <w:lang w:eastAsia="en-GB"/>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4EA3AD" w14:textId="77777777" w:rsidR="0090374E" w:rsidRPr="0090374E" w:rsidRDefault="0090374E" w:rsidP="0090374E">
            <w:pPr>
              <w:pStyle w:val="Body"/>
              <w:rPr>
                <w:rFonts w:ascii="Arial" w:hAnsi="Arial" w:cs="Arial"/>
                <w:b/>
                <w:iCs/>
                <w:sz w:val="20"/>
                <w:lang w:eastAsia="en-GB"/>
              </w:rPr>
            </w:pPr>
          </w:p>
        </w:tc>
      </w:tr>
      <w:tr w:rsidR="0090374E" w:rsidRPr="0090374E" w14:paraId="4999E514" w14:textId="77777777" w:rsidTr="0090374E">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F3259"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lastRenderedPageBreak/>
              <w:t>Repetition of Word</w:t>
            </w:r>
          </w:p>
        </w:tc>
        <w:tc>
          <w:tcPr>
            <w:tcW w:w="1350" w:type="dxa"/>
            <w:tcBorders>
              <w:top w:val="single" w:sz="4" w:space="0" w:color="000000" w:themeColor="text1"/>
              <w:left w:val="single" w:sz="4" w:space="0" w:color="auto"/>
              <w:bottom w:val="single" w:sz="4" w:space="0" w:color="000000" w:themeColor="text1"/>
              <w:right w:val="single" w:sz="4" w:space="0" w:color="auto"/>
            </w:tcBorders>
            <w:hideMark/>
          </w:tcPr>
          <w:p w14:paraId="7C9B652F"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1.04</w:t>
            </w:r>
          </w:p>
        </w:tc>
        <w:tc>
          <w:tcPr>
            <w:tcW w:w="1350" w:type="dxa"/>
            <w:tcBorders>
              <w:top w:val="single" w:sz="4" w:space="0" w:color="000000" w:themeColor="text1"/>
              <w:left w:val="single" w:sz="4" w:space="0" w:color="auto"/>
              <w:bottom w:val="single" w:sz="4" w:space="0" w:color="000000" w:themeColor="text1"/>
              <w:right w:val="single" w:sz="4" w:space="0" w:color="auto"/>
            </w:tcBorders>
            <w:hideMark/>
          </w:tcPr>
          <w:p w14:paraId="7085A8A5"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1.95</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52A3A36C"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3.62</w:t>
            </w:r>
          </w:p>
        </w:tc>
        <w:tc>
          <w:tcPr>
            <w:tcW w:w="1407" w:type="dxa"/>
            <w:tcBorders>
              <w:top w:val="single" w:sz="4" w:space="0" w:color="000000" w:themeColor="text1"/>
              <w:left w:val="single" w:sz="4" w:space="0" w:color="auto"/>
              <w:bottom w:val="single" w:sz="4" w:space="0" w:color="000000" w:themeColor="text1"/>
              <w:right w:val="single" w:sz="4" w:space="0" w:color="auto"/>
            </w:tcBorders>
            <w:hideMark/>
          </w:tcPr>
          <w:p w14:paraId="6AC14C36"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&lt;.01</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595A0"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Significant</w:t>
            </w:r>
          </w:p>
        </w:tc>
      </w:tr>
      <w:tr w:rsidR="0090374E" w:rsidRPr="0090374E" w14:paraId="47B40AB6" w14:textId="77777777" w:rsidTr="0090374E">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614D2"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Repetition of Phrase</w:t>
            </w:r>
          </w:p>
        </w:tc>
        <w:tc>
          <w:tcPr>
            <w:tcW w:w="1350" w:type="dxa"/>
            <w:tcBorders>
              <w:top w:val="single" w:sz="4" w:space="0" w:color="000000" w:themeColor="text1"/>
              <w:left w:val="single" w:sz="4" w:space="0" w:color="auto"/>
              <w:bottom w:val="single" w:sz="4" w:space="0" w:color="000000" w:themeColor="text1"/>
              <w:right w:val="single" w:sz="4" w:space="0" w:color="auto"/>
            </w:tcBorders>
            <w:hideMark/>
          </w:tcPr>
          <w:p w14:paraId="0E898CFD"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0.45</w:t>
            </w:r>
          </w:p>
        </w:tc>
        <w:tc>
          <w:tcPr>
            <w:tcW w:w="1350" w:type="dxa"/>
            <w:tcBorders>
              <w:top w:val="single" w:sz="4" w:space="0" w:color="000000" w:themeColor="text1"/>
              <w:left w:val="single" w:sz="4" w:space="0" w:color="auto"/>
              <w:bottom w:val="single" w:sz="4" w:space="0" w:color="000000" w:themeColor="text1"/>
              <w:right w:val="single" w:sz="4" w:space="0" w:color="auto"/>
            </w:tcBorders>
            <w:hideMark/>
          </w:tcPr>
          <w:p w14:paraId="4DF29170"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1.45</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6DC2531F"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2.95</w:t>
            </w:r>
          </w:p>
        </w:tc>
        <w:tc>
          <w:tcPr>
            <w:tcW w:w="1407" w:type="dxa"/>
            <w:tcBorders>
              <w:top w:val="single" w:sz="4" w:space="0" w:color="000000" w:themeColor="text1"/>
              <w:left w:val="single" w:sz="4" w:space="0" w:color="auto"/>
              <w:bottom w:val="single" w:sz="4" w:space="0" w:color="000000" w:themeColor="text1"/>
              <w:right w:val="single" w:sz="4" w:space="0" w:color="auto"/>
            </w:tcBorders>
            <w:hideMark/>
          </w:tcPr>
          <w:p w14:paraId="52FBB982"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&lt;.025</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883C6"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Significant</w:t>
            </w:r>
          </w:p>
        </w:tc>
      </w:tr>
      <w:tr w:rsidR="0090374E" w:rsidRPr="0090374E" w14:paraId="16558A1A" w14:textId="77777777" w:rsidTr="0090374E">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BC267"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Responsive Naming</w:t>
            </w:r>
          </w:p>
        </w:tc>
        <w:tc>
          <w:tcPr>
            <w:tcW w:w="1350" w:type="dxa"/>
            <w:tcBorders>
              <w:top w:val="single" w:sz="4" w:space="0" w:color="000000" w:themeColor="text1"/>
              <w:left w:val="single" w:sz="4" w:space="0" w:color="auto"/>
              <w:bottom w:val="single" w:sz="4" w:space="0" w:color="000000" w:themeColor="text1"/>
              <w:right w:val="single" w:sz="4" w:space="0" w:color="auto"/>
            </w:tcBorders>
            <w:hideMark/>
          </w:tcPr>
          <w:p w14:paraId="1B2DE4E7"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1.83</w:t>
            </w:r>
          </w:p>
        </w:tc>
        <w:tc>
          <w:tcPr>
            <w:tcW w:w="1350" w:type="dxa"/>
            <w:tcBorders>
              <w:top w:val="single" w:sz="4" w:space="0" w:color="000000" w:themeColor="text1"/>
              <w:left w:val="single" w:sz="4" w:space="0" w:color="auto"/>
              <w:bottom w:val="single" w:sz="4" w:space="0" w:color="000000" w:themeColor="text1"/>
              <w:right w:val="single" w:sz="4" w:space="0" w:color="auto"/>
            </w:tcBorders>
            <w:hideMark/>
          </w:tcPr>
          <w:p w14:paraId="4AB33295"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3.66</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57A84E9A"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5.80</w:t>
            </w:r>
          </w:p>
        </w:tc>
        <w:tc>
          <w:tcPr>
            <w:tcW w:w="1407" w:type="dxa"/>
            <w:tcBorders>
              <w:top w:val="single" w:sz="4" w:space="0" w:color="000000" w:themeColor="text1"/>
              <w:left w:val="single" w:sz="4" w:space="0" w:color="auto"/>
              <w:bottom w:val="single" w:sz="4" w:space="0" w:color="000000" w:themeColor="text1"/>
              <w:right w:val="single" w:sz="4" w:space="0" w:color="auto"/>
            </w:tcBorders>
            <w:hideMark/>
          </w:tcPr>
          <w:p w14:paraId="6EDC46EE"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&lt;.005</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A0243"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Significant</w:t>
            </w:r>
          </w:p>
        </w:tc>
      </w:tr>
      <w:tr w:rsidR="0090374E" w:rsidRPr="0090374E" w14:paraId="7B5D51C9" w14:textId="77777777" w:rsidTr="0090374E">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FBF0A"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Confrontation Naming</w:t>
            </w:r>
          </w:p>
        </w:tc>
        <w:tc>
          <w:tcPr>
            <w:tcW w:w="1350" w:type="dxa"/>
            <w:tcBorders>
              <w:top w:val="single" w:sz="4" w:space="0" w:color="000000" w:themeColor="text1"/>
              <w:left w:val="single" w:sz="4" w:space="0" w:color="auto"/>
              <w:bottom w:val="single" w:sz="4" w:space="0" w:color="000000" w:themeColor="text1"/>
              <w:right w:val="single" w:sz="4" w:space="0" w:color="auto"/>
            </w:tcBorders>
            <w:hideMark/>
          </w:tcPr>
          <w:p w14:paraId="0D70DA4C"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3.99</w:t>
            </w:r>
          </w:p>
        </w:tc>
        <w:tc>
          <w:tcPr>
            <w:tcW w:w="1350" w:type="dxa"/>
            <w:tcBorders>
              <w:top w:val="single" w:sz="4" w:space="0" w:color="000000" w:themeColor="text1"/>
              <w:left w:val="single" w:sz="4" w:space="0" w:color="auto"/>
              <w:bottom w:val="single" w:sz="4" w:space="0" w:color="000000" w:themeColor="text1"/>
              <w:right w:val="single" w:sz="4" w:space="0" w:color="auto"/>
            </w:tcBorders>
            <w:hideMark/>
          </w:tcPr>
          <w:p w14:paraId="3D734C28"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7.08</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0B3D7D5D"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3.57</w:t>
            </w:r>
          </w:p>
        </w:tc>
        <w:tc>
          <w:tcPr>
            <w:tcW w:w="1407" w:type="dxa"/>
            <w:tcBorders>
              <w:top w:val="single" w:sz="4" w:space="0" w:color="000000" w:themeColor="text1"/>
              <w:left w:val="single" w:sz="4" w:space="0" w:color="auto"/>
              <w:bottom w:val="single" w:sz="4" w:space="0" w:color="000000" w:themeColor="text1"/>
              <w:right w:val="single" w:sz="4" w:space="0" w:color="auto"/>
            </w:tcBorders>
            <w:hideMark/>
          </w:tcPr>
          <w:p w14:paraId="50FF22AA"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&lt;.01</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1B157"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Significant</w:t>
            </w:r>
          </w:p>
        </w:tc>
      </w:tr>
    </w:tbl>
    <w:p w14:paraId="46177D89" w14:textId="77777777" w:rsidR="0090374E" w:rsidRPr="0090374E" w:rsidRDefault="0090374E" w:rsidP="0090374E">
      <w:pPr>
        <w:pStyle w:val="Body"/>
        <w:spacing w:after="0"/>
        <w:rPr>
          <w:rFonts w:ascii="Arial" w:hAnsi="Arial" w:cs="Arial"/>
          <w:b/>
          <w:iCs/>
          <w:lang w:eastAsia="en-GB"/>
        </w:rPr>
      </w:pPr>
      <w:r w:rsidRPr="0090374E">
        <w:rPr>
          <w:rFonts w:ascii="Arial" w:hAnsi="Arial" w:cs="Arial"/>
          <w:b/>
          <w:iCs/>
          <w:lang w:eastAsia="en-GB"/>
        </w:rPr>
        <w:t xml:space="preserve">                               Table 3: Mean in Different areas of outcome measures</w:t>
      </w:r>
    </w:p>
    <w:p w14:paraId="0E37D1CE" w14:textId="77777777" w:rsidR="0090374E" w:rsidRDefault="0090374E" w:rsidP="0090374E">
      <w:pPr>
        <w:pStyle w:val="Body"/>
        <w:spacing w:after="0"/>
        <w:rPr>
          <w:rFonts w:ascii="Arial" w:hAnsi="Arial" w:cs="Arial"/>
          <w:iCs/>
          <w:lang w:eastAsia="en-GB"/>
        </w:rPr>
      </w:pPr>
      <w:r w:rsidRPr="0090374E">
        <w:rPr>
          <w:rFonts w:ascii="Arial" w:hAnsi="Arial" w:cs="Arial"/>
          <w:iCs/>
          <w:lang w:eastAsia="en-GB"/>
        </w:rPr>
        <w:t>Before treatment in the area of repetition of word mean score was 1.04 and after treatment was 1.95; ‘t’ value is 3.62 and ‘p’ value is &lt;.01 which indicates that the findings is significant. In the area of repetition of phrase before treatments mean score was 0.45 and after treatment was 1.45; ‘t’ value is 2.95 and ‘p’ value is &lt;.025 which indicates that the findings is significant. In the area of responsive naming, before treatments mean score was 1.83 and after treatment was 3.66; ‘t’ value is 5.80 and ‘p’ value is &lt;.005 which indicates that the findings is significant. In the area of confrontation naming, before treatments mean score was 3.99 and after treatment was 7.08; ‘t’ value is 3.57 and ‘p’ value is &lt;.01 which indicates that the findings is significant.</w:t>
      </w:r>
    </w:p>
    <w:p w14:paraId="0E7887EF" w14:textId="77777777" w:rsidR="0090374E" w:rsidRPr="0090374E" w:rsidRDefault="0090374E" w:rsidP="0090374E">
      <w:pPr>
        <w:pStyle w:val="Body"/>
        <w:spacing w:after="0"/>
        <w:rPr>
          <w:rFonts w:ascii="Arial" w:hAnsi="Arial" w:cs="Arial"/>
          <w:b/>
          <w:iCs/>
          <w:lang w:eastAsia="en-GB"/>
        </w:rPr>
      </w:pPr>
    </w:p>
    <w:p w14:paraId="410382DD" w14:textId="77777777" w:rsidR="0090374E" w:rsidRPr="0090374E" w:rsidRDefault="0090374E" w:rsidP="0090374E">
      <w:pPr>
        <w:pStyle w:val="BodyText3"/>
        <w:tabs>
          <w:tab w:val="left" w:pos="1080"/>
        </w:tabs>
        <w:spacing w:after="0"/>
        <w:ind w:left="1080" w:hanging="1080"/>
        <w:rPr>
          <w:rFonts w:ascii="Arial" w:hAnsi="Arial" w:cs="Arial"/>
          <w:b/>
          <w:sz w:val="20"/>
        </w:rPr>
      </w:pPr>
      <w:r w:rsidRPr="0090374E">
        <w:rPr>
          <w:rFonts w:ascii="Arial" w:hAnsi="Arial" w:cs="Arial"/>
          <w:b/>
          <w:sz w:val="20"/>
        </w:rPr>
        <w:t>3.3.1 Repetition of Word</w:t>
      </w:r>
    </w:p>
    <w:p w14:paraId="3EC0241D" w14:textId="77777777" w:rsidR="0090374E" w:rsidRPr="0090374E" w:rsidRDefault="0090374E" w:rsidP="0090374E">
      <w:pPr>
        <w:pStyle w:val="BodyText3"/>
        <w:tabs>
          <w:tab w:val="left" w:pos="1080"/>
        </w:tabs>
        <w:spacing w:after="0"/>
        <w:ind w:left="1080" w:hanging="1080"/>
        <w:rPr>
          <w:rFonts w:ascii="Arial" w:hAnsi="Arial" w:cs="Arial"/>
          <w:sz w:val="20"/>
          <w:szCs w:val="20"/>
        </w:rPr>
      </w:pPr>
      <w:r w:rsidRPr="0090374E">
        <w:rPr>
          <w:rFonts w:ascii="Arial" w:hAnsi="Arial" w:cs="Arial"/>
          <w:sz w:val="20"/>
          <w:szCs w:val="20"/>
        </w:rPr>
        <w:t>The overall findings in the area of repetition of word represent that, the mean score of participants before applying MIT was 1.04 and after applying MIT was 1.95 (data is presented in table 4). Therefore the mean score of participants in the area of repetition of word improved after applying MIT. The study showed that the average/mean scores were better after receiving MIT than before receiving MIT.</w:t>
      </w:r>
    </w:p>
    <w:tbl>
      <w:tblPr>
        <w:tblStyle w:val="TableGrid"/>
        <w:tblW w:w="8635" w:type="dxa"/>
        <w:tblInd w:w="-221" w:type="dxa"/>
        <w:tblLook w:val="04A0" w:firstRow="1" w:lastRow="0" w:firstColumn="1" w:lastColumn="0" w:noHBand="0" w:noVBand="1"/>
      </w:tblPr>
      <w:tblGrid>
        <w:gridCol w:w="1361"/>
        <w:gridCol w:w="1964"/>
        <w:gridCol w:w="1895"/>
        <w:gridCol w:w="1686"/>
        <w:gridCol w:w="1729"/>
      </w:tblGrid>
      <w:tr w:rsidR="0090374E" w:rsidRPr="0090374E" w14:paraId="45B6B0C7" w14:textId="77777777" w:rsidTr="0090374E">
        <w:trPr>
          <w:trHeight w:val="165"/>
        </w:trPr>
        <w:tc>
          <w:tcPr>
            <w:tcW w:w="13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63F7A" w14:textId="77777777" w:rsidR="0090374E" w:rsidRPr="0090374E" w:rsidRDefault="0090374E" w:rsidP="0090374E">
            <w:pPr>
              <w:pStyle w:val="BodyText3"/>
              <w:tabs>
                <w:tab w:val="left" w:pos="1080"/>
              </w:tabs>
              <w:ind w:left="1080" w:hanging="1080"/>
              <w:jc w:val="both"/>
              <w:rPr>
                <w:rFonts w:ascii="Arial" w:hAnsi="Arial" w:cs="Arial"/>
                <w:b/>
                <w:sz w:val="20"/>
                <w:szCs w:val="20"/>
              </w:rPr>
            </w:pPr>
            <w:r w:rsidRPr="0090374E">
              <w:rPr>
                <w:rFonts w:ascii="Arial" w:hAnsi="Arial" w:cs="Arial"/>
                <w:b/>
                <w:sz w:val="20"/>
                <w:szCs w:val="20"/>
              </w:rPr>
              <w:t>Participants</w:t>
            </w:r>
          </w:p>
        </w:tc>
        <w:tc>
          <w:tcPr>
            <w:tcW w:w="196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82E2E71" w14:textId="77777777" w:rsidR="0090374E" w:rsidRPr="0090374E" w:rsidRDefault="0090374E" w:rsidP="0090374E">
            <w:pPr>
              <w:pStyle w:val="BodyText3"/>
              <w:tabs>
                <w:tab w:val="left" w:pos="1080"/>
              </w:tabs>
              <w:ind w:left="1080" w:hanging="1080"/>
              <w:jc w:val="both"/>
              <w:rPr>
                <w:rFonts w:ascii="Arial" w:hAnsi="Arial" w:cs="Arial"/>
                <w:b/>
                <w:sz w:val="20"/>
                <w:szCs w:val="20"/>
              </w:rPr>
            </w:pPr>
            <w:r w:rsidRPr="0090374E">
              <w:rPr>
                <w:rFonts w:ascii="Arial" w:hAnsi="Arial" w:cs="Arial"/>
                <w:b/>
                <w:sz w:val="20"/>
                <w:szCs w:val="20"/>
              </w:rPr>
              <w:t>Repetition of word Pre-test x1</w:t>
            </w:r>
          </w:p>
        </w:tc>
        <w:tc>
          <w:tcPr>
            <w:tcW w:w="189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EB8A076" w14:textId="77777777" w:rsidR="0090374E" w:rsidRPr="0090374E" w:rsidRDefault="0090374E" w:rsidP="0090374E">
            <w:pPr>
              <w:pStyle w:val="BodyText3"/>
              <w:tabs>
                <w:tab w:val="left" w:pos="1080"/>
              </w:tabs>
              <w:ind w:left="1080" w:hanging="1080"/>
              <w:jc w:val="both"/>
              <w:rPr>
                <w:rFonts w:ascii="Arial" w:hAnsi="Arial" w:cs="Arial"/>
                <w:b/>
                <w:sz w:val="20"/>
                <w:szCs w:val="20"/>
              </w:rPr>
            </w:pPr>
            <w:r w:rsidRPr="0090374E">
              <w:rPr>
                <w:rFonts w:ascii="Arial" w:hAnsi="Arial" w:cs="Arial"/>
                <w:b/>
                <w:sz w:val="20"/>
                <w:szCs w:val="20"/>
              </w:rPr>
              <w:t>Repetition of word Post-test x2</w:t>
            </w:r>
          </w:p>
        </w:tc>
        <w:tc>
          <w:tcPr>
            <w:tcW w:w="3415" w:type="dxa"/>
            <w:gridSpan w:val="2"/>
            <w:tcBorders>
              <w:top w:val="single" w:sz="4" w:space="0" w:color="000000" w:themeColor="text1"/>
              <w:left w:val="single" w:sz="4" w:space="0" w:color="auto"/>
              <w:bottom w:val="single" w:sz="4" w:space="0" w:color="auto"/>
              <w:right w:val="single" w:sz="4" w:space="0" w:color="000000" w:themeColor="text1"/>
            </w:tcBorders>
            <w:hideMark/>
          </w:tcPr>
          <w:p w14:paraId="2BF088A3" w14:textId="77777777" w:rsidR="0090374E" w:rsidRPr="0090374E" w:rsidRDefault="0090374E" w:rsidP="0090374E">
            <w:pPr>
              <w:pStyle w:val="BodyText3"/>
              <w:tabs>
                <w:tab w:val="left" w:pos="1080"/>
              </w:tabs>
              <w:ind w:left="1080" w:hanging="1080"/>
              <w:jc w:val="both"/>
              <w:rPr>
                <w:rFonts w:ascii="Arial" w:hAnsi="Arial" w:cs="Arial"/>
                <w:b/>
                <w:sz w:val="20"/>
                <w:szCs w:val="20"/>
              </w:rPr>
            </w:pPr>
            <w:r w:rsidRPr="0090374E">
              <w:rPr>
                <w:rFonts w:ascii="Arial" w:hAnsi="Arial" w:cs="Arial"/>
                <w:b/>
                <w:sz w:val="20"/>
                <w:szCs w:val="20"/>
              </w:rPr>
              <w:t xml:space="preserve">Difference between </w:t>
            </w:r>
            <w:proofErr w:type="spellStart"/>
            <w:r w:rsidRPr="0090374E">
              <w:rPr>
                <w:rFonts w:ascii="Arial" w:hAnsi="Arial" w:cs="Arial"/>
                <w:b/>
                <w:sz w:val="20"/>
                <w:szCs w:val="20"/>
              </w:rPr>
              <w:t>pre test</w:t>
            </w:r>
            <w:proofErr w:type="spellEnd"/>
            <w:r w:rsidRPr="0090374E">
              <w:rPr>
                <w:rFonts w:ascii="Arial" w:hAnsi="Arial" w:cs="Arial"/>
                <w:b/>
                <w:sz w:val="20"/>
                <w:szCs w:val="20"/>
              </w:rPr>
              <w:t xml:space="preserve"> and post test</w:t>
            </w:r>
          </w:p>
        </w:tc>
      </w:tr>
      <w:tr w:rsidR="0090374E" w:rsidRPr="0090374E" w14:paraId="1208C42B" w14:textId="77777777" w:rsidTr="0090374E">
        <w:trPr>
          <w:trHeight w:val="55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A89AC9" w14:textId="77777777" w:rsidR="0090374E" w:rsidRPr="0090374E" w:rsidRDefault="0090374E" w:rsidP="0090374E">
            <w:pPr>
              <w:pStyle w:val="BodyText3"/>
              <w:tabs>
                <w:tab w:val="left" w:pos="1080"/>
              </w:tabs>
              <w:ind w:left="1080" w:hanging="1080"/>
              <w:jc w:val="both"/>
              <w:rPr>
                <w:rFonts w:ascii="Arial" w:hAnsi="Arial" w:cs="Arial"/>
                <w:b/>
                <w:sz w:val="20"/>
                <w:szCs w:val="20"/>
              </w:rPr>
            </w:pPr>
          </w:p>
        </w:tc>
        <w:tc>
          <w:tcPr>
            <w:tcW w:w="196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B46D85A" w14:textId="77777777" w:rsidR="0090374E" w:rsidRPr="0090374E" w:rsidRDefault="0090374E" w:rsidP="0090374E">
            <w:pPr>
              <w:pStyle w:val="BodyText3"/>
              <w:tabs>
                <w:tab w:val="left" w:pos="1080"/>
              </w:tabs>
              <w:ind w:left="1080" w:hanging="1080"/>
              <w:jc w:val="both"/>
              <w:rPr>
                <w:rFonts w:ascii="Arial" w:hAnsi="Arial" w:cs="Arial"/>
                <w:b/>
                <w:sz w:val="20"/>
                <w:szCs w:val="20"/>
              </w:rPr>
            </w:pPr>
          </w:p>
        </w:tc>
        <w:tc>
          <w:tcPr>
            <w:tcW w:w="189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7E6CB8A" w14:textId="77777777" w:rsidR="0090374E" w:rsidRPr="0090374E" w:rsidRDefault="0090374E" w:rsidP="0090374E">
            <w:pPr>
              <w:pStyle w:val="BodyText3"/>
              <w:tabs>
                <w:tab w:val="left" w:pos="1080"/>
              </w:tabs>
              <w:ind w:left="1080" w:hanging="1080"/>
              <w:jc w:val="both"/>
              <w:rPr>
                <w:rFonts w:ascii="Arial" w:hAnsi="Arial" w:cs="Arial"/>
                <w:b/>
                <w:sz w:val="20"/>
                <w:szCs w:val="20"/>
              </w:rPr>
            </w:pPr>
          </w:p>
        </w:tc>
        <w:tc>
          <w:tcPr>
            <w:tcW w:w="1686" w:type="dxa"/>
            <w:tcBorders>
              <w:top w:val="single" w:sz="4" w:space="0" w:color="auto"/>
              <w:left w:val="single" w:sz="4" w:space="0" w:color="auto"/>
              <w:bottom w:val="single" w:sz="4" w:space="0" w:color="000000" w:themeColor="text1"/>
              <w:right w:val="single" w:sz="4" w:space="0" w:color="auto"/>
            </w:tcBorders>
            <w:hideMark/>
          </w:tcPr>
          <w:p w14:paraId="5C1B349D"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d= x2-x1</w:t>
            </w:r>
          </w:p>
        </w:tc>
        <w:tc>
          <w:tcPr>
            <w:tcW w:w="1729" w:type="dxa"/>
            <w:tcBorders>
              <w:top w:val="single" w:sz="4" w:space="0" w:color="auto"/>
              <w:left w:val="single" w:sz="4" w:space="0" w:color="auto"/>
              <w:bottom w:val="single" w:sz="4" w:space="0" w:color="000000" w:themeColor="text1"/>
              <w:right w:val="single" w:sz="4" w:space="0" w:color="000000" w:themeColor="text1"/>
            </w:tcBorders>
            <w:hideMark/>
          </w:tcPr>
          <w:p w14:paraId="1ABE4FD1"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d</w:t>
            </w:r>
            <w:r w:rsidRPr="0090374E">
              <w:rPr>
                <w:rFonts w:ascii="Arial" w:hAnsi="Arial" w:cs="Arial"/>
                <w:sz w:val="20"/>
                <w:szCs w:val="20"/>
                <w:vertAlign w:val="superscript"/>
              </w:rPr>
              <w:t>2</w:t>
            </w:r>
          </w:p>
        </w:tc>
      </w:tr>
      <w:tr w:rsidR="0090374E" w:rsidRPr="0090374E" w14:paraId="685632F5" w14:textId="77777777" w:rsidTr="0090374E">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A64C8"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P1</w:t>
            </w:r>
          </w:p>
        </w:tc>
        <w:tc>
          <w:tcPr>
            <w:tcW w:w="1964" w:type="dxa"/>
            <w:tcBorders>
              <w:top w:val="single" w:sz="4" w:space="0" w:color="000000" w:themeColor="text1"/>
              <w:left w:val="single" w:sz="4" w:space="0" w:color="auto"/>
              <w:bottom w:val="single" w:sz="4" w:space="0" w:color="000000" w:themeColor="text1"/>
              <w:right w:val="single" w:sz="4" w:space="0" w:color="auto"/>
            </w:tcBorders>
            <w:hideMark/>
          </w:tcPr>
          <w:p w14:paraId="27D95195"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0.83</w:t>
            </w:r>
          </w:p>
        </w:tc>
        <w:tc>
          <w:tcPr>
            <w:tcW w:w="1895" w:type="dxa"/>
            <w:tcBorders>
              <w:top w:val="single" w:sz="4" w:space="0" w:color="000000" w:themeColor="text1"/>
              <w:left w:val="single" w:sz="4" w:space="0" w:color="auto"/>
              <w:bottom w:val="single" w:sz="4" w:space="0" w:color="000000" w:themeColor="text1"/>
              <w:right w:val="single" w:sz="4" w:space="0" w:color="auto"/>
            </w:tcBorders>
            <w:hideMark/>
          </w:tcPr>
          <w:p w14:paraId="571B7D98"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1.33</w:t>
            </w:r>
          </w:p>
        </w:tc>
        <w:tc>
          <w:tcPr>
            <w:tcW w:w="1686" w:type="dxa"/>
            <w:tcBorders>
              <w:top w:val="single" w:sz="4" w:space="0" w:color="000000" w:themeColor="text1"/>
              <w:left w:val="single" w:sz="4" w:space="0" w:color="auto"/>
              <w:bottom w:val="single" w:sz="4" w:space="0" w:color="000000" w:themeColor="text1"/>
              <w:right w:val="single" w:sz="4" w:space="0" w:color="auto"/>
            </w:tcBorders>
            <w:hideMark/>
          </w:tcPr>
          <w:p w14:paraId="54AE2076"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0.5</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02C74"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0.25</w:t>
            </w:r>
          </w:p>
        </w:tc>
      </w:tr>
      <w:tr w:rsidR="0090374E" w:rsidRPr="0090374E" w14:paraId="4CB32569" w14:textId="77777777" w:rsidTr="0090374E">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DD285"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P2</w:t>
            </w:r>
          </w:p>
        </w:tc>
        <w:tc>
          <w:tcPr>
            <w:tcW w:w="1964" w:type="dxa"/>
            <w:tcBorders>
              <w:top w:val="single" w:sz="4" w:space="0" w:color="000000" w:themeColor="text1"/>
              <w:left w:val="single" w:sz="4" w:space="0" w:color="auto"/>
              <w:bottom w:val="single" w:sz="4" w:space="0" w:color="000000" w:themeColor="text1"/>
              <w:right w:val="single" w:sz="4" w:space="0" w:color="auto"/>
            </w:tcBorders>
            <w:hideMark/>
          </w:tcPr>
          <w:p w14:paraId="37B21946"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1</w:t>
            </w:r>
          </w:p>
        </w:tc>
        <w:tc>
          <w:tcPr>
            <w:tcW w:w="1895" w:type="dxa"/>
            <w:tcBorders>
              <w:top w:val="single" w:sz="4" w:space="0" w:color="000000" w:themeColor="text1"/>
              <w:left w:val="single" w:sz="4" w:space="0" w:color="auto"/>
              <w:bottom w:val="single" w:sz="4" w:space="0" w:color="000000" w:themeColor="text1"/>
              <w:right w:val="single" w:sz="4" w:space="0" w:color="auto"/>
            </w:tcBorders>
            <w:hideMark/>
          </w:tcPr>
          <w:p w14:paraId="46806DEB"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1.83</w:t>
            </w:r>
          </w:p>
        </w:tc>
        <w:tc>
          <w:tcPr>
            <w:tcW w:w="1686" w:type="dxa"/>
            <w:tcBorders>
              <w:top w:val="single" w:sz="4" w:space="0" w:color="000000" w:themeColor="text1"/>
              <w:left w:val="single" w:sz="4" w:space="0" w:color="auto"/>
              <w:bottom w:val="single" w:sz="4" w:space="0" w:color="000000" w:themeColor="text1"/>
              <w:right w:val="single" w:sz="4" w:space="0" w:color="auto"/>
            </w:tcBorders>
            <w:hideMark/>
          </w:tcPr>
          <w:p w14:paraId="4805A1E5"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0.83</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099A6"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0.68</w:t>
            </w:r>
          </w:p>
        </w:tc>
      </w:tr>
      <w:tr w:rsidR="0090374E" w:rsidRPr="0090374E" w14:paraId="27B6BCD4" w14:textId="77777777" w:rsidTr="0090374E">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EF827"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P3</w:t>
            </w:r>
          </w:p>
        </w:tc>
        <w:tc>
          <w:tcPr>
            <w:tcW w:w="1964" w:type="dxa"/>
            <w:tcBorders>
              <w:top w:val="single" w:sz="4" w:space="0" w:color="000000" w:themeColor="text1"/>
              <w:left w:val="single" w:sz="4" w:space="0" w:color="auto"/>
              <w:bottom w:val="single" w:sz="4" w:space="0" w:color="000000" w:themeColor="text1"/>
              <w:right w:val="single" w:sz="4" w:space="0" w:color="auto"/>
            </w:tcBorders>
            <w:hideMark/>
          </w:tcPr>
          <w:p w14:paraId="46729CD3"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1.5</w:t>
            </w:r>
          </w:p>
        </w:tc>
        <w:tc>
          <w:tcPr>
            <w:tcW w:w="1895" w:type="dxa"/>
            <w:tcBorders>
              <w:top w:val="single" w:sz="4" w:space="0" w:color="000000" w:themeColor="text1"/>
              <w:left w:val="single" w:sz="4" w:space="0" w:color="auto"/>
              <w:bottom w:val="single" w:sz="4" w:space="0" w:color="000000" w:themeColor="text1"/>
              <w:right w:val="single" w:sz="4" w:space="0" w:color="auto"/>
            </w:tcBorders>
            <w:hideMark/>
          </w:tcPr>
          <w:p w14:paraId="35F72E62"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3.16</w:t>
            </w:r>
          </w:p>
        </w:tc>
        <w:tc>
          <w:tcPr>
            <w:tcW w:w="1686" w:type="dxa"/>
            <w:tcBorders>
              <w:top w:val="single" w:sz="4" w:space="0" w:color="000000" w:themeColor="text1"/>
              <w:left w:val="single" w:sz="4" w:space="0" w:color="auto"/>
              <w:bottom w:val="single" w:sz="4" w:space="0" w:color="000000" w:themeColor="text1"/>
              <w:right w:val="single" w:sz="4" w:space="0" w:color="auto"/>
            </w:tcBorders>
            <w:hideMark/>
          </w:tcPr>
          <w:p w14:paraId="66BB365F"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1.66</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1D35F"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2.75</w:t>
            </w:r>
          </w:p>
        </w:tc>
      </w:tr>
      <w:tr w:rsidR="0090374E" w:rsidRPr="0090374E" w14:paraId="2EFBCED8" w14:textId="77777777" w:rsidTr="0090374E">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6D846"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P4</w:t>
            </w:r>
          </w:p>
        </w:tc>
        <w:tc>
          <w:tcPr>
            <w:tcW w:w="1964" w:type="dxa"/>
            <w:tcBorders>
              <w:top w:val="single" w:sz="4" w:space="0" w:color="000000" w:themeColor="text1"/>
              <w:left w:val="single" w:sz="4" w:space="0" w:color="auto"/>
              <w:bottom w:val="single" w:sz="4" w:space="0" w:color="000000" w:themeColor="text1"/>
              <w:right w:val="single" w:sz="4" w:space="0" w:color="auto"/>
            </w:tcBorders>
            <w:hideMark/>
          </w:tcPr>
          <w:p w14:paraId="7253C54D"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0.83</w:t>
            </w:r>
          </w:p>
        </w:tc>
        <w:tc>
          <w:tcPr>
            <w:tcW w:w="1895" w:type="dxa"/>
            <w:tcBorders>
              <w:top w:val="single" w:sz="4" w:space="0" w:color="000000" w:themeColor="text1"/>
              <w:left w:val="single" w:sz="4" w:space="0" w:color="auto"/>
              <w:bottom w:val="single" w:sz="4" w:space="0" w:color="000000" w:themeColor="text1"/>
              <w:right w:val="single" w:sz="4" w:space="0" w:color="auto"/>
            </w:tcBorders>
            <w:hideMark/>
          </w:tcPr>
          <w:p w14:paraId="12C50CF1"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1.5</w:t>
            </w:r>
          </w:p>
        </w:tc>
        <w:tc>
          <w:tcPr>
            <w:tcW w:w="1686" w:type="dxa"/>
            <w:tcBorders>
              <w:top w:val="single" w:sz="4" w:space="0" w:color="000000" w:themeColor="text1"/>
              <w:left w:val="single" w:sz="4" w:space="0" w:color="auto"/>
              <w:bottom w:val="single" w:sz="4" w:space="0" w:color="000000" w:themeColor="text1"/>
              <w:right w:val="single" w:sz="4" w:space="0" w:color="auto"/>
            </w:tcBorders>
            <w:hideMark/>
          </w:tcPr>
          <w:p w14:paraId="2C8E37AB"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0.67</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A64D9"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0.44</w:t>
            </w:r>
          </w:p>
        </w:tc>
      </w:tr>
      <w:tr w:rsidR="0090374E" w:rsidRPr="0090374E" w14:paraId="6D69751E" w14:textId="77777777" w:rsidTr="0090374E">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B1188" w14:textId="77777777" w:rsidR="0090374E" w:rsidRPr="0090374E" w:rsidRDefault="0090374E" w:rsidP="0090374E">
            <w:pPr>
              <w:pStyle w:val="BodyText3"/>
              <w:tabs>
                <w:tab w:val="left" w:pos="1080"/>
              </w:tabs>
              <w:ind w:left="1080" w:hanging="1080"/>
              <w:jc w:val="both"/>
              <w:rPr>
                <w:rFonts w:ascii="Arial" w:hAnsi="Arial" w:cs="Arial"/>
                <w:sz w:val="20"/>
                <w:szCs w:val="20"/>
              </w:rPr>
            </w:pPr>
          </w:p>
        </w:tc>
        <w:tc>
          <w:tcPr>
            <w:tcW w:w="1964" w:type="dxa"/>
            <w:tcBorders>
              <w:top w:val="single" w:sz="4" w:space="0" w:color="000000" w:themeColor="text1"/>
              <w:left w:val="single" w:sz="4" w:space="0" w:color="auto"/>
              <w:bottom w:val="single" w:sz="4" w:space="0" w:color="000000" w:themeColor="text1"/>
              <w:right w:val="single" w:sz="4" w:space="0" w:color="auto"/>
            </w:tcBorders>
            <w:hideMark/>
          </w:tcPr>
          <w:p w14:paraId="2E1C58D0"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w:t>
            </w:r>
            <w:r w:rsidRPr="0090374E">
              <w:rPr>
                <w:rFonts w:ascii="Arial" w:hAnsi="Arial" w:cs="Arial"/>
                <w:i/>
                <w:sz w:val="20"/>
                <w:szCs w:val="20"/>
              </w:rPr>
              <w:t>x</w:t>
            </w:r>
            <w:r w:rsidRPr="0090374E">
              <w:rPr>
                <w:rFonts w:ascii="Arial" w:hAnsi="Arial" w:cs="Arial"/>
                <w:sz w:val="20"/>
                <w:szCs w:val="20"/>
              </w:rPr>
              <w:t>1 = 4.16</w:t>
            </w:r>
          </w:p>
        </w:tc>
        <w:tc>
          <w:tcPr>
            <w:tcW w:w="1895" w:type="dxa"/>
            <w:tcBorders>
              <w:top w:val="single" w:sz="4" w:space="0" w:color="000000" w:themeColor="text1"/>
              <w:left w:val="single" w:sz="4" w:space="0" w:color="auto"/>
              <w:bottom w:val="single" w:sz="4" w:space="0" w:color="000000" w:themeColor="text1"/>
              <w:right w:val="single" w:sz="4" w:space="0" w:color="auto"/>
            </w:tcBorders>
            <w:hideMark/>
          </w:tcPr>
          <w:p w14:paraId="1087E534"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w:t>
            </w:r>
            <w:r w:rsidRPr="0090374E">
              <w:rPr>
                <w:rFonts w:ascii="Arial" w:hAnsi="Arial" w:cs="Arial"/>
                <w:i/>
                <w:sz w:val="20"/>
                <w:szCs w:val="20"/>
              </w:rPr>
              <w:t>x</w:t>
            </w:r>
            <w:r w:rsidRPr="0090374E">
              <w:rPr>
                <w:rFonts w:ascii="Arial" w:hAnsi="Arial" w:cs="Arial"/>
                <w:sz w:val="20"/>
                <w:szCs w:val="20"/>
              </w:rPr>
              <w:t>2 = 7.82</w:t>
            </w:r>
          </w:p>
        </w:tc>
        <w:tc>
          <w:tcPr>
            <w:tcW w:w="1686" w:type="dxa"/>
            <w:tcBorders>
              <w:top w:val="single" w:sz="4" w:space="0" w:color="000000" w:themeColor="text1"/>
              <w:left w:val="single" w:sz="4" w:space="0" w:color="auto"/>
              <w:bottom w:val="single" w:sz="4" w:space="0" w:color="000000" w:themeColor="text1"/>
              <w:right w:val="single" w:sz="4" w:space="0" w:color="auto"/>
            </w:tcBorders>
            <w:hideMark/>
          </w:tcPr>
          <w:p w14:paraId="4870B3DD"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∑d = 3.66</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0F310"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 d</w:t>
            </w:r>
            <w:r w:rsidRPr="0090374E">
              <w:rPr>
                <w:rFonts w:ascii="Arial" w:hAnsi="Arial" w:cs="Arial"/>
                <w:sz w:val="20"/>
                <w:szCs w:val="20"/>
                <w:vertAlign w:val="superscript"/>
              </w:rPr>
              <w:t>2</w:t>
            </w:r>
            <w:r w:rsidRPr="0090374E">
              <w:rPr>
                <w:rFonts w:ascii="Arial" w:hAnsi="Arial" w:cs="Arial"/>
                <w:sz w:val="20"/>
                <w:szCs w:val="20"/>
              </w:rPr>
              <w:t xml:space="preserve"> = 4.12</w:t>
            </w:r>
          </w:p>
        </w:tc>
      </w:tr>
      <w:tr w:rsidR="0090374E" w:rsidRPr="0090374E" w14:paraId="5EC536D8" w14:textId="77777777" w:rsidTr="0090374E">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EE49B" w14:textId="77777777" w:rsidR="0090374E" w:rsidRPr="0090374E" w:rsidRDefault="0090374E" w:rsidP="0090374E">
            <w:pPr>
              <w:pStyle w:val="BodyText3"/>
              <w:tabs>
                <w:tab w:val="left" w:pos="1080"/>
              </w:tabs>
              <w:ind w:left="1080" w:hanging="1080"/>
              <w:jc w:val="both"/>
              <w:rPr>
                <w:rFonts w:ascii="Arial" w:hAnsi="Arial" w:cs="Arial"/>
                <w:sz w:val="20"/>
                <w:szCs w:val="20"/>
              </w:rPr>
            </w:pPr>
          </w:p>
        </w:tc>
        <w:tc>
          <w:tcPr>
            <w:tcW w:w="1964" w:type="dxa"/>
            <w:tcBorders>
              <w:top w:val="single" w:sz="4" w:space="0" w:color="000000" w:themeColor="text1"/>
              <w:left w:val="single" w:sz="4" w:space="0" w:color="auto"/>
              <w:bottom w:val="single" w:sz="4" w:space="0" w:color="000000" w:themeColor="text1"/>
              <w:right w:val="single" w:sz="4" w:space="0" w:color="auto"/>
            </w:tcBorders>
            <w:hideMark/>
          </w:tcPr>
          <w:p w14:paraId="1354C695" w14:textId="77777777" w:rsidR="0090374E" w:rsidRPr="0090374E" w:rsidRDefault="00A26891" w:rsidP="0090374E">
            <w:pPr>
              <w:pStyle w:val="BodyText3"/>
              <w:tabs>
                <w:tab w:val="left" w:pos="1080"/>
              </w:tabs>
              <w:ind w:left="1080" w:hanging="1080"/>
              <w:jc w:val="both"/>
              <w:rPr>
                <w:rFonts w:ascii="Arial" w:hAnsi="Arial" w:cs="Arial"/>
                <w:sz w:val="20"/>
                <w:szCs w:val="20"/>
              </w:rPr>
            </w:pPr>
            <m:oMath>
              <m:acc>
                <m:accPr>
                  <m:chr m:val="̅"/>
                  <m:ctrlPr>
                    <w:rPr>
                      <w:rFonts w:ascii="Cambria Math" w:hAnsi="Cambria Math" w:cs="Arial"/>
                      <w:i/>
                      <w:sz w:val="20"/>
                      <w:szCs w:val="20"/>
                    </w:rPr>
                  </m:ctrlPr>
                </m:accPr>
                <m:e>
                  <m:r>
                    <w:rPr>
                      <w:rFonts w:ascii="Cambria Math" w:hAnsi="Cambria Math" w:cs="Arial"/>
                      <w:sz w:val="20"/>
                      <w:szCs w:val="20"/>
                    </w:rPr>
                    <m:t>x</m:t>
                  </m:r>
                  <m:r>
                    <w:rPr>
                      <w:rFonts w:ascii="Cambria Math" w:hAnsi="Cambria Math" w:cs="Arial"/>
                      <w:sz w:val="20"/>
                      <w:szCs w:val="20"/>
                    </w:rPr>
                    <m:t>1</m:t>
                  </m:r>
                </m:e>
              </m:acc>
            </m:oMath>
            <w:r w:rsidR="0090374E" w:rsidRPr="0090374E">
              <w:rPr>
                <w:rFonts w:ascii="Arial" w:hAnsi="Arial" w:cs="Arial"/>
                <w:sz w:val="20"/>
                <w:szCs w:val="20"/>
              </w:rPr>
              <w:t xml:space="preserve"> = 1.04</w:t>
            </w:r>
          </w:p>
        </w:tc>
        <w:tc>
          <w:tcPr>
            <w:tcW w:w="1895" w:type="dxa"/>
            <w:tcBorders>
              <w:top w:val="single" w:sz="4" w:space="0" w:color="000000" w:themeColor="text1"/>
              <w:left w:val="single" w:sz="4" w:space="0" w:color="auto"/>
              <w:bottom w:val="single" w:sz="4" w:space="0" w:color="000000" w:themeColor="text1"/>
              <w:right w:val="single" w:sz="4" w:space="0" w:color="auto"/>
            </w:tcBorders>
            <w:hideMark/>
          </w:tcPr>
          <w:p w14:paraId="3653056B" w14:textId="77777777" w:rsidR="0090374E" w:rsidRPr="0090374E" w:rsidRDefault="00A26891" w:rsidP="0090374E">
            <w:pPr>
              <w:pStyle w:val="BodyText3"/>
              <w:tabs>
                <w:tab w:val="left" w:pos="1080"/>
              </w:tabs>
              <w:ind w:left="1080" w:hanging="1080"/>
              <w:jc w:val="both"/>
              <w:rPr>
                <w:rFonts w:ascii="Arial" w:hAnsi="Arial" w:cs="Arial"/>
                <w:sz w:val="20"/>
                <w:szCs w:val="20"/>
              </w:rPr>
            </w:pPr>
            <m:oMath>
              <m:acc>
                <m:accPr>
                  <m:chr m:val="̅"/>
                  <m:ctrlPr>
                    <w:rPr>
                      <w:rFonts w:ascii="Cambria Math" w:hAnsi="Cambria Math" w:cs="Arial"/>
                      <w:i/>
                      <w:sz w:val="20"/>
                      <w:szCs w:val="20"/>
                    </w:rPr>
                  </m:ctrlPr>
                </m:accPr>
                <m:e>
                  <m:r>
                    <w:rPr>
                      <w:rFonts w:ascii="Cambria Math" w:hAnsi="Cambria Math" w:cs="Arial"/>
                      <w:sz w:val="20"/>
                      <w:szCs w:val="20"/>
                    </w:rPr>
                    <m:t>x</m:t>
                  </m:r>
                  <m:r>
                    <w:rPr>
                      <w:rFonts w:ascii="Cambria Math" w:hAnsi="Cambria Math" w:cs="Arial"/>
                      <w:sz w:val="20"/>
                      <w:szCs w:val="20"/>
                    </w:rPr>
                    <m:t>2</m:t>
                  </m:r>
                </m:e>
              </m:acc>
            </m:oMath>
            <w:r w:rsidR="0090374E" w:rsidRPr="0090374E">
              <w:rPr>
                <w:rFonts w:ascii="Arial" w:hAnsi="Arial" w:cs="Arial"/>
                <w:sz w:val="20"/>
                <w:szCs w:val="20"/>
              </w:rPr>
              <w:t xml:space="preserve"> = 1.95</w:t>
            </w:r>
          </w:p>
        </w:tc>
        <w:tc>
          <w:tcPr>
            <w:tcW w:w="1686" w:type="dxa"/>
            <w:tcBorders>
              <w:top w:val="single" w:sz="4" w:space="0" w:color="000000" w:themeColor="text1"/>
              <w:left w:val="single" w:sz="4" w:space="0" w:color="auto"/>
              <w:bottom w:val="single" w:sz="4" w:space="0" w:color="000000" w:themeColor="text1"/>
              <w:right w:val="single" w:sz="4" w:space="0" w:color="auto"/>
            </w:tcBorders>
          </w:tcPr>
          <w:p w14:paraId="2A03A8B3" w14:textId="77777777" w:rsidR="0090374E" w:rsidRPr="0090374E" w:rsidRDefault="0090374E" w:rsidP="0090374E">
            <w:pPr>
              <w:pStyle w:val="BodyText3"/>
              <w:tabs>
                <w:tab w:val="left" w:pos="1080"/>
              </w:tabs>
              <w:ind w:left="1080" w:hanging="1080"/>
              <w:jc w:val="both"/>
              <w:rPr>
                <w:rFonts w:ascii="Arial" w:hAnsi="Arial" w:cs="Arial"/>
                <w:sz w:val="20"/>
                <w:szCs w:val="20"/>
              </w:rPr>
            </w:pP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B91CC" w14:textId="77777777" w:rsidR="0090374E" w:rsidRPr="0090374E" w:rsidRDefault="0090374E" w:rsidP="0090374E">
            <w:pPr>
              <w:pStyle w:val="BodyText3"/>
              <w:tabs>
                <w:tab w:val="left" w:pos="1080"/>
              </w:tabs>
              <w:ind w:left="1080" w:hanging="1080"/>
              <w:jc w:val="both"/>
              <w:rPr>
                <w:rFonts w:ascii="Arial" w:hAnsi="Arial" w:cs="Arial"/>
                <w:sz w:val="20"/>
                <w:szCs w:val="20"/>
              </w:rPr>
            </w:pPr>
          </w:p>
        </w:tc>
      </w:tr>
    </w:tbl>
    <w:p w14:paraId="4ED5E059" w14:textId="77777777" w:rsidR="0090374E" w:rsidRPr="0090374E" w:rsidRDefault="0090374E" w:rsidP="0090374E">
      <w:pPr>
        <w:pStyle w:val="BodyText3"/>
        <w:tabs>
          <w:tab w:val="left" w:pos="1080"/>
        </w:tabs>
        <w:spacing w:after="0"/>
        <w:ind w:left="1080" w:hanging="1080"/>
        <w:rPr>
          <w:rFonts w:ascii="Arial" w:hAnsi="Arial" w:cs="Arial"/>
          <w:b/>
          <w:sz w:val="20"/>
          <w:szCs w:val="20"/>
        </w:rPr>
      </w:pPr>
      <w:r w:rsidRPr="0090374E">
        <w:rPr>
          <w:rFonts w:ascii="Arial" w:hAnsi="Arial" w:cs="Arial"/>
          <w:b/>
          <w:sz w:val="20"/>
          <w:szCs w:val="20"/>
        </w:rPr>
        <w:t xml:space="preserve">                                         Table 4: Mean of repetition of word</w:t>
      </w:r>
    </w:p>
    <w:p w14:paraId="7E0C950A"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5B957AD1" w14:textId="5D873B2D" w:rsidR="00A75FCA" w:rsidRDefault="00A75FCA" w:rsidP="00441B6F">
      <w:pPr>
        <w:pStyle w:val="Body"/>
        <w:spacing w:after="0"/>
        <w:rPr>
          <w:rFonts w:ascii="Arial" w:hAnsi="Arial" w:cs="Arial"/>
        </w:rPr>
      </w:pPr>
    </w:p>
    <w:p w14:paraId="43BE9140" w14:textId="6CBD6807" w:rsidR="00376BBE" w:rsidRDefault="0090374E" w:rsidP="00441B6F">
      <w:pPr>
        <w:pStyle w:val="Body"/>
        <w:spacing w:after="0"/>
        <w:rPr>
          <w:rFonts w:ascii="Arial" w:hAnsi="Arial" w:cs="Arial"/>
        </w:rPr>
      </w:pPr>
      <w:r w:rsidRPr="0090374E">
        <w:rPr>
          <w:rFonts w:ascii="Arial" w:hAnsi="Arial" w:cs="Arial"/>
        </w:rPr>
        <w:t>Statistical analysis of the data represented the ‘t’ value (calculation is presented in annexure.2) in the area of repetition of word which was significant (</w:t>
      </w:r>
      <w:proofErr w:type="gramStart"/>
      <w:r w:rsidRPr="0090374E">
        <w:rPr>
          <w:rFonts w:ascii="Arial" w:hAnsi="Arial" w:cs="Arial"/>
        </w:rPr>
        <w:t>t  =</w:t>
      </w:r>
      <w:proofErr w:type="gramEnd"/>
      <w:r w:rsidRPr="0090374E">
        <w:rPr>
          <w:rFonts w:ascii="Arial" w:hAnsi="Arial" w:cs="Arial"/>
        </w:rPr>
        <w:t xml:space="preserve"> 3.62, df = 3, p = &lt;.01, one tailed hypothesis). This means that the probability of the random error is less than 1 people among 100 people. The usual cut-off point for claiming support for significant level of the experimental hypothesis is 5% (Hicks, 1999) therefore it can be said that the findings of the study is significant. The bar chart (figure 2) is representing the improvement rate of each of 4 participants before and after applying MIT in the area of repetition of word.</w:t>
      </w:r>
    </w:p>
    <w:p w14:paraId="1EA50673" w14:textId="6D510D6C" w:rsidR="00A75FCA" w:rsidRDefault="00A75FCA" w:rsidP="00441B6F">
      <w:pPr>
        <w:pStyle w:val="Body"/>
        <w:spacing w:after="0"/>
        <w:rPr>
          <w:rFonts w:ascii="Arial" w:hAnsi="Arial" w:cs="Arial"/>
        </w:rPr>
      </w:pPr>
      <w:r w:rsidRPr="004C0AED">
        <w:rPr>
          <w:rFonts w:ascii="Arial" w:hAnsi="Arial" w:cs="Arial"/>
          <w:b/>
          <w:bCs/>
          <w:noProof/>
          <w:sz w:val="22"/>
          <w:szCs w:val="22"/>
        </w:rPr>
        <w:lastRenderedPageBreak/>
        <w:drawing>
          <wp:inline distT="0" distB="0" distL="0" distR="0" wp14:anchorId="597CD8ED" wp14:editId="259ADD22">
            <wp:extent cx="4581525" cy="281940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D71E65" w14:textId="77777777" w:rsidR="004C0AED" w:rsidRPr="004C0AED" w:rsidRDefault="004C0AED" w:rsidP="004C0AED">
      <w:pPr>
        <w:autoSpaceDE w:val="0"/>
        <w:autoSpaceDN w:val="0"/>
        <w:adjustRightInd w:val="0"/>
        <w:jc w:val="both"/>
        <w:rPr>
          <w:rFonts w:ascii="Arial" w:hAnsi="Arial" w:cs="Arial"/>
          <w:b/>
          <w:bCs/>
          <w:noProof/>
          <w:sz w:val="22"/>
          <w:szCs w:val="22"/>
        </w:rPr>
      </w:pPr>
      <w:r w:rsidRPr="004C0AED">
        <w:rPr>
          <w:rFonts w:ascii="Arial" w:hAnsi="Arial" w:cs="Arial"/>
          <w:b/>
          <w:bCs/>
          <w:noProof/>
          <w:sz w:val="22"/>
          <w:szCs w:val="22"/>
        </w:rPr>
        <w:t xml:space="preserve">                  </w:t>
      </w:r>
    </w:p>
    <w:p w14:paraId="57B5A982" w14:textId="77777777" w:rsidR="004C0AED" w:rsidRPr="004C0AED" w:rsidRDefault="004C0AED" w:rsidP="004C0AED">
      <w:pPr>
        <w:autoSpaceDE w:val="0"/>
        <w:autoSpaceDN w:val="0"/>
        <w:adjustRightInd w:val="0"/>
        <w:jc w:val="both"/>
        <w:rPr>
          <w:rFonts w:ascii="Arial" w:hAnsi="Arial" w:cs="Arial"/>
          <w:b/>
          <w:bCs/>
          <w:noProof/>
          <w:sz w:val="22"/>
          <w:szCs w:val="22"/>
        </w:rPr>
      </w:pPr>
      <w:r w:rsidRPr="004C0AED">
        <w:rPr>
          <w:rFonts w:ascii="Arial" w:hAnsi="Arial" w:cs="Arial"/>
          <w:b/>
          <w:bCs/>
          <w:noProof/>
          <w:sz w:val="22"/>
          <w:szCs w:val="22"/>
        </w:rPr>
        <w:t xml:space="preserve">                               Figure 2: Participants performance in repetition of word</w:t>
      </w:r>
    </w:p>
    <w:p w14:paraId="6F34CF7E" w14:textId="77777777" w:rsidR="00927834" w:rsidRDefault="00927834" w:rsidP="00441B6F">
      <w:pPr>
        <w:autoSpaceDE w:val="0"/>
        <w:autoSpaceDN w:val="0"/>
        <w:adjustRightInd w:val="0"/>
        <w:jc w:val="both"/>
        <w:rPr>
          <w:rFonts w:ascii="Arial" w:hAnsi="Arial" w:cs="Arial"/>
          <w:b/>
          <w:bCs/>
          <w:sz w:val="22"/>
          <w:szCs w:val="22"/>
        </w:rPr>
      </w:pPr>
    </w:p>
    <w:p w14:paraId="58091653" w14:textId="77777777" w:rsidR="004C0AED" w:rsidRPr="004C0AED" w:rsidRDefault="004C0AED" w:rsidP="004C0AED">
      <w:pPr>
        <w:autoSpaceDE w:val="0"/>
        <w:autoSpaceDN w:val="0"/>
        <w:adjustRightInd w:val="0"/>
        <w:jc w:val="both"/>
        <w:rPr>
          <w:rFonts w:ascii="Arial" w:hAnsi="Arial" w:cs="Arial"/>
          <w:bCs/>
          <w:szCs w:val="22"/>
        </w:rPr>
      </w:pPr>
      <w:r w:rsidRPr="004C0AED">
        <w:rPr>
          <w:rFonts w:ascii="Arial" w:hAnsi="Arial" w:cs="Arial"/>
          <w:bCs/>
          <w:szCs w:val="22"/>
        </w:rPr>
        <w:t>Form the Bar chart, it is observed that among 4 participants all of them gained significant improvement in the area of repetition of word.</w:t>
      </w:r>
    </w:p>
    <w:p w14:paraId="6FAA4A3D" w14:textId="77777777" w:rsidR="00927834" w:rsidRPr="004C0AED" w:rsidRDefault="00927834" w:rsidP="00441B6F">
      <w:pPr>
        <w:autoSpaceDE w:val="0"/>
        <w:autoSpaceDN w:val="0"/>
        <w:adjustRightInd w:val="0"/>
        <w:jc w:val="both"/>
        <w:rPr>
          <w:rFonts w:ascii="Arial" w:hAnsi="Arial" w:cs="Arial"/>
          <w:bCs/>
          <w:szCs w:val="22"/>
        </w:rPr>
      </w:pPr>
    </w:p>
    <w:p w14:paraId="72EEE910" w14:textId="77777777" w:rsidR="004C0AED" w:rsidRDefault="004C0AED" w:rsidP="004C0AED">
      <w:pPr>
        <w:pStyle w:val="Body"/>
        <w:spacing w:after="0"/>
        <w:rPr>
          <w:rFonts w:ascii="Arial" w:hAnsi="Arial" w:cs="Arial"/>
          <w:b/>
          <w:bCs/>
          <w:szCs w:val="22"/>
        </w:rPr>
      </w:pPr>
      <w:r w:rsidRPr="004C0AED">
        <w:rPr>
          <w:rFonts w:ascii="Arial" w:hAnsi="Arial" w:cs="Arial"/>
          <w:b/>
          <w:bCs/>
          <w:szCs w:val="22"/>
        </w:rPr>
        <w:t>3.3.2 Repetition of Phrase</w:t>
      </w:r>
    </w:p>
    <w:p w14:paraId="52700206" w14:textId="77777777" w:rsidR="004C0AED" w:rsidRPr="004C0AED" w:rsidRDefault="004C0AED" w:rsidP="004C0AED">
      <w:pPr>
        <w:pStyle w:val="Body"/>
        <w:spacing w:after="0"/>
        <w:rPr>
          <w:rFonts w:ascii="Arial" w:hAnsi="Arial" w:cs="Arial"/>
          <w:bCs/>
          <w:szCs w:val="22"/>
        </w:rPr>
      </w:pPr>
    </w:p>
    <w:p w14:paraId="2E0A79B8" w14:textId="77777777" w:rsidR="004C0AED" w:rsidRPr="004C0AED" w:rsidRDefault="004C0AED" w:rsidP="004C0AED">
      <w:pPr>
        <w:pStyle w:val="Body"/>
        <w:spacing w:after="0"/>
        <w:rPr>
          <w:rFonts w:ascii="Arial" w:hAnsi="Arial" w:cs="Arial"/>
          <w:b/>
          <w:bCs/>
          <w:szCs w:val="22"/>
        </w:rPr>
      </w:pPr>
      <w:r w:rsidRPr="004C0AED">
        <w:rPr>
          <w:rFonts w:ascii="Arial" w:hAnsi="Arial" w:cs="Arial"/>
          <w:bCs/>
          <w:szCs w:val="22"/>
        </w:rPr>
        <w:t>The overall findings in the area of repetition of phrase represent that, the mean score of participants before applying MIT was .45 and after applying MIT was 1.45 (data is presented in table 5). Therefore the mean score of participants in the area of repetition of phrase improved after applying MIT. The study showed that the average/mean scores were better after receiving MIT than before receiving MIT.</w:t>
      </w:r>
    </w:p>
    <w:tbl>
      <w:tblPr>
        <w:tblStyle w:val="TableGrid"/>
        <w:tblW w:w="9244" w:type="dxa"/>
        <w:tblLook w:val="04A0" w:firstRow="1" w:lastRow="0" w:firstColumn="1" w:lastColumn="0" w:noHBand="0" w:noVBand="1"/>
      </w:tblPr>
      <w:tblGrid>
        <w:gridCol w:w="1548"/>
        <w:gridCol w:w="2160"/>
        <w:gridCol w:w="2250"/>
        <w:gridCol w:w="1710"/>
        <w:gridCol w:w="1576"/>
      </w:tblGrid>
      <w:tr w:rsidR="004C0AED" w:rsidRPr="004C0AED" w14:paraId="41778C02" w14:textId="77777777" w:rsidTr="004C0AED">
        <w:trPr>
          <w:trHeight w:val="245"/>
        </w:trPr>
        <w:tc>
          <w:tcPr>
            <w:tcW w:w="15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C6401" w14:textId="77777777" w:rsidR="004C0AED" w:rsidRPr="004C0AED" w:rsidRDefault="004C0AED" w:rsidP="004C0AED">
            <w:pPr>
              <w:pStyle w:val="Body"/>
              <w:rPr>
                <w:rFonts w:ascii="Arial" w:hAnsi="Arial" w:cs="Arial"/>
                <w:b/>
                <w:bCs/>
                <w:sz w:val="20"/>
              </w:rPr>
            </w:pPr>
            <w:r w:rsidRPr="004C0AED">
              <w:rPr>
                <w:rFonts w:ascii="Arial" w:hAnsi="Arial" w:cs="Arial"/>
                <w:b/>
                <w:bCs/>
                <w:sz w:val="20"/>
              </w:rPr>
              <w:t>Participants</w:t>
            </w:r>
          </w:p>
        </w:tc>
        <w:tc>
          <w:tcPr>
            <w:tcW w:w="216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1C5643D" w14:textId="77777777" w:rsidR="004C0AED" w:rsidRPr="004C0AED" w:rsidRDefault="004C0AED" w:rsidP="004C0AED">
            <w:pPr>
              <w:pStyle w:val="Body"/>
              <w:rPr>
                <w:rFonts w:ascii="Arial" w:hAnsi="Arial" w:cs="Arial"/>
                <w:b/>
                <w:bCs/>
                <w:sz w:val="20"/>
              </w:rPr>
            </w:pPr>
            <w:r w:rsidRPr="004C0AED">
              <w:rPr>
                <w:rFonts w:ascii="Arial" w:hAnsi="Arial" w:cs="Arial"/>
                <w:b/>
                <w:bCs/>
                <w:sz w:val="20"/>
              </w:rPr>
              <w:t>Repetition of Phrase Pre-test x1</w:t>
            </w:r>
          </w:p>
        </w:tc>
        <w:tc>
          <w:tcPr>
            <w:tcW w:w="22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CA344E3" w14:textId="77777777" w:rsidR="004C0AED" w:rsidRPr="004C0AED" w:rsidRDefault="004C0AED" w:rsidP="004C0AED">
            <w:pPr>
              <w:pStyle w:val="Body"/>
              <w:rPr>
                <w:rFonts w:ascii="Arial" w:hAnsi="Arial" w:cs="Arial"/>
                <w:b/>
                <w:bCs/>
                <w:sz w:val="20"/>
              </w:rPr>
            </w:pPr>
            <w:r w:rsidRPr="004C0AED">
              <w:rPr>
                <w:rFonts w:ascii="Arial" w:hAnsi="Arial" w:cs="Arial"/>
                <w:b/>
                <w:bCs/>
                <w:sz w:val="20"/>
              </w:rPr>
              <w:t>Repetition of Phrase Post-test x2</w:t>
            </w:r>
          </w:p>
        </w:tc>
        <w:tc>
          <w:tcPr>
            <w:tcW w:w="3286" w:type="dxa"/>
            <w:gridSpan w:val="2"/>
            <w:tcBorders>
              <w:top w:val="single" w:sz="4" w:space="0" w:color="000000" w:themeColor="text1"/>
              <w:left w:val="single" w:sz="4" w:space="0" w:color="auto"/>
              <w:bottom w:val="single" w:sz="4" w:space="0" w:color="auto"/>
              <w:right w:val="single" w:sz="4" w:space="0" w:color="000000" w:themeColor="text1"/>
            </w:tcBorders>
            <w:hideMark/>
          </w:tcPr>
          <w:p w14:paraId="0E96924F" w14:textId="77777777" w:rsidR="004C0AED" w:rsidRPr="004C0AED" w:rsidRDefault="004C0AED" w:rsidP="004C0AED">
            <w:pPr>
              <w:pStyle w:val="Body"/>
              <w:rPr>
                <w:rFonts w:ascii="Arial" w:hAnsi="Arial" w:cs="Arial"/>
                <w:b/>
                <w:bCs/>
                <w:sz w:val="20"/>
              </w:rPr>
            </w:pPr>
            <w:r w:rsidRPr="004C0AED">
              <w:rPr>
                <w:rFonts w:ascii="Arial" w:hAnsi="Arial" w:cs="Arial"/>
                <w:b/>
                <w:bCs/>
                <w:sz w:val="20"/>
              </w:rPr>
              <w:t xml:space="preserve">Difference between </w:t>
            </w:r>
            <w:proofErr w:type="spellStart"/>
            <w:r w:rsidRPr="004C0AED">
              <w:rPr>
                <w:rFonts w:ascii="Arial" w:hAnsi="Arial" w:cs="Arial"/>
                <w:b/>
                <w:bCs/>
                <w:sz w:val="20"/>
              </w:rPr>
              <w:t>pre test</w:t>
            </w:r>
            <w:proofErr w:type="spellEnd"/>
            <w:r w:rsidRPr="004C0AED">
              <w:rPr>
                <w:rFonts w:ascii="Arial" w:hAnsi="Arial" w:cs="Arial"/>
                <w:b/>
                <w:bCs/>
                <w:sz w:val="20"/>
              </w:rPr>
              <w:t xml:space="preserve"> and post test</w:t>
            </w:r>
          </w:p>
        </w:tc>
      </w:tr>
      <w:tr w:rsidR="004C0AED" w:rsidRPr="004C0AED" w14:paraId="16B6A9B3" w14:textId="77777777" w:rsidTr="004C0AED">
        <w:trPr>
          <w:trHeight w:val="15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43021E" w14:textId="77777777" w:rsidR="004C0AED" w:rsidRPr="004C0AED" w:rsidRDefault="004C0AED" w:rsidP="004C0AED">
            <w:pPr>
              <w:pStyle w:val="Body"/>
              <w:rPr>
                <w:rFonts w:ascii="Arial" w:hAnsi="Arial" w:cs="Arial"/>
                <w:b/>
                <w:bCs/>
                <w:sz w:val="20"/>
              </w:rPr>
            </w:pPr>
          </w:p>
        </w:tc>
        <w:tc>
          <w:tcPr>
            <w:tcW w:w="0" w:type="auto"/>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FB5071F" w14:textId="77777777" w:rsidR="004C0AED" w:rsidRPr="004C0AED" w:rsidRDefault="004C0AED" w:rsidP="004C0AED">
            <w:pPr>
              <w:pStyle w:val="Body"/>
              <w:rPr>
                <w:rFonts w:ascii="Arial" w:hAnsi="Arial" w:cs="Arial"/>
                <w:b/>
                <w:bCs/>
                <w:sz w:val="20"/>
              </w:rPr>
            </w:pPr>
          </w:p>
        </w:tc>
        <w:tc>
          <w:tcPr>
            <w:tcW w:w="0" w:type="auto"/>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EDF2260" w14:textId="77777777" w:rsidR="004C0AED" w:rsidRPr="004C0AED" w:rsidRDefault="004C0AED" w:rsidP="004C0AED">
            <w:pPr>
              <w:pStyle w:val="Body"/>
              <w:rPr>
                <w:rFonts w:ascii="Arial" w:hAnsi="Arial" w:cs="Arial"/>
                <w:b/>
                <w:bCs/>
                <w:sz w:val="20"/>
              </w:rPr>
            </w:pPr>
          </w:p>
        </w:tc>
        <w:tc>
          <w:tcPr>
            <w:tcW w:w="1710" w:type="dxa"/>
            <w:tcBorders>
              <w:top w:val="single" w:sz="4" w:space="0" w:color="auto"/>
              <w:left w:val="single" w:sz="4" w:space="0" w:color="auto"/>
              <w:bottom w:val="single" w:sz="4" w:space="0" w:color="000000" w:themeColor="text1"/>
              <w:right w:val="single" w:sz="4" w:space="0" w:color="auto"/>
            </w:tcBorders>
            <w:hideMark/>
          </w:tcPr>
          <w:p w14:paraId="3136AF4B" w14:textId="77777777" w:rsidR="004C0AED" w:rsidRPr="004C0AED" w:rsidRDefault="004C0AED" w:rsidP="004C0AED">
            <w:pPr>
              <w:pStyle w:val="Body"/>
              <w:rPr>
                <w:rFonts w:ascii="Arial" w:hAnsi="Arial" w:cs="Arial"/>
                <w:bCs/>
                <w:sz w:val="20"/>
              </w:rPr>
            </w:pPr>
            <w:r w:rsidRPr="004C0AED">
              <w:rPr>
                <w:rFonts w:ascii="Arial" w:hAnsi="Arial" w:cs="Arial"/>
                <w:bCs/>
                <w:sz w:val="20"/>
              </w:rPr>
              <w:t>d= x2-x1</w:t>
            </w:r>
          </w:p>
        </w:tc>
        <w:tc>
          <w:tcPr>
            <w:tcW w:w="1575" w:type="dxa"/>
            <w:tcBorders>
              <w:top w:val="single" w:sz="4" w:space="0" w:color="auto"/>
              <w:left w:val="single" w:sz="4" w:space="0" w:color="auto"/>
              <w:bottom w:val="single" w:sz="4" w:space="0" w:color="000000" w:themeColor="text1"/>
              <w:right w:val="single" w:sz="4" w:space="0" w:color="000000" w:themeColor="text1"/>
            </w:tcBorders>
            <w:hideMark/>
          </w:tcPr>
          <w:p w14:paraId="19EF91BC" w14:textId="77777777" w:rsidR="004C0AED" w:rsidRPr="004C0AED" w:rsidRDefault="004C0AED" w:rsidP="004C0AED">
            <w:pPr>
              <w:pStyle w:val="Body"/>
              <w:rPr>
                <w:rFonts w:ascii="Arial" w:hAnsi="Arial" w:cs="Arial"/>
                <w:bCs/>
                <w:sz w:val="20"/>
              </w:rPr>
            </w:pPr>
            <w:r w:rsidRPr="004C0AED">
              <w:rPr>
                <w:rFonts w:ascii="Arial" w:hAnsi="Arial" w:cs="Arial"/>
                <w:bCs/>
                <w:sz w:val="20"/>
              </w:rPr>
              <w:t>d</w:t>
            </w:r>
            <w:r w:rsidRPr="004C0AED">
              <w:rPr>
                <w:rFonts w:ascii="Arial" w:hAnsi="Arial" w:cs="Arial"/>
                <w:bCs/>
                <w:sz w:val="20"/>
                <w:vertAlign w:val="superscript"/>
              </w:rPr>
              <w:t>2</w:t>
            </w:r>
          </w:p>
        </w:tc>
      </w:tr>
      <w:tr w:rsidR="004C0AED" w:rsidRPr="004C0AED" w14:paraId="397BB368" w14:textId="77777777" w:rsidTr="004C0AED">
        <w:trPr>
          <w:trHeight w:val="423"/>
        </w:trPr>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8E7AE" w14:textId="77777777" w:rsidR="004C0AED" w:rsidRPr="004C0AED" w:rsidRDefault="004C0AED" w:rsidP="004C0AED">
            <w:pPr>
              <w:pStyle w:val="Body"/>
              <w:rPr>
                <w:rFonts w:ascii="Arial" w:hAnsi="Arial" w:cs="Arial"/>
                <w:bCs/>
                <w:sz w:val="20"/>
              </w:rPr>
            </w:pPr>
            <w:r w:rsidRPr="004C0AED">
              <w:rPr>
                <w:rFonts w:ascii="Arial" w:hAnsi="Arial" w:cs="Arial"/>
                <w:bCs/>
                <w:sz w:val="20"/>
              </w:rPr>
              <w:t>P1</w:t>
            </w: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1CFCEC22" w14:textId="77777777" w:rsidR="004C0AED" w:rsidRPr="004C0AED" w:rsidRDefault="004C0AED" w:rsidP="004C0AED">
            <w:pPr>
              <w:pStyle w:val="Body"/>
              <w:rPr>
                <w:rFonts w:ascii="Arial" w:hAnsi="Arial" w:cs="Arial"/>
                <w:bCs/>
                <w:sz w:val="20"/>
              </w:rPr>
            </w:pPr>
            <w:r w:rsidRPr="004C0AED">
              <w:rPr>
                <w:rFonts w:ascii="Arial" w:hAnsi="Arial" w:cs="Arial"/>
                <w:bCs/>
                <w:sz w:val="20"/>
              </w:rPr>
              <w:t>0.66</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2DFB99D0" w14:textId="77777777" w:rsidR="004C0AED" w:rsidRPr="004C0AED" w:rsidRDefault="004C0AED" w:rsidP="004C0AED">
            <w:pPr>
              <w:pStyle w:val="Body"/>
              <w:rPr>
                <w:rFonts w:ascii="Arial" w:hAnsi="Arial" w:cs="Arial"/>
                <w:bCs/>
                <w:sz w:val="20"/>
              </w:rPr>
            </w:pPr>
            <w:r w:rsidRPr="004C0AED">
              <w:rPr>
                <w:rFonts w:ascii="Arial" w:hAnsi="Arial" w:cs="Arial"/>
                <w:bCs/>
                <w:sz w:val="20"/>
              </w:rPr>
              <w:t>1.16</w:t>
            </w:r>
          </w:p>
        </w:tc>
        <w:tc>
          <w:tcPr>
            <w:tcW w:w="1710" w:type="dxa"/>
            <w:tcBorders>
              <w:top w:val="single" w:sz="4" w:space="0" w:color="000000" w:themeColor="text1"/>
              <w:left w:val="single" w:sz="4" w:space="0" w:color="auto"/>
              <w:bottom w:val="single" w:sz="4" w:space="0" w:color="000000" w:themeColor="text1"/>
              <w:right w:val="single" w:sz="4" w:space="0" w:color="auto"/>
            </w:tcBorders>
            <w:hideMark/>
          </w:tcPr>
          <w:p w14:paraId="284882A7" w14:textId="77777777" w:rsidR="004C0AED" w:rsidRPr="004C0AED" w:rsidRDefault="004C0AED" w:rsidP="004C0AED">
            <w:pPr>
              <w:pStyle w:val="Body"/>
              <w:rPr>
                <w:rFonts w:ascii="Arial" w:hAnsi="Arial" w:cs="Arial"/>
                <w:bCs/>
                <w:sz w:val="20"/>
              </w:rPr>
            </w:pPr>
            <w:r w:rsidRPr="004C0AED">
              <w:rPr>
                <w:rFonts w:ascii="Arial" w:hAnsi="Arial" w:cs="Arial"/>
                <w:bCs/>
                <w:sz w:val="20"/>
              </w:rPr>
              <w:t>0.5</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8FC17" w14:textId="77777777" w:rsidR="004C0AED" w:rsidRPr="004C0AED" w:rsidRDefault="004C0AED" w:rsidP="004C0AED">
            <w:pPr>
              <w:pStyle w:val="Body"/>
              <w:rPr>
                <w:rFonts w:ascii="Arial" w:hAnsi="Arial" w:cs="Arial"/>
                <w:bCs/>
                <w:sz w:val="20"/>
              </w:rPr>
            </w:pPr>
            <w:r w:rsidRPr="004C0AED">
              <w:rPr>
                <w:rFonts w:ascii="Arial" w:hAnsi="Arial" w:cs="Arial"/>
                <w:bCs/>
                <w:sz w:val="20"/>
              </w:rPr>
              <w:t>0.25</w:t>
            </w:r>
          </w:p>
        </w:tc>
      </w:tr>
      <w:tr w:rsidR="004C0AED" w:rsidRPr="004C0AED" w14:paraId="77E4D09D" w14:textId="77777777" w:rsidTr="004C0AED">
        <w:trPr>
          <w:trHeight w:val="402"/>
        </w:trPr>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E6756" w14:textId="77777777" w:rsidR="004C0AED" w:rsidRPr="004C0AED" w:rsidRDefault="004C0AED" w:rsidP="004C0AED">
            <w:pPr>
              <w:pStyle w:val="Body"/>
              <w:rPr>
                <w:rFonts w:ascii="Arial" w:hAnsi="Arial" w:cs="Arial"/>
                <w:bCs/>
                <w:sz w:val="20"/>
              </w:rPr>
            </w:pPr>
            <w:r w:rsidRPr="004C0AED">
              <w:rPr>
                <w:rFonts w:ascii="Arial" w:hAnsi="Arial" w:cs="Arial"/>
                <w:bCs/>
                <w:sz w:val="20"/>
              </w:rPr>
              <w:t>P2</w:t>
            </w: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2CEF2948" w14:textId="77777777" w:rsidR="004C0AED" w:rsidRPr="004C0AED" w:rsidRDefault="004C0AED" w:rsidP="004C0AED">
            <w:pPr>
              <w:pStyle w:val="Body"/>
              <w:rPr>
                <w:rFonts w:ascii="Arial" w:hAnsi="Arial" w:cs="Arial"/>
                <w:bCs/>
                <w:sz w:val="20"/>
              </w:rPr>
            </w:pPr>
            <w:r w:rsidRPr="004C0AED">
              <w:rPr>
                <w:rFonts w:ascii="Arial" w:hAnsi="Arial" w:cs="Arial"/>
                <w:bCs/>
                <w:sz w:val="20"/>
              </w:rPr>
              <w:t>0</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6E0F7D3B" w14:textId="77777777" w:rsidR="004C0AED" w:rsidRPr="004C0AED" w:rsidRDefault="004C0AED" w:rsidP="004C0AED">
            <w:pPr>
              <w:pStyle w:val="Body"/>
              <w:rPr>
                <w:rFonts w:ascii="Arial" w:hAnsi="Arial" w:cs="Arial"/>
                <w:bCs/>
                <w:sz w:val="20"/>
              </w:rPr>
            </w:pPr>
            <w:r w:rsidRPr="004C0AED">
              <w:rPr>
                <w:rFonts w:ascii="Arial" w:hAnsi="Arial" w:cs="Arial"/>
                <w:bCs/>
                <w:sz w:val="20"/>
              </w:rPr>
              <w:t>0.66</w:t>
            </w:r>
          </w:p>
        </w:tc>
        <w:tc>
          <w:tcPr>
            <w:tcW w:w="1710" w:type="dxa"/>
            <w:tcBorders>
              <w:top w:val="single" w:sz="4" w:space="0" w:color="000000" w:themeColor="text1"/>
              <w:left w:val="single" w:sz="4" w:space="0" w:color="auto"/>
              <w:bottom w:val="single" w:sz="4" w:space="0" w:color="000000" w:themeColor="text1"/>
              <w:right w:val="single" w:sz="4" w:space="0" w:color="auto"/>
            </w:tcBorders>
            <w:hideMark/>
          </w:tcPr>
          <w:p w14:paraId="6344249C" w14:textId="77777777" w:rsidR="004C0AED" w:rsidRPr="004C0AED" w:rsidRDefault="004C0AED" w:rsidP="004C0AED">
            <w:pPr>
              <w:pStyle w:val="Body"/>
              <w:rPr>
                <w:rFonts w:ascii="Arial" w:hAnsi="Arial" w:cs="Arial"/>
                <w:bCs/>
                <w:sz w:val="20"/>
              </w:rPr>
            </w:pPr>
            <w:r w:rsidRPr="004C0AED">
              <w:rPr>
                <w:rFonts w:ascii="Arial" w:hAnsi="Arial" w:cs="Arial"/>
                <w:bCs/>
                <w:sz w:val="20"/>
              </w:rPr>
              <w:t>0.66</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D6F54" w14:textId="77777777" w:rsidR="004C0AED" w:rsidRPr="004C0AED" w:rsidRDefault="004C0AED" w:rsidP="004C0AED">
            <w:pPr>
              <w:pStyle w:val="Body"/>
              <w:rPr>
                <w:rFonts w:ascii="Arial" w:hAnsi="Arial" w:cs="Arial"/>
                <w:bCs/>
                <w:sz w:val="20"/>
              </w:rPr>
            </w:pPr>
            <w:r w:rsidRPr="004C0AED">
              <w:rPr>
                <w:rFonts w:ascii="Arial" w:hAnsi="Arial" w:cs="Arial"/>
                <w:bCs/>
                <w:sz w:val="20"/>
              </w:rPr>
              <w:t>0.43</w:t>
            </w:r>
          </w:p>
        </w:tc>
      </w:tr>
      <w:tr w:rsidR="004C0AED" w:rsidRPr="004C0AED" w14:paraId="62279EB6" w14:textId="77777777" w:rsidTr="004C0AED">
        <w:trPr>
          <w:trHeight w:val="423"/>
        </w:trPr>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414D8" w14:textId="77777777" w:rsidR="004C0AED" w:rsidRPr="004C0AED" w:rsidRDefault="004C0AED" w:rsidP="004C0AED">
            <w:pPr>
              <w:pStyle w:val="Body"/>
              <w:rPr>
                <w:rFonts w:ascii="Arial" w:hAnsi="Arial" w:cs="Arial"/>
                <w:bCs/>
                <w:sz w:val="20"/>
              </w:rPr>
            </w:pPr>
            <w:r w:rsidRPr="004C0AED">
              <w:rPr>
                <w:rFonts w:ascii="Arial" w:hAnsi="Arial" w:cs="Arial"/>
                <w:bCs/>
                <w:sz w:val="20"/>
              </w:rPr>
              <w:t>P3</w:t>
            </w: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2340550C" w14:textId="77777777" w:rsidR="004C0AED" w:rsidRPr="004C0AED" w:rsidRDefault="004C0AED" w:rsidP="004C0AED">
            <w:pPr>
              <w:pStyle w:val="Body"/>
              <w:rPr>
                <w:rFonts w:ascii="Arial" w:hAnsi="Arial" w:cs="Arial"/>
                <w:bCs/>
                <w:sz w:val="20"/>
              </w:rPr>
            </w:pPr>
            <w:r w:rsidRPr="004C0AED">
              <w:rPr>
                <w:rFonts w:ascii="Arial" w:hAnsi="Arial" w:cs="Arial"/>
                <w:bCs/>
                <w:sz w:val="20"/>
              </w:rPr>
              <w:t>1.16</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760B7823" w14:textId="77777777" w:rsidR="004C0AED" w:rsidRPr="004C0AED" w:rsidRDefault="004C0AED" w:rsidP="004C0AED">
            <w:pPr>
              <w:pStyle w:val="Body"/>
              <w:rPr>
                <w:rFonts w:ascii="Arial" w:hAnsi="Arial" w:cs="Arial"/>
                <w:bCs/>
                <w:sz w:val="20"/>
              </w:rPr>
            </w:pPr>
            <w:r w:rsidRPr="004C0AED">
              <w:rPr>
                <w:rFonts w:ascii="Arial" w:hAnsi="Arial" w:cs="Arial"/>
                <w:bCs/>
                <w:sz w:val="20"/>
              </w:rPr>
              <w:t>3.16</w:t>
            </w:r>
          </w:p>
        </w:tc>
        <w:tc>
          <w:tcPr>
            <w:tcW w:w="1710" w:type="dxa"/>
            <w:tcBorders>
              <w:top w:val="single" w:sz="4" w:space="0" w:color="000000" w:themeColor="text1"/>
              <w:left w:val="single" w:sz="4" w:space="0" w:color="auto"/>
              <w:bottom w:val="single" w:sz="4" w:space="0" w:color="000000" w:themeColor="text1"/>
              <w:right w:val="single" w:sz="4" w:space="0" w:color="auto"/>
            </w:tcBorders>
            <w:hideMark/>
          </w:tcPr>
          <w:p w14:paraId="310CBB32" w14:textId="77777777" w:rsidR="004C0AED" w:rsidRPr="004C0AED" w:rsidRDefault="004C0AED" w:rsidP="004C0AED">
            <w:pPr>
              <w:pStyle w:val="Body"/>
              <w:rPr>
                <w:rFonts w:ascii="Arial" w:hAnsi="Arial" w:cs="Arial"/>
                <w:bCs/>
                <w:sz w:val="20"/>
              </w:rPr>
            </w:pPr>
            <w:r w:rsidRPr="004C0AED">
              <w:rPr>
                <w:rFonts w:ascii="Arial" w:hAnsi="Arial" w:cs="Arial"/>
                <w:bCs/>
                <w:sz w:val="20"/>
              </w:rPr>
              <w:t>2</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636F8" w14:textId="77777777" w:rsidR="004C0AED" w:rsidRPr="004C0AED" w:rsidRDefault="004C0AED" w:rsidP="004C0AED">
            <w:pPr>
              <w:pStyle w:val="Body"/>
              <w:rPr>
                <w:rFonts w:ascii="Arial" w:hAnsi="Arial" w:cs="Arial"/>
                <w:bCs/>
                <w:sz w:val="20"/>
              </w:rPr>
            </w:pPr>
            <w:r w:rsidRPr="004C0AED">
              <w:rPr>
                <w:rFonts w:ascii="Arial" w:hAnsi="Arial" w:cs="Arial"/>
                <w:bCs/>
                <w:sz w:val="20"/>
              </w:rPr>
              <w:t>4</w:t>
            </w:r>
          </w:p>
        </w:tc>
      </w:tr>
      <w:tr w:rsidR="004C0AED" w:rsidRPr="004C0AED" w14:paraId="5DF2C1F1" w14:textId="77777777" w:rsidTr="004C0AED">
        <w:trPr>
          <w:trHeight w:val="402"/>
        </w:trPr>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0850F" w14:textId="77777777" w:rsidR="004C0AED" w:rsidRPr="004C0AED" w:rsidRDefault="004C0AED" w:rsidP="004C0AED">
            <w:pPr>
              <w:pStyle w:val="Body"/>
              <w:rPr>
                <w:rFonts w:ascii="Arial" w:hAnsi="Arial" w:cs="Arial"/>
                <w:bCs/>
                <w:sz w:val="20"/>
              </w:rPr>
            </w:pPr>
            <w:r w:rsidRPr="004C0AED">
              <w:rPr>
                <w:rFonts w:ascii="Arial" w:hAnsi="Arial" w:cs="Arial"/>
                <w:bCs/>
                <w:sz w:val="20"/>
              </w:rPr>
              <w:t>P4</w:t>
            </w: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1FFD5B3B" w14:textId="77777777" w:rsidR="004C0AED" w:rsidRPr="004C0AED" w:rsidRDefault="004C0AED" w:rsidP="004C0AED">
            <w:pPr>
              <w:pStyle w:val="Body"/>
              <w:rPr>
                <w:rFonts w:ascii="Arial" w:hAnsi="Arial" w:cs="Arial"/>
                <w:bCs/>
                <w:sz w:val="20"/>
              </w:rPr>
            </w:pPr>
            <w:r w:rsidRPr="004C0AED">
              <w:rPr>
                <w:rFonts w:ascii="Arial" w:hAnsi="Arial" w:cs="Arial"/>
                <w:bCs/>
                <w:sz w:val="20"/>
              </w:rPr>
              <w:t>0</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55A1A48C" w14:textId="77777777" w:rsidR="004C0AED" w:rsidRPr="004C0AED" w:rsidRDefault="004C0AED" w:rsidP="004C0AED">
            <w:pPr>
              <w:pStyle w:val="Body"/>
              <w:rPr>
                <w:rFonts w:ascii="Arial" w:hAnsi="Arial" w:cs="Arial"/>
                <w:bCs/>
                <w:sz w:val="20"/>
              </w:rPr>
            </w:pPr>
            <w:r w:rsidRPr="004C0AED">
              <w:rPr>
                <w:rFonts w:ascii="Arial" w:hAnsi="Arial" w:cs="Arial"/>
                <w:bCs/>
                <w:sz w:val="20"/>
              </w:rPr>
              <w:t>0.83</w:t>
            </w:r>
          </w:p>
        </w:tc>
        <w:tc>
          <w:tcPr>
            <w:tcW w:w="1710" w:type="dxa"/>
            <w:tcBorders>
              <w:top w:val="single" w:sz="4" w:space="0" w:color="000000" w:themeColor="text1"/>
              <w:left w:val="single" w:sz="4" w:space="0" w:color="auto"/>
              <w:bottom w:val="single" w:sz="4" w:space="0" w:color="000000" w:themeColor="text1"/>
              <w:right w:val="single" w:sz="4" w:space="0" w:color="auto"/>
            </w:tcBorders>
            <w:hideMark/>
          </w:tcPr>
          <w:p w14:paraId="35327EF4" w14:textId="77777777" w:rsidR="004C0AED" w:rsidRPr="004C0AED" w:rsidRDefault="004C0AED" w:rsidP="004C0AED">
            <w:pPr>
              <w:pStyle w:val="Body"/>
              <w:rPr>
                <w:rFonts w:ascii="Arial" w:hAnsi="Arial" w:cs="Arial"/>
                <w:bCs/>
                <w:sz w:val="20"/>
              </w:rPr>
            </w:pPr>
            <w:r w:rsidRPr="004C0AED">
              <w:rPr>
                <w:rFonts w:ascii="Arial" w:hAnsi="Arial" w:cs="Arial"/>
                <w:bCs/>
                <w:sz w:val="20"/>
              </w:rPr>
              <w:t>0.83</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D2649" w14:textId="77777777" w:rsidR="004C0AED" w:rsidRPr="004C0AED" w:rsidRDefault="004C0AED" w:rsidP="004C0AED">
            <w:pPr>
              <w:pStyle w:val="Body"/>
              <w:rPr>
                <w:rFonts w:ascii="Arial" w:hAnsi="Arial" w:cs="Arial"/>
                <w:bCs/>
                <w:sz w:val="20"/>
              </w:rPr>
            </w:pPr>
            <w:r w:rsidRPr="004C0AED">
              <w:rPr>
                <w:rFonts w:ascii="Arial" w:hAnsi="Arial" w:cs="Arial"/>
                <w:bCs/>
                <w:sz w:val="20"/>
              </w:rPr>
              <w:t>0.68</w:t>
            </w:r>
          </w:p>
        </w:tc>
      </w:tr>
      <w:tr w:rsidR="004C0AED" w:rsidRPr="004C0AED" w14:paraId="52E3C4C4" w14:textId="77777777" w:rsidTr="004C0AED">
        <w:trPr>
          <w:trHeight w:val="423"/>
        </w:trPr>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72B78" w14:textId="77777777" w:rsidR="004C0AED" w:rsidRPr="004C0AED" w:rsidRDefault="004C0AED" w:rsidP="004C0AED">
            <w:pPr>
              <w:pStyle w:val="Body"/>
              <w:rPr>
                <w:rFonts w:ascii="Arial" w:hAnsi="Arial" w:cs="Arial"/>
                <w:bCs/>
                <w:sz w:val="20"/>
              </w:rPr>
            </w:pP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3F1B6A2B" w14:textId="77777777" w:rsidR="004C0AED" w:rsidRPr="004C0AED" w:rsidRDefault="004C0AED" w:rsidP="004C0AED">
            <w:pPr>
              <w:pStyle w:val="Body"/>
              <w:rPr>
                <w:rFonts w:ascii="Arial" w:hAnsi="Arial" w:cs="Arial"/>
                <w:bCs/>
                <w:sz w:val="20"/>
              </w:rPr>
            </w:pPr>
            <w:r w:rsidRPr="004C0AED">
              <w:rPr>
                <w:rFonts w:ascii="Arial" w:hAnsi="Arial" w:cs="Arial"/>
                <w:bCs/>
                <w:sz w:val="20"/>
              </w:rPr>
              <w:t>∑</w:t>
            </w:r>
            <w:r w:rsidRPr="004C0AED">
              <w:rPr>
                <w:rFonts w:ascii="Arial" w:hAnsi="Arial" w:cs="Arial"/>
                <w:bCs/>
                <w:i/>
                <w:sz w:val="20"/>
              </w:rPr>
              <w:t>x</w:t>
            </w:r>
            <w:r w:rsidRPr="004C0AED">
              <w:rPr>
                <w:rFonts w:ascii="Arial" w:hAnsi="Arial" w:cs="Arial"/>
                <w:bCs/>
                <w:sz w:val="20"/>
              </w:rPr>
              <w:t>1 = 1.82</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19C4C9B7" w14:textId="77777777" w:rsidR="004C0AED" w:rsidRPr="004C0AED" w:rsidRDefault="004C0AED" w:rsidP="004C0AED">
            <w:pPr>
              <w:pStyle w:val="Body"/>
              <w:rPr>
                <w:rFonts w:ascii="Arial" w:hAnsi="Arial" w:cs="Arial"/>
                <w:bCs/>
                <w:sz w:val="20"/>
              </w:rPr>
            </w:pPr>
            <w:r w:rsidRPr="004C0AED">
              <w:rPr>
                <w:rFonts w:ascii="Arial" w:hAnsi="Arial" w:cs="Arial"/>
                <w:bCs/>
                <w:sz w:val="20"/>
              </w:rPr>
              <w:t>∑</w:t>
            </w:r>
            <w:r w:rsidRPr="004C0AED">
              <w:rPr>
                <w:rFonts w:ascii="Arial" w:hAnsi="Arial" w:cs="Arial"/>
                <w:bCs/>
                <w:i/>
                <w:sz w:val="20"/>
              </w:rPr>
              <w:t>x</w:t>
            </w:r>
            <w:r w:rsidRPr="004C0AED">
              <w:rPr>
                <w:rFonts w:ascii="Arial" w:hAnsi="Arial" w:cs="Arial"/>
                <w:bCs/>
                <w:sz w:val="20"/>
              </w:rPr>
              <w:t>2 = 5.81</w:t>
            </w:r>
          </w:p>
        </w:tc>
        <w:tc>
          <w:tcPr>
            <w:tcW w:w="1710" w:type="dxa"/>
            <w:tcBorders>
              <w:top w:val="single" w:sz="4" w:space="0" w:color="000000" w:themeColor="text1"/>
              <w:left w:val="single" w:sz="4" w:space="0" w:color="auto"/>
              <w:bottom w:val="single" w:sz="4" w:space="0" w:color="000000" w:themeColor="text1"/>
              <w:right w:val="single" w:sz="4" w:space="0" w:color="auto"/>
            </w:tcBorders>
            <w:hideMark/>
          </w:tcPr>
          <w:p w14:paraId="2D7B4002" w14:textId="77777777" w:rsidR="004C0AED" w:rsidRPr="004C0AED" w:rsidRDefault="004C0AED" w:rsidP="004C0AED">
            <w:pPr>
              <w:pStyle w:val="Body"/>
              <w:rPr>
                <w:rFonts w:ascii="Arial" w:hAnsi="Arial" w:cs="Arial"/>
                <w:bCs/>
                <w:sz w:val="20"/>
              </w:rPr>
            </w:pPr>
            <w:r w:rsidRPr="004C0AED">
              <w:rPr>
                <w:rFonts w:ascii="Arial" w:hAnsi="Arial" w:cs="Arial"/>
                <w:bCs/>
                <w:sz w:val="20"/>
              </w:rPr>
              <w:t>∑d = 3.99</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34DFD" w14:textId="77777777" w:rsidR="004C0AED" w:rsidRPr="004C0AED" w:rsidRDefault="004C0AED" w:rsidP="004C0AED">
            <w:pPr>
              <w:pStyle w:val="Body"/>
              <w:rPr>
                <w:rFonts w:ascii="Arial" w:hAnsi="Arial" w:cs="Arial"/>
                <w:bCs/>
                <w:sz w:val="20"/>
              </w:rPr>
            </w:pPr>
            <w:r w:rsidRPr="004C0AED">
              <w:rPr>
                <w:rFonts w:ascii="Arial" w:hAnsi="Arial" w:cs="Arial"/>
                <w:bCs/>
                <w:sz w:val="20"/>
              </w:rPr>
              <w:t>∑ d</w:t>
            </w:r>
            <w:r w:rsidRPr="004C0AED">
              <w:rPr>
                <w:rFonts w:ascii="Arial" w:hAnsi="Arial" w:cs="Arial"/>
                <w:bCs/>
                <w:sz w:val="20"/>
                <w:vertAlign w:val="superscript"/>
              </w:rPr>
              <w:t>2</w:t>
            </w:r>
            <w:r w:rsidRPr="004C0AED">
              <w:rPr>
                <w:rFonts w:ascii="Arial" w:hAnsi="Arial" w:cs="Arial"/>
                <w:bCs/>
                <w:sz w:val="20"/>
              </w:rPr>
              <w:t xml:space="preserve"> = 5.36</w:t>
            </w:r>
          </w:p>
        </w:tc>
      </w:tr>
      <w:tr w:rsidR="004C0AED" w:rsidRPr="004C0AED" w14:paraId="5FA54D55" w14:textId="77777777" w:rsidTr="004C0AED">
        <w:trPr>
          <w:trHeight w:val="446"/>
        </w:trPr>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075BD" w14:textId="77777777" w:rsidR="004C0AED" w:rsidRPr="004C0AED" w:rsidRDefault="004C0AED" w:rsidP="004C0AED">
            <w:pPr>
              <w:pStyle w:val="Body"/>
              <w:rPr>
                <w:rFonts w:ascii="Arial" w:hAnsi="Arial" w:cs="Arial"/>
                <w:bCs/>
                <w:sz w:val="20"/>
              </w:rPr>
            </w:pP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37B181AB" w14:textId="77777777" w:rsidR="004C0AED" w:rsidRPr="004C0AED" w:rsidRDefault="00A26891" w:rsidP="004C0AED">
            <w:pPr>
              <w:pStyle w:val="Body"/>
              <w:rPr>
                <w:rFonts w:ascii="Arial" w:hAnsi="Arial" w:cs="Arial"/>
                <w:bCs/>
                <w:sz w:val="20"/>
              </w:rPr>
            </w:pPr>
            <m:oMath>
              <m:acc>
                <m:accPr>
                  <m:chr m:val="̅"/>
                  <m:ctrlPr>
                    <w:rPr>
                      <w:rFonts w:ascii="Cambria Math" w:hAnsi="Cambria Math" w:cs="Arial"/>
                      <w:bCs/>
                      <w:i/>
                      <w:sz w:val="20"/>
                    </w:rPr>
                  </m:ctrlPr>
                </m:accPr>
                <m:e>
                  <m:r>
                    <w:rPr>
                      <w:rFonts w:ascii="Cambria Math" w:hAnsi="Cambria Math" w:cs="Arial"/>
                    </w:rPr>
                    <m:t>x</m:t>
                  </m:r>
                  <m:r>
                    <w:rPr>
                      <w:rFonts w:ascii="Cambria Math" w:hAnsi="Cambria Math" w:cs="Arial"/>
                    </w:rPr>
                    <m:t>1</m:t>
                  </m:r>
                </m:e>
              </m:acc>
            </m:oMath>
            <w:r w:rsidR="004C0AED" w:rsidRPr="004C0AED">
              <w:rPr>
                <w:rFonts w:ascii="Arial" w:hAnsi="Arial" w:cs="Arial"/>
                <w:bCs/>
                <w:sz w:val="20"/>
              </w:rPr>
              <w:t xml:space="preserve"> = .45</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2FC844D4" w14:textId="77777777" w:rsidR="004C0AED" w:rsidRPr="004C0AED" w:rsidRDefault="00A26891" w:rsidP="004C0AED">
            <w:pPr>
              <w:pStyle w:val="Body"/>
              <w:rPr>
                <w:rFonts w:ascii="Arial" w:hAnsi="Arial" w:cs="Arial"/>
                <w:bCs/>
                <w:sz w:val="20"/>
              </w:rPr>
            </w:pPr>
            <m:oMath>
              <m:acc>
                <m:accPr>
                  <m:chr m:val="̅"/>
                  <m:ctrlPr>
                    <w:rPr>
                      <w:rFonts w:ascii="Cambria Math" w:hAnsi="Cambria Math" w:cs="Arial"/>
                      <w:bCs/>
                      <w:i/>
                      <w:sz w:val="20"/>
                    </w:rPr>
                  </m:ctrlPr>
                </m:accPr>
                <m:e>
                  <m:r>
                    <w:rPr>
                      <w:rFonts w:ascii="Cambria Math" w:hAnsi="Cambria Math" w:cs="Arial"/>
                    </w:rPr>
                    <m:t>x</m:t>
                  </m:r>
                  <m:r>
                    <w:rPr>
                      <w:rFonts w:ascii="Cambria Math" w:hAnsi="Cambria Math" w:cs="Arial"/>
                    </w:rPr>
                    <m:t>2</m:t>
                  </m:r>
                </m:e>
              </m:acc>
            </m:oMath>
            <w:r w:rsidR="004C0AED" w:rsidRPr="004C0AED">
              <w:rPr>
                <w:rFonts w:ascii="Arial" w:hAnsi="Arial" w:cs="Arial"/>
                <w:bCs/>
                <w:sz w:val="20"/>
              </w:rPr>
              <w:t xml:space="preserve"> = 1.45</w:t>
            </w:r>
          </w:p>
        </w:tc>
        <w:tc>
          <w:tcPr>
            <w:tcW w:w="1710" w:type="dxa"/>
            <w:tcBorders>
              <w:top w:val="single" w:sz="4" w:space="0" w:color="000000" w:themeColor="text1"/>
              <w:left w:val="single" w:sz="4" w:space="0" w:color="auto"/>
              <w:bottom w:val="single" w:sz="4" w:space="0" w:color="000000" w:themeColor="text1"/>
              <w:right w:val="single" w:sz="4" w:space="0" w:color="auto"/>
            </w:tcBorders>
          </w:tcPr>
          <w:p w14:paraId="31054C56" w14:textId="77777777" w:rsidR="004C0AED" w:rsidRPr="004C0AED" w:rsidRDefault="004C0AED" w:rsidP="004C0AED">
            <w:pPr>
              <w:pStyle w:val="Body"/>
              <w:rPr>
                <w:rFonts w:ascii="Arial" w:hAnsi="Arial" w:cs="Arial"/>
                <w:bCs/>
                <w:sz w:val="2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E587C" w14:textId="77777777" w:rsidR="004C0AED" w:rsidRPr="004C0AED" w:rsidRDefault="004C0AED" w:rsidP="004C0AED">
            <w:pPr>
              <w:pStyle w:val="Body"/>
              <w:rPr>
                <w:rFonts w:ascii="Arial" w:hAnsi="Arial" w:cs="Arial"/>
                <w:bCs/>
                <w:sz w:val="20"/>
              </w:rPr>
            </w:pPr>
          </w:p>
        </w:tc>
      </w:tr>
    </w:tbl>
    <w:p w14:paraId="6394B03C" w14:textId="77777777" w:rsidR="004C0AED" w:rsidRPr="004C0AED" w:rsidRDefault="004C0AED" w:rsidP="004C0AED">
      <w:pPr>
        <w:pStyle w:val="Body"/>
        <w:spacing w:after="0"/>
        <w:rPr>
          <w:rFonts w:ascii="Arial" w:hAnsi="Arial" w:cs="Arial"/>
          <w:b/>
          <w:bCs/>
          <w:szCs w:val="22"/>
        </w:rPr>
      </w:pPr>
      <w:r w:rsidRPr="004C0AED">
        <w:rPr>
          <w:rFonts w:ascii="Arial" w:hAnsi="Arial" w:cs="Arial"/>
          <w:b/>
          <w:bCs/>
          <w:szCs w:val="22"/>
        </w:rPr>
        <w:t xml:space="preserve">                                         Table 5: Mean of repetition of phrase</w:t>
      </w:r>
    </w:p>
    <w:p w14:paraId="5A39DF63" w14:textId="5B553DC6" w:rsidR="004C0AED" w:rsidRDefault="004C0AED" w:rsidP="004C0AED">
      <w:pPr>
        <w:pStyle w:val="Body"/>
        <w:spacing w:after="0"/>
        <w:rPr>
          <w:rFonts w:ascii="Arial" w:hAnsi="Arial" w:cs="Arial"/>
          <w:b/>
          <w:bCs/>
          <w:szCs w:val="22"/>
        </w:rPr>
      </w:pPr>
      <w:r w:rsidRPr="004C0AED">
        <w:rPr>
          <w:rFonts w:ascii="Arial" w:hAnsi="Arial" w:cs="Arial"/>
          <w:b/>
          <w:bCs/>
          <w:szCs w:val="22"/>
        </w:rPr>
        <w:t>Statistical analysis of the data represented the ‘t’ value (calculation is presented in annexure 3) in the area of repetition of phrase which was significant (</w:t>
      </w:r>
      <w:proofErr w:type="gramStart"/>
      <w:r w:rsidRPr="004C0AED">
        <w:rPr>
          <w:rFonts w:ascii="Arial" w:hAnsi="Arial" w:cs="Arial"/>
          <w:b/>
          <w:bCs/>
          <w:szCs w:val="22"/>
        </w:rPr>
        <w:t>t  =</w:t>
      </w:r>
      <w:proofErr w:type="gramEnd"/>
      <w:r w:rsidRPr="004C0AED">
        <w:rPr>
          <w:rFonts w:ascii="Arial" w:hAnsi="Arial" w:cs="Arial"/>
          <w:b/>
          <w:bCs/>
          <w:szCs w:val="22"/>
        </w:rPr>
        <w:t xml:space="preserve"> 2.95, df = 3, p = &lt;.025, one tailed hypothesis). The usual cut-off point for claiming support for significant level of the experimental hypothesis is 5% (Hicks, 1999) therefore it can be said that the findings of the study is significant. The bar chart (figure 3) is representing the improvement rate of each of 4 participants before and after applying MIT in the area of repetition of phrase.</w:t>
      </w:r>
    </w:p>
    <w:p w14:paraId="793BC0E3" w14:textId="77777777" w:rsidR="004C0AED" w:rsidRDefault="004C0AED" w:rsidP="004C0AED">
      <w:pPr>
        <w:pStyle w:val="Body"/>
        <w:spacing w:after="0"/>
        <w:rPr>
          <w:rFonts w:ascii="Arial" w:hAnsi="Arial" w:cs="Arial"/>
          <w:b/>
          <w:bCs/>
          <w:szCs w:val="22"/>
        </w:rPr>
      </w:pPr>
    </w:p>
    <w:p w14:paraId="0463C233" w14:textId="77777777" w:rsidR="004C0AED" w:rsidRPr="004C0AED" w:rsidRDefault="004C0AED" w:rsidP="004C0AED">
      <w:pPr>
        <w:pStyle w:val="Body"/>
        <w:spacing w:after="0"/>
        <w:rPr>
          <w:rFonts w:ascii="Arial" w:hAnsi="Arial" w:cs="Arial"/>
          <w:b/>
          <w:bCs/>
          <w:szCs w:val="22"/>
        </w:rPr>
      </w:pPr>
      <w:r w:rsidRPr="004C0AED">
        <w:rPr>
          <w:rFonts w:ascii="Arial" w:hAnsi="Arial" w:cs="Arial"/>
          <w:b/>
          <w:bCs/>
          <w:szCs w:val="22"/>
        </w:rPr>
        <w:lastRenderedPageBreak/>
        <w:t xml:space="preserve">              </w:t>
      </w:r>
      <w:r w:rsidRPr="004C0AED">
        <w:rPr>
          <w:rFonts w:ascii="Arial" w:hAnsi="Arial" w:cs="Arial"/>
          <w:b/>
          <w:bCs/>
          <w:noProof/>
          <w:szCs w:val="22"/>
        </w:rPr>
        <w:drawing>
          <wp:inline distT="0" distB="0" distL="0" distR="0" wp14:anchorId="59290954" wp14:editId="1657B0DD">
            <wp:extent cx="4581525" cy="29432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1DCA37" w14:textId="77777777" w:rsidR="004C0AED" w:rsidRDefault="004C0AED" w:rsidP="004C0AED">
      <w:pPr>
        <w:pStyle w:val="Body"/>
        <w:spacing w:after="0"/>
        <w:rPr>
          <w:rFonts w:ascii="Arial" w:hAnsi="Arial" w:cs="Arial"/>
          <w:bCs/>
          <w:szCs w:val="22"/>
        </w:rPr>
      </w:pPr>
      <w:r w:rsidRPr="004C0AED">
        <w:rPr>
          <w:rFonts w:ascii="Arial" w:hAnsi="Arial" w:cs="Arial"/>
          <w:bCs/>
          <w:szCs w:val="22"/>
        </w:rPr>
        <w:t xml:space="preserve">                          Figure 3: Participants performance in repetition of phrase </w:t>
      </w:r>
    </w:p>
    <w:p w14:paraId="4BE34F7C" w14:textId="77777777" w:rsidR="004C0AED" w:rsidRPr="004C0AED" w:rsidRDefault="004C0AED" w:rsidP="004C0AED">
      <w:pPr>
        <w:pStyle w:val="Body"/>
        <w:spacing w:after="0"/>
        <w:rPr>
          <w:rFonts w:ascii="Arial" w:hAnsi="Arial" w:cs="Arial"/>
          <w:bCs/>
          <w:szCs w:val="22"/>
        </w:rPr>
      </w:pPr>
    </w:p>
    <w:p w14:paraId="6A6D2808" w14:textId="77777777" w:rsidR="004C0AED" w:rsidRPr="004C0AED" w:rsidRDefault="004C0AED" w:rsidP="004C0AED">
      <w:pPr>
        <w:pStyle w:val="Body"/>
        <w:spacing w:after="0"/>
        <w:rPr>
          <w:rFonts w:ascii="Arial" w:hAnsi="Arial" w:cs="Arial"/>
          <w:bCs/>
          <w:szCs w:val="22"/>
        </w:rPr>
      </w:pPr>
      <w:r w:rsidRPr="004C0AED">
        <w:rPr>
          <w:rFonts w:ascii="Arial" w:hAnsi="Arial" w:cs="Arial"/>
          <w:bCs/>
          <w:szCs w:val="22"/>
        </w:rPr>
        <w:t>Form the Bar chart, it is observed that among 4 participants all of them gained significant improvement, in the area of repetition of phrase, where two participants’ baseline data were 0 (zero).</w:t>
      </w:r>
    </w:p>
    <w:p w14:paraId="78A59F88" w14:textId="77777777" w:rsidR="004C0AED" w:rsidRDefault="004C0AED" w:rsidP="004C0AED">
      <w:pPr>
        <w:pStyle w:val="Body"/>
        <w:spacing w:after="0"/>
        <w:rPr>
          <w:rFonts w:ascii="Arial" w:hAnsi="Arial" w:cs="Arial"/>
          <w:bCs/>
          <w:szCs w:val="22"/>
        </w:rPr>
      </w:pPr>
    </w:p>
    <w:p w14:paraId="04E62271" w14:textId="77777777" w:rsidR="004C0AED" w:rsidRDefault="004C0AED" w:rsidP="004C0AED">
      <w:pPr>
        <w:pStyle w:val="Body"/>
        <w:spacing w:after="0"/>
        <w:rPr>
          <w:rFonts w:ascii="Arial" w:hAnsi="Arial" w:cs="Arial"/>
          <w:b/>
          <w:bCs/>
          <w:szCs w:val="22"/>
        </w:rPr>
      </w:pPr>
      <w:r w:rsidRPr="004C0AED">
        <w:rPr>
          <w:rFonts w:ascii="Arial" w:hAnsi="Arial" w:cs="Arial"/>
          <w:b/>
          <w:bCs/>
          <w:szCs w:val="22"/>
        </w:rPr>
        <w:t>3.3.3 Responsive Naming</w:t>
      </w:r>
    </w:p>
    <w:p w14:paraId="0BC3EA3F" w14:textId="77777777" w:rsidR="004C0AED" w:rsidRPr="004C0AED" w:rsidRDefault="004C0AED" w:rsidP="004C0AED">
      <w:pPr>
        <w:pStyle w:val="Body"/>
        <w:spacing w:after="0"/>
        <w:rPr>
          <w:rFonts w:ascii="Arial" w:hAnsi="Arial" w:cs="Arial"/>
          <w:b/>
          <w:bCs/>
          <w:szCs w:val="22"/>
        </w:rPr>
      </w:pPr>
    </w:p>
    <w:p w14:paraId="75FE3844" w14:textId="77777777" w:rsidR="004C0AED" w:rsidRDefault="004C0AED" w:rsidP="004C0AED">
      <w:pPr>
        <w:pStyle w:val="Body"/>
        <w:spacing w:after="0"/>
        <w:rPr>
          <w:rFonts w:ascii="Arial" w:hAnsi="Arial" w:cs="Arial"/>
          <w:bCs/>
          <w:szCs w:val="22"/>
        </w:rPr>
      </w:pPr>
      <w:r w:rsidRPr="004C0AED">
        <w:rPr>
          <w:rFonts w:ascii="Arial" w:hAnsi="Arial" w:cs="Arial"/>
          <w:bCs/>
          <w:szCs w:val="22"/>
        </w:rPr>
        <w:t>The overall findings in the area of responsive naming represent that, the mean score of participants before applying MIT was 1.83 and after applying MIT was 3.66 (data is presented in table 6). Therefore the mean score of participants in the area of responsive naming improved after applying MIT. The study finding showed that the average/mean scores were better after receiving MIT than before receiving MIT.</w:t>
      </w:r>
    </w:p>
    <w:p w14:paraId="34C1908D" w14:textId="77777777" w:rsidR="004C0AED" w:rsidRPr="004C0AED" w:rsidRDefault="004C0AED" w:rsidP="004C0AED">
      <w:pPr>
        <w:pStyle w:val="Body"/>
        <w:spacing w:after="0"/>
        <w:rPr>
          <w:rFonts w:ascii="Arial" w:hAnsi="Arial" w:cs="Arial"/>
          <w:bCs/>
          <w:szCs w:val="22"/>
        </w:rPr>
      </w:pPr>
    </w:p>
    <w:tbl>
      <w:tblPr>
        <w:tblStyle w:val="TableGrid"/>
        <w:tblW w:w="0" w:type="auto"/>
        <w:tblLook w:val="04A0" w:firstRow="1" w:lastRow="0" w:firstColumn="1" w:lastColumn="0" w:noHBand="0" w:noVBand="1"/>
      </w:tblPr>
      <w:tblGrid>
        <w:gridCol w:w="1548"/>
        <w:gridCol w:w="2250"/>
        <w:gridCol w:w="2250"/>
        <w:gridCol w:w="1620"/>
        <w:gridCol w:w="1575"/>
      </w:tblGrid>
      <w:tr w:rsidR="004C0AED" w:rsidRPr="004C0AED" w14:paraId="2BD95FD4" w14:textId="77777777" w:rsidTr="004C0AED">
        <w:trPr>
          <w:trHeight w:val="165"/>
        </w:trPr>
        <w:tc>
          <w:tcPr>
            <w:tcW w:w="15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330D7" w14:textId="77777777" w:rsidR="004C0AED" w:rsidRPr="004C0AED" w:rsidRDefault="004C0AED" w:rsidP="004C0AED">
            <w:pPr>
              <w:pStyle w:val="Body"/>
              <w:rPr>
                <w:rFonts w:ascii="Arial" w:hAnsi="Arial" w:cs="Arial"/>
                <w:b/>
                <w:bCs/>
                <w:sz w:val="20"/>
              </w:rPr>
            </w:pPr>
            <w:r w:rsidRPr="004C0AED">
              <w:rPr>
                <w:rFonts w:ascii="Arial" w:hAnsi="Arial" w:cs="Arial"/>
                <w:b/>
                <w:bCs/>
                <w:sz w:val="20"/>
              </w:rPr>
              <w:t>Participants</w:t>
            </w:r>
          </w:p>
        </w:tc>
        <w:tc>
          <w:tcPr>
            <w:tcW w:w="22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10563C0" w14:textId="77777777" w:rsidR="004C0AED" w:rsidRPr="004C0AED" w:rsidRDefault="004C0AED" w:rsidP="004C0AED">
            <w:pPr>
              <w:pStyle w:val="Body"/>
              <w:rPr>
                <w:rFonts w:ascii="Arial" w:hAnsi="Arial" w:cs="Arial"/>
                <w:b/>
                <w:bCs/>
                <w:sz w:val="20"/>
              </w:rPr>
            </w:pPr>
            <w:r w:rsidRPr="004C0AED">
              <w:rPr>
                <w:rFonts w:ascii="Arial" w:hAnsi="Arial" w:cs="Arial"/>
                <w:b/>
                <w:bCs/>
                <w:sz w:val="20"/>
              </w:rPr>
              <w:t>Responsive Naming Pre-test x1</w:t>
            </w:r>
          </w:p>
        </w:tc>
        <w:tc>
          <w:tcPr>
            <w:tcW w:w="22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6D086B6" w14:textId="77777777" w:rsidR="004C0AED" w:rsidRPr="004C0AED" w:rsidRDefault="004C0AED" w:rsidP="004C0AED">
            <w:pPr>
              <w:pStyle w:val="Body"/>
              <w:rPr>
                <w:rFonts w:ascii="Arial" w:hAnsi="Arial" w:cs="Arial"/>
                <w:b/>
                <w:bCs/>
                <w:sz w:val="20"/>
              </w:rPr>
            </w:pPr>
            <w:r w:rsidRPr="004C0AED">
              <w:rPr>
                <w:rFonts w:ascii="Arial" w:hAnsi="Arial" w:cs="Arial"/>
                <w:b/>
                <w:bCs/>
                <w:sz w:val="20"/>
              </w:rPr>
              <w:t>Responsive Naming Post-test x2</w:t>
            </w:r>
          </w:p>
        </w:tc>
        <w:tc>
          <w:tcPr>
            <w:tcW w:w="3195" w:type="dxa"/>
            <w:gridSpan w:val="2"/>
            <w:tcBorders>
              <w:top w:val="single" w:sz="4" w:space="0" w:color="000000" w:themeColor="text1"/>
              <w:left w:val="single" w:sz="4" w:space="0" w:color="auto"/>
              <w:bottom w:val="single" w:sz="4" w:space="0" w:color="auto"/>
              <w:right w:val="single" w:sz="4" w:space="0" w:color="000000" w:themeColor="text1"/>
            </w:tcBorders>
            <w:hideMark/>
          </w:tcPr>
          <w:p w14:paraId="08CC976A" w14:textId="77777777" w:rsidR="004C0AED" w:rsidRPr="004C0AED" w:rsidRDefault="004C0AED" w:rsidP="004C0AED">
            <w:pPr>
              <w:pStyle w:val="Body"/>
              <w:rPr>
                <w:rFonts w:ascii="Arial" w:hAnsi="Arial" w:cs="Arial"/>
                <w:b/>
                <w:bCs/>
                <w:sz w:val="20"/>
              </w:rPr>
            </w:pPr>
            <w:r w:rsidRPr="004C0AED">
              <w:rPr>
                <w:rFonts w:ascii="Arial" w:hAnsi="Arial" w:cs="Arial"/>
                <w:b/>
                <w:bCs/>
                <w:sz w:val="20"/>
              </w:rPr>
              <w:t xml:space="preserve">Difference between </w:t>
            </w:r>
            <w:proofErr w:type="spellStart"/>
            <w:r w:rsidRPr="004C0AED">
              <w:rPr>
                <w:rFonts w:ascii="Arial" w:hAnsi="Arial" w:cs="Arial"/>
                <w:b/>
                <w:bCs/>
                <w:sz w:val="20"/>
              </w:rPr>
              <w:t>pre test</w:t>
            </w:r>
            <w:proofErr w:type="spellEnd"/>
            <w:r w:rsidRPr="004C0AED">
              <w:rPr>
                <w:rFonts w:ascii="Arial" w:hAnsi="Arial" w:cs="Arial"/>
                <w:b/>
                <w:bCs/>
                <w:sz w:val="20"/>
              </w:rPr>
              <w:t xml:space="preserve"> and post test</w:t>
            </w:r>
          </w:p>
        </w:tc>
      </w:tr>
      <w:tr w:rsidR="004C0AED" w:rsidRPr="004C0AED" w14:paraId="0937ED7D" w14:textId="77777777" w:rsidTr="004C0AED">
        <w:trPr>
          <w:trHeight w:val="10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3E02D5" w14:textId="77777777" w:rsidR="004C0AED" w:rsidRPr="004C0AED" w:rsidRDefault="004C0AED" w:rsidP="004C0AED">
            <w:pPr>
              <w:pStyle w:val="Body"/>
              <w:rPr>
                <w:rFonts w:ascii="Arial" w:hAnsi="Arial" w:cs="Arial"/>
                <w:b/>
                <w:bCs/>
                <w:sz w:val="20"/>
              </w:rPr>
            </w:pPr>
          </w:p>
        </w:tc>
        <w:tc>
          <w:tcPr>
            <w:tcW w:w="0" w:type="auto"/>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EFF95C5" w14:textId="77777777" w:rsidR="004C0AED" w:rsidRPr="004C0AED" w:rsidRDefault="004C0AED" w:rsidP="004C0AED">
            <w:pPr>
              <w:pStyle w:val="Body"/>
              <w:rPr>
                <w:rFonts w:ascii="Arial" w:hAnsi="Arial" w:cs="Arial"/>
                <w:b/>
                <w:bCs/>
                <w:sz w:val="20"/>
              </w:rPr>
            </w:pPr>
          </w:p>
        </w:tc>
        <w:tc>
          <w:tcPr>
            <w:tcW w:w="0" w:type="auto"/>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E219218" w14:textId="77777777" w:rsidR="004C0AED" w:rsidRPr="004C0AED" w:rsidRDefault="004C0AED" w:rsidP="004C0AED">
            <w:pPr>
              <w:pStyle w:val="Body"/>
              <w:rPr>
                <w:rFonts w:ascii="Arial" w:hAnsi="Arial" w:cs="Arial"/>
                <w:b/>
                <w:bCs/>
                <w:sz w:val="20"/>
              </w:rPr>
            </w:pPr>
          </w:p>
        </w:tc>
        <w:tc>
          <w:tcPr>
            <w:tcW w:w="1620" w:type="dxa"/>
            <w:tcBorders>
              <w:top w:val="single" w:sz="4" w:space="0" w:color="auto"/>
              <w:left w:val="single" w:sz="4" w:space="0" w:color="auto"/>
              <w:bottom w:val="single" w:sz="4" w:space="0" w:color="000000" w:themeColor="text1"/>
              <w:right w:val="single" w:sz="4" w:space="0" w:color="auto"/>
            </w:tcBorders>
            <w:hideMark/>
          </w:tcPr>
          <w:p w14:paraId="38EE48EF" w14:textId="77777777" w:rsidR="004C0AED" w:rsidRPr="004C0AED" w:rsidRDefault="004C0AED" w:rsidP="004C0AED">
            <w:pPr>
              <w:pStyle w:val="Body"/>
              <w:rPr>
                <w:rFonts w:ascii="Arial" w:hAnsi="Arial" w:cs="Arial"/>
                <w:bCs/>
                <w:sz w:val="20"/>
              </w:rPr>
            </w:pPr>
            <w:r w:rsidRPr="004C0AED">
              <w:rPr>
                <w:rFonts w:ascii="Arial" w:hAnsi="Arial" w:cs="Arial"/>
                <w:bCs/>
                <w:sz w:val="20"/>
              </w:rPr>
              <w:t>d= x2-x1</w:t>
            </w:r>
          </w:p>
        </w:tc>
        <w:tc>
          <w:tcPr>
            <w:tcW w:w="1575" w:type="dxa"/>
            <w:tcBorders>
              <w:top w:val="single" w:sz="4" w:space="0" w:color="auto"/>
              <w:left w:val="single" w:sz="4" w:space="0" w:color="auto"/>
              <w:bottom w:val="single" w:sz="4" w:space="0" w:color="000000" w:themeColor="text1"/>
              <w:right w:val="single" w:sz="4" w:space="0" w:color="000000" w:themeColor="text1"/>
            </w:tcBorders>
            <w:hideMark/>
          </w:tcPr>
          <w:p w14:paraId="2870C4BA" w14:textId="77777777" w:rsidR="004C0AED" w:rsidRPr="004C0AED" w:rsidRDefault="004C0AED" w:rsidP="004C0AED">
            <w:pPr>
              <w:pStyle w:val="Body"/>
              <w:rPr>
                <w:rFonts w:ascii="Arial" w:hAnsi="Arial" w:cs="Arial"/>
                <w:bCs/>
                <w:sz w:val="20"/>
              </w:rPr>
            </w:pPr>
            <w:r w:rsidRPr="004C0AED">
              <w:rPr>
                <w:rFonts w:ascii="Arial" w:hAnsi="Arial" w:cs="Arial"/>
                <w:bCs/>
                <w:sz w:val="20"/>
              </w:rPr>
              <w:t>d</w:t>
            </w:r>
            <w:r w:rsidRPr="004C0AED">
              <w:rPr>
                <w:rFonts w:ascii="Arial" w:hAnsi="Arial" w:cs="Arial"/>
                <w:bCs/>
                <w:sz w:val="20"/>
                <w:vertAlign w:val="superscript"/>
              </w:rPr>
              <w:t>2</w:t>
            </w:r>
          </w:p>
        </w:tc>
      </w:tr>
      <w:tr w:rsidR="004C0AED" w:rsidRPr="004C0AED" w14:paraId="7016B18B"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E86B0" w14:textId="77777777" w:rsidR="004C0AED" w:rsidRPr="004C0AED" w:rsidRDefault="004C0AED" w:rsidP="004C0AED">
            <w:pPr>
              <w:pStyle w:val="Body"/>
              <w:rPr>
                <w:rFonts w:ascii="Arial" w:hAnsi="Arial" w:cs="Arial"/>
                <w:bCs/>
                <w:sz w:val="20"/>
              </w:rPr>
            </w:pPr>
            <w:r w:rsidRPr="004C0AED">
              <w:rPr>
                <w:rFonts w:ascii="Arial" w:hAnsi="Arial" w:cs="Arial"/>
                <w:bCs/>
                <w:sz w:val="20"/>
              </w:rPr>
              <w:t>P1</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79A1E334" w14:textId="77777777" w:rsidR="004C0AED" w:rsidRPr="004C0AED" w:rsidRDefault="004C0AED" w:rsidP="004C0AED">
            <w:pPr>
              <w:pStyle w:val="Body"/>
              <w:rPr>
                <w:rFonts w:ascii="Arial" w:hAnsi="Arial" w:cs="Arial"/>
                <w:bCs/>
                <w:sz w:val="20"/>
              </w:rPr>
            </w:pPr>
            <w:r w:rsidRPr="004C0AED">
              <w:rPr>
                <w:rFonts w:ascii="Arial" w:hAnsi="Arial" w:cs="Arial"/>
                <w:bCs/>
                <w:sz w:val="20"/>
              </w:rPr>
              <w:t>2</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529636DA" w14:textId="77777777" w:rsidR="004C0AED" w:rsidRPr="004C0AED" w:rsidRDefault="004C0AED" w:rsidP="004C0AED">
            <w:pPr>
              <w:pStyle w:val="Body"/>
              <w:rPr>
                <w:rFonts w:ascii="Arial" w:hAnsi="Arial" w:cs="Arial"/>
                <w:bCs/>
                <w:sz w:val="20"/>
              </w:rPr>
            </w:pPr>
            <w:r w:rsidRPr="004C0AED">
              <w:rPr>
                <w:rFonts w:ascii="Arial" w:hAnsi="Arial" w:cs="Arial"/>
                <w:bCs/>
                <w:sz w:val="20"/>
              </w:rPr>
              <w:t>3.33</w:t>
            </w:r>
          </w:p>
        </w:tc>
        <w:tc>
          <w:tcPr>
            <w:tcW w:w="1620" w:type="dxa"/>
            <w:tcBorders>
              <w:top w:val="single" w:sz="4" w:space="0" w:color="000000" w:themeColor="text1"/>
              <w:left w:val="single" w:sz="4" w:space="0" w:color="auto"/>
              <w:bottom w:val="single" w:sz="4" w:space="0" w:color="000000" w:themeColor="text1"/>
              <w:right w:val="single" w:sz="4" w:space="0" w:color="auto"/>
            </w:tcBorders>
            <w:hideMark/>
          </w:tcPr>
          <w:p w14:paraId="67C337DD" w14:textId="77777777" w:rsidR="004C0AED" w:rsidRPr="004C0AED" w:rsidRDefault="004C0AED" w:rsidP="004C0AED">
            <w:pPr>
              <w:pStyle w:val="Body"/>
              <w:rPr>
                <w:rFonts w:ascii="Arial" w:hAnsi="Arial" w:cs="Arial"/>
                <w:bCs/>
                <w:sz w:val="20"/>
              </w:rPr>
            </w:pPr>
            <w:r w:rsidRPr="004C0AED">
              <w:rPr>
                <w:rFonts w:ascii="Arial" w:hAnsi="Arial" w:cs="Arial"/>
                <w:bCs/>
                <w:sz w:val="20"/>
              </w:rPr>
              <w:t>1.33</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2FDFD" w14:textId="77777777" w:rsidR="004C0AED" w:rsidRPr="004C0AED" w:rsidRDefault="004C0AED" w:rsidP="004C0AED">
            <w:pPr>
              <w:pStyle w:val="Body"/>
              <w:rPr>
                <w:rFonts w:ascii="Arial" w:hAnsi="Arial" w:cs="Arial"/>
                <w:bCs/>
                <w:sz w:val="20"/>
              </w:rPr>
            </w:pPr>
            <w:r w:rsidRPr="004C0AED">
              <w:rPr>
                <w:rFonts w:ascii="Arial" w:hAnsi="Arial" w:cs="Arial"/>
                <w:bCs/>
                <w:sz w:val="20"/>
              </w:rPr>
              <w:t>1.76</w:t>
            </w:r>
          </w:p>
        </w:tc>
      </w:tr>
      <w:tr w:rsidR="004C0AED" w:rsidRPr="004C0AED" w14:paraId="1C9A7F7E"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60B25" w14:textId="77777777" w:rsidR="004C0AED" w:rsidRPr="004C0AED" w:rsidRDefault="004C0AED" w:rsidP="004C0AED">
            <w:pPr>
              <w:pStyle w:val="Body"/>
              <w:rPr>
                <w:rFonts w:ascii="Arial" w:hAnsi="Arial" w:cs="Arial"/>
                <w:bCs/>
                <w:sz w:val="20"/>
              </w:rPr>
            </w:pPr>
            <w:r w:rsidRPr="004C0AED">
              <w:rPr>
                <w:rFonts w:ascii="Arial" w:hAnsi="Arial" w:cs="Arial"/>
                <w:bCs/>
                <w:sz w:val="20"/>
              </w:rPr>
              <w:t>P2</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4A0668C7" w14:textId="77777777" w:rsidR="004C0AED" w:rsidRPr="004C0AED" w:rsidRDefault="004C0AED" w:rsidP="004C0AED">
            <w:pPr>
              <w:pStyle w:val="Body"/>
              <w:rPr>
                <w:rFonts w:ascii="Arial" w:hAnsi="Arial" w:cs="Arial"/>
                <w:bCs/>
                <w:sz w:val="20"/>
              </w:rPr>
            </w:pPr>
            <w:r w:rsidRPr="004C0AED">
              <w:rPr>
                <w:rFonts w:ascii="Arial" w:hAnsi="Arial" w:cs="Arial"/>
                <w:bCs/>
                <w:sz w:val="20"/>
              </w:rPr>
              <w:t>1.33</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72EE6811" w14:textId="77777777" w:rsidR="004C0AED" w:rsidRPr="004C0AED" w:rsidRDefault="004C0AED" w:rsidP="004C0AED">
            <w:pPr>
              <w:pStyle w:val="Body"/>
              <w:rPr>
                <w:rFonts w:ascii="Arial" w:hAnsi="Arial" w:cs="Arial"/>
                <w:bCs/>
                <w:sz w:val="20"/>
              </w:rPr>
            </w:pPr>
            <w:r w:rsidRPr="004C0AED">
              <w:rPr>
                <w:rFonts w:ascii="Arial" w:hAnsi="Arial" w:cs="Arial"/>
                <w:bCs/>
                <w:sz w:val="20"/>
              </w:rPr>
              <w:t>3.33</w:t>
            </w:r>
          </w:p>
        </w:tc>
        <w:tc>
          <w:tcPr>
            <w:tcW w:w="1620" w:type="dxa"/>
            <w:tcBorders>
              <w:top w:val="single" w:sz="4" w:space="0" w:color="000000" w:themeColor="text1"/>
              <w:left w:val="single" w:sz="4" w:space="0" w:color="auto"/>
              <w:bottom w:val="single" w:sz="4" w:space="0" w:color="000000" w:themeColor="text1"/>
              <w:right w:val="single" w:sz="4" w:space="0" w:color="auto"/>
            </w:tcBorders>
            <w:hideMark/>
          </w:tcPr>
          <w:p w14:paraId="3F1B42D8" w14:textId="77777777" w:rsidR="004C0AED" w:rsidRPr="004C0AED" w:rsidRDefault="004C0AED" w:rsidP="004C0AED">
            <w:pPr>
              <w:pStyle w:val="Body"/>
              <w:rPr>
                <w:rFonts w:ascii="Arial" w:hAnsi="Arial" w:cs="Arial"/>
                <w:bCs/>
                <w:sz w:val="20"/>
              </w:rPr>
            </w:pPr>
            <w:r w:rsidRPr="004C0AED">
              <w:rPr>
                <w:rFonts w:ascii="Arial" w:hAnsi="Arial" w:cs="Arial"/>
                <w:bCs/>
                <w:sz w:val="20"/>
              </w:rPr>
              <w:t>2</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03D40" w14:textId="77777777" w:rsidR="004C0AED" w:rsidRPr="004C0AED" w:rsidRDefault="004C0AED" w:rsidP="004C0AED">
            <w:pPr>
              <w:pStyle w:val="Body"/>
              <w:rPr>
                <w:rFonts w:ascii="Arial" w:hAnsi="Arial" w:cs="Arial"/>
                <w:bCs/>
                <w:sz w:val="20"/>
              </w:rPr>
            </w:pPr>
            <w:r w:rsidRPr="004C0AED">
              <w:rPr>
                <w:rFonts w:ascii="Arial" w:hAnsi="Arial" w:cs="Arial"/>
                <w:bCs/>
                <w:sz w:val="20"/>
              </w:rPr>
              <w:t>4</w:t>
            </w:r>
          </w:p>
        </w:tc>
      </w:tr>
      <w:tr w:rsidR="004C0AED" w:rsidRPr="004C0AED" w14:paraId="3D2A581B"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9C3EF" w14:textId="77777777" w:rsidR="004C0AED" w:rsidRPr="004C0AED" w:rsidRDefault="004C0AED" w:rsidP="004C0AED">
            <w:pPr>
              <w:pStyle w:val="Body"/>
              <w:rPr>
                <w:rFonts w:ascii="Arial" w:hAnsi="Arial" w:cs="Arial"/>
                <w:bCs/>
                <w:sz w:val="20"/>
              </w:rPr>
            </w:pPr>
            <w:r w:rsidRPr="004C0AED">
              <w:rPr>
                <w:rFonts w:ascii="Arial" w:hAnsi="Arial" w:cs="Arial"/>
                <w:bCs/>
                <w:sz w:val="20"/>
              </w:rPr>
              <w:t>P3</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6D7EACBF" w14:textId="77777777" w:rsidR="004C0AED" w:rsidRPr="004C0AED" w:rsidRDefault="004C0AED" w:rsidP="004C0AED">
            <w:pPr>
              <w:pStyle w:val="Body"/>
              <w:rPr>
                <w:rFonts w:ascii="Arial" w:hAnsi="Arial" w:cs="Arial"/>
                <w:bCs/>
                <w:sz w:val="20"/>
              </w:rPr>
            </w:pPr>
            <w:r w:rsidRPr="004C0AED">
              <w:rPr>
                <w:rFonts w:ascii="Arial" w:hAnsi="Arial" w:cs="Arial"/>
                <w:bCs/>
                <w:sz w:val="20"/>
              </w:rPr>
              <w:t>2</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2FB5FE38" w14:textId="77777777" w:rsidR="004C0AED" w:rsidRPr="004C0AED" w:rsidRDefault="004C0AED" w:rsidP="004C0AED">
            <w:pPr>
              <w:pStyle w:val="Body"/>
              <w:rPr>
                <w:rFonts w:ascii="Arial" w:hAnsi="Arial" w:cs="Arial"/>
                <w:bCs/>
                <w:sz w:val="20"/>
              </w:rPr>
            </w:pPr>
            <w:r w:rsidRPr="004C0AED">
              <w:rPr>
                <w:rFonts w:ascii="Arial" w:hAnsi="Arial" w:cs="Arial"/>
                <w:bCs/>
                <w:sz w:val="20"/>
              </w:rPr>
              <w:t>4.66</w:t>
            </w:r>
          </w:p>
        </w:tc>
        <w:tc>
          <w:tcPr>
            <w:tcW w:w="1620" w:type="dxa"/>
            <w:tcBorders>
              <w:top w:val="single" w:sz="4" w:space="0" w:color="000000" w:themeColor="text1"/>
              <w:left w:val="single" w:sz="4" w:space="0" w:color="auto"/>
              <w:bottom w:val="single" w:sz="4" w:space="0" w:color="000000" w:themeColor="text1"/>
              <w:right w:val="single" w:sz="4" w:space="0" w:color="auto"/>
            </w:tcBorders>
            <w:hideMark/>
          </w:tcPr>
          <w:p w14:paraId="73E6744C" w14:textId="77777777" w:rsidR="004C0AED" w:rsidRPr="004C0AED" w:rsidRDefault="004C0AED" w:rsidP="004C0AED">
            <w:pPr>
              <w:pStyle w:val="Body"/>
              <w:rPr>
                <w:rFonts w:ascii="Arial" w:hAnsi="Arial" w:cs="Arial"/>
                <w:bCs/>
                <w:sz w:val="20"/>
              </w:rPr>
            </w:pPr>
            <w:r w:rsidRPr="004C0AED">
              <w:rPr>
                <w:rFonts w:ascii="Arial" w:hAnsi="Arial" w:cs="Arial"/>
                <w:bCs/>
                <w:sz w:val="20"/>
              </w:rPr>
              <w:t>2.66</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86C29" w14:textId="77777777" w:rsidR="004C0AED" w:rsidRPr="004C0AED" w:rsidRDefault="004C0AED" w:rsidP="004C0AED">
            <w:pPr>
              <w:pStyle w:val="Body"/>
              <w:rPr>
                <w:rFonts w:ascii="Arial" w:hAnsi="Arial" w:cs="Arial"/>
                <w:bCs/>
                <w:sz w:val="20"/>
              </w:rPr>
            </w:pPr>
            <w:r w:rsidRPr="004C0AED">
              <w:rPr>
                <w:rFonts w:ascii="Arial" w:hAnsi="Arial" w:cs="Arial"/>
                <w:bCs/>
                <w:sz w:val="20"/>
              </w:rPr>
              <w:t>7.07</w:t>
            </w:r>
          </w:p>
        </w:tc>
      </w:tr>
      <w:tr w:rsidR="004C0AED" w:rsidRPr="004C0AED" w14:paraId="08840410"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2DD5A" w14:textId="77777777" w:rsidR="004C0AED" w:rsidRPr="004C0AED" w:rsidRDefault="004C0AED" w:rsidP="004C0AED">
            <w:pPr>
              <w:pStyle w:val="Body"/>
              <w:rPr>
                <w:rFonts w:ascii="Arial" w:hAnsi="Arial" w:cs="Arial"/>
                <w:bCs/>
                <w:sz w:val="20"/>
              </w:rPr>
            </w:pPr>
            <w:r w:rsidRPr="004C0AED">
              <w:rPr>
                <w:rFonts w:ascii="Arial" w:hAnsi="Arial" w:cs="Arial"/>
                <w:bCs/>
                <w:sz w:val="20"/>
              </w:rPr>
              <w:t>P4</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63727B7E" w14:textId="77777777" w:rsidR="004C0AED" w:rsidRPr="004C0AED" w:rsidRDefault="004C0AED" w:rsidP="004C0AED">
            <w:pPr>
              <w:pStyle w:val="Body"/>
              <w:rPr>
                <w:rFonts w:ascii="Arial" w:hAnsi="Arial" w:cs="Arial"/>
                <w:bCs/>
                <w:sz w:val="20"/>
              </w:rPr>
            </w:pPr>
            <w:r w:rsidRPr="004C0AED">
              <w:rPr>
                <w:rFonts w:ascii="Arial" w:hAnsi="Arial" w:cs="Arial"/>
                <w:bCs/>
                <w:sz w:val="20"/>
              </w:rPr>
              <w:t>2</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39F87AA6" w14:textId="77777777" w:rsidR="004C0AED" w:rsidRPr="004C0AED" w:rsidRDefault="004C0AED" w:rsidP="004C0AED">
            <w:pPr>
              <w:pStyle w:val="Body"/>
              <w:rPr>
                <w:rFonts w:ascii="Arial" w:hAnsi="Arial" w:cs="Arial"/>
                <w:bCs/>
                <w:sz w:val="20"/>
              </w:rPr>
            </w:pPr>
            <w:r w:rsidRPr="004C0AED">
              <w:rPr>
                <w:rFonts w:ascii="Arial" w:hAnsi="Arial" w:cs="Arial"/>
                <w:bCs/>
                <w:sz w:val="20"/>
              </w:rPr>
              <w:t>3.33</w:t>
            </w:r>
          </w:p>
        </w:tc>
        <w:tc>
          <w:tcPr>
            <w:tcW w:w="1620" w:type="dxa"/>
            <w:tcBorders>
              <w:top w:val="single" w:sz="4" w:space="0" w:color="000000" w:themeColor="text1"/>
              <w:left w:val="single" w:sz="4" w:space="0" w:color="auto"/>
              <w:bottom w:val="single" w:sz="4" w:space="0" w:color="000000" w:themeColor="text1"/>
              <w:right w:val="single" w:sz="4" w:space="0" w:color="auto"/>
            </w:tcBorders>
            <w:hideMark/>
          </w:tcPr>
          <w:p w14:paraId="0C85FF09" w14:textId="77777777" w:rsidR="004C0AED" w:rsidRPr="004C0AED" w:rsidRDefault="004C0AED" w:rsidP="004C0AED">
            <w:pPr>
              <w:pStyle w:val="Body"/>
              <w:rPr>
                <w:rFonts w:ascii="Arial" w:hAnsi="Arial" w:cs="Arial"/>
                <w:bCs/>
                <w:sz w:val="20"/>
              </w:rPr>
            </w:pPr>
            <w:r w:rsidRPr="004C0AED">
              <w:rPr>
                <w:rFonts w:ascii="Arial" w:hAnsi="Arial" w:cs="Arial"/>
                <w:bCs/>
                <w:sz w:val="20"/>
              </w:rPr>
              <w:t>1.33</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5AFC0" w14:textId="77777777" w:rsidR="004C0AED" w:rsidRPr="004C0AED" w:rsidRDefault="004C0AED" w:rsidP="004C0AED">
            <w:pPr>
              <w:pStyle w:val="Body"/>
              <w:rPr>
                <w:rFonts w:ascii="Arial" w:hAnsi="Arial" w:cs="Arial"/>
                <w:bCs/>
                <w:sz w:val="20"/>
              </w:rPr>
            </w:pPr>
            <w:r w:rsidRPr="004C0AED">
              <w:rPr>
                <w:rFonts w:ascii="Arial" w:hAnsi="Arial" w:cs="Arial"/>
                <w:bCs/>
                <w:sz w:val="20"/>
              </w:rPr>
              <w:t>1.76</w:t>
            </w:r>
          </w:p>
        </w:tc>
      </w:tr>
      <w:tr w:rsidR="004C0AED" w:rsidRPr="004C0AED" w14:paraId="74F38925"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C8CD7" w14:textId="77777777" w:rsidR="004C0AED" w:rsidRPr="004C0AED" w:rsidRDefault="004C0AED" w:rsidP="004C0AED">
            <w:pPr>
              <w:pStyle w:val="Body"/>
              <w:rPr>
                <w:rFonts w:ascii="Arial" w:hAnsi="Arial" w:cs="Arial"/>
                <w:bCs/>
                <w:sz w:val="20"/>
              </w:rPr>
            </w:pP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4FD3E254" w14:textId="77777777" w:rsidR="004C0AED" w:rsidRPr="004C0AED" w:rsidRDefault="004C0AED" w:rsidP="004C0AED">
            <w:pPr>
              <w:pStyle w:val="Body"/>
              <w:rPr>
                <w:rFonts w:ascii="Arial" w:hAnsi="Arial" w:cs="Arial"/>
                <w:bCs/>
                <w:sz w:val="20"/>
              </w:rPr>
            </w:pPr>
            <w:r w:rsidRPr="004C0AED">
              <w:rPr>
                <w:rFonts w:ascii="Arial" w:hAnsi="Arial" w:cs="Arial"/>
                <w:bCs/>
                <w:sz w:val="20"/>
              </w:rPr>
              <w:t>∑</w:t>
            </w:r>
            <w:r w:rsidRPr="004C0AED">
              <w:rPr>
                <w:rFonts w:ascii="Arial" w:hAnsi="Arial" w:cs="Arial"/>
                <w:bCs/>
                <w:i/>
                <w:sz w:val="20"/>
              </w:rPr>
              <w:t>x</w:t>
            </w:r>
            <w:r w:rsidRPr="004C0AED">
              <w:rPr>
                <w:rFonts w:ascii="Arial" w:hAnsi="Arial" w:cs="Arial"/>
                <w:bCs/>
                <w:sz w:val="20"/>
              </w:rPr>
              <w:t>1 = 7.33</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0E9EA2A2" w14:textId="77777777" w:rsidR="004C0AED" w:rsidRPr="004C0AED" w:rsidRDefault="004C0AED" w:rsidP="004C0AED">
            <w:pPr>
              <w:pStyle w:val="Body"/>
              <w:rPr>
                <w:rFonts w:ascii="Arial" w:hAnsi="Arial" w:cs="Arial"/>
                <w:bCs/>
                <w:sz w:val="20"/>
              </w:rPr>
            </w:pPr>
            <w:r w:rsidRPr="004C0AED">
              <w:rPr>
                <w:rFonts w:ascii="Arial" w:hAnsi="Arial" w:cs="Arial"/>
                <w:bCs/>
                <w:sz w:val="20"/>
              </w:rPr>
              <w:t>∑</w:t>
            </w:r>
            <w:r w:rsidRPr="004C0AED">
              <w:rPr>
                <w:rFonts w:ascii="Arial" w:hAnsi="Arial" w:cs="Arial"/>
                <w:bCs/>
                <w:i/>
                <w:sz w:val="20"/>
              </w:rPr>
              <w:t>x</w:t>
            </w:r>
            <w:r w:rsidRPr="004C0AED">
              <w:rPr>
                <w:rFonts w:ascii="Arial" w:hAnsi="Arial" w:cs="Arial"/>
                <w:bCs/>
                <w:sz w:val="20"/>
              </w:rPr>
              <w:t>2 = 14.65</w:t>
            </w:r>
          </w:p>
        </w:tc>
        <w:tc>
          <w:tcPr>
            <w:tcW w:w="1620" w:type="dxa"/>
            <w:tcBorders>
              <w:top w:val="single" w:sz="4" w:space="0" w:color="000000" w:themeColor="text1"/>
              <w:left w:val="single" w:sz="4" w:space="0" w:color="auto"/>
              <w:bottom w:val="single" w:sz="4" w:space="0" w:color="000000" w:themeColor="text1"/>
              <w:right w:val="single" w:sz="4" w:space="0" w:color="auto"/>
            </w:tcBorders>
            <w:hideMark/>
          </w:tcPr>
          <w:p w14:paraId="76D1ECD3" w14:textId="77777777" w:rsidR="004C0AED" w:rsidRPr="004C0AED" w:rsidRDefault="004C0AED" w:rsidP="004C0AED">
            <w:pPr>
              <w:pStyle w:val="Body"/>
              <w:rPr>
                <w:rFonts w:ascii="Arial" w:hAnsi="Arial" w:cs="Arial"/>
                <w:bCs/>
                <w:sz w:val="20"/>
              </w:rPr>
            </w:pPr>
            <w:r w:rsidRPr="004C0AED">
              <w:rPr>
                <w:rFonts w:ascii="Arial" w:hAnsi="Arial" w:cs="Arial"/>
                <w:bCs/>
                <w:sz w:val="20"/>
              </w:rPr>
              <w:t>∑d = 7.32</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761E5" w14:textId="77777777" w:rsidR="004C0AED" w:rsidRPr="004C0AED" w:rsidRDefault="004C0AED" w:rsidP="004C0AED">
            <w:pPr>
              <w:pStyle w:val="Body"/>
              <w:rPr>
                <w:rFonts w:ascii="Arial" w:hAnsi="Arial" w:cs="Arial"/>
                <w:bCs/>
                <w:sz w:val="20"/>
              </w:rPr>
            </w:pPr>
            <w:r w:rsidRPr="004C0AED">
              <w:rPr>
                <w:rFonts w:ascii="Arial" w:hAnsi="Arial" w:cs="Arial"/>
                <w:bCs/>
                <w:sz w:val="20"/>
              </w:rPr>
              <w:t>∑d</w:t>
            </w:r>
            <w:r w:rsidRPr="004C0AED">
              <w:rPr>
                <w:rFonts w:ascii="Arial" w:hAnsi="Arial" w:cs="Arial"/>
                <w:bCs/>
                <w:sz w:val="20"/>
                <w:vertAlign w:val="superscript"/>
              </w:rPr>
              <w:t>2</w:t>
            </w:r>
            <w:r w:rsidRPr="004C0AED">
              <w:rPr>
                <w:rFonts w:ascii="Arial" w:hAnsi="Arial" w:cs="Arial"/>
                <w:bCs/>
                <w:sz w:val="20"/>
              </w:rPr>
              <w:t xml:space="preserve"> = 14.59</w:t>
            </w:r>
          </w:p>
        </w:tc>
      </w:tr>
      <w:tr w:rsidR="004C0AED" w:rsidRPr="004C0AED" w14:paraId="19218F93"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1537E" w14:textId="77777777" w:rsidR="004C0AED" w:rsidRPr="004C0AED" w:rsidRDefault="004C0AED" w:rsidP="004C0AED">
            <w:pPr>
              <w:pStyle w:val="Body"/>
              <w:rPr>
                <w:rFonts w:ascii="Arial" w:hAnsi="Arial" w:cs="Arial"/>
                <w:bCs/>
                <w:sz w:val="20"/>
              </w:rPr>
            </w:pP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084CD6C7" w14:textId="77777777" w:rsidR="004C0AED" w:rsidRPr="004C0AED" w:rsidRDefault="00A26891" w:rsidP="004C0AED">
            <w:pPr>
              <w:pStyle w:val="Body"/>
              <w:rPr>
                <w:rFonts w:ascii="Arial" w:hAnsi="Arial" w:cs="Arial"/>
                <w:bCs/>
                <w:sz w:val="20"/>
              </w:rPr>
            </w:pPr>
            <m:oMath>
              <m:acc>
                <m:accPr>
                  <m:chr m:val="̅"/>
                  <m:ctrlPr>
                    <w:rPr>
                      <w:rFonts w:ascii="Cambria Math" w:hAnsi="Cambria Math" w:cs="Arial"/>
                      <w:bCs/>
                      <w:i/>
                      <w:sz w:val="20"/>
                    </w:rPr>
                  </m:ctrlPr>
                </m:accPr>
                <m:e>
                  <m:r>
                    <w:rPr>
                      <w:rFonts w:ascii="Cambria Math" w:hAnsi="Cambria Math" w:cs="Arial"/>
                    </w:rPr>
                    <m:t>x</m:t>
                  </m:r>
                  <m:r>
                    <w:rPr>
                      <w:rFonts w:ascii="Cambria Math" w:hAnsi="Cambria Math" w:cs="Arial"/>
                    </w:rPr>
                    <m:t>1</m:t>
                  </m:r>
                </m:e>
              </m:acc>
            </m:oMath>
            <w:r w:rsidR="004C0AED" w:rsidRPr="004C0AED">
              <w:rPr>
                <w:rFonts w:ascii="Arial" w:hAnsi="Arial" w:cs="Arial"/>
                <w:bCs/>
                <w:sz w:val="20"/>
              </w:rPr>
              <w:t xml:space="preserve"> = 1.83</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06D84725" w14:textId="77777777" w:rsidR="004C0AED" w:rsidRPr="004C0AED" w:rsidRDefault="00A26891" w:rsidP="004C0AED">
            <w:pPr>
              <w:pStyle w:val="Body"/>
              <w:rPr>
                <w:rFonts w:ascii="Arial" w:hAnsi="Arial" w:cs="Arial"/>
                <w:bCs/>
                <w:sz w:val="20"/>
              </w:rPr>
            </w:pPr>
            <m:oMath>
              <m:acc>
                <m:accPr>
                  <m:chr m:val="̅"/>
                  <m:ctrlPr>
                    <w:rPr>
                      <w:rFonts w:ascii="Cambria Math" w:hAnsi="Cambria Math" w:cs="Arial"/>
                      <w:bCs/>
                      <w:i/>
                      <w:sz w:val="20"/>
                    </w:rPr>
                  </m:ctrlPr>
                </m:accPr>
                <m:e>
                  <m:r>
                    <w:rPr>
                      <w:rFonts w:ascii="Cambria Math" w:hAnsi="Cambria Math" w:cs="Arial"/>
                    </w:rPr>
                    <m:t>x</m:t>
                  </m:r>
                  <m:r>
                    <w:rPr>
                      <w:rFonts w:ascii="Cambria Math" w:hAnsi="Cambria Math" w:cs="Arial"/>
                    </w:rPr>
                    <m:t>2</m:t>
                  </m:r>
                </m:e>
              </m:acc>
            </m:oMath>
            <w:r w:rsidR="004C0AED" w:rsidRPr="004C0AED">
              <w:rPr>
                <w:rFonts w:ascii="Arial" w:hAnsi="Arial" w:cs="Arial"/>
                <w:bCs/>
                <w:sz w:val="20"/>
              </w:rPr>
              <w:t xml:space="preserve"> = 3.66</w:t>
            </w:r>
          </w:p>
        </w:tc>
        <w:tc>
          <w:tcPr>
            <w:tcW w:w="1620" w:type="dxa"/>
            <w:tcBorders>
              <w:top w:val="single" w:sz="4" w:space="0" w:color="000000" w:themeColor="text1"/>
              <w:left w:val="single" w:sz="4" w:space="0" w:color="auto"/>
              <w:bottom w:val="single" w:sz="4" w:space="0" w:color="000000" w:themeColor="text1"/>
              <w:right w:val="single" w:sz="4" w:space="0" w:color="auto"/>
            </w:tcBorders>
          </w:tcPr>
          <w:p w14:paraId="322E086B" w14:textId="77777777" w:rsidR="004C0AED" w:rsidRPr="004C0AED" w:rsidRDefault="004C0AED" w:rsidP="004C0AED">
            <w:pPr>
              <w:pStyle w:val="Body"/>
              <w:rPr>
                <w:rFonts w:ascii="Arial" w:hAnsi="Arial" w:cs="Arial"/>
                <w:bCs/>
                <w:sz w:val="2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5D0A2" w14:textId="77777777" w:rsidR="004C0AED" w:rsidRPr="004C0AED" w:rsidRDefault="004C0AED" w:rsidP="004C0AED">
            <w:pPr>
              <w:pStyle w:val="Body"/>
              <w:rPr>
                <w:rFonts w:ascii="Arial" w:hAnsi="Arial" w:cs="Arial"/>
                <w:bCs/>
                <w:sz w:val="20"/>
              </w:rPr>
            </w:pPr>
          </w:p>
        </w:tc>
      </w:tr>
    </w:tbl>
    <w:p w14:paraId="378DC123" w14:textId="77777777" w:rsidR="004C0AED" w:rsidRDefault="004C0AED" w:rsidP="004C0AED">
      <w:pPr>
        <w:pStyle w:val="Body"/>
        <w:spacing w:after="0"/>
        <w:rPr>
          <w:rFonts w:ascii="Arial" w:hAnsi="Arial" w:cs="Arial"/>
          <w:b/>
          <w:bCs/>
          <w:szCs w:val="22"/>
        </w:rPr>
      </w:pPr>
      <w:r w:rsidRPr="004C0AED">
        <w:rPr>
          <w:rFonts w:ascii="Arial" w:hAnsi="Arial" w:cs="Arial"/>
          <w:b/>
          <w:bCs/>
          <w:szCs w:val="22"/>
        </w:rPr>
        <w:t xml:space="preserve">                                         Table 6: Mean of responsive naming</w:t>
      </w:r>
    </w:p>
    <w:p w14:paraId="5437212C" w14:textId="77777777" w:rsidR="004C0AED" w:rsidRPr="004C0AED" w:rsidRDefault="004C0AED" w:rsidP="004C0AED">
      <w:pPr>
        <w:pStyle w:val="Body"/>
        <w:spacing w:after="0"/>
        <w:rPr>
          <w:rFonts w:ascii="Arial" w:hAnsi="Arial" w:cs="Arial"/>
          <w:b/>
          <w:bCs/>
          <w:szCs w:val="22"/>
        </w:rPr>
      </w:pPr>
    </w:p>
    <w:p w14:paraId="62007D6F" w14:textId="7C538B64" w:rsidR="004C0AED" w:rsidRPr="004C0AED" w:rsidRDefault="004C0AED" w:rsidP="004C0AED">
      <w:pPr>
        <w:pStyle w:val="Body"/>
        <w:spacing w:after="0"/>
        <w:rPr>
          <w:rFonts w:ascii="Arial" w:hAnsi="Arial" w:cs="Arial"/>
          <w:bCs/>
          <w:szCs w:val="22"/>
        </w:rPr>
      </w:pPr>
      <w:r w:rsidRPr="004C0AED">
        <w:rPr>
          <w:rFonts w:ascii="Arial" w:hAnsi="Arial" w:cs="Arial"/>
          <w:bCs/>
          <w:szCs w:val="22"/>
        </w:rPr>
        <w:t>Statistical analysis of the data represented the ‘t’ value (calculation is presented in annexure 4) in the area of responsive naming which was significant (</w:t>
      </w:r>
      <w:proofErr w:type="gramStart"/>
      <w:r w:rsidRPr="004C0AED">
        <w:rPr>
          <w:rFonts w:ascii="Arial" w:hAnsi="Arial" w:cs="Arial"/>
          <w:bCs/>
          <w:szCs w:val="22"/>
        </w:rPr>
        <w:t>t  =</w:t>
      </w:r>
      <w:proofErr w:type="gramEnd"/>
      <w:r w:rsidRPr="004C0AED">
        <w:rPr>
          <w:rFonts w:ascii="Arial" w:hAnsi="Arial" w:cs="Arial"/>
          <w:bCs/>
          <w:szCs w:val="22"/>
        </w:rPr>
        <w:t xml:space="preserve"> 5.80, df = 3, p = &lt;.005, one tailed hypothesis). The usual cut-off point for claiming support for significant level of the experimental hypothesis is 5% (Hicks, 1999) therefore it can be said that the findings of the study is significant. The bar chart (figure 4) is representing the improvement rate of each of 4 participants before and after applying MIT in the area of responsive naming.</w:t>
      </w:r>
    </w:p>
    <w:p w14:paraId="47D8ED1B" w14:textId="77777777" w:rsidR="004C0AED" w:rsidRPr="004C0AED" w:rsidRDefault="004C0AED" w:rsidP="004C0AED">
      <w:pPr>
        <w:pStyle w:val="Body"/>
        <w:spacing w:after="0"/>
        <w:rPr>
          <w:rFonts w:ascii="Arial" w:hAnsi="Arial" w:cs="Arial"/>
          <w:bCs/>
          <w:szCs w:val="22"/>
        </w:rPr>
      </w:pPr>
      <w:r w:rsidRPr="004C0AED">
        <w:rPr>
          <w:rFonts w:ascii="Arial" w:hAnsi="Arial" w:cs="Arial"/>
          <w:bCs/>
          <w:szCs w:val="22"/>
        </w:rPr>
        <w:lastRenderedPageBreak/>
        <w:t xml:space="preserve">               </w:t>
      </w:r>
      <w:r w:rsidRPr="004C0AED">
        <w:rPr>
          <w:rFonts w:ascii="Arial" w:hAnsi="Arial" w:cs="Arial"/>
          <w:bCs/>
          <w:noProof/>
          <w:szCs w:val="22"/>
        </w:rPr>
        <w:drawing>
          <wp:inline distT="0" distB="0" distL="0" distR="0" wp14:anchorId="3D28BD7E" wp14:editId="5EFA4EE2">
            <wp:extent cx="4581525" cy="30099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0D0038" w14:textId="77777777" w:rsidR="004C0AED" w:rsidRPr="004C0AED" w:rsidRDefault="004C0AED" w:rsidP="004C0AED">
      <w:pPr>
        <w:pStyle w:val="Body"/>
        <w:spacing w:after="0"/>
        <w:rPr>
          <w:rFonts w:ascii="Arial" w:hAnsi="Arial" w:cs="Arial"/>
          <w:b/>
          <w:bCs/>
          <w:szCs w:val="22"/>
        </w:rPr>
      </w:pPr>
      <w:r w:rsidRPr="004C0AED">
        <w:rPr>
          <w:rFonts w:ascii="Arial" w:hAnsi="Arial" w:cs="Arial"/>
          <w:b/>
          <w:bCs/>
          <w:szCs w:val="22"/>
        </w:rPr>
        <w:t xml:space="preserve">                           Figure 4: Participants performance in responsive naming</w:t>
      </w:r>
    </w:p>
    <w:p w14:paraId="55CE5542" w14:textId="77777777" w:rsidR="004C0AED" w:rsidRDefault="004C0AED" w:rsidP="004C0AED">
      <w:pPr>
        <w:pStyle w:val="Body"/>
        <w:spacing w:after="0"/>
        <w:rPr>
          <w:rFonts w:ascii="Arial" w:hAnsi="Arial" w:cs="Arial"/>
          <w:bCs/>
          <w:szCs w:val="22"/>
        </w:rPr>
      </w:pPr>
      <w:r w:rsidRPr="004C0AED">
        <w:rPr>
          <w:rFonts w:ascii="Arial" w:hAnsi="Arial" w:cs="Arial"/>
          <w:bCs/>
          <w:szCs w:val="22"/>
        </w:rPr>
        <w:t>Form the Bar chart, it is observed that among 4 participants all of them gained significant improvement in the area of responsive naming.</w:t>
      </w:r>
    </w:p>
    <w:p w14:paraId="67A9BAE9" w14:textId="77777777" w:rsidR="004C0AED" w:rsidRDefault="004C0AED" w:rsidP="004C0AED">
      <w:pPr>
        <w:pStyle w:val="Body"/>
        <w:spacing w:after="0"/>
        <w:rPr>
          <w:rFonts w:ascii="Arial" w:hAnsi="Arial" w:cs="Arial"/>
          <w:bCs/>
          <w:szCs w:val="22"/>
        </w:rPr>
      </w:pPr>
    </w:p>
    <w:p w14:paraId="75747919" w14:textId="77777777" w:rsidR="004C0AED" w:rsidRDefault="004C0AED" w:rsidP="004C0AED">
      <w:pPr>
        <w:pStyle w:val="Body"/>
        <w:spacing w:after="0"/>
        <w:rPr>
          <w:rFonts w:ascii="Arial" w:hAnsi="Arial" w:cs="Arial"/>
          <w:bCs/>
          <w:szCs w:val="22"/>
        </w:rPr>
      </w:pPr>
    </w:p>
    <w:p w14:paraId="1056A8F9" w14:textId="77777777" w:rsidR="004C0AED" w:rsidRDefault="004C0AED" w:rsidP="004C0AED">
      <w:pPr>
        <w:pStyle w:val="Body"/>
        <w:spacing w:after="0"/>
        <w:rPr>
          <w:rFonts w:ascii="Arial" w:hAnsi="Arial" w:cs="Arial"/>
          <w:bCs/>
          <w:szCs w:val="22"/>
        </w:rPr>
      </w:pPr>
    </w:p>
    <w:p w14:paraId="679D19B8" w14:textId="77777777" w:rsidR="004C0AED" w:rsidRPr="004C0AED" w:rsidRDefault="004C0AED" w:rsidP="004C0AED">
      <w:pPr>
        <w:pStyle w:val="Body"/>
        <w:spacing w:after="0"/>
        <w:rPr>
          <w:rFonts w:ascii="Arial" w:hAnsi="Arial" w:cs="Arial"/>
          <w:bCs/>
          <w:szCs w:val="22"/>
        </w:rPr>
      </w:pPr>
    </w:p>
    <w:p w14:paraId="10F089B4" w14:textId="77777777" w:rsidR="004C0AED" w:rsidRDefault="004C0AED" w:rsidP="004C0AED">
      <w:pPr>
        <w:pStyle w:val="Body"/>
        <w:spacing w:after="0"/>
        <w:rPr>
          <w:rFonts w:ascii="Arial" w:hAnsi="Arial" w:cs="Arial"/>
          <w:b/>
          <w:bCs/>
          <w:szCs w:val="22"/>
        </w:rPr>
      </w:pPr>
      <w:r w:rsidRPr="004C0AED">
        <w:rPr>
          <w:rFonts w:ascii="Arial" w:hAnsi="Arial" w:cs="Arial"/>
          <w:b/>
          <w:bCs/>
          <w:szCs w:val="22"/>
        </w:rPr>
        <w:t>3.3.4 Confrontation Naming</w:t>
      </w:r>
    </w:p>
    <w:p w14:paraId="76DF7A68" w14:textId="77777777" w:rsidR="004C0AED" w:rsidRPr="004C0AED" w:rsidRDefault="004C0AED" w:rsidP="004C0AED">
      <w:pPr>
        <w:pStyle w:val="Body"/>
        <w:spacing w:after="0"/>
        <w:rPr>
          <w:rFonts w:ascii="Arial" w:hAnsi="Arial" w:cs="Arial"/>
          <w:b/>
          <w:bCs/>
          <w:szCs w:val="22"/>
        </w:rPr>
      </w:pPr>
    </w:p>
    <w:p w14:paraId="7667D493" w14:textId="77777777" w:rsidR="004C0AED" w:rsidRPr="004C0AED" w:rsidRDefault="004C0AED" w:rsidP="004C0AED">
      <w:pPr>
        <w:pStyle w:val="Body"/>
        <w:spacing w:after="0"/>
        <w:rPr>
          <w:rFonts w:ascii="Arial" w:hAnsi="Arial" w:cs="Arial"/>
          <w:bCs/>
          <w:szCs w:val="22"/>
        </w:rPr>
      </w:pPr>
      <w:r w:rsidRPr="004C0AED">
        <w:rPr>
          <w:rFonts w:ascii="Arial" w:hAnsi="Arial" w:cs="Arial"/>
          <w:bCs/>
          <w:szCs w:val="22"/>
        </w:rPr>
        <w:t>The overall findings in the area of confrontation naming represent that, the mean score of participants before applying MIT was 3.99 and after applying MIT was 7.08 (data is presented in table 7). Therefore the mean score of participants in the area of confrontation naming improved after applying MIT. The study showed that the average/mean scores were better after receiving MIT than before receiving MIT.</w:t>
      </w:r>
    </w:p>
    <w:p w14:paraId="085301B8" w14:textId="77777777" w:rsidR="004C0AED" w:rsidRPr="004C0AED" w:rsidRDefault="004C0AED" w:rsidP="004C0AED">
      <w:pPr>
        <w:pStyle w:val="Body"/>
        <w:spacing w:after="0"/>
        <w:rPr>
          <w:rFonts w:ascii="Arial" w:hAnsi="Arial" w:cs="Arial"/>
          <w:bCs/>
          <w:szCs w:val="22"/>
        </w:rPr>
      </w:pPr>
    </w:p>
    <w:p w14:paraId="73759C20" w14:textId="77777777" w:rsidR="004C0AED" w:rsidRPr="004C0AED" w:rsidRDefault="004C0AED" w:rsidP="004C0AED">
      <w:pPr>
        <w:pStyle w:val="Body"/>
        <w:spacing w:after="0"/>
        <w:rPr>
          <w:rFonts w:ascii="Arial" w:hAnsi="Arial" w:cs="Arial"/>
          <w:bCs/>
          <w:szCs w:val="22"/>
        </w:rPr>
      </w:pPr>
    </w:p>
    <w:p w14:paraId="01F35EE1" w14:textId="77777777" w:rsidR="004C0AED" w:rsidRPr="004C0AED" w:rsidRDefault="004C0AED" w:rsidP="004C0AED">
      <w:pPr>
        <w:pStyle w:val="Body"/>
        <w:spacing w:after="0"/>
        <w:rPr>
          <w:rFonts w:ascii="Arial" w:hAnsi="Arial" w:cs="Arial"/>
          <w:bCs/>
          <w:szCs w:val="22"/>
        </w:rPr>
      </w:pPr>
    </w:p>
    <w:tbl>
      <w:tblPr>
        <w:tblStyle w:val="TableGrid"/>
        <w:tblW w:w="0" w:type="auto"/>
        <w:tblLook w:val="04A0" w:firstRow="1" w:lastRow="0" w:firstColumn="1" w:lastColumn="0" w:noHBand="0" w:noVBand="1"/>
      </w:tblPr>
      <w:tblGrid>
        <w:gridCol w:w="1548"/>
        <w:gridCol w:w="2250"/>
        <w:gridCol w:w="2340"/>
        <w:gridCol w:w="1530"/>
        <w:gridCol w:w="1575"/>
      </w:tblGrid>
      <w:tr w:rsidR="004C0AED" w:rsidRPr="004C0AED" w14:paraId="4ACDA17D" w14:textId="77777777" w:rsidTr="004C0AED">
        <w:trPr>
          <w:trHeight w:val="165"/>
        </w:trPr>
        <w:tc>
          <w:tcPr>
            <w:tcW w:w="15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9CE6" w14:textId="77777777" w:rsidR="004C0AED" w:rsidRPr="004C0AED" w:rsidRDefault="004C0AED" w:rsidP="004C0AED">
            <w:pPr>
              <w:pStyle w:val="Body"/>
              <w:rPr>
                <w:rFonts w:ascii="Arial" w:hAnsi="Arial" w:cs="Arial"/>
                <w:b/>
                <w:bCs/>
                <w:sz w:val="20"/>
              </w:rPr>
            </w:pPr>
            <w:r w:rsidRPr="004C0AED">
              <w:rPr>
                <w:rFonts w:ascii="Arial" w:hAnsi="Arial" w:cs="Arial"/>
                <w:b/>
                <w:bCs/>
                <w:sz w:val="20"/>
              </w:rPr>
              <w:t>Participants</w:t>
            </w:r>
          </w:p>
        </w:tc>
        <w:tc>
          <w:tcPr>
            <w:tcW w:w="22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70F287B" w14:textId="77777777" w:rsidR="004C0AED" w:rsidRPr="004C0AED" w:rsidRDefault="004C0AED" w:rsidP="004C0AED">
            <w:pPr>
              <w:pStyle w:val="Body"/>
              <w:rPr>
                <w:rFonts w:ascii="Arial" w:hAnsi="Arial" w:cs="Arial"/>
                <w:b/>
                <w:bCs/>
                <w:sz w:val="20"/>
              </w:rPr>
            </w:pPr>
            <w:r w:rsidRPr="004C0AED">
              <w:rPr>
                <w:rFonts w:ascii="Arial" w:hAnsi="Arial" w:cs="Arial"/>
                <w:b/>
                <w:bCs/>
                <w:sz w:val="20"/>
              </w:rPr>
              <w:t>Confrontation Naming Pre-test x1</w:t>
            </w:r>
          </w:p>
        </w:tc>
        <w:tc>
          <w:tcPr>
            <w:tcW w:w="234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B90CA14" w14:textId="77777777" w:rsidR="004C0AED" w:rsidRPr="004C0AED" w:rsidRDefault="004C0AED" w:rsidP="004C0AED">
            <w:pPr>
              <w:pStyle w:val="Body"/>
              <w:rPr>
                <w:rFonts w:ascii="Arial" w:hAnsi="Arial" w:cs="Arial"/>
                <w:b/>
                <w:bCs/>
                <w:sz w:val="20"/>
              </w:rPr>
            </w:pPr>
            <w:r w:rsidRPr="004C0AED">
              <w:rPr>
                <w:rFonts w:ascii="Arial" w:hAnsi="Arial" w:cs="Arial"/>
                <w:b/>
                <w:bCs/>
                <w:sz w:val="20"/>
              </w:rPr>
              <w:t>Confrontation Naming Post-test x2</w:t>
            </w:r>
          </w:p>
        </w:tc>
        <w:tc>
          <w:tcPr>
            <w:tcW w:w="3105" w:type="dxa"/>
            <w:gridSpan w:val="2"/>
            <w:tcBorders>
              <w:top w:val="single" w:sz="4" w:space="0" w:color="000000" w:themeColor="text1"/>
              <w:left w:val="single" w:sz="4" w:space="0" w:color="auto"/>
              <w:bottom w:val="single" w:sz="4" w:space="0" w:color="auto"/>
              <w:right w:val="single" w:sz="4" w:space="0" w:color="000000" w:themeColor="text1"/>
            </w:tcBorders>
            <w:hideMark/>
          </w:tcPr>
          <w:p w14:paraId="5CA54179" w14:textId="77777777" w:rsidR="004C0AED" w:rsidRPr="004C0AED" w:rsidRDefault="004C0AED" w:rsidP="004C0AED">
            <w:pPr>
              <w:pStyle w:val="Body"/>
              <w:rPr>
                <w:rFonts w:ascii="Arial" w:hAnsi="Arial" w:cs="Arial"/>
                <w:b/>
                <w:bCs/>
                <w:sz w:val="20"/>
              </w:rPr>
            </w:pPr>
            <w:r w:rsidRPr="004C0AED">
              <w:rPr>
                <w:rFonts w:ascii="Arial" w:hAnsi="Arial" w:cs="Arial"/>
                <w:b/>
                <w:bCs/>
                <w:sz w:val="20"/>
              </w:rPr>
              <w:t xml:space="preserve">Difference between </w:t>
            </w:r>
            <w:proofErr w:type="spellStart"/>
            <w:r w:rsidRPr="004C0AED">
              <w:rPr>
                <w:rFonts w:ascii="Arial" w:hAnsi="Arial" w:cs="Arial"/>
                <w:b/>
                <w:bCs/>
                <w:sz w:val="20"/>
              </w:rPr>
              <w:t>pre test</w:t>
            </w:r>
            <w:proofErr w:type="spellEnd"/>
            <w:r w:rsidRPr="004C0AED">
              <w:rPr>
                <w:rFonts w:ascii="Arial" w:hAnsi="Arial" w:cs="Arial"/>
                <w:b/>
                <w:bCs/>
                <w:sz w:val="20"/>
              </w:rPr>
              <w:t xml:space="preserve"> and post test</w:t>
            </w:r>
          </w:p>
        </w:tc>
      </w:tr>
      <w:tr w:rsidR="004C0AED" w:rsidRPr="004C0AED" w14:paraId="3D6FC616" w14:textId="77777777" w:rsidTr="004C0AED">
        <w:trPr>
          <w:trHeight w:val="10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B90CC7" w14:textId="77777777" w:rsidR="004C0AED" w:rsidRPr="004C0AED" w:rsidRDefault="004C0AED" w:rsidP="004C0AED">
            <w:pPr>
              <w:pStyle w:val="Body"/>
              <w:rPr>
                <w:rFonts w:ascii="Arial" w:hAnsi="Arial" w:cs="Arial"/>
                <w:b/>
                <w:bCs/>
                <w:sz w:val="20"/>
              </w:rPr>
            </w:pPr>
          </w:p>
        </w:tc>
        <w:tc>
          <w:tcPr>
            <w:tcW w:w="0" w:type="auto"/>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F2C1C5D" w14:textId="77777777" w:rsidR="004C0AED" w:rsidRPr="004C0AED" w:rsidRDefault="004C0AED" w:rsidP="004C0AED">
            <w:pPr>
              <w:pStyle w:val="Body"/>
              <w:rPr>
                <w:rFonts w:ascii="Arial" w:hAnsi="Arial" w:cs="Arial"/>
                <w:b/>
                <w:bCs/>
                <w:sz w:val="20"/>
              </w:rPr>
            </w:pPr>
          </w:p>
        </w:tc>
        <w:tc>
          <w:tcPr>
            <w:tcW w:w="0" w:type="auto"/>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A48EF1A" w14:textId="77777777" w:rsidR="004C0AED" w:rsidRPr="004C0AED" w:rsidRDefault="004C0AED" w:rsidP="004C0AED">
            <w:pPr>
              <w:pStyle w:val="Body"/>
              <w:rPr>
                <w:rFonts w:ascii="Arial" w:hAnsi="Arial" w:cs="Arial"/>
                <w:b/>
                <w:bCs/>
                <w:sz w:val="20"/>
              </w:rPr>
            </w:pPr>
          </w:p>
        </w:tc>
        <w:tc>
          <w:tcPr>
            <w:tcW w:w="1530" w:type="dxa"/>
            <w:tcBorders>
              <w:top w:val="single" w:sz="4" w:space="0" w:color="auto"/>
              <w:left w:val="single" w:sz="4" w:space="0" w:color="auto"/>
              <w:bottom w:val="single" w:sz="4" w:space="0" w:color="000000" w:themeColor="text1"/>
              <w:right w:val="single" w:sz="4" w:space="0" w:color="auto"/>
            </w:tcBorders>
            <w:hideMark/>
          </w:tcPr>
          <w:p w14:paraId="0B09B80D" w14:textId="77777777" w:rsidR="004C0AED" w:rsidRPr="004C0AED" w:rsidRDefault="004C0AED" w:rsidP="004C0AED">
            <w:pPr>
              <w:pStyle w:val="Body"/>
              <w:rPr>
                <w:rFonts w:ascii="Arial" w:hAnsi="Arial" w:cs="Arial"/>
                <w:bCs/>
                <w:sz w:val="20"/>
              </w:rPr>
            </w:pPr>
            <w:r w:rsidRPr="004C0AED">
              <w:rPr>
                <w:rFonts w:ascii="Arial" w:hAnsi="Arial" w:cs="Arial"/>
                <w:bCs/>
                <w:sz w:val="20"/>
              </w:rPr>
              <w:t>d= x2-x1</w:t>
            </w:r>
          </w:p>
        </w:tc>
        <w:tc>
          <w:tcPr>
            <w:tcW w:w="1575" w:type="dxa"/>
            <w:tcBorders>
              <w:top w:val="single" w:sz="4" w:space="0" w:color="auto"/>
              <w:left w:val="single" w:sz="4" w:space="0" w:color="auto"/>
              <w:bottom w:val="single" w:sz="4" w:space="0" w:color="000000" w:themeColor="text1"/>
              <w:right w:val="single" w:sz="4" w:space="0" w:color="000000" w:themeColor="text1"/>
            </w:tcBorders>
            <w:hideMark/>
          </w:tcPr>
          <w:p w14:paraId="0EE68B04" w14:textId="77777777" w:rsidR="004C0AED" w:rsidRPr="004C0AED" w:rsidRDefault="004C0AED" w:rsidP="004C0AED">
            <w:pPr>
              <w:pStyle w:val="Body"/>
              <w:rPr>
                <w:rFonts w:ascii="Arial" w:hAnsi="Arial" w:cs="Arial"/>
                <w:bCs/>
                <w:sz w:val="20"/>
              </w:rPr>
            </w:pPr>
            <w:r w:rsidRPr="004C0AED">
              <w:rPr>
                <w:rFonts w:ascii="Arial" w:hAnsi="Arial" w:cs="Arial"/>
                <w:bCs/>
                <w:sz w:val="20"/>
              </w:rPr>
              <w:t>d</w:t>
            </w:r>
            <w:r w:rsidRPr="004C0AED">
              <w:rPr>
                <w:rFonts w:ascii="Arial" w:hAnsi="Arial" w:cs="Arial"/>
                <w:bCs/>
                <w:sz w:val="20"/>
                <w:vertAlign w:val="superscript"/>
              </w:rPr>
              <w:t>2</w:t>
            </w:r>
          </w:p>
        </w:tc>
      </w:tr>
      <w:tr w:rsidR="004C0AED" w:rsidRPr="004C0AED" w14:paraId="1BC2C671"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F0539" w14:textId="77777777" w:rsidR="004C0AED" w:rsidRPr="004C0AED" w:rsidRDefault="004C0AED" w:rsidP="004C0AED">
            <w:pPr>
              <w:pStyle w:val="Body"/>
              <w:rPr>
                <w:rFonts w:ascii="Arial" w:hAnsi="Arial" w:cs="Arial"/>
                <w:bCs/>
                <w:sz w:val="20"/>
              </w:rPr>
            </w:pPr>
            <w:r w:rsidRPr="004C0AED">
              <w:rPr>
                <w:rFonts w:ascii="Arial" w:hAnsi="Arial" w:cs="Arial"/>
                <w:bCs/>
                <w:sz w:val="20"/>
              </w:rPr>
              <w:t>P1</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4F481D45" w14:textId="77777777" w:rsidR="004C0AED" w:rsidRPr="004C0AED" w:rsidRDefault="004C0AED" w:rsidP="004C0AED">
            <w:pPr>
              <w:pStyle w:val="Body"/>
              <w:rPr>
                <w:rFonts w:ascii="Arial" w:hAnsi="Arial" w:cs="Arial"/>
                <w:bCs/>
                <w:sz w:val="20"/>
              </w:rPr>
            </w:pPr>
            <w:r w:rsidRPr="004C0AED">
              <w:rPr>
                <w:rFonts w:ascii="Arial" w:hAnsi="Arial" w:cs="Arial"/>
                <w:bCs/>
                <w:sz w:val="20"/>
              </w:rPr>
              <w:t>5.33</w:t>
            </w:r>
          </w:p>
        </w:tc>
        <w:tc>
          <w:tcPr>
            <w:tcW w:w="2340" w:type="dxa"/>
            <w:tcBorders>
              <w:top w:val="single" w:sz="4" w:space="0" w:color="000000" w:themeColor="text1"/>
              <w:left w:val="single" w:sz="4" w:space="0" w:color="auto"/>
              <w:bottom w:val="single" w:sz="4" w:space="0" w:color="000000" w:themeColor="text1"/>
              <w:right w:val="single" w:sz="4" w:space="0" w:color="auto"/>
            </w:tcBorders>
            <w:hideMark/>
          </w:tcPr>
          <w:p w14:paraId="1C97B76F" w14:textId="77777777" w:rsidR="004C0AED" w:rsidRPr="004C0AED" w:rsidRDefault="004C0AED" w:rsidP="004C0AED">
            <w:pPr>
              <w:pStyle w:val="Body"/>
              <w:rPr>
                <w:rFonts w:ascii="Arial" w:hAnsi="Arial" w:cs="Arial"/>
                <w:bCs/>
                <w:sz w:val="20"/>
              </w:rPr>
            </w:pPr>
            <w:r w:rsidRPr="004C0AED">
              <w:rPr>
                <w:rFonts w:ascii="Arial" w:hAnsi="Arial" w:cs="Arial"/>
                <w:bCs/>
                <w:sz w:val="20"/>
              </w:rPr>
              <w:t>7.33</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0364EF3A" w14:textId="77777777" w:rsidR="004C0AED" w:rsidRPr="004C0AED" w:rsidRDefault="004C0AED" w:rsidP="004C0AED">
            <w:pPr>
              <w:pStyle w:val="Body"/>
              <w:rPr>
                <w:rFonts w:ascii="Arial" w:hAnsi="Arial" w:cs="Arial"/>
                <w:bCs/>
                <w:sz w:val="20"/>
              </w:rPr>
            </w:pPr>
            <w:r w:rsidRPr="004C0AED">
              <w:rPr>
                <w:rFonts w:ascii="Arial" w:hAnsi="Arial" w:cs="Arial"/>
                <w:bCs/>
                <w:sz w:val="20"/>
              </w:rPr>
              <w:t>2</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A25A3" w14:textId="77777777" w:rsidR="004C0AED" w:rsidRPr="004C0AED" w:rsidRDefault="004C0AED" w:rsidP="004C0AED">
            <w:pPr>
              <w:pStyle w:val="Body"/>
              <w:rPr>
                <w:rFonts w:ascii="Arial" w:hAnsi="Arial" w:cs="Arial"/>
                <w:bCs/>
                <w:sz w:val="20"/>
              </w:rPr>
            </w:pPr>
            <w:r w:rsidRPr="004C0AED">
              <w:rPr>
                <w:rFonts w:ascii="Arial" w:hAnsi="Arial" w:cs="Arial"/>
                <w:bCs/>
                <w:sz w:val="20"/>
              </w:rPr>
              <w:t>4</w:t>
            </w:r>
          </w:p>
        </w:tc>
      </w:tr>
      <w:tr w:rsidR="004C0AED" w:rsidRPr="004C0AED" w14:paraId="2E387F6B"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3A9EE" w14:textId="77777777" w:rsidR="004C0AED" w:rsidRPr="004C0AED" w:rsidRDefault="004C0AED" w:rsidP="004C0AED">
            <w:pPr>
              <w:pStyle w:val="Body"/>
              <w:rPr>
                <w:rFonts w:ascii="Arial" w:hAnsi="Arial" w:cs="Arial"/>
                <w:bCs/>
                <w:sz w:val="20"/>
              </w:rPr>
            </w:pPr>
            <w:r w:rsidRPr="004C0AED">
              <w:rPr>
                <w:rFonts w:ascii="Arial" w:hAnsi="Arial" w:cs="Arial"/>
                <w:bCs/>
                <w:sz w:val="20"/>
              </w:rPr>
              <w:t>P2</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30DAD0E0" w14:textId="77777777" w:rsidR="004C0AED" w:rsidRPr="004C0AED" w:rsidRDefault="004C0AED" w:rsidP="004C0AED">
            <w:pPr>
              <w:pStyle w:val="Body"/>
              <w:rPr>
                <w:rFonts w:ascii="Arial" w:hAnsi="Arial" w:cs="Arial"/>
                <w:bCs/>
                <w:sz w:val="20"/>
              </w:rPr>
            </w:pPr>
            <w:r w:rsidRPr="004C0AED">
              <w:rPr>
                <w:rFonts w:ascii="Arial" w:hAnsi="Arial" w:cs="Arial"/>
                <w:bCs/>
                <w:sz w:val="20"/>
              </w:rPr>
              <w:t>4</w:t>
            </w:r>
          </w:p>
        </w:tc>
        <w:tc>
          <w:tcPr>
            <w:tcW w:w="2340" w:type="dxa"/>
            <w:tcBorders>
              <w:top w:val="single" w:sz="4" w:space="0" w:color="000000" w:themeColor="text1"/>
              <w:left w:val="single" w:sz="4" w:space="0" w:color="auto"/>
              <w:bottom w:val="single" w:sz="4" w:space="0" w:color="000000" w:themeColor="text1"/>
              <w:right w:val="single" w:sz="4" w:space="0" w:color="auto"/>
            </w:tcBorders>
            <w:hideMark/>
          </w:tcPr>
          <w:p w14:paraId="558BEACE" w14:textId="77777777" w:rsidR="004C0AED" w:rsidRPr="004C0AED" w:rsidRDefault="004C0AED" w:rsidP="004C0AED">
            <w:pPr>
              <w:pStyle w:val="Body"/>
              <w:rPr>
                <w:rFonts w:ascii="Arial" w:hAnsi="Arial" w:cs="Arial"/>
                <w:bCs/>
                <w:sz w:val="20"/>
              </w:rPr>
            </w:pPr>
            <w:r w:rsidRPr="004C0AED">
              <w:rPr>
                <w:rFonts w:ascii="Arial" w:hAnsi="Arial" w:cs="Arial"/>
                <w:bCs/>
                <w:sz w:val="20"/>
              </w:rPr>
              <w:t>6.33</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73BBBAF9" w14:textId="77777777" w:rsidR="004C0AED" w:rsidRPr="004C0AED" w:rsidRDefault="004C0AED" w:rsidP="004C0AED">
            <w:pPr>
              <w:pStyle w:val="Body"/>
              <w:rPr>
                <w:rFonts w:ascii="Arial" w:hAnsi="Arial" w:cs="Arial"/>
                <w:bCs/>
                <w:sz w:val="20"/>
              </w:rPr>
            </w:pPr>
            <w:r w:rsidRPr="004C0AED">
              <w:rPr>
                <w:rFonts w:ascii="Arial" w:hAnsi="Arial" w:cs="Arial"/>
                <w:bCs/>
                <w:sz w:val="20"/>
              </w:rPr>
              <w:t>2.33</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0D002" w14:textId="77777777" w:rsidR="004C0AED" w:rsidRPr="004C0AED" w:rsidRDefault="004C0AED" w:rsidP="004C0AED">
            <w:pPr>
              <w:pStyle w:val="Body"/>
              <w:rPr>
                <w:rFonts w:ascii="Arial" w:hAnsi="Arial" w:cs="Arial"/>
                <w:bCs/>
                <w:sz w:val="20"/>
              </w:rPr>
            </w:pPr>
            <w:r w:rsidRPr="004C0AED">
              <w:rPr>
                <w:rFonts w:ascii="Arial" w:hAnsi="Arial" w:cs="Arial"/>
                <w:bCs/>
                <w:sz w:val="20"/>
              </w:rPr>
              <w:t>5.42</w:t>
            </w:r>
          </w:p>
        </w:tc>
      </w:tr>
      <w:tr w:rsidR="004C0AED" w:rsidRPr="004C0AED" w14:paraId="4D5F3ABA"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D0988" w14:textId="77777777" w:rsidR="004C0AED" w:rsidRPr="004C0AED" w:rsidRDefault="004C0AED" w:rsidP="004C0AED">
            <w:pPr>
              <w:pStyle w:val="Body"/>
              <w:rPr>
                <w:rFonts w:ascii="Arial" w:hAnsi="Arial" w:cs="Arial"/>
                <w:bCs/>
                <w:sz w:val="20"/>
              </w:rPr>
            </w:pPr>
            <w:r w:rsidRPr="004C0AED">
              <w:rPr>
                <w:rFonts w:ascii="Arial" w:hAnsi="Arial" w:cs="Arial"/>
                <w:bCs/>
                <w:sz w:val="20"/>
              </w:rPr>
              <w:t>P3</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7FE38231" w14:textId="77777777" w:rsidR="004C0AED" w:rsidRPr="004C0AED" w:rsidRDefault="004C0AED" w:rsidP="004C0AED">
            <w:pPr>
              <w:pStyle w:val="Body"/>
              <w:rPr>
                <w:rFonts w:ascii="Arial" w:hAnsi="Arial" w:cs="Arial"/>
                <w:bCs/>
                <w:sz w:val="20"/>
              </w:rPr>
            </w:pPr>
            <w:r w:rsidRPr="004C0AED">
              <w:rPr>
                <w:rFonts w:ascii="Arial" w:hAnsi="Arial" w:cs="Arial"/>
                <w:bCs/>
                <w:sz w:val="20"/>
              </w:rPr>
              <w:t>3.33</w:t>
            </w:r>
          </w:p>
        </w:tc>
        <w:tc>
          <w:tcPr>
            <w:tcW w:w="2340" w:type="dxa"/>
            <w:tcBorders>
              <w:top w:val="single" w:sz="4" w:space="0" w:color="000000" w:themeColor="text1"/>
              <w:left w:val="single" w:sz="4" w:space="0" w:color="auto"/>
              <w:bottom w:val="single" w:sz="4" w:space="0" w:color="000000" w:themeColor="text1"/>
              <w:right w:val="single" w:sz="4" w:space="0" w:color="auto"/>
            </w:tcBorders>
            <w:hideMark/>
          </w:tcPr>
          <w:p w14:paraId="56067F32" w14:textId="77777777" w:rsidR="004C0AED" w:rsidRPr="004C0AED" w:rsidRDefault="004C0AED" w:rsidP="004C0AED">
            <w:pPr>
              <w:pStyle w:val="Body"/>
              <w:rPr>
                <w:rFonts w:ascii="Arial" w:hAnsi="Arial" w:cs="Arial"/>
                <w:bCs/>
                <w:sz w:val="20"/>
              </w:rPr>
            </w:pPr>
            <w:r w:rsidRPr="004C0AED">
              <w:rPr>
                <w:rFonts w:ascii="Arial" w:hAnsi="Arial" w:cs="Arial"/>
                <w:bCs/>
                <w:sz w:val="20"/>
              </w:rPr>
              <w:t>9</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524A827F" w14:textId="77777777" w:rsidR="004C0AED" w:rsidRPr="004C0AED" w:rsidRDefault="004C0AED" w:rsidP="004C0AED">
            <w:pPr>
              <w:pStyle w:val="Body"/>
              <w:rPr>
                <w:rFonts w:ascii="Arial" w:hAnsi="Arial" w:cs="Arial"/>
                <w:bCs/>
                <w:sz w:val="20"/>
              </w:rPr>
            </w:pPr>
            <w:r w:rsidRPr="004C0AED">
              <w:rPr>
                <w:rFonts w:ascii="Arial" w:hAnsi="Arial" w:cs="Arial"/>
                <w:bCs/>
                <w:sz w:val="20"/>
              </w:rPr>
              <w:t>5.67</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D1A1B" w14:textId="77777777" w:rsidR="004C0AED" w:rsidRPr="004C0AED" w:rsidRDefault="004C0AED" w:rsidP="004C0AED">
            <w:pPr>
              <w:pStyle w:val="Body"/>
              <w:rPr>
                <w:rFonts w:ascii="Arial" w:hAnsi="Arial" w:cs="Arial"/>
                <w:bCs/>
                <w:sz w:val="20"/>
              </w:rPr>
            </w:pPr>
            <w:r w:rsidRPr="004C0AED">
              <w:rPr>
                <w:rFonts w:ascii="Arial" w:hAnsi="Arial" w:cs="Arial"/>
                <w:bCs/>
                <w:sz w:val="20"/>
              </w:rPr>
              <w:t>32.14</w:t>
            </w:r>
          </w:p>
        </w:tc>
      </w:tr>
      <w:tr w:rsidR="004C0AED" w:rsidRPr="004C0AED" w14:paraId="6D4DBBD6"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CBEE5" w14:textId="77777777" w:rsidR="004C0AED" w:rsidRPr="004C0AED" w:rsidRDefault="004C0AED" w:rsidP="004C0AED">
            <w:pPr>
              <w:pStyle w:val="Body"/>
              <w:rPr>
                <w:rFonts w:ascii="Arial" w:hAnsi="Arial" w:cs="Arial"/>
                <w:bCs/>
                <w:sz w:val="20"/>
              </w:rPr>
            </w:pPr>
            <w:r w:rsidRPr="004C0AED">
              <w:rPr>
                <w:rFonts w:ascii="Arial" w:hAnsi="Arial" w:cs="Arial"/>
                <w:bCs/>
                <w:sz w:val="20"/>
              </w:rPr>
              <w:t>P4</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5614426A" w14:textId="77777777" w:rsidR="004C0AED" w:rsidRPr="004C0AED" w:rsidRDefault="004C0AED" w:rsidP="004C0AED">
            <w:pPr>
              <w:pStyle w:val="Body"/>
              <w:rPr>
                <w:rFonts w:ascii="Arial" w:hAnsi="Arial" w:cs="Arial"/>
                <w:bCs/>
                <w:sz w:val="20"/>
              </w:rPr>
            </w:pPr>
            <w:r w:rsidRPr="004C0AED">
              <w:rPr>
                <w:rFonts w:ascii="Arial" w:hAnsi="Arial" w:cs="Arial"/>
                <w:bCs/>
                <w:sz w:val="20"/>
              </w:rPr>
              <w:t>3.33</w:t>
            </w:r>
          </w:p>
        </w:tc>
        <w:tc>
          <w:tcPr>
            <w:tcW w:w="2340" w:type="dxa"/>
            <w:tcBorders>
              <w:top w:val="single" w:sz="4" w:space="0" w:color="000000" w:themeColor="text1"/>
              <w:left w:val="single" w:sz="4" w:space="0" w:color="auto"/>
              <w:bottom w:val="single" w:sz="4" w:space="0" w:color="000000" w:themeColor="text1"/>
              <w:right w:val="single" w:sz="4" w:space="0" w:color="auto"/>
            </w:tcBorders>
            <w:hideMark/>
          </w:tcPr>
          <w:p w14:paraId="6244B393" w14:textId="77777777" w:rsidR="004C0AED" w:rsidRPr="004C0AED" w:rsidRDefault="004C0AED" w:rsidP="004C0AED">
            <w:pPr>
              <w:pStyle w:val="Body"/>
              <w:rPr>
                <w:rFonts w:ascii="Arial" w:hAnsi="Arial" w:cs="Arial"/>
                <w:bCs/>
                <w:sz w:val="20"/>
              </w:rPr>
            </w:pPr>
            <w:r w:rsidRPr="004C0AED">
              <w:rPr>
                <w:rFonts w:ascii="Arial" w:hAnsi="Arial" w:cs="Arial"/>
                <w:bCs/>
                <w:sz w:val="20"/>
              </w:rPr>
              <w:t>5.66</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00A9EACB" w14:textId="77777777" w:rsidR="004C0AED" w:rsidRPr="004C0AED" w:rsidRDefault="004C0AED" w:rsidP="004C0AED">
            <w:pPr>
              <w:pStyle w:val="Body"/>
              <w:rPr>
                <w:rFonts w:ascii="Arial" w:hAnsi="Arial" w:cs="Arial"/>
                <w:bCs/>
                <w:sz w:val="20"/>
              </w:rPr>
            </w:pPr>
            <w:r w:rsidRPr="004C0AED">
              <w:rPr>
                <w:rFonts w:ascii="Arial" w:hAnsi="Arial" w:cs="Arial"/>
                <w:bCs/>
                <w:sz w:val="20"/>
              </w:rPr>
              <w:t>2.33</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11FCD" w14:textId="77777777" w:rsidR="004C0AED" w:rsidRPr="004C0AED" w:rsidRDefault="004C0AED" w:rsidP="004C0AED">
            <w:pPr>
              <w:pStyle w:val="Body"/>
              <w:rPr>
                <w:rFonts w:ascii="Arial" w:hAnsi="Arial" w:cs="Arial"/>
                <w:bCs/>
                <w:sz w:val="20"/>
              </w:rPr>
            </w:pPr>
            <w:r w:rsidRPr="004C0AED">
              <w:rPr>
                <w:rFonts w:ascii="Arial" w:hAnsi="Arial" w:cs="Arial"/>
                <w:bCs/>
                <w:sz w:val="20"/>
              </w:rPr>
              <w:t>5.42</w:t>
            </w:r>
          </w:p>
        </w:tc>
      </w:tr>
      <w:tr w:rsidR="004C0AED" w:rsidRPr="004C0AED" w14:paraId="1D60325E"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BE735" w14:textId="77777777" w:rsidR="004C0AED" w:rsidRPr="004C0AED" w:rsidRDefault="004C0AED" w:rsidP="004C0AED">
            <w:pPr>
              <w:pStyle w:val="Body"/>
              <w:rPr>
                <w:rFonts w:ascii="Arial" w:hAnsi="Arial" w:cs="Arial"/>
                <w:bCs/>
                <w:sz w:val="20"/>
              </w:rPr>
            </w:pP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6151B20C" w14:textId="77777777" w:rsidR="004C0AED" w:rsidRPr="004C0AED" w:rsidRDefault="004C0AED" w:rsidP="004C0AED">
            <w:pPr>
              <w:pStyle w:val="Body"/>
              <w:rPr>
                <w:rFonts w:ascii="Arial" w:hAnsi="Arial" w:cs="Arial"/>
                <w:bCs/>
                <w:sz w:val="20"/>
              </w:rPr>
            </w:pPr>
            <w:r w:rsidRPr="004C0AED">
              <w:rPr>
                <w:rFonts w:ascii="Arial" w:hAnsi="Arial" w:cs="Arial"/>
                <w:bCs/>
                <w:sz w:val="20"/>
              </w:rPr>
              <w:t>∑</w:t>
            </w:r>
            <w:r w:rsidRPr="004C0AED">
              <w:rPr>
                <w:rFonts w:ascii="Arial" w:hAnsi="Arial" w:cs="Arial"/>
                <w:bCs/>
                <w:i/>
                <w:sz w:val="20"/>
              </w:rPr>
              <w:t>x</w:t>
            </w:r>
            <w:r w:rsidRPr="004C0AED">
              <w:rPr>
                <w:rFonts w:ascii="Arial" w:hAnsi="Arial" w:cs="Arial"/>
                <w:bCs/>
                <w:sz w:val="20"/>
              </w:rPr>
              <w:t>1 = 15.99</w:t>
            </w:r>
          </w:p>
        </w:tc>
        <w:tc>
          <w:tcPr>
            <w:tcW w:w="2340" w:type="dxa"/>
            <w:tcBorders>
              <w:top w:val="single" w:sz="4" w:space="0" w:color="000000" w:themeColor="text1"/>
              <w:left w:val="single" w:sz="4" w:space="0" w:color="auto"/>
              <w:bottom w:val="single" w:sz="4" w:space="0" w:color="000000" w:themeColor="text1"/>
              <w:right w:val="single" w:sz="4" w:space="0" w:color="auto"/>
            </w:tcBorders>
            <w:hideMark/>
          </w:tcPr>
          <w:p w14:paraId="16284F61" w14:textId="77777777" w:rsidR="004C0AED" w:rsidRPr="004C0AED" w:rsidRDefault="004C0AED" w:rsidP="004C0AED">
            <w:pPr>
              <w:pStyle w:val="Body"/>
              <w:rPr>
                <w:rFonts w:ascii="Arial" w:hAnsi="Arial" w:cs="Arial"/>
                <w:bCs/>
                <w:sz w:val="20"/>
              </w:rPr>
            </w:pPr>
            <w:r w:rsidRPr="004C0AED">
              <w:rPr>
                <w:rFonts w:ascii="Arial" w:hAnsi="Arial" w:cs="Arial"/>
                <w:bCs/>
                <w:sz w:val="20"/>
              </w:rPr>
              <w:t>∑</w:t>
            </w:r>
            <w:r w:rsidRPr="004C0AED">
              <w:rPr>
                <w:rFonts w:ascii="Arial" w:hAnsi="Arial" w:cs="Arial"/>
                <w:bCs/>
                <w:i/>
                <w:sz w:val="20"/>
              </w:rPr>
              <w:t>x</w:t>
            </w:r>
            <w:r w:rsidRPr="004C0AED">
              <w:rPr>
                <w:rFonts w:ascii="Arial" w:hAnsi="Arial" w:cs="Arial"/>
                <w:bCs/>
                <w:sz w:val="20"/>
              </w:rPr>
              <w:t>2 = 28.32</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2379E7A0" w14:textId="77777777" w:rsidR="004C0AED" w:rsidRPr="004C0AED" w:rsidRDefault="004C0AED" w:rsidP="004C0AED">
            <w:pPr>
              <w:pStyle w:val="Body"/>
              <w:rPr>
                <w:rFonts w:ascii="Arial" w:hAnsi="Arial" w:cs="Arial"/>
                <w:bCs/>
                <w:sz w:val="20"/>
              </w:rPr>
            </w:pPr>
            <w:r w:rsidRPr="004C0AED">
              <w:rPr>
                <w:rFonts w:ascii="Arial" w:hAnsi="Arial" w:cs="Arial"/>
                <w:bCs/>
                <w:sz w:val="20"/>
              </w:rPr>
              <w:t>∑d = 12.33</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79F1F" w14:textId="77777777" w:rsidR="004C0AED" w:rsidRPr="004C0AED" w:rsidRDefault="004C0AED" w:rsidP="004C0AED">
            <w:pPr>
              <w:pStyle w:val="Body"/>
              <w:rPr>
                <w:rFonts w:ascii="Arial" w:hAnsi="Arial" w:cs="Arial"/>
                <w:bCs/>
                <w:sz w:val="20"/>
              </w:rPr>
            </w:pPr>
            <w:r w:rsidRPr="004C0AED">
              <w:rPr>
                <w:rFonts w:ascii="Arial" w:hAnsi="Arial" w:cs="Arial"/>
                <w:bCs/>
                <w:sz w:val="20"/>
              </w:rPr>
              <w:t>∑ d</w:t>
            </w:r>
            <w:r w:rsidRPr="004C0AED">
              <w:rPr>
                <w:rFonts w:ascii="Arial" w:hAnsi="Arial" w:cs="Arial"/>
                <w:bCs/>
                <w:sz w:val="20"/>
                <w:vertAlign w:val="superscript"/>
              </w:rPr>
              <w:t>2</w:t>
            </w:r>
            <w:r w:rsidRPr="004C0AED">
              <w:rPr>
                <w:rFonts w:ascii="Arial" w:hAnsi="Arial" w:cs="Arial"/>
                <w:bCs/>
                <w:sz w:val="20"/>
              </w:rPr>
              <w:t xml:space="preserve"> = 46.98</w:t>
            </w:r>
          </w:p>
        </w:tc>
      </w:tr>
      <w:tr w:rsidR="004C0AED" w:rsidRPr="004C0AED" w14:paraId="586AFC59"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90C47" w14:textId="77777777" w:rsidR="004C0AED" w:rsidRPr="004C0AED" w:rsidRDefault="004C0AED" w:rsidP="004C0AED">
            <w:pPr>
              <w:pStyle w:val="Body"/>
              <w:rPr>
                <w:rFonts w:ascii="Arial" w:hAnsi="Arial" w:cs="Arial"/>
                <w:bCs/>
                <w:sz w:val="20"/>
              </w:rPr>
            </w:pP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54D8C83F" w14:textId="77777777" w:rsidR="004C0AED" w:rsidRPr="004C0AED" w:rsidRDefault="00A26891" w:rsidP="004C0AED">
            <w:pPr>
              <w:pStyle w:val="Body"/>
              <w:rPr>
                <w:rFonts w:ascii="Arial" w:hAnsi="Arial" w:cs="Arial"/>
                <w:bCs/>
                <w:sz w:val="20"/>
              </w:rPr>
            </w:pPr>
            <m:oMath>
              <m:acc>
                <m:accPr>
                  <m:chr m:val="̅"/>
                  <m:ctrlPr>
                    <w:rPr>
                      <w:rFonts w:ascii="Cambria Math" w:hAnsi="Cambria Math" w:cs="Arial"/>
                      <w:bCs/>
                      <w:i/>
                      <w:sz w:val="20"/>
                    </w:rPr>
                  </m:ctrlPr>
                </m:accPr>
                <m:e>
                  <m:r>
                    <w:rPr>
                      <w:rFonts w:ascii="Cambria Math" w:hAnsi="Cambria Math" w:cs="Arial"/>
                    </w:rPr>
                    <m:t>x</m:t>
                  </m:r>
                  <m:r>
                    <w:rPr>
                      <w:rFonts w:ascii="Cambria Math" w:hAnsi="Cambria Math" w:cs="Arial"/>
                    </w:rPr>
                    <m:t>1</m:t>
                  </m:r>
                </m:e>
              </m:acc>
            </m:oMath>
            <w:r w:rsidR="004C0AED" w:rsidRPr="004C0AED">
              <w:rPr>
                <w:rFonts w:ascii="Arial" w:hAnsi="Arial" w:cs="Arial"/>
                <w:bCs/>
                <w:sz w:val="20"/>
              </w:rPr>
              <w:t xml:space="preserve"> = 3.99</w:t>
            </w:r>
          </w:p>
        </w:tc>
        <w:tc>
          <w:tcPr>
            <w:tcW w:w="2340" w:type="dxa"/>
            <w:tcBorders>
              <w:top w:val="single" w:sz="4" w:space="0" w:color="000000" w:themeColor="text1"/>
              <w:left w:val="single" w:sz="4" w:space="0" w:color="auto"/>
              <w:bottom w:val="single" w:sz="4" w:space="0" w:color="000000" w:themeColor="text1"/>
              <w:right w:val="single" w:sz="4" w:space="0" w:color="auto"/>
            </w:tcBorders>
            <w:hideMark/>
          </w:tcPr>
          <w:p w14:paraId="1B870B88" w14:textId="77777777" w:rsidR="004C0AED" w:rsidRPr="004C0AED" w:rsidRDefault="00A26891" w:rsidP="004C0AED">
            <w:pPr>
              <w:pStyle w:val="Body"/>
              <w:rPr>
                <w:rFonts w:ascii="Arial" w:hAnsi="Arial" w:cs="Arial"/>
                <w:bCs/>
                <w:sz w:val="20"/>
              </w:rPr>
            </w:pPr>
            <m:oMath>
              <m:acc>
                <m:accPr>
                  <m:chr m:val="̅"/>
                  <m:ctrlPr>
                    <w:rPr>
                      <w:rFonts w:ascii="Cambria Math" w:hAnsi="Cambria Math" w:cs="Arial"/>
                      <w:bCs/>
                      <w:i/>
                      <w:sz w:val="20"/>
                    </w:rPr>
                  </m:ctrlPr>
                </m:accPr>
                <m:e>
                  <m:r>
                    <w:rPr>
                      <w:rFonts w:ascii="Cambria Math" w:hAnsi="Cambria Math" w:cs="Arial"/>
                    </w:rPr>
                    <m:t>x</m:t>
                  </m:r>
                  <m:r>
                    <w:rPr>
                      <w:rFonts w:ascii="Cambria Math" w:hAnsi="Cambria Math" w:cs="Arial"/>
                    </w:rPr>
                    <m:t>2</m:t>
                  </m:r>
                </m:e>
              </m:acc>
            </m:oMath>
            <w:r w:rsidR="004C0AED" w:rsidRPr="004C0AED">
              <w:rPr>
                <w:rFonts w:ascii="Arial" w:hAnsi="Arial" w:cs="Arial"/>
                <w:bCs/>
                <w:sz w:val="20"/>
              </w:rPr>
              <w:t xml:space="preserve"> = 7.08</w:t>
            </w:r>
          </w:p>
        </w:tc>
        <w:tc>
          <w:tcPr>
            <w:tcW w:w="1530" w:type="dxa"/>
            <w:tcBorders>
              <w:top w:val="single" w:sz="4" w:space="0" w:color="000000" w:themeColor="text1"/>
              <w:left w:val="single" w:sz="4" w:space="0" w:color="auto"/>
              <w:bottom w:val="single" w:sz="4" w:space="0" w:color="000000" w:themeColor="text1"/>
              <w:right w:val="single" w:sz="4" w:space="0" w:color="auto"/>
            </w:tcBorders>
          </w:tcPr>
          <w:p w14:paraId="26D21070" w14:textId="77777777" w:rsidR="004C0AED" w:rsidRPr="004C0AED" w:rsidRDefault="004C0AED" w:rsidP="004C0AED">
            <w:pPr>
              <w:pStyle w:val="Body"/>
              <w:rPr>
                <w:rFonts w:ascii="Arial" w:hAnsi="Arial" w:cs="Arial"/>
                <w:bCs/>
                <w:sz w:val="2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D5CB8" w14:textId="77777777" w:rsidR="004C0AED" w:rsidRPr="004C0AED" w:rsidRDefault="004C0AED" w:rsidP="004C0AED">
            <w:pPr>
              <w:pStyle w:val="Body"/>
              <w:rPr>
                <w:rFonts w:ascii="Arial" w:hAnsi="Arial" w:cs="Arial"/>
                <w:bCs/>
                <w:sz w:val="20"/>
              </w:rPr>
            </w:pPr>
          </w:p>
        </w:tc>
      </w:tr>
    </w:tbl>
    <w:p w14:paraId="1B5FC5B1" w14:textId="77777777" w:rsidR="004C0AED" w:rsidRPr="004C0AED" w:rsidRDefault="004C0AED" w:rsidP="004C0AED">
      <w:pPr>
        <w:pStyle w:val="Body"/>
        <w:spacing w:after="0"/>
        <w:rPr>
          <w:rFonts w:ascii="Arial" w:hAnsi="Arial" w:cs="Arial"/>
          <w:b/>
          <w:bCs/>
          <w:szCs w:val="22"/>
        </w:rPr>
      </w:pPr>
      <w:r w:rsidRPr="004C0AED">
        <w:rPr>
          <w:rFonts w:ascii="Arial" w:hAnsi="Arial" w:cs="Arial"/>
          <w:b/>
          <w:bCs/>
          <w:szCs w:val="22"/>
        </w:rPr>
        <w:t xml:space="preserve">                                      Table 7: Mean of confrontation naming</w:t>
      </w:r>
    </w:p>
    <w:p w14:paraId="442FC53B" w14:textId="2BB998C0" w:rsidR="004C0AED" w:rsidRPr="004C0AED" w:rsidRDefault="004C0AED" w:rsidP="004C0AED">
      <w:pPr>
        <w:pStyle w:val="Body"/>
        <w:spacing w:after="0"/>
        <w:rPr>
          <w:rFonts w:ascii="Arial" w:hAnsi="Arial" w:cs="Arial"/>
          <w:bCs/>
          <w:szCs w:val="22"/>
        </w:rPr>
      </w:pPr>
      <w:r w:rsidRPr="004C0AED">
        <w:rPr>
          <w:rFonts w:ascii="Arial" w:hAnsi="Arial" w:cs="Arial"/>
          <w:bCs/>
          <w:szCs w:val="22"/>
        </w:rPr>
        <w:t>Statistical analysis of the data represented the ‘t’ value (calculation is presented in annexure 5) in the area of confrontation naming which was significant (</w:t>
      </w:r>
      <w:proofErr w:type="gramStart"/>
      <w:r w:rsidRPr="004C0AED">
        <w:rPr>
          <w:rFonts w:ascii="Arial" w:hAnsi="Arial" w:cs="Arial"/>
          <w:bCs/>
          <w:szCs w:val="22"/>
        </w:rPr>
        <w:t>t  =</w:t>
      </w:r>
      <w:proofErr w:type="gramEnd"/>
      <w:r w:rsidRPr="004C0AED">
        <w:rPr>
          <w:rFonts w:ascii="Arial" w:hAnsi="Arial" w:cs="Arial"/>
          <w:bCs/>
          <w:szCs w:val="22"/>
        </w:rPr>
        <w:t xml:space="preserve"> 3.57, df = 3, p = &lt;.01, one tailed hypothesis). The usual cut-off point for claiming support for significant level of the experimental hypothesis is 5% (Hicks, 1999) therefore it can be said that the findings of the study is significant. The bar chart (figure 5) is representing the improvement rate of each of 4 participants before and after applying MIT in the area of confrontation naming.</w:t>
      </w:r>
    </w:p>
    <w:p w14:paraId="77AE4F88" w14:textId="77777777" w:rsidR="004C0AED" w:rsidRPr="004C0AED" w:rsidRDefault="004C0AED" w:rsidP="004C0AED">
      <w:pPr>
        <w:pStyle w:val="Body"/>
        <w:spacing w:after="0"/>
        <w:rPr>
          <w:rFonts w:ascii="Arial" w:hAnsi="Arial" w:cs="Arial"/>
          <w:bCs/>
          <w:szCs w:val="22"/>
        </w:rPr>
      </w:pPr>
      <w:r w:rsidRPr="004C0AED">
        <w:rPr>
          <w:rFonts w:ascii="Arial" w:hAnsi="Arial" w:cs="Arial"/>
          <w:bCs/>
          <w:szCs w:val="22"/>
        </w:rPr>
        <w:lastRenderedPageBreak/>
        <w:t xml:space="preserve">                 </w:t>
      </w:r>
      <w:r w:rsidRPr="004C0AED">
        <w:rPr>
          <w:rFonts w:ascii="Arial" w:hAnsi="Arial" w:cs="Arial"/>
          <w:bCs/>
          <w:noProof/>
          <w:szCs w:val="22"/>
        </w:rPr>
        <w:drawing>
          <wp:inline distT="0" distB="0" distL="0" distR="0" wp14:anchorId="43B11236" wp14:editId="7B1480D9">
            <wp:extent cx="4581525" cy="30956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52E1235" w14:textId="77777777" w:rsidR="004C0AED" w:rsidRPr="004C0AED" w:rsidRDefault="004C0AED" w:rsidP="004C0AED">
      <w:pPr>
        <w:pStyle w:val="Body"/>
        <w:spacing w:after="0"/>
        <w:rPr>
          <w:rFonts w:ascii="Arial" w:hAnsi="Arial" w:cs="Arial"/>
          <w:b/>
          <w:bCs/>
          <w:szCs w:val="22"/>
        </w:rPr>
      </w:pPr>
      <w:r w:rsidRPr="004C0AED">
        <w:rPr>
          <w:rFonts w:ascii="Arial" w:hAnsi="Arial" w:cs="Arial"/>
          <w:b/>
          <w:bCs/>
          <w:szCs w:val="22"/>
        </w:rPr>
        <w:t xml:space="preserve">                          Figure 5: Participants performance in confrontation naming</w:t>
      </w:r>
    </w:p>
    <w:p w14:paraId="037D7A90" w14:textId="77777777" w:rsidR="004C0AED" w:rsidRPr="004C0AED" w:rsidRDefault="004C0AED" w:rsidP="004C0AED">
      <w:pPr>
        <w:pStyle w:val="Body"/>
        <w:spacing w:after="0"/>
        <w:rPr>
          <w:rFonts w:ascii="Arial" w:hAnsi="Arial" w:cs="Arial"/>
          <w:bCs/>
          <w:szCs w:val="22"/>
        </w:rPr>
      </w:pPr>
      <w:r w:rsidRPr="004C0AED">
        <w:rPr>
          <w:rFonts w:ascii="Arial" w:hAnsi="Arial" w:cs="Arial"/>
          <w:bCs/>
          <w:szCs w:val="22"/>
        </w:rPr>
        <w:t>Form the Bar chart, it is observed that among 4 participants all of them gained significant improvement in the area of confrontation naming.</w:t>
      </w:r>
    </w:p>
    <w:p w14:paraId="7FD38ACD" w14:textId="77777777" w:rsidR="004C0AED" w:rsidRPr="004C0AED" w:rsidRDefault="004C0AED" w:rsidP="004C0AED">
      <w:pPr>
        <w:pStyle w:val="Body"/>
        <w:spacing w:after="0"/>
        <w:rPr>
          <w:rFonts w:ascii="Arial" w:hAnsi="Arial" w:cs="Arial"/>
          <w:bCs/>
          <w:szCs w:val="22"/>
        </w:rPr>
      </w:pPr>
    </w:p>
    <w:p w14:paraId="7180C5EB" w14:textId="77777777" w:rsidR="004C0AED" w:rsidRDefault="004C0AED" w:rsidP="004C0AED">
      <w:pPr>
        <w:pStyle w:val="Body"/>
        <w:spacing w:after="0"/>
        <w:rPr>
          <w:rFonts w:ascii="Arial" w:hAnsi="Arial" w:cs="Arial"/>
          <w:bCs/>
          <w:szCs w:val="22"/>
        </w:rPr>
      </w:pPr>
    </w:p>
    <w:p w14:paraId="05B7FF7C" w14:textId="77777777" w:rsidR="00E053D0" w:rsidRDefault="00E053D0" w:rsidP="00441B6F">
      <w:pPr>
        <w:pStyle w:val="Body"/>
        <w:spacing w:after="0"/>
        <w:rPr>
          <w:rFonts w:ascii="Arial" w:hAnsi="Arial" w:cs="Arial"/>
        </w:rPr>
      </w:pPr>
    </w:p>
    <w:p w14:paraId="7ED0FA21" w14:textId="77777777" w:rsidR="00790ADA" w:rsidRPr="00FB3A86" w:rsidRDefault="002C6380" w:rsidP="002C6380">
      <w:pPr>
        <w:rPr>
          <w:rFonts w:ascii="Arial" w:hAnsi="Arial" w:cs="Arial"/>
        </w:rPr>
      </w:pPr>
      <w:r>
        <w:rPr>
          <w:rFonts w:ascii="Arial" w:hAnsi="Arial" w:cs="Arial"/>
        </w:rPr>
        <w:br w:type="page"/>
      </w:r>
    </w:p>
    <w:p w14:paraId="3218CC22"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C5C0FD6" w14:textId="77777777" w:rsidR="00790ADA" w:rsidRPr="00FB3A86" w:rsidRDefault="00790ADA" w:rsidP="00441B6F">
      <w:pPr>
        <w:pStyle w:val="ConcHead"/>
        <w:spacing w:after="0"/>
        <w:jc w:val="both"/>
        <w:rPr>
          <w:rFonts w:ascii="Arial" w:hAnsi="Arial" w:cs="Arial"/>
        </w:rPr>
      </w:pPr>
    </w:p>
    <w:p w14:paraId="72D87CA0" w14:textId="77777777" w:rsidR="002C6380" w:rsidRPr="002C6380" w:rsidRDefault="002C6380" w:rsidP="002C6380">
      <w:pPr>
        <w:pStyle w:val="AcknHead"/>
        <w:jc w:val="both"/>
        <w:rPr>
          <w:rFonts w:ascii="Arial" w:hAnsi="Arial" w:cs="Arial"/>
          <w:b w:val="0"/>
          <w:caps w:val="0"/>
          <w:sz w:val="20"/>
        </w:rPr>
      </w:pPr>
      <w:r w:rsidRPr="002C6380">
        <w:rPr>
          <w:rFonts w:ascii="Arial" w:hAnsi="Arial" w:cs="Arial"/>
          <w:b w:val="0"/>
          <w:caps w:val="0"/>
          <w:sz w:val="20"/>
        </w:rPr>
        <w:t xml:space="preserve">Stroke is the most leading cause of non-fluent aphasia and due to non-fluent aphasia person has deficits in verbal expression.  Non-fluent aphasia is characterized by halting, effortful, labored speech production, whether expressing original ideas or repeating (Helm-Estabrooks, &amp; Albert, 2004); the person knows what they want to say but is unable to program the tongue, teeth, palate, and lips to get the message out. Non-fluent aphasic patients never recover completely, despite intensive therapy (Stahl, Kotz, Henseler, Turner, &amp; Geyer, 2011). There is no standard treatment for non-fluent aphasia and most of the aphasia therapy is individualized based on a patient's condition and needs as assessed by a SLTs. Most of the patients receive traditional therapy for a few hours per day and practice the repetition of words and phrases. Mechanisms are also taught in traditional therapy to compensate for lost language function such as drawing and using phrases that are easier to pronounce (Marcus, Elbert, </w:t>
      </w:r>
      <w:proofErr w:type="spellStart"/>
      <w:r w:rsidRPr="002C6380">
        <w:rPr>
          <w:rFonts w:ascii="Arial" w:hAnsi="Arial" w:cs="Arial"/>
          <w:b w:val="0"/>
          <w:caps w:val="0"/>
          <w:sz w:val="20"/>
        </w:rPr>
        <w:t>Djundja</w:t>
      </w:r>
      <w:proofErr w:type="spellEnd"/>
      <w:r w:rsidRPr="002C6380">
        <w:rPr>
          <w:rFonts w:ascii="Arial" w:hAnsi="Arial" w:cs="Arial"/>
          <w:b w:val="0"/>
          <w:caps w:val="0"/>
          <w:sz w:val="20"/>
        </w:rPr>
        <w:t xml:space="preserve">, &amp; Taub, 2007). </w:t>
      </w:r>
    </w:p>
    <w:p w14:paraId="7631F7F0" w14:textId="77777777" w:rsidR="002C6380" w:rsidRPr="002C6380" w:rsidRDefault="002C6380" w:rsidP="002C6380">
      <w:pPr>
        <w:pStyle w:val="AcknHead"/>
        <w:jc w:val="both"/>
        <w:rPr>
          <w:rFonts w:ascii="Arial" w:hAnsi="Arial" w:cs="Arial"/>
          <w:b w:val="0"/>
          <w:caps w:val="0"/>
          <w:sz w:val="20"/>
        </w:rPr>
      </w:pPr>
      <w:r w:rsidRPr="002C6380">
        <w:rPr>
          <w:rFonts w:ascii="Arial" w:hAnsi="Arial" w:cs="Arial"/>
          <w:b w:val="0"/>
          <w:caps w:val="0"/>
          <w:sz w:val="20"/>
        </w:rPr>
        <w:t>Melodic Intonation Therapy (MIT) is one of the accepted treatments approach for patients with non-fluent aphasia (</w:t>
      </w:r>
      <w:proofErr w:type="spellStart"/>
      <w:r w:rsidRPr="002C6380">
        <w:rPr>
          <w:rFonts w:ascii="Arial" w:hAnsi="Arial" w:cs="Arial"/>
          <w:b w:val="0"/>
          <w:caps w:val="0"/>
          <w:sz w:val="20"/>
        </w:rPr>
        <w:t>Schlaug</w:t>
      </w:r>
      <w:proofErr w:type="spellEnd"/>
      <w:r w:rsidRPr="002C6380">
        <w:rPr>
          <w:rFonts w:ascii="Arial" w:hAnsi="Arial" w:cs="Arial"/>
          <w:b w:val="0"/>
          <w:caps w:val="0"/>
          <w:sz w:val="20"/>
        </w:rPr>
        <w:t xml:space="preserve">, </w:t>
      </w:r>
      <w:proofErr w:type="spellStart"/>
      <w:r w:rsidRPr="002C6380">
        <w:rPr>
          <w:rFonts w:ascii="Arial" w:hAnsi="Arial" w:cs="Arial"/>
          <w:b w:val="0"/>
          <w:caps w:val="0"/>
          <w:sz w:val="20"/>
        </w:rPr>
        <w:t>Marchina</w:t>
      </w:r>
      <w:proofErr w:type="spellEnd"/>
      <w:r w:rsidRPr="002C6380">
        <w:rPr>
          <w:rFonts w:ascii="Arial" w:hAnsi="Arial" w:cs="Arial"/>
          <w:b w:val="0"/>
          <w:caps w:val="0"/>
          <w:sz w:val="20"/>
        </w:rPr>
        <w:t xml:space="preserve"> &amp; Norton, 2008). MIT uses the musical elements of speech (melody and rhythm) to improve expressive language by capitalizing on preserved function (singing) and engaging language-capable regions in the undamaged right hemisphere, which is safe and is advocated for use selectively in the early rehabilitation of patients with non-fluent aphasia for the beneficial effect on verbal expression (Norton, </w:t>
      </w:r>
      <w:proofErr w:type="spellStart"/>
      <w:r w:rsidRPr="002C6380">
        <w:rPr>
          <w:rFonts w:ascii="Arial" w:hAnsi="Arial" w:cs="Arial"/>
          <w:b w:val="0"/>
          <w:caps w:val="0"/>
          <w:sz w:val="20"/>
        </w:rPr>
        <w:t>Zipse</w:t>
      </w:r>
      <w:proofErr w:type="spellEnd"/>
      <w:r w:rsidRPr="002C6380">
        <w:rPr>
          <w:rFonts w:ascii="Arial" w:hAnsi="Arial" w:cs="Arial"/>
          <w:b w:val="0"/>
          <w:caps w:val="0"/>
          <w:sz w:val="20"/>
        </w:rPr>
        <w:t xml:space="preserve">, </w:t>
      </w:r>
      <w:proofErr w:type="spellStart"/>
      <w:r w:rsidRPr="002C6380">
        <w:rPr>
          <w:rFonts w:ascii="Arial" w:hAnsi="Arial" w:cs="Arial"/>
          <w:b w:val="0"/>
          <w:caps w:val="0"/>
          <w:sz w:val="20"/>
        </w:rPr>
        <w:t>Marchina</w:t>
      </w:r>
      <w:proofErr w:type="spellEnd"/>
      <w:r w:rsidRPr="002C6380">
        <w:rPr>
          <w:rFonts w:ascii="Arial" w:hAnsi="Arial" w:cs="Arial"/>
          <w:b w:val="0"/>
          <w:caps w:val="0"/>
          <w:sz w:val="20"/>
        </w:rPr>
        <w:t xml:space="preserve">, &amp; </w:t>
      </w:r>
      <w:proofErr w:type="spellStart"/>
      <w:r w:rsidRPr="002C6380">
        <w:rPr>
          <w:rFonts w:ascii="Arial" w:hAnsi="Arial" w:cs="Arial"/>
          <w:b w:val="0"/>
          <w:caps w:val="0"/>
          <w:sz w:val="20"/>
        </w:rPr>
        <w:t>Schlaug</w:t>
      </w:r>
      <w:proofErr w:type="spellEnd"/>
      <w:r w:rsidRPr="002C6380">
        <w:rPr>
          <w:rFonts w:ascii="Arial" w:hAnsi="Arial" w:cs="Arial"/>
          <w:b w:val="0"/>
          <w:caps w:val="0"/>
          <w:sz w:val="20"/>
        </w:rPr>
        <w:t xml:space="preserve">, 2009). </w:t>
      </w:r>
    </w:p>
    <w:p w14:paraId="7601AF17" w14:textId="77777777" w:rsidR="002C6380" w:rsidRDefault="002C6380" w:rsidP="002C6380">
      <w:pPr>
        <w:pStyle w:val="AcknHead"/>
        <w:spacing w:after="0"/>
        <w:jc w:val="both"/>
        <w:rPr>
          <w:rFonts w:ascii="Arial" w:hAnsi="Arial" w:cs="Arial"/>
          <w:b w:val="0"/>
          <w:caps w:val="0"/>
          <w:sz w:val="20"/>
        </w:rPr>
      </w:pPr>
      <w:r w:rsidRPr="002C6380">
        <w:rPr>
          <w:rFonts w:ascii="Arial" w:hAnsi="Arial" w:cs="Arial"/>
          <w:b w:val="0"/>
          <w:caps w:val="0"/>
          <w:sz w:val="20"/>
        </w:rPr>
        <w:t>Speech &amp; Language Therapy (SLT) is a new profession in Bangladesh. To establish SLT as a powerful profession and evidence based practice (EBP) in this country it is necessary to provide and gain evidence before providing any treatment to the patients (</w:t>
      </w:r>
      <w:proofErr w:type="spellStart"/>
      <w:r w:rsidRPr="002C6380">
        <w:rPr>
          <w:rFonts w:ascii="Arial" w:hAnsi="Arial" w:cs="Arial"/>
          <w:b w:val="0"/>
          <w:caps w:val="0"/>
          <w:sz w:val="20"/>
        </w:rPr>
        <w:t>Dollaghan</w:t>
      </w:r>
      <w:proofErr w:type="spellEnd"/>
      <w:r w:rsidRPr="002C6380">
        <w:rPr>
          <w:rFonts w:ascii="Arial" w:hAnsi="Arial" w:cs="Arial"/>
          <w:b w:val="0"/>
          <w:caps w:val="0"/>
          <w:sz w:val="20"/>
        </w:rPr>
        <w:t xml:space="preserve">, 2007). MIT is also a new treatment program which is recently introduced in the clinical setting of SLT dept. CRP, Savar and Mirpur. So to make this treatment program evidence based this study was conducted with the aim to find out the effectiveness of MIT for patients with non-fluent aphasia. After completing the </w:t>
      </w:r>
      <w:proofErr w:type="gramStart"/>
      <w:r w:rsidRPr="002C6380">
        <w:rPr>
          <w:rFonts w:ascii="Arial" w:hAnsi="Arial" w:cs="Arial"/>
          <w:b w:val="0"/>
          <w:caps w:val="0"/>
          <w:sz w:val="20"/>
        </w:rPr>
        <w:t>study</w:t>
      </w:r>
      <w:proofErr w:type="gramEnd"/>
      <w:r w:rsidRPr="002C6380">
        <w:rPr>
          <w:rFonts w:ascii="Arial" w:hAnsi="Arial" w:cs="Arial"/>
          <w:b w:val="0"/>
          <w:caps w:val="0"/>
          <w:sz w:val="20"/>
        </w:rPr>
        <w:t xml:space="preserve"> it was might be proved that MIT is significant for the improvement of verbal expression which are damaged in non-fluent aphasia it can be used in clinical setting with the proper administration.</w:t>
      </w:r>
    </w:p>
    <w:p w14:paraId="39A6FDC4" w14:textId="77777777" w:rsidR="002C6380" w:rsidRDefault="002C6380" w:rsidP="002C6380">
      <w:pPr>
        <w:pStyle w:val="AcknHead"/>
        <w:spacing w:after="0"/>
        <w:jc w:val="both"/>
        <w:rPr>
          <w:rFonts w:ascii="Arial" w:hAnsi="Arial" w:cs="Arial"/>
          <w:b w:val="0"/>
          <w:caps w:val="0"/>
          <w:sz w:val="20"/>
        </w:rPr>
      </w:pPr>
    </w:p>
    <w:p w14:paraId="41CF3D4F" w14:textId="77777777" w:rsidR="00315186" w:rsidRPr="00315186" w:rsidRDefault="00315186" w:rsidP="00441B6F"/>
    <w:p w14:paraId="37AFE045" w14:textId="77777777" w:rsidR="00EB1471" w:rsidRPr="00EB1471" w:rsidRDefault="00EB1471" w:rsidP="00EB1471">
      <w:pPr>
        <w:pStyle w:val="ReferHead"/>
        <w:jc w:val="both"/>
        <w:rPr>
          <w:rFonts w:ascii="Arial" w:hAnsi="Arial" w:cs="Arial"/>
          <w:b w:val="0"/>
          <w:caps w:val="0"/>
          <w:sz w:val="20"/>
        </w:rPr>
      </w:pPr>
      <w:r w:rsidRPr="00EB1471">
        <w:rPr>
          <w:rFonts w:ascii="Arial" w:hAnsi="Arial" w:cs="Arial"/>
          <w:b w:val="0"/>
          <w:caps w:val="0"/>
          <w:sz w:val="20"/>
        </w:rPr>
        <w:t>COMPETING INTERESTS DISCLAIMER:</w:t>
      </w:r>
    </w:p>
    <w:p w14:paraId="713B76D4" w14:textId="77777777" w:rsidR="00EB1471" w:rsidRPr="00EB1471" w:rsidRDefault="00EB1471" w:rsidP="00EB1471">
      <w:pPr>
        <w:pStyle w:val="ReferHead"/>
        <w:jc w:val="both"/>
        <w:rPr>
          <w:rFonts w:ascii="Arial" w:hAnsi="Arial" w:cs="Arial"/>
          <w:b w:val="0"/>
          <w:caps w:val="0"/>
          <w:sz w:val="20"/>
        </w:rPr>
      </w:pPr>
      <w:r w:rsidRPr="00EB1471">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14A92F6" w14:textId="77777777" w:rsidR="00EB1471" w:rsidRPr="00EB1471" w:rsidRDefault="00EB1471" w:rsidP="00EB1471">
      <w:pPr>
        <w:pStyle w:val="ReferHead"/>
        <w:jc w:val="both"/>
        <w:rPr>
          <w:rFonts w:ascii="Arial" w:hAnsi="Arial" w:cs="Arial"/>
          <w:b w:val="0"/>
          <w:caps w:val="0"/>
          <w:sz w:val="20"/>
        </w:rPr>
      </w:pPr>
    </w:p>
    <w:p w14:paraId="1CA9A280" w14:textId="77777777" w:rsidR="00EB1471" w:rsidRDefault="00EB1471" w:rsidP="00441B6F">
      <w:pPr>
        <w:pStyle w:val="ReferHead"/>
        <w:spacing w:after="0"/>
        <w:jc w:val="both"/>
        <w:rPr>
          <w:rFonts w:ascii="Arial" w:hAnsi="Arial" w:cs="Arial"/>
          <w:b w:val="0"/>
          <w:caps w:val="0"/>
          <w:sz w:val="20"/>
        </w:rPr>
      </w:pPr>
    </w:p>
    <w:p w14:paraId="52B45B71" w14:textId="77777777" w:rsidR="00371FB6" w:rsidRDefault="00371FB6" w:rsidP="00441B6F">
      <w:pPr>
        <w:pStyle w:val="ReferHead"/>
        <w:spacing w:after="0"/>
        <w:jc w:val="both"/>
        <w:rPr>
          <w:rFonts w:ascii="Arial" w:hAnsi="Arial" w:cs="Arial"/>
          <w:b w:val="0"/>
          <w:caps w:val="0"/>
          <w:sz w:val="20"/>
        </w:rPr>
      </w:pPr>
    </w:p>
    <w:p w14:paraId="51D0F19D" w14:textId="77777777" w:rsidR="002B685A" w:rsidRDefault="002B685A" w:rsidP="00441B6F">
      <w:pPr>
        <w:pStyle w:val="ReferHead"/>
        <w:spacing w:after="0"/>
        <w:jc w:val="both"/>
        <w:rPr>
          <w:rFonts w:ascii="Arial" w:hAnsi="Arial" w:cs="Arial"/>
          <w:b w:val="0"/>
          <w:caps w:val="0"/>
          <w:sz w:val="20"/>
        </w:rPr>
      </w:pPr>
    </w:p>
    <w:p w14:paraId="164F2977" w14:textId="77777777" w:rsidR="001A29D8" w:rsidRDefault="001A29D8" w:rsidP="00441B6F">
      <w:pPr>
        <w:pStyle w:val="ReferHead"/>
        <w:spacing w:after="0"/>
        <w:jc w:val="both"/>
        <w:rPr>
          <w:rFonts w:ascii="Arial" w:hAnsi="Arial" w:cs="Arial"/>
          <w:b w:val="0"/>
          <w:caps w:val="0"/>
          <w:sz w:val="20"/>
        </w:rPr>
      </w:pPr>
    </w:p>
    <w:p w14:paraId="75F68049" w14:textId="77777777" w:rsidR="005C784C" w:rsidRDefault="005C784C" w:rsidP="00441B6F">
      <w:pPr>
        <w:pStyle w:val="ReferHead"/>
        <w:spacing w:after="0"/>
        <w:jc w:val="both"/>
        <w:rPr>
          <w:rFonts w:ascii="Arial" w:hAnsi="Arial" w:cs="Arial"/>
          <w:b w:val="0"/>
          <w:caps w:val="0"/>
          <w:sz w:val="20"/>
        </w:rPr>
      </w:pPr>
    </w:p>
    <w:p w14:paraId="0ACC6D1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F813C4E" w14:textId="77777777" w:rsidR="00790ADA" w:rsidRPr="00FB3A86" w:rsidRDefault="00790ADA" w:rsidP="00441B6F">
      <w:pPr>
        <w:pStyle w:val="ReferHead"/>
        <w:spacing w:after="0"/>
        <w:jc w:val="both"/>
        <w:rPr>
          <w:rFonts w:ascii="Arial" w:hAnsi="Arial" w:cs="Arial"/>
        </w:rPr>
      </w:pPr>
    </w:p>
    <w:p w14:paraId="7BF36455" w14:textId="77777777" w:rsidR="002C6380" w:rsidRDefault="002C6380" w:rsidP="002C6380">
      <w:pPr>
        <w:pStyle w:val="Body"/>
        <w:spacing w:before="120" w:after="120" w:line="480" w:lineRule="auto"/>
        <w:ind w:left="720" w:hanging="720"/>
        <w:jc w:val="left"/>
      </w:pPr>
      <w:r>
        <w:t xml:space="preserve">Albert, M., Sparks, R., &amp; Helm, N. (1973). Melodic intonation therapy for aphasia. Archives      </w:t>
      </w:r>
    </w:p>
    <w:p w14:paraId="435D1594" w14:textId="77777777" w:rsidR="002C6380" w:rsidRDefault="002C6380" w:rsidP="002C6380">
      <w:pPr>
        <w:pStyle w:val="Body"/>
        <w:spacing w:before="120" w:after="120" w:line="480" w:lineRule="auto"/>
        <w:ind w:left="720" w:hanging="720"/>
        <w:jc w:val="left"/>
      </w:pPr>
      <w:r>
        <w:t xml:space="preserve">            </w:t>
      </w:r>
      <w:proofErr w:type="gramStart"/>
      <w:r>
        <w:t xml:space="preserve">in  </w:t>
      </w:r>
      <w:proofErr w:type="spellStart"/>
      <w:r>
        <w:t>Neurolgy</w:t>
      </w:r>
      <w:proofErr w:type="spellEnd"/>
      <w:proofErr w:type="gramEnd"/>
      <w:r>
        <w:t xml:space="preserve">, 29, 130-131. </w:t>
      </w:r>
    </w:p>
    <w:p w14:paraId="65119C9D" w14:textId="77777777" w:rsidR="002C6380" w:rsidRDefault="002C6380" w:rsidP="002C6380">
      <w:pPr>
        <w:pStyle w:val="Body"/>
        <w:spacing w:before="120" w:after="120" w:line="480" w:lineRule="auto"/>
        <w:ind w:left="720" w:hanging="720"/>
        <w:jc w:val="left"/>
      </w:pPr>
      <w:r>
        <w:t xml:space="preserve">Bailey, M. D. (1997). Research for the Health Professional. Philadelphia: F.A. Davis  </w:t>
      </w:r>
    </w:p>
    <w:p w14:paraId="6FB228AC" w14:textId="77777777" w:rsidR="002C6380" w:rsidRDefault="002C6380" w:rsidP="002C6380">
      <w:pPr>
        <w:pStyle w:val="Body"/>
        <w:spacing w:before="120" w:after="120" w:line="480" w:lineRule="auto"/>
        <w:ind w:left="720" w:hanging="720"/>
        <w:jc w:val="left"/>
      </w:pPr>
      <w:r>
        <w:t xml:space="preserve">            Company.</w:t>
      </w:r>
    </w:p>
    <w:p w14:paraId="20CF2F12" w14:textId="77777777" w:rsidR="002C6380" w:rsidRDefault="002C6380" w:rsidP="002C6380">
      <w:pPr>
        <w:pStyle w:val="Body"/>
        <w:spacing w:before="120" w:after="120" w:line="480" w:lineRule="auto"/>
        <w:ind w:left="720" w:hanging="720"/>
        <w:jc w:val="left"/>
      </w:pPr>
      <w:proofErr w:type="spellStart"/>
      <w:r>
        <w:t>Bakheit</w:t>
      </w:r>
      <w:proofErr w:type="spellEnd"/>
      <w:r>
        <w:t xml:space="preserve">, A. M. O., Shaw, S., Carrington, S., &amp; Griffiths, S. (2007). The rate and extent of </w:t>
      </w:r>
    </w:p>
    <w:p w14:paraId="474D7E42" w14:textId="77777777" w:rsidR="002C6380" w:rsidRDefault="002C6380" w:rsidP="002C6380">
      <w:pPr>
        <w:pStyle w:val="Body"/>
        <w:spacing w:before="120" w:after="120" w:line="480" w:lineRule="auto"/>
        <w:ind w:left="720" w:hanging="720"/>
        <w:jc w:val="left"/>
      </w:pPr>
      <w:r>
        <w:t xml:space="preserve">            improvement with therapy from the different types of aphasia in the first year of </w:t>
      </w:r>
    </w:p>
    <w:p w14:paraId="02F19714" w14:textId="77777777" w:rsidR="002C6380" w:rsidRDefault="002C6380" w:rsidP="002C6380">
      <w:pPr>
        <w:pStyle w:val="Body"/>
        <w:spacing w:before="120" w:after="120" w:line="480" w:lineRule="auto"/>
        <w:ind w:left="720" w:hanging="720"/>
        <w:jc w:val="left"/>
      </w:pPr>
      <w:r>
        <w:t xml:space="preserve">            stroke.  Clinical Rehabilitation 21(10), 941–949.</w:t>
      </w:r>
    </w:p>
    <w:p w14:paraId="093D795D" w14:textId="77777777" w:rsidR="002C6380" w:rsidRDefault="002C6380" w:rsidP="002C6380">
      <w:pPr>
        <w:pStyle w:val="Body"/>
        <w:spacing w:before="120" w:after="120" w:line="480" w:lineRule="auto"/>
        <w:ind w:left="720" w:hanging="720"/>
        <w:jc w:val="left"/>
      </w:pPr>
      <w:r>
        <w:lastRenderedPageBreak/>
        <w:t xml:space="preserve">Belin, P., Van </w:t>
      </w:r>
      <w:proofErr w:type="spellStart"/>
      <w:r>
        <w:t>Eeckhout</w:t>
      </w:r>
      <w:proofErr w:type="spellEnd"/>
      <w:r>
        <w:t xml:space="preserve">, P., </w:t>
      </w:r>
      <w:proofErr w:type="spellStart"/>
      <w:r>
        <w:t>Zilbovicius</w:t>
      </w:r>
      <w:proofErr w:type="spellEnd"/>
      <w:r>
        <w:t xml:space="preserve">, M., Remy, P., Francois, C., Guillaume, S., Chain,  </w:t>
      </w:r>
    </w:p>
    <w:p w14:paraId="1665A6E1" w14:textId="77777777" w:rsidR="002C6380" w:rsidRDefault="002C6380" w:rsidP="002C6380">
      <w:pPr>
        <w:pStyle w:val="Body"/>
        <w:spacing w:before="120" w:after="120" w:line="480" w:lineRule="auto"/>
        <w:ind w:left="720" w:hanging="720"/>
        <w:jc w:val="left"/>
      </w:pPr>
      <w:r>
        <w:t xml:space="preserve">            F., </w:t>
      </w:r>
      <w:proofErr w:type="spellStart"/>
      <w:r>
        <w:t>Rancurel</w:t>
      </w:r>
      <w:proofErr w:type="spellEnd"/>
      <w:r>
        <w:t xml:space="preserve">, G., &amp; Samson, Y. (1996). Recovery from nonfluent aphasia after </w:t>
      </w:r>
    </w:p>
    <w:p w14:paraId="54BFB1C9" w14:textId="77777777" w:rsidR="002C6380" w:rsidRDefault="002C6380" w:rsidP="002C6380">
      <w:pPr>
        <w:pStyle w:val="Body"/>
        <w:spacing w:before="120" w:after="120" w:line="480" w:lineRule="auto"/>
        <w:ind w:left="720" w:hanging="720"/>
        <w:jc w:val="left"/>
      </w:pPr>
      <w:r>
        <w:t xml:space="preserve">            melodic intonation therapy: A PET study. Neurology, 47, 1504–1511. </w:t>
      </w:r>
    </w:p>
    <w:p w14:paraId="5914557B" w14:textId="77777777" w:rsidR="002C6380" w:rsidRDefault="002C6380" w:rsidP="002C6380">
      <w:pPr>
        <w:pStyle w:val="Body"/>
        <w:spacing w:before="120" w:after="120" w:line="480" w:lineRule="auto"/>
        <w:ind w:left="720" w:hanging="720"/>
        <w:jc w:val="left"/>
      </w:pPr>
      <w:r>
        <w:t xml:space="preserve">Bersano, A., Burgio, F., </w:t>
      </w:r>
      <w:proofErr w:type="spellStart"/>
      <w:r>
        <w:t>Gattinoni</w:t>
      </w:r>
      <w:proofErr w:type="spellEnd"/>
      <w:r>
        <w:t xml:space="preserve">, M., &amp; </w:t>
      </w:r>
      <w:proofErr w:type="spellStart"/>
      <w:r>
        <w:t>Candelise</w:t>
      </w:r>
      <w:proofErr w:type="spellEnd"/>
      <w:r>
        <w:t xml:space="preserve">, L. (2009). Aphasia burden to  </w:t>
      </w:r>
    </w:p>
    <w:p w14:paraId="7C202F97" w14:textId="77777777" w:rsidR="002C6380" w:rsidRDefault="002C6380" w:rsidP="002C6380">
      <w:pPr>
        <w:pStyle w:val="Body"/>
        <w:spacing w:before="120" w:after="120" w:line="480" w:lineRule="auto"/>
        <w:ind w:left="720" w:hanging="720"/>
        <w:jc w:val="left"/>
      </w:pPr>
      <w:r>
        <w:t xml:space="preserve">            hospitalized acute stroke patients: need for an early rehabilitation </w:t>
      </w:r>
      <w:proofErr w:type="spellStart"/>
      <w:r>
        <w:t>programme</w:t>
      </w:r>
      <w:proofErr w:type="spellEnd"/>
      <w:r>
        <w:t xml:space="preserve">.  </w:t>
      </w:r>
    </w:p>
    <w:p w14:paraId="79CEA0DF" w14:textId="77777777" w:rsidR="002C6380" w:rsidRDefault="002C6380" w:rsidP="002C6380">
      <w:pPr>
        <w:pStyle w:val="Body"/>
        <w:spacing w:before="120" w:after="120" w:line="480" w:lineRule="auto"/>
        <w:ind w:left="720" w:hanging="720"/>
        <w:jc w:val="left"/>
      </w:pPr>
      <w:r>
        <w:t xml:space="preserve">            International Journal of Stroke, 4(6), 443-7.</w:t>
      </w:r>
    </w:p>
    <w:p w14:paraId="06FE964F" w14:textId="77777777" w:rsidR="002C6380" w:rsidRDefault="002C6380" w:rsidP="002C6380">
      <w:pPr>
        <w:pStyle w:val="Body"/>
        <w:spacing w:before="120" w:after="120" w:line="480" w:lineRule="auto"/>
        <w:ind w:left="720" w:hanging="720"/>
        <w:jc w:val="left"/>
      </w:pPr>
      <w:r>
        <w:t xml:space="preserve">Blythe, L., (2012). Evaluation of Melodic Intonation Therapy for Developmental Apraxia of  </w:t>
      </w:r>
    </w:p>
    <w:p w14:paraId="6FD8FB96" w14:textId="77777777" w:rsidR="002C6380" w:rsidRDefault="002C6380" w:rsidP="002C6380">
      <w:pPr>
        <w:pStyle w:val="Body"/>
        <w:spacing w:before="120" w:after="120" w:line="480" w:lineRule="auto"/>
        <w:ind w:left="720" w:hanging="720"/>
        <w:jc w:val="left"/>
      </w:pPr>
      <w:r>
        <w:t xml:space="preserve">           Speech. Music Therapy Perspectives, 30, 1.</w:t>
      </w:r>
    </w:p>
    <w:p w14:paraId="72388DBE" w14:textId="77777777" w:rsidR="002C6380" w:rsidRDefault="002C6380" w:rsidP="002C6380">
      <w:pPr>
        <w:pStyle w:val="Body"/>
        <w:spacing w:before="120" w:after="120" w:line="480" w:lineRule="auto"/>
        <w:ind w:left="720" w:hanging="720"/>
        <w:jc w:val="left"/>
      </w:pPr>
      <w:proofErr w:type="spellStart"/>
      <w:r>
        <w:t>Bonakdapour</w:t>
      </w:r>
      <w:proofErr w:type="spellEnd"/>
      <w:r>
        <w:t xml:space="preserve">, B., </w:t>
      </w:r>
      <w:proofErr w:type="spellStart"/>
      <w:r>
        <w:t>Eftekharzadeh</w:t>
      </w:r>
      <w:proofErr w:type="spellEnd"/>
      <w:r>
        <w:t xml:space="preserve">, A., &amp; </w:t>
      </w:r>
      <w:proofErr w:type="spellStart"/>
      <w:r>
        <w:t>Ashayeri</w:t>
      </w:r>
      <w:proofErr w:type="spellEnd"/>
      <w:r>
        <w:t xml:space="preserve">, H. (2003). Melodic Intonation Therapy in </w:t>
      </w:r>
    </w:p>
    <w:p w14:paraId="7EA2B3B9" w14:textId="77777777" w:rsidR="002C6380" w:rsidRDefault="002C6380" w:rsidP="002C6380">
      <w:pPr>
        <w:pStyle w:val="Body"/>
        <w:spacing w:before="120" w:after="120" w:line="480" w:lineRule="auto"/>
        <w:ind w:left="720" w:hanging="720"/>
        <w:jc w:val="left"/>
      </w:pPr>
      <w:r>
        <w:t xml:space="preserve">           Persian aphasic patients. Aphasiology, 17, 75-95.</w:t>
      </w:r>
    </w:p>
    <w:p w14:paraId="42D5AA3B" w14:textId="77777777" w:rsidR="002C6380" w:rsidRDefault="002C6380" w:rsidP="002C6380">
      <w:pPr>
        <w:pStyle w:val="Body"/>
        <w:spacing w:before="120" w:after="120" w:line="480" w:lineRule="auto"/>
        <w:ind w:left="720" w:hanging="720"/>
        <w:jc w:val="left"/>
      </w:pPr>
      <w:r>
        <w:t xml:space="preserve">Brust, J. C. M. (2001). Music and the neurologist: A historical perspective. Annals of the New  </w:t>
      </w:r>
    </w:p>
    <w:p w14:paraId="19F0742D" w14:textId="77777777" w:rsidR="002C6380" w:rsidRDefault="002C6380" w:rsidP="002C6380">
      <w:pPr>
        <w:pStyle w:val="Body"/>
        <w:spacing w:before="120" w:after="120" w:line="480" w:lineRule="auto"/>
        <w:ind w:left="720" w:hanging="720"/>
        <w:jc w:val="left"/>
      </w:pPr>
      <w:r>
        <w:t xml:space="preserve">            York Academy of Sciences, 930(1), 143–152.</w:t>
      </w:r>
    </w:p>
    <w:p w14:paraId="38A5948D" w14:textId="77777777" w:rsidR="002C6380" w:rsidRDefault="002C6380" w:rsidP="002C6380">
      <w:pPr>
        <w:pStyle w:val="Body"/>
        <w:spacing w:before="120" w:after="120" w:line="480" w:lineRule="auto"/>
        <w:ind w:left="720" w:hanging="720"/>
        <w:jc w:val="left"/>
      </w:pPr>
      <w:r>
        <w:t xml:space="preserve">Carroll, D. (1996). A study of the effectiveness of an adaptation of melodic intonation therapy </w:t>
      </w:r>
    </w:p>
    <w:p w14:paraId="4340B386" w14:textId="77777777" w:rsidR="002C6380" w:rsidRDefault="002C6380" w:rsidP="002C6380">
      <w:pPr>
        <w:pStyle w:val="Body"/>
        <w:spacing w:before="120" w:after="120" w:line="480" w:lineRule="auto"/>
        <w:ind w:left="720" w:hanging="720"/>
        <w:jc w:val="left"/>
      </w:pPr>
      <w:r>
        <w:t xml:space="preserve">           in increasing the communicative speech of young children with Down syndrome. </w:t>
      </w:r>
    </w:p>
    <w:p w14:paraId="2433EE67" w14:textId="77777777" w:rsidR="002C6380" w:rsidRDefault="002C6380" w:rsidP="002C6380">
      <w:pPr>
        <w:pStyle w:val="Body"/>
        <w:spacing w:before="120" w:after="120" w:line="480" w:lineRule="auto"/>
        <w:ind w:left="720" w:hanging="720"/>
        <w:jc w:val="left"/>
      </w:pPr>
      <w:r>
        <w:t xml:space="preserve">           McGill University. Canada.</w:t>
      </w:r>
    </w:p>
    <w:p w14:paraId="774DAD45" w14:textId="77777777" w:rsidR="002C6380" w:rsidRDefault="002C6380" w:rsidP="002C6380">
      <w:pPr>
        <w:pStyle w:val="Body"/>
        <w:spacing w:before="120" w:after="120" w:line="480" w:lineRule="auto"/>
        <w:ind w:left="720" w:hanging="720"/>
        <w:jc w:val="left"/>
      </w:pPr>
      <w:r>
        <w:t xml:space="preserve"> </w:t>
      </w:r>
    </w:p>
    <w:p w14:paraId="79FD37AF" w14:textId="77777777" w:rsidR="002C6380" w:rsidRDefault="002C6380" w:rsidP="002C6380">
      <w:pPr>
        <w:pStyle w:val="Body"/>
        <w:spacing w:before="120" w:after="120" w:line="480" w:lineRule="auto"/>
        <w:ind w:left="720" w:hanging="720"/>
        <w:jc w:val="left"/>
      </w:pPr>
      <w:r>
        <w:t xml:space="preserve">Carlomagno, S., Van </w:t>
      </w:r>
      <w:proofErr w:type="spellStart"/>
      <w:proofErr w:type="gramStart"/>
      <w:r>
        <w:t>Eeckhou,t</w:t>
      </w:r>
      <w:proofErr w:type="spellEnd"/>
      <w:proofErr w:type="gramEnd"/>
      <w:r>
        <w:t xml:space="preserve"> P., Blasi, V., Belin, P., Samson, Y., &amp; </w:t>
      </w:r>
      <w:proofErr w:type="spellStart"/>
      <w:r>
        <w:t>Deloche</w:t>
      </w:r>
      <w:proofErr w:type="spellEnd"/>
      <w:r>
        <w:t xml:space="preserve">, G. (1997).  </w:t>
      </w:r>
    </w:p>
    <w:p w14:paraId="024E2C17" w14:textId="77777777" w:rsidR="002C6380" w:rsidRDefault="002C6380" w:rsidP="002C6380">
      <w:pPr>
        <w:pStyle w:val="Body"/>
        <w:spacing w:before="120" w:after="120" w:line="480" w:lineRule="auto"/>
        <w:ind w:left="720" w:hanging="720"/>
        <w:jc w:val="left"/>
      </w:pPr>
      <w:r>
        <w:t xml:space="preserve">            The impact of functional neuroimaging methods on the development of a theory for  </w:t>
      </w:r>
    </w:p>
    <w:p w14:paraId="0BFE170C" w14:textId="77777777" w:rsidR="002C6380" w:rsidRDefault="002C6380" w:rsidP="002C6380">
      <w:pPr>
        <w:pStyle w:val="Body"/>
        <w:spacing w:before="120" w:after="120" w:line="480" w:lineRule="auto"/>
        <w:ind w:left="720" w:hanging="720"/>
        <w:jc w:val="left"/>
      </w:pPr>
      <w:r>
        <w:t xml:space="preserve">            cognitive remediation. Neuropsychological Rehabilitation 7(4), 311-26.</w:t>
      </w:r>
    </w:p>
    <w:p w14:paraId="2DC6CCAD" w14:textId="77777777" w:rsidR="002C6380" w:rsidRDefault="002C6380" w:rsidP="002C6380">
      <w:pPr>
        <w:pStyle w:val="Body"/>
        <w:spacing w:before="120" w:after="120" w:line="480" w:lineRule="auto"/>
        <w:ind w:left="720" w:hanging="720"/>
        <w:jc w:val="left"/>
      </w:pPr>
      <w:proofErr w:type="spellStart"/>
      <w:r>
        <w:t>Chapey</w:t>
      </w:r>
      <w:proofErr w:type="spellEnd"/>
      <w:r>
        <w:t xml:space="preserve">, R. (1994). Language Intervention Strategies in Adult Aphasia (3rd ed.). Baltimore, </w:t>
      </w:r>
    </w:p>
    <w:p w14:paraId="3EA6E4DA" w14:textId="77777777" w:rsidR="002C6380" w:rsidRDefault="002C6380" w:rsidP="002C6380">
      <w:pPr>
        <w:pStyle w:val="Body"/>
        <w:spacing w:before="120" w:after="120" w:line="480" w:lineRule="auto"/>
        <w:ind w:left="720" w:hanging="720"/>
        <w:jc w:val="left"/>
      </w:pPr>
      <w:r>
        <w:t xml:space="preserve">             MD: Williams and Wilkins.</w:t>
      </w:r>
    </w:p>
    <w:p w14:paraId="23A64BE3" w14:textId="77777777" w:rsidR="002C6380" w:rsidRDefault="002C6380" w:rsidP="002C6380">
      <w:pPr>
        <w:pStyle w:val="Body"/>
        <w:spacing w:before="120" w:after="120" w:line="480" w:lineRule="auto"/>
        <w:ind w:left="720" w:hanging="720"/>
        <w:jc w:val="left"/>
      </w:pPr>
      <w:r>
        <w:t xml:space="preserve">Code, C., Hemsley, G., &amp; Herrmann, M. (1999). The emotional impact of aphasia. Seminars  </w:t>
      </w:r>
    </w:p>
    <w:p w14:paraId="3DBA069A" w14:textId="77777777" w:rsidR="002C6380" w:rsidRDefault="002C6380" w:rsidP="002C6380">
      <w:pPr>
        <w:pStyle w:val="Body"/>
        <w:spacing w:before="120" w:after="120" w:line="480" w:lineRule="auto"/>
        <w:ind w:left="720" w:hanging="720"/>
        <w:jc w:val="left"/>
      </w:pPr>
      <w:r>
        <w:t xml:space="preserve">             in Speech and Language, 20(1), 19–31.</w:t>
      </w:r>
    </w:p>
    <w:p w14:paraId="249C1232" w14:textId="77777777" w:rsidR="002C6380" w:rsidRDefault="002C6380" w:rsidP="002C6380">
      <w:pPr>
        <w:pStyle w:val="Body"/>
        <w:spacing w:before="120" w:after="120" w:line="480" w:lineRule="auto"/>
        <w:ind w:left="720" w:hanging="720"/>
        <w:jc w:val="left"/>
      </w:pPr>
      <w:proofErr w:type="spellStart"/>
      <w:r>
        <w:t>Commondoor</w:t>
      </w:r>
      <w:proofErr w:type="spellEnd"/>
      <w:r>
        <w:t xml:space="preserve">, R., Eisenhut, M., Fowler, C., Kirollos, R. W., &amp; Nathwani, N. (2009). </w:t>
      </w:r>
    </w:p>
    <w:p w14:paraId="1272D040" w14:textId="77777777" w:rsidR="002C6380" w:rsidRDefault="002C6380" w:rsidP="002C6380">
      <w:pPr>
        <w:pStyle w:val="Body"/>
        <w:spacing w:before="120" w:after="120" w:line="480" w:lineRule="auto"/>
        <w:ind w:left="720" w:hanging="720"/>
        <w:jc w:val="left"/>
      </w:pPr>
      <w:r>
        <w:lastRenderedPageBreak/>
        <w:t xml:space="preserve">             Transient Broca's Aphasia as Feature of an Extradural Abscess. Pediatric Neurology, </w:t>
      </w:r>
    </w:p>
    <w:p w14:paraId="59ABD0AF" w14:textId="77777777" w:rsidR="002C6380" w:rsidRDefault="002C6380" w:rsidP="002C6380">
      <w:pPr>
        <w:pStyle w:val="Body"/>
        <w:spacing w:before="120" w:after="120" w:line="480" w:lineRule="auto"/>
        <w:ind w:left="720" w:hanging="720"/>
        <w:jc w:val="left"/>
      </w:pPr>
      <w:r>
        <w:t xml:space="preserve">              40 (1), 50–53.</w:t>
      </w:r>
    </w:p>
    <w:p w14:paraId="2F71B493" w14:textId="77777777" w:rsidR="002C6380" w:rsidRDefault="002C6380" w:rsidP="002C6380">
      <w:pPr>
        <w:pStyle w:val="Body"/>
        <w:spacing w:before="120" w:after="120" w:line="480" w:lineRule="auto"/>
        <w:ind w:left="720" w:hanging="720"/>
        <w:jc w:val="left"/>
      </w:pPr>
      <w:proofErr w:type="spellStart"/>
      <w:r>
        <w:t>Conklyn</w:t>
      </w:r>
      <w:proofErr w:type="spellEnd"/>
      <w:r>
        <w:t xml:space="preserve">, D., Novak, E., Boissy, A., </w:t>
      </w:r>
      <w:proofErr w:type="spellStart"/>
      <w:r>
        <w:t>Bethoux</w:t>
      </w:r>
      <w:proofErr w:type="spellEnd"/>
      <w:r>
        <w:t xml:space="preserve">, F., &amp; </w:t>
      </w:r>
      <w:proofErr w:type="spellStart"/>
      <w:r>
        <w:t>Chemali</w:t>
      </w:r>
      <w:proofErr w:type="spellEnd"/>
      <w:r>
        <w:t xml:space="preserve">, K. (2012). The Effects of </w:t>
      </w:r>
    </w:p>
    <w:p w14:paraId="38292D91" w14:textId="77777777" w:rsidR="002C6380" w:rsidRDefault="002C6380" w:rsidP="002C6380">
      <w:pPr>
        <w:pStyle w:val="Body"/>
        <w:spacing w:before="120" w:after="120" w:line="480" w:lineRule="auto"/>
        <w:ind w:left="720" w:hanging="720"/>
        <w:jc w:val="left"/>
      </w:pPr>
      <w:r>
        <w:t xml:space="preserve">              Modified Melodic Intonation Therapy on Nonfluent Aphasia: A Pilot Study. </w:t>
      </w:r>
    </w:p>
    <w:p w14:paraId="1EC5D611" w14:textId="77777777" w:rsidR="002C6380" w:rsidRDefault="002C6380" w:rsidP="002C6380">
      <w:pPr>
        <w:pStyle w:val="Body"/>
        <w:spacing w:before="120" w:after="120" w:line="480" w:lineRule="auto"/>
        <w:ind w:left="720" w:hanging="720"/>
        <w:jc w:val="left"/>
      </w:pPr>
      <w:r>
        <w:t xml:space="preserve">              Journal of Speech, Language, and Hearing Research, 55, 1463–1471.</w:t>
      </w:r>
    </w:p>
    <w:p w14:paraId="26B1FB1B" w14:textId="77777777" w:rsidR="002C6380" w:rsidRDefault="002C6380" w:rsidP="002C6380">
      <w:pPr>
        <w:pStyle w:val="Body"/>
        <w:spacing w:before="120" w:after="120" w:line="480" w:lineRule="auto"/>
        <w:ind w:left="720" w:hanging="720"/>
        <w:jc w:val="left"/>
      </w:pPr>
      <w:r>
        <w:t xml:space="preserve">Crosson, B., McGregor, K., Gopinath, K. S., Conway, T. W., Benjamin, M., Chang, Y., </w:t>
      </w:r>
    </w:p>
    <w:p w14:paraId="14FB05BD" w14:textId="77777777" w:rsidR="002C6380" w:rsidRDefault="002C6380" w:rsidP="002C6380">
      <w:pPr>
        <w:pStyle w:val="Body"/>
        <w:spacing w:before="120" w:after="120" w:line="480" w:lineRule="auto"/>
        <w:ind w:left="720" w:hanging="720"/>
        <w:jc w:val="left"/>
      </w:pPr>
      <w:r>
        <w:t xml:space="preserve">              </w:t>
      </w:r>
      <w:proofErr w:type="gramStart"/>
      <w:r>
        <w:t>Moore,  A.</w:t>
      </w:r>
      <w:proofErr w:type="gramEnd"/>
      <w:r>
        <w:t xml:space="preserve"> B., Raymer, A. M., Briggs, R. W., Sherod, M, G., Wierenga, C, E., &amp; </w:t>
      </w:r>
    </w:p>
    <w:p w14:paraId="7D17EFB5" w14:textId="77777777" w:rsidR="002C6380" w:rsidRDefault="002C6380" w:rsidP="002C6380">
      <w:pPr>
        <w:pStyle w:val="Body"/>
        <w:spacing w:before="120" w:after="120" w:line="480" w:lineRule="auto"/>
        <w:ind w:left="720" w:hanging="720"/>
        <w:jc w:val="left"/>
      </w:pPr>
      <w:r>
        <w:t xml:space="preserve">              White, K. D. (2007). Functional MRI of Language in Aphasia: A Review of the </w:t>
      </w:r>
    </w:p>
    <w:p w14:paraId="1A5400F8" w14:textId="77777777" w:rsidR="002C6380" w:rsidRDefault="002C6380" w:rsidP="002C6380">
      <w:pPr>
        <w:pStyle w:val="Body"/>
        <w:spacing w:before="120" w:after="120" w:line="480" w:lineRule="auto"/>
        <w:ind w:left="720" w:hanging="720"/>
        <w:jc w:val="left"/>
      </w:pPr>
      <w:r>
        <w:t xml:space="preserve">              Literature and </w:t>
      </w:r>
      <w:proofErr w:type="gramStart"/>
      <w:r>
        <w:t>the  Methodological</w:t>
      </w:r>
      <w:proofErr w:type="gramEnd"/>
      <w:r>
        <w:t xml:space="preserve"> Challenges. </w:t>
      </w:r>
      <w:proofErr w:type="spellStart"/>
      <w:r>
        <w:t>Neuropsychol</w:t>
      </w:r>
      <w:proofErr w:type="spellEnd"/>
      <w:r>
        <w:t xml:space="preserve"> Rev, 17, 157–177.</w:t>
      </w:r>
    </w:p>
    <w:p w14:paraId="23B5FAA5" w14:textId="77777777" w:rsidR="002C6380" w:rsidRDefault="002C6380" w:rsidP="002C6380">
      <w:pPr>
        <w:pStyle w:val="Body"/>
        <w:spacing w:before="120" w:after="120" w:line="480" w:lineRule="auto"/>
        <w:ind w:left="720" w:hanging="720"/>
        <w:jc w:val="left"/>
      </w:pPr>
      <w:r>
        <w:t xml:space="preserve">Damasio, A., Damasio, H., Rizzo, M., Varney, N, &amp; Gersh, F. (1982). Aphasia with </w:t>
      </w:r>
    </w:p>
    <w:p w14:paraId="175D4989" w14:textId="77777777" w:rsidR="002C6380" w:rsidRDefault="002C6380" w:rsidP="002C6380">
      <w:pPr>
        <w:pStyle w:val="Body"/>
        <w:spacing w:before="120" w:after="120" w:line="480" w:lineRule="auto"/>
        <w:ind w:left="720" w:hanging="720"/>
        <w:jc w:val="left"/>
      </w:pPr>
      <w:r>
        <w:t xml:space="preserve">              </w:t>
      </w:r>
      <w:proofErr w:type="spellStart"/>
      <w:r>
        <w:t>nonhemorrhagic</w:t>
      </w:r>
      <w:proofErr w:type="spellEnd"/>
      <w:r>
        <w:t xml:space="preserve"> lesions in the basal ganglia and internal capsule. Archives of </w:t>
      </w:r>
    </w:p>
    <w:p w14:paraId="70DACC15" w14:textId="77777777" w:rsidR="002C6380" w:rsidRDefault="002C6380" w:rsidP="002C6380">
      <w:pPr>
        <w:pStyle w:val="Body"/>
        <w:spacing w:before="120" w:after="120" w:line="480" w:lineRule="auto"/>
        <w:ind w:left="720" w:hanging="720"/>
        <w:jc w:val="left"/>
      </w:pPr>
      <w:r>
        <w:t xml:space="preserve">              Neurology, 39(1), 15-20.</w:t>
      </w:r>
    </w:p>
    <w:p w14:paraId="14D42E21" w14:textId="77777777" w:rsidR="002C6380" w:rsidRDefault="002C6380" w:rsidP="002C6380">
      <w:pPr>
        <w:pStyle w:val="Body"/>
        <w:spacing w:before="120" w:after="120" w:line="480" w:lineRule="auto"/>
        <w:ind w:left="720" w:hanging="720"/>
        <w:jc w:val="left"/>
      </w:pPr>
      <w:r>
        <w:t xml:space="preserve">Damasio, A. R., &amp; Tranel, D. (1993). Nouns and verbs are retrieved with differently </w:t>
      </w:r>
    </w:p>
    <w:p w14:paraId="2AFA5C11" w14:textId="77777777" w:rsidR="002C6380" w:rsidRDefault="002C6380" w:rsidP="002C6380">
      <w:pPr>
        <w:pStyle w:val="Body"/>
        <w:spacing w:before="120" w:after="120" w:line="480" w:lineRule="auto"/>
        <w:ind w:left="720" w:hanging="720"/>
        <w:jc w:val="left"/>
      </w:pPr>
      <w:r>
        <w:t xml:space="preserve">             distributed neural systems. Proceedings of the National Academy of Sciences of the </w:t>
      </w:r>
    </w:p>
    <w:p w14:paraId="61AAB4DE" w14:textId="77777777" w:rsidR="002C6380" w:rsidRDefault="002C6380" w:rsidP="002C6380">
      <w:pPr>
        <w:pStyle w:val="Body"/>
        <w:spacing w:before="120" w:after="120" w:line="480" w:lineRule="auto"/>
        <w:ind w:left="720" w:hanging="720"/>
        <w:jc w:val="left"/>
      </w:pPr>
      <w:r>
        <w:t xml:space="preserve">             United States </w:t>
      </w:r>
      <w:proofErr w:type="gramStart"/>
      <w:r>
        <w:t>of  America</w:t>
      </w:r>
      <w:proofErr w:type="gramEnd"/>
      <w:r>
        <w:t>, 90, 4957-4960.</w:t>
      </w:r>
    </w:p>
    <w:p w14:paraId="6CE9876E" w14:textId="77777777" w:rsidR="002C6380" w:rsidRDefault="002C6380" w:rsidP="002C6380">
      <w:pPr>
        <w:pStyle w:val="Body"/>
        <w:spacing w:before="120" w:after="120" w:line="480" w:lineRule="auto"/>
        <w:ind w:left="720" w:hanging="720"/>
        <w:jc w:val="left"/>
      </w:pPr>
      <w:r>
        <w:t>Darley, F. L. (1982). Aphasia. Philadelphia, PA: Saunders.</w:t>
      </w:r>
    </w:p>
    <w:p w14:paraId="55FD7E8C" w14:textId="77777777" w:rsidR="002C6380" w:rsidRDefault="002C6380" w:rsidP="002C6380">
      <w:pPr>
        <w:pStyle w:val="Body"/>
        <w:spacing w:before="120" w:after="120" w:line="480" w:lineRule="auto"/>
        <w:ind w:left="720" w:hanging="720"/>
        <w:jc w:val="left"/>
      </w:pPr>
      <w:r>
        <w:t xml:space="preserve">Dickey, L., Kagan, A., Lindsay, M. P., Fang, J., Rowland, A., &amp; Black, S. (2010). Incidence </w:t>
      </w:r>
    </w:p>
    <w:p w14:paraId="78EC96CD" w14:textId="77777777" w:rsidR="002C6380" w:rsidRDefault="002C6380" w:rsidP="002C6380">
      <w:pPr>
        <w:pStyle w:val="Body"/>
        <w:spacing w:before="120" w:after="120" w:line="480" w:lineRule="auto"/>
        <w:ind w:left="720" w:hanging="720"/>
        <w:jc w:val="left"/>
      </w:pPr>
      <w:r>
        <w:t xml:space="preserve">             and profile of inpatient stroke induced aphasia in Ontario, Canada. Archives of </w:t>
      </w:r>
    </w:p>
    <w:p w14:paraId="27621D6D" w14:textId="77777777" w:rsidR="002C6380" w:rsidRDefault="002C6380" w:rsidP="002C6380">
      <w:pPr>
        <w:pStyle w:val="Body"/>
        <w:spacing w:before="120" w:after="120" w:line="480" w:lineRule="auto"/>
        <w:ind w:left="720" w:hanging="720"/>
        <w:jc w:val="left"/>
      </w:pPr>
      <w:r>
        <w:t xml:space="preserve">              </w:t>
      </w:r>
      <w:proofErr w:type="gramStart"/>
      <w:r>
        <w:t>Physical  Medicine</w:t>
      </w:r>
      <w:proofErr w:type="gramEnd"/>
      <w:r>
        <w:t xml:space="preserve"> and Rehabilitation, 91, 196–202.</w:t>
      </w:r>
    </w:p>
    <w:p w14:paraId="7A0FA840" w14:textId="77777777" w:rsidR="002C6380" w:rsidRDefault="002C6380" w:rsidP="002C6380">
      <w:pPr>
        <w:pStyle w:val="Body"/>
        <w:spacing w:before="120" w:after="120" w:line="480" w:lineRule="auto"/>
        <w:ind w:left="720" w:hanging="720"/>
        <w:jc w:val="left"/>
      </w:pPr>
      <w:proofErr w:type="spellStart"/>
      <w:r>
        <w:t>Dollaghan</w:t>
      </w:r>
      <w:proofErr w:type="spellEnd"/>
      <w:r>
        <w:t xml:space="preserve">, C. A. (2007). The Handbook for Evidence Based Practice in Communication </w:t>
      </w:r>
    </w:p>
    <w:p w14:paraId="45B68E4B" w14:textId="77777777" w:rsidR="002C6380" w:rsidRDefault="002C6380" w:rsidP="002C6380">
      <w:pPr>
        <w:pStyle w:val="Body"/>
        <w:spacing w:before="120" w:after="120" w:line="480" w:lineRule="auto"/>
        <w:ind w:left="720" w:hanging="720"/>
        <w:jc w:val="left"/>
      </w:pPr>
      <w:r>
        <w:t xml:space="preserve">             Disorder. Baltimore: Paul H. Brookes.</w:t>
      </w:r>
    </w:p>
    <w:p w14:paraId="077DB495" w14:textId="77777777" w:rsidR="002C6380" w:rsidRDefault="002C6380" w:rsidP="002C6380">
      <w:pPr>
        <w:pStyle w:val="Body"/>
        <w:spacing w:before="120" w:after="120" w:line="480" w:lineRule="auto"/>
        <w:ind w:left="720" w:hanging="720"/>
        <w:jc w:val="left"/>
      </w:pPr>
      <w:r>
        <w:t xml:space="preserve">Dopey, E., &amp; Gitlin, N. L. (2nd Ed.). (1998). Introduction to Research: Understanding and </w:t>
      </w:r>
    </w:p>
    <w:p w14:paraId="7C8569BA" w14:textId="77777777" w:rsidR="002C6380" w:rsidRDefault="002C6380" w:rsidP="002C6380">
      <w:pPr>
        <w:pStyle w:val="Body"/>
        <w:spacing w:before="120" w:after="120" w:line="480" w:lineRule="auto"/>
        <w:ind w:left="720" w:hanging="720"/>
        <w:jc w:val="left"/>
      </w:pPr>
      <w:r>
        <w:t xml:space="preserve">             applying Multiple Strategies. London: Mosbey.</w:t>
      </w:r>
    </w:p>
    <w:p w14:paraId="25360E37" w14:textId="77777777" w:rsidR="002C6380" w:rsidRDefault="002C6380" w:rsidP="002C6380">
      <w:pPr>
        <w:pStyle w:val="Body"/>
        <w:spacing w:before="120" w:after="120" w:line="480" w:lineRule="auto"/>
        <w:ind w:left="720" w:hanging="720"/>
        <w:jc w:val="left"/>
      </w:pPr>
      <w:r>
        <w:t>Duffy, J. (1995). Motor Speech Disorders. Boston: Mosby.</w:t>
      </w:r>
    </w:p>
    <w:p w14:paraId="25CC2162" w14:textId="77777777" w:rsidR="002C6380" w:rsidRDefault="002C6380" w:rsidP="002C6380">
      <w:pPr>
        <w:pStyle w:val="Body"/>
        <w:spacing w:before="120" w:after="120" w:line="480" w:lineRule="auto"/>
        <w:ind w:left="720" w:hanging="720"/>
        <w:jc w:val="left"/>
      </w:pPr>
      <w:r>
        <w:lastRenderedPageBreak/>
        <w:t xml:space="preserve">Frankel, J.R., Waller, N.E. (4th Ed.). (2000). How to design and evaluate research in   </w:t>
      </w:r>
    </w:p>
    <w:p w14:paraId="2329786E" w14:textId="77777777" w:rsidR="002C6380" w:rsidRDefault="002C6380" w:rsidP="002C6380">
      <w:pPr>
        <w:pStyle w:val="Body"/>
        <w:spacing w:before="120" w:after="120" w:line="480" w:lineRule="auto"/>
        <w:ind w:left="720" w:hanging="720"/>
        <w:jc w:val="left"/>
      </w:pPr>
      <w:r>
        <w:t xml:space="preserve">             education. McGraw-Hill: Company USA</w:t>
      </w:r>
    </w:p>
    <w:p w14:paraId="08FDE6E9" w14:textId="77777777" w:rsidR="002C6380" w:rsidRDefault="002C6380" w:rsidP="002C6380">
      <w:pPr>
        <w:pStyle w:val="Body"/>
        <w:spacing w:before="120" w:after="120" w:line="480" w:lineRule="auto"/>
        <w:ind w:left="720" w:hanging="720"/>
        <w:jc w:val="left"/>
      </w:pPr>
      <w:r>
        <w:t>Gerstmann, H. L. (1964). A case of aphasia. Journal of Speech Hearing Disorder, 29, 89–91.</w:t>
      </w:r>
    </w:p>
    <w:p w14:paraId="0F902F0C" w14:textId="77777777" w:rsidR="002C6380" w:rsidRDefault="002C6380" w:rsidP="002C6380">
      <w:pPr>
        <w:pStyle w:val="Body"/>
        <w:spacing w:before="120" w:after="120" w:line="480" w:lineRule="auto"/>
        <w:ind w:left="720" w:hanging="720"/>
        <w:jc w:val="left"/>
      </w:pPr>
      <w:proofErr w:type="spellStart"/>
      <w:r>
        <w:t>Goodglass</w:t>
      </w:r>
      <w:proofErr w:type="spellEnd"/>
      <w:r>
        <w:t xml:space="preserve">, H., and Kaplan, E., (1972). Boston Diagnostic Aphasia Examination. </w:t>
      </w:r>
    </w:p>
    <w:p w14:paraId="29698DE4" w14:textId="77777777" w:rsidR="002C6380" w:rsidRDefault="002C6380" w:rsidP="002C6380">
      <w:pPr>
        <w:pStyle w:val="Body"/>
        <w:spacing w:before="120" w:after="120" w:line="480" w:lineRule="auto"/>
        <w:ind w:left="720" w:hanging="720"/>
        <w:jc w:val="left"/>
      </w:pPr>
      <w:r>
        <w:t xml:space="preserve">              Philadelphia:  Lea and </w:t>
      </w:r>
      <w:proofErr w:type="spellStart"/>
      <w:r>
        <w:t>Febinger</w:t>
      </w:r>
      <w:proofErr w:type="spellEnd"/>
      <w:r>
        <w:t xml:space="preserve">. </w:t>
      </w:r>
    </w:p>
    <w:p w14:paraId="517535F3" w14:textId="77777777" w:rsidR="002C6380" w:rsidRDefault="002C6380" w:rsidP="002C6380">
      <w:pPr>
        <w:pStyle w:val="Body"/>
        <w:spacing w:before="120" w:after="120" w:line="480" w:lineRule="auto"/>
        <w:ind w:left="720" w:hanging="720"/>
        <w:jc w:val="left"/>
      </w:pPr>
      <w:r>
        <w:t xml:space="preserve">Graff-Radford, N., </w:t>
      </w:r>
      <w:proofErr w:type="spellStart"/>
      <w:r>
        <w:t>Schelper</w:t>
      </w:r>
      <w:proofErr w:type="spellEnd"/>
      <w:r>
        <w:t xml:space="preserve">, R. L., </w:t>
      </w:r>
      <w:proofErr w:type="spellStart"/>
      <w:r>
        <w:t>Ilinsky</w:t>
      </w:r>
      <w:proofErr w:type="spellEnd"/>
      <w:r>
        <w:t xml:space="preserve">, I., &amp; Damasio, H. (1985). Computed tomography </w:t>
      </w:r>
    </w:p>
    <w:p w14:paraId="18A3881E" w14:textId="77777777" w:rsidR="002C6380" w:rsidRDefault="002C6380" w:rsidP="002C6380">
      <w:pPr>
        <w:pStyle w:val="Body"/>
        <w:spacing w:before="120" w:after="120" w:line="480" w:lineRule="auto"/>
        <w:ind w:left="720" w:hanging="720"/>
        <w:jc w:val="left"/>
      </w:pPr>
      <w:r>
        <w:t xml:space="preserve">              and post mortem study of </w:t>
      </w:r>
      <w:proofErr w:type="spellStart"/>
      <w:r>
        <w:t>nonhemorrhagic</w:t>
      </w:r>
      <w:proofErr w:type="spellEnd"/>
      <w:r>
        <w:t xml:space="preserve"> thalamic infarction. Archives of </w:t>
      </w:r>
    </w:p>
    <w:p w14:paraId="54A99C65" w14:textId="77777777" w:rsidR="002C6380" w:rsidRDefault="002C6380" w:rsidP="002C6380">
      <w:pPr>
        <w:pStyle w:val="Body"/>
        <w:spacing w:before="120" w:after="120" w:line="480" w:lineRule="auto"/>
        <w:ind w:left="720" w:hanging="720"/>
        <w:jc w:val="left"/>
      </w:pPr>
      <w:r>
        <w:t xml:space="preserve">               Neurology, 42(8), 761-763.</w:t>
      </w:r>
    </w:p>
    <w:p w14:paraId="09E1C30F" w14:textId="77777777" w:rsidR="002C6380" w:rsidRDefault="002C6380" w:rsidP="002C6380">
      <w:pPr>
        <w:pStyle w:val="Body"/>
        <w:spacing w:before="120" w:after="120" w:line="480" w:lineRule="auto"/>
        <w:ind w:left="720" w:hanging="720"/>
        <w:jc w:val="left"/>
      </w:pPr>
      <w:r>
        <w:t>Harper, Douglas, (2011). Etymology Online. Online Etymology Dictionary.</w:t>
      </w:r>
    </w:p>
    <w:p w14:paraId="3504CD4C" w14:textId="77777777" w:rsidR="002C6380" w:rsidRDefault="002C6380" w:rsidP="002C6380">
      <w:pPr>
        <w:pStyle w:val="Body"/>
        <w:spacing w:before="120" w:after="120" w:line="480" w:lineRule="auto"/>
        <w:ind w:left="720" w:hanging="720"/>
        <w:jc w:val="left"/>
      </w:pPr>
      <w:r>
        <w:t xml:space="preserve">Harvey, L. (2004). Analytic Quality Glossary: quality Research International. </w:t>
      </w:r>
    </w:p>
    <w:p w14:paraId="1444B4F4" w14:textId="77777777" w:rsidR="002C6380" w:rsidRDefault="002C6380" w:rsidP="002C6380">
      <w:pPr>
        <w:pStyle w:val="Body"/>
        <w:spacing w:before="120" w:after="120" w:line="480" w:lineRule="auto"/>
        <w:ind w:left="720" w:hanging="720"/>
        <w:jc w:val="left"/>
      </w:pPr>
      <w:r>
        <w:t xml:space="preserve">Head, H. (1920). Aphasia: An Historical Review. Proceedings of the Royal Society of </w:t>
      </w:r>
    </w:p>
    <w:p w14:paraId="2ADEAE0A" w14:textId="77777777" w:rsidR="002C6380" w:rsidRDefault="002C6380" w:rsidP="002C6380">
      <w:pPr>
        <w:pStyle w:val="Body"/>
        <w:spacing w:before="120" w:after="120" w:line="480" w:lineRule="auto"/>
        <w:ind w:left="720" w:hanging="720"/>
        <w:jc w:val="left"/>
      </w:pPr>
      <w:r>
        <w:t xml:space="preserve">             Medicine, 14, 1.</w:t>
      </w:r>
    </w:p>
    <w:p w14:paraId="3BC76E5B" w14:textId="77777777" w:rsidR="002C6380" w:rsidRDefault="002C6380" w:rsidP="002C6380">
      <w:pPr>
        <w:pStyle w:val="Body"/>
        <w:spacing w:before="120" w:after="120" w:line="480" w:lineRule="auto"/>
        <w:ind w:left="720" w:hanging="720"/>
        <w:jc w:val="left"/>
      </w:pPr>
      <w:r>
        <w:t xml:space="preserve">Helm-Estabrooks, N., &amp; Albert, M.L. (2nd Ed.). (2004), Manual of aphasia and aphasia </w:t>
      </w:r>
    </w:p>
    <w:p w14:paraId="6CE15FCA" w14:textId="77777777" w:rsidR="002C6380" w:rsidRDefault="002C6380" w:rsidP="002C6380">
      <w:pPr>
        <w:pStyle w:val="Body"/>
        <w:spacing w:before="120" w:after="120" w:line="480" w:lineRule="auto"/>
        <w:ind w:left="720" w:hanging="720"/>
        <w:jc w:val="left"/>
      </w:pPr>
      <w:r>
        <w:t xml:space="preserve">             therapy. Pro-</w:t>
      </w:r>
      <w:proofErr w:type="gramStart"/>
      <w:r>
        <w:t>Ed,  Austin</w:t>
      </w:r>
      <w:proofErr w:type="gramEnd"/>
      <w:r>
        <w:t>, TX.</w:t>
      </w:r>
    </w:p>
    <w:p w14:paraId="1D24B435" w14:textId="77777777" w:rsidR="002C6380" w:rsidRDefault="002C6380" w:rsidP="002C6380">
      <w:pPr>
        <w:pStyle w:val="Body"/>
        <w:spacing w:before="120" w:after="120" w:line="480" w:lineRule="auto"/>
        <w:ind w:left="720" w:hanging="720"/>
        <w:jc w:val="left"/>
      </w:pPr>
      <w:r>
        <w:t xml:space="preserve">Hicks, M. C. (3rd Ed.). (1999). Research Methods for Clinical Therapists. London: Churchill </w:t>
      </w:r>
    </w:p>
    <w:p w14:paraId="2422176B" w14:textId="77777777" w:rsidR="002C6380" w:rsidRDefault="002C6380" w:rsidP="002C6380">
      <w:pPr>
        <w:pStyle w:val="Body"/>
        <w:spacing w:before="120" w:after="120" w:line="480" w:lineRule="auto"/>
        <w:ind w:left="720" w:hanging="720"/>
        <w:jc w:val="left"/>
      </w:pPr>
      <w:r>
        <w:t xml:space="preserve">             Livingstone.</w:t>
      </w:r>
    </w:p>
    <w:p w14:paraId="4AE92642" w14:textId="77777777" w:rsidR="002C6380" w:rsidRDefault="002C6380" w:rsidP="002C6380">
      <w:pPr>
        <w:pStyle w:val="Body"/>
        <w:spacing w:before="120" w:after="120" w:line="480" w:lineRule="auto"/>
        <w:ind w:left="720" w:hanging="720"/>
        <w:jc w:val="left"/>
      </w:pPr>
      <w:r>
        <w:t xml:space="preserve">Hough, M. S. (2010). Melodic Intonation Therapy and aphasia: another variation on a theme. </w:t>
      </w:r>
    </w:p>
    <w:p w14:paraId="6D6D8944" w14:textId="77777777" w:rsidR="002C6380" w:rsidRDefault="002C6380" w:rsidP="002C6380">
      <w:pPr>
        <w:pStyle w:val="Body"/>
        <w:spacing w:before="120" w:after="120" w:line="480" w:lineRule="auto"/>
        <w:ind w:left="720" w:hanging="720"/>
        <w:jc w:val="left"/>
      </w:pPr>
      <w:r>
        <w:t xml:space="preserve">             Aphasiology 24, 775-86.</w:t>
      </w:r>
    </w:p>
    <w:p w14:paraId="1E37E6FF" w14:textId="77777777" w:rsidR="002C6380" w:rsidRDefault="002C6380" w:rsidP="002C6380">
      <w:pPr>
        <w:pStyle w:val="Body"/>
        <w:spacing w:before="120" w:after="120" w:line="480" w:lineRule="auto"/>
        <w:ind w:left="720" w:hanging="720"/>
        <w:jc w:val="left"/>
      </w:pPr>
      <w:r>
        <w:t xml:space="preserve">Kertesz, A., Lesk, D., &amp; McCabe, P. (1977). Isotope localization of infarcts in aphasia. </w:t>
      </w:r>
    </w:p>
    <w:p w14:paraId="61A590B0" w14:textId="77777777" w:rsidR="002C6380" w:rsidRDefault="002C6380" w:rsidP="002C6380">
      <w:pPr>
        <w:pStyle w:val="Body"/>
        <w:spacing w:before="120" w:after="120" w:line="480" w:lineRule="auto"/>
        <w:ind w:left="720" w:hanging="720"/>
        <w:jc w:val="left"/>
      </w:pPr>
      <w:r>
        <w:t xml:space="preserve">              Archives of Neurology, 34(10), 590–601.</w:t>
      </w:r>
    </w:p>
    <w:p w14:paraId="27AC97CA" w14:textId="77777777" w:rsidR="002C6380" w:rsidRDefault="002C6380" w:rsidP="002C6380">
      <w:pPr>
        <w:pStyle w:val="Body"/>
        <w:spacing w:before="120" w:after="120" w:line="480" w:lineRule="auto"/>
        <w:ind w:left="720" w:hanging="720"/>
        <w:jc w:val="left"/>
      </w:pPr>
      <w:r>
        <w:t xml:space="preserve">Kouri, T. A., &amp; Winn, J., (2006). Lexical learning in sung and spoken story script contexts. </w:t>
      </w:r>
    </w:p>
    <w:p w14:paraId="2347F0C8" w14:textId="77777777" w:rsidR="002C6380" w:rsidRDefault="002C6380" w:rsidP="002C6380">
      <w:pPr>
        <w:pStyle w:val="Body"/>
        <w:spacing w:before="120" w:after="120" w:line="480" w:lineRule="auto"/>
        <w:ind w:left="720" w:hanging="720"/>
        <w:jc w:val="left"/>
      </w:pPr>
      <w:r>
        <w:t xml:space="preserve">             </w:t>
      </w:r>
      <w:proofErr w:type="gramStart"/>
      <w:r>
        <w:t>Child  Language</w:t>
      </w:r>
      <w:proofErr w:type="gramEnd"/>
      <w:r>
        <w:t xml:space="preserve"> Teaching and Therapy, 22(3), 293–313.</w:t>
      </w:r>
    </w:p>
    <w:p w14:paraId="19ECFEAD" w14:textId="77777777" w:rsidR="002C6380" w:rsidRDefault="002C6380" w:rsidP="002C6380">
      <w:pPr>
        <w:pStyle w:val="Body"/>
        <w:spacing w:before="120" w:after="120" w:line="480" w:lineRule="auto"/>
        <w:ind w:left="720" w:hanging="720"/>
        <w:jc w:val="left"/>
      </w:pPr>
      <w:r>
        <w:t xml:space="preserve">Laska, A. C., </w:t>
      </w:r>
      <w:proofErr w:type="spellStart"/>
      <w:r>
        <w:t>Hellbolm</w:t>
      </w:r>
      <w:proofErr w:type="spellEnd"/>
      <w:r>
        <w:t xml:space="preserve">, A., Murray, V., Kahan, T., &amp; von Arbin, M. (2001). Aphasia in acute  </w:t>
      </w:r>
    </w:p>
    <w:p w14:paraId="33F2FA68" w14:textId="77777777" w:rsidR="002C6380" w:rsidRDefault="002C6380" w:rsidP="002C6380">
      <w:pPr>
        <w:pStyle w:val="Body"/>
        <w:spacing w:before="120" w:after="120" w:line="480" w:lineRule="auto"/>
        <w:ind w:left="720" w:hanging="720"/>
        <w:jc w:val="left"/>
      </w:pPr>
      <w:r>
        <w:t xml:space="preserve">             stroke in relation to outcome. J. Intern. Med. 249, 413–422.</w:t>
      </w:r>
    </w:p>
    <w:p w14:paraId="0B7D2D2B" w14:textId="77777777" w:rsidR="002C6380" w:rsidRDefault="002C6380" w:rsidP="002C6380">
      <w:pPr>
        <w:pStyle w:val="Body"/>
        <w:spacing w:before="120" w:after="120" w:line="480" w:lineRule="auto"/>
        <w:ind w:left="720" w:hanging="720"/>
        <w:jc w:val="left"/>
      </w:pPr>
      <w:r>
        <w:lastRenderedPageBreak/>
        <w:t xml:space="preserve">Laughlin, S. A., </w:t>
      </w:r>
      <w:proofErr w:type="spellStart"/>
      <w:r>
        <w:t>Naeser</w:t>
      </w:r>
      <w:proofErr w:type="spellEnd"/>
      <w:r>
        <w:t xml:space="preserve">, M. A., &amp; Gordon, W. P. (1979). Effects of three syllable durations </w:t>
      </w:r>
    </w:p>
    <w:p w14:paraId="5C3A85BD" w14:textId="77777777" w:rsidR="002C6380" w:rsidRDefault="002C6380" w:rsidP="002C6380">
      <w:pPr>
        <w:pStyle w:val="Body"/>
        <w:spacing w:before="120" w:after="120" w:line="480" w:lineRule="auto"/>
        <w:ind w:left="720" w:hanging="720"/>
        <w:jc w:val="left"/>
      </w:pPr>
      <w:r>
        <w:t xml:space="preserve">            using the melodic intonation therapy technique. Journal of Speech and Hearing </w:t>
      </w:r>
    </w:p>
    <w:p w14:paraId="4C298990" w14:textId="77777777" w:rsidR="002C6380" w:rsidRDefault="002C6380" w:rsidP="002C6380">
      <w:pPr>
        <w:pStyle w:val="Body"/>
        <w:spacing w:before="120" w:after="120" w:line="480" w:lineRule="auto"/>
        <w:ind w:left="720" w:hanging="720"/>
        <w:jc w:val="left"/>
      </w:pPr>
      <w:r>
        <w:t xml:space="preserve">            Research, 22, 311–20.</w:t>
      </w:r>
    </w:p>
    <w:p w14:paraId="708F3459" w14:textId="77777777" w:rsidR="002C6380" w:rsidRDefault="002C6380" w:rsidP="002C6380">
      <w:pPr>
        <w:pStyle w:val="Body"/>
        <w:spacing w:before="120" w:after="120" w:line="480" w:lineRule="auto"/>
        <w:ind w:left="720" w:hanging="720"/>
        <w:jc w:val="left"/>
      </w:pPr>
      <w:r>
        <w:t xml:space="preserve">Liang, C. L., Chang, H. W., Lu, K., Lee, T. C., Liliang, P. C., Lu, C. H., Chen, H. J. (2001). </w:t>
      </w:r>
    </w:p>
    <w:p w14:paraId="40D82EC5" w14:textId="77777777" w:rsidR="002C6380" w:rsidRDefault="002C6380" w:rsidP="002C6380">
      <w:pPr>
        <w:pStyle w:val="Body"/>
        <w:spacing w:before="120" w:after="120" w:line="480" w:lineRule="auto"/>
        <w:ind w:left="720" w:hanging="720"/>
        <w:jc w:val="left"/>
      </w:pPr>
      <w:r>
        <w:t xml:space="preserve">            Early prediction of aphasia outcome in left basal ganglia </w:t>
      </w:r>
      <w:proofErr w:type="spellStart"/>
      <w:r>
        <w:t>haemorrhage</w:t>
      </w:r>
      <w:proofErr w:type="spellEnd"/>
      <w:r>
        <w:t xml:space="preserve">. Acta Neurol </w:t>
      </w:r>
    </w:p>
    <w:p w14:paraId="40871FE5" w14:textId="77777777" w:rsidR="002C6380" w:rsidRDefault="002C6380" w:rsidP="002C6380">
      <w:pPr>
        <w:pStyle w:val="Body"/>
        <w:spacing w:before="120" w:after="120" w:line="480" w:lineRule="auto"/>
        <w:ind w:left="720" w:hanging="720"/>
        <w:jc w:val="left"/>
      </w:pPr>
      <w:r>
        <w:t xml:space="preserve">            Scand, 103(3), 148–152. </w:t>
      </w:r>
    </w:p>
    <w:p w14:paraId="1ADF765A" w14:textId="77777777" w:rsidR="002C6380" w:rsidRDefault="002C6380" w:rsidP="002C6380">
      <w:pPr>
        <w:pStyle w:val="Body"/>
        <w:spacing w:before="120" w:after="120" w:line="480" w:lineRule="auto"/>
        <w:ind w:left="720" w:hanging="720"/>
        <w:jc w:val="left"/>
      </w:pPr>
      <w:r>
        <w:t xml:space="preserve">Marcus, M., Elbert, T., </w:t>
      </w:r>
      <w:proofErr w:type="spellStart"/>
      <w:r>
        <w:t>Djundja</w:t>
      </w:r>
      <w:proofErr w:type="spellEnd"/>
      <w:r>
        <w:t xml:space="preserve">, D., &amp; Taub, T. (2007). Extending the Constraint-Induced </w:t>
      </w:r>
    </w:p>
    <w:p w14:paraId="09CC0C3A" w14:textId="77777777" w:rsidR="002C6380" w:rsidRDefault="002C6380" w:rsidP="002C6380">
      <w:pPr>
        <w:pStyle w:val="Body"/>
        <w:spacing w:before="120" w:after="120" w:line="480" w:lineRule="auto"/>
        <w:ind w:left="720" w:hanging="720"/>
        <w:jc w:val="left"/>
      </w:pPr>
      <w:r>
        <w:t xml:space="preserve">            Movement Therapy (CIMT) approach to cognitive functions: Constraint-Induced </w:t>
      </w:r>
    </w:p>
    <w:p w14:paraId="73FDC304" w14:textId="77777777" w:rsidR="002C6380" w:rsidRDefault="002C6380" w:rsidP="002C6380">
      <w:pPr>
        <w:pStyle w:val="Body"/>
        <w:spacing w:before="120" w:after="120" w:line="480" w:lineRule="auto"/>
        <w:ind w:left="720" w:hanging="720"/>
        <w:jc w:val="left"/>
      </w:pPr>
      <w:r>
        <w:t xml:space="preserve">            Aphasia Therapy (CIAT) of chronic aphasia. </w:t>
      </w:r>
      <w:proofErr w:type="spellStart"/>
      <w:r>
        <w:t>NeuroRehabilitation</w:t>
      </w:r>
      <w:proofErr w:type="spellEnd"/>
      <w:r>
        <w:t xml:space="preserve"> 22(4), 311–318.</w:t>
      </w:r>
    </w:p>
    <w:p w14:paraId="692F6843" w14:textId="77777777" w:rsidR="002C6380" w:rsidRDefault="002C6380" w:rsidP="002C6380">
      <w:pPr>
        <w:pStyle w:val="Body"/>
        <w:spacing w:before="120" w:after="120" w:line="480" w:lineRule="auto"/>
        <w:ind w:left="720" w:hanging="720"/>
        <w:jc w:val="left"/>
      </w:pPr>
      <w:r>
        <w:t xml:space="preserve">Marshall, N., &amp; Holtzapple, P. (1976). Melodic Intonation Therapy: variations on a theme.  </w:t>
      </w:r>
    </w:p>
    <w:p w14:paraId="5ABFBD43" w14:textId="77777777" w:rsidR="002C6380" w:rsidRDefault="002C6380" w:rsidP="002C6380">
      <w:pPr>
        <w:pStyle w:val="Body"/>
        <w:spacing w:before="120" w:after="120" w:line="480" w:lineRule="auto"/>
        <w:ind w:left="720" w:hanging="720"/>
        <w:jc w:val="left"/>
      </w:pPr>
      <w:r>
        <w:t xml:space="preserve">            Aphasiology, 115-41. </w:t>
      </w:r>
    </w:p>
    <w:p w14:paraId="08CC94E6" w14:textId="77777777" w:rsidR="002C6380" w:rsidRDefault="002C6380" w:rsidP="002C6380">
      <w:pPr>
        <w:pStyle w:val="Body"/>
        <w:spacing w:before="120" w:after="120" w:line="480" w:lineRule="auto"/>
        <w:ind w:left="720" w:hanging="720"/>
        <w:jc w:val="left"/>
      </w:pPr>
      <w:proofErr w:type="spellStart"/>
      <w:r>
        <w:t>Martikainen</w:t>
      </w:r>
      <w:proofErr w:type="spellEnd"/>
      <w:r>
        <w:t xml:space="preserve">, A.L., </w:t>
      </w:r>
      <w:proofErr w:type="spellStart"/>
      <w:r>
        <w:t>Korpilahti</w:t>
      </w:r>
      <w:proofErr w:type="spellEnd"/>
      <w:r>
        <w:t xml:space="preserve">, P., (2011). Intervention for childhood apraxia of speech: A </w:t>
      </w:r>
    </w:p>
    <w:p w14:paraId="2B790210" w14:textId="77777777" w:rsidR="002C6380" w:rsidRDefault="002C6380" w:rsidP="002C6380">
      <w:pPr>
        <w:pStyle w:val="Body"/>
        <w:spacing w:before="120" w:after="120" w:line="480" w:lineRule="auto"/>
        <w:ind w:left="720" w:hanging="720"/>
        <w:jc w:val="left"/>
      </w:pPr>
      <w:r>
        <w:t xml:space="preserve">            single-case study. Child Language Teaching and Therapy, 27(1), 9–20.</w:t>
      </w:r>
    </w:p>
    <w:p w14:paraId="5C50F6BA" w14:textId="77777777" w:rsidR="002C6380" w:rsidRDefault="002C6380" w:rsidP="002C6380">
      <w:pPr>
        <w:pStyle w:val="Body"/>
        <w:spacing w:before="120" w:after="120" w:line="480" w:lineRule="auto"/>
        <w:ind w:left="720" w:hanging="720"/>
        <w:jc w:val="left"/>
      </w:pPr>
      <w:r>
        <w:t>Mills, C. K. (1904). Treatment of aphasia by training. JAMA, 43(26), 1940–9.</w:t>
      </w:r>
    </w:p>
    <w:p w14:paraId="29163263" w14:textId="77777777" w:rsidR="002C6380" w:rsidRDefault="002C6380" w:rsidP="002C6380">
      <w:pPr>
        <w:pStyle w:val="Body"/>
        <w:spacing w:before="120" w:after="120" w:line="480" w:lineRule="auto"/>
        <w:ind w:left="720" w:hanging="720"/>
        <w:jc w:val="left"/>
      </w:pPr>
      <w:r>
        <w:t xml:space="preserve">Moses, P. (1977). Melodic intonation therapy: Its effectiveness with two adult aphasics.  </w:t>
      </w:r>
    </w:p>
    <w:p w14:paraId="5397BA42" w14:textId="77777777" w:rsidR="002C6380" w:rsidRDefault="002C6380" w:rsidP="002C6380">
      <w:pPr>
        <w:pStyle w:val="Body"/>
        <w:spacing w:before="120" w:after="120" w:line="480" w:lineRule="auto"/>
        <w:ind w:left="720" w:hanging="720"/>
        <w:jc w:val="left"/>
      </w:pPr>
      <w:r>
        <w:t xml:space="preserve">             ProQuest Dissertations and Theses; UMI</w:t>
      </w:r>
    </w:p>
    <w:p w14:paraId="7ED15BF3" w14:textId="77777777" w:rsidR="002C6380" w:rsidRDefault="002C6380" w:rsidP="002C6380">
      <w:pPr>
        <w:pStyle w:val="Body"/>
        <w:spacing w:before="120" w:after="120" w:line="480" w:lineRule="auto"/>
        <w:ind w:left="720" w:hanging="720"/>
        <w:jc w:val="left"/>
      </w:pPr>
      <w:proofErr w:type="spellStart"/>
      <w:r>
        <w:t>Naeser</w:t>
      </w:r>
      <w:proofErr w:type="spellEnd"/>
      <w:r>
        <w:t xml:space="preserve">, M. A. (1987). Relationship between lesion extents in Wernicke's area on computed  </w:t>
      </w:r>
    </w:p>
    <w:p w14:paraId="40C181A6" w14:textId="77777777" w:rsidR="002C6380" w:rsidRDefault="002C6380" w:rsidP="002C6380">
      <w:pPr>
        <w:pStyle w:val="Body"/>
        <w:spacing w:before="120" w:after="120" w:line="480" w:lineRule="auto"/>
        <w:ind w:left="720" w:hanging="720"/>
        <w:jc w:val="left"/>
      </w:pPr>
      <w:r>
        <w:t xml:space="preserve">             tomographic scan and predicting recovery of comprehension in Wernicke's aphasia. </w:t>
      </w:r>
    </w:p>
    <w:p w14:paraId="5A978742" w14:textId="77777777" w:rsidR="002C6380" w:rsidRDefault="002C6380" w:rsidP="002C6380">
      <w:pPr>
        <w:pStyle w:val="Body"/>
        <w:spacing w:before="120" w:after="120" w:line="480" w:lineRule="auto"/>
        <w:ind w:left="720" w:hanging="720"/>
        <w:jc w:val="left"/>
      </w:pPr>
      <w:r>
        <w:t xml:space="preserve">             Archives </w:t>
      </w:r>
      <w:proofErr w:type="gramStart"/>
      <w:r>
        <w:t>of  Neurology</w:t>
      </w:r>
      <w:proofErr w:type="gramEnd"/>
      <w:r>
        <w:t>, 44(1), 73–82.</w:t>
      </w:r>
    </w:p>
    <w:p w14:paraId="022CD389" w14:textId="77777777" w:rsidR="002C6380" w:rsidRDefault="002C6380" w:rsidP="002C6380">
      <w:pPr>
        <w:pStyle w:val="Body"/>
        <w:spacing w:before="120" w:after="120" w:line="480" w:lineRule="auto"/>
        <w:ind w:left="720" w:hanging="720"/>
        <w:jc w:val="left"/>
      </w:pPr>
      <w:r>
        <w:t xml:space="preserve">Norton, A., Zipse, L., </w:t>
      </w:r>
      <w:proofErr w:type="spellStart"/>
      <w:r>
        <w:t>Marchina</w:t>
      </w:r>
      <w:proofErr w:type="spellEnd"/>
      <w:r>
        <w:t xml:space="preserve">, S., &amp; </w:t>
      </w:r>
      <w:proofErr w:type="spellStart"/>
      <w:r>
        <w:t>Schlaug</w:t>
      </w:r>
      <w:proofErr w:type="spellEnd"/>
      <w:r>
        <w:t xml:space="preserve">, G.  (2009). Melodic Intonation Therapy </w:t>
      </w:r>
    </w:p>
    <w:p w14:paraId="0CBBD91C" w14:textId="77777777" w:rsidR="002C6380" w:rsidRDefault="002C6380" w:rsidP="002C6380">
      <w:pPr>
        <w:pStyle w:val="Body"/>
        <w:spacing w:before="120" w:after="120" w:line="480" w:lineRule="auto"/>
        <w:ind w:left="720" w:hanging="720"/>
        <w:jc w:val="left"/>
      </w:pPr>
      <w:r>
        <w:t xml:space="preserve">             Shared Insights on How It Is Done and Why It Might Help. Annals of the New York </w:t>
      </w:r>
    </w:p>
    <w:p w14:paraId="1D84AC57" w14:textId="77777777" w:rsidR="002C6380" w:rsidRDefault="002C6380" w:rsidP="002C6380">
      <w:pPr>
        <w:pStyle w:val="Body"/>
        <w:spacing w:before="120" w:after="120" w:line="480" w:lineRule="auto"/>
        <w:ind w:left="720" w:hanging="720"/>
        <w:jc w:val="left"/>
      </w:pPr>
      <w:r>
        <w:t xml:space="preserve">              Academy </w:t>
      </w:r>
      <w:proofErr w:type="gramStart"/>
      <w:r>
        <w:t>of  Sciences</w:t>
      </w:r>
      <w:proofErr w:type="gramEnd"/>
      <w:r>
        <w:t xml:space="preserve"> 1169, 431–436.</w:t>
      </w:r>
    </w:p>
    <w:p w14:paraId="05D453AD" w14:textId="77777777" w:rsidR="002C6380" w:rsidRDefault="002C6380" w:rsidP="002C6380">
      <w:pPr>
        <w:pStyle w:val="Body"/>
        <w:spacing w:before="120" w:after="120" w:line="480" w:lineRule="auto"/>
        <w:ind w:left="720" w:hanging="720"/>
        <w:jc w:val="left"/>
      </w:pPr>
      <w:proofErr w:type="spellStart"/>
      <w:r>
        <w:t>Orzeren</w:t>
      </w:r>
      <w:proofErr w:type="spellEnd"/>
      <w:r>
        <w:t xml:space="preserve">, A., Koc, F., Demirkiran, M., &amp; </w:t>
      </w:r>
      <w:proofErr w:type="spellStart"/>
      <w:r>
        <w:t>Sonmezler</w:t>
      </w:r>
      <w:proofErr w:type="spellEnd"/>
      <w:r>
        <w:t xml:space="preserve">, A. (2006). Global aphasia due to left              </w:t>
      </w:r>
    </w:p>
    <w:p w14:paraId="3D9AC26B" w14:textId="77777777" w:rsidR="002C6380" w:rsidRDefault="002C6380" w:rsidP="002C6380">
      <w:pPr>
        <w:pStyle w:val="Body"/>
        <w:spacing w:before="120" w:after="120" w:line="480" w:lineRule="auto"/>
        <w:ind w:left="720" w:hanging="720"/>
        <w:jc w:val="left"/>
      </w:pPr>
      <w:r>
        <w:t xml:space="preserve">            thalamic hemorrhage. Neurology India, 54(4), 415–417.</w:t>
      </w:r>
    </w:p>
    <w:p w14:paraId="7521454B" w14:textId="77777777" w:rsidR="002C6380" w:rsidRDefault="002C6380" w:rsidP="002C6380">
      <w:pPr>
        <w:pStyle w:val="Body"/>
        <w:spacing w:before="120" w:after="120" w:line="480" w:lineRule="auto"/>
        <w:ind w:left="720" w:hanging="720"/>
        <w:jc w:val="left"/>
      </w:pPr>
      <w:r>
        <w:lastRenderedPageBreak/>
        <w:t xml:space="preserve">Pederson, P. M., Jorgenson, H. S., Nakayama, J., Raaschou, H. O., &amp; Olsen, T. S. (1995).   </w:t>
      </w:r>
    </w:p>
    <w:p w14:paraId="186C3C3E" w14:textId="77777777" w:rsidR="002C6380" w:rsidRDefault="002C6380" w:rsidP="002C6380">
      <w:pPr>
        <w:pStyle w:val="Body"/>
        <w:spacing w:before="120" w:after="120" w:line="480" w:lineRule="auto"/>
        <w:ind w:left="720" w:hanging="720"/>
        <w:jc w:val="left"/>
      </w:pPr>
      <w:r>
        <w:t xml:space="preserve">            Aphasia in acute stroke: Incidence, determinants, and recovery. Annals of Neurology,     </w:t>
      </w:r>
    </w:p>
    <w:p w14:paraId="0B4FE2E1" w14:textId="77777777" w:rsidR="002C6380" w:rsidRDefault="002C6380" w:rsidP="002C6380">
      <w:pPr>
        <w:pStyle w:val="Body"/>
        <w:spacing w:before="120" w:after="120" w:line="480" w:lineRule="auto"/>
        <w:ind w:left="720" w:hanging="720"/>
        <w:jc w:val="left"/>
      </w:pPr>
      <w:r>
        <w:t xml:space="preserve">            38(4), 659-666.</w:t>
      </w:r>
    </w:p>
    <w:p w14:paraId="12BF88BD" w14:textId="77777777" w:rsidR="002C6380" w:rsidRDefault="002C6380" w:rsidP="002C6380">
      <w:pPr>
        <w:pStyle w:val="Body"/>
        <w:spacing w:before="120" w:after="120" w:line="480" w:lineRule="auto"/>
        <w:ind w:left="720" w:hanging="720"/>
        <w:jc w:val="left"/>
      </w:pPr>
      <w:r>
        <w:t xml:space="preserve">Pedersen, P. M., Vinter, K., &amp; Olsen, T. S. (2004). Aphasia after stroke: Type, severity, and </w:t>
      </w:r>
    </w:p>
    <w:p w14:paraId="58ED7A93" w14:textId="77777777" w:rsidR="002C6380" w:rsidRDefault="002C6380" w:rsidP="002C6380">
      <w:pPr>
        <w:pStyle w:val="Body"/>
        <w:spacing w:before="120" w:after="120" w:line="480" w:lineRule="auto"/>
        <w:ind w:left="720" w:hanging="720"/>
        <w:jc w:val="left"/>
      </w:pPr>
      <w:r>
        <w:t xml:space="preserve">            prognosis - The Copenhagen aphasia study. Cerebrovascular diseases, 17(1), 35– </w:t>
      </w:r>
    </w:p>
    <w:p w14:paraId="298430EC" w14:textId="77777777" w:rsidR="002C6380" w:rsidRDefault="002C6380" w:rsidP="002C6380">
      <w:pPr>
        <w:pStyle w:val="Body"/>
        <w:spacing w:before="120" w:after="120" w:line="480" w:lineRule="auto"/>
        <w:ind w:left="720" w:hanging="720"/>
        <w:jc w:val="left"/>
      </w:pPr>
      <w:r>
        <w:t xml:space="preserve">               43.</w:t>
      </w:r>
    </w:p>
    <w:p w14:paraId="4F558734" w14:textId="77777777" w:rsidR="002C6380" w:rsidRDefault="002C6380" w:rsidP="002C6380">
      <w:pPr>
        <w:pStyle w:val="Body"/>
        <w:spacing w:before="120" w:after="120" w:line="480" w:lineRule="auto"/>
        <w:ind w:left="720" w:hanging="720"/>
        <w:jc w:val="left"/>
      </w:pPr>
      <w:r>
        <w:t xml:space="preserve">Pilon, M. A., McIntosh, K. W., Thaut, M. H. (1998). Auditory vs visual speech timing cues </w:t>
      </w:r>
    </w:p>
    <w:p w14:paraId="1F30BBF2" w14:textId="77777777" w:rsidR="002C6380" w:rsidRDefault="002C6380" w:rsidP="002C6380">
      <w:pPr>
        <w:pStyle w:val="Body"/>
        <w:spacing w:before="120" w:after="120" w:line="480" w:lineRule="auto"/>
        <w:ind w:left="720" w:hanging="720"/>
        <w:jc w:val="left"/>
      </w:pPr>
      <w:r>
        <w:t xml:space="preserve">            as external rate control to enhance verbal intelligibility in mixed spastic-ataxic </w:t>
      </w:r>
    </w:p>
    <w:p w14:paraId="2BA6F587" w14:textId="77777777" w:rsidR="002C6380" w:rsidRDefault="002C6380" w:rsidP="002C6380">
      <w:pPr>
        <w:pStyle w:val="Body"/>
        <w:spacing w:before="120" w:after="120" w:line="480" w:lineRule="auto"/>
        <w:ind w:left="720" w:hanging="720"/>
        <w:jc w:val="left"/>
      </w:pPr>
      <w:r>
        <w:t xml:space="preserve">            dysarthric speakers: a pilot study. Brain Injury 12(9), 793–803.</w:t>
      </w:r>
    </w:p>
    <w:p w14:paraId="3F2601E0" w14:textId="77777777" w:rsidR="002C6380" w:rsidRDefault="002C6380" w:rsidP="002C6380">
      <w:pPr>
        <w:pStyle w:val="Body"/>
        <w:spacing w:before="120" w:after="120" w:line="480" w:lineRule="auto"/>
        <w:ind w:left="720" w:hanging="720"/>
        <w:jc w:val="left"/>
      </w:pPr>
      <w:r>
        <w:t xml:space="preserve">Racette, A., Bard, C., &amp; Peretz, I., (2006). Making non-fluent aphasics speak: sing along. </w:t>
      </w:r>
    </w:p>
    <w:p w14:paraId="3022D34E" w14:textId="77777777" w:rsidR="002C6380" w:rsidRDefault="002C6380" w:rsidP="002C6380">
      <w:pPr>
        <w:pStyle w:val="Body"/>
        <w:spacing w:before="120" w:after="120" w:line="480" w:lineRule="auto"/>
        <w:ind w:left="720" w:hanging="720"/>
        <w:jc w:val="left"/>
      </w:pPr>
      <w:r>
        <w:t xml:space="preserve">             Brain 129, 2571–2584.</w:t>
      </w:r>
    </w:p>
    <w:p w14:paraId="43112483" w14:textId="77777777" w:rsidR="002C6380" w:rsidRDefault="002C6380" w:rsidP="002C6380">
      <w:pPr>
        <w:pStyle w:val="Body"/>
        <w:spacing w:before="120" w:after="120" w:line="480" w:lineRule="auto"/>
        <w:ind w:left="720" w:hanging="720"/>
        <w:jc w:val="left"/>
      </w:pPr>
      <w:r>
        <w:t xml:space="preserve">Scarpa, M., Colombo, P., </w:t>
      </w:r>
      <w:proofErr w:type="spellStart"/>
      <w:r>
        <w:t>Sorgato</w:t>
      </w:r>
      <w:proofErr w:type="spellEnd"/>
      <w:r>
        <w:t xml:space="preserve">, P., &amp; DeRenzi, E. (1987). The incidence of aphasia and  </w:t>
      </w:r>
    </w:p>
    <w:p w14:paraId="03B292E1" w14:textId="77777777" w:rsidR="002C6380" w:rsidRDefault="002C6380" w:rsidP="002C6380">
      <w:pPr>
        <w:pStyle w:val="Body"/>
        <w:spacing w:before="120" w:after="120" w:line="480" w:lineRule="auto"/>
        <w:ind w:left="720" w:hanging="720"/>
        <w:jc w:val="left"/>
      </w:pPr>
      <w:r>
        <w:t xml:space="preserve">             global aphasia in left brain-damaged patients. Cortex, 23, 331-336.</w:t>
      </w:r>
    </w:p>
    <w:p w14:paraId="74B97AAE" w14:textId="77777777" w:rsidR="002C6380" w:rsidRDefault="002C6380" w:rsidP="002C6380">
      <w:pPr>
        <w:pStyle w:val="Body"/>
        <w:spacing w:before="120" w:after="120" w:line="480" w:lineRule="auto"/>
        <w:ind w:left="720" w:hanging="720"/>
        <w:jc w:val="left"/>
      </w:pPr>
      <w:proofErr w:type="spellStart"/>
      <w:r>
        <w:t>Schlaug</w:t>
      </w:r>
      <w:proofErr w:type="spellEnd"/>
      <w:r>
        <w:t xml:space="preserve">, G., </w:t>
      </w:r>
      <w:proofErr w:type="spellStart"/>
      <w:r>
        <w:t>Marchina</w:t>
      </w:r>
      <w:proofErr w:type="spellEnd"/>
      <w:r>
        <w:t xml:space="preserve">, S., &amp; </w:t>
      </w:r>
      <w:proofErr w:type="spellStart"/>
      <w:r>
        <w:t>Nortan</w:t>
      </w:r>
      <w:proofErr w:type="spellEnd"/>
      <w:r>
        <w:t xml:space="preserve">, A. (2008). From singing to speaking: Why singing may  </w:t>
      </w:r>
    </w:p>
    <w:p w14:paraId="0AA46737" w14:textId="77777777" w:rsidR="002C6380" w:rsidRDefault="002C6380" w:rsidP="002C6380">
      <w:pPr>
        <w:pStyle w:val="Body"/>
        <w:spacing w:before="120" w:after="120" w:line="480" w:lineRule="auto"/>
        <w:ind w:left="720" w:hanging="720"/>
        <w:jc w:val="left"/>
      </w:pPr>
      <w:r>
        <w:t xml:space="preserve">            lead to recovery of expressive language function in patients with Broca’s Aphasia. </w:t>
      </w:r>
    </w:p>
    <w:p w14:paraId="60186226" w14:textId="77777777" w:rsidR="002C6380" w:rsidRDefault="002C6380" w:rsidP="002C6380">
      <w:pPr>
        <w:pStyle w:val="Body"/>
        <w:spacing w:before="120" w:after="120" w:line="480" w:lineRule="auto"/>
        <w:ind w:left="720" w:hanging="720"/>
        <w:jc w:val="left"/>
      </w:pPr>
      <w:r>
        <w:t xml:space="preserve">           Music Perception, 25(4), 318-323.</w:t>
      </w:r>
    </w:p>
    <w:p w14:paraId="227A3C59" w14:textId="77777777" w:rsidR="002C6380" w:rsidRDefault="002C6380" w:rsidP="002C6380">
      <w:pPr>
        <w:pStyle w:val="Body"/>
        <w:spacing w:before="120" w:after="120" w:line="480" w:lineRule="auto"/>
        <w:ind w:left="720" w:hanging="720"/>
        <w:jc w:val="left"/>
      </w:pPr>
      <w:proofErr w:type="spellStart"/>
      <w:r>
        <w:t>Schlaug</w:t>
      </w:r>
      <w:proofErr w:type="spellEnd"/>
      <w:r>
        <w:t xml:space="preserve">, G., </w:t>
      </w:r>
      <w:proofErr w:type="spellStart"/>
      <w:r>
        <w:t>Marchina</w:t>
      </w:r>
      <w:proofErr w:type="spellEnd"/>
      <w:r>
        <w:t xml:space="preserve">, S., &amp; Norton, A. (2009). Evidence for plasticity in white-matter tracts  </w:t>
      </w:r>
    </w:p>
    <w:p w14:paraId="4669F56D" w14:textId="77777777" w:rsidR="002C6380" w:rsidRDefault="002C6380" w:rsidP="002C6380">
      <w:pPr>
        <w:pStyle w:val="Body"/>
        <w:spacing w:before="120" w:after="120" w:line="480" w:lineRule="auto"/>
        <w:ind w:left="720" w:hanging="720"/>
        <w:jc w:val="left"/>
      </w:pPr>
      <w:r>
        <w:t xml:space="preserve">            of patients with chronic Broca’s aphasia undergoing intense intonation-based speech  </w:t>
      </w:r>
    </w:p>
    <w:p w14:paraId="69F9414B" w14:textId="77777777" w:rsidR="002C6380" w:rsidRDefault="002C6380" w:rsidP="002C6380">
      <w:pPr>
        <w:pStyle w:val="Body"/>
        <w:spacing w:before="120" w:after="120" w:line="480" w:lineRule="auto"/>
        <w:ind w:left="720" w:hanging="720"/>
        <w:jc w:val="left"/>
      </w:pPr>
      <w:r>
        <w:t xml:space="preserve">             therapy. Annals of the New York Academy of Science, 1196, 385-94.</w:t>
      </w:r>
    </w:p>
    <w:p w14:paraId="1A4ACD43" w14:textId="77777777" w:rsidR="002C6380" w:rsidRDefault="002C6380" w:rsidP="002C6380">
      <w:pPr>
        <w:pStyle w:val="Body"/>
        <w:spacing w:before="120" w:after="120" w:line="480" w:lineRule="auto"/>
        <w:ind w:left="720" w:hanging="720"/>
        <w:jc w:val="left"/>
      </w:pPr>
      <w:proofErr w:type="spellStart"/>
      <w:r>
        <w:t>Schlaug</w:t>
      </w:r>
      <w:proofErr w:type="spellEnd"/>
      <w:r>
        <w:t xml:space="preserve">, G., Norton, A., </w:t>
      </w:r>
      <w:proofErr w:type="spellStart"/>
      <w:r>
        <w:t>Marchina</w:t>
      </w:r>
      <w:proofErr w:type="spellEnd"/>
      <w:r>
        <w:t xml:space="preserve">, S., Zipse, L., &amp; Wan, C.Y., (2010). From singing to </w:t>
      </w:r>
    </w:p>
    <w:p w14:paraId="42B15636" w14:textId="77777777" w:rsidR="002C6380" w:rsidRDefault="002C6380" w:rsidP="002C6380">
      <w:pPr>
        <w:pStyle w:val="Body"/>
        <w:spacing w:before="120" w:after="120" w:line="480" w:lineRule="auto"/>
        <w:ind w:left="720" w:hanging="720"/>
        <w:jc w:val="left"/>
      </w:pPr>
      <w:r>
        <w:t xml:space="preserve">             speaking: facilitating recovery from nonfluent Aphasia. Future Neurology, 5(5), </w:t>
      </w:r>
    </w:p>
    <w:p w14:paraId="28452B69" w14:textId="77777777" w:rsidR="002C6380" w:rsidRDefault="002C6380" w:rsidP="002C6380">
      <w:pPr>
        <w:pStyle w:val="Body"/>
        <w:spacing w:before="120" w:after="120" w:line="480" w:lineRule="auto"/>
        <w:ind w:left="720" w:hanging="720"/>
        <w:jc w:val="left"/>
      </w:pPr>
      <w:r>
        <w:t xml:space="preserve">             657– 665.</w:t>
      </w:r>
    </w:p>
    <w:p w14:paraId="009F342A" w14:textId="77777777" w:rsidR="002C6380" w:rsidRDefault="002C6380" w:rsidP="002C6380">
      <w:pPr>
        <w:pStyle w:val="Body"/>
        <w:spacing w:before="120" w:after="120" w:line="480" w:lineRule="auto"/>
        <w:ind w:left="720" w:hanging="720"/>
        <w:jc w:val="left"/>
      </w:pPr>
      <w:r>
        <w:t xml:space="preserve">Sparks, R.W., &amp; Deck, J.W. (1986). Melodic Intonation Therapy. </w:t>
      </w:r>
      <w:proofErr w:type="spellStart"/>
      <w:r>
        <w:t>InR</w:t>
      </w:r>
      <w:proofErr w:type="spellEnd"/>
      <w:r>
        <w:t xml:space="preserve">. </w:t>
      </w:r>
      <w:proofErr w:type="spellStart"/>
      <w:r>
        <w:t>Chapey</w:t>
      </w:r>
      <w:proofErr w:type="spellEnd"/>
      <w:r>
        <w:t xml:space="preserve"> (Ed.), </w:t>
      </w:r>
    </w:p>
    <w:p w14:paraId="76A0DAA3" w14:textId="77777777" w:rsidR="002C6380" w:rsidRDefault="002C6380" w:rsidP="002C6380">
      <w:pPr>
        <w:pStyle w:val="Body"/>
        <w:spacing w:before="120" w:after="120" w:line="480" w:lineRule="auto"/>
        <w:ind w:left="720" w:hanging="720"/>
        <w:jc w:val="left"/>
      </w:pPr>
      <w:r>
        <w:t xml:space="preserve">         Language intervention strategies in adult aphasia. Baltimore: Williams </w:t>
      </w:r>
      <w:proofErr w:type="spellStart"/>
      <w:r>
        <w:t>andWilkins</w:t>
      </w:r>
      <w:proofErr w:type="spellEnd"/>
      <w:r>
        <w:t>.</w:t>
      </w:r>
    </w:p>
    <w:p w14:paraId="13F0A5F1" w14:textId="77777777" w:rsidR="002C6380" w:rsidRDefault="002C6380" w:rsidP="002C6380">
      <w:pPr>
        <w:pStyle w:val="Body"/>
        <w:spacing w:before="120" w:after="120" w:line="480" w:lineRule="auto"/>
        <w:ind w:left="720" w:hanging="720"/>
        <w:jc w:val="left"/>
      </w:pPr>
      <w:r>
        <w:lastRenderedPageBreak/>
        <w:t xml:space="preserve">Sparks, R., Helm, N., &amp; Albert, M. (1974). Aphasia rehabilitation resulting from melodic </w:t>
      </w:r>
    </w:p>
    <w:p w14:paraId="121ABDD5" w14:textId="77777777" w:rsidR="002C6380" w:rsidRDefault="002C6380" w:rsidP="002C6380">
      <w:pPr>
        <w:pStyle w:val="Body"/>
        <w:spacing w:before="120" w:after="120" w:line="480" w:lineRule="auto"/>
        <w:ind w:left="720" w:hanging="720"/>
        <w:jc w:val="left"/>
      </w:pPr>
      <w:r>
        <w:t xml:space="preserve">             intonation therapy. Cortex, 10(4), 303-316.</w:t>
      </w:r>
    </w:p>
    <w:p w14:paraId="26F15F75" w14:textId="77777777" w:rsidR="002C6380" w:rsidRDefault="002C6380" w:rsidP="002C6380">
      <w:pPr>
        <w:pStyle w:val="Body"/>
        <w:spacing w:before="120" w:after="120" w:line="480" w:lineRule="auto"/>
        <w:ind w:left="720" w:hanging="720"/>
        <w:jc w:val="left"/>
      </w:pPr>
      <w:r>
        <w:t xml:space="preserve">Sparks, R.W., &amp; Holland, A. L. (1976). Method: Melodic intonation therapy for aphasia. </w:t>
      </w:r>
    </w:p>
    <w:p w14:paraId="14E7E57F" w14:textId="77777777" w:rsidR="002C6380" w:rsidRDefault="002C6380" w:rsidP="002C6380">
      <w:pPr>
        <w:pStyle w:val="Body"/>
        <w:spacing w:before="120" w:after="120" w:line="480" w:lineRule="auto"/>
        <w:ind w:left="720" w:hanging="720"/>
        <w:jc w:val="left"/>
      </w:pPr>
      <w:r>
        <w:t xml:space="preserve">             Journal of speech and Hearing Disorders, 41, 287-297.</w:t>
      </w:r>
    </w:p>
    <w:p w14:paraId="1F5BF262" w14:textId="77777777" w:rsidR="002C6380" w:rsidRDefault="002C6380" w:rsidP="002C6380">
      <w:pPr>
        <w:pStyle w:val="Body"/>
        <w:spacing w:before="120" w:after="120" w:line="480" w:lineRule="auto"/>
        <w:ind w:left="720" w:hanging="720"/>
        <w:jc w:val="left"/>
      </w:pPr>
      <w:r>
        <w:t xml:space="preserve">Springer, L., Willmes, K., &amp; Haag, E. (1993). Training in the use of </w:t>
      </w:r>
      <w:proofErr w:type="spellStart"/>
      <w:r>
        <w:t>wh</w:t>
      </w:r>
      <w:proofErr w:type="spellEnd"/>
      <w:r>
        <w:t xml:space="preserve">-questions and </w:t>
      </w:r>
    </w:p>
    <w:p w14:paraId="256E6AC0" w14:textId="77777777" w:rsidR="002C6380" w:rsidRDefault="002C6380" w:rsidP="002C6380">
      <w:pPr>
        <w:pStyle w:val="Body"/>
        <w:spacing w:before="120" w:after="120" w:line="480" w:lineRule="auto"/>
        <w:ind w:left="720" w:hanging="720"/>
        <w:jc w:val="left"/>
      </w:pPr>
      <w:r>
        <w:t xml:space="preserve">            prepositions in dialogues: a comparison of two different approaches in aphasia </w:t>
      </w:r>
    </w:p>
    <w:p w14:paraId="180216BA" w14:textId="77777777" w:rsidR="002C6380" w:rsidRDefault="002C6380" w:rsidP="002C6380">
      <w:pPr>
        <w:pStyle w:val="Body"/>
        <w:spacing w:before="120" w:after="120" w:line="480" w:lineRule="auto"/>
        <w:ind w:left="720" w:hanging="720"/>
        <w:jc w:val="left"/>
      </w:pPr>
      <w:r>
        <w:t xml:space="preserve">            therapy. Aphasiology 7(3), 251-70.</w:t>
      </w:r>
    </w:p>
    <w:p w14:paraId="232EA248" w14:textId="77777777" w:rsidR="002C6380" w:rsidRDefault="002C6380" w:rsidP="002C6380">
      <w:pPr>
        <w:pStyle w:val="Body"/>
        <w:spacing w:before="120" w:after="120" w:line="480" w:lineRule="auto"/>
        <w:ind w:left="720" w:hanging="720"/>
        <w:jc w:val="left"/>
      </w:pPr>
      <w:r>
        <w:t xml:space="preserve">Stahl, B., Kotz, S. A., Henseler, I., Turner, R., &amp; Geyer, S. (2011). Rhythm in disguise: why </w:t>
      </w:r>
    </w:p>
    <w:p w14:paraId="4F146D49" w14:textId="77777777" w:rsidR="002C6380" w:rsidRDefault="002C6380" w:rsidP="002C6380">
      <w:pPr>
        <w:pStyle w:val="Body"/>
        <w:spacing w:before="120" w:after="120" w:line="480" w:lineRule="auto"/>
        <w:ind w:left="720" w:hanging="720"/>
        <w:jc w:val="left"/>
      </w:pPr>
      <w:r>
        <w:t xml:space="preserve">            singing may not hold the key to recovery from aphasia. Brain 134, 3083–3093</w:t>
      </w:r>
    </w:p>
    <w:p w14:paraId="5DB16E26" w14:textId="77777777" w:rsidR="002C6380" w:rsidRDefault="002C6380" w:rsidP="002C6380">
      <w:pPr>
        <w:pStyle w:val="Body"/>
        <w:spacing w:before="120" w:after="120" w:line="480" w:lineRule="auto"/>
        <w:ind w:left="720" w:hanging="720"/>
        <w:jc w:val="left"/>
      </w:pPr>
      <w:proofErr w:type="spellStart"/>
      <w:r>
        <w:t>Stegmayer</w:t>
      </w:r>
      <w:proofErr w:type="spellEnd"/>
      <w:r>
        <w:t xml:space="preserve">, B., Asplund, K., Wester, P.O. (1994). Trends in incidence, case-fatality rate, and  </w:t>
      </w:r>
    </w:p>
    <w:p w14:paraId="7ADB7F78" w14:textId="77777777" w:rsidR="002C6380" w:rsidRDefault="002C6380" w:rsidP="002C6380">
      <w:pPr>
        <w:pStyle w:val="Body"/>
        <w:spacing w:before="120" w:after="120" w:line="480" w:lineRule="auto"/>
        <w:ind w:left="720" w:hanging="720"/>
        <w:jc w:val="left"/>
      </w:pPr>
      <w:r>
        <w:t xml:space="preserve">            severity of stroke in northern Sweden. 1985–1991, Stroke 25, 1738–1745. </w:t>
      </w:r>
    </w:p>
    <w:p w14:paraId="51B60C5D" w14:textId="77777777" w:rsidR="002C6380" w:rsidRDefault="002C6380" w:rsidP="002C6380">
      <w:pPr>
        <w:pStyle w:val="Body"/>
        <w:spacing w:before="120" w:after="120" w:line="480" w:lineRule="auto"/>
        <w:ind w:left="720" w:hanging="720"/>
        <w:jc w:val="left"/>
      </w:pPr>
      <w:r>
        <w:t xml:space="preserve">Sultana, T. (2011). Effectiveness of Visual Action Therapy for patients with Global Aphasia. </w:t>
      </w:r>
    </w:p>
    <w:p w14:paraId="500529AB" w14:textId="77777777" w:rsidR="002C6380" w:rsidRDefault="002C6380" w:rsidP="002C6380">
      <w:pPr>
        <w:pStyle w:val="Body"/>
        <w:spacing w:before="120" w:after="120" w:line="480" w:lineRule="auto"/>
        <w:ind w:left="720" w:hanging="720"/>
        <w:jc w:val="left"/>
      </w:pPr>
      <w:r>
        <w:t xml:space="preserve">            BHPI, CRP.</w:t>
      </w:r>
    </w:p>
    <w:p w14:paraId="711C75D0" w14:textId="77777777" w:rsidR="002C6380" w:rsidRDefault="002C6380" w:rsidP="002C6380">
      <w:pPr>
        <w:pStyle w:val="Body"/>
        <w:spacing w:before="120" w:after="120" w:line="480" w:lineRule="auto"/>
        <w:ind w:left="720" w:hanging="720"/>
        <w:jc w:val="left"/>
      </w:pPr>
      <w:r>
        <w:t xml:space="preserve">van der </w:t>
      </w:r>
      <w:proofErr w:type="spellStart"/>
      <w:r>
        <w:t>Meulen</w:t>
      </w:r>
      <w:proofErr w:type="spellEnd"/>
      <w:r>
        <w:t xml:space="preserve">, I., van de </w:t>
      </w:r>
      <w:proofErr w:type="spellStart"/>
      <w:r>
        <w:t>Sandt-Koenderman</w:t>
      </w:r>
      <w:proofErr w:type="spellEnd"/>
      <w:r>
        <w:t xml:space="preserve">, M. E., &amp; </w:t>
      </w:r>
      <w:proofErr w:type="spellStart"/>
      <w:r>
        <w:t>Ribbers</w:t>
      </w:r>
      <w:proofErr w:type="spellEnd"/>
      <w:r>
        <w:t xml:space="preserve">, G. M. (2012). Melodic </w:t>
      </w:r>
    </w:p>
    <w:p w14:paraId="6BE08D98" w14:textId="77777777" w:rsidR="002C6380" w:rsidRDefault="002C6380" w:rsidP="002C6380">
      <w:pPr>
        <w:pStyle w:val="Body"/>
        <w:spacing w:before="120" w:after="120" w:line="480" w:lineRule="auto"/>
        <w:ind w:left="720" w:hanging="720"/>
        <w:jc w:val="left"/>
      </w:pPr>
      <w:r>
        <w:t xml:space="preserve">            Intonation Therapy: Present Controversies and Future Opportunities. Arch Phys Med </w:t>
      </w:r>
    </w:p>
    <w:p w14:paraId="20A4E2C0" w14:textId="77777777" w:rsidR="002C6380" w:rsidRDefault="002C6380" w:rsidP="002C6380">
      <w:pPr>
        <w:pStyle w:val="Body"/>
        <w:spacing w:before="120" w:after="120" w:line="480" w:lineRule="auto"/>
        <w:ind w:left="720" w:hanging="720"/>
        <w:jc w:val="left"/>
      </w:pPr>
      <w:r>
        <w:t xml:space="preserve">            </w:t>
      </w:r>
      <w:proofErr w:type="spellStart"/>
      <w:r>
        <w:t>Rehabi</w:t>
      </w:r>
      <w:proofErr w:type="spellEnd"/>
      <w:r>
        <w:t>, 93(S1), 46–52.</w:t>
      </w:r>
    </w:p>
    <w:p w14:paraId="709BB431" w14:textId="77777777" w:rsidR="002C6380" w:rsidRDefault="002C6380" w:rsidP="002C6380">
      <w:pPr>
        <w:pStyle w:val="Body"/>
        <w:spacing w:before="120" w:after="120" w:line="480" w:lineRule="auto"/>
        <w:ind w:left="720" w:hanging="720"/>
        <w:jc w:val="left"/>
      </w:pPr>
      <w:r>
        <w:t xml:space="preserve">Wambaugh, J. L., &amp; Martinez, A. L. (2000). Effects of rate and rhythm control treatment on  </w:t>
      </w:r>
    </w:p>
    <w:p w14:paraId="205CB0D7" w14:textId="77777777" w:rsidR="002C6380" w:rsidRDefault="002C6380" w:rsidP="002C6380">
      <w:pPr>
        <w:pStyle w:val="Body"/>
        <w:spacing w:before="120" w:after="120" w:line="480" w:lineRule="auto"/>
        <w:ind w:left="720" w:hanging="720"/>
        <w:jc w:val="left"/>
      </w:pPr>
      <w:r>
        <w:t xml:space="preserve">           consonant production accuracy in apraxia of speech. Aphasiology 14(8), 851–71.</w:t>
      </w:r>
    </w:p>
    <w:p w14:paraId="1EF8F775" w14:textId="77777777" w:rsidR="002C6380" w:rsidRDefault="002C6380" w:rsidP="002C6380">
      <w:pPr>
        <w:pStyle w:val="Body"/>
        <w:spacing w:before="120" w:after="120" w:line="480" w:lineRule="auto"/>
        <w:ind w:left="720" w:hanging="720"/>
        <w:jc w:val="left"/>
      </w:pPr>
      <w:r>
        <w:t xml:space="preserve">Wilson, S. J., Parsons, K., &amp; </w:t>
      </w:r>
      <w:proofErr w:type="spellStart"/>
      <w:r>
        <w:t>Reutens</w:t>
      </w:r>
      <w:proofErr w:type="spellEnd"/>
      <w:r>
        <w:t xml:space="preserve">, D. C. (2006). Preserved singing in aphasia: a case </w:t>
      </w:r>
    </w:p>
    <w:p w14:paraId="503A04B1" w14:textId="77777777" w:rsidR="002C6380" w:rsidRDefault="002C6380" w:rsidP="002C6380">
      <w:pPr>
        <w:pStyle w:val="Body"/>
        <w:spacing w:before="120" w:after="120" w:line="480" w:lineRule="auto"/>
        <w:ind w:left="720" w:hanging="720"/>
        <w:jc w:val="left"/>
      </w:pPr>
      <w:r>
        <w:t xml:space="preserve">           study of the efficacy of the Melodic Intonation Therapy. Music </w:t>
      </w:r>
      <w:proofErr w:type="spellStart"/>
      <w:r>
        <w:t>Perceptives</w:t>
      </w:r>
      <w:proofErr w:type="spellEnd"/>
      <w:r>
        <w:t>, 24, 23-36.</w:t>
      </w:r>
    </w:p>
    <w:p w14:paraId="5CD2D530" w14:textId="77777777" w:rsidR="002C6380" w:rsidRDefault="002C6380" w:rsidP="002C6380">
      <w:pPr>
        <w:pStyle w:val="Body"/>
        <w:spacing w:before="120" w:after="120" w:line="480" w:lineRule="auto"/>
        <w:ind w:left="720" w:hanging="720"/>
        <w:jc w:val="left"/>
      </w:pPr>
      <w:proofErr w:type="spellStart"/>
      <w:r>
        <w:t>Yamadori</w:t>
      </w:r>
      <w:proofErr w:type="spellEnd"/>
      <w:r>
        <w:t xml:space="preserve">, A., Osumi, Y., Masuhara, S., &amp; Okubo, M. (1977). Preservation of singing in </w:t>
      </w:r>
    </w:p>
    <w:p w14:paraId="1F4978F1" w14:textId="77777777" w:rsidR="002C6380" w:rsidRDefault="002C6380" w:rsidP="002C6380">
      <w:pPr>
        <w:pStyle w:val="Body"/>
        <w:spacing w:before="120" w:after="120" w:line="480" w:lineRule="auto"/>
        <w:ind w:left="720" w:hanging="720"/>
        <w:jc w:val="left"/>
      </w:pPr>
      <w:r>
        <w:t xml:space="preserve">            </w:t>
      </w:r>
      <w:proofErr w:type="gramStart"/>
      <w:r>
        <w:t>Broca’s  aphasia</w:t>
      </w:r>
      <w:proofErr w:type="gramEnd"/>
      <w:r>
        <w:t xml:space="preserve">. J Neurol </w:t>
      </w:r>
      <w:proofErr w:type="spellStart"/>
      <w:r>
        <w:t>Neurosurg</w:t>
      </w:r>
      <w:proofErr w:type="spellEnd"/>
      <w:r>
        <w:t xml:space="preserve"> Psychology, 40, 221–4. </w:t>
      </w:r>
    </w:p>
    <w:p w14:paraId="60B17B9B" w14:textId="77777777" w:rsidR="002C6380" w:rsidRDefault="002C6380" w:rsidP="002C6380">
      <w:pPr>
        <w:pStyle w:val="Body"/>
      </w:pPr>
    </w:p>
    <w:p w14:paraId="13DFE325" w14:textId="77777777" w:rsidR="002C6380" w:rsidRDefault="002C6380" w:rsidP="002C6380">
      <w:pPr>
        <w:pStyle w:val="Body"/>
      </w:pPr>
    </w:p>
    <w:p w14:paraId="0F19C342" w14:textId="77777777" w:rsidR="008B459E" w:rsidRPr="002C57D2" w:rsidRDefault="008B459E" w:rsidP="00441B6F">
      <w:pPr>
        <w:pStyle w:val="Body"/>
        <w:spacing w:after="0"/>
        <w:rPr>
          <w:rFonts w:ascii="Arial" w:hAnsi="Arial" w:cs="Arial"/>
        </w:rPr>
      </w:pPr>
    </w:p>
    <w:p w14:paraId="79D60EB3" w14:textId="77777777" w:rsidR="00B01FCD" w:rsidRPr="00FB3A86" w:rsidRDefault="00B01FCD" w:rsidP="00441B6F">
      <w:pPr>
        <w:pStyle w:val="Appendix"/>
        <w:spacing w:after="0"/>
        <w:jc w:val="both"/>
        <w:rPr>
          <w:rFonts w:ascii="Arial" w:hAnsi="Arial" w:cs="Arial"/>
          <w:b w:val="0"/>
        </w:rPr>
      </w:pPr>
    </w:p>
    <w:sectPr w:rsidR="00B01FCD" w:rsidRPr="00FB3A86" w:rsidSect="00872929">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0E710" w14:textId="77777777" w:rsidR="00A26891" w:rsidRDefault="00A26891" w:rsidP="00C37E61">
      <w:r>
        <w:separator/>
      </w:r>
    </w:p>
  </w:endnote>
  <w:endnote w:type="continuationSeparator" w:id="0">
    <w:p w14:paraId="6F7C83FB" w14:textId="77777777" w:rsidR="00A26891" w:rsidRDefault="00A2689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9B211" w14:textId="77777777" w:rsidR="00872929" w:rsidRDefault="00872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4F18E" w14:textId="77777777" w:rsidR="00872929" w:rsidRDefault="00872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FB16C" w14:textId="61FCA102" w:rsidR="004C0AED" w:rsidRPr="00872929" w:rsidRDefault="004C0AED" w:rsidP="0087292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49A05" w14:textId="77777777" w:rsidR="004C0AED" w:rsidRPr="00C37E61" w:rsidRDefault="004C0AE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03393" w14:textId="77777777" w:rsidR="00A26891" w:rsidRDefault="00A26891" w:rsidP="00C37E61">
      <w:r>
        <w:separator/>
      </w:r>
    </w:p>
  </w:footnote>
  <w:footnote w:type="continuationSeparator" w:id="0">
    <w:p w14:paraId="24D9988F" w14:textId="77777777" w:rsidR="00A26891" w:rsidRDefault="00A2689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5F091" w14:textId="6CC87CC8" w:rsidR="00872929" w:rsidRDefault="00872929">
    <w:pPr>
      <w:pStyle w:val="Header"/>
    </w:pPr>
    <w:r>
      <w:rPr>
        <w:noProof/>
      </w:rPr>
      <w:pict w14:anchorId="1DAF6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071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4AED" w14:textId="484B0372" w:rsidR="00872929" w:rsidRDefault="00872929">
    <w:pPr>
      <w:pStyle w:val="Header"/>
    </w:pPr>
    <w:r>
      <w:rPr>
        <w:noProof/>
      </w:rPr>
      <w:pict w14:anchorId="5DCAC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072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D648" w14:textId="419B792E" w:rsidR="004C0AED" w:rsidRPr="00296529" w:rsidRDefault="00872929" w:rsidP="00296529">
    <w:pPr>
      <w:ind w:left="2160"/>
      <w:jc w:val="center"/>
      <w:rPr>
        <w:rFonts w:ascii="Times New Roman" w:eastAsia="Calibri" w:hAnsi="Times New Roman"/>
        <w:i/>
        <w:sz w:val="18"/>
        <w:szCs w:val="22"/>
      </w:rPr>
    </w:pPr>
    <w:r>
      <w:rPr>
        <w:noProof/>
      </w:rPr>
      <w:pict w14:anchorId="1C63F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071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0F65F13" w14:textId="77777777" w:rsidR="004C0AED" w:rsidRPr="00296529" w:rsidRDefault="004C0AE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6AA2A5B" w14:textId="77777777" w:rsidR="004C0AED" w:rsidRPr="00296529" w:rsidRDefault="004C0AE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279F5B" w14:textId="77777777" w:rsidR="004C0AED" w:rsidRPr="00296529" w:rsidRDefault="004C0AE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1925AD" w14:textId="77777777" w:rsidR="004C0AED" w:rsidRDefault="004C0AE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FC7197D" w14:textId="77777777" w:rsidR="004C0AED" w:rsidRDefault="004C0AE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429C0BB" w14:textId="77777777" w:rsidR="004C0AED" w:rsidRDefault="004C0AE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35E75" w14:textId="71698C1D" w:rsidR="00872929" w:rsidRDefault="00872929">
    <w:pPr>
      <w:pStyle w:val="Header"/>
    </w:pPr>
    <w:r>
      <w:rPr>
        <w:noProof/>
      </w:rPr>
      <w:pict w14:anchorId="50088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072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C3D2B" w14:textId="34D40E13" w:rsidR="00872929" w:rsidRDefault="00872929">
    <w:pPr>
      <w:pStyle w:val="Header"/>
    </w:pPr>
    <w:r>
      <w:rPr>
        <w:noProof/>
      </w:rPr>
      <w:pict w14:anchorId="0BF44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072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325D" w14:textId="470A57CB" w:rsidR="00872929" w:rsidRDefault="00872929">
    <w:pPr>
      <w:pStyle w:val="Header"/>
    </w:pPr>
    <w:r>
      <w:rPr>
        <w:noProof/>
      </w:rPr>
      <w:pict w14:anchorId="470287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072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ED4AE7"/>
    <w:multiLevelType w:val="hybridMultilevel"/>
    <w:tmpl w:val="6FAA3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D7BF9"/>
    <w:multiLevelType w:val="hybridMultilevel"/>
    <w:tmpl w:val="80047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F5BA4"/>
    <w:multiLevelType w:val="hybridMultilevel"/>
    <w:tmpl w:val="F7D07B46"/>
    <w:lvl w:ilvl="0" w:tplc="71CE62E2">
      <w:start w:val="1"/>
      <w:numFmt w:val="bullet"/>
      <w:lvlText w:val=""/>
      <w:lvlJc w:val="left"/>
      <w:pPr>
        <w:tabs>
          <w:tab w:val="num" w:pos="720"/>
        </w:tabs>
        <w:ind w:left="720" w:hanging="360"/>
      </w:pPr>
      <w:rPr>
        <w:rFonts w:ascii="Wingdings" w:hAnsi="Wingdings" w:cs="Wingdings" w:hint="default"/>
      </w:rPr>
    </w:lvl>
    <w:lvl w:ilvl="1" w:tplc="F31C34A8">
      <w:start w:val="1"/>
      <w:numFmt w:val="bullet"/>
      <w:lvlText w:val=""/>
      <w:lvlJc w:val="left"/>
      <w:pPr>
        <w:tabs>
          <w:tab w:val="num" w:pos="1440"/>
        </w:tabs>
        <w:ind w:left="1440" w:hanging="360"/>
      </w:pPr>
      <w:rPr>
        <w:rFonts w:ascii="Wingdings" w:hAnsi="Wingdings" w:cs="Wingdings" w:hint="default"/>
      </w:rPr>
    </w:lvl>
    <w:lvl w:ilvl="2" w:tplc="60BA2ECC">
      <w:start w:val="1"/>
      <w:numFmt w:val="bullet"/>
      <w:lvlText w:val=""/>
      <w:lvlJc w:val="left"/>
      <w:pPr>
        <w:tabs>
          <w:tab w:val="num" w:pos="2160"/>
        </w:tabs>
        <w:ind w:left="2160" w:hanging="360"/>
      </w:pPr>
      <w:rPr>
        <w:rFonts w:ascii="Wingdings" w:hAnsi="Wingdings" w:cs="Wingdings" w:hint="default"/>
      </w:rPr>
    </w:lvl>
    <w:lvl w:ilvl="3" w:tplc="A20AFF46">
      <w:start w:val="1"/>
      <w:numFmt w:val="bullet"/>
      <w:lvlText w:val=""/>
      <w:lvlJc w:val="left"/>
      <w:pPr>
        <w:tabs>
          <w:tab w:val="num" w:pos="2880"/>
        </w:tabs>
        <w:ind w:left="2880" w:hanging="360"/>
      </w:pPr>
      <w:rPr>
        <w:rFonts w:ascii="Wingdings" w:hAnsi="Wingdings" w:cs="Wingdings" w:hint="default"/>
      </w:rPr>
    </w:lvl>
    <w:lvl w:ilvl="4" w:tplc="EB4A00DC">
      <w:start w:val="1"/>
      <w:numFmt w:val="bullet"/>
      <w:lvlText w:val=""/>
      <w:lvlJc w:val="left"/>
      <w:pPr>
        <w:tabs>
          <w:tab w:val="num" w:pos="3600"/>
        </w:tabs>
        <w:ind w:left="3600" w:hanging="360"/>
      </w:pPr>
      <w:rPr>
        <w:rFonts w:ascii="Wingdings" w:hAnsi="Wingdings" w:cs="Wingdings" w:hint="default"/>
      </w:rPr>
    </w:lvl>
    <w:lvl w:ilvl="5" w:tplc="3018804A">
      <w:start w:val="1"/>
      <w:numFmt w:val="bullet"/>
      <w:lvlText w:val=""/>
      <w:lvlJc w:val="left"/>
      <w:pPr>
        <w:tabs>
          <w:tab w:val="num" w:pos="4320"/>
        </w:tabs>
        <w:ind w:left="4320" w:hanging="360"/>
      </w:pPr>
      <w:rPr>
        <w:rFonts w:ascii="Wingdings" w:hAnsi="Wingdings" w:cs="Wingdings" w:hint="default"/>
      </w:rPr>
    </w:lvl>
    <w:lvl w:ilvl="6" w:tplc="06A06960">
      <w:start w:val="1"/>
      <w:numFmt w:val="bullet"/>
      <w:lvlText w:val=""/>
      <w:lvlJc w:val="left"/>
      <w:pPr>
        <w:tabs>
          <w:tab w:val="num" w:pos="5040"/>
        </w:tabs>
        <w:ind w:left="5040" w:hanging="360"/>
      </w:pPr>
      <w:rPr>
        <w:rFonts w:ascii="Wingdings" w:hAnsi="Wingdings" w:cs="Wingdings" w:hint="default"/>
      </w:rPr>
    </w:lvl>
    <w:lvl w:ilvl="7" w:tplc="0D1671C8">
      <w:start w:val="1"/>
      <w:numFmt w:val="bullet"/>
      <w:lvlText w:val=""/>
      <w:lvlJc w:val="left"/>
      <w:pPr>
        <w:tabs>
          <w:tab w:val="num" w:pos="5760"/>
        </w:tabs>
        <w:ind w:left="5760" w:hanging="360"/>
      </w:pPr>
      <w:rPr>
        <w:rFonts w:ascii="Wingdings" w:hAnsi="Wingdings" w:cs="Wingdings" w:hint="default"/>
      </w:rPr>
    </w:lvl>
    <w:lvl w:ilvl="8" w:tplc="8BD61ACA">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0841C65"/>
    <w:multiLevelType w:val="hybridMultilevel"/>
    <w:tmpl w:val="0E6A69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0A1141C"/>
    <w:multiLevelType w:val="hybridMultilevel"/>
    <w:tmpl w:val="3B22D9DC"/>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AC0699"/>
    <w:multiLevelType w:val="hybridMultilevel"/>
    <w:tmpl w:val="BB4A8EC6"/>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5"/>
  </w:num>
  <w:num w:numId="9">
    <w:abstractNumId w:val="30"/>
  </w:num>
  <w:num w:numId="10">
    <w:abstractNumId w:val="2"/>
  </w:num>
  <w:num w:numId="11">
    <w:abstractNumId w:val="22"/>
  </w:num>
  <w:num w:numId="12">
    <w:abstractNumId w:val="3"/>
  </w:num>
  <w:num w:numId="13">
    <w:abstractNumId w:val="21"/>
  </w:num>
  <w:num w:numId="14">
    <w:abstractNumId w:val="9"/>
  </w:num>
  <w:num w:numId="15">
    <w:abstractNumId w:val="26"/>
  </w:num>
  <w:num w:numId="16">
    <w:abstractNumId w:val="6"/>
  </w:num>
  <w:num w:numId="17">
    <w:abstractNumId w:val="27"/>
  </w:num>
  <w:num w:numId="18">
    <w:abstractNumId w:val="17"/>
  </w:num>
  <w:num w:numId="19">
    <w:abstractNumId w:val="34"/>
  </w:num>
  <w:num w:numId="20">
    <w:abstractNumId w:val="14"/>
  </w:num>
  <w:num w:numId="21">
    <w:abstractNumId w:val="10"/>
  </w:num>
  <w:num w:numId="22">
    <w:abstractNumId w:val="16"/>
  </w:num>
  <w:num w:numId="23">
    <w:abstractNumId w:val="24"/>
  </w:num>
  <w:num w:numId="24">
    <w:abstractNumId w:val="31"/>
  </w:num>
  <w:num w:numId="25">
    <w:abstractNumId w:val="5"/>
  </w:num>
  <w:num w:numId="26">
    <w:abstractNumId w:val="20"/>
  </w:num>
  <w:num w:numId="27">
    <w:abstractNumId w:val="25"/>
  </w:num>
  <w:num w:numId="28">
    <w:abstractNumId w:val="32"/>
  </w:num>
  <w:num w:numId="29">
    <w:abstractNumId w:val="29"/>
  </w:num>
  <w:num w:numId="30">
    <w:abstractNumId w:val="11"/>
  </w:num>
  <w:num w:numId="31">
    <w:abstractNumId w:val="19"/>
  </w:num>
  <w:num w:numId="32">
    <w:abstractNumId w:val="13"/>
  </w:num>
  <w:num w:numId="33">
    <w:abstractNumId w:val="33"/>
  </w:num>
  <w:num w:numId="34">
    <w:abstractNumId w:val="23"/>
  </w:num>
  <w:num w:numId="35">
    <w:abstractNumId w:val="12"/>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257ED"/>
    <w:rsid w:val="00030174"/>
    <w:rsid w:val="0004579C"/>
    <w:rsid w:val="00071C20"/>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2AE6"/>
    <w:rsid w:val="001D0897"/>
    <w:rsid w:val="001D3A51"/>
    <w:rsid w:val="001E10D2"/>
    <w:rsid w:val="001E25B4"/>
    <w:rsid w:val="001E33B7"/>
    <w:rsid w:val="001E44FE"/>
    <w:rsid w:val="001F4A28"/>
    <w:rsid w:val="00200595"/>
    <w:rsid w:val="00204835"/>
    <w:rsid w:val="00231920"/>
    <w:rsid w:val="0023195C"/>
    <w:rsid w:val="0024282C"/>
    <w:rsid w:val="002460DC"/>
    <w:rsid w:val="00250985"/>
    <w:rsid w:val="002556F6"/>
    <w:rsid w:val="002813B1"/>
    <w:rsid w:val="00283105"/>
    <w:rsid w:val="00284C4C"/>
    <w:rsid w:val="00287E68"/>
    <w:rsid w:val="00296529"/>
    <w:rsid w:val="002B27FB"/>
    <w:rsid w:val="002B685A"/>
    <w:rsid w:val="002C57D2"/>
    <w:rsid w:val="002C6380"/>
    <w:rsid w:val="002E0D56"/>
    <w:rsid w:val="002E0E08"/>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C0AED"/>
    <w:rsid w:val="004D305E"/>
    <w:rsid w:val="004D4277"/>
    <w:rsid w:val="00501355"/>
    <w:rsid w:val="00502516"/>
    <w:rsid w:val="00505F06"/>
    <w:rsid w:val="00506828"/>
    <w:rsid w:val="0053056E"/>
    <w:rsid w:val="00554FDA"/>
    <w:rsid w:val="005619EA"/>
    <w:rsid w:val="005C5FC0"/>
    <w:rsid w:val="005C784C"/>
    <w:rsid w:val="005D17F6"/>
    <w:rsid w:val="005E5539"/>
    <w:rsid w:val="00602BF5"/>
    <w:rsid w:val="00617FDD"/>
    <w:rsid w:val="00621A5A"/>
    <w:rsid w:val="00633614"/>
    <w:rsid w:val="00633F68"/>
    <w:rsid w:val="00636EB2"/>
    <w:rsid w:val="006375B8"/>
    <w:rsid w:val="0066510A"/>
    <w:rsid w:val="00673F9F"/>
    <w:rsid w:val="00686953"/>
    <w:rsid w:val="00687DEA"/>
    <w:rsid w:val="00687E67"/>
    <w:rsid w:val="006907CA"/>
    <w:rsid w:val="006967F7"/>
    <w:rsid w:val="00697F6D"/>
    <w:rsid w:val="006A250C"/>
    <w:rsid w:val="006B21D3"/>
    <w:rsid w:val="006B57D0"/>
    <w:rsid w:val="006D30FF"/>
    <w:rsid w:val="006D6940"/>
    <w:rsid w:val="006F11EC"/>
    <w:rsid w:val="0070082C"/>
    <w:rsid w:val="007369E6"/>
    <w:rsid w:val="00746E59"/>
    <w:rsid w:val="0075332D"/>
    <w:rsid w:val="00754C9A"/>
    <w:rsid w:val="0075599A"/>
    <w:rsid w:val="00761D52"/>
    <w:rsid w:val="0077749E"/>
    <w:rsid w:val="00790ADA"/>
    <w:rsid w:val="007D2288"/>
    <w:rsid w:val="007E088F"/>
    <w:rsid w:val="007F7B32"/>
    <w:rsid w:val="00804BC2"/>
    <w:rsid w:val="00805E53"/>
    <w:rsid w:val="0081431A"/>
    <w:rsid w:val="00826C9E"/>
    <w:rsid w:val="0083216F"/>
    <w:rsid w:val="00860000"/>
    <w:rsid w:val="00863BD3"/>
    <w:rsid w:val="008641ED"/>
    <w:rsid w:val="00864B54"/>
    <w:rsid w:val="00866D66"/>
    <w:rsid w:val="008671C6"/>
    <w:rsid w:val="00872929"/>
    <w:rsid w:val="00875803"/>
    <w:rsid w:val="008B459E"/>
    <w:rsid w:val="008D15A2"/>
    <w:rsid w:val="008E13AE"/>
    <w:rsid w:val="008E1506"/>
    <w:rsid w:val="008E710C"/>
    <w:rsid w:val="008F69D6"/>
    <w:rsid w:val="00902823"/>
    <w:rsid w:val="0090374E"/>
    <w:rsid w:val="00915CA6"/>
    <w:rsid w:val="00920A94"/>
    <w:rsid w:val="00927834"/>
    <w:rsid w:val="009500A6"/>
    <w:rsid w:val="00957C18"/>
    <w:rsid w:val="009659BA"/>
    <w:rsid w:val="00983040"/>
    <w:rsid w:val="009B3FB9"/>
    <w:rsid w:val="009C2465"/>
    <w:rsid w:val="009D35A0"/>
    <w:rsid w:val="009D3CAA"/>
    <w:rsid w:val="009D7EB7"/>
    <w:rsid w:val="009E048A"/>
    <w:rsid w:val="009E08E9"/>
    <w:rsid w:val="009E3DB9"/>
    <w:rsid w:val="009E6E35"/>
    <w:rsid w:val="009F0EDA"/>
    <w:rsid w:val="00A02B50"/>
    <w:rsid w:val="00A03B96"/>
    <w:rsid w:val="00A05B19"/>
    <w:rsid w:val="00A1134E"/>
    <w:rsid w:val="00A24E7E"/>
    <w:rsid w:val="00A258C3"/>
    <w:rsid w:val="00A26891"/>
    <w:rsid w:val="00A347C0"/>
    <w:rsid w:val="00A51431"/>
    <w:rsid w:val="00A533D1"/>
    <w:rsid w:val="00A539AD"/>
    <w:rsid w:val="00A75FCA"/>
    <w:rsid w:val="00A94063"/>
    <w:rsid w:val="00AA6219"/>
    <w:rsid w:val="00AA74E0"/>
    <w:rsid w:val="00AB703F"/>
    <w:rsid w:val="00AB7234"/>
    <w:rsid w:val="00AC6BB8"/>
    <w:rsid w:val="00AE008F"/>
    <w:rsid w:val="00B01FCD"/>
    <w:rsid w:val="00B1776C"/>
    <w:rsid w:val="00B52583"/>
    <w:rsid w:val="00B52896"/>
    <w:rsid w:val="00B8073C"/>
    <w:rsid w:val="00B95236"/>
    <w:rsid w:val="00B96BD9"/>
    <w:rsid w:val="00BA1B01"/>
    <w:rsid w:val="00BA2641"/>
    <w:rsid w:val="00BB37AA"/>
    <w:rsid w:val="00BC53A0"/>
    <w:rsid w:val="00BE62AD"/>
    <w:rsid w:val="00BF121F"/>
    <w:rsid w:val="00BF1F80"/>
    <w:rsid w:val="00C166EF"/>
    <w:rsid w:val="00C17EB0"/>
    <w:rsid w:val="00C27F5F"/>
    <w:rsid w:val="00C30A0F"/>
    <w:rsid w:val="00C32336"/>
    <w:rsid w:val="00C37E61"/>
    <w:rsid w:val="00C444F6"/>
    <w:rsid w:val="00C70F1B"/>
    <w:rsid w:val="00C71A47"/>
    <w:rsid w:val="00C7464C"/>
    <w:rsid w:val="00C85588"/>
    <w:rsid w:val="00CD6755"/>
    <w:rsid w:val="00CD6856"/>
    <w:rsid w:val="00CE0089"/>
    <w:rsid w:val="00CE793C"/>
    <w:rsid w:val="00CF193C"/>
    <w:rsid w:val="00CF5283"/>
    <w:rsid w:val="00D173F1"/>
    <w:rsid w:val="00D74CB0"/>
    <w:rsid w:val="00D8295D"/>
    <w:rsid w:val="00DC2A65"/>
    <w:rsid w:val="00DE15F0"/>
    <w:rsid w:val="00DE5663"/>
    <w:rsid w:val="00DE78AA"/>
    <w:rsid w:val="00E015AD"/>
    <w:rsid w:val="00E053D0"/>
    <w:rsid w:val="00E15994"/>
    <w:rsid w:val="00E3114E"/>
    <w:rsid w:val="00E31A70"/>
    <w:rsid w:val="00E35B02"/>
    <w:rsid w:val="00E63352"/>
    <w:rsid w:val="00E66496"/>
    <w:rsid w:val="00E66B35"/>
    <w:rsid w:val="00E66E10"/>
    <w:rsid w:val="00E769F6"/>
    <w:rsid w:val="00E8407C"/>
    <w:rsid w:val="00E84F3C"/>
    <w:rsid w:val="00EA012C"/>
    <w:rsid w:val="00EB1471"/>
    <w:rsid w:val="00EC6A55"/>
    <w:rsid w:val="00ED0288"/>
    <w:rsid w:val="00EE52CB"/>
    <w:rsid w:val="00EE71E0"/>
    <w:rsid w:val="00EF581D"/>
    <w:rsid w:val="00EF7FD8"/>
    <w:rsid w:val="00F06F59"/>
    <w:rsid w:val="00F17988"/>
    <w:rsid w:val="00F469F0"/>
    <w:rsid w:val="00F53273"/>
    <w:rsid w:val="00F755E4"/>
    <w:rsid w:val="00F77D02"/>
    <w:rsid w:val="00F829B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D0E5AA5"/>
  <w15:docId w15:val="{4FB70952-CAD5-4E4A-AFC6-6493CBB4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C5FC0"/>
    <w:pPr>
      <w:spacing w:after="200" w:line="276" w:lineRule="auto"/>
      <w:ind w:left="720"/>
      <w:jc w:val="center"/>
    </w:pPr>
    <w:rPr>
      <w:rFonts w:ascii="Calibri" w:hAnsi="Calibri" w:cs="Calibri"/>
      <w:b/>
      <w:bCs/>
      <w:i/>
      <w:iCs/>
      <w:sz w:val="32"/>
      <w:szCs w:val="32"/>
    </w:rPr>
  </w:style>
  <w:style w:type="character" w:styleId="UnresolvedMention">
    <w:name w:val="Unresolved Mention"/>
    <w:basedOn w:val="DefaultParagraphFont"/>
    <w:uiPriority w:val="99"/>
    <w:semiHidden/>
    <w:unhideWhenUsed/>
    <w:rsid w:val="00805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6749596">
      <w:bodyDiv w:val="1"/>
      <w:marLeft w:val="0"/>
      <w:marRight w:val="0"/>
      <w:marTop w:val="0"/>
      <w:marBottom w:val="0"/>
      <w:divBdr>
        <w:top w:val="none" w:sz="0" w:space="0" w:color="auto"/>
        <w:left w:val="none" w:sz="0" w:space="0" w:color="auto"/>
        <w:bottom w:val="none" w:sz="0" w:space="0" w:color="auto"/>
        <w:right w:val="none" w:sz="0" w:space="0" w:color="auto"/>
      </w:divBdr>
    </w:div>
    <w:div w:id="182743361">
      <w:bodyDiv w:val="1"/>
      <w:marLeft w:val="0"/>
      <w:marRight w:val="0"/>
      <w:marTop w:val="0"/>
      <w:marBottom w:val="0"/>
      <w:divBdr>
        <w:top w:val="none" w:sz="0" w:space="0" w:color="auto"/>
        <w:left w:val="none" w:sz="0" w:space="0" w:color="auto"/>
        <w:bottom w:val="none" w:sz="0" w:space="0" w:color="auto"/>
        <w:right w:val="none" w:sz="0" w:space="0" w:color="auto"/>
      </w:divBdr>
    </w:div>
    <w:div w:id="23339447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1785618">
      <w:bodyDiv w:val="1"/>
      <w:marLeft w:val="0"/>
      <w:marRight w:val="0"/>
      <w:marTop w:val="0"/>
      <w:marBottom w:val="0"/>
      <w:divBdr>
        <w:top w:val="none" w:sz="0" w:space="0" w:color="auto"/>
        <w:left w:val="none" w:sz="0" w:space="0" w:color="auto"/>
        <w:bottom w:val="none" w:sz="0" w:space="0" w:color="auto"/>
        <w:right w:val="none" w:sz="0" w:space="0" w:color="auto"/>
      </w:divBdr>
    </w:div>
    <w:div w:id="431433406">
      <w:bodyDiv w:val="1"/>
      <w:marLeft w:val="0"/>
      <w:marRight w:val="0"/>
      <w:marTop w:val="0"/>
      <w:marBottom w:val="0"/>
      <w:divBdr>
        <w:top w:val="none" w:sz="0" w:space="0" w:color="auto"/>
        <w:left w:val="none" w:sz="0" w:space="0" w:color="auto"/>
        <w:bottom w:val="none" w:sz="0" w:space="0" w:color="auto"/>
        <w:right w:val="none" w:sz="0" w:space="0" w:color="auto"/>
      </w:divBdr>
    </w:div>
    <w:div w:id="43667793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2050919">
      <w:bodyDiv w:val="1"/>
      <w:marLeft w:val="0"/>
      <w:marRight w:val="0"/>
      <w:marTop w:val="0"/>
      <w:marBottom w:val="0"/>
      <w:divBdr>
        <w:top w:val="none" w:sz="0" w:space="0" w:color="auto"/>
        <w:left w:val="none" w:sz="0" w:space="0" w:color="auto"/>
        <w:bottom w:val="none" w:sz="0" w:space="0" w:color="auto"/>
        <w:right w:val="none" w:sz="0" w:space="0" w:color="auto"/>
      </w:divBdr>
    </w:div>
    <w:div w:id="720710353">
      <w:bodyDiv w:val="1"/>
      <w:marLeft w:val="0"/>
      <w:marRight w:val="0"/>
      <w:marTop w:val="0"/>
      <w:marBottom w:val="0"/>
      <w:divBdr>
        <w:top w:val="none" w:sz="0" w:space="0" w:color="auto"/>
        <w:left w:val="none" w:sz="0" w:space="0" w:color="auto"/>
        <w:bottom w:val="none" w:sz="0" w:space="0" w:color="auto"/>
        <w:right w:val="none" w:sz="0" w:space="0" w:color="auto"/>
      </w:divBdr>
    </w:div>
    <w:div w:id="872306290">
      <w:bodyDiv w:val="1"/>
      <w:marLeft w:val="0"/>
      <w:marRight w:val="0"/>
      <w:marTop w:val="0"/>
      <w:marBottom w:val="0"/>
      <w:divBdr>
        <w:top w:val="none" w:sz="0" w:space="0" w:color="auto"/>
        <w:left w:val="none" w:sz="0" w:space="0" w:color="auto"/>
        <w:bottom w:val="none" w:sz="0" w:space="0" w:color="auto"/>
        <w:right w:val="none" w:sz="0" w:space="0" w:color="auto"/>
      </w:divBdr>
    </w:div>
    <w:div w:id="90329926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692672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1705665">
      <w:bodyDiv w:val="1"/>
      <w:marLeft w:val="0"/>
      <w:marRight w:val="0"/>
      <w:marTop w:val="0"/>
      <w:marBottom w:val="0"/>
      <w:divBdr>
        <w:top w:val="none" w:sz="0" w:space="0" w:color="auto"/>
        <w:left w:val="none" w:sz="0" w:space="0" w:color="auto"/>
        <w:bottom w:val="none" w:sz="0" w:space="0" w:color="auto"/>
        <w:right w:val="none" w:sz="0" w:space="0" w:color="auto"/>
      </w:divBdr>
    </w:div>
    <w:div w:id="1155295907">
      <w:bodyDiv w:val="1"/>
      <w:marLeft w:val="0"/>
      <w:marRight w:val="0"/>
      <w:marTop w:val="0"/>
      <w:marBottom w:val="0"/>
      <w:divBdr>
        <w:top w:val="none" w:sz="0" w:space="0" w:color="auto"/>
        <w:left w:val="none" w:sz="0" w:space="0" w:color="auto"/>
        <w:bottom w:val="none" w:sz="0" w:space="0" w:color="auto"/>
        <w:right w:val="none" w:sz="0" w:space="0" w:color="auto"/>
      </w:divBdr>
    </w:div>
    <w:div w:id="1563298458">
      <w:bodyDiv w:val="1"/>
      <w:marLeft w:val="0"/>
      <w:marRight w:val="0"/>
      <w:marTop w:val="0"/>
      <w:marBottom w:val="0"/>
      <w:divBdr>
        <w:top w:val="none" w:sz="0" w:space="0" w:color="auto"/>
        <w:left w:val="none" w:sz="0" w:space="0" w:color="auto"/>
        <w:bottom w:val="none" w:sz="0" w:space="0" w:color="auto"/>
        <w:right w:val="none" w:sz="0" w:space="0" w:color="auto"/>
      </w:divBdr>
    </w:div>
    <w:div w:id="167079219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4299967">
      <w:bodyDiv w:val="1"/>
      <w:marLeft w:val="0"/>
      <w:marRight w:val="0"/>
      <w:marTop w:val="0"/>
      <w:marBottom w:val="0"/>
      <w:divBdr>
        <w:top w:val="none" w:sz="0" w:space="0" w:color="auto"/>
        <w:left w:val="none" w:sz="0" w:space="0" w:color="auto"/>
        <w:bottom w:val="none" w:sz="0" w:space="0" w:color="auto"/>
        <w:right w:val="none" w:sz="0" w:space="0" w:color="auto"/>
      </w:divBdr>
    </w:div>
    <w:div w:id="1806198841">
      <w:bodyDiv w:val="1"/>
      <w:marLeft w:val="0"/>
      <w:marRight w:val="0"/>
      <w:marTop w:val="0"/>
      <w:marBottom w:val="0"/>
      <w:divBdr>
        <w:top w:val="none" w:sz="0" w:space="0" w:color="auto"/>
        <w:left w:val="none" w:sz="0" w:space="0" w:color="auto"/>
        <w:bottom w:val="none" w:sz="0" w:space="0" w:color="auto"/>
        <w:right w:val="none" w:sz="0" w:space="0" w:color="auto"/>
      </w:divBdr>
    </w:div>
    <w:div w:id="189361129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4600144">
      <w:bodyDiv w:val="1"/>
      <w:marLeft w:val="0"/>
      <w:marRight w:val="0"/>
      <w:marTop w:val="0"/>
      <w:marBottom w:val="0"/>
      <w:divBdr>
        <w:top w:val="none" w:sz="0" w:space="0" w:color="auto"/>
        <w:left w:val="none" w:sz="0" w:space="0" w:color="auto"/>
        <w:bottom w:val="none" w:sz="0" w:space="0" w:color="auto"/>
        <w:right w:val="none" w:sz="0" w:space="0" w:color="auto"/>
      </w:divBdr>
    </w:div>
    <w:div w:id="211852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User\My%20Documents\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User\My%20Documents\Book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User\My%20Documents\Book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User\My%20Documents\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User\My%20Documents\Book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Significance level of </a:t>
            </a:r>
            <a:r>
              <a:rPr lang="en-US" sz="1600"/>
              <a:t>total</a:t>
            </a:r>
            <a:r>
              <a:rPr lang="en-US"/>
              <a:t> score on BDAE</a:t>
            </a:r>
          </a:p>
        </c:rich>
      </c:tx>
      <c:overlay val="0"/>
    </c:title>
    <c:autoTitleDeleted val="0"/>
    <c:plotArea>
      <c:layout/>
      <c:barChart>
        <c:barDir val="col"/>
        <c:grouping val="clustered"/>
        <c:varyColors val="0"/>
        <c:ser>
          <c:idx val="0"/>
          <c:order val="0"/>
          <c:tx>
            <c:v>Pre-test</c:v>
          </c:tx>
          <c:invertIfNegative val="0"/>
          <c:val>
            <c:numRef>
              <c:f>Sheet1!$A$1:$A$4</c:f>
              <c:numCache>
                <c:formatCode>General</c:formatCode>
                <c:ptCount val="4"/>
                <c:pt idx="0">
                  <c:v>8.82</c:v>
                </c:pt>
                <c:pt idx="1">
                  <c:v>6.33</c:v>
                </c:pt>
                <c:pt idx="2">
                  <c:v>7.99</c:v>
                </c:pt>
                <c:pt idx="3">
                  <c:v>6.1599999999999975</c:v>
                </c:pt>
              </c:numCache>
            </c:numRef>
          </c:val>
          <c:extLst>
            <c:ext xmlns:c16="http://schemas.microsoft.com/office/drawing/2014/chart" uri="{C3380CC4-5D6E-409C-BE32-E72D297353CC}">
              <c16:uniqueId val="{00000000-55A1-46A2-9089-DE218D159F5E}"/>
            </c:ext>
          </c:extLst>
        </c:ser>
        <c:ser>
          <c:idx val="1"/>
          <c:order val="1"/>
          <c:tx>
            <c:v>Post-test</c:v>
          </c:tx>
          <c:invertIfNegative val="0"/>
          <c:val>
            <c:numRef>
              <c:f>Sheet1!$B$1:$B$4</c:f>
              <c:numCache>
                <c:formatCode>General</c:formatCode>
                <c:ptCount val="4"/>
                <c:pt idx="0">
                  <c:v>13.15</c:v>
                </c:pt>
                <c:pt idx="1">
                  <c:v>12.15</c:v>
                </c:pt>
                <c:pt idx="2">
                  <c:v>19.979999999999986</c:v>
                </c:pt>
                <c:pt idx="3">
                  <c:v>11.32</c:v>
                </c:pt>
              </c:numCache>
            </c:numRef>
          </c:val>
          <c:extLst>
            <c:ext xmlns:c16="http://schemas.microsoft.com/office/drawing/2014/chart" uri="{C3380CC4-5D6E-409C-BE32-E72D297353CC}">
              <c16:uniqueId val="{00000001-55A1-46A2-9089-DE218D159F5E}"/>
            </c:ext>
          </c:extLst>
        </c:ser>
        <c:dLbls>
          <c:showLegendKey val="0"/>
          <c:showVal val="0"/>
          <c:showCatName val="0"/>
          <c:showSerName val="0"/>
          <c:showPercent val="0"/>
          <c:showBubbleSize val="0"/>
        </c:dLbls>
        <c:gapWidth val="300"/>
        <c:axId val="190608128"/>
        <c:axId val="190610048"/>
      </c:barChart>
      <c:catAx>
        <c:axId val="190608128"/>
        <c:scaling>
          <c:orientation val="minMax"/>
        </c:scaling>
        <c:delete val="0"/>
        <c:axPos val="b"/>
        <c:title>
          <c:tx>
            <c:rich>
              <a:bodyPr/>
              <a:lstStyle/>
              <a:p>
                <a:pPr>
                  <a:defRPr sz="1200"/>
                </a:pPr>
                <a:r>
                  <a:rPr lang="en-US" sz="1200"/>
                  <a:t>Participants Code</a:t>
                </a:r>
              </a:p>
            </c:rich>
          </c:tx>
          <c:overlay val="0"/>
        </c:title>
        <c:majorTickMark val="none"/>
        <c:minorTickMark val="none"/>
        <c:tickLblPos val="nextTo"/>
        <c:crossAx val="190610048"/>
        <c:crosses val="autoZero"/>
        <c:auto val="1"/>
        <c:lblAlgn val="ctr"/>
        <c:lblOffset val="100"/>
        <c:noMultiLvlLbl val="0"/>
      </c:catAx>
      <c:valAx>
        <c:axId val="190610048"/>
        <c:scaling>
          <c:orientation val="minMax"/>
        </c:scaling>
        <c:delete val="0"/>
        <c:axPos val="l"/>
        <c:majorGridlines/>
        <c:minorGridlines/>
        <c:title>
          <c:tx>
            <c:rich>
              <a:bodyPr/>
              <a:lstStyle/>
              <a:p>
                <a:pPr>
                  <a:defRPr/>
                </a:pPr>
                <a:r>
                  <a:rPr lang="en-US"/>
                  <a:t>Participants Performance</a:t>
                </a:r>
              </a:p>
            </c:rich>
          </c:tx>
          <c:overlay val="0"/>
        </c:title>
        <c:numFmt formatCode="General" sourceLinked="1"/>
        <c:majorTickMark val="out"/>
        <c:minorTickMark val="none"/>
        <c:tickLblPos val="nextTo"/>
        <c:crossAx val="190608128"/>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600"/>
            </a:pPr>
            <a:r>
              <a:rPr lang="en-US" sz="1600"/>
              <a:t>Repetition of Word</a:t>
            </a:r>
          </a:p>
        </c:rich>
      </c:tx>
      <c:overlay val="0"/>
    </c:title>
    <c:autoTitleDeleted val="0"/>
    <c:plotArea>
      <c:layout/>
      <c:barChart>
        <c:barDir val="col"/>
        <c:grouping val="clustered"/>
        <c:varyColors val="0"/>
        <c:ser>
          <c:idx val="0"/>
          <c:order val="0"/>
          <c:tx>
            <c:v>Pre-test</c:v>
          </c:tx>
          <c:invertIfNegative val="0"/>
          <c:val>
            <c:numRef>
              <c:f>Sheet1!$A$1:$A$4</c:f>
              <c:numCache>
                <c:formatCode>General</c:formatCode>
                <c:ptCount val="4"/>
                <c:pt idx="0">
                  <c:v>0.83000000000000063</c:v>
                </c:pt>
                <c:pt idx="1">
                  <c:v>1</c:v>
                </c:pt>
                <c:pt idx="2">
                  <c:v>1.5</c:v>
                </c:pt>
                <c:pt idx="3">
                  <c:v>0.83000000000000063</c:v>
                </c:pt>
              </c:numCache>
            </c:numRef>
          </c:val>
          <c:extLst>
            <c:ext xmlns:c16="http://schemas.microsoft.com/office/drawing/2014/chart" uri="{C3380CC4-5D6E-409C-BE32-E72D297353CC}">
              <c16:uniqueId val="{00000000-195C-4965-9DDD-CC596A67C69A}"/>
            </c:ext>
          </c:extLst>
        </c:ser>
        <c:ser>
          <c:idx val="1"/>
          <c:order val="1"/>
          <c:tx>
            <c:v>Post-test</c:v>
          </c:tx>
          <c:invertIfNegative val="0"/>
          <c:val>
            <c:numRef>
              <c:f>Sheet1!$B$1:$B$4</c:f>
              <c:numCache>
                <c:formatCode>General</c:formatCode>
                <c:ptCount val="4"/>
                <c:pt idx="0">
                  <c:v>1.33</c:v>
                </c:pt>
                <c:pt idx="1">
                  <c:v>1.83</c:v>
                </c:pt>
                <c:pt idx="2">
                  <c:v>3.16</c:v>
                </c:pt>
                <c:pt idx="3">
                  <c:v>1.5</c:v>
                </c:pt>
              </c:numCache>
            </c:numRef>
          </c:val>
          <c:extLst>
            <c:ext xmlns:c16="http://schemas.microsoft.com/office/drawing/2014/chart" uri="{C3380CC4-5D6E-409C-BE32-E72D297353CC}">
              <c16:uniqueId val="{00000001-195C-4965-9DDD-CC596A67C69A}"/>
            </c:ext>
          </c:extLst>
        </c:ser>
        <c:dLbls>
          <c:showLegendKey val="0"/>
          <c:showVal val="0"/>
          <c:showCatName val="0"/>
          <c:showSerName val="0"/>
          <c:showPercent val="0"/>
          <c:showBubbleSize val="0"/>
        </c:dLbls>
        <c:gapWidth val="300"/>
        <c:axId val="190636800"/>
        <c:axId val="190638720"/>
      </c:barChart>
      <c:catAx>
        <c:axId val="190636800"/>
        <c:scaling>
          <c:orientation val="minMax"/>
        </c:scaling>
        <c:delete val="0"/>
        <c:axPos val="b"/>
        <c:title>
          <c:tx>
            <c:rich>
              <a:bodyPr/>
              <a:lstStyle/>
              <a:p>
                <a:pPr>
                  <a:defRPr sz="1200"/>
                </a:pPr>
                <a:r>
                  <a:rPr lang="en-US" sz="1200"/>
                  <a:t>Participants Code</a:t>
                </a:r>
              </a:p>
            </c:rich>
          </c:tx>
          <c:overlay val="0"/>
        </c:title>
        <c:majorTickMark val="none"/>
        <c:minorTickMark val="none"/>
        <c:tickLblPos val="nextTo"/>
        <c:crossAx val="190638720"/>
        <c:crosses val="autoZero"/>
        <c:auto val="1"/>
        <c:lblAlgn val="ctr"/>
        <c:lblOffset val="100"/>
        <c:noMultiLvlLbl val="0"/>
      </c:catAx>
      <c:valAx>
        <c:axId val="190638720"/>
        <c:scaling>
          <c:orientation val="minMax"/>
        </c:scaling>
        <c:delete val="0"/>
        <c:axPos val="l"/>
        <c:majorGridlines/>
        <c:minorGridlines/>
        <c:title>
          <c:tx>
            <c:rich>
              <a:bodyPr/>
              <a:lstStyle/>
              <a:p>
                <a:pPr>
                  <a:defRPr sz="1200"/>
                </a:pPr>
                <a:r>
                  <a:rPr lang="en-US" sz="1200"/>
                  <a:t>Participant's Performance</a:t>
                </a:r>
              </a:p>
            </c:rich>
          </c:tx>
          <c:overlay val="0"/>
        </c:title>
        <c:numFmt formatCode="General" sourceLinked="1"/>
        <c:majorTickMark val="out"/>
        <c:minorTickMark val="none"/>
        <c:tickLblPos val="nextTo"/>
        <c:crossAx val="190636800"/>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600"/>
            </a:pPr>
            <a:r>
              <a:rPr lang="en-US" sz="1600"/>
              <a:t>Repetition of Phrase</a:t>
            </a:r>
          </a:p>
        </c:rich>
      </c:tx>
      <c:overlay val="0"/>
    </c:title>
    <c:autoTitleDeleted val="0"/>
    <c:plotArea>
      <c:layout/>
      <c:barChart>
        <c:barDir val="col"/>
        <c:grouping val="clustered"/>
        <c:varyColors val="0"/>
        <c:ser>
          <c:idx val="0"/>
          <c:order val="0"/>
          <c:tx>
            <c:v>Pre-test</c:v>
          </c:tx>
          <c:invertIfNegative val="0"/>
          <c:val>
            <c:numRef>
              <c:f>Sheet1!$A$1:$A$4</c:f>
              <c:numCache>
                <c:formatCode>General</c:formatCode>
                <c:ptCount val="4"/>
                <c:pt idx="0">
                  <c:v>0.6600000000000068</c:v>
                </c:pt>
                <c:pt idx="1">
                  <c:v>0</c:v>
                </c:pt>
                <c:pt idx="2">
                  <c:v>1.1599999999999886</c:v>
                </c:pt>
                <c:pt idx="3">
                  <c:v>0</c:v>
                </c:pt>
              </c:numCache>
            </c:numRef>
          </c:val>
          <c:extLst>
            <c:ext xmlns:c16="http://schemas.microsoft.com/office/drawing/2014/chart" uri="{C3380CC4-5D6E-409C-BE32-E72D297353CC}">
              <c16:uniqueId val="{00000000-237B-4611-992C-6C3322768E9C}"/>
            </c:ext>
          </c:extLst>
        </c:ser>
        <c:ser>
          <c:idx val="1"/>
          <c:order val="1"/>
          <c:tx>
            <c:v>Post-test</c:v>
          </c:tx>
          <c:invertIfNegative val="0"/>
          <c:val>
            <c:numRef>
              <c:f>Sheet1!$B$1:$B$4</c:f>
              <c:numCache>
                <c:formatCode>General</c:formatCode>
                <c:ptCount val="4"/>
                <c:pt idx="0">
                  <c:v>1.1599999999999886</c:v>
                </c:pt>
                <c:pt idx="1">
                  <c:v>0.6600000000000068</c:v>
                </c:pt>
                <c:pt idx="2">
                  <c:v>3.16</c:v>
                </c:pt>
                <c:pt idx="3">
                  <c:v>0.83000000000000063</c:v>
                </c:pt>
              </c:numCache>
            </c:numRef>
          </c:val>
          <c:extLst>
            <c:ext xmlns:c16="http://schemas.microsoft.com/office/drawing/2014/chart" uri="{C3380CC4-5D6E-409C-BE32-E72D297353CC}">
              <c16:uniqueId val="{00000001-237B-4611-992C-6C3322768E9C}"/>
            </c:ext>
          </c:extLst>
        </c:ser>
        <c:dLbls>
          <c:showLegendKey val="0"/>
          <c:showVal val="0"/>
          <c:showCatName val="0"/>
          <c:showSerName val="0"/>
          <c:showPercent val="0"/>
          <c:showBubbleSize val="0"/>
        </c:dLbls>
        <c:gapWidth val="300"/>
        <c:axId val="136995584"/>
        <c:axId val="136997504"/>
      </c:barChart>
      <c:catAx>
        <c:axId val="136995584"/>
        <c:scaling>
          <c:orientation val="minMax"/>
        </c:scaling>
        <c:delete val="0"/>
        <c:axPos val="b"/>
        <c:title>
          <c:tx>
            <c:rich>
              <a:bodyPr/>
              <a:lstStyle/>
              <a:p>
                <a:pPr>
                  <a:defRPr sz="1200"/>
                </a:pPr>
                <a:r>
                  <a:rPr lang="en-US" sz="1200"/>
                  <a:t>Participant's Code</a:t>
                </a:r>
              </a:p>
            </c:rich>
          </c:tx>
          <c:overlay val="0"/>
        </c:title>
        <c:majorTickMark val="none"/>
        <c:minorTickMark val="none"/>
        <c:tickLblPos val="nextTo"/>
        <c:crossAx val="136997504"/>
        <c:crosses val="autoZero"/>
        <c:auto val="1"/>
        <c:lblAlgn val="ctr"/>
        <c:lblOffset val="100"/>
        <c:noMultiLvlLbl val="0"/>
      </c:catAx>
      <c:valAx>
        <c:axId val="136997504"/>
        <c:scaling>
          <c:orientation val="minMax"/>
        </c:scaling>
        <c:delete val="0"/>
        <c:axPos val="l"/>
        <c:majorGridlines/>
        <c:minorGridlines/>
        <c:title>
          <c:tx>
            <c:rich>
              <a:bodyPr/>
              <a:lstStyle/>
              <a:p>
                <a:pPr>
                  <a:defRPr sz="1200"/>
                </a:pPr>
                <a:r>
                  <a:rPr lang="en-US" sz="1200"/>
                  <a:t>Participants Performance</a:t>
                </a:r>
              </a:p>
            </c:rich>
          </c:tx>
          <c:overlay val="0"/>
        </c:title>
        <c:numFmt formatCode="General" sourceLinked="1"/>
        <c:majorTickMark val="out"/>
        <c:minorTickMark val="none"/>
        <c:tickLblPos val="nextTo"/>
        <c:crossAx val="136995584"/>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600"/>
            </a:pPr>
            <a:r>
              <a:rPr lang="en-US" sz="1600"/>
              <a:t>Responsive Naming</a:t>
            </a:r>
          </a:p>
        </c:rich>
      </c:tx>
      <c:overlay val="0"/>
    </c:title>
    <c:autoTitleDeleted val="0"/>
    <c:plotArea>
      <c:layout/>
      <c:barChart>
        <c:barDir val="col"/>
        <c:grouping val="clustered"/>
        <c:varyColors val="0"/>
        <c:ser>
          <c:idx val="0"/>
          <c:order val="0"/>
          <c:tx>
            <c:v>Pre-test</c:v>
          </c:tx>
          <c:invertIfNegative val="0"/>
          <c:val>
            <c:numRef>
              <c:f>Sheet1!$A$1:$A$4</c:f>
              <c:numCache>
                <c:formatCode>General</c:formatCode>
                <c:ptCount val="4"/>
                <c:pt idx="0">
                  <c:v>2</c:v>
                </c:pt>
                <c:pt idx="1">
                  <c:v>1.33</c:v>
                </c:pt>
                <c:pt idx="2">
                  <c:v>2</c:v>
                </c:pt>
                <c:pt idx="3">
                  <c:v>2</c:v>
                </c:pt>
              </c:numCache>
            </c:numRef>
          </c:val>
          <c:extLst>
            <c:ext xmlns:c16="http://schemas.microsoft.com/office/drawing/2014/chart" uri="{C3380CC4-5D6E-409C-BE32-E72D297353CC}">
              <c16:uniqueId val="{00000000-2DC7-4388-AE33-9290165671A3}"/>
            </c:ext>
          </c:extLst>
        </c:ser>
        <c:ser>
          <c:idx val="1"/>
          <c:order val="1"/>
          <c:tx>
            <c:v>Post-test</c:v>
          </c:tx>
          <c:invertIfNegative val="0"/>
          <c:val>
            <c:numRef>
              <c:f>Sheet1!$B$1:$B$4</c:f>
              <c:numCache>
                <c:formatCode>General</c:formatCode>
                <c:ptCount val="4"/>
                <c:pt idx="0">
                  <c:v>3.3299999999999987</c:v>
                </c:pt>
                <c:pt idx="1">
                  <c:v>3.3299999999999987</c:v>
                </c:pt>
                <c:pt idx="2">
                  <c:v>4.6599999999999975</c:v>
                </c:pt>
                <c:pt idx="3">
                  <c:v>3.3299999999999987</c:v>
                </c:pt>
              </c:numCache>
            </c:numRef>
          </c:val>
          <c:extLst>
            <c:ext xmlns:c16="http://schemas.microsoft.com/office/drawing/2014/chart" uri="{C3380CC4-5D6E-409C-BE32-E72D297353CC}">
              <c16:uniqueId val="{00000001-2DC7-4388-AE33-9290165671A3}"/>
            </c:ext>
          </c:extLst>
        </c:ser>
        <c:dLbls>
          <c:showLegendKey val="0"/>
          <c:showVal val="0"/>
          <c:showCatName val="0"/>
          <c:showSerName val="0"/>
          <c:showPercent val="0"/>
          <c:showBubbleSize val="0"/>
        </c:dLbls>
        <c:gapWidth val="300"/>
        <c:axId val="180273920"/>
        <c:axId val="180275840"/>
      </c:barChart>
      <c:catAx>
        <c:axId val="180273920"/>
        <c:scaling>
          <c:orientation val="minMax"/>
        </c:scaling>
        <c:delete val="0"/>
        <c:axPos val="b"/>
        <c:title>
          <c:tx>
            <c:rich>
              <a:bodyPr/>
              <a:lstStyle/>
              <a:p>
                <a:pPr>
                  <a:defRPr sz="1200"/>
                </a:pPr>
                <a:r>
                  <a:rPr lang="en-US" sz="1200"/>
                  <a:t>Participant's Code</a:t>
                </a:r>
              </a:p>
            </c:rich>
          </c:tx>
          <c:overlay val="0"/>
        </c:title>
        <c:majorTickMark val="out"/>
        <c:minorTickMark val="none"/>
        <c:tickLblPos val="nextTo"/>
        <c:crossAx val="180275840"/>
        <c:crosses val="autoZero"/>
        <c:auto val="1"/>
        <c:lblAlgn val="ctr"/>
        <c:lblOffset val="100"/>
        <c:noMultiLvlLbl val="0"/>
      </c:catAx>
      <c:valAx>
        <c:axId val="180275840"/>
        <c:scaling>
          <c:orientation val="minMax"/>
        </c:scaling>
        <c:delete val="0"/>
        <c:axPos val="l"/>
        <c:majorGridlines/>
        <c:minorGridlines/>
        <c:title>
          <c:tx>
            <c:rich>
              <a:bodyPr/>
              <a:lstStyle/>
              <a:p>
                <a:pPr>
                  <a:defRPr sz="1200"/>
                </a:pPr>
                <a:r>
                  <a:rPr lang="en-US" sz="1200"/>
                  <a:t>Participant's Performance</a:t>
                </a:r>
              </a:p>
            </c:rich>
          </c:tx>
          <c:overlay val="0"/>
        </c:title>
        <c:numFmt formatCode="General" sourceLinked="1"/>
        <c:majorTickMark val="out"/>
        <c:minorTickMark val="none"/>
        <c:tickLblPos val="nextTo"/>
        <c:crossAx val="180273920"/>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600"/>
            </a:pPr>
            <a:r>
              <a:rPr lang="en-US" sz="1600"/>
              <a:t>Confrontation Naming</a:t>
            </a:r>
          </a:p>
        </c:rich>
      </c:tx>
      <c:overlay val="0"/>
    </c:title>
    <c:autoTitleDeleted val="0"/>
    <c:plotArea>
      <c:layout/>
      <c:barChart>
        <c:barDir val="col"/>
        <c:grouping val="clustered"/>
        <c:varyColors val="0"/>
        <c:ser>
          <c:idx val="0"/>
          <c:order val="0"/>
          <c:tx>
            <c:v>Pre-test</c:v>
          </c:tx>
          <c:invertIfNegative val="0"/>
          <c:val>
            <c:numRef>
              <c:f>Sheet1!$A$1:$A$4</c:f>
              <c:numCache>
                <c:formatCode>General</c:formatCode>
                <c:ptCount val="4"/>
                <c:pt idx="0">
                  <c:v>5.33</c:v>
                </c:pt>
                <c:pt idx="1">
                  <c:v>4</c:v>
                </c:pt>
                <c:pt idx="2">
                  <c:v>3.3299999999999987</c:v>
                </c:pt>
                <c:pt idx="3">
                  <c:v>3.3299999999999987</c:v>
                </c:pt>
              </c:numCache>
            </c:numRef>
          </c:val>
          <c:extLst>
            <c:ext xmlns:c16="http://schemas.microsoft.com/office/drawing/2014/chart" uri="{C3380CC4-5D6E-409C-BE32-E72D297353CC}">
              <c16:uniqueId val="{00000000-654C-407E-88FC-4D769B0C3474}"/>
            </c:ext>
          </c:extLst>
        </c:ser>
        <c:ser>
          <c:idx val="1"/>
          <c:order val="1"/>
          <c:tx>
            <c:v>Post-test</c:v>
          </c:tx>
          <c:invertIfNegative val="0"/>
          <c:val>
            <c:numRef>
              <c:f>Sheet1!$B$1:$B$4</c:f>
              <c:numCache>
                <c:formatCode>General</c:formatCode>
                <c:ptCount val="4"/>
                <c:pt idx="0">
                  <c:v>7.33</c:v>
                </c:pt>
                <c:pt idx="1">
                  <c:v>6.33</c:v>
                </c:pt>
                <c:pt idx="2">
                  <c:v>9</c:v>
                </c:pt>
                <c:pt idx="3">
                  <c:v>5.6599999999999975</c:v>
                </c:pt>
              </c:numCache>
            </c:numRef>
          </c:val>
          <c:extLst>
            <c:ext xmlns:c16="http://schemas.microsoft.com/office/drawing/2014/chart" uri="{C3380CC4-5D6E-409C-BE32-E72D297353CC}">
              <c16:uniqueId val="{00000001-654C-407E-88FC-4D769B0C3474}"/>
            </c:ext>
          </c:extLst>
        </c:ser>
        <c:dLbls>
          <c:showLegendKey val="0"/>
          <c:showVal val="0"/>
          <c:showCatName val="0"/>
          <c:showSerName val="0"/>
          <c:showPercent val="0"/>
          <c:showBubbleSize val="0"/>
        </c:dLbls>
        <c:gapWidth val="300"/>
        <c:axId val="190591360"/>
        <c:axId val="190593280"/>
      </c:barChart>
      <c:catAx>
        <c:axId val="190591360"/>
        <c:scaling>
          <c:orientation val="minMax"/>
        </c:scaling>
        <c:delete val="0"/>
        <c:axPos val="b"/>
        <c:title>
          <c:tx>
            <c:rich>
              <a:bodyPr/>
              <a:lstStyle/>
              <a:p>
                <a:pPr>
                  <a:defRPr sz="1200"/>
                </a:pPr>
                <a:r>
                  <a:rPr lang="en-US" sz="1200"/>
                  <a:t>Participant's Code</a:t>
                </a:r>
              </a:p>
            </c:rich>
          </c:tx>
          <c:overlay val="0"/>
        </c:title>
        <c:majorTickMark val="none"/>
        <c:minorTickMark val="none"/>
        <c:tickLblPos val="nextTo"/>
        <c:crossAx val="190593280"/>
        <c:crosses val="autoZero"/>
        <c:auto val="1"/>
        <c:lblAlgn val="ctr"/>
        <c:lblOffset val="100"/>
        <c:noMultiLvlLbl val="0"/>
      </c:catAx>
      <c:valAx>
        <c:axId val="190593280"/>
        <c:scaling>
          <c:orientation val="minMax"/>
        </c:scaling>
        <c:delete val="0"/>
        <c:axPos val="l"/>
        <c:majorGridlines/>
        <c:minorGridlines/>
        <c:title>
          <c:tx>
            <c:rich>
              <a:bodyPr/>
              <a:lstStyle/>
              <a:p>
                <a:pPr>
                  <a:defRPr sz="1200"/>
                </a:pPr>
                <a:r>
                  <a:rPr lang="en-US" sz="1200"/>
                  <a:t>Participant's Performance</a:t>
                </a:r>
              </a:p>
            </c:rich>
          </c:tx>
          <c:overlay val="0"/>
        </c:title>
        <c:numFmt formatCode="General" sourceLinked="1"/>
        <c:majorTickMark val="out"/>
        <c:minorTickMark val="none"/>
        <c:tickLblPos val="nextTo"/>
        <c:crossAx val="190591360"/>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C6A3B-312A-41BC-A6A6-98E6007DE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27</Pages>
  <Words>9802</Words>
  <Characters>55875</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65546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2025-04-22T03:12:00Z</dcterms:created>
  <dcterms:modified xsi:type="dcterms:W3CDTF">2025-04-22T10:26:00Z</dcterms:modified>
</cp:coreProperties>
</file>