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53184" w14:textId="0F401588" w:rsidR="002A6A01" w:rsidRDefault="002A6A01" w:rsidP="000C42CE">
      <w:pPr>
        <w:jc w:val="center"/>
        <w:rPr>
          <w:sz w:val="28"/>
          <w:szCs w:val="24"/>
        </w:rPr>
      </w:pPr>
      <w:r w:rsidRPr="000C42CE">
        <w:rPr>
          <w:sz w:val="28"/>
          <w:szCs w:val="24"/>
        </w:rPr>
        <w:t>Efficacy and Safety of Biologics in Primary Biliary Cholangitis: A Systematic Review of Experimental Treatments</w:t>
      </w:r>
    </w:p>
    <w:p w14:paraId="1C8A1C04" w14:textId="77777777" w:rsidR="0098278E" w:rsidRDefault="0098278E" w:rsidP="00F34DEA">
      <w:pPr>
        <w:jc w:val="both"/>
        <w:rPr>
          <w:b/>
          <w:bCs/>
        </w:rPr>
      </w:pPr>
    </w:p>
    <w:p w14:paraId="2FE11F76" w14:textId="0B0A1311" w:rsidR="000C42CE" w:rsidRPr="00B7616F" w:rsidRDefault="000C42CE" w:rsidP="00F34DEA">
      <w:pPr>
        <w:jc w:val="both"/>
        <w:rPr>
          <w:b/>
          <w:bCs/>
        </w:rPr>
      </w:pPr>
      <w:bookmarkStart w:id="0" w:name="_GoBack"/>
      <w:bookmarkEnd w:id="0"/>
      <w:r w:rsidRPr="00B7616F">
        <w:rPr>
          <w:b/>
          <w:bCs/>
        </w:rPr>
        <w:t>Abstract</w:t>
      </w:r>
    </w:p>
    <w:p w14:paraId="0FEECA90" w14:textId="77777777" w:rsidR="007F166D" w:rsidRPr="007F166D" w:rsidRDefault="007F166D" w:rsidP="00F34DEA">
      <w:pPr>
        <w:jc w:val="both"/>
      </w:pPr>
      <w:r w:rsidRPr="007F166D">
        <w:rPr>
          <w:b/>
          <w:bCs/>
        </w:rPr>
        <w:t>Background</w:t>
      </w:r>
      <w:r w:rsidRPr="007F166D">
        <w:t>: Primary Biliary Cholangitis (PBC) is a chronic autoimmune liver disease characterized by progressive bile duct destruction, leading to liver failure if untreated. While ursodeoxycholic acid (UDCA) is the first-line therapy for PBC, 30-40% of patients exhibit an incomplete response. For these patients, biologic therapies targeting specific immune pathways offer promising alternatives. This systematic review evaluates the efficacy and safety of biologic treatments in PBC, focusing on improvements in liver function, disease progression, symptom relief, and adverse events.</w:t>
      </w:r>
    </w:p>
    <w:p w14:paraId="56DDAE82" w14:textId="77777777" w:rsidR="007F166D" w:rsidRPr="007F166D" w:rsidRDefault="007F166D" w:rsidP="00F34DEA">
      <w:pPr>
        <w:jc w:val="both"/>
      </w:pPr>
      <w:r w:rsidRPr="007F166D">
        <w:rPr>
          <w:b/>
          <w:bCs/>
        </w:rPr>
        <w:t>Methods</w:t>
      </w:r>
      <w:r w:rsidRPr="007F166D">
        <w:t>: Adhering to PRISMA 2020 guidelines, a comprehensive search of PubMed, Embase, Cochrane Library, Web of Science, and Scopus was conducted to identify studies evaluating biologic therapies in PBC. Studies published in the last 15 years were included, focusing on experimental treatments compared to standard care or placebo. Data extraction focused on study design, population characteristics, treatment outcomes, and safety profiles.</w:t>
      </w:r>
    </w:p>
    <w:p w14:paraId="17236B22" w14:textId="616965F7" w:rsidR="00F34DEA" w:rsidRPr="007F166D" w:rsidRDefault="007F166D" w:rsidP="00F34DEA">
      <w:pPr>
        <w:jc w:val="both"/>
      </w:pPr>
      <w:r w:rsidRPr="007F166D">
        <w:rPr>
          <w:b/>
          <w:bCs/>
        </w:rPr>
        <w:t>Results</w:t>
      </w:r>
      <w:r w:rsidRPr="007F166D">
        <w:t xml:space="preserve">: </w:t>
      </w:r>
      <w:r w:rsidR="00F34DEA">
        <w:t>Seven studies, including 9,590 participants, were reviewed, focusing on the efficacy and safety of biologic therapies in PBC. The majority of patients were women, aged 18 to 75, who had an incomplete response to UDCA. Obeticholic acid (OCA) was assessed in multiple studies, with an RCT showing no significant difference in the primary endpoint (HR 1.01, 95% CI 0.68–1.51) compared to placebo. However, external control analysis showed a significant reduction in liver-related events (HR 0.39, p=0.0010). Seladelpar demonstrated a significant reduction in ALP levels, with 78.2% of patients achieving a biochemical response (p&lt;0.0001) and 27.3% normalizing ALP. It also reduced pruritus (p=0.02). Adverse events included high rates of pruritus in OCA-treated patients (78.6%), leading to treatment discontinuation in 30.6% of cases. Seladelpar had fewer side effects but still reported mild issues like abdominal pain and pruritus.</w:t>
      </w:r>
    </w:p>
    <w:p w14:paraId="73430D96" w14:textId="77777777" w:rsidR="007F166D" w:rsidRPr="007F166D" w:rsidRDefault="007F166D" w:rsidP="00F34DEA">
      <w:pPr>
        <w:jc w:val="both"/>
      </w:pPr>
      <w:r w:rsidRPr="007F166D">
        <w:rPr>
          <w:b/>
          <w:bCs/>
        </w:rPr>
        <w:t>Conclusion</w:t>
      </w:r>
      <w:r w:rsidRPr="007F166D">
        <w:t>: Biologic therapies show potential in improving PBC outcomes, but safety concerns, particularly related to adverse events, must be carefully managed. Future research should explore long-term efficacy and safety to better refine treatment strategies for PBC.</w:t>
      </w:r>
    </w:p>
    <w:p w14:paraId="6E6D1951" w14:textId="77777777" w:rsidR="007F166D" w:rsidRPr="007F166D" w:rsidRDefault="007F166D" w:rsidP="007F166D">
      <w:r w:rsidRPr="007F166D">
        <w:rPr>
          <w:b/>
          <w:bCs/>
        </w:rPr>
        <w:t>Keywords</w:t>
      </w:r>
      <w:r w:rsidRPr="007F166D">
        <w:t>: Primary Biliary Cholangitis, Biologics, Ursodeoxycholic acid, Obeticholic acid, Seladelpar, Liver function, Pruritus, Disease progression, Autoimmune liver disease, Adverse events.</w:t>
      </w:r>
    </w:p>
    <w:p w14:paraId="13BABFBB" w14:textId="77777777" w:rsidR="000C42CE" w:rsidRDefault="000C42CE" w:rsidP="002A6A01"/>
    <w:p w14:paraId="53ACC65E" w14:textId="77777777" w:rsidR="00F34DEA" w:rsidRDefault="00F34DEA" w:rsidP="002A6A01"/>
    <w:p w14:paraId="6E9B80F5" w14:textId="77777777" w:rsidR="00F34DEA" w:rsidRDefault="00F34DEA" w:rsidP="002A6A01"/>
    <w:p w14:paraId="02C8FF4C" w14:textId="77777777" w:rsidR="00F34DEA" w:rsidRDefault="00F34DEA" w:rsidP="002A6A01"/>
    <w:p w14:paraId="6792AD43" w14:textId="417C5573" w:rsidR="000C42CE" w:rsidRPr="000C42CE" w:rsidRDefault="000C42CE" w:rsidP="002A6A01">
      <w:pPr>
        <w:rPr>
          <w:b/>
          <w:bCs/>
        </w:rPr>
      </w:pPr>
      <w:r w:rsidRPr="000C42CE">
        <w:rPr>
          <w:b/>
          <w:bCs/>
        </w:rPr>
        <w:lastRenderedPageBreak/>
        <w:t>Introduction</w:t>
      </w:r>
    </w:p>
    <w:p w14:paraId="4021F275" w14:textId="2750F027" w:rsidR="000C42CE" w:rsidRDefault="000C42CE" w:rsidP="000C42CE">
      <w:pPr>
        <w:jc w:val="both"/>
      </w:pPr>
      <w:r>
        <w:t>Primary Biliary Cholangitis (PBC) is a chronic autoimmune liver disease characterized by the progressive destruction of the small intrahepatic bile ducts, leading to cholestasis, fibrosis, and eventual liver cirrhosis (1). The condition predominantly affects middle-aged women, and without proper management, it can result in liver failure, necessitating liver transplantation (2). The primary treatment goal in PBC is to slow disease progression, alleviate symptoms, and prevent complications related to liver dysfunction (3).</w:t>
      </w:r>
    </w:p>
    <w:p w14:paraId="724B0341" w14:textId="452BF28A" w:rsidR="000C42CE" w:rsidRDefault="000C42CE" w:rsidP="000C42CE">
      <w:pPr>
        <w:jc w:val="both"/>
      </w:pPr>
      <w:r>
        <w:t>The standard first-line therapy for PBC has long been ursodeoxycholic acid (UDCA), which has been shown to improve liver biochemistry and delay disease progression in a significant number of patients</w:t>
      </w:r>
      <w:r w:rsidR="006E7D05">
        <w:t xml:space="preserve"> (4)</w:t>
      </w:r>
      <w:r>
        <w:t>. However, approximately 30-40% of PBC patients exhibit an incomplete response to UDCA, particularly those with advanced disease or high-risk features</w:t>
      </w:r>
      <w:r w:rsidR="00A40166">
        <w:t xml:space="preserve"> (5)</w:t>
      </w:r>
      <w:r>
        <w:t>. For these patients, second-line treatment options have emerged, including obeticholic acid (OCA) and newer biologic therapies targeting specific immune pathways involved in PBC pathogenesis</w:t>
      </w:r>
      <w:r w:rsidR="000A4942">
        <w:t xml:space="preserve"> (6)</w:t>
      </w:r>
      <w:r>
        <w:t>.</w:t>
      </w:r>
    </w:p>
    <w:p w14:paraId="2E0C2280" w14:textId="40B79807" w:rsidR="000C42CE" w:rsidRDefault="000C42CE" w:rsidP="000C42CE">
      <w:pPr>
        <w:jc w:val="both"/>
      </w:pPr>
      <w:r>
        <w:t>Biologic therapies, which include monoclonal antibodies and other agents that modulate immune function, have shown promise in various autoimmune conditions</w:t>
      </w:r>
      <w:r w:rsidR="00DA54BA">
        <w:t xml:space="preserve"> (7)</w:t>
      </w:r>
      <w:r>
        <w:t>. In PBC, biologics target key immune components, such as B-cells, cytokines, and T-cell pathways, in an attempt to reduce the inflammatory and immune-mediated damage to bile ducts</w:t>
      </w:r>
      <w:r w:rsidR="008C2414">
        <w:t xml:space="preserve"> (8)</w:t>
      </w:r>
      <w:r>
        <w:t>. Despite the potential of biologic therapies, questions remain regarding their efficacy and safety, particularly in patients with advanced fibrosis or those at risk of adverse events</w:t>
      </w:r>
      <w:r w:rsidR="008C2414">
        <w:t xml:space="preserve"> (9)</w:t>
      </w:r>
      <w:r>
        <w:t>.</w:t>
      </w:r>
    </w:p>
    <w:p w14:paraId="0CB546DB" w14:textId="22945D79" w:rsidR="000C42CE" w:rsidRDefault="000C42CE" w:rsidP="000C42CE">
      <w:pPr>
        <w:jc w:val="both"/>
      </w:pPr>
      <w:r>
        <w:t>Given the growing interest in biologic treatments for PBC and the need for a clearer understanding of their role in disease management, this systematic review aims to evaluate the efficacy and safety of biologic therapies in PBC. Specifically, the review focuses on experimental biologic treatments compared to standard care or placebo, with a particular emphasis on improvements in liver function, disease progression, symptom relief, quality of life, and the incidence of adverse events.</w:t>
      </w:r>
    </w:p>
    <w:p w14:paraId="5DA189CB" w14:textId="5AE727E1" w:rsidR="0036396A" w:rsidRPr="0036396A" w:rsidRDefault="0036396A" w:rsidP="0036396A">
      <w:pPr>
        <w:jc w:val="both"/>
        <w:rPr>
          <w:b/>
          <w:bCs/>
        </w:rPr>
      </w:pPr>
      <w:r w:rsidRPr="0036396A">
        <w:rPr>
          <w:b/>
          <w:bCs/>
        </w:rPr>
        <w:t>Methods</w:t>
      </w:r>
    </w:p>
    <w:p w14:paraId="152ECF37" w14:textId="3743D9BC" w:rsidR="0036396A" w:rsidRDefault="0036396A" w:rsidP="0036396A">
      <w:pPr>
        <w:jc w:val="both"/>
      </w:pPr>
      <w:r>
        <w:t xml:space="preserve">This systematic review was conducted in accordance with the Preferred Reporting Items for Systematic Reviews and Meta-Analyses (PRISMA) </w:t>
      </w:r>
      <w:r w:rsidR="008C2414">
        <w:t xml:space="preserve">Statement </w:t>
      </w:r>
      <w:r>
        <w:t>2020 guidelines</w:t>
      </w:r>
      <w:r w:rsidR="006A3960">
        <w:t xml:space="preserve"> (10)</w:t>
      </w:r>
      <w:r>
        <w:t>. The aim of the review was to evaluate the efficacy and safety of biologic therapies in the treatment of PBC, focusing on liver function improvement, disease progression, symptom relief, and adverse events. The review covers experimental treatments compared to standard care or placebo in PBC patients. The final search was completed on October 10, 2024.</w:t>
      </w:r>
    </w:p>
    <w:p w14:paraId="3FD02774" w14:textId="77777777" w:rsidR="0036396A" w:rsidRPr="0036396A" w:rsidRDefault="0036396A" w:rsidP="0036396A">
      <w:pPr>
        <w:jc w:val="both"/>
        <w:rPr>
          <w:b/>
          <w:bCs/>
        </w:rPr>
      </w:pPr>
      <w:r w:rsidRPr="0036396A">
        <w:rPr>
          <w:b/>
          <w:bCs/>
        </w:rPr>
        <w:t>Search Strategy</w:t>
      </w:r>
    </w:p>
    <w:p w14:paraId="5277195D" w14:textId="72719860" w:rsidR="0036396A" w:rsidRDefault="0036396A" w:rsidP="0036396A">
      <w:pPr>
        <w:jc w:val="both"/>
      </w:pPr>
      <w:r>
        <w:t xml:space="preserve">A comprehensive literature search was conducted across multiple electronic databases, including PubMed, Embase, Cochrane Library, Web of Science, and Scopus. The search focused on identifying studies that examined the use of biologics in patients with PBC. Key search terms included combinations of “biologics,” “primary biliary cholangitis,” “experimental treatments,” “B-cell depleting therapies,” “cytokine inhibitors,” “liver function,” and “safety outcomes.” Search adjustments were made based on the indexing systems of each database. The search was restricted to studies published in the last 15 years to ensure up-to-date data on biologic therapies </w:t>
      </w:r>
      <w:r>
        <w:lastRenderedPageBreak/>
        <w:t>in PBC. No language restrictions were applied, allowing for a global representation of relevant studies.</w:t>
      </w:r>
    </w:p>
    <w:p w14:paraId="3E14E1FF" w14:textId="77777777" w:rsidR="0036396A" w:rsidRPr="0036396A" w:rsidRDefault="0036396A" w:rsidP="0036396A">
      <w:pPr>
        <w:jc w:val="both"/>
        <w:rPr>
          <w:b/>
          <w:bCs/>
        </w:rPr>
      </w:pPr>
      <w:r w:rsidRPr="0036396A">
        <w:rPr>
          <w:b/>
          <w:bCs/>
        </w:rPr>
        <w:t>Study Selection</w:t>
      </w:r>
    </w:p>
    <w:p w14:paraId="18541595" w14:textId="0EF0FCEF" w:rsidR="0036396A" w:rsidRDefault="0036396A" w:rsidP="0036396A">
      <w:pPr>
        <w:jc w:val="both"/>
      </w:pPr>
      <w:r>
        <w:t>The study selection process involved an initial screening of titles and abstracts based on predefined inclusion criteria. Studies were included if they reported on the use of biologics for the treatment of PBC, with outcomes focused on liver function improvement (e.g., ALP, ALT, bilirubin), histological liver improvement, symptom relief, quality of life, and adverse events. Both randomized controlled trials (RCTs) and observational studies were considered. Two independent reviewers screened the studies, and any discrepancies were resolved by consensus or consultation with a third reviewer. Full-text articles of potentially relevant studies were obtained for a detailed eligibility assessment. A PRISMA flowchart was developed to illustrate the study selection process</w:t>
      </w:r>
      <w:r w:rsidR="00983B54">
        <w:t xml:space="preserve"> (Figure 1).</w:t>
      </w:r>
    </w:p>
    <w:p w14:paraId="717F2AFC" w14:textId="5727ADF2" w:rsidR="00DF07AD" w:rsidRDefault="00DF07AD" w:rsidP="0036396A">
      <w:pPr>
        <w:jc w:val="both"/>
      </w:pPr>
      <w:r w:rsidRPr="00DF07AD">
        <w:rPr>
          <w:b/>
          <w:bCs/>
        </w:rPr>
        <w:t>Figure 1.</w:t>
      </w:r>
      <w:r w:rsidRPr="00DF07AD">
        <w:t xml:space="preserve"> </w:t>
      </w:r>
      <w:r w:rsidRPr="00983B54">
        <w:t xml:space="preserve">PRISMA </w:t>
      </w:r>
      <w:r>
        <w:t>F</w:t>
      </w:r>
      <w:r w:rsidRPr="00983B54">
        <w:t xml:space="preserve">lowchart </w:t>
      </w:r>
      <w:r>
        <w:t>D</w:t>
      </w:r>
      <w:r w:rsidRPr="00983B54">
        <w:t xml:space="preserve">epicting the </w:t>
      </w:r>
      <w:r>
        <w:t>Study Selection Process.</w:t>
      </w:r>
    </w:p>
    <w:p w14:paraId="5A7515EB" w14:textId="7B35CAE2" w:rsidR="00983B54" w:rsidRDefault="00983B54" w:rsidP="0036396A">
      <w:pPr>
        <w:jc w:val="both"/>
      </w:pPr>
      <w:r w:rsidRPr="00983B54">
        <w:rPr>
          <w:noProof/>
        </w:rPr>
        <w:drawing>
          <wp:inline distT="0" distB="0" distL="0" distR="0" wp14:anchorId="59B53224" wp14:editId="72BF06F1">
            <wp:extent cx="4857026" cy="5247249"/>
            <wp:effectExtent l="0" t="0" r="1270" b="0"/>
            <wp:docPr id="47750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06436" name=""/>
                    <pic:cNvPicPr/>
                  </pic:nvPicPr>
                  <pic:blipFill>
                    <a:blip r:embed="rId7"/>
                    <a:stretch>
                      <a:fillRect/>
                    </a:stretch>
                  </pic:blipFill>
                  <pic:spPr>
                    <a:xfrm>
                      <a:off x="0" y="0"/>
                      <a:ext cx="4862743" cy="5253425"/>
                    </a:xfrm>
                    <a:prstGeom prst="rect">
                      <a:avLst/>
                    </a:prstGeom>
                  </pic:spPr>
                </pic:pic>
              </a:graphicData>
            </a:graphic>
          </wp:inline>
        </w:drawing>
      </w:r>
    </w:p>
    <w:p w14:paraId="6CCCADD9" w14:textId="77777777" w:rsidR="0036396A" w:rsidRPr="00983B54" w:rsidRDefault="0036396A" w:rsidP="0036396A">
      <w:pPr>
        <w:jc w:val="both"/>
        <w:rPr>
          <w:b/>
          <w:bCs/>
          <w:lang w:val="fr-ML"/>
        </w:rPr>
      </w:pPr>
      <w:r w:rsidRPr="00983B54">
        <w:rPr>
          <w:b/>
          <w:bCs/>
          <w:lang w:val="fr-ML"/>
        </w:rPr>
        <w:lastRenderedPageBreak/>
        <w:t>Data Extraction</w:t>
      </w:r>
    </w:p>
    <w:p w14:paraId="54E551EB" w14:textId="256D9C65" w:rsidR="0036396A" w:rsidRDefault="0036396A" w:rsidP="0036396A">
      <w:pPr>
        <w:jc w:val="both"/>
      </w:pPr>
      <w:r>
        <w:t>Data extraction was carried out systematically from the selected studies, capturing essential details relevant to the objectives of the review. The extracted data included: Study ID, Author(s), Year; Study Design; Country; Sample Size (N); Population Characteristics; Biologic Therapy (e.g., B-cell depleting therapies, cytokine inhibitors); Dose/Administration; Comparator (standard care, placebo); Primary and Secondary Outcomes (including liver function improvement, symptom relief, quality of life); Adverse Events; and Key Findings (with statistical significance, where available). Special emphasis was placed on liver function markers such as alkaline phosphatase (ALP), alanine aminotransferase (ALT), and bilirubin levels. Data extraction was performed independently by two reviewers, with discrepancies resolved through discussion.</w:t>
      </w:r>
    </w:p>
    <w:p w14:paraId="7C848CD2" w14:textId="77777777" w:rsidR="0036396A" w:rsidRPr="0036396A" w:rsidRDefault="0036396A" w:rsidP="0036396A">
      <w:pPr>
        <w:jc w:val="both"/>
        <w:rPr>
          <w:b/>
          <w:bCs/>
        </w:rPr>
      </w:pPr>
      <w:r w:rsidRPr="0036396A">
        <w:rPr>
          <w:b/>
          <w:bCs/>
        </w:rPr>
        <w:t>Data Synthesis</w:t>
      </w:r>
    </w:p>
    <w:p w14:paraId="6714A2E8" w14:textId="79158862" w:rsidR="002A6A01" w:rsidRDefault="0036396A" w:rsidP="0036396A">
      <w:pPr>
        <w:jc w:val="both"/>
      </w:pPr>
      <w:r>
        <w:t>The data were synthesized qualitatively to provide a comprehensive overview of the efficacy and safety of biologic therapies in PBC patients. The synthesis focused on key outcome measures, including the effectiveness of biologics in improving liver function, histological liver changes, and symptom relief. The review also examined the safety profiles of biologic therapies, highlighting the incidence and severity of adverse events. Where applicable, quantitative results, such as mean differences and hazard ratios, were presented to summarize treatment effects. The data synthesis allowed for a detailed comparison of biologic therapies with standard care or placebo, and patterns related to safety and efficacy were explored, particularly in high-risk populations such as those with advanced fibrosis or poor baseline liver function.</w:t>
      </w:r>
    </w:p>
    <w:p w14:paraId="1AF75161" w14:textId="462F9F8F" w:rsidR="002A6A01" w:rsidRPr="0036396A" w:rsidRDefault="002A6A01" w:rsidP="0036396A">
      <w:pPr>
        <w:jc w:val="both"/>
        <w:rPr>
          <w:b/>
          <w:bCs/>
        </w:rPr>
      </w:pPr>
      <w:r w:rsidRPr="0036396A">
        <w:rPr>
          <w:b/>
          <w:bCs/>
        </w:rPr>
        <w:t>Results</w:t>
      </w:r>
    </w:p>
    <w:p w14:paraId="2287E3F6" w14:textId="035BDD2F" w:rsidR="000278F9" w:rsidRDefault="00C671E7" w:rsidP="0036396A">
      <w:pPr>
        <w:jc w:val="both"/>
      </w:pPr>
      <w:r>
        <w:t>The systematic review included seven studies investigating the efficacy and safety of biologics in patients with PBC.</w:t>
      </w:r>
      <w:r w:rsidR="00FC7557" w:rsidRPr="00FC7557">
        <w:t xml:space="preserve"> </w:t>
      </w:r>
      <w:r w:rsidR="00FC7557">
        <w:t>The total sample size across all the studies in this systematic review is 9,590 participants. These individuals were drawn from various countries, with sample sizes ranging from smaller cohorts like 71 in a phase 2 trial to large multinational cohorts such as 2,703 patients in the UK and 2,237 in the global PBC registry. The population primarily consisted of patients with PBC who were treated with Ursodeoxycholic Acid (UDCA) or other biologic interventions. The vast majority of patients were female, and the studies covered a broad range of ages, from 18 to 75 years, with varying degrees of disease progression (Table 1)</w:t>
      </w:r>
      <w:r w:rsidR="000278F9">
        <w:t>.</w:t>
      </w:r>
    </w:p>
    <w:p w14:paraId="1476A189" w14:textId="35E52E97" w:rsidR="00DF07AD" w:rsidRDefault="00DF07AD" w:rsidP="0036396A">
      <w:pPr>
        <w:jc w:val="both"/>
      </w:pPr>
      <w:r w:rsidRPr="00EF4229">
        <w:rPr>
          <w:b/>
          <w:bCs/>
        </w:rPr>
        <w:t>Table 1.</w:t>
      </w:r>
      <w:r>
        <w:t xml:space="preserve"> </w:t>
      </w:r>
      <w:r w:rsidR="00EF4229">
        <w:t>Characteristics</w:t>
      </w:r>
      <w:r>
        <w:t xml:space="preserve"> of the Included Studies.</w:t>
      </w:r>
    </w:p>
    <w:tbl>
      <w:tblPr>
        <w:tblStyle w:val="TableGrid"/>
        <w:tblW w:w="11970" w:type="dxa"/>
        <w:tblInd w:w="-1265" w:type="dxa"/>
        <w:tblLayout w:type="fixed"/>
        <w:tblLook w:val="04A0" w:firstRow="1" w:lastRow="0" w:firstColumn="1" w:lastColumn="0" w:noHBand="0" w:noVBand="1"/>
      </w:tblPr>
      <w:tblGrid>
        <w:gridCol w:w="990"/>
        <w:gridCol w:w="990"/>
        <w:gridCol w:w="1170"/>
        <w:gridCol w:w="810"/>
        <w:gridCol w:w="1440"/>
        <w:gridCol w:w="1260"/>
        <w:gridCol w:w="1260"/>
        <w:gridCol w:w="1350"/>
        <w:gridCol w:w="1710"/>
        <w:gridCol w:w="990"/>
      </w:tblGrid>
      <w:tr w:rsidR="000278F9" w:rsidRPr="000278F9" w14:paraId="49839518" w14:textId="77777777" w:rsidTr="000278F9">
        <w:trPr>
          <w:trHeight w:val="315"/>
        </w:trPr>
        <w:tc>
          <w:tcPr>
            <w:tcW w:w="990" w:type="dxa"/>
            <w:hideMark/>
          </w:tcPr>
          <w:p w14:paraId="1D2CCDEC" w14:textId="77777777" w:rsidR="000278F9" w:rsidRPr="000278F9" w:rsidRDefault="000278F9" w:rsidP="000278F9">
            <w:pPr>
              <w:spacing w:after="160" w:line="259" w:lineRule="auto"/>
              <w:jc w:val="both"/>
              <w:rPr>
                <w:b/>
                <w:bCs/>
                <w:sz w:val="18"/>
                <w:szCs w:val="18"/>
              </w:rPr>
            </w:pPr>
            <w:r w:rsidRPr="000278F9">
              <w:rPr>
                <w:b/>
                <w:bCs/>
                <w:sz w:val="18"/>
                <w:szCs w:val="18"/>
              </w:rPr>
              <w:t>Author, Year</w:t>
            </w:r>
          </w:p>
        </w:tc>
        <w:tc>
          <w:tcPr>
            <w:tcW w:w="990" w:type="dxa"/>
            <w:hideMark/>
          </w:tcPr>
          <w:p w14:paraId="5AE49453" w14:textId="77777777" w:rsidR="000278F9" w:rsidRPr="000278F9" w:rsidRDefault="000278F9" w:rsidP="000278F9">
            <w:pPr>
              <w:spacing w:after="160" w:line="259" w:lineRule="auto"/>
              <w:jc w:val="both"/>
              <w:rPr>
                <w:b/>
                <w:bCs/>
                <w:sz w:val="18"/>
                <w:szCs w:val="18"/>
              </w:rPr>
            </w:pPr>
            <w:r w:rsidRPr="000278F9">
              <w:rPr>
                <w:b/>
                <w:bCs/>
                <w:sz w:val="18"/>
                <w:szCs w:val="18"/>
              </w:rPr>
              <w:t>Country</w:t>
            </w:r>
          </w:p>
        </w:tc>
        <w:tc>
          <w:tcPr>
            <w:tcW w:w="1170" w:type="dxa"/>
            <w:hideMark/>
          </w:tcPr>
          <w:p w14:paraId="0E1B19D5" w14:textId="77777777" w:rsidR="000278F9" w:rsidRPr="000278F9" w:rsidRDefault="000278F9" w:rsidP="000278F9">
            <w:pPr>
              <w:spacing w:after="160" w:line="259" w:lineRule="auto"/>
              <w:jc w:val="both"/>
              <w:rPr>
                <w:b/>
                <w:bCs/>
                <w:sz w:val="18"/>
                <w:szCs w:val="18"/>
              </w:rPr>
            </w:pPr>
            <w:r w:rsidRPr="000278F9">
              <w:rPr>
                <w:b/>
                <w:bCs/>
                <w:sz w:val="18"/>
                <w:szCs w:val="18"/>
              </w:rPr>
              <w:t>Study Design</w:t>
            </w:r>
          </w:p>
        </w:tc>
        <w:tc>
          <w:tcPr>
            <w:tcW w:w="810" w:type="dxa"/>
            <w:hideMark/>
          </w:tcPr>
          <w:p w14:paraId="40BAC683" w14:textId="77777777" w:rsidR="000278F9" w:rsidRPr="000278F9" w:rsidRDefault="000278F9" w:rsidP="000278F9">
            <w:pPr>
              <w:spacing w:after="160" w:line="259" w:lineRule="auto"/>
              <w:jc w:val="both"/>
              <w:rPr>
                <w:b/>
                <w:bCs/>
                <w:sz w:val="18"/>
                <w:szCs w:val="18"/>
              </w:rPr>
            </w:pPr>
            <w:r w:rsidRPr="000278F9">
              <w:rPr>
                <w:b/>
                <w:bCs/>
                <w:sz w:val="18"/>
                <w:szCs w:val="18"/>
              </w:rPr>
              <w:t>Sample Size</w:t>
            </w:r>
          </w:p>
        </w:tc>
        <w:tc>
          <w:tcPr>
            <w:tcW w:w="1440" w:type="dxa"/>
            <w:hideMark/>
          </w:tcPr>
          <w:p w14:paraId="585E6A07" w14:textId="77777777" w:rsidR="000278F9" w:rsidRPr="000278F9" w:rsidRDefault="000278F9" w:rsidP="000278F9">
            <w:pPr>
              <w:spacing w:after="160" w:line="259" w:lineRule="auto"/>
              <w:jc w:val="both"/>
              <w:rPr>
                <w:b/>
                <w:bCs/>
                <w:sz w:val="18"/>
                <w:szCs w:val="18"/>
              </w:rPr>
            </w:pPr>
            <w:r w:rsidRPr="000278F9">
              <w:rPr>
                <w:b/>
                <w:bCs/>
                <w:sz w:val="18"/>
                <w:szCs w:val="18"/>
              </w:rPr>
              <w:t>Population Characteristics</w:t>
            </w:r>
          </w:p>
        </w:tc>
        <w:tc>
          <w:tcPr>
            <w:tcW w:w="1260" w:type="dxa"/>
            <w:hideMark/>
          </w:tcPr>
          <w:p w14:paraId="39167199" w14:textId="77777777" w:rsidR="000278F9" w:rsidRPr="000278F9" w:rsidRDefault="000278F9" w:rsidP="000278F9">
            <w:pPr>
              <w:spacing w:after="160" w:line="259" w:lineRule="auto"/>
              <w:jc w:val="both"/>
              <w:rPr>
                <w:b/>
                <w:bCs/>
                <w:sz w:val="18"/>
                <w:szCs w:val="18"/>
              </w:rPr>
            </w:pPr>
            <w:r w:rsidRPr="000278F9">
              <w:rPr>
                <w:b/>
                <w:bCs/>
                <w:sz w:val="18"/>
                <w:szCs w:val="18"/>
              </w:rPr>
              <w:t>Intervention Details</w:t>
            </w:r>
          </w:p>
        </w:tc>
        <w:tc>
          <w:tcPr>
            <w:tcW w:w="1260" w:type="dxa"/>
            <w:hideMark/>
          </w:tcPr>
          <w:p w14:paraId="2D10D95E" w14:textId="77777777" w:rsidR="000278F9" w:rsidRPr="000278F9" w:rsidRDefault="000278F9" w:rsidP="000278F9">
            <w:pPr>
              <w:spacing w:after="160" w:line="259" w:lineRule="auto"/>
              <w:jc w:val="both"/>
              <w:rPr>
                <w:b/>
                <w:bCs/>
                <w:sz w:val="18"/>
                <w:szCs w:val="18"/>
              </w:rPr>
            </w:pPr>
            <w:r w:rsidRPr="000278F9">
              <w:rPr>
                <w:b/>
                <w:bCs/>
                <w:sz w:val="18"/>
                <w:szCs w:val="18"/>
              </w:rPr>
              <w:t>Comparison/Control</w:t>
            </w:r>
          </w:p>
        </w:tc>
        <w:tc>
          <w:tcPr>
            <w:tcW w:w="1350" w:type="dxa"/>
            <w:hideMark/>
          </w:tcPr>
          <w:p w14:paraId="7A6FBC5E" w14:textId="77777777" w:rsidR="000278F9" w:rsidRPr="000278F9" w:rsidRDefault="000278F9" w:rsidP="000278F9">
            <w:pPr>
              <w:spacing w:after="160" w:line="259" w:lineRule="auto"/>
              <w:jc w:val="both"/>
              <w:rPr>
                <w:b/>
                <w:bCs/>
                <w:sz w:val="18"/>
                <w:szCs w:val="18"/>
              </w:rPr>
            </w:pPr>
            <w:r w:rsidRPr="000278F9">
              <w:rPr>
                <w:b/>
                <w:bCs/>
                <w:sz w:val="18"/>
                <w:szCs w:val="18"/>
              </w:rPr>
              <w:t>Outcomes</w:t>
            </w:r>
          </w:p>
        </w:tc>
        <w:tc>
          <w:tcPr>
            <w:tcW w:w="1710" w:type="dxa"/>
            <w:hideMark/>
          </w:tcPr>
          <w:p w14:paraId="2B9A5E75" w14:textId="77777777" w:rsidR="000278F9" w:rsidRPr="000278F9" w:rsidRDefault="000278F9" w:rsidP="000278F9">
            <w:pPr>
              <w:spacing w:after="160" w:line="259" w:lineRule="auto"/>
              <w:jc w:val="both"/>
              <w:rPr>
                <w:b/>
                <w:bCs/>
                <w:sz w:val="18"/>
                <w:szCs w:val="18"/>
              </w:rPr>
            </w:pPr>
            <w:r w:rsidRPr="000278F9">
              <w:rPr>
                <w:b/>
                <w:bCs/>
                <w:sz w:val="18"/>
                <w:szCs w:val="18"/>
              </w:rPr>
              <w:t>Key Findings</w:t>
            </w:r>
          </w:p>
        </w:tc>
        <w:tc>
          <w:tcPr>
            <w:tcW w:w="990" w:type="dxa"/>
            <w:hideMark/>
          </w:tcPr>
          <w:p w14:paraId="5C266F2A" w14:textId="77777777" w:rsidR="000278F9" w:rsidRPr="000278F9" w:rsidRDefault="000278F9" w:rsidP="000278F9">
            <w:pPr>
              <w:spacing w:after="160" w:line="259" w:lineRule="auto"/>
              <w:jc w:val="both"/>
              <w:rPr>
                <w:b/>
                <w:bCs/>
                <w:sz w:val="18"/>
                <w:szCs w:val="18"/>
              </w:rPr>
            </w:pPr>
            <w:r w:rsidRPr="000278F9">
              <w:rPr>
                <w:b/>
                <w:bCs/>
                <w:sz w:val="18"/>
                <w:szCs w:val="18"/>
              </w:rPr>
              <w:t>Adverse Events</w:t>
            </w:r>
          </w:p>
        </w:tc>
      </w:tr>
      <w:tr w:rsidR="000278F9" w:rsidRPr="000278F9" w14:paraId="3AE4D48B" w14:textId="77777777" w:rsidTr="000278F9">
        <w:trPr>
          <w:trHeight w:val="315"/>
        </w:trPr>
        <w:tc>
          <w:tcPr>
            <w:tcW w:w="990" w:type="dxa"/>
            <w:hideMark/>
          </w:tcPr>
          <w:p w14:paraId="57FB96B4" w14:textId="77777777" w:rsidR="000278F9" w:rsidRPr="000278F9" w:rsidRDefault="000278F9" w:rsidP="000278F9">
            <w:pPr>
              <w:spacing w:after="160" w:line="259" w:lineRule="auto"/>
              <w:jc w:val="both"/>
              <w:rPr>
                <w:sz w:val="18"/>
                <w:szCs w:val="18"/>
              </w:rPr>
            </w:pPr>
            <w:r w:rsidRPr="000278F9">
              <w:rPr>
                <w:sz w:val="18"/>
                <w:szCs w:val="18"/>
              </w:rPr>
              <w:t>Corpechot et al. (2024)</w:t>
            </w:r>
          </w:p>
        </w:tc>
        <w:tc>
          <w:tcPr>
            <w:tcW w:w="990" w:type="dxa"/>
            <w:hideMark/>
          </w:tcPr>
          <w:p w14:paraId="69D16130" w14:textId="77777777" w:rsidR="000278F9" w:rsidRPr="000278F9" w:rsidRDefault="000278F9" w:rsidP="000278F9">
            <w:pPr>
              <w:spacing w:after="160" w:line="259" w:lineRule="auto"/>
              <w:jc w:val="both"/>
              <w:rPr>
                <w:sz w:val="18"/>
                <w:szCs w:val="18"/>
              </w:rPr>
            </w:pPr>
            <w:r w:rsidRPr="000278F9">
              <w:rPr>
                <w:sz w:val="18"/>
                <w:szCs w:val="18"/>
              </w:rPr>
              <w:t>Multinational (Global &amp; ERN Rare-Liver PBC Study Groups)</w:t>
            </w:r>
          </w:p>
        </w:tc>
        <w:tc>
          <w:tcPr>
            <w:tcW w:w="1170" w:type="dxa"/>
            <w:hideMark/>
          </w:tcPr>
          <w:p w14:paraId="208A5A90"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76C0FDE8" w14:textId="77777777" w:rsidR="000278F9" w:rsidRPr="000278F9" w:rsidRDefault="000278F9" w:rsidP="000278F9">
            <w:pPr>
              <w:spacing w:after="160" w:line="259" w:lineRule="auto"/>
              <w:jc w:val="both"/>
              <w:rPr>
                <w:sz w:val="18"/>
                <w:szCs w:val="18"/>
              </w:rPr>
            </w:pPr>
            <w:r w:rsidRPr="000278F9">
              <w:rPr>
                <w:sz w:val="18"/>
                <w:szCs w:val="18"/>
              </w:rPr>
              <w:t>1047</w:t>
            </w:r>
          </w:p>
        </w:tc>
        <w:tc>
          <w:tcPr>
            <w:tcW w:w="1440" w:type="dxa"/>
            <w:hideMark/>
          </w:tcPr>
          <w:p w14:paraId="64D9A4F1" w14:textId="77777777" w:rsidR="000278F9" w:rsidRPr="000278F9" w:rsidRDefault="000278F9" w:rsidP="000278F9">
            <w:pPr>
              <w:spacing w:after="160" w:line="259" w:lineRule="auto"/>
              <w:jc w:val="both"/>
              <w:rPr>
                <w:sz w:val="18"/>
                <w:szCs w:val="18"/>
              </w:rPr>
            </w:pPr>
            <w:r w:rsidRPr="000278F9">
              <w:rPr>
                <w:sz w:val="18"/>
                <w:szCs w:val="18"/>
              </w:rPr>
              <w:t>Patients with PBC who attained an adequate response to UDCA according to Paris-2 criteria.</w:t>
            </w:r>
          </w:p>
        </w:tc>
        <w:tc>
          <w:tcPr>
            <w:tcW w:w="1260" w:type="dxa"/>
            <w:hideMark/>
          </w:tcPr>
          <w:p w14:paraId="0C998E8A" w14:textId="77777777" w:rsidR="000278F9" w:rsidRPr="000278F9" w:rsidRDefault="000278F9" w:rsidP="000278F9">
            <w:pPr>
              <w:spacing w:after="160" w:line="259" w:lineRule="auto"/>
              <w:jc w:val="both"/>
              <w:rPr>
                <w:sz w:val="18"/>
                <w:szCs w:val="18"/>
              </w:rPr>
            </w:pPr>
            <w:r w:rsidRPr="000278F9">
              <w:rPr>
                <w:sz w:val="18"/>
                <w:szCs w:val="18"/>
              </w:rPr>
              <w:t>Ursodeoxycholic acid (UDCA) treatment</w:t>
            </w:r>
          </w:p>
        </w:tc>
        <w:tc>
          <w:tcPr>
            <w:tcW w:w="1260" w:type="dxa"/>
            <w:hideMark/>
          </w:tcPr>
          <w:p w14:paraId="79FE0791" w14:textId="77777777" w:rsidR="000278F9" w:rsidRPr="000278F9" w:rsidRDefault="000278F9" w:rsidP="000278F9">
            <w:pPr>
              <w:spacing w:after="160" w:line="259" w:lineRule="auto"/>
              <w:jc w:val="both"/>
              <w:rPr>
                <w:sz w:val="18"/>
                <w:szCs w:val="18"/>
              </w:rPr>
            </w:pPr>
            <w:r w:rsidRPr="000278F9">
              <w:rPr>
                <w:sz w:val="18"/>
                <w:szCs w:val="18"/>
              </w:rPr>
              <w:t>No second-line therapy unless ALP &gt; 1.5×ULN after 12 months of UDCA</w:t>
            </w:r>
          </w:p>
        </w:tc>
        <w:tc>
          <w:tcPr>
            <w:tcW w:w="1350" w:type="dxa"/>
            <w:hideMark/>
          </w:tcPr>
          <w:p w14:paraId="217531CD" w14:textId="77777777" w:rsidR="000278F9" w:rsidRPr="000278F9" w:rsidRDefault="000278F9" w:rsidP="000278F9">
            <w:pPr>
              <w:spacing w:after="160" w:line="259" w:lineRule="auto"/>
              <w:jc w:val="both"/>
              <w:rPr>
                <w:sz w:val="18"/>
                <w:szCs w:val="18"/>
              </w:rPr>
            </w:pPr>
            <w:r w:rsidRPr="000278F9">
              <w:rPr>
                <w:sz w:val="18"/>
                <w:szCs w:val="18"/>
              </w:rPr>
              <w:t>Primary: Time to liver-related complications, liver transplantation, or death.</w:t>
            </w:r>
          </w:p>
        </w:tc>
        <w:tc>
          <w:tcPr>
            <w:tcW w:w="1710" w:type="dxa"/>
            <w:hideMark/>
          </w:tcPr>
          <w:p w14:paraId="28043D25" w14:textId="77777777" w:rsidR="000278F9" w:rsidRPr="000278F9" w:rsidRDefault="000278F9" w:rsidP="000278F9">
            <w:pPr>
              <w:spacing w:after="160" w:line="259" w:lineRule="auto"/>
              <w:jc w:val="both"/>
              <w:rPr>
                <w:sz w:val="18"/>
                <w:szCs w:val="18"/>
              </w:rPr>
            </w:pPr>
            <w:r w:rsidRPr="000278F9">
              <w:rPr>
                <w:sz w:val="18"/>
                <w:szCs w:val="18"/>
              </w:rPr>
              <w:t xml:space="preserve">Normal ALP levels associated with significant survival gain at 10 years (mean 7.6 months, 95% CI: 2.7 - 12.6 months, p=0.003). Subgroup analysis: Significant survival gain in patients with </w:t>
            </w:r>
            <w:r w:rsidRPr="000278F9">
              <w:rPr>
                <w:sz w:val="18"/>
                <w:szCs w:val="18"/>
              </w:rPr>
              <w:lastRenderedPageBreak/>
              <w:t>liver stiffness ≥ 10 kPa and/or age ≤ 62 years (52.8 months, p&lt;0.001).</w:t>
            </w:r>
          </w:p>
        </w:tc>
        <w:tc>
          <w:tcPr>
            <w:tcW w:w="990" w:type="dxa"/>
            <w:hideMark/>
          </w:tcPr>
          <w:p w14:paraId="45AA8CB5" w14:textId="77777777" w:rsidR="000278F9" w:rsidRPr="000278F9" w:rsidRDefault="000278F9" w:rsidP="000278F9">
            <w:pPr>
              <w:spacing w:after="160" w:line="259" w:lineRule="auto"/>
              <w:jc w:val="both"/>
              <w:rPr>
                <w:sz w:val="18"/>
                <w:szCs w:val="18"/>
              </w:rPr>
            </w:pPr>
            <w:r w:rsidRPr="000278F9">
              <w:rPr>
                <w:sz w:val="18"/>
                <w:szCs w:val="18"/>
              </w:rPr>
              <w:lastRenderedPageBreak/>
              <w:t>None reported</w:t>
            </w:r>
          </w:p>
        </w:tc>
      </w:tr>
      <w:tr w:rsidR="000278F9" w:rsidRPr="000278F9" w14:paraId="48FD6DAD" w14:textId="77777777" w:rsidTr="000278F9">
        <w:trPr>
          <w:trHeight w:val="315"/>
        </w:trPr>
        <w:tc>
          <w:tcPr>
            <w:tcW w:w="990" w:type="dxa"/>
            <w:hideMark/>
          </w:tcPr>
          <w:p w14:paraId="77BABBB3" w14:textId="77777777" w:rsidR="000278F9" w:rsidRPr="000278F9" w:rsidRDefault="000278F9" w:rsidP="000278F9">
            <w:pPr>
              <w:spacing w:after="160" w:line="259" w:lineRule="auto"/>
              <w:jc w:val="both"/>
              <w:rPr>
                <w:sz w:val="18"/>
                <w:szCs w:val="18"/>
              </w:rPr>
            </w:pPr>
            <w:r w:rsidRPr="000278F9">
              <w:rPr>
                <w:sz w:val="18"/>
                <w:szCs w:val="18"/>
              </w:rPr>
              <w:t>Kowdley et al. (2024)</w:t>
            </w:r>
          </w:p>
        </w:tc>
        <w:tc>
          <w:tcPr>
            <w:tcW w:w="990" w:type="dxa"/>
            <w:hideMark/>
          </w:tcPr>
          <w:p w14:paraId="51BFAEBF" w14:textId="77777777" w:rsidR="000278F9" w:rsidRPr="000278F9" w:rsidRDefault="000278F9" w:rsidP="000278F9">
            <w:pPr>
              <w:spacing w:after="160" w:line="259" w:lineRule="auto"/>
              <w:jc w:val="both"/>
              <w:rPr>
                <w:sz w:val="18"/>
                <w:szCs w:val="18"/>
              </w:rPr>
            </w:pPr>
            <w:r w:rsidRPr="000278F9">
              <w:rPr>
                <w:sz w:val="18"/>
                <w:szCs w:val="18"/>
              </w:rPr>
              <w:t>27 countries (Global)</w:t>
            </w:r>
          </w:p>
        </w:tc>
        <w:tc>
          <w:tcPr>
            <w:tcW w:w="1170" w:type="dxa"/>
            <w:hideMark/>
          </w:tcPr>
          <w:p w14:paraId="419FC4CE" w14:textId="77777777" w:rsidR="000278F9" w:rsidRPr="000278F9" w:rsidRDefault="000278F9" w:rsidP="000278F9">
            <w:pPr>
              <w:spacing w:after="160" w:line="259" w:lineRule="auto"/>
              <w:jc w:val="both"/>
              <w:rPr>
                <w:sz w:val="18"/>
                <w:szCs w:val="18"/>
              </w:rPr>
            </w:pPr>
            <w:r w:rsidRPr="000278F9">
              <w:rPr>
                <w:sz w:val="18"/>
                <w:szCs w:val="18"/>
              </w:rPr>
              <w:t>Phase 3b/4 double-blind RCT with external control</w:t>
            </w:r>
          </w:p>
        </w:tc>
        <w:tc>
          <w:tcPr>
            <w:tcW w:w="810" w:type="dxa"/>
            <w:hideMark/>
          </w:tcPr>
          <w:p w14:paraId="294DF07F" w14:textId="77777777" w:rsidR="000278F9" w:rsidRPr="000278F9" w:rsidRDefault="000278F9" w:rsidP="000278F9">
            <w:pPr>
              <w:spacing w:after="160" w:line="259" w:lineRule="auto"/>
              <w:jc w:val="both"/>
              <w:rPr>
                <w:sz w:val="18"/>
                <w:szCs w:val="18"/>
              </w:rPr>
            </w:pPr>
            <w:r w:rsidRPr="000278F9">
              <w:rPr>
                <w:sz w:val="18"/>
                <w:szCs w:val="18"/>
              </w:rPr>
              <w:t>434 (RCT), 1,051 (EC)</w:t>
            </w:r>
          </w:p>
        </w:tc>
        <w:tc>
          <w:tcPr>
            <w:tcW w:w="1440" w:type="dxa"/>
            <w:hideMark/>
          </w:tcPr>
          <w:p w14:paraId="2E1013ED" w14:textId="77777777" w:rsidR="000278F9" w:rsidRPr="000278F9" w:rsidRDefault="000278F9" w:rsidP="000278F9">
            <w:pPr>
              <w:spacing w:after="160" w:line="259" w:lineRule="auto"/>
              <w:jc w:val="both"/>
              <w:rPr>
                <w:sz w:val="18"/>
                <w:szCs w:val="18"/>
              </w:rPr>
            </w:pPr>
            <w:r w:rsidRPr="000278F9">
              <w:rPr>
                <w:sz w:val="18"/>
                <w:szCs w:val="18"/>
              </w:rPr>
              <w:t xml:space="preserve">Patients with PBC, mean age </w:t>
            </w:r>
            <w:r w:rsidRPr="000278F9">
              <w:rPr>
                <w:rFonts w:ascii="Cambria Math" w:hAnsi="Cambria Math" w:cs="Cambria Math"/>
                <w:sz w:val="18"/>
                <w:szCs w:val="18"/>
              </w:rPr>
              <w:t>∼</w:t>
            </w:r>
            <w:r w:rsidRPr="000278F9">
              <w:rPr>
                <w:sz w:val="18"/>
                <w:szCs w:val="18"/>
              </w:rPr>
              <w:t xml:space="preserve">53 years, 90% female, 88% on UDCA at baseline. Patients had either discontinued UDCA &gt;3 months earlier or were taking UDCA &gt;12 months with a stable dose </w:t>
            </w:r>
            <w:r w:rsidRPr="000278F9">
              <w:rPr>
                <w:rFonts w:cs="Times New Roman"/>
                <w:sz w:val="18"/>
                <w:szCs w:val="18"/>
              </w:rPr>
              <w:t>≥</w:t>
            </w:r>
            <w:r w:rsidRPr="000278F9">
              <w:rPr>
                <w:sz w:val="18"/>
                <w:szCs w:val="18"/>
              </w:rPr>
              <w:t>3 months before enrollment.</w:t>
            </w:r>
          </w:p>
        </w:tc>
        <w:tc>
          <w:tcPr>
            <w:tcW w:w="1260" w:type="dxa"/>
            <w:hideMark/>
          </w:tcPr>
          <w:p w14:paraId="39D93221" w14:textId="77777777" w:rsidR="000278F9" w:rsidRPr="000278F9" w:rsidRDefault="000278F9" w:rsidP="000278F9">
            <w:pPr>
              <w:spacing w:after="160" w:line="259" w:lineRule="auto"/>
              <w:jc w:val="both"/>
              <w:rPr>
                <w:sz w:val="18"/>
                <w:szCs w:val="18"/>
              </w:rPr>
            </w:pPr>
            <w:r w:rsidRPr="000278F9">
              <w:rPr>
                <w:sz w:val="18"/>
                <w:szCs w:val="18"/>
              </w:rPr>
              <w:t>Obeticholic acid (OCA) 5 mg daily, increased to 10 mg if tolerated</w:t>
            </w:r>
          </w:p>
        </w:tc>
        <w:tc>
          <w:tcPr>
            <w:tcW w:w="1260" w:type="dxa"/>
            <w:hideMark/>
          </w:tcPr>
          <w:p w14:paraId="5C64FD52" w14:textId="77777777" w:rsidR="000278F9" w:rsidRPr="000278F9" w:rsidRDefault="000278F9" w:rsidP="000278F9">
            <w:pPr>
              <w:spacing w:after="160" w:line="259" w:lineRule="auto"/>
              <w:jc w:val="both"/>
              <w:rPr>
                <w:sz w:val="18"/>
                <w:szCs w:val="18"/>
              </w:rPr>
            </w:pPr>
            <w:r w:rsidRPr="000278F9">
              <w:rPr>
                <w:sz w:val="18"/>
                <w:szCs w:val="18"/>
              </w:rPr>
              <w:t>Placebo, External control from Komodo database</w:t>
            </w:r>
          </w:p>
        </w:tc>
        <w:tc>
          <w:tcPr>
            <w:tcW w:w="1350" w:type="dxa"/>
            <w:hideMark/>
          </w:tcPr>
          <w:p w14:paraId="29570AC2" w14:textId="77777777" w:rsidR="000278F9" w:rsidRPr="000278F9" w:rsidRDefault="000278F9" w:rsidP="000278F9">
            <w:pPr>
              <w:spacing w:after="160" w:line="259" w:lineRule="auto"/>
              <w:jc w:val="both"/>
              <w:rPr>
                <w:sz w:val="18"/>
                <w:szCs w:val="18"/>
              </w:rPr>
            </w:pPr>
            <w:r w:rsidRPr="000278F9">
              <w:rPr>
                <w:sz w:val="18"/>
                <w:szCs w:val="18"/>
              </w:rPr>
              <w:t>No significant difference in composite endpoint of death, liver transplant, or hepatic decompensation. (HR, 1.01; 95% CI, 0.68–1.51). EC arm: OCA significantly reduced events compared to control (HR, 0.39; 95% CI, 0.22–0.69, p = 0.0010).</w:t>
            </w:r>
          </w:p>
        </w:tc>
        <w:tc>
          <w:tcPr>
            <w:tcW w:w="1710" w:type="dxa"/>
            <w:hideMark/>
          </w:tcPr>
          <w:p w14:paraId="0B447166" w14:textId="77777777" w:rsidR="000278F9" w:rsidRPr="000278F9" w:rsidRDefault="000278F9" w:rsidP="000278F9">
            <w:pPr>
              <w:spacing w:after="160" w:line="259" w:lineRule="auto"/>
              <w:jc w:val="both"/>
              <w:rPr>
                <w:sz w:val="18"/>
                <w:szCs w:val="18"/>
              </w:rPr>
            </w:pPr>
            <w:r w:rsidRPr="000278F9">
              <w:rPr>
                <w:sz w:val="18"/>
                <w:szCs w:val="18"/>
              </w:rPr>
              <w:t>In the RCT ITT analysis, no significant difference between OCA and placebo (HR, 1.01). In EC analysis, OCA significantly reduced composite events compared to non-OCA individuals (HR, 0.39; p = 0.0010).</w:t>
            </w:r>
          </w:p>
        </w:tc>
        <w:tc>
          <w:tcPr>
            <w:tcW w:w="990" w:type="dxa"/>
            <w:hideMark/>
          </w:tcPr>
          <w:p w14:paraId="5BBEFD04" w14:textId="77777777" w:rsidR="000278F9" w:rsidRPr="000278F9" w:rsidRDefault="000278F9" w:rsidP="000278F9">
            <w:pPr>
              <w:spacing w:after="160" w:line="259" w:lineRule="auto"/>
              <w:jc w:val="both"/>
              <w:rPr>
                <w:sz w:val="18"/>
                <w:szCs w:val="18"/>
              </w:rPr>
            </w:pPr>
            <w:r w:rsidRPr="000278F9">
              <w:rPr>
                <w:sz w:val="18"/>
                <w:szCs w:val="18"/>
              </w:rPr>
              <w:t>Common adverse events in OCA arm: pruritus (78.6%), peripheral edema (18.5%), upper abdominal pain (14.9%), nausea (14.9%). Serious adverse events in both arms were similar (~31%). 30.6% OCA patients discontinued due to pruritus.</w:t>
            </w:r>
          </w:p>
        </w:tc>
      </w:tr>
      <w:tr w:rsidR="000278F9" w:rsidRPr="000278F9" w14:paraId="3B1FBCCC" w14:textId="77777777" w:rsidTr="000278F9">
        <w:trPr>
          <w:trHeight w:val="315"/>
        </w:trPr>
        <w:tc>
          <w:tcPr>
            <w:tcW w:w="990" w:type="dxa"/>
            <w:hideMark/>
          </w:tcPr>
          <w:p w14:paraId="3D655CEA" w14:textId="77777777" w:rsidR="000278F9" w:rsidRPr="000278F9" w:rsidRDefault="000278F9" w:rsidP="000278F9">
            <w:pPr>
              <w:spacing w:after="160" w:line="259" w:lineRule="auto"/>
              <w:jc w:val="both"/>
              <w:rPr>
                <w:sz w:val="18"/>
                <w:szCs w:val="18"/>
              </w:rPr>
            </w:pPr>
            <w:r w:rsidRPr="000278F9">
              <w:rPr>
                <w:sz w:val="18"/>
                <w:szCs w:val="18"/>
              </w:rPr>
              <w:t>Roberts et al. (2024)</w:t>
            </w:r>
          </w:p>
        </w:tc>
        <w:tc>
          <w:tcPr>
            <w:tcW w:w="990" w:type="dxa"/>
            <w:hideMark/>
          </w:tcPr>
          <w:p w14:paraId="74AA5964" w14:textId="77777777" w:rsidR="000278F9" w:rsidRPr="000278F9" w:rsidRDefault="000278F9" w:rsidP="000278F9">
            <w:pPr>
              <w:spacing w:after="160" w:line="259" w:lineRule="auto"/>
              <w:jc w:val="both"/>
              <w:rPr>
                <w:sz w:val="18"/>
                <w:szCs w:val="18"/>
              </w:rPr>
            </w:pPr>
            <w:r w:rsidRPr="000278F9">
              <w:rPr>
                <w:sz w:val="18"/>
                <w:szCs w:val="18"/>
              </w:rPr>
              <w:t>Canada (with validation cohort from GLOBAL PBC registry)</w:t>
            </w:r>
          </w:p>
        </w:tc>
        <w:tc>
          <w:tcPr>
            <w:tcW w:w="1170" w:type="dxa"/>
            <w:hideMark/>
          </w:tcPr>
          <w:p w14:paraId="4634501B"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5FF20289" w14:textId="77777777" w:rsidR="000278F9" w:rsidRPr="000278F9" w:rsidRDefault="000278F9" w:rsidP="000278F9">
            <w:pPr>
              <w:spacing w:after="160" w:line="259" w:lineRule="auto"/>
              <w:jc w:val="both"/>
              <w:rPr>
                <w:sz w:val="18"/>
                <w:szCs w:val="18"/>
              </w:rPr>
            </w:pPr>
            <w:r w:rsidRPr="000278F9">
              <w:rPr>
                <w:sz w:val="18"/>
                <w:szCs w:val="18"/>
              </w:rPr>
              <w:t>823 patients (Canada), 2,237 (GLOBAL PBC registry)</w:t>
            </w:r>
          </w:p>
        </w:tc>
        <w:tc>
          <w:tcPr>
            <w:tcW w:w="1440" w:type="dxa"/>
            <w:hideMark/>
          </w:tcPr>
          <w:p w14:paraId="62581CBB" w14:textId="77777777" w:rsidR="000278F9" w:rsidRPr="000278F9" w:rsidRDefault="000278F9" w:rsidP="000278F9">
            <w:pPr>
              <w:spacing w:after="160" w:line="259" w:lineRule="auto"/>
              <w:jc w:val="both"/>
              <w:rPr>
                <w:sz w:val="18"/>
                <w:szCs w:val="18"/>
              </w:rPr>
            </w:pPr>
            <w:r w:rsidRPr="000278F9">
              <w:rPr>
                <w:sz w:val="18"/>
                <w:szCs w:val="18"/>
              </w:rPr>
              <w:t>Mean age at diagnosis was 53 years, 91% were female. All patients had PBC and were treated with UDCA. 33% of patients had inadequate biochemical response to UDCA at 1 year.</w:t>
            </w:r>
          </w:p>
        </w:tc>
        <w:tc>
          <w:tcPr>
            <w:tcW w:w="1260" w:type="dxa"/>
            <w:hideMark/>
          </w:tcPr>
          <w:p w14:paraId="69531F67" w14:textId="77777777" w:rsidR="000278F9" w:rsidRPr="000278F9" w:rsidRDefault="000278F9" w:rsidP="000278F9">
            <w:pPr>
              <w:spacing w:after="160" w:line="259" w:lineRule="auto"/>
              <w:jc w:val="both"/>
              <w:rPr>
                <w:sz w:val="18"/>
                <w:szCs w:val="18"/>
              </w:rPr>
            </w:pPr>
            <w:r w:rsidRPr="000278F9">
              <w:rPr>
                <w:sz w:val="18"/>
                <w:szCs w:val="18"/>
              </w:rPr>
              <w:t>Ursodeoxycholic acid (UDCA) therapy.</w:t>
            </w:r>
          </w:p>
        </w:tc>
        <w:tc>
          <w:tcPr>
            <w:tcW w:w="1260" w:type="dxa"/>
            <w:hideMark/>
          </w:tcPr>
          <w:p w14:paraId="34E89AB8" w14:textId="77777777" w:rsidR="000278F9" w:rsidRPr="000278F9" w:rsidRDefault="000278F9" w:rsidP="000278F9">
            <w:pPr>
              <w:spacing w:after="160" w:line="259" w:lineRule="auto"/>
              <w:jc w:val="both"/>
              <w:rPr>
                <w:sz w:val="18"/>
                <w:szCs w:val="18"/>
              </w:rPr>
            </w:pPr>
            <w:r w:rsidRPr="000278F9">
              <w:rPr>
                <w:sz w:val="18"/>
                <w:szCs w:val="18"/>
              </w:rPr>
              <w:t>N/A</w:t>
            </w:r>
          </w:p>
        </w:tc>
        <w:tc>
          <w:tcPr>
            <w:tcW w:w="1350" w:type="dxa"/>
            <w:hideMark/>
          </w:tcPr>
          <w:p w14:paraId="5A8458B0" w14:textId="77777777" w:rsidR="000278F9" w:rsidRPr="000278F9" w:rsidRDefault="000278F9" w:rsidP="000278F9">
            <w:pPr>
              <w:spacing w:after="160" w:line="259" w:lineRule="auto"/>
              <w:jc w:val="both"/>
              <w:rPr>
                <w:sz w:val="18"/>
                <w:szCs w:val="18"/>
              </w:rPr>
            </w:pPr>
            <w:r w:rsidRPr="000278F9">
              <w:rPr>
                <w:sz w:val="18"/>
                <w:szCs w:val="18"/>
              </w:rPr>
              <w:t>Transition rates between biochemical response states and liver transplant (LT) or death were measured using Markov models.</w:t>
            </w:r>
          </w:p>
        </w:tc>
        <w:tc>
          <w:tcPr>
            <w:tcW w:w="1710" w:type="dxa"/>
            <w:hideMark/>
          </w:tcPr>
          <w:p w14:paraId="224B3B98" w14:textId="77777777" w:rsidR="000278F9" w:rsidRPr="000278F9" w:rsidRDefault="000278F9" w:rsidP="000278F9">
            <w:pPr>
              <w:spacing w:after="160" w:line="259" w:lineRule="auto"/>
              <w:jc w:val="both"/>
              <w:rPr>
                <w:sz w:val="18"/>
                <w:szCs w:val="18"/>
              </w:rPr>
            </w:pPr>
            <w:r w:rsidRPr="000278F9">
              <w:rPr>
                <w:sz w:val="18"/>
                <w:szCs w:val="18"/>
              </w:rPr>
              <w:t>Loss of biochemical response at any time was associated with higher rates of LT or death (relative rate 0.102, 95% CI 0.047-0.223, p &lt; 0.05). Patients who regained adequate response had significantly lower LT/death rates (0.016, 95% CI 0.001-0.568, p &lt; 0.05). Validation in the GLOBAL PBC registry confirmed findings.</w:t>
            </w:r>
          </w:p>
        </w:tc>
        <w:tc>
          <w:tcPr>
            <w:tcW w:w="990" w:type="dxa"/>
            <w:hideMark/>
          </w:tcPr>
          <w:p w14:paraId="3B3A0006"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52943A6E" w14:textId="77777777" w:rsidTr="000278F9">
        <w:trPr>
          <w:trHeight w:val="315"/>
        </w:trPr>
        <w:tc>
          <w:tcPr>
            <w:tcW w:w="990" w:type="dxa"/>
            <w:hideMark/>
          </w:tcPr>
          <w:p w14:paraId="4B9AB70D" w14:textId="77777777" w:rsidR="000278F9" w:rsidRPr="000278F9" w:rsidRDefault="000278F9" w:rsidP="000278F9">
            <w:pPr>
              <w:spacing w:after="160" w:line="259" w:lineRule="auto"/>
              <w:jc w:val="both"/>
              <w:rPr>
                <w:sz w:val="18"/>
                <w:szCs w:val="18"/>
              </w:rPr>
            </w:pPr>
            <w:r w:rsidRPr="000278F9">
              <w:rPr>
                <w:sz w:val="18"/>
                <w:szCs w:val="18"/>
              </w:rPr>
              <w:t>Hirschfield et al. (2023)</w:t>
            </w:r>
          </w:p>
        </w:tc>
        <w:tc>
          <w:tcPr>
            <w:tcW w:w="990" w:type="dxa"/>
            <w:hideMark/>
          </w:tcPr>
          <w:p w14:paraId="096D3881" w14:textId="77777777" w:rsidR="000278F9" w:rsidRPr="000278F9" w:rsidRDefault="000278F9" w:rsidP="000278F9">
            <w:pPr>
              <w:spacing w:after="160" w:line="259" w:lineRule="auto"/>
              <w:jc w:val="both"/>
              <w:rPr>
                <w:sz w:val="18"/>
                <w:szCs w:val="18"/>
              </w:rPr>
            </w:pPr>
            <w:r w:rsidRPr="000278F9">
              <w:rPr>
                <w:sz w:val="18"/>
                <w:szCs w:val="18"/>
              </w:rPr>
              <w:t>Multinational (21 countries)</w:t>
            </w:r>
          </w:p>
        </w:tc>
        <w:tc>
          <w:tcPr>
            <w:tcW w:w="1170" w:type="dxa"/>
            <w:hideMark/>
          </w:tcPr>
          <w:p w14:paraId="3E1D6AFB" w14:textId="77777777" w:rsidR="000278F9" w:rsidRPr="000278F9" w:rsidRDefault="000278F9" w:rsidP="000278F9">
            <w:pPr>
              <w:spacing w:after="160" w:line="259" w:lineRule="auto"/>
              <w:jc w:val="both"/>
              <w:rPr>
                <w:sz w:val="18"/>
                <w:szCs w:val="18"/>
              </w:rPr>
            </w:pPr>
            <w:r w:rsidRPr="000278F9">
              <w:rPr>
                <w:sz w:val="18"/>
                <w:szCs w:val="18"/>
              </w:rPr>
              <w:t xml:space="preserve">Phase 3, double-blind, randomized, </w:t>
            </w:r>
            <w:r w:rsidRPr="000278F9">
              <w:rPr>
                <w:sz w:val="18"/>
                <w:szCs w:val="18"/>
              </w:rPr>
              <w:lastRenderedPageBreak/>
              <w:t>placebo-controlled</w:t>
            </w:r>
          </w:p>
        </w:tc>
        <w:tc>
          <w:tcPr>
            <w:tcW w:w="810" w:type="dxa"/>
            <w:hideMark/>
          </w:tcPr>
          <w:p w14:paraId="099DE8EB" w14:textId="77777777" w:rsidR="000278F9" w:rsidRPr="000278F9" w:rsidRDefault="000278F9" w:rsidP="000278F9">
            <w:pPr>
              <w:spacing w:after="160" w:line="259" w:lineRule="auto"/>
              <w:jc w:val="both"/>
              <w:rPr>
                <w:sz w:val="18"/>
                <w:szCs w:val="18"/>
              </w:rPr>
            </w:pPr>
            <w:r w:rsidRPr="000278F9">
              <w:rPr>
                <w:sz w:val="18"/>
                <w:szCs w:val="18"/>
              </w:rPr>
              <w:lastRenderedPageBreak/>
              <w:t>265</w:t>
            </w:r>
          </w:p>
        </w:tc>
        <w:tc>
          <w:tcPr>
            <w:tcW w:w="1440" w:type="dxa"/>
            <w:hideMark/>
          </w:tcPr>
          <w:p w14:paraId="09FD28A9" w14:textId="77777777" w:rsidR="000278F9" w:rsidRPr="000278F9" w:rsidRDefault="000278F9" w:rsidP="000278F9">
            <w:pPr>
              <w:spacing w:after="160" w:line="259" w:lineRule="auto"/>
              <w:jc w:val="both"/>
              <w:rPr>
                <w:sz w:val="18"/>
                <w:szCs w:val="18"/>
              </w:rPr>
            </w:pPr>
            <w:r w:rsidRPr="000278F9">
              <w:rPr>
                <w:sz w:val="18"/>
                <w:szCs w:val="18"/>
              </w:rPr>
              <w:t xml:space="preserve">Patients with PBC, aged 18-75 years, on UDCA (or UDCA-intolerant), ALP </w:t>
            </w:r>
            <w:r w:rsidRPr="000278F9">
              <w:rPr>
                <w:sz w:val="18"/>
                <w:szCs w:val="18"/>
              </w:rPr>
              <w:lastRenderedPageBreak/>
              <w:t>≥1.67×ULN, total bilirubin ≤2×ULN, stable on UDCA treatment for ≥12 months unless UDCA-intolerant</w:t>
            </w:r>
          </w:p>
        </w:tc>
        <w:tc>
          <w:tcPr>
            <w:tcW w:w="1260" w:type="dxa"/>
            <w:hideMark/>
          </w:tcPr>
          <w:p w14:paraId="500D9217" w14:textId="77777777" w:rsidR="000278F9" w:rsidRPr="000278F9" w:rsidRDefault="000278F9" w:rsidP="000278F9">
            <w:pPr>
              <w:spacing w:after="160" w:line="259" w:lineRule="auto"/>
              <w:jc w:val="both"/>
              <w:rPr>
                <w:sz w:val="18"/>
                <w:szCs w:val="18"/>
              </w:rPr>
            </w:pPr>
            <w:r w:rsidRPr="000278F9">
              <w:rPr>
                <w:sz w:val="18"/>
                <w:szCs w:val="18"/>
              </w:rPr>
              <w:lastRenderedPageBreak/>
              <w:t xml:space="preserve">Seladelpar 5 mg or 10 mg QD orally for </w:t>
            </w:r>
            <w:r w:rsidRPr="000278F9">
              <w:rPr>
                <w:sz w:val="18"/>
                <w:szCs w:val="18"/>
              </w:rPr>
              <w:lastRenderedPageBreak/>
              <w:t>up to 12 months</w:t>
            </w:r>
          </w:p>
        </w:tc>
        <w:tc>
          <w:tcPr>
            <w:tcW w:w="1260" w:type="dxa"/>
            <w:hideMark/>
          </w:tcPr>
          <w:p w14:paraId="33AA6D20" w14:textId="77777777" w:rsidR="000278F9" w:rsidRPr="000278F9" w:rsidRDefault="000278F9" w:rsidP="000278F9">
            <w:pPr>
              <w:spacing w:after="160" w:line="259" w:lineRule="auto"/>
              <w:jc w:val="both"/>
              <w:rPr>
                <w:sz w:val="18"/>
                <w:szCs w:val="18"/>
              </w:rPr>
            </w:pPr>
            <w:r w:rsidRPr="000278F9">
              <w:rPr>
                <w:sz w:val="18"/>
                <w:szCs w:val="18"/>
              </w:rPr>
              <w:lastRenderedPageBreak/>
              <w:t>Placebo; UDCA treatment continued</w:t>
            </w:r>
          </w:p>
        </w:tc>
        <w:tc>
          <w:tcPr>
            <w:tcW w:w="1350" w:type="dxa"/>
            <w:hideMark/>
          </w:tcPr>
          <w:p w14:paraId="2C292644" w14:textId="77777777" w:rsidR="000278F9" w:rsidRPr="000278F9" w:rsidRDefault="000278F9" w:rsidP="000278F9">
            <w:pPr>
              <w:spacing w:after="160" w:line="259" w:lineRule="auto"/>
              <w:jc w:val="both"/>
              <w:rPr>
                <w:sz w:val="18"/>
                <w:szCs w:val="18"/>
              </w:rPr>
            </w:pPr>
            <w:r w:rsidRPr="000278F9">
              <w:rPr>
                <w:sz w:val="18"/>
                <w:szCs w:val="18"/>
              </w:rPr>
              <w:t xml:space="preserve">Primary: Composite biochemical response (ALP &lt;1.67×ULN, </w:t>
            </w:r>
            <w:r w:rsidRPr="000278F9">
              <w:rPr>
                <w:sz w:val="18"/>
                <w:szCs w:val="18"/>
              </w:rPr>
              <w:lastRenderedPageBreak/>
              <w:t>≥15% ALP decrease from baseline, and total bilirubin ≤ULN); Secondary: ALP normalization, pruritus reduction</w:t>
            </w:r>
          </w:p>
        </w:tc>
        <w:tc>
          <w:tcPr>
            <w:tcW w:w="1710" w:type="dxa"/>
            <w:hideMark/>
          </w:tcPr>
          <w:p w14:paraId="41ADB6AD" w14:textId="77777777" w:rsidR="000278F9" w:rsidRPr="000278F9" w:rsidRDefault="000278F9" w:rsidP="000278F9">
            <w:pPr>
              <w:spacing w:after="160" w:line="259" w:lineRule="auto"/>
              <w:jc w:val="both"/>
              <w:rPr>
                <w:sz w:val="18"/>
                <w:szCs w:val="18"/>
              </w:rPr>
            </w:pPr>
            <w:r w:rsidRPr="000278F9">
              <w:rPr>
                <w:sz w:val="18"/>
                <w:szCs w:val="18"/>
              </w:rPr>
              <w:lastRenderedPageBreak/>
              <w:t xml:space="preserve">Composite response: Seladelpar 5 mg (57.1%, p&lt;0.0001) and 10 mg (78.2%, p&lt;0.0001) vs </w:t>
            </w:r>
            <w:r w:rsidRPr="000278F9">
              <w:rPr>
                <w:sz w:val="18"/>
                <w:szCs w:val="18"/>
              </w:rPr>
              <w:lastRenderedPageBreak/>
              <w:t>placebo (12.5%) at 3 months. ALP normalization: Seladelpar 10 mg (27.3%, p&lt;0.0001) vs placebo (0%). Pruritus NRS reduction: 10 mg group had a significantly greater reduction (-3.14, p=0.02) vs placebo.</w:t>
            </w:r>
          </w:p>
        </w:tc>
        <w:tc>
          <w:tcPr>
            <w:tcW w:w="990" w:type="dxa"/>
            <w:hideMark/>
          </w:tcPr>
          <w:p w14:paraId="4045D8A0" w14:textId="77777777" w:rsidR="000278F9" w:rsidRPr="000278F9" w:rsidRDefault="000278F9" w:rsidP="000278F9">
            <w:pPr>
              <w:spacing w:after="160" w:line="259" w:lineRule="auto"/>
              <w:jc w:val="both"/>
              <w:rPr>
                <w:sz w:val="18"/>
                <w:szCs w:val="18"/>
              </w:rPr>
            </w:pPr>
            <w:r w:rsidRPr="000278F9">
              <w:rPr>
                <w:sz w:val="18"/>
                <w:szCs w:val="18"/>
              </w:rPr>
              <w:lastRenderedPageBreak/>
              <w:t xml:space="preserve">≥1 TEAE: Placebo 73.6%, Seladelpar 5 mg </w:t>
            </w:r>
            <w:r w:rsidRPr="000278F9">
              <w:rPr>
                <w:sz w:val="18"/>
                <w:szCs w:val="18"/>
              </w:rPr>
              <w:lastRenderedPageBreak/>
              <w:t>62.9%, Seladelpar 10 mg 65.2%. ≥1 Serious TEAE: Placebo 3.4%, Seladelpar 5 mg 3.4%, Seladelpar 10 mg 1.1%. Most common TEAE: pruritus, upper abdominal pain, nausea. No deaths or grade 4 events reported.</w:t>
            </w:r>
          </w:p>
        </w:tc>
      </w:tr>
      <w:tr w:rsidR="000278F9" w:rsidRPr="000278F9" w14:paraId="00199EF8" w14:textId="77777777" w:rsidTr="000278F9">
        <w:trPr>
          <w:trHeight w:val="315"/>
        </w:trPr>
        <w:tc>
          <w:tcPr>
            <w:tcW w:w="990" w:type="dxa"/>
            <w:hideMark/>
          </w:tcPr>
          <w:p w14:paraId="1B9272AB" w14:textId="77777777" w:rsidR="000278F9" w:rsidRPr="000278F9" w:rsidRDefault="000278F9" w:rsidP="000278F9">
            <w:pPr>
              <w:spacing w:after="160" w:line="259" w:lineRule="auto"/>
              <w:jc w:val="both"/>
              <w:rPr>
                <w:sz w:val="18"/>
                <w:szCs w:val="18"/>
              </w:rPr>
            </w:pPr>
            <w:r w:rsidRPr="000278F9">
              <w:rPr>
                <w:sz w:val="18"/>
                <w:szCs w:val="18"/>
              </w:rPr>
              <w:t>Loomba et al. (2023)</w:t>
            </w:r>
          </w:p>
        </w:tc>
        <w:tc>
          <w:tcPr>
            <w:tcW w:w="990" w:type="dxa"/>
            <w:hideMark/>
          </w:tcPr>
          <w:p w14:paraId="5C45C264" w14:textId="77777777" w:rsidR="000278F9" w:rsidRPr="000278F9" w:rsidRDefault="000278F9" w:rsidP="000278F9">
            <w:pPr>
              <w:spacing w:after="160" w:line="259" w:lineRule="auto"/>
              <w:jc w:val="both"/>
              <w:rPr>
                <w:sz w:val="18"/>
                <w:szCs w:val="18"/>
              </w:rPr>
            </w:pPr>
            <w:r w:rsidRPr="000278F9">
              <w:rPr>
                <w:sz w:val="18"/>
                <w:szCs w:val="18"/>
              </w:rPr>
              <w:t>Multinational (Europe, USA)</w:t>
            </w:r>
          </w:p>
        </w:tc>
        <w:tc>
          <w:tcPr>
            <w:tcW w:w="1170" w:type="dxa"/>
            <w:hideMark/>
          </w:tcPr>
          <w:p w14:paraId="7B3F5FF9" w14:textId="77777777" w:rsidR="000278F9" w:rsidRPr="000278F9" w:rsidRDefault="000278F9" w:rsidP="000278F9">
            <w:pPr>
              <w:spacing w:after="160" w:line="259" w:lineRule="auto"/>
              <w:jc w:val="both"/>
              <w:rPr>
                <w:sz w:val="18"/>
                <w:szCs w:val="18"/>
              </w:rPr>
            </w:pPr>
            <w:r w:rsidRPr="000278F9">
              <w:rPr>
                <w:sz w:val="18"/>
                <w:szCs w:val="18"/>
              </w:rPr>
              <w:t>Randomized, double-blind, placebo-controlled, phase 2 trial</w:t>
            </w:r>
          </w:p>
        </w:tc>
        <w:tc>
          <w:tcPr>
            <w:tcW w:w="810" w:type="dxa"/>
            <w:hideMark/>
          </w:tcPr>
          <w:p w14:paraId="4951D801" w14:textId="77777777" w:rsidR="000278F9" w:rsidRPr="000278F9" w:rsidRDefault="000278F9" w:rsidP="000278F9">
            <w:pPr>
              <w:spacing w:after="160" w:line="259" w:lineRule="auto"/>
              <w:jc w:val="both"/>
              <w:rPr>
                <w:sz w:val="18"/>
                <w:szCs w:val="18"/>
              </w:rPr>
            </w:pPr>
            <w:r w:rsidRPr="000278F9">
              <w:rPr>
                <w:sz w:val="18"/>
                <w:szCs w:val="18"/>
              </w:rPr>
              <w:t>71</w:t>
            </w:r>
          </w:p>
        </w:tc>
        <w:tc>
          <w:tcPr>
            <w:tcW w:w="1440" w:type="dxa"/>
            <w:hideMark/>
          </w:tcPr>
          <w:p w14:paraId="63D884A3" w14:textId="77777777" w:rsidR="000278F9" w:rsidRPr="000278F9" w:rsidRDefault="000278F9" w:rsidP="000278F9">
            <w:pPr>
              <w:spacing w:after="160" w:line="259" w:lineRule="auto"/>
              <w:jc w:val="both"/>
              <w:rPr>
                <w:sz w:val="18"/>
                <w:szCs w:val="18"/>
              </w:rPr>
            </w:pPr>
            <w:r w:rsidRPr="000278F9">
              <w:rPr>
                <w:sz w:val="18"/>
                <w:szCs w:val="18"/>
              </w:rPr>
              <w:t>Male/female, aged 18–75, histological NASH with Kleiner F4, BMI ≥27 kg/m2</w:t>
            </w:r>
          </w:p>
        </w:tc>
        <w:tc>
          <w:tcPr>
            <w:tcW w:w="1260" w:type="dxa"/>
            <w:hideMark/>
          </w:tcPr>
          <w:p w14:paraId="04655F19" w14:textId="77777777" w:rsidR="000278F9" w:rsidRPr="000278F9" w:rsidRDefault="000278F9" w:rsidP="000278F9">
            <w:pPr>
              <w:spacing w:after="160" w:line="259" w:lineRule="auto"/>
              <w:jc w:val="both"/>
              <w:rPr>
                <w:sz w:val="18"/>
                <w:szCs w:val="18"/>
              </w:rPr>
            </w:pPr>
            <w:r w:rsidRPr="000278F9">
              <w:rPr>
                <w:sz w:val="18"/>
                <w:szCs w:val="18"/>
              </w:rPr>
              <w:t>Semaglutide 2.4 mg once weekly for 48 weeks, dose escalation every 4 weeks from 0.24 mg to 2.4 mg. Standard care advice on diet and lifestyle was also provided.</w:t>
            </w:r>
          </w:p>
        </w:tc>
        <w:tc>
          <w:tcPr>
            <w:tcW w:w="1260" w:type="dxa"/>
            <w:hideMark/>
          </w:tcPr>
          <w:p w14:paraId="3FFDFB8D" w14:textId="77777777" w:rsidR="000278F9" w:rsidRPr="000278F9" w:rsidRDefault="000278F9" w:rsidP="000278F9">
            <w:pPr>
              <w:spacing w:after="160" w:line="259" w:lineRule="auto"/>
              <w:jc w:val="both"/>
              <w:rPr>
                <w:sz w:val="18"/>
                <w:szCs w:val="18"/>
              </w:rPr>
            </w:pPr>
            <w:r w:rsidRPr="000278F9">
              <w:rPr>
                <w:sz w:val="18"/>
                <w:szCs w:val="18"/>
              </w:rPr>
              <w:t>Placebo group with matching injections</w:t>
            </w:r>
          </w:p>
        </w:tc>
        <w:tc>
          <w:tcPr>
            <w:tcW w:w="1350" w:type="dxa"/>
            <w:hideMark/>
          </w:tcPr>
          <w:p w14:paraId="0DA83647" w14:textId="77777777" w:rsidR="000278F9" w:rsidRPr="000278F9" w:rsidRDefault="000278F9" w:rsidP="000278F9">
            <w:pPr>
              <w:spacing w:after="160" w:line="259" w:lineRule="auto"/>
              <w:jc w:val="both"/>
              <w:rPr>
                <w:sz w:val="18"/>
                <w:szCs w:val="18"/>
              </w:rPr>
            </w:pPr>
            <w:r w:rsidRPr="000278F9">
              <w:rPr>
                <w:sz w:val="18"/>
                <w:szCs w:val="18"/>
              </w:rPr>
              <w:t>Primary: Improvement in liver fibrosis, NASH resolution. Secondary: Change in liver fat content (MRI), liver stiffness (MRE), adverse events.</w:t>
            </w:r>
          </w:p>
        </w:tc>
        <w:tc>
          <w:tcPr>
            <w:tcW w:w="1710" w:type="dxa"/>
            <w:hideMark/>
          </w:tcPr>
          <w:p w14:paraId="09370468" w14:textId="77777777" w:rsidR="000278F9" w:rsidRPr="000278F9" w:rsidRDefault="000278F9" w:rsidP="000278F9">
            <w:pPr>
              <w:spacing w:after="160" w:line="259" w:lineRule="auto"/>
              <w:jc w:val="both"/>
              <w:rPr>
                <w:sz w:val="18"/>
                <w:szCs w:val="18"/>
              </w:rPr>
            </w:pPr>
            <w:r w:rsidRPr="000278F9">
              <w:rPr>
                <w:sz w:val="18"/>
                <w:szCs w:val="18"/>
              </w:rPr>
              <w:t>Liver Fibrosis Improvement: No significant difference between semaglutide and placebo (p=0.087)</w:t>
            </w:r>
            <w:r w:rsidRPr="000278F9">
              <w:rPr>
                <w:sz w:val="18"/>
                <w:szCs w:val="18"/>
              </w:rPr>
              <w:br/>
              <w:t>NASH Resolution: No significant difference between semaglutide and placebo (p=0.29)</w:t>
            </w:r>
            <w:r w:rsidRPr="000278F9">
              <w:rPr>
                <w:sz w:val="18"/>
                <w:szCs w:val="18"/>
              </w:rPr>
              <w:br/>
              <w:t>Liver Steatosis: Significant reduction in liver steatosis with semaglutide (p=0.0042)</w:t>
            </w:r>
            <w:r w:rsidRPr="000278F9">
              <w:rPr>
                <w:sz w:val="18"/>
                <w:szCs w:val="18"/>
              </w:rPr>
              <w:br/>
              <w:t>ALT Reduction: Significant reduction in ALT levels with semaglutide (p=0.0090)</w:t>
            </w:r>
            <w:r w:rsidRPr="000278F9">
              <w:rPr>
                <w:sz w:val="18"/>
                <w:szCs w:val="18"/>
              </w:rPr>
              <w:br/>
              <w:t>Weight Loss: Significant weight loss with semaglutide (p&lt;0.0001)</w:t>
            </w:r>
          </w:p>
        </w:tc>
        <w:tc>
          <w:tcPr>
            <w:tcW w:w="990" w:type="dxa"/>
            <w:hideMark/>
          </w:tcPr>
          <w:p w14:paraId="1EB0CF9E" w14:textId="77777777" w:rsidR="000278F9" w:rsidRPr="000278F9" w:rsidRDefault="000278F9" w:rsidP="000278F9">
            <w:pPr>
              <w:spacing w:after="160" w:line="259" w:lineRule="auto"/>
              <w:jc w:val="both"/>
              <w:rPr>
                <w:sz w:val="18"/>
                <w:szCs w:val="18"/>
              </w:rPr>
            </w:pPr>
            <w:r w:rsidRPr="000278F9">
              <w:rPr>
                <w:sz w:val="18"/>
                <w:szCs w:val="18"/>
              </w:rPr>
              <w:t>89% of patients on semaglutide experienced adverse events, mostly mild/moderate gastrointestinal issues (e.g., nausea, diarrhea, vomiting). Serious adverse events in 13% of the semaglutide group. No decompensating liver events.</w:t>
            </w:r>
          </w:p>
        </w:tc>
      </w:tr>
      <w:tr w:rsidR="000278F9" w:rsidRPr="000278F9" w14:paraId="7C2BFA8D" w14:textId="77777777" w:rsidTr="000278F9">
        <w:trPr>
          <w:trHeight w:val="315"/>
        </w:trPr>
        <w:tc>
          <w:tcPr>
            <w:tcW w:w="990" w:type="dxa"/>
            <w:hideMark/>
          </w:tcPr>
          <w:p w14:paraId="71F436E7" w14:textId="77777777" w:rsidR="000278F9" w:rsidRPr="000278F9" w:rsidRDefault="000278F9" w:rsidP="000278F9">
            <w:pPr>
              <w:spacing w:after="160" w:line="259" w:lineRule="auto"/>
              <w:jc w:val="both"/>
              <w:rPr>
                <w:sz w:val="18"/>
                <w:szCs w:val="18"/>
              </w:rPr>
            </w:pPr>
            <w:r w:rsidRPr="000278F9">
              <w:rPr>
                <w:sz w:val="18"/>
                <w:szCs w:val="18"/>
              </w:rPr>
              <w:lastRenderedPageBreak/>
              <w:t>Haldar et al. (2020)</w:t>
            </w:r>
          </w:p>
        </w:tc>
        <w:tc>
          <w:tcPr>
            <w:tcW w:w="990" w:type="dxa"/>
            <w:hideMark/>
          </w:tcPr>
          <w:p w14:paraId="40EB3F92" w14:textId="77777777" w:rsidR="000278F9" w:rsidRPr="000278F9" w:rsidRDefault="000278F9" w:rsidP="000278F9">
            <w:pPr>
              <w:spacing w:after="160" w:line="259" w:lineRule="auto"/>
              <w:jc w:val="both"/>
              <w:rPr>
                <w:sz w:val="18"/>
                <w:szCs w:val="18"/>
              </w:rPr>
            </w:pPr>
            <w:r w:rsidRPr="000278F9">
              <w:rPr>
                <w:sz w:val="18"/>
                <w:szCs w:val="18"/>
              </w:rPr>
              <w:t>UK</w:t>
            </w:r>
          </w:p>
        </w:tc>
        <w:tc>
          <w:tcPr>
            <w:tcW w:w="1170" w:type="dxa"/>
            <w:hideMark/>
          </w:tcPr>
          <w:p w14:paraId="1BF28AB3"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42BFB385" w14:textId="77777777" w:rsidR="000278F9" w:rsidRPr="000278F9" w:rsidRDefault="000278F9" w:rsidP="000278F9">
            <w:pPr>
              <w:spacing w:after="160" w:line="259" w:lineRule="auto"/>
              <w:jc w:val="both"/>
              <w:rPr>
                <w:sz w:val="18"/>
                <w:szCs w:val="18"/>
              </w:rPr>
            </w:pPr>
            <w:r w:rsidRPr="000278F9">
              <w:rPr>
                <w:sz w:val="18"/>
                <w:szCs w:val="18"/>
              </w:rPr>
              <w:t>499</w:t>
            </w:r>
          </w:p>
        </w:tc>
        <w:tc>
          <w:tcPr>
            <w:tcW w:w="1440" w:type="dxa"/>
            <w:hideMark/>
          </w:tcPr>
          <w:p w14:paraId="4F56BB86" w14:textId="77777777" w:rsidR="000278F9" w:rsidRPr="000278F9" w:rsidRDefault="000278F9" w:rsidP="000278F9">
            <w:pPr>
              <w:spacing w:after="160" w:line="259" w:lineRule="auto"/>
              <w:jc w:val="both"/>
              <w:rPr>
                <w:sz w:val="18"/>
                <w:szCs w:val="18"/>
              </w:rPr>
            </w:pPr>
            <w:r w:rsidRPr="000278F9">
              <w:rPr>
                <w:sz w:val="18"/>
                <w:szCs w:val="18"/>
              </w:rPr>
              <w:t>Patients with PBC, mostly female (88.4%), mean age 51.5 years, AMA-negative cases included</w:t>
            </w:r>
          </w:p>
        </w:tc>
        <w:tc>
          <w:tcPr>
            <w:tcW w:w="1260" w:type="dxa"/>
            <w:hideMark/>
          </w:tcPr>
          <w:p w14:paraId="4D64E516" w14:textId="77777777" w:rsidR="000278F9" w:rsidRPr="000278F9" w:rsidRDefault="000278F9" w:rsidP="000278F9">
            <w:pPr>
              <w:spacing w:after="160" w:line="259" w:lineRule="auto"/>
              <w:jc w:val="both"/>
              <w:rPr>
                <w:sz w:val="18"/>
                <w:szCs w:val="18"/>
              </w:rPr>
            </w:pPr>
            <w:r w:rsidRPr="000278F9">
              <w:rPr>
                <w:sz w:val="18"/>
                <w:szCs w:val="18"/>
              </w:rPr>
              <w:t>Immune serological testing for various auto-antibodies</w:t>
            </w:r>
          </w:p>
        </w:tc>
        <w:tc>
          <w:tcPr>
            <w:tcW w:w="1260" w:type="dxa"/>
            <w:hideMark/>
          </w:tcPr>
          <w:p w14:paraId="32B55BED" w14:textId="77777777" w:rsidR="000278F9" w:rsidRPr="000278F9" w:rsidRDefault="000278F9" w:rsidP="000278F9">
            <w:pPr>
              <w:spacing w:after="160" w:line="259" w:lineRule="auto"/>
              <w:jc w:val="both"/>
              <w:rPr>
                <w:sz w:val="18"/>
                <w:szCs w:val="18"/>
              </w:rPr>
            </w:pPr>
            <w:r w:rsidRPr="000278F9">
              <w:rPr>
                <w:sz w:val="18"/>
                <w:szCs w:val="18"/>
              </w:rPr>
              <w:t>None</w:t>
            </w:r>
          </w:p>
        </w:tc>
        <w:tc>
          <w:tcPr>
            <w:tcW w:w="1350" w:type="dxa"/>
            <w:hideMark/>
          </w:tcPr>
          <w:p w14:paraId="72947241" w14:textId="77777777" w:rsidR="000278F9" w:rsidRPr="000278F9" w:rsidRDefault="000278F9" w:rsidP="000278F9">
            <w:pPr>
              <w:spacing w:after="160" w:line="259" w:lineRule="auto"/>
              <w:jc w:val="both"/>
              <w:rPr>
                <w:sz w:val="18"/>
                <w:szCs w:val="18"/>
              </w:rPr>
            </w:pPr>
            <w:r w:rsidRPr="000278F9">
              <w:rPr>
                <w:sz w:val="18"/>
                <w:szCs w:val="18"/>
              </w:rPr>
              <w:t>Anti-gp210 and anti-sp100 highly specific for PBC. Anti-gp210 associated with poor prognosis and non-response to UDCA</w:t>
            </w:r>
          </w:p>
        </w:tc>
        <w:tc>
          <w:tcPr>
            <w:tcW w:w="1710" w:type="dxa"/>
            <w:hideMark/>
          </w:tcPr>
          <w:p w14:paraId="43F01BAD" w14:textId="77777777" w:rsidR="000278F9" w:rsidRPr="000278F9" w:rsidRDefault="000278F9" w:rsidP="000278F9">
            <w:pPr>
              <w:spacing w:after="160" w:line="259" w:lineRule="auto"/>
              <w:jc w:val="both"/>
              <w:rPr>
                <w:sz w:val="18"/>
                <w:szCs w:val="18"/>
              </w:rPr>
            </w:pPr>
            <w:r w:rsidRPr="000278F9">
              <w:rPr>
                <w:sz w:val="18"/>
                <w:szCs w:val="18"/>
              </w:rPr>
              <w:t>Anti-gp210 associated with poor transplant-free survival: HR 2.292 (95% CI 1.405–3.737, P=0.001). Non-response to UDCA predicted by anti-gp210 (P=0.005)</w:t>
            </w:r>
          </w:p>
        </w:tc>
        <w:tc>
          <w:tcPr>
            <w:tcW w:w="990" w:type="dxa"/>
            <w:hideMark/>
          </w:tcPr>
          <w:p w14:paraId="6D62A39F"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75888CD8" w14:textId="77777777" w:rsidTr="000278F9">
        <w:trPr>
          <w:trHeight w:val="315"/>
        </w:trPr>
        <w:tc>
          <w:tcPr>
            <w:tcW w:w="990" w:type="dxa"/>
            <w:hideMark/>
          </w:tcPr>
          <w:p w14:paraId="3E37F3BA" w14:textId="77777777" w:rsidR="000278F9" w:rsidRPr="000278F9" w:rsidRDefault="000278F9" w:rsidP="000278F9">
            <w:pPr>
              <w:spacing w:after="160" w:line="259" w:lineRule="auto"/>
              <w:jc w:val="both"/>
              <w:rPr>
                <w:sz w:val="18"/>
                <w:szCs w:val="18"/>
              </w:rPr>
            </w:pPr>
            <w:r w:rsidRPr="000278F9">
              <w:rPr>
                <w:sz w:val="18"/>
                <w:szCs w:val="18"/>
              </w:rPr>
              <w:t>Carbone et al. (2018)</w:t>
            </w:r>
          </w:p>
        </w:tc>
        <w:tc>
          <w:tcPr>
            <w:tcW w:w="990" w:type="dxa"/>
            <w:hideMark/>
          </w:tcPr>
          <w:p w14:paraId="038DEDD5" w14:textId="77777777" w:rsidR="000278F9" w:rsidRPr="000278F9" w:rsidRDefault="000278F9" w:rsidP="000278F9">
            <w:pPr>
              <w:spacing w:after="160" w:line="259" w:lineRule="auto"/>
              <w:jc w:val="both"/>
              <w:rPr>
                <w:sz w:val="18"/>
                <w:szCs w:val="18"/>
              </w:rPr>
            </w:pPr>
            <w:r w:rsidRPr="000278F9">
              <w:rPr>
                <w:sz w:val="18"/>
                <w:szCs w:val="18"/>
              </w:rPr>
              <w:t>UK (derivation cohort), Italy (validation cohort)</w:t>
            </w:r>
          </w:p>
        </w:tc>
        <w:tc>
          <w:tcPr>
            <w:tcW w:w="1170" w:type="dxa"/>
            <w:hideMark/>
          </w:tcPr>
          <w:p w14:paraId="76E9ADE3"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7DC0CF6D" w14:textId="77777777" w:rsidR="000278F9" w:rsidRPr="000278F9" w:rsidRDefault="000278F9" w:rsidP="000278F9">
            <w:pPr>
              <w:spacing w:after="160" w:line="259" w:lineRule="auto"/>
              <w:jc w:val="both"/>
              <w:rPr>
                <w:sz w:val="18"/>
                <w:szCs w:val="18"/>
              </w:rPr>
            </w:pPr>
            <w:r w:rsidRPr="000278F9">
              <w:rPr>
                <w:sz w:val="18"/>
                <w:szCs w:val="18"/>
              </w:rPr>
              <w:t>2,703 (UK), 460 (Italy)</w:t>
            </w:r>
          </w:p>
        </w:tc>
        <w:tc>
          <w:tcPr>
            <w:tcW w:w="1440" w:type="dxa"/>
            <w:hideMark/>
          </w:tcPr>
          <w:p w14:paraId="68E29370" w14:textId="77777777" w:rsidR="000278F9" w:rsidRPr="000278F9" w:rsidRDefault="000278F9" w:rsidP="000278F9">
            <w:pPr>
              <w:spacing w:after="160" w:line="259" w:lineRule="auto"/>
              <w:jc w:val="both"/>
              <w:rPr>
                <w:sz w:val="18"/>
                <w:szCs w:val="18"/>
              </w:rPr>
            </w:pPr>
            <w:r w:rsidRPr="000278F9">
              <w:rPr>
                <w:sz w:val="18"/>
                <w:szCs w:val="18"/>
              </w:rPr>
              <w:t>Median age 56.8 years, 89.7% female (UK); 92% female, median age 52 years (Italy). All patients had PBC and were treated with UDCA.</w:t>
            </w:r>
          </w:p>
        </w:tc>
        <w:tc>
          <w:tcPr>
            <w:tcW w:w="1260" w:type="dxa"/>
            <w:hideMark/>
          </w:tcPr>
          <w:p w14:paraId="573F1FDB" w14:textId="77777777" w:rsidR="000278F9" w:rsidRPr="000278F9" w:rsidRDefault="000278F9" w:rsidP="000278F9">
            <w:pPr>
              <w:spacing w:after="160" w:line="259" w:lineRule="auto"/>
              <w:jc w:val="both"/>
              <w:rPr>
                <w:sz w:val="18"/>
                <w:szCs w:val="18"/>
              </w:rPr>
            </w:pPr>
            <w:r w:rsidRPr="000278F9">
              <w:rPr>
                <w:sz w:val="18"/>
                <w:szCs w:val="18"/>
              </w:rPr>
              <w:t>Ursodeoxycholic acid (UDCA) therapy</w:t>
            </w:r>
          </w:p>
        </w:tc>
        <w:tc>
          <w:tcPr>
            <w:tcW w:w="1260" w:type="dxa"/>
            <w:hideMark/>
          </w:tcPr>
          <w:p w14:paraId="2BB5EB2D" w14:textId="77777777" w:rsidR="000278F9" w:rsidRPr="000278F9" w:rsidRDefault="000278F9" w:rsidP="000278F9">
            <w:pPr>
              <w:spacing w:after="160" w:line="259" w:lineRule="auto"/>
              <w:jc w:val="both"/>
              <w:rPr>
                <w:sz w:val="18"/>
                <w:szCs w:val="18"/>
              </w:rPr>
            </w:pPr>
            <w:r w:rsidRPr="000278F9">
              <w:rPr>
                <w:sz w:val="18"/>
                <w:szCs w:val="18"/>
              </w:rPr>
              <w:t>N/A</w:t>
            </w:r>
          </w:p>
        </w:tc>
        <w:tc>
          <w:tcPr>
            <w:tcW w:w="1350" w:type="dxa"/>
            <w:hideMark/>
          </w:tcPr>
          <w:p w14:paraId="7D0BF649" w14:textId="77777777" w:rsidR="000278F9" w:rsidRPr="000278F9" w:rsidRDefault="000278F9" w:rsidP="000278F9">
            <w:pPr>
              <w:spacing w:after="160" w:line="259" w:lineRule="auto"/>
              <w:jc w:val="both"/>
              <w:rPr>
                <w:sz w:val="18"/>
                <w:szCs w:val="18"/>
              </w:rPr>
            </w:pPr>
            <w:r w:rsidRPr="000278F9">
              <w:rPr>
                <w:sz w:val="18"/>
                <w:szCs w:val="18"/>
              </w:rPr>
              <w:t>Predictors of UDCA response, including age, ALP, TB, TA, and treatment time lag, were identified and modeled.</w:t>
            </w:r>
          </w:p>
        </w:tc>
        <w:tc>
          <w:tcPr>
            <w:tcW w:w="1710" w:type="dxa"/>
            <w:hideMark/>
          </w:tcPr>
          <w:p w14:paraId="4EF43FA9" w14:textId="77777777" w:rsidR="000278F9" w:rsidRPr="000278F9" w:rsidRDefault="000278F9" w:rsidP="000278F9">
            <w:pPr>
              <w:spacing w:after="160" w:line="259" w:lineRule="auto"/>
              <w:jc w:val="both"/>
              <w:rPr>
                <w:sz w:val="18"/>
                <w:szCs w:val="18"/>
              </w:rPr>
            </w:pPr>
            <w:r w:rsidRPr="000278F9">
              <w:rPr>
                <w:sz w:val="18"/>
                <w:szCs w:val="18"/>
              </w:rPr>
              <w:t>The best-fitting logistic regression model included five variables: ALPdiag (p &lt; 0.0001), TBdiag (p = 0.0003), TAdiag (p = 0.0012), age (p &lt; 0.0001), treatment time lag (p &lt; 0.0001), and ΔALP (p &lt; 0.0001). Internal validation AUROC = 0.87; external validation AUROC = 0.83.</w:t>
            </w:r>
          </w:p>
        </w:tc>
        <w:tc>
          <w:tcPr>
            <w:tcW w:w="990" w:type="dxa"/>
            <w:hideMark/>
          </w:tcPr>
          <w:p w14:paraId="0B3B1B07"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5F0C970C" w14:textId="77777777" w:rsidTr="00C20BAB">
        <w:trPr>
          <w:trHeight w:val="315"/>
        </w:trPr>
        <w:tc>
          <w:tcPr>
            <w:tcW w:w="11970" w:type="dxa"/>
            <w:gridSpan w:val="10"/>
          </w:tcPr>
          <w:p w14:paraId="2FE0D308" w14:textId="4BC7F900" w:rsidR="000278F9" w:rsidRPr="000278F9" w:rsidRDefault="000278F9" w:rsidP="000278F9">
            <w:pPr>
              <w:jc w:val="both"/>
              <w:rPr>
                <w:sz w:val="18"/>
                <w:szCs w:val="18"/>
              </w:rPr>
            </w:pPr>
            <w:r w:rsidRPr="0036396A">
              <w:rPr>
                <w:b/>
                <w:bCs/>
                <w:sz w:val="18"/>
                <w:szCs w:val="18"/>
              </w:rPr>
              <w:t>Abbreviations:</w:t>
            </w:r>
            <w:r>
              <w:rPr>
                <w:sz w:val="18"/>
                <w:szCs w:val="18"/>
              </w:rPr>
              <w:t xml:space="preserve"> </w:t>
            </w:r>
            <w:r w:rsidR="0036396A" w:rsidRPr="0036396A">
              <w:rPr>
                <w:sz w:val="18"/>
                <w:szCs w:val="18"/>
              </w:rPr>
              <w:t>ALB: Albumin; ALP: Alkaline phosphatase; ALT: Alanine aminotransferase; AMA: Anti-mitochondrial antibodies; AST: Aspartate aminotransferase; AUROC: Area under the receiver operating characteristic; BMI: Body mass index; EC: External control; HR: Hazard ratio; I TT: Intention-to-treat; LT: Liver transplant; MRI: Magnetic resonance imaging; MRE: Magnetic resonance elastography; NASH: Non-alcoholic steatohepatitis; NRS: Numerical rating scale; OCA: Obeticholic acid; PBC: Primary biliary cholangitis; RCT: Randomized controlled trial; TB: Total bilirubin; TA: Transaminases; TEAE: Treatment-emergent adverse event; UDCA: Ursodeoxycholic acid; ULN: Upper limit of normal</w:t>
            </w:r>
          </w:p>
        </w:tc>
      </w:tr>
    </w:tbl>
    <w:p w14:paraId="4092CF47" w14:textId="010A12FD" w:rsidR="00C671E7" w:rsidRDefault="00C671E7" w:rsidP="00C671E7">
      <w:pPr>
        <w:jc w:val="both"/>
      </w:pPr>
      <w:r>
        <w:t>Corpechot et al. (2024) conducted a retrospective cohort study involving 1,047 patients who had responded adequately to UDCA treatment according to the Paris-2 criteria. The study aimed to assess whether normal alkaline phosphatase (ALP) levels in UDCA-treated patients were associated with improved long-term survival. Findings demonstrated that normal ALP levels were linked to a significant gain in survival without liver-related complications over a 10-year period (mean gain of 7.6 months, p=0.003). Subgroup analysis showed that patients with liver stiffness ≥10 kPa and/or age ≤62 years experienced a notably larger survival gain (52.8 months, p&lt;0.001), underscoring the importance of maintaining normal ALP levels in such populations</w:t>
      </w:r>
      <w:r w:rsidR="00322A66">
        <w:t xml:space="preserve"> (11)</w:t>
      </w:r>
      <w:r>
        <w:t>.</w:t>
      </w:r>
    </w:p>
    <w:p w14:paraId="78780FD2" w14:textId="61FB80C1" w:rsidR="00C671E7" w:rsidRDefault="00C671E7" w:rsidP="00C671E7">
      <w:pPr>
        <w:jc w:val="both"/>
      </w:pPr>
      <w:r>
        <w:t>Kowdley et al. (2024) conducted a phase 3b/4 double-blind randomized controlled trial (RCT) comparing obeticholic acid (OCA) to placebo in 434 PBC patients, with an additional external control cohort of 1,051 patients. While no significant difference was observed between OCA and placebo in the intent-to-treat analysis of the composite endpoint of death, liver transplant, or hepatic decompensation (HR 1.01, 95% CI 0.68–1.51), the external control analysis demonstrated that OCA significantly reduced these events compared to untreated patients (HR 0.39, 95% CI 0.22–0.69, p=0.001). However, OCA was associated with high rates of adverse events, particularly pruritus (78.6%), and 30.6% of OCA patients discontinued treatment due to this side effect</w:t>
      </w:r>
      <w:r w:rsidR="00322A66">
        <w:t xml:space="preserve"> (12)</w:t>
      </w:r>
      <w:r>
        <w:t>.</w:t>
      </w:r>
    </w:p>
    <w:p w14:paraId="7B63157D" w14:textId="55B44EDA" w:rsidR="00C671E7" w:rsidRDefault="00C671E7" w:rsidP="00C671E7">
      <w:pPr>
        <w:jc w:val="both"/>
      </w:pPr>
      <w:r>
        <w:t xml:space="preserve">Roberts et al. (2024) performed a retrospective cohort study involving 823 Canadian PBC patients, validated by a cohort of 2,237 patients from the GLOBAL PBC registry. This study aimed to </w:t>
      </w:r>
      <w:r>
        <w:lastRenderedPageBreak/>
        <w:t>evaluate transitions between biochemical response states and their association with liver transplant (LT) or death. Patients who retained their initial biochemical response to UDCA had lower rates of LT or death compared to those who lost their response over time. Conversely, patients who regained biochemical response after losing it showed improved outcomes (relative rate 0.016, 95% CI 0.001–0.568, p&lt;0.05). The findings were validated in the external cohort, reinforcing the critical role of sustained biochemical response in long-term outcomes</w:t>
      </w:r>
      <w:r w:rsidR="00322A66">
        <w:t xml:space="preserve"> (13)</w:t>
      </w:r>
      <w:r>
        <w:t>.</w:t>
      </w:r>
    </w:p>
    <w:p w14:paraId="5E4C5E42" w14:textId="0168E1DF" w:rsidR="00C671E7" w:rsidRDefault="00C671E7" w:rsidP="00C671E7">
      <w:pPr>
        <w:jc w:val="both"/>
      </w:pPr>
      <w:r>
        <w:t>In a phase 3 RCT by Hirschfield et al. (2023), 265 patients with PBC were randomized to receive either seladelpar 5 mg, seladelpar 10 mg, or placebo. The study found that a higher proportion of patients receiving seladelpar 5 mg (57.1%, p&lt;0.0001) and 10 mg (78.2%, p&lt;0.0001) achieved a composite biochemical response (ALP &lt;1.67×ULN, ≥15% reduction in ALP, and normal bilirubin) compared to placebo (12.5%). Additionally, 27.3% of patients on seladelpar 10 mg normalized their ALP levels, significantly higher than placebo (p&lt;0.0001). Pruritus was notably reduced in the seladelpar 10 mg group (p=0.02), with a favorable safety profile</w:t>
      </w:r>
      <w:r w:rsidR="00127578">
        <w:t xml:space="preserve"> (14).</w:t>
      </w:r>
    </w:p>
    <w:p w14:paraId="64DD80C9" w14:textId="7C5B46BC" w:rsidR="00C671E7" w:rsidRDefault="00C671E7" w:rsidP="00C671E7">
      <w:pPr>
        <w:jc w:val="both"/>
      </w:pPr>
      <w:r>
        <w:t>Loomba et al. (2023) investigated semaglutide in a phase 2 trial, enrolling 71 patients with histological NASH. While semaglutide did not show significant improvement in liver fibrosis or NASH resolution, it was effective in reducing liver steatosis (p=0.0042), ALT levels (p=0.0090), and achieving weight loss (p&lt;0.0001). Most patients experienced mild gastrointestinal side effects, and there were no significant liver-related adverse events</w:t>
      </w:r>
      <w:r w:rsidR="00127578">
        <w:t xml:space="preserve"> (15)</w:t>
      </w:r>
      <w:r>
        <w:t>.</w:t>
      </w:r>
    </w:p>
    <w:p w14:paraId="20A29E1A" w14:textId="56C001E5" w:rsidR="00C671E7" w:rsidRDefault="00C671E7" w:rsidP="00C671E7">
      <w:pPr>
        <w:jc w:val="both"/>
      </w:pPr>
      <w:r>
        <w:t>Haldar et al. (2020) conducted a retrospective cohort study on 499 PBC patients, finding that the presence of anti-gp210 antibodies was associated with poor prognosis and non-response to UDCA. Anti-gp210 was significantly linked with worse transplant-free survival (HR 2.292, p=0.001), highlighting its potential as a marker for poor outcomes in PBC patients</w:t>
      </w:r>
      <w:r w:rsidR="00127578">
        <w:t xml:space="preserve"> (16)</w:t>
      </w:r>
      <w:r>
        <w:t>.</w:t>
      </w:r>
    </w:p>
    <w:p w14:paraId="3C412CAC" w14:textId="360C06E6" w:rsidR="00C671E7" w:rsidRDefault="00C671E7" w:rsidP="00C671E7">
      <w:pPr>
        <w:jc w:val="both"/>
      </w:pPr>
      <w:r>
        <w:t>Carbone et al. (2018) developed a predictive model for UDCA response based on a retrospective cohort of 2,703 UK patients, validated in a cohort of 460 Italian patients. The model identified five key predictors of UDCA response: ALP, total bilirubin (TB), transaminases (TA), age at diagnosis, and treatment time lag. This model demonstrated high accuracy (AUROC 0.87 in internal validation, 0.83 in external validation) in predicting which patients would respond to UDCA treatment, offering a valuable tool for clinical decision-making</w:t>
      </w:r>
      <w:r w:rsidR="00127578">
        <w:t xml:space="preserve"> (17)</w:t>
      </w:r>
      <w:r>
        <w:t>.</w:t>
      </w:r>
    </w:p>
    <w:p w14:paraId="23318B6C" w14:textId="58F54F22" w:rsidR="000C42CE" w:rsidRDefault="00C671E7" w:rsidP="00C671E7">
      <w:pPr>
        <w:jc w:val="both"/>
      </w:pPr>
      <w:r>
        <w:t>These studies provide evidence for the efficacy of biologic therapies like obeticholic acid and seladelpar in managing PBC, although safety concerns, particularly related to pruritus, remain a significant consideration. Maintaining biochemical response, especially in terms of ALP levels, continues to be a key factor in improving long-term outcomes in PBC patients</w:t>
      </w:r>
      <w:r w:rsidR="00127578">
        <w:t>.</w:t>
      </w:r>
    </w:p>
    <w:p w14:paraId="2BC5319D" w14:textId="504B9878" w:rsidR="000C42CE" w:rsidRPr="00C04EE2" w:rsidRDefault="000C42CE" w:rsidP="00C671E7">
      <w:pPr>
        <w:jc w:val="both"/>
        <w:rPr>
          <w:b/>
          <w:bCs/>
        </w:rPr>
      </w:pPr>
      <w:r w:rsidRPr="00C04EE2">
        <w:rPr>
          <w:b/>
          <w:bCs/>
        </w:rPr>
        <w:t>Discussion</w:t>
      </w:r>
    </w:p>
    <w:p w14:paraId="7ABCF86A" w14:textId="7755EAFE" w:rsidR="00C04EE2" w:rsidRDefault="00C04EE2" w:rsidP="00C04EE2">
      <w:pPr>
        <w:jc w:val="both"/>
      </w:pPr>
      <w:r>
        <w:t>The findings from this systematic review provide valuable insights into the efficacy and safety of biologic therapies in managing PBC. The emergence of biologics, including OCA and newer agents like seladelpar, represents an important advancement in treating patients who do not respond adequately to standard UDCA therapy</w:t>
      </w:r>
      <w:r w:rsidR="00616A22">
        <w:t xml:space="preserve"> (18)</w:t>
      </w:r>
      <w:r>
        <w:t xml:space="preserve">. These biologics target immune pathways involved in PBC pathogenesis, offering potential for better disease control, especially in high-risk </w:t>
      </w:r>
      <w:r>
        <w:lastRenderedPageBreak/>
        <w:t>populations. However, despite their promise, biologics are associated with significant challenges, particularly in terms of safety and tolerability</w:t>
      </w:r>
      <w:r w:rsidR="00616A22">
        <w:t xml:space="preserve"> (19)</w:t>
      </w:r>
      <w:r>
        <w:t>.</w:t>
      </w:r>
    </w:p>
    <w:p w14:paraId="618F72D9" w14:textId="54CE19F2" w:rsidR="00C04EE2" w:rsidRDefault="00C04EE2" w:rsidP="00C04EE2">
      <w:pPr>
        <w:jc w:val="both"/>
      </w:pPr>
      <w:r>
        <w:t>Biologic therapies such as OCA and seladelpar have demonstrated clear efficacy in improving key biochemical markers associated with PBC progression</w:t>
      </w:r>
      <w:r w:rsidR="001253C4">
        <w:t xml:space="preserve"> (20)</w:t>
      </w:r>
      <w:r>
        <w:t>. For example, seladelpar has shown significant reductions in ALP levels, which is crucial as ALP normalization is strongly linked to improved long-term outcomes, including reduced risk of liver transplantation and death</w:t>
      </w:r>
      <w:r w:rsidR="00315838">
        <w:t xml:space="preserve"> (21)</w:t>
      </w:r>
      <w:r>
        <w:t>. The phase 3 trial by Hirschfield et al. (2023) demonstrated that a significantly higher proportion of patients receiving seladelpar achieved a composite biochemical response compared to placebo, suggesting the potential of biologics to address unmet therapeutic needs in PBC patients who do not respond adequately to UDCA. Similarly, OCA reduced liver-related events in external control analysis, further underscoring its potential efficacy in more advanced disease stages.</w:t>
      </w:r>
    </w:p>
    <w:p w14:paraId="47EFA2AB" w14:textId="037EBFAC" w:rsidR="00C04EE2" w:rsidRDefault="00C04EE2" w:rsidP="00C04EE2">
      <w:pPr>
        <w:jc w:val="both"/>
      </w:pPr>
      <w:r>
        <w:t>Current research emphasizes that maintaining a biochemical response, particularly in terms of ALP levels, is critical for improving long-term prognosis in PBC</w:t>
      </w:r>
      <w:r w:rsidR="00B44435">
        <w:t xml:space="preserve"> (22-24)</w:t>
      </w:r>
      <w:r>
        <w:t>. This aligns with the findings from studies like Corpechot et al. (2024) and Roberts et al. (2024), which highlighted the importance of biochemical monitoring throughout treatment. In their studies, patients who maintained normal ALP levels or regained response after initially losing it had significantly better outcomes, including lower rates of liver transplantation or death.</w:t>
      </w:r>
    </w:p>
    <w:p w14:paraId="69BA2740" w14:textId="17DB20BD" w:rsidR="00C04EE2" w:rsidRDefault="00C04EE2" w:rsidP="00C04EE2">
      <w:pPr>
        <w:jc w:val="both"/>
      </w:pPr>
      <w:r>
        <w:t xml:space="preserve">While biologics offer new therapeutic options, their safety profiles raise significant concerns, particularly with regard to pruritus. </w:t>
      </w:r>
      <w:r w:rsidRPr="006D4B49">
        <w:t>OCA, for example, was associated with a high incidence of pruritus, with nearly 79% of patients reporting this adverse event, leading to treatment discontinuation in over 30% of cases</w:t>
      </w:r>
      <w:r w:rsidR="00455F1F" w:rsidRPr="006D4B49">
        <w:t xml:space="preserve"> (25)</w:t>
      </w:r>
      <w:r w:rsidRPr="006D4B49">
        <w:t xml:space="preserve">. </w:t>
      </w:r>
      <w:r>
        <w:t>This poses a major clinical challenge, as pruritus is already a common and distressing symptom in PBC. Effective strategies to manage pruritus and other adverse effects will be essential to improving adherence and long-term outcomes for patients receiving biologic therapies</w:t>
      </w:r>
      <w:r w:rsidR="006D4B49">
        <w:t xml:space="preserve"> (26)</w:t>
      </w:r>
      <w:r>
        <w:t>.</w:t>
      </w:r>
    </w:p>
    <w:p w14:paraId="52F96421" w14:textId="4C83B040" w:rsidR="00C04EE2" w:rsidRDefault="00C04EE2" w:rsidP="00C04EE2">
      <w:pPr>
        <w:jc w:val="both"/>
      </w:pPr>
      <w:r>
        <w:t>Other adverse events, such as gastrointestinal symptoms (e.g., nausea, abdominal pain) and peripheral edema, were also reported across studies. These side effects, while less frequent than pruritus, still present a challenge in managing patients on biologic treatments. The safety profiles of biologics must be carefully balanced against their efficacy, particularly in patients with advanced disease who may be more vulnerable to adverse events. This aligns with findings from broader research on biologic therapies in autoimmune diseases, where tolerability remains a key factor influencing long-term adherence and treatment success.</w:t>
      </w:r>
    </w:p>
    <w:p w14:paraId="154E646D" w14:textId="37115F1D" w:rsidR="00C04EE2" w:rsidRDefault="00C04EE2" w:rsidP="00C04EE2">
      <w:pPr>
        <w:jc w:val="both"/>
      </w:pPr>
      <w:r>
        <w:t>Recent research highlights the growing importance of biologics in the treatment of PBC, particularly for patients who exhibit an incomplete response to UDCA</w:t>
      </w:r>
      <w:r w:rsidR="008816DC">
        <w:t xml:space="preserve"> (27, 28)</w:t>
      </w:r>
      <w:r>
        <w:t>. Advances in understanding the immune mechanisms underlying PBC have paved the way for these targeted therapies, which aim to modulate immune responses involved in disease progression. However, despite the promising results seen with agents like OCA and seladelpar, safety and tolerability remain critical concerns.</w:t>
      </w:r>
    </w:p>
    <w:p w14:paraId="7B9FE492" w14:textId="1755AA08" w:rsidR="00C04EE2" w:rsidRDefault="00C04EE2" w:rsidP="00C04EE2">
      <w:pPr>
        <w:jc w:val="both"/>
      </w:pPr>
      <w:r>
        <w:t>Future research will need to focus on minimizing adverse effects, particularly pruritus, to enhance the therapeutic potential of biologics</w:t>
      </w:r>
      <w:r w:rsidR="005D254D">
        <w:t xml:space="preserve"> (29)</w:t>
      </w:r>
      <w:r>
        <w:t xml:space="preserve">. Moreover, long-term studies are necessary to evaluate the durability of the biochemical response and its correlation with histological improvement and </w:t>
      </w:r>
      <w:r>
        <w:lastRenderedPageBreak/>
        <w:t>overall survival. While short-term improvements in liver biochemistry are encouraging, the long-term impact of biologics on disease progression and patient outcomes remains to be fully elucidated.</w:t>
      </w:r>
    </w:p>
    <w:p w14:paraId="5953FC4F" w14:textId="4C68C454" w:rsidR="00C04EE2" w:rsidRDefault="00C04EE2" w:rsidP="00C04EE2">
      <w:pPr>
        <w:jc w:val="both"/>
      </w:pPr>
      <w:r>
        <w:t>Additionally, the identification of biomarkers, such as anti-gp210 antibodies, that can predict treatment response is an emerging area of interest. Biomarkers may help clinicians better stratify patients and personalize treatment approaches, as seen in the study by Haldar et al. (2020), which linked anti-gp210 antibodies with poor prognosis and non-response to UDCA. These findings suggest that immune markers could play a pivotal role in guiding treatment decisions and optimizing therapeutic outcomes.</w:t>
      </w:r>
    </w:p>
    <w:p w14:paraId="06033AAB" w14:textId="77777777" w:rsidR="00C04EE2" w:rsidRDefault="00C04EE2" w:rsidP="00C04EE2">
      <w:pPr>
        <w:jc w:val="both"/>
      </w:pPr>
      <w:r>
        <w:t>Another important area of future research will be the use of biologics in patients with advanced fibrosis or cirrhosis. Although these patients may benefit from biologic therapies, they are also at greater risk for adverse events, highlighting the need for tailored treatment strategies. Stratifying patients based on factors like fibrosis stage could help balance the risks and benefits of biologic treatment, thereby improving patient outcomes.</w:t>
      </w:r>
    </w:p>
    <w:p w14:paraId="44EE6F0A" w14:textId="42B8A1A7" w:rsidR="00C04EE2" w:rsidRPr="00983B54" w:rsidRDefault="00050C90" w:rsidP="00C04EE2">
      <w:pPr>
        <w:jc w:val="both"/>
        <w:rPr>
          <w:i/>
          <w:iCs/>
        </w:rPr>
      </w:pPr>
      <w:r w:rsidRPr="00983B54">
        <w:rPr>
          <w:i/>
          <w:iCs/>
        </w:rPr>
        <w:t>Limitations</w:t>
      </w:r>
    </w:p>
    <w:p w14:paraId="6601EC66" w14:textId="369E9C31" w:rsidR="00050C90" w:rsidRDefault="00983B54" w:rsidP="00983B54">
      <w:r w:rsidRPr="00983B54">
        <w:t>This systematic review has several limitations that should be considered when interpreting the findings. First, the studies included in this review varied in terms of study design, population characteristics, and outcome measures, which may introduce heterogeneity and limit direct comparability between studies. Additionally, many of the included studies had relatively small sample sizes or were retrospective in nature, which may limit the generalizability of the findings, particularly in real-world clinical settings</w:t>
      </w:r>
      <w:r w:rsidR="004E6014">
        <w:t xml:space="preserve"> (30)</w:t>
      </w:r>
      <w:r w:rsidRPr="00983B54">
        <w:t>. Furthermore, while the review sought to comprehensively assess both efficacy and safety, data on long-term safety, particularly for newer biologics, remain limited, and the duration of follow-up in many studies was insufficient to assess long-term outcomes such as liver transplantation or overall survival.</w:t>
      </w:r>
    </w:p>
    <w:p w14:paraId="2DB9C28E" w14:textId="0A269FF6" w:rsidR="000C42CE" w:rsidRPr="00821028" w:rsidRDefault="00C04EE2" w:rsidP="00C04EE2">
      <w:pPr>
        <w:jc w:val="both"/>
        <w:rPr>
          <w:b/>
          <w:bCs/>
        </w:rPr>
      </w:pPr>
      <w:r w:rsidRPr="00821028">
        <w:rPr>
          <w:b/>
          <w:bCs/>
        </w:rPr>
        <w:t>Conclusion</w:t>
      </w:r>
    </w:p>
    <w:p w14:paraId="637D05F6" w14:textId="6E3C7E65" w:rsidR="00EF4229" w:rsidRDefault="00EF4229" w:rsidP="00EF4229">
      <w:pPr>
        <w:jc w:val="both"/>
      </w:pPr>
      <w:r>
        <w:t>This systematic review highlights the potential of biologic therapies, such as obeticholic acid and seladelpar, in managing patients with PBC who exhibit an incomplete response to standard UDCA treatment. Biologics have demonstrated efficacy in improving key biochemical markers like ALP, which are closely linked to long-term outcomes such as reduced risk of liver transplantation or death. However, safety concerns, particularly the high incidence of pruritus and other adverse events, remain significant challenges that impact treatment adherence and overall patient outcomes. While the reviewed studies provide evidence of short-term biochemical improvements, long-term data on survival and disease progression are still limited. Moving forward, more extensive randomized controlled trials and real-world studies are needed to better understand the durability of response and the balance between efficacy and safety. Additionally, personalized approaches that integrate biomarkers for predicting treatment response could further optimize the use of biologics in high-risk PBC populations.</w:t>
      </w:r>
    </w:p>
    <w:p w14:paraId="15BA3C46" w14:textId="77777777" w:rsidR="000B1AE4" w:rsidRDefault="000B1AE4" w:rsidP="00EF4229">
      <w:pPr>
        <w:jc w:val="both"/>
      </w:pPr>
    </w:p>
    <w:p w14:paraId="14F4662A" w14:textId="77777777" w:rsidR="00FD7DEB" w:rsidRPr="003A29C6" w:rsidRDefault="00FD7DEB" w:rsidP="00FD7DEB">
      <w:pPr>
        <w:jc w:val="both"/>
        <w:outlineLvl w:val="0"/>
        <w:rPr>
          <w:rFonts w:ascii="Arial" w:hAnsi="Arial" w:cs="Arial"/>
        </w:rPr>
      </w:pPr>
      <w:r w:rsidRPr="003A29C6">
        <w:rPr>
          <w:rFonts w:ascii="Arial" w:hAnsi="Arial" w:cs="Arial"/>
          <w:b/>
          <w:bCs/>
        </w:rPr>
        <w:t>COMPETING INTERESTS DISCLAIMER:</w:t>
      </w:r>
    </w:p>
    <w:p w14:paraId="7F0014F9" w14:textId="77777777" w:rsidR="00FD7DEB" w:rsidRDefault="00FD7DEB" w:rsidP="00FD7DEB">
      <w:r w:rsidRPr="00A10EDE">
        <w:lastRenderedPageBreak/>
        <w:t>Authors have declared that they have no known competing financial interests OR non-financial interests OR personal relationships that could have appeared to influence the work reported in this paper.</w:t>
      </w:r>
    </w:p>
    <w:p w14:paraId="4796051D" w14:textId="77777777" w:rsidR="00FD7DEB" w:rsidRDefault="00FD7DEB" w:rsidP="00EF4229">
      <w:pPr>
        <w:jc w:val="both"/>
      </w:pPr>
    </w:p>
    <w:p w14:paraId="370FED22" w14:textId="77777777" w:rsidR="000B1AE4" w:rsidRDefault="000B1AE4" w:rsidP="00EF4229">
      <w:pPr>
        <w:jc w:val="both"/>
      </w:pPr>
    </w:p>
    <w:p w14:paraId="5F65A0AF" w14:textId="7908FF6C" w:rsidR="000B1AE4" w:rsidRPr="007F166D" w:rsidRDefault="007F166D" w:rsidP="00EF4229">
      <w:pPr>
        <w:jc w:val="both"/>
        <w:rPr>
          <w:b/>
          <w:bCs/>
        </w:rPr>
      </w:pPr>
      <w:r w:rsidRPr="007F166D">
        <w:rPr>
          <w:b/>
          <w:bCs/>
        </w:rPr>
        <w:t>References</w:t>
      </w:r>
    </w:p>
    <w:p w14:paraId="5C5F8FF2" w14:textId="77777777" w:rsidR="007F166D" w:rsidRPr="007F166D" w:rsidRDefault="007F166D" w:rsidP="007F166D">
      <w:pPr>
        <w:numPr>
          <w:ilvl w:val="0"/>
          <w:numId w:val="1"/>
        </w:numPr>
        <w:jc w:val="both"/>
      </w:pPr>
      <w:r w:rsidRPr="007F166D">
        <w:t>Sarcognato S, Sacchi D, Grillo F, Cazzagon N, Fabris L, Cadamuro M, Cataldo I, Covelli C, Mangia A, Guido M. Autoimmune biliary diseases: primary biliary cholangitis and primary sclerosing cholangitis. Pathologica. 2021 Jun;113(3):170.</w:t>
      </w:r>
    </w:p>
    <w:p w14:paraId="5922231C" w14:textId="77777777" w:rsidR="007F166D" w:rsidRPr="007F166D" w:rsidRDefault="007F166D" w:rsidP="007F166D">
      <w:pPr>
        <w:numPr>
          <w:ilvl w:val="0"/>
          <w:numId w:val="1"/>
        </w:numPr>
        <w:jc w:val="both"/>
      </w:pPr>
      <w:r w:rsidRPr="007F166D">
        <w:t>Trivella J, John BV, Levy C. Primary biliary cholangitis: Epidemiology, prognosis, and treatment. Hepatology communications. 2023 Jun 1;7(6</w:t>
      </w:r>
      <w:proofErr w:type="gramStart"/>
      <w:r w:rsidRPr="007F166D">
        <w:t>):e</w:t>
      </w:r>
      <w:proofErr w:type="gramEnd"/>
      <w:r w:rsidRPr="007F166D">
        <w:t>0179.</w:t>
      </w:r>
    </w:p>
    <w:p w14:paraId="0DA9CE1B" w14:textId="77777777" w:rsidR="007F166D" w:rsidRPr="007F166D" w:rsidRDefault="007F166D" w:rsidP="007F166D">
      <w:pPr>
        <w:numPr>
          <w:ilvl w:val="0"/>
          <w:numId w:val="1"/>
        </w:numPr>
        <w:jc w:val="both"/>
      </w:pPr>
      <w:r w:rsidRPr="007F166D">
        <w:t>Hirschfield GM, Dyson JK, Alexander GJ, Chapman MH, Collier J, Hübscher S, Patanwala I, Pereira SP, Thain C, Thorburn D, Tiniakos D. The British Society of Gastroenterology/UK-PBC primary biliary cholangitis treatment and management guidelines. Gut. 2018 Sep 1;67(9):1568-94.</w:t>
      </w:r>
    </w:p>
    <w:p w14:paraId="4654889F" w14:textId="77777777" w:rsidR="007F166D" w:rsidRPr="007F166D" w:rsidRDefault="007F166D" w:rsidP="007F166D">
      <w:pPr>
        <w:numPr>
          <w:ilvl w:val="0"/>
          <w:numId w:val="1"/>
        </w:numPr>
        <w:jc w:val="both"/>
      </w:pPr>
      <w:r w:rsidRPr="007F166D">
        <w:t>Hasegawa S, Yoneda M, Kurita Y, Nogami A, Honda Y, Hosono K, Nakajima A. Cholestatic liver disease: current treatment strategies and new therapeutic agents. Drugs. 2021 Jul;81(10):1181-92.</w:t>
      </w:r>
    </w:p>
    <w:p w14:paraId="340A190C" w14:textId="77777777" w:rsidR="007F166D" w:rsidRPr="007F166D" w:rsidRDefault="007F166D" w:rsidP="007F166D">
      <w:pPr>
        <w:numPr>
          <w:ilvl w:val="0"/>
          <w:numId w:val="1"/>
        </w:numPr>
        <w:jc w:val="both"/>
      </w:pPr>
      <w:r w:rsidRPr="007F166D">
        <w:t>Chascsa DM, Lindor KD. Emerging therapies for PBC. Journal of Gastroenterology. 2020 Mar;55(3):261-72.</w:t>
      </w:r>
    </w:p>
    <w:p w14:paraId="026FC0AC" w14:textId="77777777" w:rsidR="007F166D" w:rsidRPr="007F166D" w:rsidRDefault="007F166D" w:rsidP="007F166D">
      <w:pPr>
        <w:numPr>
          <w:ilvl w:val="0"/>
          <w:numId w:val="1"/>
        </w:numPr>
        <w:jc w:val="both"/>
      </w:pPr>
      <w:r w:rsidRPr="007F166D">
        <w:t>Floreani A, Gabbia D, De Martin S. Update on the pharmacological treatment of primary biliary cholangitis. Biomedicines. 2022 Aug 20;10(8):2033.</w:t>
      </w:r>
    </w:p>
    <w:p w14:paraId="143F3BC3" w14:textId="77777777" w:rsidR="007F166D" w:rsidRPr="007F166D" w:rsidRDefault="007F166D" w:rsidP="007F166D">
      <w:pPr>
        <w:numPr>
          <w:ilvl w:val="0"/>
          <w:numId w:val="1"/>
        </w:numPr>
        <w:jc w:val="both"/>
      </w:pPr>
      <w:r w:rsidRPr="007F166D">
        <w:t xml:space="preserve">Hafeez U, Gan HK, Scott AM. Monoclonal antibodies as immunomodulatory therapy against cancer and autoimmune diseases. Current opinion in pharmacology. 2018 Aug </w:t>
      </w:r>
      <w:proofErr w:type="gramStart"/>
      <w:r w:rsidRPr="007F166D">
        <w:t>1;41:114</w:t>
      </w:r>
      <w:proofErr w:type="gramEnd"/>
      <w:r w:rsidRPr="007F166D">
        <w:t>-21.</w:t>
      </w:r>
    </w:p>
    <w:p w14:paraId="58E460F0" w14:textId="77777777" w:rsidR="007F166D" w:rsidRPr="007F166D" w:rsidRDefault="007F166D" w:rsidP="007F166D">
      <w:pPr>
        <w:numPr>
          <w:ilvl w:val="0"/>
          <w:numId w:val="1"/>
        </w:numPr>
        <w:jc w:val="both"/>
      </w:pPr>
      <w:r w:rsidRPr="007F166D">
        <w:t>Dyson JK, Hirschfield GM, Adams DH, Beuers U, Mann DA, Lindor KD, Jones DE. Novel therapeutic targets in primary biliary cirrhosis. Nature reviews Gastroenterology &amp; hepatology. 2015 Mar;12(3):147-58.</w:t>
      </w:r>
    </w:p>
    <w:p w14:paraId="4C67B167" w14:textId="77777777" w:rsidR="007F166D" w:rsidRPr="007F166D" w:rsidRDefault="007F166D" w:rsidP="007F166D">
      <w:pPr>
        <w:numPr>
          <w:ilvl w:val="0"/>
          <w:numId w:val="1"/>
        </w:numPr>
        <w:jc w:val="both"/>
      </w:pPr>
      <w:r w:rsidRPr="007F166D">
        <w:t>Carrascosa JM, Del-Alcazar E. New therapies versus first-generation biologic drugs in psoriasis: a review of adverse events and their management. Expert Review of Clinical Immunology. 2018 Apr 3;14(4):259-73.</w:t>
      </w:r>
    </w:p>
    <w:p w14:paraId="410D8A92" w14:textId="77777777" w:rsidR="007F166D" w:rsidRPr="007F166D" w:rsidRDefault="007F166D" w:rsidP="007F166D">
      <w:pPr>
        <w:numPr>
          <w:ilvl w:val="0"/>
          <w:numId w:val="1"/>
        </w:numPr>
        <w:jc w:val="both"/>
      </w:pPr>
      <w:r w:rsidRPr="007F166D">
        <w:t>Page MJ, McKenzie JE, Bossuyt PM, Boutron I, Hoffmann TC, Mulrow CD, Shamseer L, Tetzlaff JM, Akl EA, Brennan SE, Chou R. The PRISMA 2020 statement: an updated guideline for reporting systematic reviews. bmj. 2021 Mar 29;372.</w:t>
      </w:r>
    </w:p>
    <w:p w14:paraId="3F89C7D3" w14:textId="77777777" w:rsidR="007F166D" w:rsidRPr="007F166D" w:rsidRDefault="007F166D" w:rsidP="007F166D">
      <w:pPr>
        <w:numPr>
          <w:ilvl w:val="0"/>
          <w:numId w:val="1"/>
        </w:numPr>
        <w:jc w:val="both"/>
      </w:pPr>
      <w:r w:rsidRPr="007F166D">
        <w:t xml:space="preserve">Corpechot C, Lemoinne S, Soret PA, Hansen B, Hirschfield G, Gulamhusein A, Montano-Loza AJ, Lytvyak E, Pares A, Olivas I, Eaton JE. Adequate versus deep response to </w:t>
      </w:r>
      <w:r w:rsidRPr="007F166D">
        <w:lastRenderedPageBreak/>
        <w:t xml:space="preserve">ursodeoxycholic acid in primary biliary cholangitis: To what extent and under what conditions is normal alkaline phosphatase level associated with complication-free survival </w:t>
      </w:r>
      <w:proofErr w:type="gramStart"/>
      <w:r w:rsidRPr="007F166D">
        <w:t>gain?.</w:t>
      </w:r>
      <w:proofErr w:type="gramEnd"/>
      <w:r w:rsidRPr="007F166D">
        <w:t xml:space="preserve"> Hepatology. 2024 Jan 1;79(1):39-48.</w:t>
      </w:r>
    </w:p>
    <w:p w14:paraId="23C3B9C1" w14:textId="77777777" w:rsidR="007F166D" w:rsidRPr="007F166D" w:rsidRDefault="007F166D" w:rsidP="007F166D">
      <w:pPr>
        <w:numPr>
          <w:ilvl w:val="0"/>
          <w:numId w:val="1"/>
        </w:numPr>
        <w:jc w:val="both"/>
      </w:pPr>
      <w:r w:rsidRPr="007F166D">
        <w:t>Kowdley KV, Hirschfield GM, Coombs C, Malecha ES, Bessonova L, Li J, Rathnayaka N, Mells G, Jones DE, Trivedi PJ, Hansen BE. COBALT: A confirmatory trial of obeticholic acid in primary biliary cholangitis with placebo and external controls. Official journal of the American College of Gastroenterology| ACG. 2022 May 12:10-4309.</w:t>
      </w:r>
    </w:p>
    <w:p w14:paraId="26B9DB42" w14:textId="77777777" w:rsidR="007F166D" w:rsidRPr="007F166D" w:rsidRDefault="007F166D" w:rsidP="007F166D">
      <w:pPr>
        <w:numPr>
          <w:ilvl w:val="0"/>
          <w:numId w:val="1"/>
        </w:numPr>
        <w:jc w:val="both"/>
      </w:pPr>
      <w:r w:rsidRPr="007F166D">
        <w:t>Roberts SB, Choi WJ, Worobetz L, Vincent C, Flemming JA, Cheung A, Qumosani K, Swain M, Grbic D, Ko HH, Peltekian KM. Loss of biochemical response at any time worsens outcomes in UDCA-treated patients with primary biliary cholangitis. JHEP reports. 2024 Jul 8:101168.</w:t>
      </w:r>
    </w:p>
    <w:p w14:paraId="431D4B04" w14:textId="77777777" w:rsidR="007F166D" w:rsidRPr="007F166D" w:rsidRDefault="007F166D" w:rsidP="007F166D">
      <w:pPr>
        <w:numPr>
          <w:ilvl w:val="0"/>
          <w:numId w:val="1"/>
        </w:numPr>
        <w:jc w:val="both"/>
      </w:pPr>
      <w:r w:rsidRPr="007F166D">
        <w:t>Hirschfield GM, Shiffman ML, Gulamhusein A, Kowdley KV, Vierling JM, Levy C, Kremer AE, Zigmond E, Andreone P, Gordon SC, Bowlus CL. Seladelpar efficacy and safety at 3 months in patients with primary biliary cholangitis: ENHANCE, a phase 3, randomized, placebo-controlled study. Hepatology. 2023 Aug 1;78(2):397-415.</w:t>
      </w:r>
    </w:p>
    <w:p w14:paraId="55D3C2B3" w14:textId="77777777" w:rsidR="007F166D" w:rsidRPr="007F166D" w:rsidRDefault="007F166D" w:rsidP="007F166D">
      <w:pPr>
        <w:numPr>
          <w:ilvl w:val="0"/>
          <w:numId w:val="1"/>
        </w:numPr>
        <w:jc w:val="both"/>
      </w:pPr>
      <w:r w:rsidRPr="007F166D">
        <w:t>Loomba R, Abdelmalek MF, Armstrong MJ, Jara M, Kjær MS, Krarup N, Lawitz E, Ratziu V, Sanyal AJ, Schattenberg JM, Newsome PN. Semaglutide 2· 4 mg once weekly in patients with non-alcoholic steatohepatitis-related cirrhosis: a randomised, placebo-controlled phase 2 trial. The Lancet Gastroenterology &amp; Hepatology. 2023 Jun 1;8(6):511-22.</w:t>
      </w:r>
    </w:p>
    <w:p w14:paraId="37E13C99" w14:textId="77777777" w:rsidR="007F166D" w:rsidRPr="007F166D" w:rsidRDefault="007F166D" w:rsidP="007F166D">
      <w:pPr>
        <w:numPr>
          <w:ilvl w:val="0"/>
          <w:numId w:val="1"/>
        </w:numPr>
        <w:jc w:val="both"/>
      </w:pPr>
      <w:r w:rsidRPr="007F166D">
        <w:t>Haldar D, Janmohamed A, Plant T, Davidson M, Norman H, Russell E, Serevina O, Chung K, Qamar K, Gunson B, Hansen B. Antibodies to gp210 and understanding risk in patients with primary biliary cholangitis. Liver International. 2021 Mar;41(3):535-44.</w:t>
      </w:r>
    </w:p>
    <w:p w14:paraId="56DE7ED1" w14:textId="77777777" w:rsidR="007F166D" w:rsidRPr="007F166D" w:rsidRDefault="007F166D" w:rsidP="007F166D">
      <w:pPr>
        <w:numPr>
          <w:ilvl w:val="0"/>
          <w:numId w:val="1"/>
        </w:numPr>
        <w:jc w:val="both"/>
      </w:pPr>
      <w:r w:rsidRPr="007F166D">
        <w:t>Carbone M, Nardi A, Flack S, Carpino G, Varvaropoulou N, Gavrila C, Spicer A, Badrock J, Bernuzzi F, Cardinale V, Ainsworth HF, Heneghan MA, Thorburn D, Bathgate A, Jones R, Neuberger JM, Battezzati PM, Zuin M, Taylor-Robinson S, Donato MF, Kirby J, Mitchell-Thain R, Floreani A, Sampaziotis F, Muratori L, Alvaro D, Marzioni M, Miele L, Marra F, Giannini E, Gaudio E, Ronca V, Bonato G, Cristoferi L, Malinverno F, Gerussi A, Stocken DD, Cordell HJ, Hirschfield GM, Alexander GJ, Sandford RN, Jones DE, Invernizzi P, Mells GF; Italian PBC Study Group and the UK–PBC Consortium. Pretreatment prediction of response to ursodeoxycholic acid in primary biliary cholangitis: development and validation of the UDCA Response Score. Lancet Gastroenterol Hepatol. 2018 Sep;3(9):626-634. </w:t>
      </w:r>
    </w:p>
    <w:p w14:paraId="30B3EB79" w14:textId="77777777" w:rsidR="007F166D" w:rsidRPr="007F166D" w:rsidRDefault="007F166D" w:rsidP="007F166D">
      <w:pPr>
        <w:numPr>
          <w:ilvl w:val="0"/>
          <w:numId w:val="1"/>
        </w:numPr>
        <w:jc w:val="both"/>
      </w:pPr>
      <w:r w:rsidRPr="007F166D">
        <w:t>Hunter CD, Lindor KD. Emerging therapies for PBC. Journal of Gastroenterology. 2020 Mar 1;55(3):261-72.</w:t>
      </w:r>
    </w:p>
    <w:p w14:paraId="015D48BE" w14:textId="77777777" w:rsidR="007F166D" w:rsidRPr="007F166D" w:rsidRDefault="007F166D" w:rsidP="007F166D">
      <w:pPr>
        <w:numPr>
          <w:ilvl w:val="0"/>
          <w:numId w:val="1"/>
        </w:numPr>
        <w:jc w:val="both"/>
      </w:pPr>
      <w:r w:rsidRPr="007F166D">
        <w:t xml:space="preserve">Vesterhus M, Karlsen TH. Emerging therapies in primary sclerosing cholangitis: pathophysiological basis and clinical opportunities. Journal of gastroenterology. 2020 </w:t>
      </w:r>
      <w:proofErr w:type="gramStart"/>
      <w:r w:rsidRPr="007F166D">
        <w:t>Jun;55:588</w:t>
      </w:r>
      <w:proofErr w:type="gramEnd"/>
      <w:r w:rsidRPr="007F166D">
        <w:t>-614.</w:t>
      </w:r>
    </w:p>
    <w:p w14:paraId="72BC54F2" w14:textId="77777777" w:rsidR="007F166D" w:rsidRPr="007F166D" w:rsidRDefault="007F166D" w:rsidP="007F166D">
      <w:pPr>
        <w:numPr>
          <w:ilvl w:val="0"/>
          <w:numId w:val="1"/>
        </w:numPr>
        <w:jc w:val="both"/>
      </w:pPr>
      <w:r w:rsidRPr="007F166D">
        <w:lastRenderedPageBreak/>
        <w:t>Floreani A. Experimental pharmacological agents for the treatment of primary biliary cholangitis. Journal of experimental pharmacology. 2020 Dec 17:643-52.</w:t>
      </w:r>
    </w:p>
    <w:p w14:paraId="3E13C366" w14:textId="77777777" w:rsidR="007F166D" w:rsidRPr="007F166D" w:rsidRDefault="007F166D" w:rsidP="007F166D">
      <w:pPr>
        <w:numPr>
          <w:ilvl w:val="0"/>
          <w:numId w:val="1"/>
        </w:numPr>
        <w:jc w:val="both"/>
      </w:pPr>
      <w:r w:rsidRPr="007F166D">
        <w:t>Lin W, Wang JX, Liu YJ. Optimal drug regimens for improving ALP biochemical levels in patients with primary biliary cholangitis refractory to UDCA: a systematic review and Bayesian network meta-analysis. Systematic Reviews. 2024 Jan 29;13(1):46.</w:t>
      </w:r>
    </w:p>
    <w:p w14:paraId="173BEC42" w14:textId="77777777" w:rsidR="007F166D" w:rsidRPr="007F166D" w:rsidRDefault="007F166D" w:rsidP="007F166D">
      <w:pPr>
        <w:numPr>
          <w:ilvl w:val="0"/>
          <w:numId w:val="1"/>
        </w:numPr>
        <w:jc w:val="both"/>
      </w:pPr>
      <w:r w:rsidRPr="007F166D">
        <w:t>Huang YQ. Recent advances in the diagnosis and treatment of primary biliary cholangitis. World journal of hepatology. 2016 Nov 11;8(33):1419.</w:t>
      </w:r>
    </w:p>
    <w:p w14:paraId="70E36F66" w14:textId="77777777" w:rsidR="007F166D" w:rsidRPr="007F166D" w:rsidRDefault="007F166D" w:rsidP="007F166D">
      <w:pPr>
        <w:numPr>
          <w:ilvl w:val="0"/>
          <w:numId w:val="1"/>
        </w:numPr>
        <w:jc w:val="both"/>
      </w:pPr>
      <w:r w:rsidRPr="007F166D">
        <w:t>Mulinacci G, Palermo A, Invernizzi P, Carbone M. Old and novel prognostic biomarkers in primary biliary cholangitis. Expert Opinion on Orphan Drugs. 2021 Apr 3;9(4):123-31.</w:t>
      </w:r>
    </w:p>
    <w:p w14:paraId="60358A93" w14:textId="77777777" w:rsidR="007F166D" w:rsidRPr="007F166D" w:rsidRDefault="007F166D" w:rsidP="007F166D">
      <w:pPr>
        <w:numPr>
          <w:ilvl w:val="0"/>
          <w:numId w:val="1"/>
        </w:numPr>
        <w:jc w:val="both"/>
      </w:pPr>
      <w:r w:rsidRPr="007F166D">
        <w:t>Floreani A, Gabbia D, De Martin S. Update on the pharmacological treatment of primary biliary cholangitis. Biomedicines. 2022 Aug 20;10(8):2033.</w:t>
      </w:r>
    </w:p>
    <w:p w14:paraId="01120040" w14:textId="77777777" w:rsidR="007F166D" w:rsidRPr="007F166D" w:rsidRDefault="007F166D" w:rsidP="007F166D">
      <w:pPr>
        <w:numPr>
          <w:ilvl w:val="0"/>
          <w:numId w:val="1"/>
        </w:numPr>
        <w:jc w:val="both"/>
      </w:pPr>
      <w:r w:rsidRPr="007F166D">
        <w:t>De Vincentis A, D'Amato D, Cristoferi L, Gerussi A, Malinverno F, Lleo A, Colapietro F, Marra F, Galli A, Fiorini C, Coco B. Predictors of serious adverse events and non‐response in cirrhotic patients with primary biliary cholangitis treated with obeticholic acid. Liver International. 2022 Nov;42(11):2453-65.</w:t>
      </w:r>
    </w:p>
    <w:p w14:paraId="2AA0385F" w14:textId="77777777" w:rsidR="007F166D" w:rsidRPr="007F166D" w:rsidRDefault="007F166D" w:rsidP="007F166D">
      <w:pPr>
        <w:numPr>
          <w:ilvl w:val="0"/>
          <w:numId w:val="1"/>
        </w:numPr>
        <w:jc w:val="both"/>
      </w:pPr>
      <w:r w:rsidRPr="007F166D">
        <w:t>Fourzali K, Yosipovitch G. Safety considerations when using drugs to treat pruritus. Expert opinion on drug safety. 2020 Apr 2;19(4):467-77.</w:t>
      </w:r>
    </w:p>
    <w:p w14:paraId="5F9F52ED" w14:textId="77777777" w:rsidR="007F166D" w:rsidRPr="007F166D" w:rsidRDefault="007F166D" w:rsidP="007F166D">
      <w:pPr>
        <w:numPr>
          <w:ilvl w:val="0"/>
          <w:numId w:val="1"/>
        </w:numPr>
        <w:jc w:val="both"/>
      </w:pPr>
      <w:r w:rsidRPr="007F166D">
        <w:t xml:space="preserve">Santiago P, Scheinberg AR, Levy C. Cholestatic liver diseases: new targets, new therapies. Therapeutic advances in gastroenterology. 2018 </w:t>
      </w:r>
      <w:proofErr w:type="gramStart"/>
      <w:r w:rsidRPr="007F166D">
        <w:t>Aug;11:1756284818787400</w:t>
      </w:r>
      <w:proofErr w:type="gramEnd"/>
      <w:r w:rsidRPr="007F166D">
        <w:t>.</w:t>
      </w:r>
    </w:p>
    <w:p w14:paraId="7E3D3F33" w14:textId="77777777" w:rsidR="007F166D" w:rsidRPr="007F166D" w:rsidRDefault="007F166D" w:rsidP="007F166D">
      <w:pPr>
        <w:numPr>
          <w:ilvl w:val="0"/>
          <w:numId w:val="1"/>
        </w:numPr>
        <w:jc w:val="both"/>
      </w:pPr>
      <w:r w:rsidRPr="007F166D">
        <w:t>Bahar R, Wong KA, Liu CH, Bowlus CL. Update on new drugs and those in development for the treatment of primary biliary cholangitis. Gastroenterology &amp; hepatology. 2018 Mar;14(3):154.</w:t>
      </w:r>
    </w:p>
    <w:p w14:paraId="0EAE7BAB" w14:textId="77777777" w:rsidR="007F166D" w:rsidRPr="007F166D" w:rsidRDefault="007F166D" w:rsidP="007F166D">
      <w:pPr>
        <w:numPr>
          <w:ilvl w:val="0"/>
          <w:numId w:val="1"/>
        </w:numPr>
        <w:jc w:val="both"/>
      </w:pPr>
      <w:r w:rsidRPr="007F166D">
        <w:t xml:space="preserve">Jappe U, Beckert H, Bergmann KC, Gülsen A, Klimek L, Philipp S, Pickert J, Rauber-Ellinghaus MM, Renz H, Taube C, Treudler R. Biologics for atopic diseases: Indication, side effect management, and new developments. Allergologie Select. </w:t>
      </w:r>
      <w:proofErr w:type="gramStart"/>
      <w:r w:rsidRPr="007F166D">
        <w:t>2021;5:1</w:t>
      </w:r>
      <w:proofErr w:type="gramEnd"/>
      <w:r w:rsidRPr="007F166D">
        <w:t>.</w:t>
      </w:r>
    </w:p>
    <w:p w14:paraId="56CB1793" w14:textId="77777777" w:rsidR="007F166D" w:rsidRPr="007F166D" w:rsidRDefault="007F166D" w:rsidP="007F166D">
      <w:pPr>
        <w:numPr>
          <w:ilvl w:val="0"/>
          <w:numId w:val="1"/>
        </w:numPr>
        <w:jc w:val="both"/>
      </w:pPr>
      <w:r w:rsidRPr="007F166D">
        <w:t xml:space="preserve">Downey CL, Tahir W, Randell R, Brown JM, Jayne DG. Strengths and limitations of early warning scores: a systematic review and narrative synthesis. International journal of nursing studies. 2017 Nov </w:t>
      </w:r>
      <w:proofErr w:type="gramStart"/>
      <w:r w:rsidRPr="007F166D">
        <w:t>1;76:106</w:t>
      </w:r>
      <w:proofErr w:type="gramEnd"/>
      <w:r w:rsidRPr="007F166D">
        <w:t>-19.</w:t>
      </w:r>
    </w:p>
    <w:p w14:paraId="07BC6E8A" w14:textId="77777777" w:rsidR="007F166D" w:rsidRDefault="007F166D" w:rsidP="00EF4229">
      <w:pPr>
        <w:jc w:val="both"/>
      </w:pPr>
    </w:p>
    <w:p w14:paraId="115E791B" w14:textId="77777777" w:rsidR="00EF4229" w:rsidRPr="002A6A01" w:rsidRDefault="00EF4229" w:rsidP="00C04EE2">
      <w:pPr>
        <w:jc w:val="both"/>
      </w:pPr>
    </w:p>
    <w:sectPr w:rsidR="00EF4229" w:rsidRPr="002A6A01" w:rsidSect="004524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9449F" w14:textId="77777777" w:rsidR="006A18D3" w:rsidRDefault="006A18D3" w:rsidP="000278F9">
      <w:pPr>
        <w:spacing w:after="0" w:line="240" w:lineRule="auto"/>
      </w:pPr>
      <w:r>
        <w:separator/>
      </w:r>
    </w:p>
  </w:endnote>
  <w:endnote w:type="continuationSeparator" w:id="0">
    <w:p w14:paraId="06767EC2" w14:textId="77777777" w:rsidR="006A18D3" w:rsidRDefault="006A18D3" w:rsidP="0002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4328" w14:textId="77777777" w:rsidR="0098278E" w:rsidRDefault="0098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3908" w14:textId="77777777" w:rsidR="0098278E" w:rsidRDefault="0098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0B10" w14:textId="77777777" w:rsidR="0098278E" w:rsidRDefault="0098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8CA21" w14:textId="77777777" w:rsidR="006A18D3" w:rsidRDefault="006A18D3" w:rsidP="000278F9">
      <w:pPr>
        <w:spacing w:after="0" w:line="240" w:lineRule="auto"/>
      </w:pPr>
      <w:r>
        <w:separator/>
      </w:r>
    </w:p>
  </w:footnote>
  <w:footnote w:type="continuationSeparator" w:id="0">
    <w:p w14:paraId="7AE3BE3B" w14:textId="77777777" w:rsidR="006A18D3" w:rsidRDefault="006A18D3" w:rsidP="00027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0DC8" w14:textId="31BF56A0" w:rsidR="0098278E" w:rsidRDefault="0098278E">
    <w:pPr>
      <w:pStyle w:val="Header"/>
    </w:pPr>
    <w:r>
      <w:rPr>
        <w:noProof/>
      </w:rPr>
      <w:pict w14:anchorId="5A16A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8BEA" w14:textId="0705A7A4" w:rsidR="00F34DEA" w:rsidRDefault="0098278E">
    <w:pPr>
      <w:pStyle w:val="Header"/>
      <w:jc w:val="right"/>
    </w:pPr>
    <w:r>
      <w:rPr>
        <w:noProof/>
      </w:rPr>
      <w:pict w14:anchorId="67C4E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865031500"/>
        <w:docPartObj>
          <w:docPartGallery w:val="Page Numbers (Top of Page)"/>
          <w:docPartUnique/>
        </w:docPartObj>
      </w:sdtPr>
      <w:sdtEndPr>
        <w:rPr>
          <w:noProof/>
        </w:rPr>
      </w:sdtEndPr>
      <w:sdtContent>
        <w:r w:rsidR="00F34DEA">
          <w:fldChar w:fldCharType="begin"/>
        </w:r>
        <w:r w:rsidR="00F34DEA">
          <w:instrText xml:space="preserve"> PAGE   \* MERGEFORMAT </w:instrText>
        </w:r>
        <w:r w:rsidR="00F34DEA">
          <w:fldChar w:fldCharType="separate"/>
        </w:r>
        <w:r w:rsidR="00F34DEA">
          <w:rPr>
            <w:noProof/>
          </w:rPr>
          <w:t>2</w:t>
        </w:r>
        <w:r w:rsidR="00F34DEA">
          <w:rPr>
            <w:noProof/>
          </w:rPr>
          <w:fldChar w:fldCharType="end"/>
        </w:r>
      </w:sdtContent>
    </w:sdt>
  </w:p>
  <w:p w14:paraId="598EDB08" w14:textId="77777777" w:rsidR="00F34DEA" w:rsidRDefault="00F34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1D3C" w14:textId="0B1CEF11" w:rsidR="0098278E" w:rsidRDefault="0098278E">
    <w:pPr>
      <w:pStyle w:val="Header"/>
    </w:pPr>
    <w:r>
      <w:rPr>
        <w:noProof/>
      </w:rPr>
      <w:pict w14:anchorId="58C7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25E18"/>
    <w:multiLevelType w:val="multilevel"/>
    <w:tmpl w:val="35D0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B6"/>
    <w:rsid w:val="000278F9"/>
    <w:rsid w:val="00032AA3"/>
    <w:rsid w:val="00050C90"/>
    <w:rsid w:val="000A4942"/>
    <w:rsid w:val="000B1AE4"/>
    <w:rsid w:val="000C42CE"/>
    <w:rsid w:val="000F2F01"/>
    <w:rsid w:val="001253C4"/>
    <w:rsid w:val="00127578"/>
    <w:rsid w:val="00136BC3"/>
    <w:rsid w:val="0015428C"/>
    <w:rsid w:val="002A6A01"/>
    <w:rsid w:val="00315838"/>
    <w:rsid w:val="00322A66"/>
    <w:rsid w:val="0036396A"/>
    <w:rsid w:val="004524D1"/>
    <w:rsid w:val="00455F1F"/>
    <w:rsid w:val="004E6014"/>
    <w:rsid w:val="005D254D"/>
    <w:rsid w:val="00616A22"/>
    <w:rsid w:val="006A0B50"/>
    <w:rsid w:val="006A18D3"/>
    <w:rsid w:val="006A3960"/>
    <w:rsid w:val="006D4B49"/>
    <w:rsid w:val="006E7D05"/>
    <w:rsid w:val="007E52C7"/>
    <w:rsid w:val="007F166D"/>
    <w:rsid w:val="00817DAC"/>
    <w:rsid w:val="00821028"/>
    <w:rsid w:val="00871286"/>
    <w:rsid w:val="008816DC"/>
    <w:rsid w:val="008C2414"/>
    <w:rsid w:val="00944D04"/>
    <w:rsid w:val="009626FA"/>
    <w:rsid w:val="0098278E"/>
    <w:rsid w:val="00983B54"/>
    <w:rsid w:val="009C67A4"/>
    <w:rsid w:val="00A40166"/>
    <w:rsid w:val="00A8590C"/>
    <w:rsid w:val="00AE2C8C"/>
    <w:rsid w:val="00B44435"/>
    <w:rsid w:val="00B7616F"/>
    <w:rsid w:val="00B973C3"/>
    <w:rsid w:val="00C04EE2"/>
    <w:rsid w:val="00C671E7"/>
    <w:rsid w:val="00CB1CCC"/>
    <w:rsid w:val="00D658F3"/>
    <w:rsid w:val="00DA54BA"/>
    <w:rsid w:val="00DA5E8C"/>
    <w:rsid w:val="00DF07AD"/>
    <w:rsid w:val="00E473B6"/>
    <w:rsid w:val="00EF4229"/>
    <w:rsid w:val="00F34DEA"/>
    <w:rsid w:val="00F60007"/>
    <w:rsid w:val="00FC7557"/>
    <w:rsid w:val="00FD7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9383D6"/>
  <w15:chartTrackingRefBased/>
  <w15:docId w15:val="{6901275E-0094-4126-89B7-7B12A09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0278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2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78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278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27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8F9"/>
    <w:rPr>
      <w:rFonts w:ascii="Times New Roman" w:hAnsi="Times New Roman"/>
      <w:sz w:val="24"/>
      <w14:ligatures w14:val="none"/>
    </w:rPr>
  </w:style>
  <w:style w:type="paragraph" w:styleId="Footer">
    <w:name w:val="footer"/>
    <w:basedOn w:val="Normal"/>
    <w:link w:val="FooterChar"/>
    <w:uiPriority w:val="99"/>
    <w:unhideWhenUsed/>
    <w:rsid w:val="00027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8F9"/>
    <w:rPr>
      <w:rFonts w:ascii="Times New Roman" w:hAnsi="Times New Roman"/>
      <w:sz w:val="24"/>
      <w14:ligatures w14:val="none"/>
    </w:rPr>
  </w:style>
  <w:style w:type="character" w:styleId="Hyperlink">
    <w:name w:val="Hyperlink"/>
    <w:basedOn w:val="DefaultParagraphFont"/>
    <w:uiPriority w:val="99"/>
    <w:unhideWhenUsed/>
    <w:rsid w:val="00B973C3"/>
    <w:rPr>
      <w:color w:val="0563C1" w:themeColor="hyperlink"/>
      <w:u w:val="single"/>
    </w:rPr>
  </w:style>
  <w:style w:type="character" w:styleId="UnresolvedMention">
    <w:name w:val="Unresolved Mention"/>
    <w:basedOn w:val="DefaultParagraphFont"/>
    <w:uiPriority w:val="99"/>
    <w:semiHidden/>
    <w:unhideWhenUsed/>
    <w:rsid w:val="00B9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5148">
      <w:bodyDiv w:val="1"/>
      <w:marLeft w:val="0"/>
      <w:marRight w:val="0"/>
      <w:marTop w:val="0"/>
      <w:marBottom w:val="0"/>
      <w:divBdr>
        <w:top w:val="none" w:sz="0" w:space="0" w:color="auto"/>
        <w:left w:val="none" w:sz="0" w:space="0" w:color="auto"/>
        <w:bottom w:val="none" w:sz="0" w:space="0" w:color="auto"/>
        <w:right w:val="none" w:sz="0" w:space="0" w:color="auto"/>
      </w:divBdr>
    </w:div>
    <w:div w:id="607077850">
      <w:bodyDiv w:val="1"/>
      <w:marLeft w:val="0"/>
      <w:marRight w:val="0"/>
      <w:marTop w:val="0"/>
      <w:marBottom w:val="0"/>
      <w:divBdr>
        <w:top w:val="none" w:sz="0" w:space="0" w:color="auto"/>
        <w:left w:val="none" w:sz="0" w:space="0" w:color="auto"/>
        <w:bottom w:val="none" w:sz="0" w:space="0" w:color="auto"/>
        <w:right w:val="none" w:sz="0" w:space="0" w:color="auto"/>
      </w:divBdr>
    </w:div>
    <w:div w:id="795372313">
      <w:bodyDiv w:val="1"/>
      <w:marLeft w:val="0"/>
      <w:marRight w:val="0"/>
      <w:marTop w:val="0"/>
      <w:marBottom w:val="0"/>
      <w:divBdr>
        <w:top w:val="none" w:sz="0" w:space="0" w:color="auto"/>
        <w:left w:val="none" w:sz="0" w:space="0" w:color="auto"/>
        <w:bottom w:val="none" w:sz="0" w:space="0" w:color="auto"/>
        <w:right w:val="none" w:sz="0" w:space="0" w:color="auto"/>
      </w:divBdr>
      <w:divsChild>
        <w:div w:id="1664310930">
          <w:marLeft w:val="0"/>
          <w:marRight w:val="0"/>
          <w:marTop w:val="0"/>
          <w:marBottom w:val="0"/>
          <w:divBdr>
            <w:top w:val="none" w:sz="0" w:space="0" w:color="auto"/>
            <w:left w:val="none" w:sz="0" w:space="0" w:color="auto"/>
            <w:bottom w:val="none" w:sz="0" w:space="0" w:color="auto"/>
            <w:right w:val="none" w:sz="0" w:space="0" w:color="auto"/>
          </w:divBdr>
          <w:divsChild>
            <w:div w:id="592780052">
              <w:marLeft w:val="0"/>
              <w:marRight w:val="0"/>
              <w:marTop w:val="0"/>
              <w:marBottom w:val="0"/>
              <w:divBdr>
                <w:top w:val="none" w:sz="0" w:space="0" w:color="auto"/>
                <w:left w:val="none" w:sz="0" w:space="0" w:color="auto"/>
                <w:bottom w:val="none" w:sz="0" w:space="0" w:color="auto"/>
                <w:right w:val="none" w:sz="0" w:space="0" w:color="auto"/>
              </w:divBdr>
              <w:divsChild>
                <w:div w:id="1140422645">
                  <w:marLeft w:val="0"/>
                  <w:marRight w:val="0"/>
                  <w:marTop w:val="0"/>
                  <w:marBottom w:val="0"/>
                  <w:divBdr>
                    <w:top w:val="none" w:sz="0" w:space="0" w:color="auto"/>
                    <w:left w:val="none" w:sz="0" w:space="0" w:color="auto"/>
                    <w:bottom w:val="none" w:sz="0" w:space="0" w:color="auto"/>
                    <w:right w:val="none" w:sz="0" w:space="0" w:color="auto"/>
                  </w:divBdr>
                  <w:divsChild>
                    <w:div w:id="1698461062">
                      <w:marLeft w:val="0"/>
                      <w:marRight w:val="0"/>
                      <w:marTop w:val="0"/>
                      <w:marBottom w:val="0"/>
                      <w:divBdr>
                        <w:top w:val="none" w:sz="0" w:space="0" w:color="auto"/>
                        <w:left w:val="none" w:sz="0" w:space="0" w:color="auto"/>
                        <w:bottom w:val="none" w:sz="0" w:space="0" w:color="auto"/>
                        <w:right w:val="none" w:sz="0" w:space="0" w:color="auto"/>
                      </w:divBdr>
                      <w:divsChild>
                        <w:div w:id="1899197634">
                          <w:marLeft w:val="0"/>
                          <w:marRight w:val="0"/>
                          <w:marTop w:val="0"/>
                          <w:marBottom w:val="0"/>
                          <w:divBdr>
                            <w:top w:val="none" w:sz="0" w:space="0" w:color="auto"/>
                            <w:left w:val="none" w:sz="0" w:space="0" w:color="auto"/>
                            <w:bottom w:val="none" w:sz="0" w:space="0" w:color="auto"/>
                            <w:right w:val="none" w:sz="0" w:space="0" w:color="auto"/>
                          </w:divBdr>
                          <w:divsChild>
                            <w:div w:id="12970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480373">
      <w:bodyDiv w:val="1"/>
      <w:marLeft w:val="0"/>
      <w:marRight w:val="0"/>
      <w:marTop w:val="0"/>
      <w:marBottom w:val="0"/>
      <w:divBdr>
        <w:top w:val="none" w:sz="0" w:space="0" w:color="auto"/>
        <w:left w:val="none" w:sz="0" w:space="0" w:color="auto"/>
        <w:bottom w:val="none" w:sz="0" w:space="0" w:color="auto"/>
        <w:right w:val="none" w:sz="0" w:space="0" w:color="auto"/>
      </w:divBdr>
    </w:div>
    <w:div w:id="13516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SDI 1084</cp:lastModifiedBy>
  <cp:revision>5</cp:revision>
  <dcterms:created xsi:type="dcterms:W3CDTF">2025-04-13T01:03:00Z</dcterms:created>
  <dcterms:modified xsi:type="dcterms:W3CDTF">2025-04-21T05:10:00Z</dcterms:modified>
</cp:coreProperties>
</file>