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AF61" w14:textId="77777777" w:rsidR="008B3F36" w:rsidRPr="008B3F36" w:rsidRDefault="008B3F36" w:rsidP="008B3F36">
      <w:pPr>
        <w:tabs>
          <w:tab w:val="left" w:pos="2403"/>
        </w:tabs>
        <w:spacing w:line="240" w:lineRule="auto"/>
        <w:ind w:right="180"/>
        <w:jc w:val="right"/>
        <w:rPr>
          <w:rFonts w:ascii="Arial" w:hAnsi="Arial" w:cs="Arial"/>
          <w:b/>
          <w:bCs/>
          <w:i/>
          <w:iCs/>
          <w:color w:val="000000" w:themeColor="text1"/>
          <w:sz w:val="36"/>
          <w:szCs w:val="36"/>
          <w:u w:val="single"/>
          <w:lang w:val="en-US"/>
        </w:rPr>
      </w:pPr>
      <w:r w:rsidRPr="008B3F36">
        <w:rPr>
          <w:rFonts w:ascii="Arial" w:hAnsi="Arial" w:cs="Arial"/>
          <w:b/>
          <w:bCs/>
          <w:i/>
          <w:iCs/>
          <w:color w:val="000000" w:themeColor="text1"/>
          <w:sz w:val="36"/>
          <w:szCs w:val="36"/>
          <w:u w:val="single"/>
          <w:lang w:val="en-US"/>
        </w:rPr>
        <w:t>Original Research Article</w:t>
      </w:r>
    </w:p>
    <w:p w14:paraId="6A6C1E59" w14:textId="77777777" w:rsidR="004147E6" w:rsidRPr="0008498C" w:rsidRDefault="004147E6" w:rsidP="002C4F77">
      <w:pPr>
        <w:tabs>
          <w:tab w:val="left" w:pos="2403"/>
        </w:tabs>
        <w:spacing w:line="240" w:lineRule="auto"/>
        <w:ind w:right="180"/>
        <w:jc w:val="right"/>
        <w:rPr>
          <w:rFonts w:ascii="Arial" w:hAnsi="Arial" w:cs="Arial"/>
          <w:b/>
          <w:bCs/>
          <w:color w:val="000000" w:themeColor="text1"/>
          <w:sz w:val="36"/>
          <w:szCs w:val="36"/>
        </w:rPr>
      </w:pPr>
      <w:r w:rsidRPr="0008498C">
        <w:rPr>
          <w:rFonts w:ascii="Arial" w:hAnsi="Arial" w:cs="Arial"/>
          <w:b/>
          <w:bCs/>
          <w:color w:val="000000" w:themeColor="text1"/>
          <w:sz w:val="36"/>
          <w:szCs w:val="36"/>
        </w:rPr>
        <w:t xml:space="preserve">Assessment of dyeing potential of violet pigment produced by </w:t>
      </w:r>
      <w:r w:rsidRPr="0008498C">
        <w:rPr>
          <w:rFonts w:ascii="Arial" w:hAnsi="Arial" w:cs="Arial"/>
          <w:b/>
          <w:bCs/>
          <w:i/>
          <w:color w:val="000000" w:themeColor="text1"/>
          <w:sz w:val="36"/>
          <w:szCs w:val="36"/>
        </w:rPr>
        <w:t xml:space="preserve">Streptomyces </w:t>
      </w:r>
      <w:r w:rsidRPr="0008498C">
        <w:rPr>
          <w:rFonts w:ascii="Arial" w:hAnsi="Arial" w:cs="Arial"/>
          <w:b/>
          <w:bCs/>
          <w:color w:val="000000" w:themeColor="text1"/>
          <w:sz w:val="36"/>
          <w:szCs w:val="36"/>
        </w:rPr>
        <w:t>DP6</w:t>
      </w:r>
    </w:p>
    <w:p w14:paraId="774C1CDD" w14:textId="11088D54" w:rsidR="007D01EA" w:rsidRPr="0008498C" w:rsidRDefault="007D01EA" w:rsidP="002C4F77">
      <w:pPr>
        <w:tabs>
          <w:tab w:val="left" w:pos="2403"/>
        </w:tabs>
        <w:spacing w:line="240" w:lineRule="auto"/>
        <w:ind w:right="180"/>
        <w:jc w:val="right"/>
        <w:rPr>
          <w:rFonts w:ascii="Arial" w:hAnsi="Arial" w:cs="Arial"/>
          <w:i/>
          <w:sz w:val="20"/>
          <w:szCs w:val="20"/>
        </w:rPr>
      </w:pPr>
    </w:p>
    <w:p w14:paraId="3DFC42D8" w14:textId="77777777" w:rsidR="003923C9" w:rsidRPr="0008498C" w:rsidRDefault="003923C9" w:rsidP="003923C9">
      <w:pPr>
        <w:autoSpaceDE w:val="0"/>
        <w:autoSpaceDN w:val="0"/>
        <w:adjustRightInd w:val="0"/>
        <w:spacing w:after="0" w:line="240" w:lineRule="auto"/>
        <w:jc w:val="both"/>
        <w:rPr>
          <w:rFonts w:ascii="Arial" w:eastAsia="Times New Roman" w:hAnsi="Arial" w:cs="Arial"/>
          <w:b/>
          <w:sz w:val="20"/>
          <w:szCs w:val="20"/>
        </w:rPr>
      </w:pPr>
    </w:p>
    <w:p w14:paraId="119D3C5A" w14:textId="77777777" w:rsidR="003923C9" w:rsidRPr="0008498C" w:rsidRDefault="003923C9" w:rsidP="003923C9">
      <w:pPr>
        <w:autoSpaceDE w:val="0"/>
        <w:autoSpaceDN w:val="0"/>
        <w:adjustRightInd w:val="0"/>
        <w:spacing w:after="0" w:line="240" w:lineRule="auto"/>
        <w:jc w:val="both"/>
        <w:rPr>
          <w:b/>
          <w:color w:val="000000" w:themeColor="text1"/>
          <w:sz w:val="28"/>
          <w:szCs w:val="28"/>
        </w:rPr>
      </w:pPr>
      <w:r w:rsidRPr="0008498C">
        <w:rPr>
          <w:rFonts w:ascii="Arial" w:eastAsia="Times New Roman" w:hAnsi="Arial" w:cs="Arial"/>
          <w:b/>
          <w:sz w:val="20"/>
          <w:szCs w:val="20"/>
        </w:rPr>
        <w:t>ABSTRACT</w:t>
      </w:r>
    </w:p>
    <w:p w14:paraId="5821010A" w14:textId="77777777" w:rsidR="004147E6" w:rsidRPr="0008498C" w:rsidRDefault="004147E6" w:rsidP="002C4F77">
      <w:pPr>
        <w:autoSpaceDE w:val="0"/>
        <w:autoSpaceDN w:val="0"/>
        <w:adjustRightInd w:val="0"/>
        <w:spacing w:after="0" w:line="240" w:lineRule="auto"/>
        <w:rPr>
          <w:rFonts w:ascii="Times New Roman" w:hAnsi="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853353" w:rsidRPr="0008498C" w14:paraId="73715904" w14:textId="77777777" w:rsidTr="003923C9">
        <w:trPr>
          <w:trHeight w:val="4271"/>
        </w:trPr>
        <w:tc>
          <w:tcPr>
            <w:tcW w:w="9225" w:type="dxa"/>
          </w:tcPr>
          <w:p w14:paraId="0531CD41" w14:textId="77777777" w:rsidR="0008498C" w:rsidRDefault="0008498C" w:rsidP="002C4F77">
            <w:pPr>
              <w:autoSpaceDE w:val="0"/>
              <w:autoSpaceDN w:val="0"/>
              <w:adjustRightInd w:val="0"/>
              <w:spacing w:after="0" w:line="240" w:lineRule="auto"/>
              <w:jc w:val="both"/>
              <w:rPr>
                <w:rFonts w:ascii="Arial" w:hAnsi="Arial" w:cs="Arial"/>
                <w:b/>
                <w:sz w:val="20"/>
                <w:szCs w:val="20"/>
                <w:shd w:val="clear" w:color="auto" w:fill="FFFFFF"/>
              </w:rPr>
            </w:pPr>
          </w:p>
          <w:p w14:paraId="629BEA50" w14:textId="77777777" w:rsidR="00853353" w:rsidRPr="0008498C"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shd w:val="clear" w:color="auto" w:fill="FFFFFF"/>
              </w:rPr>
              <w:t>Introduction</w:t>
            </w:r>
            <w:r w:rsidRPr="0008498C">
              <w:rPr>
                <w:rFonts w:ascii="Arial" w:hAnsi="Arial" w:cs="Arial"/>
                <w:sz w:val="20"/>
                <w:szCs w:val="20"/>
                <w:shd w:val="clear" w:color="auto" w:fill="FFFFFF"/>
              </w:rPr>
              <w:t>: Environmental pollution and hazardous waste, resulted from the use of synthetic dyes in industries, have sparked the interest of researchers and industries towards the discovery of</w:t>
            </w:r>
            <w:r w:rsidRPr="0008498C">
              <w:rPr>
                <w:rFonts w:ascii="Arial" w:hAnsi="Arial" w:cs="Arial"/>
                <w:color w:val="3E3D40"/>
                <w:sz w:val="20"/>
                <w:szCs w:val="20"/>
                <w:shd w:val="clear" w:color="auto" w:fill="FFFFFF"/>
              </w:rPr>
              <w:t xml:space="preserve"> </w:t>
            </w:r>
            <w:r w:rsidRPr="0008498C">
              <w:rPr>
                <w:rFonts w:ascii="Arial" w:hAnsi="Arial" w:cs="Arial"/>
                <w:color w:val="000000"/>
                <w:sz w:val="20"/>
                <w:szCs w:val="20"/>
              </w:rPr>
              <w:t xml:space="preserve">eco-friendly, biodegradable, non-toxic natural </w:t>
            </w:r>
            <w:proofErr w:type="spellStart"/>
            <w:r w:rsidRPr="0008498C">
              <w:rPr>
                <w:rFonts w:ascii="Arial" w:hAnsi="Arial" w:cs="Arial"/>
                <w:color w:val="000000"/>
                <w:sz w:val="20"/>
                <w:szCs w:val="20"/>
              </w:rPr>
              <w:t>colors</w:t>
            </w:r>
            <w:proofErr w:type="spellEnd"/>
            <w:r w:rsidRPr="0008498C">
              <w:rPr>
                <w:rFonts w:ascii="Arial" w:hAnsi="Arial" w:cs="Arial"/>
                <w:color w:val="000000"/>
                <w:sz w:val="20"/>
                <w:szCs w:val="20"/>
              </w:rPr>
              <w:t xml:space="preserve">. Among these natural safe colorants, microbial pigments hold considerable potential for use in various industries like textile, food, pharmaceutical etc. </w:t>
            </w:r>
            <w:r w:rsidRPr="0008498C">
              <w:rPr>
                <w:rFonts w:ascii="Arial" w:hAnsi="Arial" w:cs="Arial"/>
                <w:i/>
                <w:sz w:val="20"/>
                <w:szCs w:val="20"/>
              </w:rPr>
              <w:t xml:space="preserve">Streptomyces </w:t>
            </w:r>
            <w:proofErr w:type="spellStart"/>
            <w:r w:rsidRPr="0008498C">
              <w:rPr>
                <w:rFonts w:ascii="Arial" w:hAnsi="Arial" w:cs="Arial"/>
                <w:i/>
                <w:sz w:val="20"/>
                <w:szCs w:val="20"/>
              </w:rPr>
              <w:t>violaceoruber</w:t>
            </w:r>
            <w:proofErr w:type="spellEnd"/>
            <w:r w:rsidRPr="0008498C">
              <w:rPr>
                <w:rFonts w:ascii="Arial" w:hAnsi="Arial" w:cs="Arial"/>
                <w:sz w:val="20"/>
                <w:szCs w:val="20"/>
              </w:rPr>
              <w:t xml:space="preserve"> strain DP6 producing violet pigment was isolated, and characterized. </w:t>
            </w:r>
          </w:p>
          <w:p w14:paraId="1278E5A4" w14:textId="77777777" w:rsidR="00853353" w:rsidRPr="0008498C"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rPr>
              <w:t xml:space="preserve">Material and Methods: </w:t>
            </w:r>
            <w:r w:rsidRPr="0008498C">
              <w:rPr>
                <w:rFonts w:ascii="Arial" w:hAnsi="Arial" w:cs="Arial"/>
                <w:sz w:val="20"/>
                <w:szCs w:val="20"/>
              </w:rPr>
              <w:t>Isolate DP6 was isolated from soil sample and pigment production was optimized. Pigment dyeing potential was assayed on silk and wood. Pigment was purified and characterized.</w:t>
            </w:r>
          </w:p>
          <w:p w14:paraId="430E919B" w14:textId="77777777" w:rsidR="00853353" w:rsidRPr="0008498C"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rPr>
              <w:t>Results:</w:t>
            </w:r>
            <w:r w:rsidRPr="0008498C">
              <w:rPr>
                <w:rFonts w:ascii="Arial" w:hAnsi="Arial" w:cs="Arial"/>
                <w:sz w:val="20"/>
                <w:szCs w:val="20"/>
              </w:rPr>
              <w:t xml:space="preserve"> For optimum pigment production, the isolate was grown in ISP5 medium, at an initial pH of 5.0-5.5, with 2% inoculum and at temperature of 30</w:t>
            </w:r>
            <w:r w:rsidRPr="0008498C">
              <w:rPr>
                <w:rFonts w:ascii="Arial" w:hAnsi="Arial" w:cs="Arial"/>
                <w:sz w:val="20"/>
                <w:szCs w:val="20"/>
                <w:vertAlign w:val="superscript"/>
              </w:rPr>
              <w:t>o</w:t>
            </w:r>
            <w:r w:rsidRPr="0008498C">
              <w:rPr>
                <w:rFonts w:ascii="Arial" w:hAnsi="Arial" w:cs="Arial"/>
                <w:sz w:val="20"/>
                <w:szCs w:val="20"/>
              </w:rPr>
              <w:t>C under shaking conditions at 160 rpm for 10 days. The violet pigment was extractable in ethyl acetate and was highly sensitive to pH changes and sunlight. Further in the study, d</w:t>
            </w:r>
            <w:r w:rsidRPr="0008498C">
              <w:rPr>
                <w:rFonts w:ascii="Arial" w:hAnsi="Arial" w:cs="Arial"/>
                <w:color w:val="000000" w:themeColor="text1"/>
                <w:sz w:val="20"/>
                <w:szCs w:val="20"/>
              </w:rPr>
              <w:t xml:space="preserve">yeing ability of the violet pigment produced under optimum conditions was assessed on wool and silk fabrics where 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yield was found to be better on wool as compared to silk. </w:t>
            </w:r>
            <w:r w:rsidRPr="0008498C">
              <w:rPr>
                <w:rFonts w:ascii="Arial" w:hAnsi="Arial" w:cs="Arial"/>
                <w:sz w:val="20"/>
                <w:szCs w:val="20"/>
              </w:rPr>
              <w:t xml:space="preserve">Additionally, mutagenicity tests revealed non-mutagenic nature of the tested pigment. Purification and characterization of the pigment suggested it may have an anthraquinone type structure having methoxy group. </w:t>
            </w:r>
          </w:p>
          <w:p w14:paraId="20F4B6A9" w14:textId="77777777" w:rsidR="00853353"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rPr>
              <w:t>Conclusions:</w:t>
            </w:r>
            <w:r w:rsidRPr="0008498C">
              <w:rPr>
                <w:rFonts w:ascii="Arial" w:hAnsi="Arial" w:cs="Arial"/>
                <w:sz w:val="20"/>
                <w:szCs w:val="20"/>
              </w:rPr>
              <w:t xml:space="preserve"> The study results indicate that violet pigment from </w:t>
            </w:r>
            <w:r w:rsidR="004C11B6" w:rsidRPr="0008498C">
              <w:rPr>
                <w:rFonts w:ascii="Arial" w:hAnsi="Arial" w:cs="Arial"/>
                <w:i/>
                <w:sz w:val="20"/>
                <w:szCs w:val="20"/>
              </w:rPr>
              <w:t xml:space="preserve">Streptomyces </w:t>
            </w:r>
            <w:r w:rsidR="004C11B6" w:rsidRPr="004C11B6">
              <w:rPr>
                <w:rFonts w:ascii="Arial" w:hAnsi="Arial" w:cs="Arial"/>
                <w:sz w:val="20"/>
                <w:szCs w:val="20"/>
              </w:rPr>
              <w:t>DP6</w:t>
            </w:r>
            <w:r w:rsidR="004C11B6">
              <w:rPr>
                <w:rFonts w:ascii="Arial" w:hAnsi="Arial" w:cs="Arial"/>
                <w:sz w:val="20"/>
                <w:szCs w:val="20"/>
              </w:rPr>
              <w:t xml:space="preserve"> </w:t>
            </w:r>
            <w:r w:rsidRPr="0008498C">
              <w:rPr>
                <w:rFonts w:ascii="Arial" w:hAnsi="Arial" w:cs="Arial"/>
                <w:sz w:val="20"/>
                <w:szCs w:val="20"/>
              </w:rPr>
              <w:t>hold the potential to be exploited as safe dye for use in textile industry.</w:t>
            </w:r>
          </w:p>
          <w:p w14:paraId="67103295" w14:textId="77777777" w:rsidR="0008498C" w:rsidRPr="0008498C" w:rsidRDefault="0008498C" w:rsidP="002C4F77">
            <w:pPr>
              <w:autoSpaceDE w:val="0"/>
              <w:autoSpaceDN w:val="0"/>
              <w:adjustRightInd w:val="0"/>
              <w:spacing w:after="0" w:line="240" w:lineRule="auto"/>
              <w:jc w:val="both"/>
              <w:rPr>
                <w:rFonts w:ascii="Times New Roman" w:eastAsia="Times New Roman" w:hAnsi="Times New Roman" w:cs="Times New Roman"/>
                <w:b/>
                <w:sz w:val="24"/>
                <w:szCs w:val="24"/>
              </w:rPr>
            </w:pPr>
          </w:p>
        </w:tc>
      </w:tr>
    </w:tbl>
    <w:p w14:paraId="5E70D4F4" w14:textId="77777777" w:rsidR="003923C9" w:rsidRPr="0008498C" w:rsidRDefault="003923C9" w:rsidP="002C4F77">
      <w:pPr>
        <w:autoSpaceDE w:val="0"/>
        <w:autoSpaceDN w:val="0"/>
        <w:adjustRightInd w:val="0"/>
        <w:spacing w:after="0" w:line="240" w:lineRule="auto"/>
        <w:jc w:val="both"/>
        <w:rPr>
          <w:rFonts w:ascii="Arial" w:hAnsi="Arial" w:cs="Arial"/>
          <w:i/>
          <w:sz w:val="20"/>
          <w:szCs w:val="20"/>
        </w:rPr>
      </w:pPr>
    </w:p>
    <w:p w14:paraId="29A68110" w14:textId="77777777" w:rsidR="006F3963" w:rsidRDefault="006F3963" w:rsidP="002C4F77">
      <w:pPr>
        <w:autoSpaceDE w:val="0"/>
        <w:autoSpaceDN w:val="0"/>
        <w:adjustRightInd w:val="0"/>
        <w:spacing w:after="0" w:line="240" w:lineRule="auto"/>
        <w:jc w:val="both"/>
        <w:rPr>
          <w:rFonts w:ascii="Arial" w:hAnsi="Arial" w:cs="Arial"/>
          <w:i/>
          <w:sz w:val="20"/>
          <w:szCs w:val="20"/>
        </w:rPr>
      </w:pPr>
      <w:r w:rsidRPr="0008498C">
        <w:rPr>
          <w:rFonts w:ascii="Arial" w:hAnsi="Arial" w:cs="Arial"/>
          <w:i/>
          <w:sz w:val="20"/>
          <w:szCs w:val="20"/>
        </w:rPr>
        <w:t>Keywords:  Streptomyces DP6, violet pigment, dyeing ability</w:t>
      </w:r>
      <w:r w:rsidR="00853353" w:rsidRPr="0008498C">
        <w:rPr>
          <w:rFonts w:ascii="Arial" w:hAnsi="Arial" w:cs="Arial"/>
          <w:i/>
          <w:sz w:val="20"/>
          <w:szCs w:val="20"/>
        </w:rPr>
        <w:t>, non-toxic</w:t>
      </w:r>
    </w:p>
    <w:p w14:paraId="73B21648" w14:textId="77777777" w:rsidR="0008498C" w:rsidRPr="0008498C" w:rsidRDefault="0008498C" w:rsidP="002C4F77">
      <w:pPr>
        <w:autoSpaceDE w:val="0"/>
        <w:autoSpaceDN w:val="0"/>
        <w:adjustRightInd w:val="0"/>
        <w:spacing w:after="0" w:line="240" w:lineRule="auto"/>
        <w:jc w:val="both"/>
        <w:rPr>
          <w:rFonts w:ascii="Arial" w:hAnsi="Arial" w:cs="Arial"/>
          <w:i/>
          <w:color w:val="000000"/>
          <w:sz w:val="20"/>
          <w:szCs w:val="20"/>
        </w:rPr>
      </w:pPr>
    </w:p>
    <w:p w14:paraId="120DAF56" w14:textId="77777777" w:rsidR="00853353" w:rsidRPr="0008498C" w:rsidRDefault="00853353" w:rsidP="002C4F77">
      <w:pPr>
        <w:tabs>
          <w:tab w:val="left" w:pos="5610"/>
        </w:tabs>
        <w:spacing w:after="0" w:line="240" w:lineRule="auto"/>
        <w:rPr>
          <w:rFonts w:ascii="Arial" w:hAnsi="Arial" w:cs="Arial"/>
          <w:b/>
        </w:rPr>
      </w:pPr>
    </w:p>
    <w:p w14:paraId="320C2E5D" w14:textId="77777777" w:rsidR="006F3963" w:rsidRPr="0008498C" w:rsidRDefault="00853353" w:rsidP="0008498C">
      <w:pPr>
        <w:tabs>
          <w:tab w:val="left" w:pos="5610"/>
        </w:tabs>
        <w:spacing w:line="240" w:lineRule="auto"/>
        <w:rPr>
          <w:rFonts w:ascii="Arial" w:hAnsi="Arial" w:cs="Arial"/>
        </w:rPr>
      </w:pPr>
      <w:r w:rsidRPr="0008498C">
        <w:rPr>
          <w:rFonts w:ascii="Arial" w:hAnsi="Arial" w:cs="Arial"/>
          <w:b/>
        </w:rPr>
        <w:t xml:space="preserve">1. </w:t>
      </w:r>
      <w:r w:rsidR="006F3963" w:rsidRPr="0008498C">
        <w:rPr>
          <w:rFonts w:ascii="Arial" w:hAnsi="Arial" w:cs="Arial"/>
          <w:b/>
        </w:rPr>
        <w:t>INTRODUCTION</w:t>
      </w:r>
    </w:p>
    <w:p w14:paraId="185B8180" w14:textId="77777777" w:rsidR="006F3963" w:rsidRPr="0008498C" w:rsidRDefault="006F3963" w:rsidP="0008498C">
      <w:pPr>
        <w:autoSpaceDE w:val="0"/>
        <w:autoSpaceDN w:val="0"/>
        <w:adjustRightInd w:val="0"/>
        <w:spacing w:line="240" w:lineRule="auto"/>
        <w:jc w:val="both"/>
        <w:rPr>
          <w:rFonts w:ascii="Arial" w:hAnsi="Arial" w:cs="Arial"/>
          <w:color w:val="000000" w:themeColor="text1"/>
          <w:sz w:val="20"/>
          <w:szCs w:val="20"/>
        </w:rPr>
      </w:pPr>
      <w:r w:rsidRPr="0008498C">
        <w:rPr>
          <w:rFonts w:ascii="Arial" w:hAnsi="Arial" w:cs="Arial"/>
          <w:color w:val="000000" w:themeColor="text1"/>
          <w:sz w:val="20"/>
          <w:szCs w:val="20"/>
          <w:shd w:val="clear" w:color="auto" w:fill="FFFFFF"/>
        </w:rPr>
        <w:t xml:space="preserve">The textile industry in India is the second largest sector after agriculture, generating huge employment opportunities for both types of skilled and unskilled labour. It offers employment to around </w:t>
      </w:r>
      <w:proofErr w:type="gramStart"/>
      <w:r w:rsidR="0052276B" w:rsidRPr="0008498C">
        <w:rPr>
          <w:rFonts w:ascii="Arial" w:hAnsi="Arial" w:cs="Arial"/>
          <w:color w:val="000000"/>
          <w:sz w:val="20"/>
          <w:szCs w:val="20"/>
          <w:shd w:val="clear" w:color="auto" w:fill="FFFFFF"/>
        </w:rPr>
        <w:t>forty five</w:t>
      </w:r>
      <w:proofErr w:type="gramEnd"/>
      <w:r w:rsidRPr="0008498C">
        <w:rPr>
          <w:rFonts w:ascii="Arial" w:hAnsi="Arial" w:cs="Arial"/>
          <w:color w:val="000000"/>
          <w:sz w:val="20"/>
          <w:szCs w:val="20"/>
          <w:shd w:val="clear" w:color="auto" w:fill="FFFFFF"/>
        </w:rPr>
        <w:t xml:space="preserve"> </w:t>
      </w:r>
      <w:r w:rsidR="0052276B" w:rsidRPr="0008498C">
        <w:rPr>
          <w:rFonts w:ascii="Arial" w:hAnsi="Arial" w:cs="Arial"/>
          <w:color w:val="000000"/>
          <w:sz w:val="20"/>
          <w:szCs w:val="20"/>
          <w:shd w:val="clear" w:color="auto" w:fill="FFFFFF"/>
        </w:rPr>
        <w:t>million people directly and around sixty million p</w:t>
      </w:r>
      <w:r w:rsidRPr="0008498C">
        <w:rPr>
          <w:rFonts w:ascii="Arial" w:hAnsi="Arial" w:cs="Arial"/>
          <w:color w:val="000000" w:themeColor="text1"/>
          <w:sz w:val="20"/>
          <w:szCs w:val="20"/>
          <w:shd w:val="clear" w:color="auto" w:fill="FFFFFF"/>
        </w:rPr>
        <w:t>eople indirectly in the country</w:t>
      </w:r>
      <w:r w:rsidRPr="0008498C">
        <w:rPr>
          <w:rFonts w:ascii="Arial" w:eastAsia="Times New Roman" w:hAnsi="Arial" w:cs="Arial"/>
          <w:sz w:val="20"/>
          <w:szCs w:val="20"/>
          <w:lang w:eastAsia="en-IN"/>
        </w:rPr>
        <w:t xml:space="preserve"> </w:t>
      </w:r>
      <w:r w:rsidRPr="0008498C">
        <w:rPr>
          <w:rFonts w:ascii="Arial" w:hAnsi="Arial" w:cs="Arial"/>
          <w:color w:val="000000" w:themeColor="text1"/>
          <w:sz w:val="20"/>
          <w:szCs w:val="20"/>
          <w:shd w:val="clear" w:color="auto" w:fill="FFFFFF"/>
        </w:rPr>
        <w:t>C</w:t>
      </w:r>
      <w:r w:rsidRPr="0008498C">
        <w:rPr>
          <w:rFonts w:ascii="Arial" w:hAnsi="Arial" w:cs="Arial"/>
          <w:color w:val="000000" w:themeColor="text1"/>
          <w:sz w:val="20"/>
          <w:szCs w:val="20"/>
        </w:rPr>
        <w:t xml:space="preserve">olouring textile materials dates back to ancient times. </w:t>
      </w:r>
      <w:r w:rsidRPr="0008498C">
        <w:rPr>
          <w:rFonts w:ascii="Arial" w:hAnsi="Arial" w:cs="Arial"/>
          <w:color w:val="000000" w:themeColor="text1"/>
          <w:sz w:val="20"/>
          <w:szCs w:val="20"/>
          <w:shd w:val="clear" w:color="auto" w:fill="FFFFFF"/>
        </w:rPr>
        <w:t xml:space="preserve">Nowadays, the </w:t>
      </w:r>
      <w:r w:rsidRPr="0008498C">
        <w:rPr>
          <w:rFonts w:ascii="Arial" w:hAnsi="Arial" w:cs="Arial"/>
          <w:color w:val="000000" w:themeColor="text1"/>
          <w:sz w:val="20"/>
          <w:szCs w:val="20"/>
        </w:rPr>
        <w:t xml:space="preserve">textile dyeing industry is facing challenges related to environmental issues. This industry is generating a substantial amount of contaminated water waste and also generating </w:t>
      </w:r>
      <w:r w:rsidR="00DC1934" w:rsidRPr="0008498C">
        <w:rPr>
          <w:rFonts w:ascii="Arial" w:hAnsi="Arial" w:cs="Arial"/>
          <w:color w:val="000000" w:themeColor="text1"/>
          <w:sz w:val="20"/>
          <w:szCs w:val="20"/>
        </w:rPr>
        <w:t>large amount of chemical wast</w:t>
      </w:r>
      <w:r w:rsidR="0008498C">
        <w:rPr>
          <w:rFonts w:ascii="Arial" w:hAnsi="Arial" w:cs="Arial"/>
          <w:color w:val="000000" w:themeColor="text1"/>
          <w:sz w:val="20"/>
          <w:szCs w:val="20"/>
        </w:rPr>
        <w:t xml:space="preserve">e </w:t>
      </w:r>
      <w:r w:rsidR="0008498C" w:rsidRPr="0008498C">
        <w:rPr>
          <w:rFonts w:ascii="Arial" w:hAnsi="Arial" w:cs="Arial"/>
          <w:color w:val="000000" w:themeColor="text1"/>
          <w:sz w:val="20"/>
          <w:szCs w:val="20"/>
        </w:rPr>
        <w:t>(Kramar &amp; Kostic, 2022; Islam et al., 2023)</w:t>
      </w:r>
      <w:r w:rsidRPr="0008498C">
        <w:rPr>
          <w:rFonts w:ascii="Arial" w:hAnsi="Arial" w:cs="Arial"/>
          <w:color w:val="000000" w:themeColor="text1"/>
          <w:sz w:val="20"/>
          <w:szCs w:val="20"/>
        </w:rPr>
        <w:t xml:space="preserve">. Dyed fabrics also contain toxic dye residues attached to the fabric and these chemicals can cause skin problems to consumers when they use dyed fabrics. Thus, use of these chemical or </w:t>
      </w:r>
      <w:r w:rsidRPr="0008498C">
        <w:rPr>
          <w:rFonts w:ascii="Arial" w:hAnsi="Arial" w:cs="Arial"/>
          <w:sz w:val="20"/>
          <w:szCs w:val="20"/>
        </w:rPr>
        <w:t xml:space="preserve">synthetic dyes in textile industry is </w:t>
      </w:r>
      <w:r w:rsidRPr="0008498C">
        <w:rPr>
          <w:rFonts w:ascii="Arial" w:hAnsi="Arial" w:cs="Arial"/>
          <w:color w:val="000000" w:themeColor="text1"/>
          <w:sz w:val="20"/>
          <w:szCs w:val="20"/>
        </w:rPr>
        <w:t xml:space="preserve">posing significant threat to the environment </w:t>
      </w:r>
      <w:r w:rsidRPr="0008498C">
        <w:rPr>
          <w:rFonts w:ascii="Arial" w:hAnsi="Arial" w:cs="Arial"/>
          <w:sz w:val="20"/>
          <w:szCs w:val="20"/>
        </w:rPr>
        <w:t>and human healt</w:t>
      </w:r>
      <w:r w:rsidR="00324171">
        <w:rPr>
          <w:rFonts w:ascii="Arial" w:hAnsi="Arial" w:cs="Arial"/>
          <w:sz w:val="20"/>
          <w:szCs w:val="20"/>
        </w:rPr>
        <w:t>h (</w:t>
      </w:r>
      <w:proofErr w:type="spellStart"/>
      <w:r w:rsidR="00324171" w:rsidRPr="00324171">
        <w:rPr>
          <w:rFonts w:ascii="Arial" w:hAnsi="Arial" w:cs="Arial"/>
          <w:sz w:val="20"/>
          <w:szCs w:val="20"/>
        </w:rPr>
        <w:t>Alihosseini</w:t>
      </w:r>
      <w:proofErr w:type="spellEnd"/>
      <w:r w:rsidR="00324171" w:rsidRPr="00324171">
        <w:rPr>
          <w:rFonts w:ascii="Arial" w:hAnsi="Arial" w:cs="Arial"/>
          <w:sz w:val="20"/>
          <w:szCs w:val="20"/>
        </w:rPr>
        <w:t xml:space="preserve"> et al., 2008; </w:t>
      </w:r>
      <w:proofErr w:type="spellStart"/>
      <w:r w:rsidR="00324171" w:rsidRPr="00324171">
        <w:rPr>
          <w:rFonts w:ascii="Arial" w:hAnsi="Arial" w:cs="Arial"/>
          <w:sz w:val="20"/>
          <w:szCs w:val="20"/>
        </w:rPr>
        <w:t>DeBritto</w:t>
      </w:r>
      <w:proofErr w:type="spellEnd"/>
      <w:r w:rsidR="00324171" w:rsidRPr="00324171">
        <w:rPr>
          <w:rFonts w:ascii="Arial" w:hAnsi="Arial" w:cs="Arial"/>
          <w:sz w:val="20"/>
          <w:szCs w:val="20"/>
        </w:rPr>
        <w:t xml:space="preserve"> et al, 2020).</w:t>
      </w:r>
    </w:p>
    <w:p w14:paraId="0983CB91" w14:textId="77777777" w:rsidR="006F3963" w:rsidRPr="0008498C" w:rsidRDefault="006F3963" w:rsidP="002C4F77">
      <w:pPr>
        <w:spacing w:line="240" w:lineRule="auto"/>
        <w:jc w:val="both"/>
        <w:rPr>
          <w:rFonts w:ascii="Arial" w:hAnsi="Arial" w:cs="Arial"/>
          <w:sz w:val="20"/>
          <w:szCs w:val="20"/>
        </w:rPr>
      </w:pPr>
      <w:r w:rsidRPr="0008498C">
        <w:rPr>
          <w:rFonts w:ascii="Arial" w:hAnsi="Arial" w:cs="Arial"/>
          <w:sz w:val="20"/>
          <w:szCs w:val="20"/>
        </w:rPr>
        <w:t xml:space="preserve">Pigment production from natural sources is gaining importance worldwide due to safety concerns triggered by use of artificial synthetic dyes. Natural dyes are safer and environment friendly because of their better biodegradability. </w:t>
      </w:r>
      <w:r w:rsidRPr="0008498C">
        <w:rPr>
          <w:rFonts w:ascii="Arial" w:hAnsi="Arial" w:cs="Arial"/>
          <w:color w:val="000000" w:themeColor="text1"/>
          <w:sz w:val="20"/>
          <w:szCs w:val="20"/>
        </w:rPr>
        <w:t xml:space="preserve">Microorganisms are well known for producing </w:t>
      </w:r>
      <w:r w:rsidR="00AD7DD0" w:rsidRPr="0008498C">
        <w:rPr>
          <w:rFonts w:ascii="Arial" w:hAnsi="Arial" w:cs="Arial"/>
          <w:color w:val="000000" w:themeColor="text1"/>
          <w:sz w:val="20"/>
          <w:szCs w:val="20"/>
        </w:rPr>
        <w:t xml:space="preserve">secondary </w:t>
      </w:r>
      <w:proofErr w:type="spellStart"/>
      <w:r w:rsidR="00AD7DD0" w:rsidRPr="0008498C">
        <w:rPr>
          <w:rFonts w:ascii="Arial" w:hAnsi="Arial" w:cs="Arial"/>
          <w:color w:val="000000" w:themeColor="text1"/>
          <w:sz w:val="20"/>
          <w:szCs w:val="20"/>
        </w:rPr>
        <w:t>metabolities</w:t>
      </w:r>
      <w:proofErr w:type="spellEnd"/>
      <w:r w:rsidR="00AD7DD0" w:rsidRPr="0008498C">
        <w:rPr>
          <w:rFonts w:ascii="Arial" w:hAnsi="Arial" w:cs="Arial"/>
          <w:color w:val="000000" w:themeColor="text1"/>
          <w:sz w:val="20"/>
          <w:szCs w:val="20"/>
        </w:rPr>
        <w:t xml:space="preserve"> including pigments antibiotics and enzyme</w:t>
      </w:r>
      <w:r w:rsidR="00324171">
        <w:rPr>
          <w:rFonts w:ascii="Arial" w:hAnsi="Arial" w:cs="Arial"/>
          <w:color w:val="000000" w:themeColor="text1"/>
          <w:sz w:val="20"/>
          <w:szCs w:val="20"/>
        </w:rPr>
        <w:t>s (</w:t>
      </w:r>
      <w:r w:rsidR="00324171" w:rsidRPr="00324171">
        <w:rPr>
          <w:rFonts w:ascii="Arial" w:hAnsi="Arial" w:cs="Arial"/>
          <w:color w:val="000000" w:themeColor="text1"/>
          <w:sz w:val="20"/>
          <w:szCs w:val="20"/>
        </w:rPr>
        <w:t xml:space="preserve">Kanwar et al., 2024; Etta et al., 2025; Sharma et al., 2025). </w:t>
      </w:r>
      <w:r w:rsidRPr="0008498C">
        <w:rPr>
          <w:rFonts w:ascii="Arial" w:hAnsi="Arial" w:cs="Arial"/>
          <w:color w:val="000000" w:themeColor="text1"/>
          <w:sz w:val="20"/>
          <w:szCs w:val="20"/>
        </w:rPr>
        <w:t xml:space="preserve">However, pigments from </w:t>
      </w:r>
      <w:proofErr w:type="spellStart"/>
      <w:r w:rsidRPr="0008498C">
        <w:rPr>
          <w:rFonts w:ascii="Arial" w:hAnsi="Arial" w:cs="Arial"/>
          <w:color w:val="000000" w:themeColor="text1"/>
          <w:sz w:val="20"/>
          <w:szCs w:val="20"/>
        </w:rPr>
        <w:t>microorgansims</w:t>
      </w:r>
      <w:proofErr w:type="spellEnd"/>
      <w:r w:rsidRPr="0008498C">
        <w:rPr>
          <w:rFonts w:ascii="Arial" w:hAnsi="Arial" w:cs="Arial"/>
          <w:color w:val="000000" w:themeColor="text1"/>
          <w:sz w:val="20"/>
          <w:szCs w:val="20"/>
        </w:rPr>
        <w:t xml:space="preserve"> are less explored as </w:t>
      </w:r>
      <w:r w:rsidR="005E0B20" w:rsidRPr="0008498C">
        <w:rPr>
          <w:rFonts w:ascii="Arial" w:hAnsi="Arial" w:cs="Arial"/>
          <w:color w:val="000000" w:themeColor="text1"/>
          <w:sz w:val="20"/>
          <w:szCs w:val="20"/>
        </w:rPr>
        <w:t>co</w:t>
      </w:r>
      <w:r w:rsidR="00DC1934" w:rsidRPr="0008498C">
        <w:rPr>
          <w:rFonts w:ascii="Arial" w:hAnsi="Arial" w:cs="Arial"/>
          <w:color w:val="000000" w:themeColor="text1"/>
          <w:sz w:val="20"/>
          <w:szCs w:val="20"/>
        </w:rPr>
        <w:t>mpared to plants and animals</w:t>
      </w:r>
      <w:r w:rsidR="00324171">
        <w:rPr>
          <w:rFonts w:ascii="Arial" w:hAnsi="Arial" w:cs="Arial"/>
          <w:color w:val="000000" w:themeColor="text1"/>
          <w:sz w:val="20"/>
          <w:szCs w:val="20"/>
        </w:rPr>
        <w:t xml:space="preserve"> (Sen et al., 2019)</w:t>
      </w:r>
      <w:r w:rsidR="005E0B20" w:rsidRPr="0008498C">
        <w:rPr>
          <w:rFonts w:ascii="Arial" w:hAnsi="Arial" w:cs="Arial"/>
          <w:color w:val="000000" w:themeColor="text1"/>
          <w:sz w:val="20"/>
          <w:szCs w:val="20"/>
        </w:rPr>
        <w:t>.</w:t>
      </w:r>
      <w:r w:rsidRPr="0008498C">
        <w:rPr>
          <w:rFonts w:ascii="Arial" w:hAnsi="Arial" w:cs="Arial"/>
          <w:color w:val="000000" w:themeColor="text1"/>
          <w:sz w:val="20"/>
          <w:szCs w:val="20"/>
        </w:rPr>
        <w:t xml:space="preserve"> </w:t>
      </w:r>
      <w:proofErr w:type="spellStart"/>
      <w:r w:rsidRPr="0008498C">
        <w:rPr>
          <w:rFonts w:ascii="Arial" w:hAnsi="Arial" w:cs="Arial"/>
          <w:sz w:val="20"/>
          <w:szCs w:val="20"/>
        </w:rPr>
        <w:t>M</w:t>
      </w:r>
      <w:r w:rsidRPr="0008498C">
        <w:rPr>
          <w:rFonts w:ascii="Arial" w:hAnsi="Arial" w:cs="Arial"/>
          <w:color w:val="000000" w:themeColor="text1"/>
          <w:sz w:val="20"/>
          <w:szCs w:val="20"/>
        </w:rPr>
        <w:t>icrooroganisms</w:t>
      </w:r>
      <w:proofErr w:type="spellEnd"/>
      <w:r w:rsidRPr="0008498C">
        <w:rPr>
          <w:rFonts w:ascii="Arial" w:hAnsi="Arial" w:cs="Arial"/>
          <w:color w:val="000000" w:themeColor="text1"/>
          <w:sz w:val="20"/>
          <w:szCs w:val="20"/>
        </w:rPr>
        <w:t xml:space="preserve"> belonging to the Genus </w:t>
      </w:r>
      <w:r w:rsidRPr="0008498C">
        <w:rPr>
          <w:rFonts w:ascii="Arial" w:hAnsi="Arial" w:cs="Arial"/>
          <w:i/>
          <w:color w:val="000000" w:themeColor="text1"/>
          <w:sz w:val="20"/>
          <w:szCs w:val="20"/>
        </w:rPr>
        <w:t>Serratia</w:t>
      </w:r>
      <w:r w:rsidRPr="0008498C">
        <w:rPr>
          <w:rFonts w:ascii="Arial" w:hAnsi="Arial" w:cs="Arial"/>
          <w:color w:val="000000" w:themeColor="text1"/>
          <w:sz w:val="20"/>
          <w:szCs w:val="20"/>
        </w:rPr>
        <w:t xml:space="preserve">, </w:t>
      </w:r>
      <w:r w:rsidRPr="0008498C">
        <w:rPr>
          <w:rFonts w:ascii="Arial" w:hAnsi="Arial" w:cs="Arial"/>
          <w:i/>
          <w:color w:val="000000" w:themeColor="text1"/>
          <w:sz w:val="20"/>
          <w:szCs w:val="20"/>
        </w:rPr>
        <w:t>Streptomyces</w:t>
      </w:r>
      <w:r w:rsidRPr="0008498C">
        <w:rPr>
          <w:rFonts w:ascii="Arial" w:hAnsi="Arial" w:cs="Arial"/>
          <w:color w:val="000000" w:themeColor="text1"/>
          <w:sz w:val="20"/>
          <w:szCs w:val="20"/>
        </w:rPr>
        <w:t xml:space="preserve">, </w:t>
      </w:r>
      <w:r w:rsidRPr="0008498C">
        <w:rPr>
          <w:rFonts w:ascii="Arial" w:hAnsi="Arial" w:cs="Arial"/>
          <w:i/>
          <w:color w:val="000000" w:themeColor="text1"/>
          <w:sz w:val="20"/>
          <w:szCs w:val="20"/>
        </w:rPr>
        <w:t>Pseudomonas,</w:t>
      </w:r>
      <w:r w:rsidRPr="0008498C">
        <w:rPr>
          <w:rFonts w:ascii="Arial" w:hAnsi="Arial" w:cs="Arial"/>
          <w:color w:val="000000" w:themeColor="text1"/>
          <w:sz w:val="20"/>
          <w:szCs w:val="20"/>
        </w:rPr>
        <w:t xml:space="preserve"> </w:t>
      </w:r>
      <w:proofErr w:type="spellStart"/>
      <w:r w:rsidRPr="0008498C">
        <w:rPr>
          <w:rFonts w:ascii="Arial" w:hAnsi="Arial" w:cs="Arial"/>
          <w:i/>
          <w:sz w:val="20"/>
          <w:szCs w:val="20"/>
        </w:rPr>
        <w:t>Chromobacterium</w:t>
      </w:r>
      <w:proofErr w:type="spellEnd"/>
      <w:r w:rsidRPr="0008498C">
        <w:rPr>
          <w:rFonts w:ascii="Arial" w:hAnsi="Arial" w:cs="Arial"/>
          <w:sz w:val="20"/>
          <w:szCs w:val="20"/>
        </w:rPr>
        <w:t xml:space="preserve"> and </w:t>
      </w:r>
      <w:proofErr w:type="spellStart"/>
      <w:r w:rsidRPr="0008498C">
        <w:rPr>
          <w:rFonts w:ascii="Arial" w:hAnsi="Arial" w:cs="Arial"/>
          <w:i/>
          <w:sz w:val="20"/>
          <w:szCs w:val="20"/>
        </w:rPr>
        <w:t>Janthinobacterium</w:t>
      </w:r>
      <w:proofErr w:type="spellEnd"/>
      <w:r w:rsidRPr="0008498C">
        <w:rPr>
          <w:rFonts w:ascii="Arial" w:hAnsi="Arial" w:cs="Arial"/>
          <w:sz w:val="20"/>
          <w:szCs w:val="20"/>
        </w:rPr>
        <w:t xml:space="preserve"> are known to produce a variety of both extracellular as </w:t>
      </w:r>
      <w:r w:rsidR="005E0B20" w:rsidRPr="0008498C">
        <w:rPr>
          <w:rFonts w:ascii="Arial" w:hAnsi="Arial" w:cs="Arial"/>
          <w:sz w:val="20"/>
          <w:szCs w:val="20"/>
        </w:rPr>
        <w:t>well as intracellular pigment</w:t>
      </w:r>
      <w:r w:rsidR="00324171" w:rsidRPr="00324171">
        <w:rPr>
          <w:rFonts w:ascii="Arial" w:hAnsi="Arial" w:cs="Arial"/>
          <w:sz w:val="20"/>
          <w:szCs w:val="20"/>
        </w:rPr>
        <w:t xml:space="preserve"> </w:t>
      </w:r>
      <w:r w:rsidR="00324171">
        <w:rPr>
          <w:rFonts w:ascii="Arial" w:hAnsi="Arial" w:cs="Arial"/>
          <w:sz w:val="20"/>
          <w:szCs w:val="20"/>
        </w:rPr>
        <w:t>(</w:t>
      </w:r>
      <w:r w:rsidR="00324171" w:rsidRPr="00324171">
        <w:rPr>
          <w:rFonts w:ascii="Arial" w:hAnsi="Arial" w:cs="Arial"/>
          <w:sz w:val="20"/>
          <w:szCs w:val="20"/>
        </w:rPr>
        <w:t>Agarwal et al., 2023</w:t>
      </w:r>
      <w:r w:rsidR="00324171">
        <w:rPr>
          <w:rFonts w:ascii="Arial" w:hAnsi="Arial" w:cs="Arial"/>
          <w:sz w:val="20"/>
          <w:szCs w:val="20"/>
        </w:rPr>
        <w:t xml:space="preserve">). </w:t>
      </w:r>
      <w:proofErr w:type="spellStart"/>
      <w:r w:rsidRPr="0008498C">
        <w:rPr>
          <w:rFonts w:ascii="Arial" w:hAnsi="Arial" w:cs="Arial"/>
          <w:sz w:val="20"/>
          <w:szCs w:val="20"/>
        </w:rPr>
        <w:t>Biopigments</w:t>
      </w:r>
      <w:proofErr w:type="spellEnd"/>
      <w:r w:rsidRPr="0008498C">
        <w:rPr>
          <w:rFonts w:ascii="Arial" w:hAnsi="Arial" w:cs="Arial"/>
          <w:sz w:val="20"/>
          <w:szCs w:val="20"/>
        </w:rPr>
        <w:t xml:space="preserve"> chemically attach to textile materials and form bonds with functional </w:t>
      </w:r>
      <w:r w:rsidRPr="0008498C">
        <w:rPr>
          <w:rFonts w:ascii="Arial" w:hAnsi="Arial" w:cs="Arial"/>
          <w:sz w:val="20"/>
          <w:szCs w:val="20"/>
        </w:rPr>
        <w:lastRenderedPageBreak/>
        <w:t>groups of fabric fibres</w:t>
      </w:r>
      <w:r w:rsidRPr="0008498C">
        <w:rPr>
          <w:rFonts w:ascii="Arial" w:hAnsi="Arial" w:cs="Arial"/>
          <w:bCs/>
          <w:sz w:val="20"/>
          <w:szCs w:val="20"/>
        </w:rPr>
        <w:t xml:space="preserve">. </w:t>
      </w:r>
      <w:r w:rsidRPr="0008498C">
        <w:rPr>
          <w:rFonts w:ascii="Arial" w:hAnsi="Arial" w:cs="Arial"/>
          <w:sz w:val="20"/>
          <w:szCs w:val="20"/>
        </w:rPr>
        <w:t xml:space="preserve">Additionally, these pigments also possess good antimicrobial, </w:t>
      </w:r>
      <w:proofErr w:type="spellStart"/>
      <w:r w:rsidRPr="0008498C">
        <w:rPr>
          <w:rFonts w:ascii="Arial" w:hAnsi="Arial" w:cs="Arial"/>
          <w:sz w:val="20"/>
          <w:szCs w:val="20"/>
        </w:rPr>
        <w:t>anticancerou</w:t>
      </w:r>
      <w:r w:rsidR="005E0B20" w:rsidRPr="0008498C">
        <w:rPr>
          <w:rFonts w:ascii="Arial" w:hAnsi="Arial" w:cs="Arial"/>
          <w:sz w:val="20"/>
          <w:szCs w:val="20"/>
        </w:rPr>
        <w:t>s</w:t>
      </w:r>
      <w:proofErr w:type="spellEnd"/>
      <w:r w:rsidR="005E0B20" w:rsidRPr="0008498C">
        <w:rPr>
          <w:rFonts w:ascii="Arial" w:hAnsi="Arial" w:cs="Arial"/>
          <w:sz w:val="20"/>
          <w:szCs w:val="20"/>
        </w:rPr>
        <w:t xml:space="preserve"> and antioxidative properties</w:t>
      </w:r>
      <w:r w:rsidR="00DC1934" w:rsidRPr="0008498C">
        <w:rPr>
          <w:rFonts w:ascii="Arial" w:hAnsi="Arial" w:cs="Arial"/>
          <w:color w:val="222222"/>
          <w:sz w:val="20"/>
          <w:szCs w:val="20"/>
          <w:shd w:val="clear" w:color="auto" w:fill="FFFFFF"/>
        </w:rPr>
        <w:t xml:space="preserve"> </w:t>
      </w:r>
      <w:r w:rsidR="00324171">
        <w:rPr>
          <w:rFonts w:ascii="Arial" w:hAnsi="Arial" w:cs="Arial"/>
          <w:color w:val="222222"/>
          <w:sz w:val="20"/>
          <w:szCs w:val="20"/>
          <w:shd w:val="clear" w:color="auto" w:fill="FFFFFF"/>
        </w:rPr>
        <w:t>(</w:t>
      </w:r>
      <w:r w:rsidR="00324171" w:rsidRPr="00324171">
        <w:rPr>
          <w:rFonts w:ascii="Arial" w:hAnsi="Arial" w:cs="Arial"/>
          <w:color w:val="222222"/>
          <w:sz w:val="20"/>
          <w:szCs w:val="20"/>
          <w:shd w:val="clear" w:color="auto" w:fill="FFFFFF"/>
        </w:rPr>
        <w:t>Stankovic et al., 2014; Mumtaz et al., 2019</w:t>
      </w:r>
      <w:r w:rsidR="00324171">
        <w:rPr>
          <w:rFonts w:ascii="Arial" w:hAnsi="Arial" w:cs="Arial"/>
          <w:color w:val="222222"/>
          <w:sz w:val="20"/>
          <w:szCs w:val="20"/>
          <w:shd w:val="clear" w:color="auto" w:fill="FFFFFF"/>
        </w:rPr>
        <w:t xml:space="preserve">; </w:t>
      </w:r>
      <w:proofErr w:type="spellStart"/>
      <w:r w:rsidR="00324171" w:rsidRPr="00324171">
        <w:rPr>
          <w:rFonts w:ascii="Arial" w:hAnsi="Arial" w:cs="Arial"/>
          <w:color w:val="222222"/>
          <w:sz w:val="20"/>
          <w:szCs w:val="20"/>
          <w:shd w:val="clear" w:color="auto" w:fill="FFFFFF"/>
        </w:rPr>
        <w:t>Venil</w:t>
      </w:r>
      <w:proofErr w:type="spellEnd"/>
      <w:r w:rsidR="00324171" w:rsidRPr="00324171">
        <w:rPr>
          <w:rFonts w:ascii="Arial" w:hAnsi="Arial" w:cs="Arial"/>
          <w:color w:val="222222"/>
          <w:sz w:val="20"/>
          <w:szCs w:val="20"/>
          <w:shd w:val="clear" w:color="auto" w:fill="FFFFFF"/>
        </w:rPr>
        <w:t xml:space="preserve"> et al. 2021)</w:t>
      </w:r>
      <w:r w:rsidR="00324171">
        <w:rPr>
          <w:rFonts w:ascii="Arial" w:hAnsi="Arial" w:cs="Arial"/>
          <w:color w:val="222222"/>
          <w:sz w:val="20"/>
          <w:szCs w:val="20"/>
          <w:shd w:val="clear" w:color="auto" w:fill="FFFFFF"/>
        </w:rPr>
        <w:t xml:space="preserve">. </w:t>
      </w:r>
      <w:r w:rsidRPr="0008498C">
        <w:rPr>
          <w:rFonts w:ascii="Arial" w:hAnsi="Arial" w:cs="Arial"/>
          <w:sz w:val="20"/>
          <w:szCs w:val="20"/>
        </w:rPr>
        <w:t>N</w:t>
      </w:r>
      <w:r w:rsidRPr="0008498C">
        <w:rPr>
          <w:rFonts w:ascii="Arial" w:hAnsi="Arial" w:cs="Arial"/>
          <w:color w:val="000000" w:themeColor="text1"/>
          <w:sz w:val="20"/>
          <w:szCs w:val="20"/>
        </w:rPr>
        <w:t>owad</w:t>
      </w:r>
      <w:r w:rsidR="0025527A" w:rsidRPr="0008498C">
        <w:rPr>
          <w:rFonts w:ascii="Arial" w:hAnsi="Arial" w:cs="Arial"/>
          <w:color w:val="000000" w:themeColor="text1"/>
          <w:sz w:val="20"/>
          <w:szCs w:val="20"/>
        </w:rPr>
        <w:t xml:space="preserve">ays, researchers are isolating </w:t>
      </w:r>
      <w:r w:rsidRPr="0008498C">
        <w:rPr>
          <w:rFonts w:ascii="Arial" w:hAnsi="Arial" w:cs="Arial"/>
          <w:color w:val="000000" w:themeColor="text1"/>
          <w:sz w:val="20"/>
          <w:szCs w:val="20"/>
        </w:rPr>
        <w:t>pigment producing microbes and exploring their dyeing potential</w:t>
      </w:r>
      <w:r w:rsidR="006F57F4" w:rsidRPr="0008498C">
        <w:rPr>
          <w:rFonts w:ascii="Arial" w:hAnsi="Arial" w:cs="Arial"/>
          <w:color w:val="000000" w:themeColor="text1"/>
          <w:sz w:val="20"/>
          <w:szCs w:val="20"/>
        </w:rPr>
        <w:t xml:space="preserve"> (</w:t>
      </w:r>
      <w:r w:rsidR="00AD7DD0" w:rsidRPr="0008498C">
        <w:rPr>
          <w:rFonts w:ascii="Arial" w:hAnsi="Arial" w:cs="Arial"/>
          <w:color w:val="000000" w:themeColor="text1"/>
          <w:sz w:val="20"/>
          <w:szCs w:val="20"/>
        </w:rPr>
        <w:t>Kumar et al., 2018;</w:t>
      </w:r>
      <w:r w:rsidR="006F57F4" w:rsidRPr="0008498C">
        <w:rPr>
          <w:rFonts w:ascii="Arial" w:eastAsia="Calibri" w:hAnsi="Arial" w:cs="Arial"/>
          <w:sz w:val="20"/>
          <w:szCs w:val="20"/>
        </w:rPr>
        <w:t xml:space="preserve"> </w:t>
      </w:r>
      <w:r w:rsidR="006F57F4" w:rsidRPr="0008498C">
        <w:rPr>
          <w:rFonts w:ascii="Arial" w:hAnsi="Arial" w:cs="Arial"/>
          <w:color w:val="000000" w:themeColor="text1"/>
          <w:sz w:val="20"/>
          <w:szCs w:val="20"/>
        </w:rPr>
        <w:t xml:space="preserve">Galasso et al., 2017; </w:t>
      </w:r>
      <w:proofErr w:type="spellStart"/>
      <w:r w:rsidR="006F57F4" w:rsidRPr="0008498C">
        <w:rPr>
          <w:rFonts w:ascii="Arial" w:hAnsi="Arial" w:cs="Arial"/>
          <w:color w:val="000000" w:themeColor="text1"/>
          <w:sz w:val="20"/>
          <w:szCs w:val="20"/>
        </w:rPr>
        <w:t>Mazotto</w:t>
      </w:r>
      <w:proofErr w:type="spellEnd"/>
      <w:r w:rsidR="006F57F4" w:rsidRPr="0008498C">
        <w:rPr>
          <w:rFonts w:ascii="Arial" w:hAnsi="Arial" w:cs="Arial"/>
          <w:color w:val="000000" w:themeColor="text1"/>
          <w:sz w:val="20"/>
          <w:szCs w:val="20"/>
        </w:rPr>
        <w:t xml:space="preserve"> et al., 2021)</w:t>
      </w:r>
      <w:r w:rsidRPr="0008498C">
        <w:rPr>
          <w:rFonts w:ascii="Arial" w:hAnsi="Arial" w:cs="Arial"/>
          <w:color w:val="000000" w:themeColor="text1"/>
          <w:sz w:val="20"/>
          <w:szCs w:val="20"/>
        </w:rPr>
        <w:t xml:space="preserve">. </w:t>
      </w:r>
      <w:r w:rsidRPr="0008498C">
        <w:rPr>
          <w:rFonts w:ascii="Arial" w:hAnsi="Arial" w:cs="Arial"/>
          <w:sz w:val="20"/>
          <w:szCs w:val="20"/>
        </w:rPr>
        <w:t>To make earth sustainable, the best option is to replace the harmful chemical dyes with natural dyes produced by microorganisms</w:t>
      </w:r>
      <w:r w:rsidR="00AA6ED2" w:rsidRPr="0008498C">
        <w:rPr>
          <w:rFonts w:ascii="Arial" w:hAnsi="Arial" w:cs="Arial"/>
          <w:sz w:val="20"/>
          <w:szCs w:val="20"/>
        </w:rPr>
        <w:t>.</w:t>
      </w:r>
    </w:p>
    <w:p w14:paraId="202538C5" w14:textId="77777777" w:rsidR="00853353" w:rsidRPr="0008498C" w:rsidRDefault="00AA6ED2" w:rsidP="002C4F77">
      <w:pPr>
        <w:autoSpaceDE w:val="0"/>
        <w:autoSpaceDN w:val="0"/>
        <w:adjustRightInd w:val="0"/>
        <w:spacing w:after="0" w:line="240" w:lineRule="auto"/>
        <w:jc w:val="both"/>
        <w:rPr>
          <w:rFonts w:ascii="Arial" w:hAnsi="Arial" w:cs="Arial"/>
          <w:color w:val="000000" w:themeColor="text1"/>
          <w:sz w:val="20"/>
          <w:szCs w:val="20"/>
        </w:rPr>
      </w:pPr>
      <w:r w:rsidRPr="0008498C">
        <w:rPr>
          <w:rFonts w:ascii="Arial" w:hAnsi="Arial" w:cs="Arial"/>
          <w:sz w:val="20"/>
          <w:szCs w:val="20"/>
        </w:rPr>
        <w:t xml:space="preserve">Among microorganisms, actinobacteria, especially </w:t>
      </w:r>
      <w:r w:rsidRPr="0008498C">
        <w:rPr>
          <w:rFonts w:ascii="Arial" w:hAnsi="Arial" w:cs="Arial"/>
          <w:i/>
          <w:sz w:val="20"/>
          <w:szCs w:val="20"/>
        </w:rPr>
        <w:t>Streptomyces</w:t>
      </w:r>
      <w:r w:rsidRPr="0008498C">
        <w:rPr>
          <w:rFonts w:ascii="Arial" w:hAnsi="Arial" w:cs="Arial"/>
          <w:sz w:val="20"/>
          <w:szCs w:val="20"/>
        </w:rPr>
        <w:t xml:space="preserve"> spp.</w:t>
      </w:r>
      <w:r w:rsidRPr="0008498C">
        <w:rPr>
          <w:rFonts w:ascii="Arial" w:hAnsi="Arial" w:cs="Arial"/>
          <w:color w:val="000000"/>
          <w:sz w:val="20"/>
          <w:szCs w:val="20"/>
        </w:rPr>
        <w:t xml:space="preserve"> </w:t>
      </w:r>
      <w:r w:rsidRPr="0008498C">
        <w:rPr>
          <w:rFonts w:ascii="Arial" w:hAnsi="Arial" w:cs="Arial"/>
          <w:sz w:val="20"/>
          <w:szCs w:val="20"/>
        </w:rPr>
        <w:t>produce many intensely pigmented molecules that c</w:t>
      </w:r>
      <w:r w:rsidR="000922C0" w:rsidRPr="0008498C">
        <w:rPr>
          <w:rFonts w:ascii="Arial" w:hAnsi="Arial" w:cs="Arial"/>
          <w:sz w:val="20"/>
          <w:szCs w:val="20"/>
        </w:rPr>
        <w:t xml:space="preserve">over the visible light spectrum. </w:t>
      </w:r>
      <w:r w:rsidRPr="0008498C">
        <w:rPr>
          <w:rFonts w:ascii="Arial" w:hAnsi="Arial" w:cs="Arial"/>
          <w:sz w:val="20"/>
          <w:szCs w:val="20"/>
        </w:rPr>
        <w:t xml:space="preserve"> </w:t>
      </w:r>
      <w:r w:rsidR="000922C0" w:rsidRPr="0008498C">
        <w:rPr>
          <w:rFonts w:ascii="Arial" w:hAnsi="Arial" w:cs="Arial"/>
          <w:sz w:val="20"/>
          <w:szCs w:val="20"/>
        </w:rPr>
        <w:t>U</w:t>
      </w:r>
      <w:r w:rsidRPr="0008498C">
        <w:rPr>
          <w:rFonts w:ascii="Arial" w:hAnsi="Arial" w:cs="Arial"/>
          <w:sz w:val="20"/>
          <w:szCs w:val="20"/>
        </w:rPr>
        <w:t xml:space="preserve">ltramarine blue pigment actinorhodin and yellow pigment from </w:t>
      </w:r>
      <w:r w:rsidRPr="0008498C">
        <w:rPr>
          <w:rFonts w:ascii="Arial" w:hAnsi="Arial" w:cs="Arial"/>
          <w:i/>
          <w:sz w:val="20"/>
          <w:szCs w:val="20"/>
        </w:rPr>
        <w:t xml:space="preserve">Streptomyces </w:t>
      </w:r>
      <w:proofErr w:type="spellStart"/>
      <w:r w:rsidRPr="0008498C">
        <w:rPr>
          <w:rFonts w:ascii="Arial" w:hAnsi="Arial" w:cs="Arial"/>
          <w:i/>
          <w:sz w:val="20"/>
          <w:szCs w:val="20"/>
        </w:rPr>
        <w:t>coelicolor</w:t>
      </w:r>
      <w:proofErr w:type="spellEnd"/>
      <w:r w:rsidRPr="0008498C">
        <w:rPr>
          <w:rFonts w:ascii="Arial" w:hAnsi="Arial" w:cs="Arial"/>
          <w:sz w:val="20"/>
          <w:szCs w:val="20"/>
        </w:rPr>
        <w:t xml:space="preserve">, red pigment </w:t>
      </w:r>
      <w:proofErr w:type="spellStart"/>
      <w:r w:rsidR="000922C0" w:rsidRPr="0008498C">
        <w:rPr>
          <w:rFonts w:ascii="Arial" w:hAnsi="Arial" w:cs="Arial"/>
          <w:sz w:val="20"/>
          <w:szCs w:val="20"/>
        </w:rPr>
        <w:t>r</w:t>
      </w:r>
      <w:r w:rsidRPr="0008498C">
        <w:rPr>
          <w:rFonts w:ascii="Arial" w:hAnsi="Arial" w:cs="Arial"/>
          <w:sz w:val="20"/>
          <w:szCs w:val="20"/>
        </w:rPr>
        <w:t>ubrolone</w:t>
      </w:r>
      <w:proofErr w:type="spellEnd"/>
      <w:r w:rsidRPr="0008498C">
        <w:rPr>
          <w:rFonts w:ascii="Arial" w:hAnsi="Arial" w:cs="Arial"/>
          <w:sz w:val="20"/>
          <w:szCs w:val="20"/>
        </w:rPr>
        <w:t xml:space="preserve"> from </w:t>
      </w:r>
      <w:r w:rsidRPr="0008498C">
        <w:rPr>
          <w:rFonts w:ascii="Arial" w:hAnsi="Arial" w:cs="Arial"/>
          <w:i/>
          <w:sz w:val="20"/>
          <w:szCs w:val="20"/>
        </w:rPr>
        <w:t xml:space="preserve">Streptomyces </w:t>
      </w:r>
      <w:proofErr w:type="spellStart"/>
      <w:r w:rsidRPr="0008498C">
        <w:rPr>
          <w:rFonts w:ascii="Arial" w:hAnsi="Arial" w:cs="Arial"/>
          <w:i/>
          <w:sz w:val="20"/>
          <w:szCs w:val="20"/>
        </w:rPr>
        <w:t>echinoruber</w:t>
      </w:r>
      <w:proofErr w:type="spellEnd"/>
      <w:r w:rsidR="000922C0" w:rsidRPr="0008498C">
        <w:rPr>
          <w:rFonts w:ascii="Arial" w:hAnsi="Arial" w:cs="Arial"/>
          <w:i/>
          <w:sz w:val="20"/>
          <w:szCs w:val="20"/>
        </w:rPr>
        <w:t xml:space="preserve"> </w:t>
      </w:r>
      <w:r w:rsidR="000922C0" w:rsidRPr="0008498C">
        <w:rPr>
          <w:rFonts w:ascii="Arial" w:hAnsi="Arial" w:cs="Arial"/>
          <w:sz w:val="20"/>
          <w:szCs w:val="20"/>
        </w:rPr>
        <w:t xml:space="preserve">are examples of pigments reported from </w:t>
      </w:r>
      <w:r w:rsidR="000922C0" w:rsidRPr="0008498C">
        <w:rPr>
          <w:rFonts w:ascii="Arial" w:hAnsi="Arial" w:cs="Arial"/>
          <w:i/>
          <w:sz w:val="20"/>
          <w:szCs w:val="20"/>
        </w:rPr>
        <w:t>Streptomyces</w:t>
      </w:r>
      <w:r w:rsidRPr="0008498C">
        <w:rPr>
          <w:rFonts w:ascii="Arial" w:hAnsi="Arial" w:cs="Arial"/>
          <w:i/>
          <w:sz w:val="20"/>
          <w:szCs w:val="20"/>
        </w:rPr>
        <w:t xml:space="preserve"> </w:t>
      </w:r>
      <w:r w:rsidR="006F57F4" w:rsidRPr="0008498C">
        <w:rPr>
          <w:rFonts w:ascii="Arial" w:hAnsi="Arial" w:cs="Arial"/>
          <w:sz w:val="20"/>
          <w:szCs w:val="20"/>
        </w:rPr>
        <w:t>(Sarmiento-Tovar et al., 2022)</w:t>
      </w:r>
      <w:r w:rsidR="005E0B20" w:rsidRPr="0008498C">
        <w:rPr>
          <w:rFonts w:ascii="Arial" w:hAnsi="Arial" w:cs="Arial"/>
          <w:sz w:val="20"/>
          <w:szCs w:val="20"/>
        </w:rPr>
        <w:t>.</w:t>
      </w:r>
      <w:r w:rsidRPr="0008498C">
        <w:rPr>
          <w:rFonts w:ascii="Arial" w:hAnsi="Arial" w:cs="Arial"/>
          <w:sz w:val="20"/>
          <w:szCs w:val="20"/>
        </w:rPr>
        <w:t xml:space="preserve"> The production of distinct cocktail of pigments by </w:t>
      </w:r>
      <w:r w:rsidRPr="0008498C">
        <w:rPr>
          <w:rFonts w:ascii="Arial" w:hAnsi="Arial" w:cs="Arial"/>
          <w:i/>
          <w:sz w:val="20"/>
          <w:szCs w:val="20"/>
        </w:rPr>
        <w:t>Streptomyces</w:t>
      </w:r>
      <w:r w:rsidRPr="0008498C">
        <w:rPr>
          <w:rFonts w:ascii="Arial" w:hAnsi="Arial" w:cs="Arial"/>
          <w:sz w:val="20"/>
          <w:szCs w:val="20"/>
        </w:rPr>
        <w:t xml:space="preserve"> spp. has been </w:t>
      </w:r>
      <w:r w:rsidR="000922C0" w:rsidRPr="0008498C">
        <w:rPr>
          <w:rFonts w:ascii="Arial" w:hAnsi="Arial" w:cs="Arial"/>
          <w:sz w:val="20"/>
          <w:szCs w:val="20"/>
        </w:rPr>
        <w:t>employed</w:t>
      </w:r>
      <w:r w:rsidRPr="0008498C">
        <w:rPr>
          <w:rFonts w:ascii="Arial" w:hAnsi="Arial" w:cs="Arial"/>
          <w:sz w:val="20"/>
          <w:szCs w:val="20"/>
        </w:rPr>
        <w:t xml:space="preserve"> as an important cultural characteristic in characterizing these </w:t>
      </w:r>
      <w:r w:rsidR="000922C0" w:rsidRPr="0008498C">
        <w:rPr>
          <w:rFonts w:ascii="Arial" w:hAnsi="Arial" w:cs="Arial"/>
          <w:sz w:val="20"/>
          <w:szCs w:val="20"/>
        </w:rPr>
        <w:t>micro</w:t>
      </w:r>
      <w:r w:rsidRPr="0008498C">
        <w:rPr>
          <w:rFonts w:ascii="Arial" w:hAnsi="Arial" w:cs="Arial"/>
          <w:sz w:val="20"/>
          <w:szCs w:val="20"/>
        </w:rPr>
        <w:t xml:space="preserve">organisms. Despite the multifarious potential of </w:t>
      </w:r>
      <w:r w:rsidRPr="0008498C">
        <w:rPr>
          <w:rFonts w:ascii="Arial" w:hAnsi="Arial" w:cs="Arial"/>
          <w:i/>
          <w:sz w:val="20"/>
          <w:szCs w:val="20"/>
        </w:rPr>
        <w:t>Streptomyces</w:t>
      </w:r>
      <w:r w:rsidRPr="0008498C">
        <w:rPr>
          <w:rFonts w:ascii="Arial" w:hAnsi="Arial" w:cs="Arial"/>
          <w:sz w:val="20"/>
          <w:szCs w:val="20"/>
        </w:rPr>
        <w:t xml:space="preserve"> spp. in diverse fields, very few studies have been reported on the dyeing potential </w:t>
      </w:r>
      <w:r w:rsidRPr="0008498C">
        <w:rPr>
          <w:rFonts w:ascii="Arial" w:hAnsi="Arial" w:cs="Arial"/>
          <w:color w:val="000000" w:themeColor="text1"/>
          <w:sz w:val="20"/>
          <w:szCs w:val="20"/>
        </w:rPr>
        <w:t xml:space="preserve">of pigments obtained from these organisms </w:t>
      </w:r>
      <w:r w:rsidR="00324171">
        <w:rPr>
          <w:rFonts w:ascii="Arial" w:hAnsi="Arial" w:cs="Arial"/>
          <w:color w:val="000000" w:themeColor="text1"/>
          <w:sz w:val="20"/>
          <w:szCs w:val="20"/>
        </w:rPr>
        <w:t>(</w:t>
      </w:r>
      <w:r w:rsidR="006F57F4" w:rsidRPr="0008498C">
        <w:rPr>
          <w:rFonts w:ascii="Arial" w:hAnsi="Arial" w:cs="Arial"/>
          <w:color w:val="000000" w:themeColor="text1"/>
          <w:sz w:val="20"/>
          <w:szCs w:val="20"/>
        </w:rPr>
        <w:t xml:space="preserve">Srinivasan et al., 2017; </w:t>
      </w:r>
      <w:proofErr w:type="spellStart"/>
      <w:r w:rsidR="00324171" w:rsidRPr="0008498C">
        <w:rPr>
          <w:rFonts w:ascii="Arial" w:eastAsia="Calibri" w:hAnsi="Arial" w:cs="Arial"/>
          <w:sz w:val="20"/>
          <w:szCs w:val="20"/>
        </w:rPr>
        <w:t>Hizbullah</w:t>
      </w:r>
      <w:proofErr w:type="spellEnd"/>
      <w:r w:rsidR="00324171" w:rsidRPr="0008498C">
        <w:rPr>
          <w:rFonts w:ascii="Arial" w:hAnsi="Arial" w:cs="Arial"/>
          <w:color w:val="000000" w:themeColor="text1"/>
          <w:sz w:val="20"/>
          <w:szCs w:val="20"/>
        </w:rPr>
        <w:t xml:space="preserve"> et al., 2018; </w:t>
      </w:r>
      <w:proofErr w:type="spellStart"/>
      <w:r w:rsidR="006F57F4" w:rsidRPr="0008498C">
        <w:rPr>
          <w:rFonts w:ascii="Arial" w:hAnsi="Arial" w:cs="Arial"/>
          <w:color w:val="000000" w:themeColor="text1"/>
          <w:sz w:val="20"/>
          <w:szCs w:val="20"/>
        </w:rPr>
        <w:t>Abou</w:t>
      </w:r>
      <w:proofErr w:type="spellEnd"/>
      <w:r w:rsidR="006F57F4" w:rsidRPr="0008498C">
        <w:rPr>
          <w:rFonts w:ascii="Arial" w:hAnsi="Arial" w:cs="Arial"/>
          <w:color w:val="000000" w:themeColor="text1"/>
          <w:sz w:val="20"/>
          <w:szCs w:val="20"/>
        </w:rPr>
        <w:t xml:space="preserve"> </w:t>
      </w:r>
      <w:proofErr w:type="spellStart"/>
      <w:r w:rsidR="006F57F4" w:rsidRPr="0008498C">
        <w:rPr>
          <w:rFonts w:ascii="Arial" w:hAnsi="Arial" w:cs="Arial"/>
          <w:color w:val="000000" w:themeColor="text1"/>
          <w:sz w:val="20"/>
          <w:szCs w:val="20"/>
        </w:rPr>
        <w:t>Elmaaty</w:t>
      </w:r>
      <w:proofErr w:type="spellEnd"/>
      <w:r w:rsidR="006F57F4" w:rsidRPr="0008498C">
        <w:rPr>
          <w:rFonts w:ascii="Arial" w:hAnsi="Arial" w:cs="Arial"/>
          <w:color w:val="000000" w:themeColor="text1"/>
          <w:sz w:val="20"/>
          <w:szCs w:val="20"/>
        </w:rPr>
        <w:t xml:space="preserve"> et al., 2020; </w:t>
      </w:r>
      <w:proofErr w:type="spellStart"/>
      <w:r w:rsidR="006904C0" w:rsidRPr="0008498C">
        <w:rPr>
          <w:rFonts w:ascii="Arial" w:hAnsi="Arial" w:cs="Arial"/>
          <w:color w:val="000000" w:themeColor="text1"/>
          <w:sz w:val="20"/>
          <w:szCs w:val="20"/>
        </w:rPr>
        <w:t>Nuanjohn</w:t>
      </w:r>
      <w:proofErr w:type="spellEnd"/>
      <w:r w:rsidR="006904C0" w:rsidRPr="0008498C">
        <w:rPr>
          <w:rFonts w:ascii="Arial" w:hAnsi="Arial" w:cs="Arial"/>
          <w:color w:val="000000" w:themeColor="text1"/>
          <w:sz w:val="20"/>
          <w:szCs w:val="20"/>
        </w:rPr>
        <w:t>, et al., 2020)</w:t>
      </w:r>
      <w:r w:rsidR="005E0B20" w:rsidRPr="0008498C">
        <w:rPr>
          <w:rFonts w:ascii="Arial" w:hAnsi="Arial" w:cs="Arial"/>
          <w:color w:val="000000" w:themeColor="text1"/>
          <w:sz w:val="20"/>
          <w:szCs w:val="20"/>
        </w:rPr>
        <w:t xml:space="preserve">. </w:t>
      </w:r>
      <w:r w:rsidR="0034087E" w:rsidRPr="0008498C">
        <w:rPr>
          <w:rFonts w:ascii="Arial" w:hAnsi="Arial" w:cs="Arial"/>
          <w:color w:val="000000" w:themeColor="text1"/>
          <w:sz w:val="20"/>
          <w:szCs w:val="20"/>
        </w:rPr>
        <w:t>Therefore</w:t>
      </w:r>
      <w:r w:rsidRPr="0008498C">
        <w:rPr>
          <w:rFonts w:ascii="Arial" w:hAnsi="Arial" w:cs="Arial"/>
          <w:color w:val="000000" w:themeColor="text1"/>
          <w:sz w:val="20"/>
          <w:szCs w:val="20"/>
        </w:rPr>
        <w:t xml:space="preserve">, the present study was carried out with the objective to assess the dyeing potential of violet pigment produced by an actinobacterium isolate (designated as DP6) on wool and silk fabrics. The isolate was identified as a strain of </w:t>
      </w:r>
      <w:r w:rsidRPr="0008498C">
        <w:rPr>
          <w:rFonts w:ascii="Arial" w:hAnsi="Arial" w:cs="Arial"/>
          <w:i/>
          <w:color w:val="000000" w:themeColor="text1"/>
          <w:sz w:val="20"/>
          <w:szCs w:val="20"/>
        </w:rPr>
        <w:t xml:space="preserve">Streptomyces </w:t>
      </w:r>
      <w:proofErr w:type="spellStart"/>
      <w:r w:rsidRPr="0008498C">
        <w:rPr>
          <w:rFonts w:ascii="Arial" w:hAnsi="Arial" w:cs="Arial"/>
          <w:i/>
          <w:color w:val="000000" w:themeColor="text1"/>
          <w:sz w:val="20"/>
          <w:szCs w:val="20"/>
        </w:rPr>
        <w:t>violaceoruber</w:t>
      </w:r>
      <w:proofErr w:type="spellEnd"/>
      <w:r w:rsidRPr="0008498C">
        <w:rPr>
          <w:rFonts w:ascii="Arial" w:hAnsi="Arial" w:cs="Arial"/>
          <w:color w:val="000000" w:themeColor="text1"/>
          <w:sz w:val="20"/>
          <w:szCs w:val="20"/>
        </w:rPr>
        <w:t xml:space="preserve"> strain DP6.</w:t>
      </w:r>
    </w:p>
    <w:p w14:paraId="4EFF8ECB" w14:textId="77777777" w:rsidR="00AA6ED2" w:rsidRPr="0008498C" w:rsidRDefault="00AA6ED2" w:rsidP="002C4F77">
      <w:pPr>
        <w:autoSpaceDE w:val="0"/>
        <w:autoSpaceDN w:val="0"/>
        <w:adjustRightInd w:val="0"/>
        <w:spacing w:after="0" w:line="240" w:lineRule="auto"/>
        <w:jc w:val="both"/>
        <w:rPr>
          <w:rFonts w:ascii="Arial" w:hAnsi="Arial" w:cs="Arial"/>
          <w:color w:val="000000" w:themeColor="text1"/>
          <w:sz w:val="20"/>
          <w:szCs w:val="20"/>
        </w:rPr>
      </w:pPr>
      <w:r w:rsidRPr="0008498C">
        <w:rPr>
          <w:rFonts w:ascii="Arial" w:hAnsi="Arial" w:cs="Arial"/>
          <w:color w:val="000000" w:themeColor="text1"/>
          <w:sz w:val="20"/>
          <w:szCs w:val="20"/>
        </w:rPr>
        <w:t xml:space="preserve"> </w:t>
      </w:r>
      <w:r w:rsidR="006F3963" w:rsidRPr="0008498C">
        <w:rPr>
          <w:rFonts w:ascii="Arial" w:hAnsi="Arial" w:cs="Arial"/>
          <w:color w:val="000000" w:themeColor="text1"/>
          <w:sz w:val="20"/>
          <w:szCs w:val="20"/>
        </w:rPr>
        <w:tab/>
      </w:r>
    </w:p>
    <w:p w14:paraId="3D15E88C" w14:textId="77777777" w:rsidR="0091768C" w:rsidRPr="0008498C" w:rsidRDefault="00853353" w:rsidP="003923C9">
      <w:pPr>
        <w:tabs>
          <w:tab w:val="center" w:pos="4680"/>
        </w:tabs>
        <w:spacing w:line="240" w:lineRule="auto"/>
        <w:jc w:val="both"/>
        <w:rPr>
          <w:rFonts w:ascii="Arial" w:hAnsi="Arial" w:cs="Arial"/>
          <w:b/>
          <w:bCs/>
          <w:color w:val="000000" w:themeColor="text1"/>
        </w:rPr>
      </w:pPr>
      <w:r w:rsidRPr="0008498C">
        <w:rPr>
          <w:rFonts w:ascii="Arial" w:eastAsia="Times New Roman" w:hAnsi="Arial" w:cs="Arial"/>
          <w:b/>
        </w:rPr>
        <w:t xml:space="preserve">2. </w:t>
      </w:r>
      <w:r w:rsidR="0091768C" w:rsidRPr="0008498C">
        <w:rPr>
          <w:rFonts w:ascii="Arial" w:eastAsia="Times New Roman" w:hAnsi="Arial" w:cs="Arial"/>
          <w:b/>
        </w:rPr>
        <w:t>MATERIALS AND METHODS</w:t>
      </w:r>
      <w:r w:rsidR="003923C9" w:rsidRPr="0008498C">
        <w:rPr>
          <w:rFonts w:ascii="Arial" w:eastAsia="Times New Roman" w:hAnsi="Arial" w:cs="Arial"/>
          <w:b/>
        </w:rPr>
        <w:tab/>
      </w:r>
    </w:p>
    <w:p w14:paraId="0C8724CB" w14:textId="77777777" w:rsidR="00D52772" w:rsidRPr="0008498C" w:rsidRDefault="00853353" w:rsidP="002C4F77">
      <w:pPr>
        <w:pStyle w:val="NormalWeb"/>
        <w:spacing w:before="0" w:beforeAutospacing="0" w:after="160" w:afterAutospacing="0"/>
        <w:jc w:val="both"/>
        <w:rPr>
          <w:rFonts w:ascii="Arial" w:hAnsi="Arial" w:cs="Arial"/>
          <w:b/>
          <w:color w:val="000000" w:themeColor="text1"/>
          <w:sz w:val="20"/>
          <w:szCs w:val="20"/>
        </w:rPr>
      </w:pPr>
      <w:r w:rsidRPr="0008498C">
        <w:rPr>
          <w:rFonts w:ascii="Arial" w:hAnsi="Arial" w:cs="Arial"/>
          <w:b/>
          <w:bCs/>
          <w:color w:val="000000" w:themeColor="text1"/>
          <w:sz w:val="20"/>
          <w:szCs w:val="20"/>
        </w:rPr>
        <w:t xml:space="preserve">2.1 </w:t>
      </w:r>
      <w:r w:rsidR="00AA6ED2" w:rsidRPr="0008498C">
        <w:rPr>
          <w:rFonts w:ascii="Arial" w:hAnsi="Arial" w:cs="Arial"/>
          <w:b/>
          <w:bCs/>
          <w:color w:val="000000" w:themeColor="text1"/>
          <w:sz w:val="20"/>
          <w:szCs w:val="20"/>
        </w:rPr>
        <w:t>Isolation and c</w:t>
      </w:r>
      <w:r w:rsidR="00AA6ED2" w:rsidRPr="0008498C">
        <w:rPr>
          <w:rFonts w:ascii="Arial" w:eastAsia="Calibri" w:hAnsi="Arial" w:cs="Arial"/>
          <w:b/>
          <w:color w:val="000000" w:themeColor="text1"/>
          <w:sz w:val="20"/>
          <w:szCs w:val="20"/>
        </w:rPr>
        <w:t>haracterization of DP6</w:t>
      </w:r>
    </w:p>
    <w:p w14:paraId="379B42BC" w14:textId="77777777" w:rsidR="00D52772" w:rsidRPr="0008498C" w:rsidRDefault="00D52772" w:rsidP="002C4F77">
      <w:pPr>
        <w:pStyle w:val="NormalWeb"/>
        <w:spacing w:before="0" w:beforeAutospacing="0" w:after="160" w:afterAutospacing="0"/>
        <w:jc w:val="both"/>
        <w:rPr>
          <w:rFonts w:ascii="Arial" w:hAnsi="Arial" w:cs="Arial"/>
          <w:b/>
          <w:color w:val="000000" w:themeColor="text1"/>
          <w:sz w:val="20"/>
          <w:szCs w:val="20"/>
        </w:rPr>
      </w:pPr>
      <w:r w:rsidRPr="0008498C">
        <w:rPr>
          <w:rFonts w:ascii="Arial" w:eastAsiaTheme="minorHAnsi" w:hAnsi="Arial" w:cs="Arial"/>
          <w:sz w:val="20"/>
          <w:szCs w:val="20"/>
          <w:lang w:eastAsia="en-US"/>
        </w:rPr>
        <w:t>Strain DP6 was isolated from a soil sample collected from Dalhousie, Himachal Pradesh, India (32.53° N, 75.98° E)</w:t>
      </w:r>
      <w:r w:rsidR="009B2433" w:rsidRPr="0008498C">
        <w:rPr>
          <w:rFonts w:ascii="Arial" w:eastAsiaTheme="minorHAnsi" w:hAnsi="Arial" w:cs="Arial"/>
          <w:sz w:val="20"/>
          <w:szCs w:val="20"/>
          <w:lang w:eastAsia="en-US"/>
        </w:rPr>
        <w:t xml:space="preserve">. The soil sample was serially diluted and </w:t>
      </w:r>
      <w:r w:rsidRPr="0008498C">
        <w:rPr>
          <w:rFonts w:ascii="Arial" w:eastAsiaTheme="minorHAnsi" w:hAnsi="Arial" w:cs="Arial"/>
          <w:sz w:val="20"/>
          <w:szCs w:val="20"/>
          <w:lang w:eastAsia="en-US"/>
        </w:rPr>
        <w:t>spread onto Starch Casein Nitrate Agar (SCNA) plates cont</w:t>
      </w:r>
      <w:r w:rsidR="009B2433" w:rsidRPr="0008498C">
        <w:rPr>
          <w:rFonts w:ascii="Arial" w:eastAsiaTheme="minorHAnsi" w:hAnsi="Arial" w:cs="Arial"/>
          <w:sz w:val="20"/>
          <w:szCs w:val="20"/>
          <w:lang w:eastAsia="en-US"/>
        </w:rPr>
        <w:t>aining cycloheximide (50 µg/ml</w:t>
      </w:r>
      <w:proofErr w:type="gramStart"/>
      <w:r w:rsidR="009B2433" w:rsidRPr="0008498C">
        <w:rPr>
          <w:rFonts w:ascii="Arial" w:eastAsiaTheme="minorHAnsi" w:hAnsi="Arial" w:cs="Arial"/>
          <w:sz w:val="20"/>
          <w:szCs w:val="20"/>
          <w:lang w:eastAsia="en-US"/>
        </w:rPr>
        <w:t>)  and</w:t>
      </w:r>
      <w:proofErr w:type="gramEnd"/>
      <w:r w:rsidR="009B2433" w:rsidRPr="0008498C">
        <w:rPr>
          <w:rFonts w:ascii="Arial" w:eastAsiaTheme="minorHAnsi" w:hAnsi="Arial" w:cs="Arial"/>
          <w:sz w:val="20"/>
          <w:szCs w:val="20"/>
          <w:lang w:eastAsia="en-US"/>
        </w:rPr>
        <w:t xml:space="preserve"> nystatin, (</w:t>
      </w:r>
      <w:r w:rsidRPr="0008498C">
        <w:rPr>
          <w:rFonts w:ascii="Arial" w:eastAsiaTheme="minorHAnsi" w:hAnsi="Arial" w:cs="Arial"/>
          <w:sz w:val="20"/>
          <w:szCs w:val="20"/>
          <w:lang w:eastAsia="en-US"/>
        </w:rPr>
        <w:t>25 µg/ml</w:t>
      </w:r>
      <w:r w:rsidR="009B2433" w:rsidRPr="0008498C">
        <w:rPr>
          <w:rFonts w:ascii="Arial" w:eastAsiaTheme="minorHAnsi" w:hAnsi="Arial" w:cs="Arial"/>
          <w:sz w:val="20"/>
          <w:szCs w:val="20"/>
          <w:lang w:eastAsia="en-US"/>
        </w:rPr>
        <w:t xml:space="preserve">) </w:t>
      </w:r>
      <w:r w:rsidR="006904C0" w:rsidRPr="0008498C">
        <w:rPr>
          <w:rFonts w:ascii="Arial" w:eastAsiaTheme="minorHAnsi" w:hAnsi="Arial" w:cs="Arial"/>
          <w:sz w:val="20"/>
          <w:szCs w:val="20"/>
          <w:lang w:eastAsia="en-US"/>
        </w:rPr>
        <w:t>(Sharma et al., 2011; Kaur et al., 2013).</w:t>
      </w:r>
      <w:r w:rsidR="009B2433" w:rsidRPr="0008498C">
        <w:rPr>
          <w:rFonts w:ascii="Arial" w:eastAsiaTheme="minorHAnsi" w:hAnsi="Arial" w:cs="Arial"/>
          <w:sz w:val="20"/>
          <w:szCs w:val="20"/>
          <w:lang w:eastAsia="en-US"/>
        </w:rPr>
        <w:t xml:space="preserve"> </w:t>
      </w:r>
      <w:r w:rsidRPr="0008498C">
        <w:rPr>
          <w:rFonts w:ascii="Arial" w:eastAsiaTheme="minorHAnsi" w:hAnsi="Arial" w:cs="Arial"/>
          <w:sz w:val="20"/>
          <w:szCs w:val="20"/>
          <w:lang w:eastAsia="en-US"/>
        </w:rPr>
        <w:t>The plates were incubated at 28°C for a period of 7 to 21 days. The resulting actinobacterial colonies we</w:t>
      </w:r>
      <w:r w:rsidR="0078140A" w:rsidRPr="0008498C">
        <w:rPr>
          <w:rFonts w:ascii="Arial" w:eastAsiaTheme="minorHAnsi" w:hAnsi="Arial" w:cs="Arial"/>
          <w:sz w:val="20"/>
          <w:szCs w:val="20"/>
          <w:lang w:eastAsia="en-US"/>
        </w:rPr>
        <w:t xml:space="preserve">re then </w:t>
      </w:r>
      <w:proofErr w:type="spellStart"/>
      <w:r w:rsidR="0078140A" w:rsidRPr="0008498C">
        <w:rPr>
          <w:rFonts w:ascii="Arial" w:eastAsiaTheme="minorHAnsi" w:hAnsi="Arial" w:cs="Arial"/>
          <w:sz w:val="20"/>
          <w:szCs w:val="20"/>
          <w:lang w:eastAsia="en-US"/>
        </w:rPr>
        <w:t>subcultured</w:t>
      </w:r>
      <w:proofErr w:type="spellEnd"/>
      <w:r w:rsidR="0078140A" w:rsidRPr="0008498C">
        <w:rPr>
          <w:rFonts w:ascii="Arial" w:eastAsiaTheme="minorHAnsi" w:hAnsi="Arial" w:cs="Arial"/>
          <w:sz w:val="20"/>
          <w:szCs w:val="20"/>
          <w:lang w:eastAsia="en-US"/>
        </w:rPr>
        <w:t xml:space="preserve"> and pure</w:t>
      </w:r>
      <w:r w:rsidRPr="0008498C">
        <w:rPr>
          <w:rFonts w:ascii="Arial" w:eastAsiaTheme="minorHAnsi" w:hAnsi="Arial" w:cs="Arial"/>
          <w:sz w:val="20"/>
          <w:szCs w:val="20"/>
          <w:lang w:eastAsia="en-US"/>
        </w:rPr>
        <w:t xml:space="preserve"> </w:t>
      </w:r>
      <w:r w:rsidR="0078140A" w:rsidRPr="0008498C">
        <w:rPr>
          <w:rFonts w:ascii="Arial" w:eastAsiaTheme="minorHAnsi" w:hAnsi="Arial" w:cs="Arial"/>
          <w:sz w:val="20"/>
          <w:szCs w:val="20"/>
          <w:lang w:eastAsia="en-US"/>
        </w:rPr>
        <w:t xml:space="preserve">actinobacterial cultures were preserved using </w:t>
      </w:r>
      <w:r w:rsidRPr="0008498C">
        <w:rPr>
          <w:rFonts w:ascii="Arial" w:eastAsiaTheme="minorHAnsi" w:hAnsi="Arial" w:cs="Arial"/>
          <w:sz w:val="20"/>
          <w:szCs w:val="20"/>
          <w:lang w:eastAsia="en-US"/>
        </w:rPr>
        <w:t xml:space="preserve">glycerol suspension (20% v/v) </w:t>
      </w:r>
      <w:r w:rsidR="0078140A" w:rsidRPr="0008498C">
        <w:rPr>
          <w:rFonts w:ascii="Arial" w:eastAsiaTheme="minorHAnsi" w:hAnsi="Arial" w:cs="Arial"/>
          <w:sz w:val="20"/>
          <w:szCs w:val="20"/>
          <w:lang w:eastAsia="en-US"/>
        </w:rPr>
        <w:t>and stored at -8</w:t>
      </w:r>
      <w:r w:rsidRPr="0008498C">
        <w:rPr>
          <w:rFonts w:ascii="Arial" w:eastAsiaTheme="minorHAnsi" w:hAnsi="Arial" w:cs="Arial"/>
          <w:sz w:val="20"/>
          <w:szCs w:val="20"/>
          <w:lang w:eastAsia="en-US"/>
        </w:rPr>
        <w:t>0°C.</w:t>
      </w:r>
    </w:p>
    <w:p w14:paraId="5A5BE89B" w14:textId="77777777" w:rsidR="00D52772" w:rsidRPr="0008498C" w:rsidRDefault="00D52772" w:rsidP="002C4F77">
      <w:pPr>
        <w:pStyle w:val="NormalWeb"/>
        <w:spacing w:before="240" w:beforeAutospacing="0" w:after="0" w:afterAutospacing="0"/>
        <w:jc w:val="both"/>
        <w:rPr>
          <w:rFonts w:ascii="Arial" w:eastAsiaTheme="minorHAnsi" w:hAnsi="Arial" w:cs="Arial"/>
          <w:sz w:val="20"/>
          <w:szCs w:val="20"/>
          <w:lang w:eastAsia="en-US"/>
        </w:rPr>
      </w:pPr>
      <w:r w:rsidRPr="0008498C">
        <w:rPr>
          <w:rFonts w:ascii="Arial" w:eastAsiaTheme="minorHAnsi" w:hAnsi="Arial" w:cs="Arial"/>
          <w:sz w:val="20"/>
          <w:szCs w:val="20"/>
          <w:lang w:eastAsia="en-US"/>
        </w:rPr>
        <w:t xml:space="preserve">The DP6 isolate, </w:t>
      </w:r>
      <w:r w:rsidR="009A0A7D" w:rsidRPr="0008498C">
        <w:rPr>
          <w:rFonts w:ascii="Arial" w:eastAsiaTheme="minorHAnsi" w:hAnsi="Arial" w:cs="Arial"/>
          <w:sz w:val="20"/>
          <w:szCs w:val="20"/>
          <w:lang w:eastAsia="en-US"/>
        </w:rPr>
        <w:t xml:space="preserve">producing </w:t>
      </w:r>
      <w:r w:rsidRPr="0008498C">
        <w:rPr>
          <w:rFonts w:ascii="Arial" w:eastAsiaTheme="minorHAnsi" w:hAnsi="Arial" w:cs="Arial"/>
          <w:sz w:val="20"/>
          <w:szCs w:val="20"/>
          <w:lang w:eastAsia="en-US"/>
        </w:rPr>
        <w:t xml:space="preserve">violet pigment, was characterized using cultural and morphological methods from the International Streptomyces Project. </w:t>
      </w:r>
      <w:r w:rsidR="0078140A" w:rsidRPr="0008498C">
        <w:rPr>
          <w:rFonts w:ascii="Arial" w:eastAsiaTheme="minorHAnsi" w:hAnsi="Arial" w:cs="Arial"/>
          <w:sz w:val="20"/>
          <w:szCs w:val="20"/>
          <w:lang w:eastAsia="en-US"/>
        </w:rPr>
        <w:t>For analysing m</w:t>
      </w:r>
      <w:r w:rsidRPr="0008498C">
        <w:rPr>
          <w:rFonts w:ascii="Arial" w:eastAsiaTheme="minorHAnsi" w:hAnsi="Arial" w:cs="Arial"/>
          <w:sz w:val="20"/>
          <w:szCs w:val="20"/>
          <w:lang w:eastAsia="en-US"/>
        </w:rPr>
        <w:t>orphological features</w:t>
      </w:r>
      <w:r w:rsidR="0078140A" w:rsidRPr="0008498C">
        <w:rPr>
          <w:rFonts w:ascii="Arial" w:eastAsiaTheme="minorHAnsi" w:hAnsi="Arial" w:cs="Arial"/>
          <w:sz w:val="20"/>
          <w:szCs w:val="20"/>
          <w:lang w:eastAsia="en-US"/>
        </w:rPr>
        <w:t xml:space="preserve">, DP6 was grown on </w:t>
      </w:r>
      <w:r w:rsidRPr="0008498C">
        <w:rPr>
          <w:rFonts w:ascii="Arial" w:eastAsiaTheme="minorHAnsi" w:hAnsi="Arial" w:cs="Arial"/>
          <w:sz w:val="20"/>
          <w:szCs w:val="20"/>
          <w:lang w:eastAsia="en-US"/>
        </w:rPr>
        <w:t xml:space="preserve">SCNA </w:t>
      </w:r>
      <w:r w:rsidR="009F74ED" w:rsidRPr="0008498C">
        <w:rPr>
          <w:rFonts w:ascii="Arial" w:eastAsiaTheme="minorHAnsi" w:hAnsi="Arial" w:cs="Arial"/>
          <w:sz w:val="20"/>
          <w:szCs w:val="20"/>
          <w:lang w:eastAsia="en-US"/>
        </w:rPr>
        <w:t xml:space="preserve">media and incubated at </w:t>
      </w:r>
      <w:r w:rsidR="0078140A" w:rsidRPr="0008498C">
        <w:rPr>
          <w:rFonts w:ascii="Arial" w:eastAsiaTheme="minorHAnsi" w:hAnsi="Arial" w:cs="Arial"/>
          <w:sz w:val="20"/>
          <w:szCs w:val="20"/>
          <w:lang w:eastAsia="en-US"/>
        </w:rPr>
        <w:t xml:space="preserve">28°C. After </w:t>
      </w:r>
      <w:r w:rsidRPr="0008498C">
        <w:rPr>
          <w:rFonts w:ascii="Arial" w:eastAsiaTheme="minorHAnsi" w:hAnsi="Arial" w:cs="Arial"/>
          <w:sz w:val="20"/>
          <w:szCs w:val="20"/>
          <w:lang w:eastAsia="en-US"/>
        </w:rPr>
        <w:t xml:space="preserve">4 days </w:t>
      </w:r>
      <w:r w:rsidR="0078140A" w:rsidRPr="0008498C">
        <w:rPr>
          <w:rFonts w:ascii="Arial" w:eastAsiaTheme="minorHAnsi" w:hAnsi="Arial" w:cs="Arial"/>
          <w:sz w:val="20"/>
          <w:szCs w:val="20"/>
          <w:lang w:eastAsia="en-US"/>
        </w:rPr>
        <w:t xml:space="preserve">the culture morphological features were studied using a light microscope. Additionally, DP6 was grown on various ISP media for studying cultural characteristics such as </w:t>
      </w:r>
      <w:r w:rsidRPr="0008498C">
        <w:rPr>
          <w:rFonts w:ascii="Arial" w:eastAsiaTheme="minorHAnsi" w:hAnsi="Arial" w:cs="Arial"/>
          <w:sz w:val="20"/>
          <w:szCs w:val="20"/>
          <w:lang w:eastAsia="en-US"/>
        </w:rPr>
        <w:t>soluble pigments, sporulation</w:t>
      </w:r>
      <w:r w:rsidR="0078140A" w:rsidRPr="0008498C">
        <w:rPr>
          <w:rFonts w:ascii="Arial" w:eastAsiaTheme="minorHAnsi" w:hAnsi="Arial" w:cs="Arial"/>
          <w:sz w:val="20"/>
          <w:szCs w:val="20"/>
          <w:lang w:eastAsia="en-US"/>
        </w:rPr>
        <w:t>, aerial and substrate mycelia</w:t>
      </w:r>
      <w:r w:rsidR="00561477" w:rsidRPr="0008498C">
        <w:rPr>
          <w:rFonts w:ascii="Arial" w:eastAsiaTheme="minorHAnsi" w:hAnsi="Arial" w:cs="Arial"/>
          <w:sz w:val="20"/>
          <w:szCs w:val="20"/>
          <w:lang w:eastAsia="en-US"/>
        </w:rPr>
        <w:t xml:space="preserve"> </w:t>
      </w:r>
      <w:proofErr w:type="spellStart"/>
      <w:r w:rsidR="00561477" w:rsidRPr="0008498C">
        <w:rPr>
          <w:rFonts w:ascii="Arial" w:eastAsiaTheme="minorHAnsi" w:hAnsi="Arial" w:cs="Arial"/>
          <w:sz w:val="20"/>
          <w:szCs w:val="20"/>
          <w:lang w:eastAsia="en-US"/>
        </w:rPr>
        <w:t>color</w:t>
      </w:r>
      <w:proofErr w:type="spellEnd"/>
      <w:r w:rsidR="00561477" w:rsidRPr="0008498C">
        <w:rPr>
          <w:rFonts w:ascii="Arial" w:eastAsiaTheme="minorHAnsi" w:hAnsi="Arial" w:cs="Arial"/>
          <w:sz w:val="20"/>
          <w:szCs w:val="20"/>
          <w:lang w:eastAsia="en-US"/>
        </w:rPr>
        <w:t xml:space="preserve"> </w:t>
      </w:r>
      <w:r w:rsidR="0078140A" w:rsidRPr="0008498C">
        <w:rPr>
          <w:rFonts w:ascii="Arial" w:eastAsiaTheme="minorHAnsi" w:hAnsi="Arial" w:cs="Arial"/>
          <w:sz w:val="20"/>
          <w:szCs w:val="20"/>
          <w:lang w:eastAsia="en-US"/>
        </w:rPr>
        <w:t>etc</w:t>
      </w:r>
      <w:r w:rsidR="00561477" w:rsidRPr="0008498C">
        <w:rPr>
          <w:rFonts w:ascii="Arial" w:eastAsiaTheme="minorHAnsi" w:hAnsi="Arial" w:cs="Arial"/>
          <w:sz w:val="20"/>
          <w:szCs w:val="20"/>
          <w:lang w:eastAsia="en-US"/>
        </w:rPr>
        <w:t>. Various b</w:t>
      </w:r>
      <w:r w:rsidRPr="0008498C">
        <w:rPr>
          <w:rFonts w:ascii="Arial" w:eastAsiaTheme="minorHAnsi" w:hAnsi="Arial" w:cs="Arial"/>
          <w:sz w:val="20"/>
          <w:szCs w:val="20"/>
          <w:lang w:eastAsia="en-US"/>
        </w:rPr>
        <w:t xml:space="preserve">iochemical tests, including casein, lipid, and starch hydrolysis, nitrate reduction, </w:t>
      </w:r>
      <w:proofErr w:type="spellStart"/>
      <w:r w:rsidRPr="0008498C">
        <w:rPr>
          <w:rFonts w:ascii="Arial" w:eastAsiaTheme="minorHAnsi" w:hAnsi="Arial" w:cs="Arial"/>
          <w:sz w:val="20"/>
          <w:szCs w:val="20"/>
          <w:lang w:eastAsia="en-US"/>
        </w:rPr>
        <w:t>gelatin</w:t>
      </w:r>
      <w:proofErr w:type="spellEnd"/>
      <w:r w:rsidRPr="0008498C">
        <w:rPr>
          <w:rFonts w:ascii="Arial" w:eastAsiaTheme="minorHAnsi" w:hAnsi="Arial" w:cs="Arial"/>
          <w:sz w:val="20"/>
          <w:szCs w:val="20"/>
          <w:lang w:eastAsia="en-US"/>
        </w:rPr>
        <w:t xml:space="preserve"> liquefaction, and hydrogen </w:t>
      </w:r>
      <w:proofErr w:type="spellStart"/>
      <w:r w:rsidRPr="0008498C">
        <w:rPr>
          <w:rFonts w:ascii="Arial" w:eastAsiaTheme="minorHAnsi" w:hAnsi="Arial" w:cs="Arial"/>
          <w:sz w:val="20"/>
          <w:szCs w:val="20"/>
          <w:lang w:eastAsia="en-US"/>
        </w:rPr>
        <w:t>sulfide</w:t>
      </w:r>
      <w:proofErr w:type="spellEnd"/>
      <w:r w:rsidRPr="0008498C">
        <w:rPr>
          <w:rFonts w:ascii="Arial" w:eastAsiaTheme="minorHAnsi" w:hAnsi="Arial" w:cs="Arial"/>
          <w:sz w:val="20"/>
          <w:szCs w:val="20"/>
          <w:lang w:eastAsia="en-US"/>
        </w:rPr>
        <w:t xml:space="preserve"> production, were performed. Citrate utilization and urea hydrolysis were also assessed. Finally, diaminopimelic acid isomers in the cell wall and sugar composition in the whole-cell hydrolysate were analysed</w:t>
      </w:r>
      <w:r w:rsidR="006904C0" w:rsidRPr="0008498C">
        <w:rPr>
          <w:rFonts w:ascii="Arial" w:eastAsiaTheme="minorHAnsi" w:hAnsi="Arial" w:cs="Arial"/>
          <w:sz w:val="20"/>
          <w:szCs w:val="20"/>
          <w:lang w:eastAsia="en-US"/>
        </w:rPr>
        <w:t>.</w:t>
      </w:r>
    </w:p>
    <w:p w14:paraId="12F77900" w14:textId="77777777" w:rsidR="00420019" w:rsidRPr="0008498C" w:rsidRDefault="00232C57" w:rsidP="002C4F77">
      <w:pPr>
        <w:pStyle w:val="NormalWeb"/>
        <w:spacing w:before="240" w:beforeAutospacing="0" w:after="0" w:afterAutospacing="0"/>
        <w:jc w:val="both"/>
        <w:rPr>
          <w:rFonts w:ascii="Arial" w:hAnsi="Arial" w:cs="Arial"/>
          <w:b/>
          <w:sz w:val="22"/>
          <w:szCs w:val="22"/>
        </w:rPr>
      </w:pPr>
      <w:r w:rsidRPr="0008498C">
        <w:rPr>
          <w:rFonts w:ascii="Arial" w:hAnsi="Arial" w:cs="Arial"/>
          <w:b/>
          <w:sz w:val="22"/>
          <w:szCs w:val="22"/>
        </w:rPr>
        <w:t xml:space="preserve">2.2 </w:t>
      </w:r>
      <w:r w:rsidR="00420019" w:rsidRPr="0008498C">
        <w:rPr>
          <w:rFonts w:ascii="Arial" w:hAnsi="Arial" w:cs="Arial"/>
          <w:b/>
          <w:sz w:val="22"/>
          <w:szCs w:val="22"/>
        </w:rPr>
        <w:t>Phylogenetic analysis/DNA sequence analysis</w:t>
      </w:r>
    </w:p>
    <w:p w14:paraId="3AE99DB0" w14:textId="77777777" w:rsidR="00D52772" w:rsidRPr="0008498C" w:rsidRDefault="00561477" w:rsidP="002C4F77">
      <w:pPr>
        <w:spacing w:before="240" w:line="240" w:lineRule="auto"/>
        <w:jc w:val="both"/>
        <w:rPr>
          <w:rFonts w:ascii="Arial" w:hAnsi="Arial" w:cs="Arial"/>
          <w:sz w:val="20"/>
          <w:szCs w:val="20"/>
        </w:rPr>
      </w:pPr>
      <w:r w:rsidRPr="0008498C">
        <w:rPr>
          <w:rFonts w:ascii="Arial" w:hAnsi="Arial" w:cs="Arial"/>
          <w:sz w:val="20"/>
          <w:szCs w:val="20"/>
        </w:rPr>
        <w:t>The genomic DNA of DP6</w:t>
      </w:r>
      <w:r w:rsidR="00D52772" w:rsidRPr="0008498C">
        <w:rPr>
          <w:rFonts w:ascii="Arial" w:hAnsi="Arial" w:cs="Arial"/>
          <w:sz w:val="20"/>
          <w:szCs w:val="20"/>
        </w:rPr>
        <w:t xml:space="preserve"> was extracted and amplified using primers: f27 (5ˈ-AGAGTTTGATCATGGCTCAG-3ˈ) and r1492 (5ˈ-</w:t>
      </w:r>
      <w:r w:rsidRPr="0008498C">
        <w:rPr>
          <w:rFonts w:ascii="Arial" w:hAnsi="Arial" w:cs="Arial"/>
          <w:sz w:val="20"/>
          <w:szCs w:val="20"/>
        </w:rPr>
        <w:t xml:space="preserve">TACGGCTACCTTGTTACGACTT-3ˈ) and the amplified product was sequenced. The sequenced 16S DNA </w:t>
      </w:r>
      <w:r w:rsidR="00D52772" w:rsidRPr="0008498C">
        <w:rPr>
          <w:rFonts w:ascii="Arial" w:hAnsi="Arial" w:cs="Arial"/>
          <w:sz w:val="20"/>
          <w:szCs w:val="20"/>
        </w:rPr>
        <w:t xml:space="preserve">was compared against sequences from the </w:t>
      </w:r>
      <w:proofErr w:type="spellStart"/>
      <w:r w:rsidR="00D52772" w:rsidRPr="0008498C">
        <w:rPr>
          <w:rFonts w:ascii="Arial" w:hAnsi="Arial" w:cs="Arial"/>
          <w:sz w:val="20"/>
          <w:szCs w:val="20"/>
        </w:rPr>
        <w:t>EzTaxon</w:t>
      </w:r>
      <w:proofErr w:type="spellEnd"/>
      <w:r w:rsidR="00D52772" w:rsidRPr="0008498C">
        <w:rPr>
          <w:rFonts w:ascii="Arial" w:hAnsi="Arial" w:cs="Arial"/>
          <w:sz w:val="20"/>
          <w:szCs w:val="20"/>
        </w:rPr>
        <w:t xml:space="preserve"> database using BLAST</w:t>
      </w:r>
      <w:r w:rsidR="006904C0" w:rsidRPr="0008498C">
        <w:rPr>
          <w:rFonts w:ascii="Arial" w:hAnsi="Arial" w:cs="Arial"/>
          <w:sz w:val="20"/>
          <w:szCs w:val="20"/>
        </w:rPr>
        <w:t xml:space="preserve"> (Chun et al., 2007</w:t>
      </w:r>
      <w:proofErr w:type="gramStart"/>
      <w:r w:rsidR="006904C0" w:rsidRPr="0008498C">
        <w:rPr>
          <w:rFonts w:ascii="Arial" w:hAnsi="Arial" w:cs="Arial"/>
          <w:sz w:val="20"/>
          <w:szCs w:val="20"/>
        </w:rPr>
        <w:t>).</w:t>
      </w:r>
      <w:r w:rsidR="00496CE5" w:rsidRPr="0008498C">
        <w:rPr>
          <w:rFonts w:ascii="Arial" w:hAnsi="Arial" w:cs="Arial"/>
          <w:sz w:val="20"/>
          <w:szCs w:val="20"/>
        </w:rPr>
        <w:t>Nearly</w:t>
      </w:r>
      <w:proofErr w:type="gramEnd"/>
      <w:r w:rsidR="00496CE5" w:rsidRPr="0008498C">
        <w:rPr>
          <w:rFonts w:ascii="Arial" w:hAnsi="Arial" w:cs="Arial"/>
          <w:sz w:val="20"/>
          <w:szCs w:val="20"/>
        </w:rPr>
        <w:t xml:space="preserve"> complete</w:t>
      </w:r>
      <w:r w:rsidRPr="0008498C">
        <w:rPr>
          <w:rFonts w:ascii="Arial" w:hAnsi="Arial" w:cs="Arial"/>
          <w:sz w:val="20"/>
          <w:szCs w:val="20"/>
        </w:rPr>
        <w:t xml:space="preserve"> </w:t>
      </w:r>
      <w:r w:rsidR="00D52772" w:rsidRPr="0008498C">
        <w:rPr>
          <w:rFonts w:ascii="Arial" w:hAnsi="Arial" w:cs="Arial"/>
          <w:sz w:val="20"/>
          <w:szCs w:val="20"/>
        </w:rPr>
        <w:t xml:space="preserve">DP6 sequence was aligned with downloaded sequences using the </w:t>
      </w:r>
      <w:proofErr w:type="spellStart"/>
      <w:r w:rsidR="00D52772" w:rsidRPr="0008498C">
        <w:rPr>
          <w:rFonts w:ascii="Arial" w:hAnsi="Arial" w:cs="Arial"/>
          <w:sz w:val="20"/>
          <w:szCs w:val="20"/>
        </w:rPr>
        <w:t>Clustal</w:t>
      </w:r>
      <w:proofErr w:type="spellEnd"/>
      <w:r w:rsidR="00D52772" w:rsidRPr="0008498C">
        <w:rPr>
          <w:rFonts w:ascii="Arial" w:hAnsi="Arial" w:cs="Arial"/>
          <w:sz w:val="20"/>
          <w:szCs w:val="20"/>
        </w:rPr>
        <w:t xml:space="preserve"> W program. </w:t>
      </w:r>
      <w:r w:rsidR="00496CE5" w:rsidRPr="0008498C">
        <w:rPr>
          <w:rFonts w:ascii="Arial" w:hAnsi="Arial" w:cs="Arial"/>
          <w:sz w:val="20"/>
          <w:szCs w:val="20"/>
        </w:rPr>
        <w:t>U</w:t>
      </w:r>
      <w:r w:rsidR="00D52772" w:rsidRPr="0008498C">
        <w:rPr>
          <w:rFonts w:ascii="Arial" w:hAnsi="Arial" w:cs="Arial"/>
          <w:sz w:val="20"/>
          <w:szCs w:val="20"/>
        </w:rPr>
        <w:t xml:space="preserve">sing the </w:t>
      </w:r>
      <w:proofErr w:type="spellStart"/>
      <w:r w:rsidR="009F74ED" w:rsidRPr="0008498C">
        <w:rPr>
          <w:rFonts w:ascii="Arial" w:hAnsi="Arial" w:cs="Arial"/>
          <w:sz w:val="20"/>
          <w:szCs w:val="20"/>
        </w:rPr>
        <w:t>neighbor</w:t>
      </w:r>
      <w:proofErr w:type="spellEnd"/>
      <w:r w:rsidR="00D52772" w:rsidRPr="0008498C">
        <w:rPr>
          <w:rFonts w:ascii="Arial" w:hAnsi="Arial" w:cs="Arial"/>
          <w:sz w:val="20"/>
          <w:szCs w:val="20"/>
        </w:rPr>
        <w:t>-jo</w:t>
      </w:r>
      <w:r w:rsidR="00496CE5" w:rsidRPr="0008498C">
        <w:rPr>
          <w:rFonts w:ascii="Arial" w:hAnsi="Arial" w:cs="Arial"/>
          <w:sz w:val="20"/>
          <w:szCs w:val="20"/>
        </w:rPr>
        <w:t xml:space="preserve">ining method in MEGA 5 software, DP6 phylogenetic tree was constructed </w:t>
      </w:r>
      <w:r w:rsidR="00D52772" w:rsidRPr="0008498C">
        <w:rPr>
          <w:rFonts w:ascii="Arial" w:hAnsi="Arial" w:cs="Arial"/>
          <w:sz w:val="20"/>
          <w:szCs w:val="20"/>
        </w:rPr>
        <w:t xml:space="preserve">and bootstrap analysis was performed </w:t>
      </w:r>
      <w:r w:rsidR="006904C0" w:rsidRPr="0008498C">
        <w:rPr>
          <w:rFonts w:ascii="Arial" w:hAnsi="Arial" w:cs="Arial"/>
          <w:sz w:val="20"/>
          <w:szCs w:val="20"/>
        </w:rPr>
        <w:t>(Tamura et al., 2011).</w:t>
      </w:r>
      <w:r w:rsidR="00D52772" w:rsidRPr="0008498C">
        <w:rPr>
          <w:rFonts w:ascii="Arial" w:hAnsi="Arial" w:cs="Arial"/>
          <w:sz w:val="20"/>
          <w:szCs w:val="20"/>
        </w:rPr>
        <w:t xml:space="preserve"> Finally, the 1401-bp sequence was deposited in GenBank with accession number JX683527.</w:t>
      </w:r>
    </w:p>
    <w:p w14:paraId="2F53349E" w14:textId="77777777" w:rsidR="002B1671" w:rsidRPr="0008498C" w:rsidRDefault="00232C57" w:rsidP="002C4F77">
      <w:pPr>
        <w:spacing w:line="240" w:lineRule="auto"/>
        <w:jc w:val="both"/>
        <w:rPr>
          <w:rFonts w:ascii="Arial" w:hAnsi="Arial" w:cs="Arial"/>
          <w:b/>
        </w:rPr>
      </w:pPr>
      <w:r w:rsidRPr="0008498C">
        <w:rPr>
          <w:rFonts w:ascii="Arial" w:hAnsi="Arial" w:cs="Arial"/>
          <w:b/>
        </w:rPr>
        <w:t xml:space="preserve">2.3 </w:t>
      </w:r>
      <w:r w:rsidR="002B1671" w:rsidRPr="0008498C">
        <w:rPr>
          <w:rFonts w:ascii="Arial" w:hAnsi="Arial" w:cs="Arial"/>
          <w:b/>
        </w:rPr>
        <w:t>Optimization of pigment production</w:t>
      </w:r>
    </w:p>
    <w:p w14:paraId="26165669" w14:textId="77777777" w:rsidR="009E071F" w:rsidRPr="0008498C" w:rsidRDefault="002B1671" w:rsidP="002C4F77">
      <w:pPr>
        <w:spacing w:line="240" w:lineRule="auto"/>
        <w:jc w:val="both"/>
        <w:rPr>
          <w:rFonts w:ascii="Arial" w:hAnsi="Arial" w:cs="Arial"/>
          <w:sz w:val="20"/>
          <w:szCs w:val="20"/>
        </w:rPr>
      </w:pPr>
      <w:r w:rsidRPr="0008498C">
        <w:rPr>
          <w:rFonts w:ascii="Arial" w:hAnsi="Arial" w:cs="Arial"/>
          <w:sz w:val="20"/>
          <w:szCs w:val="20"/>
        </w:rPr>
        <w:t xml:space="preserve">For the development of inoculum, 50 ml of Glycerol Asparagine broth (ISP-5) having pH 7.0 was dispensed in 250 ml Erlenmeyer flasks and inoculated with </w:t>
      </w:r>
      <w:proofErr w:type="gramStart"/>
      <w:r w:rsidRPr="0008498C">
        <w:rPr>
          <w:rFonts w:ascii="Arial" w:hAnsi="Arial" w:cs="Arial"/>
          <w:sz w:val="20"/>
          <w:szCs w:val="20"/>
        </w:rPr>
        <w:t>7 day</w:t>
      </w:r>
      <w:proofErr w:type="gramEnd"/>
      <w:r w:rsidRPr="0008498C">
        <w:rPr>
          <w:rFonts w:ascii="Arial" w:hAnsi="Arial" w:cs="Arial"/>
          <w:sz w:val="20"/>
          <w:szCs w:val="20"/>
        </w:rPr>
        <w:t xml:space="preserve"> old slant culture. For the pigment production, the same medium was inoculated with </w:t>
      </w:r>
      <w:proofErr w:type="gramStart"/>
      <w:r w:rsidRPr="0008498C">
        <w:rPr>
          <w:rFonts w:ascii="Arial" w:hAnsi="Arial" w:cs="Arial"/>
          <w:sz w:val="20"/>
          <w:szCs w:val="20"/>
        </w:rPr>
        <w:t>48 hour</w:t>
      </w:r>
      <w:proofErr w:type="gramEnd"/>
      <w:r w:rsidRPr="0008498C">
        <w:rPr>
          <w:rFonts w:ascii="Arial" w:hAnsi="Arial" w:cs="Arial"/>
          <w:sz w:val="20"/>
          <w:szCs w:val="20"/>
        </w:rPr>
        <w:t xml:space="preserve"> old culture (1% v/v) and incubated at 28ºC on a rotary shaker (</w:t>
      </w:r>
      <w:proofErr w:type="spellStart"/>
      <w:r w:rsidRPr="0008498C">
        <w:rPr>
          <w:rFonts w:ascii="Arial" w:hAnsi="Arial" w:cs="Arial"/>
          <w:sz w:val="20"/>
          <w:szCs w:val="20"/>
        </w:rPr>
        <w:t>Scigenic</w:t>
      </w:r>
      <w:proofErr w:type="spellEnd"/>
      <w:r w:rsidRPr="0008498C">
        <w:rPr>
          <w:rFonts w:ascii="Arial" w:hAnsi="Arial" w:cs="Arial"/>
          <w:sz w:val="20"/>
          <w:szCs w:val="20"/>
        </w:rPr>
        <w:t xml:space="preserve"> biotech, </w:t>
      </w:r>
      <w:proofErr w:type="spellStart"/>
      <w:r w:rsidRPr="0008498C">
        <w:rPr>
          <w:rFonts w:ascii="Arial" w:hAnsi="Arial" w:cs="Arial"/>
          <w:sz w:val="20"/>
          <w:szCs w:val="20"/>
        </w:rPr>
        <w:t>Orbitek</w:t>
      </w:r>
      <w:proofErr w:type="spellEnd"/>
      <w:r w:rsidRPr="0008498C">
        <w:rPr>
          <w:rFonts w:ascii="Arial" w:hAnsi="Arial" w:cs="Arial"/>
          <w:sz w:val="20"/>
          <w:szCs w:val="20"/>
        </w:rPr>
        <w:t xml:space="preserve">) at 180 rpm for 10 days. Various physical parameters viz. temperature, initial pH, fermentation time and agitation speed were studied to obtain the maximum yield of the extracellular pigment. Optimization of production was done by varying a single parameter at a time and keeping others </w:t>
      </w:r>
      <w:r w:rsidRPr="0008498C">
        <w:rPr>
          <w:rFonts w:ascii="Arial" w:hAnsi="Arial" w:cs="Arial"/>
          <w:sz w:val="20"/>
          <w:szCs w:val="20"/>
        </w:rPr>
        <w:lastRenderedPageBreak/>
        <w:t>constant. Pigment production was monitored by spectrophotometric measurements using a UV-Visible spectrophotometer (Shimadzu UV-1601, Japan).</w:t>
      </w:r>
    </w:p>
    <w:p w14:paraId="41FDB8C9" w14:textId="77777777" w:rsidR="009E071F" w:rsidRPr="0008498C" w:rsidRDefault="00232C57" w:rsidP="002C4F77">
      <w:pPr>
        <w:spacing w:line="240" w:lineRule="auto"/>
        <w:jc w:val="both"/>
        <w:rPr>
          <w:rFonts w:ascii="Arial" w:hAnsi="Arial" w:cs="Arial"/>
          <w:b/>
        </w:rPr>
      </w:pPr>
      <w:r w:rsidRPr="0008498C">
        <w:rPr>
          <w:rFonts w:ascii="Arial" w:hAnsi="Arial" w:cs="Arial"/>
          <w:b/>
        </w:rPr>
        <w:t xml:space="preserve">2.4 </w:t>
      </w:r>
      <w:r w:rsidR="009E071F" w:rsidRPr="0008498C">
        <w:rPr>
          <w:rFonts w:ascii="Arial" w:hAnsi="Arial" w:cs="Arial"/>
          <w:b/>
        </w:rPr>
        <w:t>Pigment sensitivity and extraction</w:t>
      </w:r>
    </w:p>
    <w:p w14:paraId="3DA6CB2A" w14:textId="77777777" w:rsidR="009E071F" w:rsidRPr="0008498C" w:rsidRDefault="009E071F" w:rsidP="002C4F77">
      <w:pPr>
        <w:spacing w:line="240" w:lineRule="auto"/>
        <w:jc w:val="both"/>
        <w:rPr>
          <w:rFonts w:ascii="Arial" w:hAnsi="Arial" w:cs="Arial"/>
          <w:sz w:val="20"/>
          <w:szCs w:val="20"/>
        </w:rPr>
      </w:pPr>
      <w:r w:rsidRPr="0008498C">
        <w:rPr>
          <w:rFonts w:ascii="Arial" w:hAnsi="Arial" w:cs="Arial"/>
          <w:sz w:val="20"/>
          <w:szCs w:val="20"/>
        </w:rPr>
        <w:t xml:space="preserve">The pH sensitivity of the pigment was checked by adjusting pH of culture supernatant from </w:t>
      </w:r>
      <w:r w:rsidR="009F74ED" w:rsidRPr="0008498C">
        <w:rPr>
          <w:rFonts w:ascii="Arial" w:hAnsi="Arial" w:cs="Arial"/>
          <w:sz w:val="20"/>
          <w:szCs w:val="20"/>
        </w:rPr>
        <w:t xml:space="preserve">pH </w:t>
      </w:r>
      <w:r w:rsidRPr="0008498C">
        <w:rPr>
          <w:rFonts w:ascii="Arial" w:hAnsi="Arial" w:cs="Arial"/>
          <w:sz w:val="20"/>
          <w:szCs w:val="20"/>
        </w:rPr>
        <w:t xml:space="preserve">2- 12 and absorbance spectra in the range of 300-700 nm was read by using UV-Visible spectrophotometer. The extent of photo-degradation under mercury light (ordinary tube light), UV-light and sun light was checked after </w:t>
      </w:r>
      <w:proofErr w:type="gramStart"/>
      <w:r w:rsidRPr="0008498C">
        <w:rPr>
          <w:rFonts w:ascii="Arial" w:hAnsi="Arial" w:cs="Arial"/>
          <w:sz w:val="20"/>
          <w:szCs w:val="20"/>
        </w:rPr>
        <w:t>3 hour</w:t>
      </w:r>
      <w:proofErr w:type="gramEnd"/>
      <w:r w:rsidRPr="0008498C">
        <w:rPr>
          <w:rFonts w:ascii="Arial" w:hAnsi="Arial" w:cs="Arial"/>
          <w:sz w:val="20"/>
          <w:szCs w:val="20"/>
        </w:rPr>
        <w:t xml:space="preserve"> intervals until 9 hours.</w:t>
      </w:r>
    </w:p>
    <w:p w14:paraId="42CCE36C" w14:textId="77777777" w:rsidR="009E071F" w:rsidRPr="0008498C" w:rsidRDefault="009E071F" w:rsidP="002C4F77">
      <w:pPr>
        <w:spacing w:line="240" w:lineRule="auto"/>
        <w:jc w:val="both"/>
        <w:rPr>
          <w:rFonts w:ascii="Arial" w:hAnsi="Arial" w:cs="Arial"/>
          <w:b/>
          <w:sz w:val="20"/>
          <w:szCs w:val="20"/>
        </w:rPr>
      </w:pPr>
      <w:r w:rsidRPr="0008498C">
        <w:rPr>
          <w:rFonts w:ascii="Arial" w:hAnsi="Arial" w:cs="Arial"/>
          <w:sz w:val="20"/>
          <w:szCs w:val="20"/>
        </w:rPr>
        <w:t xml:space="preserve">For the extraction of pigment, 10 days old culture broth was centrifuged </w:t>
      </w:r>
      <w:r w:rsidR="00496CE5" w:rsidRPr="0008498C">
        <w:rPr>
          <w:rFonts w:ascii="Arial" w:hAnsi="Arial" w:cs="Arial"/>
          <w:sz w:val="20"/>
          <w:szCs w:val="20"/>
        </w:rPr>
        <w:t>(</w:t>
      </w:r>
      <w:r w:rsidRPr="0008498C">
        <w:rPr>
          <w:rFonts w:ascii="Arial" w:hAnsi="Arial" w:cs="Arial"/>
          <w:sz w:val="20"/>
          <w:szCs w:val="20"/>
        </w:rPr>
        <w:t>10,000 rpm</w:t>
      </w:r>
      <w:r w:rsidR="00496CE5" w:rsidRPr="0008498C">
        <w:rPr>
          <w:rFonts w:ascii="Arial" w:hAnsi="Arial" w:cs="Arial"/>
          <w:sz w:val="20"/>
          <w:szCs w:val="20"/>
        </w:rPr>
        <w:t>)</w:t>
      </w:r>
      <w:r w:rsidRPr="0008498C">
        <w:rPr>
          <w:rFonts w:ascii="Arial" w:hAnsi="Arial" w:cs="Arial"/>
          <w:sz w:val="20"/>
          <w:szCs w:val="20"/>
        </w:rPr>
        <w:t xml:space="preserve"> </w:t>
      </w:r>
      <w:r w:rsidR="009F74ED" w:rsidRPr="0008498C">
        <w:rPr>
          <w:rFonts w:ascii="Arial" w:hAnsi="Arial" w:cs="Arial"/>
          <w:sz w:val="20"/>
          <w:szCs w:val="20"/>
        </w:rPr>
        <w:t>for 20 min</w:t>
      </w:r>
      <w:r w:rsidRPr="0008498C">
        <w:rPr>
          <w:rFonts w:ascii="Arial" w:hAnsi="Arial" w:cs="Arial"/>
          <w:sz w:val="20"/>
          <w:szCs w:val="20"/>
        </w:rPr>
        <w:t xml:space="preserve"> and pH of supernatant was adjusted to 3.0. The acidified supernatant was extracted with ethyl acetate in 2:1 ratio. Solvent containing pigment was dried on a rotary evaporator (Buchi, Switzerland) and re-dissolved in the water.</w:t>
      </w:r>
    </w:p>
    <w:p w14:paraId="493D85EB" w14:textId="77777777" w:rsidR="009E071F" w:rsidRPr="0008498C" w:rsidRDefault="00232C57" w:rsidP="002C4F77">
      <w:pPr>
        <w:autoSpaceDE w:val="0"/>
        <w:autoSpaceDN w:val="0"/>
        <w:adjustRightInd w:val="0"/>
        <w:spacing w:line="240" w:lineRule="auto"/>
        <w:rPr>
          <w:rFonts w:ascii="Arial" w:hAnsi="Arial" w:cs="Arial"/>
          <w:b/>
          <w:color w:val="131413"/>
        </w:rPr>
      </w:pPr>
      <w:r w:rsidRPr="0008498C">
        <w:rPr>
          <w:rFonts w:ascii="Arial" w:hAnsi="Arial" w:cs="Arial"/>
          <w:b/>
          <w:color w:val="131413"/>
        </w:rPr>
        <w:t xml:space="preserve">2.5 </w:t>
      </w:r>
      <w:r w:rsidR="009E071F" w:rsidRPr="0008498C">
        <w:rPr>
          <w:rFonts w:ascii="Arial" w:hAnsi="Arial" w:cs="Arial"/>
          <w:b/>
          <w:color w:val="131413"/>
        </w:rPr>
        <w:t>Mutagenicity testing</w:t>
      </w:r>
    </w:p>
    <w:p w14:paraId="5847607C" w14:textId="77777777" w:rsidR="00D52772" w:rsidRPr="0008498C" w:rsidRDefault="00D52772" w:rsidP="002C4F77">
      <w:pPr>
        <w:spacing w:line="240" w:lineRule="auto"/>
        <w:jc w:val="both"/>
        <w:rPr>
          <w:rFonts w:ascii="Arial" w:hAnsi="Arial" w:cs="Arial"/>
          <w:color w:val="131413"/>
          <w:sz w:val="20"/>
          <w:szCs w:val="20"/>
        </w:rPr>
      </w:pPr>
      <w:r w:rsidRPr="0008498C">
        <w:rPr>
          <w:rFonts w:ascii="Arial" w:hAnsi="Arial" w:cs="Arial"/>
          <w:color w:val="131413"/>
          <w:sz w:val="20"/>
          <w:szCs w:val="20"/>
        </w:rPr>
        <w:t xml:space="preserve">The study utilized strains TA98 (for frame-shift mutations) and TA100 (for base-pair substitution mutations), with 4-Nitro-o-phenylenediamine (NPD) and sodium </w:t>
      </w:r>
      <w:proofErr w:type="spellStart"/>
      <w:r w:rsidRPr="0008498C">
        <w:rPr>
          <w:rFonts w:ascii="Arial" w:hAnsi="Arial" w:cs="Arial"/>
          <w:color w:val="131413"/>
          <w:sz w:val="20"/>
          <w:szCs w:val="20"/>
        </w:rPr>
        <w:t>azide</w:t>
      </w:r>
      <w:proofErr w:type="spellEnd"/>
      <w:r w:rsidRPr="0008498C">
        <w:rPr>
          <w:rFonts w:ascii="Arial" w:hAnsi="Arial" w:cs="Arial"/>
          <w:color w:val="131413"/>
          <w:sz w:val="20"/>
          <w:szCs w:val="20"/>
        </w:rPr>
        <w:t xml:space="preserve"> serving as their respective diagnostic mutagens. The mutagenicity of the aqueous pigmen</w:t>
      </w:r>
      <w:r w:rsidR="00496CE5" w:rsidRPr="0008498C">
        <w:rPr>
          <w:rFonts w:ascii="Arial" w:hAnsi="Arial" w:cs="Arial"/>
          <w:color w:val="131413"/>
          <w:sz w:val="20"/>
          <w:szCs w:val="20"/>
        </w:rPr>
        <w:t xml:space="preserve">t extract was evaluated using Ames test. </w:t>
      </w:r>
      <w:r w:rsidRPr="0008498C">
        <w:rPr>
          <w:rFonts w:ascii="Arial" w:hAnsi="Arial" w:cs="Arial"/>
          <w:color w:val="131413"/>
          <w:sz w:val="20"/>
          <w:szCs w:val="20"/>
        </w:rPr>
        <w:t>For the assay, 0.1 ml of the extract at varying concentrations (25,</w:t>
      </w:r>
      <w:r w:rsidR="001A1C6F" w:rsidRPr="0008498C">
        <w:rPr>
          <w:rFonts w:ascii="Arial" w:hAnsi="Arial" w:cs="Arial"/>
          <w:color w:val="131413"/>
          <w:sz w:val="20"/>
          <w:szCs w:val="20"/>
        </w:rPr>
        <w:t xml:space="preserve"> 50, 100, 250 </w:t>
      </w:r>
      <w:proofErr w:type="spellStart"/>
      <w:r w:rsidR="001A1C6F" w:rsidRPr="0008498C">
        <w:rPr>
          <w:rFonts w:ascii="Arial" w:hAnsi="Arial" w:cs="Arial"/>
          <w:color w:val="131413"/>
          <w:sz w:val="20"/>
          <w:szCs w:val="20"/>
        </w:rPr>
        <w:t>μg</w:t>
      </w:r>
      <w:proofErr w:type="spellEnd"/>
      <w:r w:rsidR="001A1C6F" w:rsidRPr="0008498C">
        <w:rPr>
          <w:rFonts w:ascii="Arial" w:hAnsi="Arial" w:cs="Arial"/>
          <w:color w:val="131413"/>
          <w:sz w:val="20"/>
          <w:szCs w:val="20"/>
        </w:rPr>
        <w:t>/0.1 ml) and 100</w:t>
      </w:r>
      <w:r w:rsidR="001A1C6F" w:rsidRPr="0008498C">
        <w:rPr>
          <w:rFonts w:ascii="Arial" w:hAnsi="Arial" w:cs="Arial"/>
          <w:sz w:val="20"/>
          <w:szCs w:val="20"/>
        </w:rPr>
        <w:t>µ</w:t>
      </w:r>
      <w:r w:rsidRPr="0008498C">
        <w:rPr>
          <w:rFonts w:ascii="Arial" w:hAnsi="Arial" w:cs="Arial"/>
          <w:color w:val="131413"/>
          <w:sz w:val="20"/>
          <w:szCs w:val="20"/>
        </w:rPr>
        <w:t xml:space="preserve">l of bacterial </w:t>
      </w:r>
      <w:r w:rsidR="001A1C6F" w:rsidRPr="0008498C">
        <w:rPr>
          <w:rFonts w:ascii="Arial" w:hAnsi="Arial" w:cs="Arial"/>
          <w:color w:val="131413"/>
          <w:sz w:val="20"/>
          <w:szCs w:val="20"/>
        </w:rPr>
        <w:t xml:space="preserve">suspension </w:t>
      </w:r>
      <w:r w:rsidRPr="0008498C">
        <w:rPr>
          <w:rFonts w:ascii="Arial" w:hAnsi="Arial" w:cs="Arial"/>
          <w:color w:val="131413"/>
          <w:sz w:val="20"/>
          <w:szCs w:val="20"/>
        </w:rPr>
        <w:t>were mixed with 2 ml of top agar an</w:t>
      </w:r>
      <w:r w:rsidR="001A1C6F" w:rsidRPr="0008498C">
        <w:rPr>
          <w:rFonts w:ascii="Arial" w:hAnsi="Arial" w:cs="Arial"/>
          <w:color w:val="131413"/>
          <w:sz w:val="20"/>
          <w:szCs w:val="20"/>
        </w:rPr>
        <w:t xml:space="preserve">d spread on minimal agar plates </w:t>
      </w:r>
      <w:r w:rsidR="006904C0" w:rsidRPr="0008498C">
        <w:rPr>
          <w:rFonts w:ascii="Arial" w:hAnsi="Arial" w:cs="Arial"/>
          <w:color w:val="131413"/>
          <w:sz w:val="20"/>
          <w:szCs w:val="20"/>
        </w:rPr>
        <w:t>(Rampal et al., 2017)</w:t>
      </w:r>
      <w:r w:rsidR="001A1C6F" w:rsidRPr="0008498C">
        <w:rPr>
          <w:rFonts w:ascii="Arial" w:hAnsi="Arial" w:cs="Arial"/>
          <w:color w:val="131413"/>
          <w:sz w:val="20"/>
          <w:szCs w:val="20"/>
        </w:rPr>
        <w:t xml:space="preserve">. </w:t>
      </w:r>
      <w:r w:rsidRPr="0008498C">
        <w:rPr>
          <w:rFonts w:ascii="Arial" w:hAnsi="Arial" w:cs="Arial"/>
          <w:color w:val="131413"/>
          <w:sz w:val="20"/>
          <w:szCs w:val="20"/>
        </w:rPr>
        <w:t>These plates were incubated at 37°C for 48 hours. Negative controls (</w:t>
      </w:r>
      <w:r w:rsidR="001A1C6F" w:rsidRPr="0008498C">
        <w:rPr>
          <w:rFonts w:ascii="Arial" w:hAnsi="Arial" w:cs="Arial"/>
          <w:color w:val="131413"/>
          <w:sz w:val="20"/>
          <w:szCs w:val="20"/>
        </w:rPr>
        <w:t>100</w:t>
      </w:r>
      <w:r w:rsidR="001A1C6F" w:rsidRPr="0008498C">
        <w:rPr>
          <w:rFonts w:ascii="Arial" w:hAnsi="Arial" w:cs="Arial"/>
          <w:sz w:val="20"/>
          <w:szCs w:val="20"/>
        </w:rPr>
        <w:t>µ</w:t>
      </w:r>
      <w:r w:rsidR="001A1C6F" w:rsidRPr="0008498C">
        <w:rPr>
          <w:rFonts w:ascii="Arial" w:hAnsi="Arial" w:cs="Arial"/>
          <w:color w:val="131413"/>
          <w:sz w:val="20"/>
          <w:szCs w:val="20"/>
        </w:rPr>
        <w:t xml:space="preserve">l </w:t>
      </w:r>
      <w:r w:rsidRPr="0008498C">
        <w:rPr>
          <w:rFonts w:ascii="Arial" w:hAnsi="Arial" w:cs="Arial"/>
          <w:color w:val="131413"/>
          <w:sz w:val="20"/>
          <w:szCs w:val="20"/>
        </w:rPr>
        <w:t xml:space="preserve">bacterial culture + </w:t>
      </w:r>
      <w:r w:rsidR="001A1C6F" w:rsidRPr="0008498C">
        <w:rPr>
          <w:rFonts w:ascii="Arial" w:hAnsi="Arial" w:cs="Arial"/>
          <w:color w:val="131413"/>
          <w:sz w:val="20"/>
          <w:szCs w:val="20"/>
        </w:rPr>
        <w:t>100</w:t>
      </w:r>
      <w:r w:rsidR="001A1C6F" w:rsidRPr="0008498C">
        <w:rPr>
          <w:rFonts w:ascii="Arial" w:hAnsi="Arial" w:cs="Arial"/>
          <w:sz w:val="20"/>
          <w:szCs w:val="20"/>
        </w:rPr>
        <w:t>µ</w:t>
      </w:r>
      <w:r w:rsidR="001A1C6F" w:rsidRPr="0008498C">
        <w:rPr>
          <w:rFonts w:ascii="Arial" w:hAnsi="Arial" w:cs="Arial"/>
          <w:color w:val="131413"/>
          <w:sz w:val="20"/>
          <w:szCs w:val="20"/>
        </w:rPr>
        <w:t xml:space="preserve">l </w:t>
      </w:r>
      <w:r w:rsidRPr="0008498C">
        <w:rPr>
          <w:rFonts w:ascii="Arial" w:hAnsi="Arial" w:cs="Arial"/>
          <w:color w:val="131413"/>
          <w:sz w:val="20"/>
          <w:szCs w:val="20"/>
        </w:rPr>
        <w:t xml:space="preserve">sterilized distilled water) and positive controls (20 </w:t>
      </w:r>
      <w:proofErr w:type="spellStart"/>
      <w:r w:rsidRPr="0008498C">
        <w:rPr>
          <w:rFonts w:ascii="Arial" w:hAnsi="Arial" w:cs="Arial"/>
          <w:color w:val="131413"/>
          <w:sz w:val="20"/>
          <w:szCs w:val="20"/>
        </w:rPr>
        <w:t>μg</w:t>
      </w:r>
      <w:proofErr w:type="spellEnd"/>
      <w:r w:rsidRPr="0008498C">
        <w:rPr>
          <w:rFonts w:ascii="Arial" w:hAnsi="Arial" w:cs="Arial"/>
          <w:color w:val="131413"/>
          <w:sz w:val="20"/>
          <w:szCs w:val="20"/>
        </w:rPr>
        <w:t xml:space="preserve">/0.1 ml NPD for TA98 and 2.5 </w:t>
      </w:r>
      <w:proofErr w:type="spellStart"/>
      <w:r w:rsidRPr="0008498C">
        <w:rPr>
          <w:rFonts w:ascii="Arial" w:hAnsi="Arial" w:cs="Arial"/>
          <w:color w:val="131413"/>
          <w:sz w:val="20"/>
          <w:szCs w:val="20"/>
        </w:rPr>
        <w:t>μg</w:t>
      </w:r>
      <w:proofErr w:type="spellEnd"/>
      <w:r w:rsidRPr="0008498C">
        <w:rPr>
          <w:rFonts w:ascii="Arial" w:hAnsi="Arial" w:cs="Arial"/>
          <w:color w:val="131413"/>
          <w:sz w:val="20"/>
          <w:szCs w:val="20"/>
        </w:rPr>
        <w:t xml:space="preserve">/0.1 ml sodium </w:t>
      </w:r>
      <w:proofErr w:type="spellStart"/>
      <w:r w:rsidRPr="0008498C">
        <w:rPr>
          <w:rFonts w:ascii="Arial" w:hAnsi="Arial" w:cs="Arial"/>
          <w:color w:val="131413"/>
          <w:sz w:val="20"/>
          <w:szCs w:val="20"/>
        </w:rPr>
        <w:t>azide</w:t>
      </w:r>
      <w:proofErr w:type="spellEnd"/>
      <w:r w:rsidRPr="0008498C">
        <w:rPr>
          <w:rFonts w:ascii="Arial" w:hAnsi="Arial" w:cs="Arial"/>
          <w:color w:val="131413"/>
          <w:sz w:val="20"/>
          <w:szCs w:val="20"/>
        </w:rPr>
        <w:t xml:space="preserve"> for TA100) were included. After 48 hours, the number of revertant his+ bacterial colonies </w:t>
      </w:r>
      <w:proofErr w:type="gramStart"/>
      <w:r w:rsidRPr="0008498C">
        <w:rPr>
          <w:rFonts w:ascii="Arial" w:hAnsi="Arial" w:cs="Arial"/>
          <w:color w:val="131413"/>
          <w:sz w:val="20"/>
          <w:szCs w:val="20"/>
        </w:rPr>
        <w:t>was</w:t>
      </w:r>
      <w:proofErr w:type="gramEnd"/>
      <w:r w:rsidRPr="0008498C">
        <w:rPr>
          <w:rFonts w:ascii="Arial" w:hAnsi="Arial" w:cs="Arial"/>
          <w:color w:val="131413"/>
          <w:sz w:val="20"/>
          <w:szCs w:val="20"/>
        </w:rPr>
        <w:t xml:space="preserve"> counted. The mutagenic potential of the pigment extract was determined by comparing the colony counts with those on control plates. The experiment was conducted in triplicate.</w:t>
      </w:r>
    </w:p>
    <w:p w14:paraId="454D6643" w14:textId="77777777" w:rsidR="007206E5" w:rsidRPr="0008498C" w:rsidRDefault="00232C57" w:rsidP="002C4F77">
      <w:pPr>
        <w:spacing w:line="240" w:lineRule="auto"/>
        <w:jc w:val="both"/>
        <w:rPr>
          <w:rFonts w:ascii="Arial" w:eastAsia="Calibri" w:hAnsi="Arial" w:cs="Arial"/>
          <w:b/>
        </w:rPr>
      </w:pPr>
      <w:r w:rsidRPr="0008498C">
        <w:rPr>
          <w:rFonts w:ascii="Arial" w:eastAsia="Calibri" w:hAnsi="Arial" w:cs="Arial"/>
          <w:b/>
        </w:rPr>
        <w:t xml:space="preserve">2.6 </w:t>
      </w:r>
      <w:r w:rsidR="00C43DD5" w:rsidRPr="0008498C">
        <w:rPr>
          <w:rFonts w:ascii="Arial" w:eastAsia="Calibri" w:hAnsi="Arial" w:cs="Arial"/>
          <w:b/>
        </w:rPr>
        <w:t xml:space="preserve">Fabric dyeing </w:t>
      </w:r>
      <w:r w:rsidR="007206E5" w:rsidRPr="0008498C">
        <w:rPr>
          <w:rFonts w:ascii="Arial" w:eastAsia="Calibri" w:hAnsi="Arial" w:cs="Arial"/>
          <w:b/>
        </w:rPr>
        <w:t xml:space="preserve">and </w:t>
      </w:r>
      <w:proofErr w:type="spellStart"/>
      <w:r w:rsidR="007206E5" w:rsidRPr="0008498C">
        <w:rPr>
          <w:rFonts w:ascii="Arial" w:eastAsia="Calibri" w:hAnsi="Arial" w:cs="Arial"/>
          <w:b/>
        </w:rPr>
        <w:t>color</w:t>
      </w:r>
      <w:proofErr w:type="spellEnd"/>
      <w:r w:rsidR="007206E5" w:rsidRPr="0008498C">
        <w:rPr>
          <w:rFonts w:ascii="Arial" w:eastAsia="Calibri" w:hAnsi="Arial" w:cs="Arial"/>
          <w:b/>
        </w:rPr>
        <w:t xml:space="preserve"> fastness testing</w:t>
      </w:r>
    </w:p>
    <w:p w14:paraId="455903C9" w14:textId="77777777" w:rsidR="00C43DD5" w:rsidRPr="0008498C" w:rsidRDefault="00C43DD5" w:rsidP="002C4F77">
      <w:pPr>
        <w:spacing w:line="240" w:lineRule="auto"/>
        <w:jc w:val="both"/>
        <w:rPr>
          <w:rFonts w:ascii="Arial" w:eastAsia="Calibri" w:hAnsi="Arial" w:cs="Arial"/>
          <w:sz w:val="20"/>
          <w:szCs w:val="20"/>
        </w:rPr>
      </w:pPr>
      <w:r w:rsidRPr="0008498C">
        <w:rPr>
          <w:rFonts w:ascii="Arial" w:eastAsia="Calibri" w:hAnsi="Arial" w:cs="Arial"/>
          <w:sz w:val="20"/>
          <w:szCs w:val="20"/>
        </w:rPr>
        <w:t>The fabrics were treated with 5g/L standard soap solution (SDC, Bradford) at 50</w:t>
      </w:r>
      <w:r w:rsidRPr="0008498C">
        <w:rPr>
          <w:rFonts w:ascii="Arial" w:hAnsi="Arial" w:cs="Arial"/>
          <w:sz w:val="20"/>
          <w:szCs w:val="20"/>
        </w:rPr>
        <w:t>°C</w:t>
      </w:r>
      <w:r w:rsidR="008A1782" w:rsidRPr="0008498C">
        <w:rPr>
          <w:rFonts w:ascii="Arial" w:eastAsia="Calibri" w:hAnsi="Arial" w:cs="Arial"/>
          <w:sz w:val="20"/>
          <w:szCs w:val="20"/>
        </w:rPr>
        <w:t xml:space="preserve"> for 30 min (</w:t>
      </w:r>
      <w:proofErr w:type="spellStart"/>
      <w:r w:rsidR="008A1782" w:rsidRPr="0008498C">
        <w:rPr>
          <w:rFonts w:ascii="Arial" w:eastAsia="Calibri" w:hAnsi="Arial" w:cs="Arial"/>
          <w:sz w:val="20"/>
          <w:szCs w:val="20"/>
        </w:rPr>
        <w:t>Ndinchout</w:t>
      </w:r>
      <w:proofErr w:type="spellEnd"/>
      <w:r w:rsidR="008A1782" w:rsidRPr="0008498C">
        <w:rPr>
          <w:rFonts w:ascii="Arial" w:eastAsia="Calibri" w:hAnsi="Arial" w:cs="Arial"/>
          <w:sz w:val="20"/>
          <w:szCs w:val="20"/>
        </w:rPr>
        <w:t xml:space="preserve"> et al., 2019). T</w:t>
      </w:r>
      <w:r w:rsidRPr="0008498C">
        <w:rPr>
          <w:rFonts w:ascii="Arial" w:eastAsia="Calibri" w:hAnsi="Arial" w:cs="Arial"/>
          <w:sz w:val="20"/>
          <w:szCs w:val="20"/>
        </w:rPr>
        <w:t xml:space="preserve">he material to liquor ratio was taken as 1:30. </w:t>
      </w:r>
      <w:r w:rsidR="001A1C6F" w:rsidRPr="0008498C">
        <w:rPr>
          <w:rFonts w:ascii="Arial" w:eastAsia="Calibri" w:hAnsi="Arial" w:cs="Arial"/>
          <w:sz w:val="20"/>
          <w:szCs w:val="20"/>
        </w:rPr>
        <w:t>F</w:t>
      </w:r>
      <w:r w:rsidRPr="0008498C">
        <w:rPr>
          <w:rFonts w:ascii="Arial" w:eastAsia="Calibri" w:hAnsi="Arial" w:cs="Arial"/>
          <w:sz w:val="20"/>
          <w:szCs w:val="20"/>
        </w:rPr>
        <w:t xml:space="preserve">abrics </w:t>
      </w:r>
      <w:r w:rsidR="00B82918" w:rsidRPr="0008498C">
        <w:rPr>
          <w:rFonts w:ascii="Arial" w:eastAsia="Calibri" w:hAnsi="Arial" w:cs="Arial"/>
          <w:sz w:val="20"/>
          <w:szCs w:val="20"/>
        </w:rPr>
        <w:t xml:space="preserve">was rinsed in cold water after washing </w:t>
      </w:r>
      <w:r w:rsidRPr="0008498C">
        <w:rPr>
          <w:rFonts w:ascii="Arial" w:eastAsia="Calibri" w:hAnsi="Arial" w:cs="Arial"/>
          <w:sz w:val="20"/>
          <w:szCs w:val="20"/>
        </w:rPr>
        <w:t xml:space="preserve">and dried at room temperature. </w:t>
      </w:r>
      <w:r w:rsidR="00B82918" w:rsidRPr="0008498C">
        <w:rPr>
          <w:rFonts w:ascii="Arial" w:eastAsia="Calibri" w:hAnsi="Arial" w:cs="Arial"/>
          <w:sz w:val="20"/>
          <w:szCs w:val="20"/>
        </w:rPr>
        <w:t>Pretreated samples were dyed for an</w:t>
      </w:r>
      <w:r w:rsidRPr="0008498C">
        <w:rPr>
          <w:rFonts w:ascii="Arial" w:eastAsia="Calibri" w:hAnsi="Arial" w:cs="Arial"/>
          <w:sz w:val="20"/>
          <w:szCs w:val="20"/>
        </w:rPr>
        <w:t xml:space="preserve"> hour at 100</w:t>
      </w:r>
      <w:r w:rsidRPr="0008498C">
        <w:rPr>
          <w:rFonts w:ascii="Arial" w:hAnsi="Arial" w:cs="Arial"/>
          <w:sz w:val="20"/>
          <w:szCs w:val="20"/>
        </w:rPr>
        <w:t>°C</w:t>
      </w:r>
      <w:r w:rsidR="00B82918" w:rsidRPr="0008498C">
        <w:rPr>
          <w:rFonts w:ascii="Arial" w:hAnsi="Arial" w:cs="Arial"/>
          <w:sz w:val="20"/>
          <w:szCs w:val="20"/>
        </w:rPr>
        <w:t xml:space="preserve"> </w:t>
      </w:r>
      <w:r w:rsidR="00B82918" w:rsidRPr="0008498C">
        <w:rPr>
          <w:rFonts w:ascii="Arial" w:eastAsia="Calibri" w:hAnsi="Arial" w:cs="Arial"/>
          <w:sz w:val="20"/>
          <w:szCs w:val="20"/>
        </w:rPr>
        <w:t>in an open bath beaker dyeing machine</w:t>
      </w:r>
      <w:r w:rsidR="00B82918" w:rsidRPr="0008498C">
        <w:rPr>
          <w:rFonts w:ascii="Arial" w:hAnsi="Arial" w:cs="Arial"/>
          <w:sz w:val="20"/>
          <w:szCs w:val="20"/>
        </w:rPr>
        <w:t>. M</w:t>
      </w:r>
      <w:r w:rsidR="00B82918" w:rsidRPr="0008498C">
        <w:rPr>
          <w:rFonts w:ascii="Arial" w:eastAsia="Calibri" w:hAnsi="Arial" w:cs="Arial"/>
          <w:sz w:val="20"/>
          <w:szCs w:val="20"/>
        </w:rPr>
        <w:t>aterial to liqu</w:t>
      </w:r>
      <w:r w:rsidR="009F74ED" w:rsidRPr="0008498C">
        <w:rPr>
          <w:rFonts w:ascii="Arial" w:eastAsia="Calibri" w:hAnsi="Arial" w:cs="Arial"/>
          <w:sz w:val="20"/>
          <w:szCs w:val="20"/>
        </w:rPr>
        <w:t>or ratio of the sample was 1:30</w:t>
      </w:r>
      <w:r w:rsidRPr="0008498C">
        <w:rPr>
          <w:rFonts w:ascii="Arial" w:eastAsia="Calibri" w:hAnsi="Arial" w:cs="Arial"/>
          <w:sz w:val="20"/>
          <w:szCs w:val="20"/>
        </w:rPr>
        <w:t xml:space="preserve">. The pH of the dyeing bath was maintained </w:t>
      </w:r>
      <w:proofErr w:type="spellStart"/>
      <w:r w:rsidRPr="0008498C">
        <w:rPr>
          <w:rFonts w:ascii="Arial" w:eastAsia="Calibri" w:hAnsi="Arial" w:cs="Arial"/>
          <w:sz w:val="20"/>
          <w:szCs w:val="20"/>
        </w:rPr>
        <w:t>upto</w:t>
      </w:r>
      <w:proofErr w:type="spellEnd"/>
      <w:r w:rsidRPr="0008498C">
        <w:rPr>
          <w:rFonts w:ascii="Arial" w:eastAsia="Calibri" w:hAnsi="Arial" w:cs="Arial"/>
          <w:sz w:val="20"/>
          <w:szCs w:val="20"/>
        </w:rPr>
        <w:t xml:space="preserve"> 4.5 by using acetic acid. The dyed samples were thoroughly rinsed under running tap water. To improve washing fastness, soaping with standard soap solution (2 g/l) was done at 60ºC for 15 min. by using 1:30 material to liquor ratio. </w:t>
      </w:r>
    </w:p>
    <w:p w14:paraId="02F321FF" w14:textId="77777777" w:rsidR="00C43DD5" w:rsidRPr="0008498C" w:rsidRDefault="00C43DD5" w:rsidP="002C4F77">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Color</w:t>
      </w:r>
      <w:proofErr w:type="spellEnd"/>
      <w:r w:rsidRPr="0008498C">
        <w:rPr>
          <w:rFonts w:ascii="Arial" w:eastAsia="Calibri" w:hAnsi="Arial" w:cs="Arial"/>
          <w:sz w:val="20"/>
          <w:szCs w:val="20"/>
        </w:rPr>
        <w:t xml:space="preserve"> fastness to washing was assessed by standard method of ISO CO6 C2S test (Bradford, 1990). Soap solution was made by adding 4 g/l ECE soap, 1 g/l Sodium perborate and 1 g/l sodium carbonate in 100 ml distilled water (pH 10) and heated at 60</w:t>
      </w:r>
      <w:proofErr w:type="gramStart"/>
      <w:r w:rsidRPr="0008498C">
        <w:rPr>
          <w:rFonts w:ascii="Arial" w:eastAsia="Calibri" w:hAnsi="Arial" w:cs="Arial"/>
          <w:sz w:val="20"/>
          <w:szCs w:val="20"/>
        </w:rPr>
        <w:t>ºC  for</w:t>
      </w:r>
      <w:proofErr w:type="gramEnd"/>
      <w:r w:rsidRPr="0008498C">
        <w:rPr>
          <w:rFonts w:ascii="Arial" w:eastAsia="Calibri" w:hAnsi="Arial" w:cs="Arial"/>
          <w:sz w:val="20"/>
          <w:szCs w:val="20"/>
        </w:rPr>
        <w:t xml:space="preserve"> 30 min. Dyed fabrics were subjected to light fastness standard test method ISO 105/ BO2 using a xenon arc lamp.</w:t>
      </w:r>
    </w:p>
    <w:p w14:paraId="446BDD4C" w14:textId="77777777" w:rsidR="007206E5" w:rsidRPr="0008498C" w:rsidRDefault="00232C57" w:rsidP="002C4F77">
      <w:pPr>
        <w:spacing w:line="240" w:lineRule="auto"/>
        <w:jc w:val="both"/>
        <w:rPr>
          <w:rFonts w:ascii="Arial" w:hAnsi="Arial" w:cs="Arial"/>
          <w:b/>
        </w:rPr>
      </w:pPr>
      <w:r w:rsidRPr="0008498C">
        <w:rPr>
          <w:rFonts w:ascii="Arial" w:hAnsi="Arial" w:cs="Arial"/>
          <w:b/>
        </w:rPr>
        <w:t xml:space="preserve">2.7 </w:t>
      </w:r>
      <w:r w:rsidR="007206E5" w:rsidRPr="0008498C">
        <w:rPr>
          <w:rFonts w:ascii="Arial" w:hAnsi="Arial" w:cs="Arial"/>
          <w:b/>
        </w:rPr>
        <w:t>Reflectance values</w:t>
      </w:r>
    </w:p>
    <w:p w14:paraId="79158626" w14:textId="77777777" w:rsidR="007206E5" w:rsidRPr="0008498C" w:rsidRDefault="007206E5" w:rsidP="002C4F77">
      <w:pPr>
        <w:spacing w:line="240" w:lineRule="auto"/>
        <w:jc w:val="both"/>
        <w:rPr>
          <w:rFonts w:ascii="Arial" w:hAnsi="Arial" w:cs="Arial"/>
          <w:b/>
          <w:sz w:val="20"/>
          <w:szCs w:val="20"/>
        </w:rPr>
      </w:pPr>
      <w:r w:rsidRPr="0008498C">
        <w:rPr>
          <w:rFonts w:ascii="Arial" w:hAnsi="Arial" w:cs="Arial"/>
        </w:rPr>
        <w:t xml:space="preserve">Data </w:t>
      </w:r>
      <w:proofErr w:type="spellStart"/>
      <w:r w:rsidRPr="0008498C">
        <w:rPr>
          <w:rFonts w:ascii="Arial" w:hAnsi="Arial" w:cs="Arial"/>
        </w:rPr>
        <w:t>col</w:t>
      </w:r>
      <w:r w:rsidR="0034087E" w:rsidRPr="0008498C">
        <w:rPr>
          <w:rFonts w:ascii="Arial" w:hAnsi="Arial" w:cs="Arial"/>
        </w:rPr>
        <w:t>or</w:t>
      </w:r>
      <w:proofErr w:type="spellEnd"/>
      <w:r w:rsidR="0034087E" w:rsidRPr="0008498C">
        <w:rPr>
          <w:rFonts w:ascii="Arial" w:hAnsi="Arial" w:cs="Arial"/>
        </w:rPr>
        <w:t xml:space="preserve"> UV spectrophotometer</w:t>
      </w:r>
      <w:r w:rsidR="00375BEB" w:rsidRPr="0008498C">
        <w:rPr>
          <w:rFonts w:ascii="Arial" w:hAnsi="Arial" w:cs="Arial"/>
        </w:rPr>
        <w:t xml:space="preserve"> </w:t>
      </w:r>
      <w:r w:rsidR="0034087E" w:rsidRPr="0008498C">
        <w:rPr>
          <w:rFonts w:ascii="Arial" w:hAnsi="Arial" w:cs="Arial"/>
        </w:rPr>
        <w:t>(</w:t>
      </w:r>
      <w:r w:rsidR="0034087E" w:rsidRPr="0008498C">
        <w:rPr>
          <w:rFonts w:ascii="Arial" w:hAnsi="Arial" w:cs="Arial"/>
          <w:sz w:val="20"/>
          <w:szCs w:val="20"/>
        </w:rPr>
        <w:t>Perkin Elemer, USA)</w:t>
      </w:r>
      <w:r w:rsidR="00375BEB" w:rsidRPr="0008498C">
        <w:rPr>
          <w:rFonts w:ascii="Arial" w:hAnsi="Arial" w:cs="Arial"/>
          <w:sz w:val="20"/>
          <w:szCs w:val="20"/>
        </w:rPr>
        <w:t xml:space="preserve"> was used to measure the </w:t>
      </w:r>
      <w:proofErr w:type="spellStart"/>
      <w:r w:rsidR="00375BEB" w:rsidRPr="0008498C">
        <w:rPr>
          <w:rFonts w:ascii="Arial" w:hAnsi="Arial" w:cs="Arial"/>
          <w:sz w:val="20"/>
          <w:szCs w:val="20"/>
        </w:rPr>
        <w:t>color</w:t>
      </w:r>
      <w:proofErr w:type="spellEnd"/>
      <w:r w:rsidR="00375BEB" w:rsidRPr="0008498C">
        <w:rPr>
          <w:rFonts w:ascii="Arial" w:hAnsi="Arial" w:cs="Arial"/>
          <w:sz w:val="20"/>
          <w:szCs w:val="20"/>
        </w:rPr>
        <w:t xml:space="preserve"> of a sample using the CIELAB </w:t>
      </w:r>
      <w:proofErr w:type="spellStart"/>
      <w:r w:rsidR="00375BEB" w:rsidRPr="0008498C">
        <w:rPr>
          <w:rFonts w:ascii="Arial" w:hAnsi="Arial" w:cs="Arial"/>
          <w:sz w:val="20"/>
          <w:szCs w:val="20"/>
        </w:rPr>
        <w:t>color</w:t>
      </w:r>
      <w:proofErr w:type="spellEnd"/>
      <w:r w:rsidR="00375BEB" w:rsidRPr="0008498C">
        <w:rPr>
          <w:rFonts w:ascii="Arial" w:hAnsi="Arial" w:cs="Arial"/>
          <w:sz w:val="20"/>
          <w:szCs w:val="20"/>
        </w:rPr>
        <w:t xml:space="preserve"> space</w:t>
      </w:r>
      <w:r w:rsidR="0034087E" w:rsidRPr="0008498C">
        <w:rPr>
          <w:rFonts w:ascii="Arial" w:hAnsi="Arial" w:cs="Arial"/>
          <w:sz w:val="20"/>
          <w:szCs w:val="20"/>
        </w:rPr>
        <w:t xml:space="preserve"> The reflectance of the soaped samples was measured on a </w:t>
      </w:r>
      <w:r w:rsidRPr="0008498C">
        <w:rPr>
          <w:rFonts w:ascii="Arial" w:hAnsi="Arial" w:cs="Arial"/>
          <w:sz w:val="20"/>
          <w:szCs w:val="20"/>
        </w:rPr>
        <w:t xml:space="preserve">and relative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strengths (K/S values) will be calculated using Kubelka Munk equation formula:</w:t>
      </w:r>
    </w:p>
    <w:p w14:paraId="49C852F8" w14:textId="77777777" w:rsidR="007206E5" w:rsidRPr="0008498C" w:rsidRDefault="007206E5" w:rsidP="002C4F77">
      <w:pPr>
        <w:spacing w:line="240" w:lineRule="auto"/>
        <w:jc w:val="both"/>
        <w:rPr>
          <w:rFonts w:ascii="Arial" w:hAnsi="Arial" w:cs="Arial"/>
          <w:sz w:val="20"/>
          <w:szCs w:val="20"/>
        </w:rPr>
      </w:pPr>
      <w:r w:rsidRPr="0008498C">
        <w:rPr>
          <w:rFonts w:ascii="Arial" w:hAnsi="Arial" w:cs="Arial"/>
          <w:sz w:val="20"/>
          <w:szCs w:val="20"/>
        </w:rPr>
        <w:t xml:space="preserve">K/S= [(1-R) </w:t>
      </w:r>
      <w:r w:rsidRPr="0008498C">
        <w:rPr>
          <w:rFonts w:ascii="Arial" w:hAnsi="Arial" w:cs="Arial"/>
          <w:sz w:val="20"/>
          <w:szCs w:val="20"/>
          <w:vertAlign w:val="superscript"/>
        </w:rPr>
        <w:t xml:space="preserve">2 </w:t>
      </w:r>
      <w:r w:rsidRPr="0008498C">
        <w:rPr>
          <w:rFonts w:ascii="Arial" w:hAnsi="Arial" w:cs="Arial"/>
          <w:sz w:val="20"/>
          <w:szCs w:val="20"/>
        </w:rPr>
        <w:t xml:space="preserve">/2R] - [(1-R) </w:t>
      </w:r>
      <w:r w:rsidRPr="0008498C">
        <w:rPr>
          <w:rFonts w:ascii="Arial" w:hAnsi="Arial" w:cs="Arial"/>
          <w:sz w:val="20"/>
          <w:szCs w:val="20"/>
          <w:vertAlign w:val="superscript"/>
        </w:rPr>
        <w:t>2</w:t>
      </w:r>
      <w:r w:rsidRPr="0008498C">
        <w:rPr>
          <w:rFonts w:ascii="Arial" w:hAnsi="Arial" w:cs="Arial"/>
          <w:sz w:val="20"/>
          <w:szCs w:val="20"/>
        </w:rPr>
        <w:t>/2R]</w:t>
      </w:r>
    </w:p>
    <w:p w14:paraId="2523D4FA" w14:textId="77777777" w:rsidR="00375BEB" w:rsidRPr="0008498C" w:rsidRDefault="00375BEB" w:rsidP="002C4F77">
      <w:pPr>
        <w:spacing w:line="240" w:lineRule="auto"/>
        <w:jc w:val="both"/>
        <w:rPr>
          <w:rFonts w:ascii="Arial" w:hAnsi="Arial" w:cs="Arial"/>
          <w:sz w:val="20"/>
          <w:szCs w:val="20"/>
        </w:rPr>
      </w:pPr>
      <w:r w:rsidRPr="0008498C">
        <w:rPr>
          <w:rFonts w:ascii="Arial" w:hAnsi="Arial" w:cs="Arial"/>
          <w:sz w:val="20"/>
          <w:szCs w:val="20"/>
        </w:rPr>
        <w:t>R= D</w:t>
      </w:r>
      <w:r w:rsidR="007206E5" w:rsidRPr="0008498C">
        <w:rPr>
          <w:rFonts w:ascii="Arial" w:hAnsi="Arial" w:cs="Arial"/>
          <w:sz w:val="20"/>
          <w:szCs w:val="20"/>
        </w:rPr>
        <w:t>ecimal fraction the reflectance of dyed fabric</w:t>
      </w:r>
    </w:p>
    <w:p w14:paraId="6AAE4F56" w14:textId="77777777" w:rsidR="00375BEB" w:rsidRPr="0008498C" w:rsidRDefault="00375BEB" w:rsidP="002C4F77">
      <w:pPr>
        <w:spacing w:line="240" w:lineRule="auto"/>
        <w:jc w:val="both"/>
        <w:rPr>
          <w:rFonts w:ascii="Arial" w:hAnsi="Arial" w:cs="Arial"/>
          <w:sz w:val="20"/>
          <w:szCs w:val="20"/>
        </w:rPr>
      </w:pPr>
      <w:r w:rsidRPr="0008498C">
        <w:rPr>
          <w:rFonts w:ascii="Arial" w:hAnsi="Arial" w:cs="Arial"/>
          <w:sz w:val="20"/>
          <w:szCs w:val="20"/>
        </w:rPr>
        <w:t xml:space="preserve"> K= A</w:t>
      </w:r>
      <w:r w:rsidR="007206E5" w:rsidRPr="0008498C">
        <w:rPr>
          <w:rFonts w:ascii="Arial" w:hAnsi="Arial" w:cs="Arial"/>
          <w:sz w:val="20"/>
          <w:szCs w:val="20"/>
        </w:rPr>
        <w:t xml:space="preserve">bsorption coefficient </w:t>
      </w:r>
    </w:p>
    <w:p w14:paraId="3C269240" w14:textId="77777777" w:rsidR="007206E5" w:rsidRDefault="00375BEB" w:rsidP="002C4F77">
      <w:pPr>
        <w:spacing w:line="240" w:lineRule="auto"/>
        <w:jc w:val="both"/>
        <w:rPr>
          <w:rFonts w:ascii="Arial" w:hAnsi="Arial" w:cs="Arial"/>
          <w:sz w:val="20"/>
          <w:szCs w:val="20"/>
        </w:rPr>
      </w:pPr>
      <w:r w:rsidRPr="0008498C">
        <w:rPr>
          <w:rFonts w:ascii="Arial" w:hAnsi="Arial" w:cs="Arial"/>
          <w:sz w:val="20"/>
          <w:szCs w:val="20"/>
        </w:rPr>
        <w:t>S= S</w:t>
      </w:r>
      <w:r w:rsidR="007206E5" w:rsidRPr="0008498C">
        <w:rPr>
          <w:rFonts w:ascii="Arial" w:hAnsi="Arial" w:cs="Arial"/>
          <w:sz w:val="20"/>
          <w:szCs w:val="20"/>
        </w:rPr>
        <w:t>cattering coefficient.</w:t>
      </w:r>
    </w:p>
    <w:p w14:paraId="2EC56C54" w14:textId="77777777" w:rsidR="00324171" w:rsidRPr="0008498C" w:rsidRDefault="00324171" w:rsidP="002C4F77">
      <w:pPr>
        <w:spacing w:line="240" w:lineRule="auto"/>
        <w:jc w:val="both"/>
        <w:rPr>
          <w:rFonts w:ascii="Arial" w:hAnsi="Arial" w:cs="Arial"/>
          <w:sz w:val="20"/>
          <w:szCs w:val="20"/>
        </w:rPr>
      </w:pPr>
    </w:p>
    <w:p w14:paraId="66D9AC81" w14:textId="77777777" w:rsidR="00126300" w:rsidRPr="0008498C" w:rsidRDefault="00232C57" w:rsidP="002C4F77">
      <w:pPr>
        <w:spacing w:line="240" w:lineRule="auto"/>
        <w:jc w:val="both"/>
        <w:rPr>
          <w:rFonts w:ascii="Arial" w:hAnsi="Arial" w:cs="Arial"/>
          <w:b/>
        </w:rPr>
      </w:pPr>
      <w:r w:rsidRPr="0008498C">
        <w:rPr>
          <w:rFonts w:ascii="Arial" w:hAnsi="Arial" w:cs="Arial"/>
          <w:b/>
        </w:rPr>
        <w:t xml:space="preserve">2.8 </w:t>
      </w:r>
      <w:r w:rsidR="00126300" w:rsidRPr="0008498C">
        <w:rPr>
          <w:rFonts w:ascii="Arial" w:hAnsi="Arial" w:cs="Arial"/>
          <w:b/>
        </w:rPr>
        <w:t>Purification and Characterization</w:t>
      </w:r>
    </w:p>
    <w:p w14:paraId="47BBB079" w14:textId="77777777" w:rsidR="00C226CD" w:rsidRPr="0008498C" w:rsidRDefault="00126300" w:rsidP="002C4F77">
      <w:pPr>
        <w:spacing w:line="240" w:lineRule="auto"/>
        <w:jc w:val="both"/>
        <w:rPr>
          <w:rFonts w:ascii="Arial" w:hAnsi="Arial" w:cs="Arial"/>
          <w:sz w:val="20"/>
          <w:szCs w:val="20"/>
        </w:rPr>
      </w:pPr>
      <w:r w:rsidRPr="0008498C">
        <w:rPr>
          <w:rFonts w:ascii="Arial" w:hAnsi="Arial" w:cs="Arial"/>
          <w:sz w:val="20"/>
          <w:szCs w:val="20"/>
        </w:rPr>
        <w:lastRenderedPageBreak/>
        <w:t xml:space="preserve">DP6 pigment was purified using </w:t>
      </w:r>
      <w:proofErr w:type="spellStart"/>
      <w:r w:rsidRPr="0008498C">
        <w:rPr>
          <w:rFonts w:ascii="Arial" w:hAnsi="Arial" w:cs="Arial"/>
          <w:sz w:val="20"/>
          <w:szCs w:val="20"/>
        </w:rPr>
        <w:t>Toyopearl</w:t>
      </w:r>
      <w:proofErr w:type="spellEnd"/>
      <w:r w:rsidRPr="0008498C">
        <w:rPr>
          <w:rFonts w:ascii="Arial" w:hAnsi="Arial" w:cs="Arial"/>
          <w:sz w:val="20"/>
          <w:szCs w:val="20"/>
        </w:rPr>
        <w:t xml:space="preserve"> resin HW-40 (Tosoh Bioscience, Germany) and reverse phase-HPLC (1260 Infinity Agilent Technologies, United States). The mobile phase consisted of HPLC grade water and acetonitrile, with 0.1% and 0.12% trifluoroacetic acid as mobile phases A and B, respectively</w:t>
      </w:r>
      <w:r w:rsidR="00A726C4" w:rsidRPr="0008498C">
        <w:rPr>
          <w:rFonts w:ascii="Arial" w:hAnsi="Arial" w:cs="Arial"/>
          <w:sz w:val="20"/>
          <w:szCs w:val="20"/>
        </w:rPr>
        <w:t xml:space="preserve"> </w:t>
      </w:r>
      <w:r w:rsidR="008A1782" w:rsidRPr="0008498C">
        <w:rPr>
          <w:rFonts w:ascii="Arial" w:hAnsi="Arial" w:cs="Arial"/>
          <w:sz w:val="20"/>
          <w:szCs w:val="20"/>
        </w:rPr>
        <w:t>(Sharma et al., 2024)</w:t>
      </w:r>
      <w:r w:rsidR="00BA4607" w:rsidRPr="0008498C">
        <w:rPr>
          <w:rFonts w:ascii="Arial" w:hAnsi="Arial" w:cs="Arial"/>
          <w:sz w:val="20"/>
          <w:szCs w:val="20"/>
        </w:rPr>
        <w:t>.</w:t>
      </w:r>
      <w:r w:rsidRPr="0008498C">
        <w:rPr>
          <w:rFonts w:ascii="Arial" w:hAnsi="Arial" w:cs="Arial"/>
          <w:color w:val="FF0000"/>
          <w:sz w:val="20"/>
          <w:szCs w:val="20"/>
        </w:rPr>
        <w:t xml:space="preserve"> </w:t>
      </w:r>
      <w:r w:rsidRPr="0008498C">
        <w:rPr>
          <w:rFonts w:ascii="Arial" w:hAnsi="Arial" w:cs="Arial"/>
          <w:sz w:val="20"/>
          <w:szCs w:val="20"/>
        </w:rPr>
        <w:t xml:space="preserve">The </w:t>
      </w:r>
      <w:r w:rsidR="00375BEB" w:rsidRPr="0008498C">
        <w:rPr>
          <w:rFonts w:ascii="Arial" w:hAnsi="Arial" w:cs="Arial"/>
          <w:sz w:val="20"/>
          <w:szCs w:val="20"/>
        </w:rPr>
        <w:t xml:space="preserve">injected sample </w:t>
      </w:r>
      <w:r w:rsidRPr="0008498C">
        <w:rPr>
          <w:rFonts w:ascii="Arial" w:hAnsi="Arial" w:cs="Arial"/>
          <w:sz w:val="20"/>
          <w:szCs w:val="20"/>
        </w:rPr>
        <w:t xml:space="preserve">peaks were monitored </w:t>
      </w:r>
      <w:r w:rsidR="00375BEB" w:rsidRPr="0008498C">
        <w:rPr>
          <w:rFonts w:ascii="Arial" w:hAnsi="Arial" w:cs="Arial"/>
          <w:sz w:val="20"/>
          <w:szCs w:val="20"/>
        </w:rPr>
        <w:t>(</w:t>
      </w:r>
      <w:r w:rsidRPr="0008498C">
        <w:rPr>
          <w:rFonts w:ascii="Arial" w:hAnsi="Arial" w:cs="Arial"/>
          <w:sz w:val="20"/>
          <w:szCs w:val="20"/>
        </w:rPr>
        <w:t>UV detector set at 220 nm</w:t>
      </w:r>
      <w:r w:rsidR="00375BEB" w:rsidRPr="0008498C">
        <w:rPr>
          <w:rFonts w:ascii="Arial" w:hAnsi="Arial" w:cs="Arial"/>
          <w:sz w:val="20"/>
          <w:szCs w:val="20"/>
        </w:rPr>
        <w:t>)</w:t>
      </w:r>
      <w:r w:rsidRPr="0008498C">
        <w:rPr>
          <w:rFonts w:ascii="Arial" w:hAnsi="Arial" w:cs="Arial"/>
          <w:sz w:val="20"/>
          <w:szCs w:val="20"/>
        </w:rPr>
        <w:t xml:space="preserve"> and collected</w:t>
      </w:r>
      <w:r w:rsidR="00375BEB" w:rsidRPr="0008498C">
        <w:rPr>
          <w:rFonts w:ascii="Arial" w:hAnsi="Arial" w:cs="Arial"/>
          <w:sz w:val="20"/>
          <w:szCs w:val="20"/>
        </w:rPr>
        <w:t xml:space="preserve"> for further analysis</w:t>
      </w:r>
      <w:r w:rsidRPr="0008498C">
        <w:rPr>
          <w:rFonts w:ascii="Arial" w:hAnsi="Arial" w:cs="Arial"/>
          <w:sz w:val="20"/>
          <w:szCs w:val="20"/>
        </w:rPr>
        <w:t xml:space="preserve">. The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peak (RT </w:t>
      </w:r>
      <w:r w:rsidRPr="0008498C">
        <w:rPr>
          <w:rFonts w:ascii="Arial" w:hAnsi="Arial" w:cs="Arial"/>
          <w:color w:val="000000" w:themeColor="text1"/>
          <w:sz w:val="20"/>
          <w:szCs w:val="20"/>
        </w:rPr>
        <w:t>19.8min</w:t>
      </w:r>
      <w:r w:rsidRPr="0008498C">
        <w:rPr>
          <w:rFonts w:ascii="Arial" w:hAnsi="Arial" w:cs="Arial"/>
          <w:sz w:val="20"/>
          <w:szCs w:val="20"/>
        </w:rPr>
        <w:t>)</w:t>
      </w:r>
      <w:r w:rsidR="00375BEB" w:rsidRPr="0008498C">
        <w:rPr>
          <w:rFonts w:ascii="Arial" w:hAnsi="Arial" w:cs="Arial"/>
          <w:sz w:val="20"/>
          <w:szCs w:val="20"/>
        </w:rPr>
        <w:t xml:space="preserve"> was collected, concentrated, redissolved and injected</w:t>
      </w:r>
      <w:r w:rsidRPr="0008498C">
        <w:rPr>
          <w:rFonts w:ascii="Arial" w:hAnsi="Arial" w:cs="Arial"/>
          <w:sz w:val="20"/>
          <w:szCs w:val="20"/>
        </w:rPr>
        <w:t xml:space="preserve"> it onto HPLC</w:t>
      </w:r>
      <w:r w:rsidR="00375BEB" w:rsidRPr="0008498C">
        <w:rPr>
          <w:rFonts w:ascii="Arial" w:hAnsi="Arial" w:cs="Arial"/>
          <w:sz w:val="20"/>
          <w:szCs w:val="20"/>
        </w:rPr>
        <w:t xml:space="preserve"> to check its purity.</w:t>
      </w:r>
      <w:r w:rsidRPr="0008498C">
        <w:rPr>
          <w:rFonts w:ascii="Arial" w:hAnsi="Arial" w:cs="Arial"/>
          <w:sz w:val="20"/>
          <w:szCs w:val="20"/>
        </w:rPr>
        <w:t xml:space="preserve"> </w:t>
      </w:r>
      <w:r w:rsidR="00A726C4" w:rsidRPr="0008498C">
        <w:rPr>
          <w:rFonts w:ascii="Arial" w:hAnsi="Arial" w:cs="Arial"/>
          <w:sz w:val="20"/>
          <w:szCs w:val="20"/>
          <w:vertAlign w:val="superscript"/>
        </w:rPr>
        <w:t>1</w:t>
      </w:r>
      <w:r w:rsidR="00A726C4" w:rsidRPr="0008498C">
        <w:rPr>
          <w:rFonts w:ascii="Arial" w:hAnsi="Arial" w:cs="Arial"/>
          <w:sz w:val="20"/>
          <w:szCs w:val="20"/>
        </w:rPr>
        <w:t>H NMR was performed to study the structure of the pigment.</w:t>
      </w:r>
      <w:r w:rsidR="00C226CD" w:rsidRPr="0008498C">
        <w:rPr>
          <w:rFonts w:ascii="Arial" w:hAnsi="Arial" w:cs="Arial"/>
          <w:sz w:val="20"/>
          <w:szCs w:val="20"/>
        </w:rPr>
        <w:t xml:space="preserve"> For NMR, AVANCE III Bruker spectrometer</w:t>
      </w:r>
      <w:r w:rsidR="00024025" w:rsidRPr="0008498C">
        <w:rPr>
          <w:rFonts w:ascii="Arial" w:hAnsi="Arial" w:cs="Arial"/>
          <w:sz w:val="20"/>
          <w:szCs w:val="20"/>
        </w:rPr>
        <w:t xml:space="preserve"> (Bruker, Germany) </w:t>
      </w:r>
      <w:r w:rsidR="00323F6C" w:rsidRPr="0008498C">
        <w:rPr>
          <w:rFonts w:ascii="Arial" w:hAnsi="Arial" w:cs="Arial"/>
          <w:sz w:val="20"/>
          <w:szCs w:val="20"/>
        </w:rPr>
        <w:t>at 25 °C on 500 MHz</w:t>
      </w:r>
      <w:r w:rsidR="00C226CD" w:rsidRPr="0008498C">
        <w:rPr>
          <w:rFonts w:ascii="Arial" w:hAnsi="Arial" w:cs="Arial"/>
          <w:sz w:val="20"/>
          <w:szCs w:val="20"/>
        </w:rPr>
        <w:t xml:space="preserve"> was used</w:t>
      </w:r>
      <w:r w:rsidR="00323F6C" w:rsidRPr="0008498C">
        <w:rPr>
          <w:rFonts w:ascii="Arial" w:hAnsi="Arial" w:cs="Arial"/>
          <w:sz w:val="20"/>
          <w:szCs w:val="20"/>
        </w:rPr>
        <w:t>,</w:t>
      </w:r>
      <w:r w:rsidR="00C226CD" w:rsidRPr="0008498C">
        <w:rPr>
          <w:rFonts w:ascii="Arial" w:hAnsi="Arial" w:cs="Arial"/>
          <w:sz w:val="20"/>
          <w:szCs w:val="20"/>
        </w:rPr>
        <w:t xml:space="preserve"> and </w:t>
      </w:r>
      <w:r w:rsidR="00323F6C" w:rsidRPr="0008498C">
        <w:rPr>
          <w:rFonts w:ascii="Arial" w:hAnsi="Arial" w:cs="Arial"/>
          <w:sz w:val="20"/>
          <w:szCs w:val="20"/>
        </w:rPr>
        <w:t xml:space="preserve">the </w:t>
      </w:r>
      <w:r w:rsidR="00C226CD" w:rsidRPr="0008498C">
        <w:rPr>
          <w:rFonts w:ascii="Arial" w:hAnsi="Arial" w:cs="Arial"/>
          <w:sz w:val="20"/>
          <w:szCs w:val="20"/>
        </w:rPr>
        <w:t xml:space="preserve">sample was dissolved in chloroform-d (99.8 atom% D, containing 0.1% (v/v) </w:t>
      </w:r>
      <w:proofErr w:type="spellStart"/>
      <w:r w:rsidR="00C226CD" w:rsidRPr="0008498C">
        <w:rPr>
          <w:rFonts w:ascii="Arial" w:hAnsi="Arial" w:cs="Arial"/>
          <w:sz w:val="20"/>
          <w:szCs w:val="20"/>
        </w:rPr>
        <w:t>tetramethylsilane</w:t>
      </w:r>
      <w:proofErr w:type="spellEnd"/>
      <w:r w:rsidR="00C226CD" w:rsidRPr="0008498C">
        <w:rPr>
          <w:rFonts w:ascii="Arial" w:hAnsi="Arial" w:cs="Arial"/>
          <w:sz w:val="20"/>
          <w:szCs w:val="20"/>
        </w:rPr>
        <w:t xml:space="preserve"> TMS</w:t>
      </w:r>
      <w:r w:rsidR="00323F6C" w:rsidRPr="0008498C">
        <w:rPr>
          <w:rFonts w:ascii="Arial" w:hAnsi="Arial" w:cs="Arial"/>
          <w:sz w:val="20"/>
          <w:szCs w:val="20"/>
        </w:rPr>
        <w:t xml:space="preserve">. </w:t>
      </w:r>
    </w:p>
    <w:p w14:paraId="066DE31C" w14:textId="77777777" w:rsidR="00AB694B" w:rsidRPr="0008498C" w:rsidRDefault="00232C57" w:rsidP="002C4F77">
      <w:pPr>
        <w:spacing w:before="240" w:line="240" w:lineRule="auto"/>
        <w:jc w:val="both"/>
        <w:rPr>
          <w:rFonts w:ascii="Arial" w:hAnsi="Arial" w:cs="Arial"/>
          <w:b/>
          <w:sz w:val="24"/>
          <w:szCs w:val="24"/>
        </w:rPr>
      </w:pPr>
      <w:r w:rsidRPr="0008498C">
        <w:rPr>
          <w:rFonts w:ascii="Arial" w:eastAsia="Times New Roman" w:hAnsi="Arial" w:cs="Arial"/>
          <w:b/>
          <w:sz w:val="24"/>
          <w:szCs w:val="24"/>
        </w:rPr>
        <w:t xml:space="preserve">3. </w:t>
      </w:r>
      <w:r w:rsidR="00AB694B" w:rsidRPr="0008498C">
        <w:rPr>
          <w:rFonts w:ascii="Arial" w:eastAsia="Times New Roman" w:hAnsi="Arial" w:cs="Arial"/>
          <w:b/>
          <w:sz w:val="24"/>
          <w:szCs w:val="24"/>
        </w:rPr>
        <w:t>RESULTS AND DISCUSSION</w:t>
      </w:r>
    </w:p>
    <w:p w14:paraId="40AE51C9" w14:textId="77777777" w:rsidR="00AB694B" w:rsidRPr="0008498C" w:rsidRDefault="00232C57" w:rsidP="002C4F77">
      <w:pPr>
        <w:spacing w:before="240" w:line="240" w:lineRule="auto"/>
        <w:jc w:val="both"/>
        <w:rPr>
          <w:rFonts w:ascii="Arial" w:hAnsi="Arial" w:cs="Arial"/>
        </w:rPr>
      </w:pPr>
      <w:r w:rsidRPr="0008498C">
        <w:rPr>
          <w:rFonts w:ascii="Arial" w:hAnsi="Arial" w:cs="Arial"/>
          <w:b/>
        </w:rPr>
        <w:t xml:space="preserve">3.1 </w:t>
      </w:r>
      <w:r w:rsidR="00AB694B" w:rsidRPr="0008498C">
        <w:rPr>
          <w:rFonts w:ascii="Arial" w:hAnsi="Arial" w:cs="Arial"/>
          <w:b/>
        </w:rPr>
        <w:t>Identification of strain</w:t>
      </w:r>
    </w:p>
    <w:p w14:paraId="7A8450BA" w14:textId="77777777" w:rsidR="002C4F77" w:rsidRDefault="007206E5"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The cultural characteristics of isolate DP6 were investigated on various ISP media. DP6 exhibited robust growth on </w:t>
      </w:r>
      <w:r w:rsidR="00375BEB" w:rsidRPr="0008498C">
        <w:rPr>
          <w:rFonts w:ascii="Arial" w:eastAsia="Calibri" w:hAnsi="Arial" w:cs="Arial"/>
          <w:sz w:val="20"/>
          <w:szCs w:val="20"/>
        </w:rPr>
        <w:t xml:space="preserve">all ISP media. However, </w:t>
      </w:r>
      <w:r w:rsidRPr="0008498C">
        <w:rPr>
          <w:rFonts w:ascii="Arial" w:eastAsia="Calibri" w:hAnsi="Arial" w:cs="Arial"/>
          <w:sz w:val="20"/>
          <w:szCs w:val="20"/>
        </w:rPr>
        <w:t>no melanin pigment production was observed on Peptone Iron Agar (ISP-6) or Tyrosine Agar (ISP-7) media (Table 1). Notably, the maximum growth and violet pigment production occurred on Glycerol aspa</w:t>
      </w:r>
      <w:r w:rsidR="00AB694B" w:rsidRPr="0008498C">
        <w:rPr>
          <w:rFonts w:ascii="Arial" w:eastAsia="Calibri" w:hAnsi="Arial" w:cs="Arial"/>
          <w:sz w:val="20"/>
          <w:szCs w:val="20"/>
        </w:rPr>
        <w:t>ragine medium (ISP-5) (Fig. 1</w:t>
      </w:r>
      <w:r w:rsidR="00A66D0C" w:rsidRPr="0008498C">
        <w:rPr>
          <w:rFonts w:ascii="Arial" w:eastAsia="Calibri" w:hAnsi="Arial" w:cs="Arial"/>
          <w:sz w:val="20"/>
          <w:szCs w:val="20"/>
        </w:rPr>
        <w:t>a</w:t>
      </w:r>
      <w:r w:rsidR="00AB694B" w:rsidRPr="0008498C">
        <w:rPr>
          <w:rFonts w:ascii="Arial" w:eastAsia="Calibri" w:hAnsi="Arial" w:cs="Arial"/>
          <w:sz w:val="20"/>
          <w:szCs w:val="20"/>
        </w:rPr>
        <w:t>).</w:t>
      </w:r>
      <w:r w:rsidR="00A66D0C" w:rsidRPr="0008498C">
        <w:rPr>
          <w:rFonts w:ascii="Arial" w:eastAsia="Calibri" w:hAnsi="Arial" w:cs="Arial"/>
          <w:sz w:val="20"/>
          <w:szCs w:val="20"/>
        </w:rPr>
        <w:t xml:space="preserve"> </w:t>
      </w:r>
      <w:r w:rsidRPr="0008498C">
        <w:rPr>
          <w:rFonts w:ascii="Arial" w:eastAsia="Calibri" w:hAnsi="Arial" w:cs="Arial"/>
          <w:sz w:val="20"/>
          <w:szCs w:val="20"/>
        </w:rPr>
        <w:t>Microscopic examination reveale</w:t>
      </w:r>
      <w:r w:rsidR="00B82918" w:rsidRPr="0008498C">
        <w:rPr>
          <w:rFonts w:ascii="Arial" w:eastAsia="Calibri" w:hAnsi="Arial" w:cs="Arial"/>
          <w:sz w:val="20"/>
          <w:szCs w:val="20"/>
        </w:rPr>
        <w:t xml:space="preserve">d short, slightly spiral </w:t>
      </w:r>
      <w:r w:rsidRPr="0008498C">
        <w:rPr>
          <w:rFonts w:ascii="Arial" w:eastAsia="Calibri" w:hAnsi="Arial" w:cs="Arial"/>
          <w:sz w:val="20"/>
          <w:szCs w:val="20"/>
        </w:rPr>
        <w:t>chains</w:t>
      </w:r>
      <w:r w:rsidR="00B82918" w:rsidRPr="0008498C">
        <w:rPr>
          <w:rFonts w:ascii="Arial" w:eastAsia="Calibri" w:hAnsi="Arial" w:cs="Arial"/>
          <w:sz w:val="20"/>
          <w:szCs w:val="20"/>
        </w:rPr>
        <w:t xml:space="preserve"> of spores</w:t>
      </w:r>
      <w:r w:rsidRPr="0008498C">
        <w:rPr>
          <w:rFonts w:ascii="Arial" w:eastAsia="Calibri" w:hAnsi="Arial" w:cs="Arial"/>
          <w:sz w:val="20"/>
          <w:szCs w:val="20"/>
        </w:rPr>
        <w:t xml:space="preserve"> with </w:t>
      </w:r>
      <w:r w:rsidR="00865BBF" w:rsidRPr="0008498C">
        <w:rPr>
          <w:rFonts w:ascii="Arial" w:eastAsia="Calibri" w:hAnsi="Arial" w:cs="Arial"/>
          <w:sz w:val="20"/>
          <w:szCs w:val="20"/>
        </w:rPr>
        <w:t xml:space="preserve">approximately </w:t>
      </w:r>
      <w:r w:rsidRPr="0008498C">
        <w:rPr>
          <w:rFonts w:ascii="Arial" w:eastAsia="Calibri" w:hAnsi="Arial" w:cs="Arial"/>
          <w:sz w:val="20"/>
          <w:szCs w:val="20"/>
        </w:rPr>
        <w:t>20-3</w:t>
      </w:r>
      <w:r w:rsidR="00B82918" w:rsidRPr="0008498C">
        <w:rPr>
          <w:rFonts w:ascii="Arial" w:eastAsia="Calibri" w:hAnsi="Arial" w:cs="Arial"/>
          <w:sz w:val="20"/>
          <w:szCs w:val="20"/>
        </w:rPr>
        <w:t>0</w:t>
      </w:r>
      <w:r w:rsidRPr="0008498C">
        <w:rPr>
          <w:rFonts w:ascii="Arial" w:eastAsia="Calibri" w:hAnsi="Arial" w:cs="Arial"/>
          <w:sz w:val="20"/>
          <w:szCs w:val="20"/>
        </w:rPr>
        <w:t xml:space="preserve"> spore</w:t>
      </w:r>
      <w:r w:rsidR="00A66D0C" w:rsidRPr="0008498C">
        <w:rPr>
          <w:rFonts w:ascii="Arial" w:eastAsia="Calibri" w:hAnsi="Arial" w:cs="Arial"/>
          <w:sz w:val="20"/>
          <w:szCs w:val="20"/>
        </w:rPr>
        <w:t>s on the aerial mycelium (Fig. 1b</w:t>
      </w:r>
      <w:r w:rsidRPr="0008498C">
        <w:rPr>
          <w:rFonts w:ascii="Arial" w:eastAsia="Calibri" w:hAnsi="Arial" w:cs="Arial"/>
          <w:sz w:val="20"/>
          <w:szCs w:val="20"/>
        </w:rPr>
        <w:t xml:space="preserve">). </w:t>
      </w:r>
    </w:p>
    <w:p w14:paraId="4119DF10" w14:textId="77777777" w:rsidR="001E41E7" w:rsidRPr="0008498C" w:rsidRDefault="001E41E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Chemotaxonomic analysis revealed presence of LL-diaminopimelic acid as the characteristic diamino acid in the cell wall. No characteristic sugar was identified in the whole-cell hydrolysate. DP6 also produced various extracellular enzymes, including protease, amylase, lipase, urease and gelatinase. Nevertheless, it did not respond to cellulase. DP6 showed positive results citrate utilization and H</w:t>
      </w:r>
      <w:r w:rsidRPr="0008498C">
        <w:rPr>
          <w:rFonts w:ascii="Arial" w:eastAsia="Calibri" w:hAnsi="Arial" w:cs="Arial"/>
          <w:sz w:val="20"/>
          <w:szCs w:val="20"/>
          <w:vertAlign w:val="subscript"/>
        </w:rPr>
        <w:t>2</w:t>
      </w:r>
      <w:r w:rsidRPr="0008498C">
        <w:rPr>
          <w:rFonts w:ascii="Arial" w:eastAsia="Calibri" w:hAnsi="Arial" w:cs="Arial"/>
          <w:sz w:val="20"/>
          <w:szCs w:val="20"/>
        </w:rPr>
        <w:t>S production (Table 2).</w:t>
      </w:r>
    </w:p>
    <w:p w14:paraId="188F4D72" w14:textId="77777777" w:rsidR="002C4F77" w:rsidRPr="0008498C" w:rsidRDefault="002C4F77" w:rsidP="002C4F77">
      <w:pPr>
        <w:tabs>
          <w:tab w:val="left" w:pos="3105"/>
        </w:tabs>
        <w:spacing w:line="240" w:lineRule="auto"/>
        <w:jc w:val="both"/>
        <w:rPr>
          <w:rFonts w:ascii="Arial" w:eastAsia="Calibri" w:hAnsi="Arial" w:cs="Arial"/>
          <w:sz w:val="20"/>
          <w:szCs w:val="20"/>
        </w:rPr>
      </w:pPr>
    </w:p>
    <w:p w14:paraId="4C9ABFB7" w14:textId="77777777" w:rsidR="002C4F77" w:rsidRPr="0008498C" w:rsidRDefault="002C4F77" w:rsidP="001E41E7">
      <w:pPr>
        <w:spacing w:before="240" w:line="240" w:lineRule="auto"/>
        <w:rPr>
          <w:rFonts w:ascii="Arial" w:hAnsi="Arial" w:cs="Arial"/>
          <w:b/>
          <w:sz w:val="20"/>
          <w:szCs w:val="20"/>
        </w:rPr>
      </w:pPr>
      <w:r w:rsidRPr="0008498C">
        <w:rPr>
          <w:rFonts w:ascii="Arial" w:hAnsi="Arial" w:cs="Arial"/>
          <w:b/>
          <w:sz w:val="20"/>
          <w:szCs w:val="20"/>
        </w:rPr>
        <w:t>Table 1 Cultural characteristics of DP6 on different ISP media</w:t>
      </w:r>
    </w:p>
    <w:tbl>
      <w:tblPr>
        <w:tblStyle w:val="TableGrid"/>
        <w:tblW w:w="100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993"/>
        <w:gridCol w:w="850"/>
        <w:gridCol w:w="851"/>
        <w:gridCol w:w="1134"/>
        <w:gridCol w:w="1134"/>
        <w:gridCol w:w="1275"/>
        <w:gridCol w:w="993"/>
      </w:tblGrid>
      <w:tr w:rsidR="002C4F77" w:rsidRPr="0008498C" w14:paraId="6CB43737" w14:textId="77777777" w:rsidTr="001E41E7">
        <w:tc>
          <w:tcPr>
            <w:tcW w:w="2835" w:type="dxa"/>
            <w:tcBorders>
              <w:top w:val="single" w:sz="4" w:space="0" w:color="auto"/>
              <w:bottom w:val="single" w:sz="4" w:space="0" w:color="auto"/>
            </w:tcBorders>
          </w:tcPr>
          <w:p w14:paraId="67B9BD40"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Characteristic</w:t>
            </w:r>
          </w:p>
        </w:tc>
        <w:tc>
          <w:tcPr>
            <w:tcW w:w="993" w:type="dxa"/>
            <w:tcBorders>
              <w:top w:val="single" w:sz="4" w:space="0" w:color="auto"/>
              <w:bottom w:val="single" w:sz="4" w:space="0" w:color="auto"/>
            </w:tcBorders>
          </w:tcPr>
          <w:p w14:paraId="5B9E1E0F"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ISP-1</w:t>
            </w:r>
          </w:p>
        </w:tc>
        <w:tc>
          <w:tcPr>
            <w:tcW w:w="850" w:type="dxa"/>
            <w:tcBorders>
              <w:top w:val="single" w:sz="4" w:space="0" w:color="auto"/>
              <w:bottom w:val="single" w:sz="4" w:space="0" w:color="auto"/>
            </w:tcBorders>
          </w:tcPr>
          <w:p w14:paraId="5BF40F2C"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ISP-2</w:t>
            </w:r>
          </w:p>
        </w:tc>
        <w:tc>
          <w:tcPr>
            <w:tcW w:w="851" w:type="dxa"/>
            <w:tcBorders>
              <w:top w:val="single" w:sz="4" w:space="0" w:color="auto"/>
              <w:bottom w:val="single" w:sz="4" w:space="0" w:color="auto"/>
            </w:tcBorders>
          </w:tcPr>
          <w:p w14:paraId="3CF6F023"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ISP-3</w:t>
            </w:r>
          </w:p>
        </w:tc>
        <w:tc>
          <w:tcPr>
            <w:tcW w:w="1134" w:type="dxa"/>
            <w:tcBorders>
              <w:top w:val="single" w:sz="4" w:space="0" w:color="auto"/>
              <w:bottom w:val="single" w:sz="4" w:space="0" w:color="auto"/>
            </w:tcBorders>
          </w:tcPr>
          <w:p w14:paraId="686750CB"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ISP-4</w:t>
            </w:r>
          </w:p>
        </w:tc>
        <w:tc>
          <w:tcPr>
            <w:tcW w:w="1134" w:type="dxa"/>
            <w:tcBorders>
              <w:top w:val="single" w:sz="4" w:space="0" w:color="auto"/>
              <w:bottom w:val="single" w:sz="4" w:space="0" w:color="auto"/>
            </w:tcBorders>
          </w:tcPr>
          <w:p w14:paraId="5E937308"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ISP-5</w:t>
            </w:r>
          </w:p>
        </w:tc>
        <w:tc>
          <w:tcPr>
            <w:tcW w:w="1275" w:type="dxa"/>
            <w:tcBorders>
              <w:top w:val="single" w:sz="4" w:space="0" w:color="auto"/>
              <w:bottom w:val="single" w:sz="4" w:space="0" w:color="auto"/>
            </w:tcBorders>
          </w:tcPr>
          <w:p w14:paraId="59B0DA56"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ISP-6</w:t>
            </w:r>
          </w:p>
        </w:tc>
        <w:tc>
          <w:tcPr>
            <w:tcW w:w="993" w:type="dxa"/>
            <w:tcBorders>
              <w:top w:val="single" w:sz="4" w:space="0" w:color="auto"/>
              <w:bottom w:val="single" w:sz="4" w:space="0" w:color="auto"/>
            </w:tcBorders>
          </w:tcPr>
          <w:p w14:paraId="70B50CAD"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ISP-7</w:t>
            </w:r>
          </w:p>
        </w:tc>
      </w:tr>
      <w:tr w:rsidR="002C4F77" w:rsidRPr="0008498C" w14:paraId="338CE8EA" w14:textId="77777777" w:rsidTr="001E41E7">
        <w:tc>
          <w:tcPr>
            <w:tcW w:w="2835" w:type="dxa"/>
            <w:tcBorders>
              <w:top w:val="single" w:sz="4" w:space="0" w:color="auto"/>
            </w:tcBorders>
          </w:tcPr>
          <w:p w14:paraId="58B7283F"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Growth </w:t>
            </w:r>
          </w:p>
        </w:tc>
        <w:tc>
          <w:tcPr>
            <w:tcW w:w="993" w:type="dxa"/>
            <w:tcBorders>
              <w:top w:val="single" w:sz="4" w:space="0" w:color="auto"/>
            </w:tcBorders>
          </w:tcPr>
          <w:p w14:paraId="058FEF0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850" w:type="dxa"/>
            <w:tcBorders>
              <w:top w:val="single" w:sz="4" w:space="0" w:color="auto"/>
            </w:tcBorders>
          </w:tcPr>
          <w:p w14:paraId="7DD28A5B"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851" w:type="dxa"/>
            <w:tcBorders>
              <w:top w:val="single" w:sz="4" w:space="0" w:color="auto"/>
            </w:tcBorders>
          </w:tcPr>
          <w:p w14:paraId="1112AD96"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134" w:type="dxa"/>
            <w:tcBorders>
              <w:top w:val="single" w:sz="4" w:space="0" w:color="auto"/>
            </w:tcBorders>
          </w:tcPr>
          <w:p w14:paraId="149A15F5"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134" w:type="dxa"/>
            <w:tcBorders>
              <w:top w:val="single" w:sz="4" w:space="0" w:color="auto"/>
            </w:tcBorders>
          </w:tcPr>
          <w:p w14:paraId="76490FE6"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275" w:type="dxa"/>
            <w:tcBorders>
              <w:top w:val="single" w:sz="4" w:space="0" w:color="auto"/>
            </w:tcBorders>
          </w:tcPr>
          <w:p w14:paraId="6BF3D7B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993" w:type="dxa"/>
            <w:tcBorders>
              <w:top w:val="single" w:sz="4" w:space="0" w:color="auto"/>
            </w:tcBorders>
          </w:tcPr>
          <w:p w14:paraId="04A7C71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r>
      <w:tr w:rsidR="002C4F77" w:rsidRPr="0008498C" w14:paraId="2A39D5A8" w14:textId="77777777" w:rsidTr="001E41E7">
        <w:tc>
          <w:tcPr>
            <w:tcW w:w="2835" w:type="dxa"/>
          </w:tcPr>
          <w:p w14:paraId="3FD017A6" w14:textId="77777777" w:rsidR="002C4F77" w:rsidRPr="0008498C" w:rsidRDefault="002C4F77" w:rsidP="001E41E7">
            <w:pPr>
              <w:spacing w:before="240"/>
              <w:rPr>
                <w:rFonts w:ascii="Arial" w:hAnsi="Arial" w:cs="Arial"/>
                <w:sz w:val="20"/>
                <w:szCs w:val="20"/>
              </w:rPr>
            </w:pPr>
            <w:proofErr w:type="spellStart"/>
            <w:r w:rsidRPr="0008498C">
              <w:rPr>
                <w:rFonts w:ascii="Arial" w:hAnsi="Arial" w:cs="Arial"/>
                <w:sz w:val="20"/>
                <w:szCs w:val="20"/>
              </w:rPr>
              <w:t>Color</w:t>
            </w:r>
            <w:proofErr w:type="spellEnd"/>
            <w:r w:rsidRPr="0008498C">
              <w:rPr>
                <w:rFonts w:ascii="Arial" w:hAnsi="Arial" w:cs="Arial"/>
                <w:sz w:val="20"/>
                <w:szCs w:val="20"/>
              </w:rPr>
              <w:t xml:space="preserve"> of aerial mycelium </w:t>
            </w:r>
          </w:p>
        </w:tc>
        <w:tc>
          <w:tcPr>
            <w:tcW w:w="993" w:type="dxa"/>
          </w:tcPr>
          <w:p w14:paraId="2D280F7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White </w:t>
            </w:r>
          </w:p>
        </w:tc>
        <w:tc>
          <w:tcPr>
            <w:tcW w:w="850" w:type="dxa"/>
          </w:tcPr>
          <w:p w14:paraId="74E587F0"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851" w:type="dxa"/>
          </w:tcPr>
          <w:p w14:paraId="249D083C"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3751BDF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55F264BB"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275" w:type="dxa"/>
          </w:tcPr>
          <w:p w14:paraId="4F0F4142"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993" w:type="dxa"/>
          </w:tcPr>
          <w:p w14:paraId="17476D5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r>
      <w:tr w:rsidR="002C4F77" w:rsidRPr="0008498C" w14:paraId="49BECE13" w14:textId="77777777" w:rsidTr="001E41E7">
        <w:tc>
          <w:tcPr>
            <w:tcW w:w="2835" w:type="dxa"/>
          </w:tcPr>
          <w:p w14:paraId="07C652F8" w14:textId="77777777" w:rsidR="002C4F77" w:rsidRPr="0008498C" w:rsidRDefault="002C4F77" w:rsidP="001E41E7">
            <w:pPr>
              <w:spacing w:before="240"/>
              <w:rPr>
                <w:rFonts w:ascii="Arial" w:hAnsi="Arial" w:cs="Arial"/>
                <w:sz w:val="20"/>
                <w:szCs w:val="20"/>
              </w:rPr>
            </w:pPr>
            <w:proofErr w:type="spellStart"/>
            <w:r w:rsidRPr="0008498C">
              <w:rPr>
                <w:rFonts w:ascii="Arial" w:hAnsi="Arial" w:cs="Arial"/>
                <w:sz w:val="20"/>
                <w:szCs w:val="20"/>
              </w:rPr>
              <w:t>Color</w:t>
            </w:r>
            <w:proofErr w:type="spellEnd"/>
            <w:r w:rsidRPr="0008498C">
              <w:rPr>
                <w:rFonts w:ascii="Arial" w:hAnsi="Arial" w:cs="Arial"/>
                <w:sz w:val="20"/>
                <w:szCs w:val="20"/>
              </w:rPr>
              <w:t xml:space="preserve"> of substrate mycelium </w:t>
            </w:r>
          </w:p>
        </w:tc>
        <w:tc>
          <w:tcPr>
            <w:tcW w:w="993" w:type="dxa"/>
          </w:tcPr>
          <w:p w14:paraId="5E69ABC4"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Blue </w:t>
            </w:r>
          </w:p>
        </w:tc>
        <w:tc>
          <w:tcPr>
            <w:tcW w:w="850" w:type="dxa"/>
          </w:tcPr>
          <w:p w14:paraId="16EF567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851" w:type="dxa"/>
          </w:tcPr>
          <w:p w14:paraId="76D51261"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672F1CC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1570F78F"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275" w:type="dxa"/>
          </w:tcPr>
          <w:p w14:paraId="29D5F1E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Light brown </w:t>
            </w:r>
          </w:p>
        </w:tc>
        <w:tc>
          <w:tcPr>
            <w:tcW w:w="993" w:type="dxa"/>
          </w:tcPr>
          <w:p w14:paraId="0FAF0E2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Orange </w:t>
            </w:r>
          </w:p>
        </w:tc>
      </w:tr>
      <w:tr w:rsidR="002C4F77" w:rsidRPr="0008498C" w14:paraId="5B28E029" w14:textId="77777777" w:rsidTr="001E41E7">
        <w:tc>
          <w:tcPr>
            <w:tcW w:w="2835" w:type="dxa"/>
          </w:tcPr>
          <w:p w14:paraId="37F49BEC"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Soluble pigment </w:t>
            </w:r>
          </w:p>
        </w:tc>
        <w:tc>
          <w:tcPr>
            <w:tcW w:w="993" w:type="dxa"/>
          </w:tcPr>
          <w:p w14:paraId="3E0E9197" w14:textId="77777777" w:rsidR="002C4F77" w:rsidRPr="0008498C" w:rsidRDefault="002C4F77" w:rsidP="001E41E7">
            <w:pPr>
              <w:spacing w:before="240"/>
              <w:rPr>
                <w:rFonts w:ascii="Arial" w:hAnsi="Arial" w:cs="Arial"/>
                <w:b/>
                <w:sz w:val="20"/>
                <w:szCs w:val="20"/>
              </w:rPr>
            </w:pPr>
            <w:r w:rsidRPr="0008498C">
              <w:rPr>
                <w:rFonts w:ascii="Arial" w:hAnsi="Arial" w:cs="Arial"/>
                <w:sz w:val="20"/>
                <w:szCs w:val="20"/>
              </w:rPr>
              <w:t>Blue</w:t>
            </w:r>
          </w:p>
        </w:tc>
        <w:tc>
          <w:tcPr>
            <w:tcW w:w="850" w:type="dxa"/>
          </w:tcPr>
          <w:p w14:paraId="4FF41410"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851" w:type="dxa"/>
          </w:tcPr>
          <w:p w14:paraId="61B28B3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1134" w:type="dxa"/>
          </w:tcPr>
          <w:p w14:paraId="1993C24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5490FCF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275" w:type="dxa"/>
          </w:tcPr>
          <w:p w14:paraId="5944EA5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993" w:type="dxa"/>
          </w:tcPr>
          <w:p w14:paraId="43DEF34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r>
      <w:tr w:rsidR="002C4F77" w:rsidRPr="0008498C" w14:paraId="54A5EEBB" w14:textId="77777777" w:rsidTr="001E41E7">
        <w:tc>
          <w:tcPr>
            <w:tcW w:w="2835" w:type="dxa"/>
          </w:tcPr>
          <w:p w14:paraId="4A2C632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Sporulation </w:t>
            </w:r>
          </w:p>
        </w:tc>
        <w:tc>
          <w:tcPr>
            <w:tcW w:w="993" w:type="dxa"/>
          </w:tcPr>
          <w:p w14:paraId="23E4BC5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White </w:t>
            </w:r>
          </w:p>
        </w:tc>
        <w:tc>
          <w:tcPr>
            <w:tcW w:w="850" w:type="dxa"/>
          </w:tcPr>
          <w:p w14:paraId="191A220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851" w:type="dxa"/>
          </w:tcPr>
          <w:p w14:paraId="1A98713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653CECF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6D5B2487" w14:textId="77777777" w:rsidR="002C4F77" w:rsidRPr="0008498C" w:rsidRDefault="001E41E7" w:rsidP="001E41E7">
            <w:pPr>
              <w:spacing w:before="240"/>
              <w:rPr>
                <w:rFonts w:ascii="Arial" w:hAnsi="Arial" w:cs="Arial"/>
                <w:sz w:val="20"/>
                <w:szCs w:val="20"/>
              </w:rPr>
            </w:pPr>
            <w:r>
              <w:rPr>
                <w:rFonts w:ascii="Arial" w:hAnsi="Arial" w:cs="Arial"/>
                <w:sz w:val="20"/>
                <w:szCs w:val="20"/>
              </w:rPr>
              <w:t xml:space="preserve">Pink </w:t>
            </w:r>
            <w:r w:rsidR="002C4F77" w:rsidRPr="0008498C">
              <w:rPr>
                <w:rFonts w:ascii="Arial" w:hAnsi="Arial" w:cs="Arial"/>
                <w:sz w:val="20"/>
                <w:szCs w:val="20"/>
              </w:rPr>
              <w:t xml:space="preserve">white </w:t>
            </w:r>
          </w:p>
        </w:tc>
        <w:tc>
          <w:tcPr>
            <w:tcW w:w="1275" w:type="dxa"/>
          </w:tcPr>
          <w:p w14:paraId="5C9551B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993" w:type="dxa"/>
          </w:tcPr>
          <w:p w14:paraId="676CD14A"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r>
    </w:tbl>
    <w:p w14:paraId="7CC45685" w14:textId="77777777" w:rsidR="002C4F77" w:rsidRPr="0008498C" w:rsidRDefault="002C4F77" w:rsidP="001E41E7">
      <w:pPr>
        <w:pStyle w:val="NormalWeb"/>
        <w:ind w:left="-426"/>
      </w:pPr>
      <w:r w:rsidRPr="0008498C">
        <w:rPr>
          <w:noProof/>
        </w:rPr>
        <w:lastRenderedPageBreak/>
        <w:drawing>
          <wp:inline distT="0" distB="0" distL="0" distR="0" wp14:anchorId="0BCBCFA7" wp14:editId="24E9E9B3">
            <wp:extent cx="6947453" cy="5982970"/>
            <wp:effectExtent l="0" t="0" r="6350" b="0"/>
            <wp:docPr id="1" name="Picture 1" descr="D:\DP6\Submitted to current j of biotech and pharmacy\Figure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P6\Submitted to current j of biotech and pharmacy\Figures\Fig 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5235" r="6448"/>
                    <a:stretch/>
                  </pic:blipFill>
                  <pic:spPr bwMode="auto">
                    <a:xfrm>
                      <a:off x="0" y="0"/>
                      <a:ext cx="7090773" cy="6106394"/>
                    </a:xfrm>
                    <a:prstGeom prst="rect">
                      <a:avLst/>
                    </a:prstGeom>
                    <a:noFill/>
                    <a:ln>
                      <a:noFill/>
                    </a:ln>
                    <a:extLst>
                      <a:ext uri="{53640926-AAD7-44D8-BBD7-CCE9431645EC}">
                        <a14:shadowObscured xmlns:a14="http://schemas.microsoft.com/office/drawing/2010/main"/>
                      </a:ext>
                    </a:extLst>
                  </pic:spPr>
                </pic:pic>
              </a:graphicData>
            </a:graphic>
          </wp:inline>
        </w:drawing>
      </w:r>
    </w:p>
    <w:p w14:paraId="13381D50" w14:textId="77777777" w:rsidR="002C4F77"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b/>
          <w:sz w:val="20"/>
          <w:szCs w:val="20"/>
        </w:rPr>
        <w:t>Fig</w:t>
      </w:r>
      <w:r w:rsidR="00C80E72" w:rsidRPr="0008498C">
        <w:rPr>
          <w:rFonts w:ascii="Arial" w:eastAsia="Calibri" w:hAnsi="Arial" w:cs="Arial"/>
          <w:b/>
          <w:sz w:val="20"/>
          <w:szCs w:val="20"/>
        </w:rPr>
        <w:t>.</w:t>
      </w:r>
      <w:r w:rsidRPr="0008498C">
        <w:rPr>
          <w:rFonts w:ascii="Arial" w:eastAsia="Calibri" w:hAnsi="Arial" w:cs="Arial"/>
          <w:b/>
          <w:sz w:val="20"/>
          <w:szCs w:val="20"/>
        </w:rPr>
        <w:t xml:space="preserve"> 1</w:t>
      </w:r>
      <w:r w:rsidR="00C80E72" w:rsidRPr="0008498C">
        <w:rPr>
          <w:rFonts w:ascii="Arial" w:eastAsia="Calibri" w:hAnsi="Arial" w:cs="Arial"/>
          <w:b/>
          <w:sz w:val="20"/>
          <w:szCs w:val="20"/>
        </w:rPr>
        <w:t>.</w:t>
      </w:r>
      <w:r w:rsidRPr="0008498C">
        <w:rPr>
          <w:rFonts w:ascii="Arial" w:eastAsia="Calibri" w:hAnsi="Arial" w:cs="Arial"/>
          <w:b/>
          <w:sz w:val="20"/>
          <w:szCs w:val="20"/>
        </w:rPr>
        <w:t xml:space="preserve"> </w:t>
      </w:r>
      <w:r w:rsidRPr="0008498C">
        <w:rPr>
          <w:rFonts w:ascii="Arial" w:eastAsia="Calibri" w:hAnsi="Arial" w:cs="Arial"/>
          <w:sz w:val="20"/>
          <w:szCs w:val="20"/>
        </w:rPr>
        <w:t xml:space="preserve">Phylogenetic tree obtained by </w:t>
      </w:r>
      <w:proofErr w:type="spellStart"/>
      <w:r w:rsidRPr="0008498C">
        <w:rPr>
          <w:rFonts w:ascii="Arial" w:eastAsia="Calibri" w:hAnsi="Arial" w:cs="Arial"/>
          <w:sz w:val="20"/>
          <w:szCs w:val="20"/>
        </w:rPr>
        <w:t>neighbor</w:t>
      </w:r>
      <w:proofErr w:type="spellEnd"/>
      <w:r w:rsidRPr="0008498C">
        <w:rPr>
          <w:rFonts w:ascii="Arial" w:eastAsia="Calibri" w:hAnsi="Arial" w:cs="Arial"/>
          <w:sz w:val="20"/>
          <w:szCs w:val="20"/>
        </w:rPr>
        <w:t xml:space="preserve"> joining analysis of 16S rRNA gene sequences showing the relationship between DP6 and species belonging to the genus </w:t>
      </w:r>
      <w:r w:rsidRPr="0008498C">
        <w:rPr>
          <w:rFonts w:ascii="Arial" w:eastAsia="Calibri" w:hAnsi="Arial" w:cs="Arial"/>
          <w:i/>
          <w:sz w:val="20"/>
          <w:szCs w:val="20"/>
        </w:rPr>
        <w:t xml:space="preserve">Streptomyces. </w:t>
      </w:r>
      <w:r w:rsidRPr="0008498C">
        <w:rPr>
          <w:rFonts w:ascii="Arial" w:eastAsia="Calibri" w:hAnsi="Arial" w:cs="Arial"/>
          <w:sz w:val="20"/>
          <w:szCs w:val="20"/>
        </w:rPr>
        <w:t xml:space="preserve">(a) Inset showing violet pigment production by </w:t>
      </w:r>
      <w:r w:rsidRPr="0008498C">
        <w:rPr>
          <w:rFonts w:ascii="Arial" w:eastAsia="Calibri" w:hAnsi="Arial" w:cs="Arial"/>
          <w:i/>
          <w:sz w:val="20"/>
          <w:szCs w:val="20"/>
        </w:rPr>
        <w:t>Streptomyces</w:t>
      </w:r>
      <w:r w:rsidRPr="0008498C">
        <w:rPr>
          <w:rFonts w:ascii="Arial" w:eastAsia="Calibri" w:hAnsi="Arial" w:cs="Arial"/>
          <w:sz w:val="20"/>
          <w:szCs w:val="20"/>
        </w:rPr>
        <w:t xml:space="preserve"> DP6 (b)</w:t>
      </w:r>
      <w:r w:rsidRPr="0008498C">
        <w:rPr>
          <w:rFonts w:ascii="Arial" w:eastAsia="Calibri" w:hAnsi="Arial" w:cs="Arial"/>
          <w:b/>
          <w:sz w:val="20"/>
          <w:szCs w:val="20"/>
        </w:rPr>
        <w:t xml:space="preserve"> </w:t>
      </w:r>
      <w:r w:rsidRPr="0008498C">
        <w:rPr>
          <w:rFonts w:ascii="Arial" w:eastAsia="Calibri" w:hAnsi="Arial" w:cs="Arial"/>
          <w:sz w:val="20"/>
          <w:szCs w:val="20"/>
        </w:rPr>
        <w:t xml:space="preserve">Aerial mycelium of </w:t>
      </w:r>
      <w:r w:rsidRPr="0008498C">
        <w:rPr>
          <w:rFonts w:ascii="Arial" w:eastAsia="Calibri" w:hAnsi="Arial" w:cs="Arial"/>
          <w:i/>
          <w:sz w:val="20"/>
          <w:szCs w:val="20"/>
        </w:rPr>
        <w:t>Streptomyces</w:t>
      </w:r>
      <w:r w:rsidRPr="0008498C">
        <w:rPr>
          <w:rFonts w:ascii="Arial" w:eastAsia="Calibri" w:hAnsi="Arial" w:cs="Arial"/>
          <w:sz w:val="20"/>
          <w:szCs w:val="20"/>
        </w:rPr>
        <w:t xml:space="preserve"> DP6 showing spiral spore chains (at 100X)</w:t>
      </w:r>
    </w:p>
    <w:p w14:paraId="6AC9363D" w14:textId="77777777" w:rsidR="00324171" w:rsidRDefault="00324171" w:rsidP="002C4F77">
      <w:pPr>
        <w:tabs>
          <w:tab w:val="left" w:pos="3105"/>
        </w:tabs>
        <w:spacing w:line="240" w:lineRule="auto"/>
        <w:jc w:val="both"/>
        <w:rPr>
          <w:rFonts w:ascii="Arial" w:eastAsia="Calibri" w:hAnsi="Arial" w:cs="Arial"/>
          <w:sz w:val="20"/>
          <w:szCs w:val="20"/>
        </w:rPr>
      </w:pPr>
    </w:p>
    <w:p w14:paraId="4432BA7F" w14:textId="77777777" w:rsidR="00324171" w:rsidRDefault="00324171" w:rsidP="002C4F77">
      <w:pPr>
        <w:tabs>
          <w:tab w:val="left" w:pos="3105"/>
        </w:tabs>
        <w:spacing w:line="240" w:lineRule="auto"/>
        <w:jc w:val="both"/>
        <w:rPr>
          <w:rFonts w:ascii="Arial" w:eastAsia="Calibri" w:hAnsi="Arial" w:cs="Arial"/>
          <w:sz w:val="20"/>
          <w:szCs w:val="20"/>
        </w:rPr>
      </w:pPr>
    </w:p>
    <w:p w14:paraId="6929692F" w14:textId="77777777" w:rsidR="00324171" w:rsidRDefault="00324171" w:rsidP="002C4F77">
      <w:pPr>
        <w:tabs>
          <w:tab w:val="left" w:pos="3105"/>
        </w:tabs>
        <w:spacing w:line="240" w:lineRule="auto"/>
        <w:jc w:val="both"/>
        <w:rPr>
          <w:rFonts w:ascii="Arial" w:eastAsia="Calibri" w:hAnsi="Arial" w:cs="Arial"/>
          <w:sz w:val="20"/>
          <w:szCs w:val="20"/>
        </w:rPr>
      </w:pPr>
    </w:p>
    <w:p w14:paraId="74B5221D" w14:textId="77777777" w:rsidR="007206E5" w:rsidRPr="0008498C" w:rsidRDefault="007206E5" w:rsidP="002C4F77">
      <w:pPr>
        <w:tabs>
          <w:tab w:val="left" w:pos="3105"/>
        </w:tabs>
        <w:spacing w:line="240" w:lineRule="auto"/>
        <w:jc w:val="both"/>
        <w:rPr>
          <w:rFonts w:ascii="Arial" w:eastAsia="Calibri" w:hAnsi="Arial" w:cs="Arial"/>
          <w:sz w:val="20"/>
          <w:szCs w:val="20"/>
        </w:rPr>
      </w:pPr>
    </w:p>
    <w:p w14:paraId="63EA9DE8" w14:textId="77777777" w:rsidR="001E41E7" w:rsidRDefault="001E41E7" w:rsidP="002C4F77">
      <w:pPr>
        <w:tabs>
          <w:tab w:val="left" w:pos="3105"/>
        </w:tabs>
        <w:spacing w:line="240" w:lineRule="auto"/>
        <w:jc w:val="both"/>
        <w:rPr>
          <w:rFonts w:ascii="Arial" w:eastAsia="Calibri" w:hAnsi="Arial" w:cs="Arial"/>
          <w:b/>
          <w:sz w:val="20"/>
          <w:szCs w:val="20"/>
        </w:rPr>
      </w:pPr>
    </w:p>
    <w:p w14:paraId="3AB8B25C"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lastRenderedPageBreak/>
        <w:t xml:space="preserve">Table 2 Morphological, physiological and biochemical characteristics of </w:t>
      </w:r>
      <w:r w:rsidRPr="0008498C">
        <w:rPr>
          <w:rFonts w:ascii="Arial" w:eastAsia="Calibri" w:hAnsi="Arial" w:cs="Arial"/>
          <w:b/>
          <w:i/>
          <w:sz w:val="20"/>
          <w:szCs w:val="20"/>
        </w:rPr>
        <w:t xml:space="preserve">Streptomyces </w:t>
      </w:r>
      <w:r w:rsidRPr="0008498C">
        <w:rPr>
          <w:rFonts w:ascii="Arial" w:eastAsia="Calibri" w:hAnsi="Arial" w:cs="Arial"/>
          <w:b/>
          <w:sz w:val="20"/>
          <w:szCs w:val="20"/>
        </w:rPr>
        <w:t>DP6</w:t>
      </w:r>
    </w:p>
    <w:tbl>
      <w:tblPr>
        <w:tblW w:w="0" w:type="auto"/>
        <w:tblBorders>
          <w:top w:val="single" w:sz="4" w:space="0" w:color="auto"/>
          <w:bottom w:val="single" w:sz="4" w:space="0" w:color="auto"/>
        </w:tblBorders>
        <w:tblLook w:val="04A0" w:firstRow="1" w:lastRow="0" w:firstColumn="1" w:lastColumn="0" w:noHBand="0" w:noVBand="1"/>
      </w:tblPr>
      <w:tblGrid>
        <w:gridCol w:w="4691"/>
        <w:gridCol w:w="4669"/>
      </w:tblGrid>
      <w:tr w:rsidR="002C4F77" w:rsidRPr="0008498C" w14:paraId="5F9CB59E" w14:textId="77777777" w:rsidTr="002C4F77">
        <w:trPr>
          <w:trHeight w:val="341"/>
        </w:trPr>
        <w:tc>
          <w:tcPr>
            <w:tcW w:w="4788" w:type="dxa"/>
            <w:tcBorders>
              <w:top w:val="single" w:sz="4" w:space="0" w:color="auto"/>
              <w:bottom w:val="single" w:sz="4" w:space="0" w:color="auto"/>
            </w:tcBorders>
          </w:tcPr>
          <w:p w14:paraId="5A9F4E89"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Characteristic </w:t>
            </w:r>
          </w:p>
        </w:tc>
        <w:tc>
          <w:tcPr>
            <w:tcW w:w="4788" w:type="dxa"/>
            <w:tcBorders>
              <w:top w:val="single" w:sz="4" w:space="0" w:color="auto"/>
              <w:bottom w:val="single" w:sz="4" w:space="0" w:color="auto"/>
            </w:tcBorders>
          </w:tcPr>
          <w:p w14:paraId="2C94B2D1"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Result </w:t>
            </w:r>
          </w:p>
        </w:tc>
      </w:tr>
      <w:tr w:rsidR="002C4F77" w:rsidRPr="0008498C" w14:paraId="14E82172" w14:textId="77777777" w:rsidTr="002C4F77">
        <w:tc>
          <w:tcPr>
            <w:tcW w:w="4788" w:type="dxa"/>
            <w:tcBorders>
              <w:top w:val="single" w:sz="4" w:space="0" w:color="auto"/>
            </w:tcBorders>
          </w:tcPr>
          <w:p w14:paraId="19F0695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 mass</w:t>
            </w:r>
          </w:p>
        </w:tc>
        <w:tc>
          <w:tcPr>
            <w:tcW w:w="4788" w:type="dxa"/>
            <w:tcBorders>
              <w:top w:val="single" w:sz="4" w:space="0" w:color="auto"/>
            </w:tcBorders>
          </w:tcPr>
          <w:p w14:paraId="3706A4A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Pinkish white</w:t>
            </w:r>
          </w:p>
        </w:tc>
      </w:tr>
      <w:tr w:rsidR="002C4F77" w:rsidRPr="0008498C" w14:paraId="1D817D80" w14:textId="77777777" w:rsidTr="002C4F77">
        <w:tc>
          <w:tcPr>
            <w:tcW w:w="4788" w:type="dxa"/>
          </w:tcPr>
          <w:p w14:paraId="2857C66B"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 chain</w:t>
            </w:r>
          </w:p>
          <w:p w14:paraId="4A63AC98"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Spores shape</w:t>
            </w:r>
          </w:p>
        </w:tc>
        <w:tc>
          <w:tcPr>
            <w:tcW w:w="4788" w:type="dxa"/>
          </w:tcPr>
          <w:p w14:paraId="6CE1261F"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Short/ slightly spiral</w:t>
            </w:r>
          </w:p>
          <w:p w14:paraId="14806A7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Round  </w:t>
            </w:r>
          </w:p>
        </w:tc>
      </w:tr>
      <w:tr w:rsidR="002C4F77" w:rsidRPr="0008498C" w14:paraId="45EECFC6" w14:textId="77777777" w:rsidTr="002C4F77">
        <w:tc>
          <w:tcPr>
            <w:tcW w:w="4788" w:type="dxa"/>
          </w:tcPr>
          <w:p w14:paraId="0BB84D4D"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Substrate mycelium</w:t>
            </w:r>
          </w:p>
        </w:tc>
        <w:tc>
          <w:tcPr>
            <w:tcW w:w="4788" w:type="dxa"/>
          </w:tcPr>
          <w:p w14:paraId="387A467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Violet </w:t>
            </w:r>
          </w:p>
        </w:tc>
      </w:tr>
      <w:tr w:rsidR="002C4F77" w:rsidRPr="0008498C" w14:paraId="425710B3" w14:textId="77777777" w:rsidTr="002C4F77">
        <w:tc>
          <w:tcPr>
            <w:tcW w:w="4788" w:type="dxa"/>
          </w:tcPr>
          <w:p w14:paraId="75A5B8C4"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Aerial mycelium</w:t>
            </w:r>
          </w:p>
        </w:tc>
        <w:tc>
          <w:tcPr>
            <w:tcW w:w="4788" w:type="dxa"/>
          </w:tcPr>
          <w:p w14:paraId="71AE2F3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Violet </w:t>
            </w:r>
          </w:p>
        </w:tc>
      </w:tr>
      <w:tr w:rsidR="002C4F77" w:rsidRPr="0008498C" w14:paraId="0B3DB9AF" w14:textId="77777777" w:rsidTr="002C4F77">
        <w:tc>
          <w:tcPr>
            <w:tcW w:w="4788" w:type="dxa"/>
          </w:tcPr>
          <w:p w14:paraId="21287F44"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Pigment</w:t>
            </w:r>
          </w:p>
        </w:tc>
        <w:tc>
          <w:tcPr>
            <w:tcW w:w="4788" w:type="dxa"/>
          </w:tcPr>
          <w:p w14:paraId="29A71E2F"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Violet </w:t>
            </w:r>
          </w:p>
        </w:tc>
      </w:tr>
      <w:tr w:rsidR="002C4F77" w:rsidRPr="0008498C" w14:paraId="1536F38A" w14:textId="77777777" w:rsidTr="002C4F77">
        <w:tc>
          <w:tcPr>
            <w:tcW w:w="4788" w:type="dxa"/>
          </w:tcPr>
          <w:p w14:paraId="5A09226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Sugar pattern</w:t>
            </w:r>
          </w:p>
        </w:tc>
        <w:tc>
          <w:tcPr>
            <w:tcW w:w="4788" w:type="dxa"/>
          </w:tcPr>
          <w:p w14:paraId="2B7A7DC0"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No sugar</w:t>
            </w:r>
          </w:p>
        </w:tc>
      </w:tr>
      <w:tr w:rsidR="002C4F77" w:rsidRPr="0008498C" w14:paraId="48A75592" w14:textId="77777777" w:rsidTr="002C4F77">
        <w:tc>
          <w:tcPr>
            <w:tcW w:w="4788" w:type="dxa"/>
          </w:tcPr>
          <w:p w14:paraId="78299EDD"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Diaminopimelic acid</w:t>
            </w:r>
          </w:p>
        </w:tc>
        <w:tc>
          <w:tcPr>
            <w:tcW w:w="4788" w:type="dxa"/>
          </w:tcPr>
          <w:p w14:paraId="6FC08B27"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LL-DAP</w:t>
            </w:r>
          </w:p>
        </w:tc>
      </w:tr>
      <w:tr w:rsidR="002C4F77" w:rsidRPr="0008498C" w14:paraId="4BBD3333" w14:textId="77777777" w:rsidTr="002C4F77">
        <w:tc>
          <w:tcPr>
            <w:tcW w:w="4788" w:type="dxa"/>
          </w:tcPr>
          <w:p w14:paraId="568AAC5C"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Production of melanin pigment </w:t>
            </w:r>
            <w:proofErr w:type="gramStart"/>
            <w:r w:rsidRPr="0008498C">
              <w:rPr>
                <w:rFonts w:ascii="Arial" w:eastAsia="Calibri" w:hAnsi="Arial" w:cs="Arial"/>
                <w:b/>
                <w:sz w:val="20"/>
                <w:szCs w:val="20"/>
              </w:rPr>
              <w:t>on :</w:t>
            </w:r>
            <w:proofErr w:type="gramEnd"/>
          </w:p>
          <w:p w14:paraId="21033BF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Tyrosine agar medium</w:t>
            </w:r>
          </w:p>
          <w:p w14:paraId="14200D7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Peptone yeast extract agar medium</w:t>
            </w:r>
          </w:p>
        </w:tc>
        <w:tc>
          <w:tcPr>
            <w:tcW w:w="4788" w:type="dxa"/>
          </w:tcPr>
          <w:p w14:paraId="2CB1FB9B" w14:textId="77777777" w:rsidR="002C4F77" w:rsidRPr="0008498C" w:rsidRDefault="002C4F77" w:rsidP="002C4F77">
            <w:pPr>
              <w:tabs>
                <w:tab w:val="left" w:pos="3105"/>
              </w:tabs>
              <w:spacing w:line="240" w:lineRule="auto"/>
              <w:jc w:val="both"/>
              <w:rPr>
                <w:rFonts w:ascii="Arial" w:eastAsia="Calibri" w:hAnsi="Arial" w:cs="Arial"/>
                <w:sz w:val="20"/>
                <w:szCs w:val="20"/>
              </w:rPr>
            </w:pPr>
          </w:p>
          <w:p w14:paraId="430E2D92"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11F6FFB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2C4F77" w:rsidRPr="0008498C" w14:paraId="2FCC7B76" w14:textId="77777777" w:rsidTr="002C4F77">
        <w:tc>
          <w:tcPr>
            <w:tcW w:w="4788" w:type="dxa"/>
          </w:tcPr>
          <w:p w14:paraId="346200F2"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Production of hydrolytic enzymes:</w:t>
            </w:r>
          </w:p>
          <w:p w14:paraId="2ECB2074"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Amylase </w:t>
            </w:r>
          </w:p>
          <w:p w14:paraId="41A8C221"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Protease  </w:t>
            </w:r>
          </w:p>
          <w:p w14:paraId="022C4A7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Cellulase </w:t>
            </w:r>
          </w:p>
          <w:p w14:paraId="7831DFAB"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Lipase </w:t>
            </w:r>
          </w:p>
        </w:tc>
        <w:tc>
          <w:tcPr>
            <w:tcW w:w="4788" w:type="dxa"/>
          </w:tcPr>
          <w:p w14:paraId="2C5E898D" w14:textId="77777777" w:rsidR="002C4F77" w:rsidRPr="0008498C" w:rsidRDefault="002C4F77" w:rsidP="002C4F77">
            <w:pPr>
              <w:tabs>
                <w:tab w:val="left" w:pos="3105"/>
              </w:tabs>
              <w:spacing w:line="240" w:lineRule="auto"/>
              <w:jc w:val="both"/>
              <w:rPr>
                <w:rFonts w:ascii="Arial" w:eastAsia="Calibri" w:hAnsi="Arial" w:cs="Arial"/>
                <w:sz w:val="20"/>
                <w:szCs w:val="20"/>
              </w:rPr>
            </w:pPr>
          </w:p>
          <w:p w14:paraId="41CFBC51"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59783DF3"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74ED7AE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5590D1C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2C4F77" w:rsidRPr="0008498C" w14:paraId="51C8B8F8" w14:textId="77777777" w:rsidTr="002C4F77">
        <w:tc>
          <w:tcPr>
            <w:tcW w:w="4788" w:type="dxa"/>
          </w:tcPr>
          <w:p w14:paraId="52A9323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Gelatinase </w:t>
            </w:r>
          </w:p>
        </w:tc>
        <w:tc>
          <w:tcPr>
            <w:tcW w:w="4788" w:type="dxa"/>
          </w:tcPr>
          <w:p w14:paraId="3FF915DE"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2C4F77" w:rsidRPr="0008498C" w14:paraId="4A0A4ADE" w14:textId="77777777" w:rsidTr="002C4F77">
        <w:tc>
          <w:tcPr>
            <w:tcW w:w="4788" w:type="dxa"/>
          </w:tcPr>
          <w:p w14:paraId="1C6CDB5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Urease </w:t>
            </w:r>
          </w:p>
          <w:p w14:paraId="17273289"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Pectinase </w:t>
            </w:r>
          </w:p>
        </w:tc>
        <w:tc>
          <w:tcPr>
            <w:tcW w:w="4788" w:type="dxa"/>
          </w:tcPr>
          <w:p w14:paraId="55CA5F6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4FBABDA5"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2C4F77" w:rsidRPr="0008498C" w14:paraId="2CBF91A1" w14:textId="77777777" w:rsidTr="002C4F77">
        <w:tc>
          <w:tcPr>
            <w:tcW w:w="4788" w:type="dxa"/>
          </w:tcPr>
          <w:p w14:paraId="07E6FE05"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production </w:t>
            </w:r>
          </w:p>
        </w:tc>
        <w:tc>
          <w:tcPr>
            <w:tcW w:w="4788" w:type="dxa"/>
          </w:tcPr>
          <w:p w14:paraId="43ABB15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tc>
      </w:tr>
      <w:tr w:rsidR="002C4F77" w:rsidRPr="0008498C" w14:paraId="4AFD6E06" w14:textId="77777777" w:rsidTr="002C4F77">
        <w:tc>
          <w:tcPr>
            <w:tcW w:w="4788" w:type="dxa"/>
          </w:tcPr>
          <w:p w14:paraId="4C428F5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Citrate utilization</w:t>
            </w:r>
          </w:p>
          <w:p w14:paraId="30823C93"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Indole </w:t>
            </w:r>
          </w:p>
          <w:p w14:paraId="0F5A94D1"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Growth Temperature</w:t>
            </w:r>
          </w:p>
        </w:tc>
        <w:tc>
          <w:tcPr>
            <w:tcW w:w="4788" w:type="dxa"/>
          </w:tcPr>
          <w:p w14:paraId="210BDF5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5F848032"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w:t>
            </w:r>
          </w:p>
          <w:p w14:paraId="7936EBB5"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25</w:t>
            </w:r>
            <w:r w:rsidRPr="0008498C">
              <w:rPr>
                <w:rFonts w:ascii="Arial" w:eastAsia="Calibri" w:hAnsi="Arial" w:cs="Arial"/>
                <w:sz w:val="20"/>
                <w:szCs w:val="20"/>
                <w:vertAlign w:val="superscript"/>
              </w:rPr>
              <w:t>o</w:t>
            </w:r>
            <w:r w:rsidRPr="0008498C">
              <w:rPr>
                <w:rFonts w:ascii="Arial" w:eastAsia="Calibri" w:hAnsi="Arial" w:cs="Arial"/>
                <w:sz w:val="20"/>
                <w:szCs w:val="20"/>
              </w:rPr>
              <w:t xml:space="preserve">C (20 to 35 </w:t>
            </w:r>
            <w:proofErr w:type="spellStart"/>
            <w:r w:rsidRPr="0008498C">
              <w:rPr>
                <w:rFonts w:ascii="Arial" w:eastAsia="Calibri" w:hAnsi="Arial" w:cs="Arial"/>
                <w:sz w:val="20"/>
                <w:szCs w:val="20"/>
                <w:vertAlign w:val="superscript"/>
              </w:rPr>
              <w:t>o</w:t>
            </w:r>
            <w:r w:rsidRPr="0008498C">
              <w:rPr>
                <w:rFonts w:ascii="Arial" w:eastAsia="Calibri" w:hAnsi="Arial" w:cs="Arial"/>
                <w:sz w:val="20"/>
                <w:szCs w:val="20"/>
              </w:rPr>
              <w:t>C</w:t>
            </w:r>
            <w:proofErr w:type="spellEnd"/>
            <w:r w:rsidRPr="0008498C">
              <w:rPr>
                <w:rFonts w:ascii="Arial" w:eastAsia="Calibri" w:hAnsi="Arial" w:cs="Arial"/>
                <w:sz w:val="20"/>
                <w:szCs w:val="20"/>
              </w:rPr>
              <w:t>)</w:t>
            </w:r>
          </w:p>
        </w:tc>
      </w:tr>
    </w:tbl>
    <w:p w14:paraId="7772ABFA" w14:textId="77777777" w:rsidR="002C4F77" w:rsidRPr="0008498C" w:rsidRDefault="002C4F77" w:rsidP="002C4F77">
      <w:pPr>
        <w:tabs>
          <w:tab w:val="left" w:pos="3105"/>
        </w:tabs>
        <w:spacing w:line="240" w:lineRule="auto"/>
        <w:jc w:val="both"/>
        <w:rPr>
          <w:rFonts w:ascii="Arial" w:eastAsia="Calibri" w:hAnsi="Arial" w:cs="Arial"/>
          <w:b/>
          <w:sz w:val="20"/>
          <w:szCs w:val="20"/>
        </w:rPr>
      </w:pPr>
    </w:p>
    <w:p w14:paraId="053C80D2" w14:textId="77777777" w:rsidR="002C4F77" w:rsidRPr="0008498C" w:rsidRDefault="002C4F77" w:rsidP="002C4F77">
      <w:pPr>
        <w:tabs>
          <w:tab w:val="left" w:pos="3105"/>
        </w:tabs>
        <w:spacing w:line="240" w:lineRule="auto"/>
        <w:jc w:val="both"/>
        <w:rPr>
          <w:rFonts w:ascii="Arial" w:eastAsia="Calibri" w:hAnsi="Arial" w:cs="Arial"/>
          <w:b/>
          <w:sz w:val="20"/>
          <w:szCs w:val="20"/>
        </w:rPr>
      </w:pPr>
    </w:p>
    <w:p w14:paraId="7D26BA73" w14:textId="77777777" w:rsidR="00AB694B" w:rsidRPr="0008498C" w:rsidRDefault="007206E5"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Based on morphological, cultural, and chemotaxonomic studies, strain DP6 was classified within the genus </w:t>
      </w:r>
      <w:r w:rsidRPr="0008498C">
        <w:rPr>
          <w:rFonts w:ascii="Arial" w:eastAsia="Calibri" w:hAnsi="Arial" w:cs="Arial"/>
          <w:i/>
          <w:sz w:val="20"/>
          <w:szCs w:val="20"/>
        </w:rPr>
        <w:t>Streptomyces</w:t>
      </w:r>
      <w:r w:rsidRPr="0008498C">
        <w:rPr>
          <w:rFonts w:ascii="Arial" w:eastAsia="Calibri" w:hAnsi="Arial" w:cs="Arial"/>
          <w:sz w:val="20"/>
          <w:szCs w:val="20"/>
        </w:rPr>
        <w:t>. This classification was further suppor</w:t>
      </w:r>
      <w:r w:rsidR="00865BBF" w:rsidRPr="0008498C">
        <w:rPr>
          <w:rFonts w:ascii="Arial" w:eastAsia="Calibri" w:hAnsi="Arial" w:cs="Arial"/>
          <w:sz w:val="20"/>
          <w:szCs w:val="20"/>
        </w:rPr>
        <w:t xml:space="preserve">ted by 16S rRNA sequencing. DP6 </w:t>
      </w:r>
      <w:r w:rsidRPr="0008498C">
        <w:rPr>
          <w:rFonts w:ascii="Arial" w:eastAsia="Calibri" w:hAnsi="Arial" w:cs="Arial"/>
          <w:sz w:val="20"/>
          <w:szCs w:val="20"/>
        </w:rPr>
        <w:t xml:space="preserve">sequence </w:t>
      </w:r>
      <w:r w:rsidR="00865BBF" w:rsidRPr="0008498C">
        <w:rPr>
          <w:rFonts w:ascii="Arial" w:eastAsia="Calibri" w:hAnsi="Arial" w:cs="Arial"/>
          <w:sz w:val="20"/>
          <w:szCs w:val="20"/>
        </w:rPr>
        <w:t xml:space="preserve">(1401 bp) </w:t>
      </w:r>
      <w:r w:rsidR="00DF7470" w:rsidRPr="0008498C">
        <w:rPr>
          <w:rFonts w:ascii="Arial" w:eastAsia="Calibri" w:hAnsi="Arial" w:cs="Arial"/>
          <w:sz w:val="20"/>
          <w:szCs w:val="20"/>
        </w:rPr>
        <w:t xml:space="preserve">exhibits 99-100% similarity with </w:t>
      </w:r>
      <w:proofErr w:type="gramStart"/>
      <w:r w:rsidR="00DF7470" w:rsidRPr="0008498C">
        <w:rPr>
          <w:rFonts w:ascii="Arial" w:eastAsia="Calibri" w:hAnsi="Arial" w:cs="Arial"/>
          <w:sz w:val="20"/>
          <w:szCs w:val="20"/>
        </w:rPr>
        <w:t>other</w:t>
      </w:r>
      <w:proofErr w:type="gramEnd"/>
      <w:r w:rsidR="00DF7470" w:rsidRPr="0008498C">
        <w:rPr>
          <w:rFonts w:ascii="Arial" w:eastAsia="Calibri" w:hAnsi="Arial" w:cs="Arial"/>
          <w:sz w:val="20"/>
          <w:szCs w:val="20"/>
        </w:rPr>
        <w:t xml:space="preserve"> </w:t>
      </w:r>
      <w:r w:rsidR="00DF7470" w:rsidRPr="0008498C">
        <w:rPr>
          <w:rFonts w:ascii="Arial" w:eastAsia="Calibri" w:hAnsi="Arial" w:cs="Arial"/>
          <w:i/>
          <w:sz w:val="20"/>
          <w:szCs w:val="20"/>
        </w:rPr>
        <w:t>Streptomyces</w:t>
      </w:r>
      <w:r w:rsidR="00DF7470" w:rsidRPr="0008498C">
        <w:rPr>
          <w:rFonts w:ascii="Arial" w:eastAsia="Calibri" w:hAnsi="Arial" w:cs="Arial"/>
          <w:sz w:val="20"/>
          <w:szCs w:val="20"/>
        </w:rPr>
        <w:t xml:space="preserve"> spp. available at </w:t>
      </w:r>
      <w:proofErr w:type="spellStart"/>
      <w:r w:rsidR="00DF7470" w:rsidRPr="0008498C">
        <w:rPr>
          <w:rFonts w:ascii="Arial" w:eastAsia="Calibri" w:hAnsi="Arial" w:cs="Arial"/>
          <w:sz w:val="20"/>
          <w:szCs w:val="20"/>
        </w:rPr>
        <w:t>EzTaxon</w:t>
      </w:r>
      <w:proofErr w:type="spellEnd"/>
      <w:r w:rsidR="00DF7470" w:rsidRPr="0008498C">
        <w:rPr>
          <w:rFonts w:ascii="Arial" w:eastAsia="Calibri" w:hAnsi="Arial" w:cs="Arial"/>
          <w:sz w:val="20"/>
          <w:szCs w:val="20"/>
        </w:rPr>
        <w:t xml:space="preserve"> database. </w:t>
      </w:r>
      <w:r w:rsidRPr="0008498C">
        <w:rPr>
          <w:rFonts w:ascii="Arial" w:eastAsia="Calibri" w:hAnsi="Arial" w:cs="Arial"/>
          <w:sz w:val="20"/>
          <w:szCs w:val="20"/>
        </w:rPr>
        <w:t xml:space="preserve">Notably, DP6 was most closely related (100%) to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NBRC 12826 (T) (AB184174). A phylogenetic tree constructed using the </w:t>
      </w:r>
      <w:proofErr w:type="spellStart"/>
      <w:r w:rsidRPr="0008498C">
        <w:rPr>
          <w:rFonts w:ascii="Arial" w:eastAsia="Calibri" w:hAnsi="Arial" w:cs="Arial"/>
          <w:sz w:val="20"/>
          <w:szCs w:val="20"/>
        </w:rPr>
        <w:t>neighbor</w:t>
      </w:r>
      <w:proofErr w:type="spellEnd"/>
      <w:r w:rsidRPr="0008498C">
        <w:rPr>
          <w:rFonts w:ascii="Arial" w:eastAsia="Calibri" w:hAnsi="Arial" w:cs="Arial"/>
          <w:sz w:val="20"/>
          <w:szCs w:val="20"/>
        </w:rPr>
        <w:t xml:space="preserve">-joining method </w:t>
      </w:r>
      <w:r w:rsidR="009B1020" w:rsidRPr="0008498C">
        <w:rPr>
          <w:rFonts w:ascii="Arial" w:eastAsia="Calibri" w:hAnsi="Arial" w:cs="Arial"/>
          <w:sz w:val="20"/>
          <w:szCs w:val="20"/>
        </w:rPr>
        <w:t>to confirm its</w:t>
      </w:r>
      <w:r w:rsidRPr="0008498C">
        <w:rPr>
          <w:rFonts w:ascii="Arial" w:eastAsia="Calibri" w:hAnsi="Arial" w:cs="Arial"/>
          <w:sz w:val="20"/>
          <w:szCs w:val="20"/>
        </w:rPr>
        <w:t xml:space="preserve"> close relationship </w:t>
      </w:r>
      <w:r w:rsidR="009B1020" w:rsidRPr="0008498C">
        <w:rPr>
          <w:rFonts w:ascii="Arial" w:eastAsia="Calibri" w:hAnsi="Arial" w:cs="Arial"/>
          <w:sz w:val="20"/>
          <w:szCs w:val="20"/>
        </w:rPr>
        <w:t xml:space="preserve">with other species </w:t>
      </w:r>
      <w:r w:rsidR="00A66D0C" w:rsidRPr="0008498C">
        <w:rPr>
          <w:rFonts w:ascii="Arial" w:eastAsia="Calibri" w:hAnsi="Arial" w:cs="Arial"/>
          <w:sz w:val="20"/>
          <w:szCs w:val="20"/>
        </w:rPr>
        <w:t>(Fig. 1c</w:t>
      </w:r>
      <w:r w:rsidRPr="0008498C">
        <w:rPr>
          <w:rFonts w:ascii="Arial" w:eastAsia="Calibri" w:hAnsi="Arial" w:cs="Arial"/>
          <w:sz w:val="20"/>
          <w:szCs w:val="20"/>
        </w:rPr>
        <w:t>).</w:t>
      </w:r>
      <w:r w:rsidR="006F1D8D" w:rsidRPr="0008498C">
        <w:rPr>
          <w:rFonts w:ascii="Arial" w:eastAsia="Calibri" w:hAnsi="Arial" w:cs="Arial"/>
          <w:sz w:val="20"/>
          <w:szCs w:val="20"/>
        </w:rPr>
        <w:t xml:space="preserve"> </w:t>
      </w:r>
      <w:r w:rsidRPr="0008498C">
        <w:rPr>
          <w:rFonts w:ascii="Arial" w:eastAsia="Calibri" w:hAnsi="Arial" w:cs="Arial"/>
          <w:sz w:val="20"/>
          <w:szCs w:val="20"/>
        </w:rPr>
        <w:t xml:space="preserve">Further comparison between DP6 and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revealed similarities in most cultural characteristics. However,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lacked violet pigment production on ISP-5 medium. Additionally, DP6 exhibited differences in physiological traits, including 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production and urea hydrolysis, whereas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did not produce 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or </w:t>
      </w:r>
      <w:proofErr w:type="spellStart"/>
      <w:r w:rsidRPr="0008498C">
        <w:rPr>
          <w:rFonts w:ascii="Arial" w:eastAsia="Calibri" w:hAnsi="Arial" w:cs="Arial"/>
          <w:sz w:val="20"/>
          <w:szCs w:val="20"/>
        </w:rPr>
        <w:t>hydrolyze</w:t>
      </w:r>
      <w:proofErr w:type="spellEnd"/>
      <w:r w:rsidRPr="0008498C">
        <w:rPr>
          <w:rFonts w:ascii="Arial" w:eastAsia="Calibri" w:hAnsi="Arial" w:cs="Arial"/>
          <w:sz w:val="20"/>
          <w:szCs w:val="20"/>
        </w:rPr>
        <w:t xml:space="preserve"> urea. Based on these findings, actinobacterium DP6 was identified as a strain of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00AB694B" w:rsidRPr="0008498C">
        <w:rPr>
          <w:rFonts w:ascii="Arial" w:eastAsia="Calibri" w:hAnsi="Arial" w:cs="Arial"/>
          <w:sz w:val="20"/>
          <w:szCs w:val="20"/>
        </w:rPr>
        <w:t>.</w:t>
      </w:r>
    </w:p>
    <w:p w14:paraId="51CBB687" w14:textId="77777777" w:rsidR="00AB694B" w:rsidRPr="0008498C" w:rsidRDefault="00232C57" w:rsidP="002C4F77">
      <w:pPr>
        <w:spacing w:line="240" w:lineRule="auto"/>
        <w:jc w:val="both"/>
        <w:rPr>
          <w:rFonts w:ascii="Arial" w:hAnsi="Arial" w:cs="Arial"/>
        </w:rPr>
      </w:pPr>
      <w:r w:rsidRPr="0008498C">
        <w:rPr>
          <w:rFonts w:ascii="Arial" w:hAnsi="Arial" w:cs="Arial"/>
          <w:b/>
        </w:rPr>
        <w:lastRenderedPageBreak/>
        <w:t xml:space="preserve">3.2 </w:t>
      </w:r>
      <w:r w:rsidR="00AB694B" w:rsidRPr="0008498C">
        <w:rPr>
          <w:rFonts w:ascii="Arial" w:hAnsi="Arial" w:cs="Arial"/>
          <w:b/>
        </w:rPr>
        <w:t>Optimization of pigment production</w:t>
      </w:r>
    </w:p>
    <w:p w14:paraId="0F26307D" w14:textId="77777777" w:rsidR="00AB694B" w:rsidRPr="0008498C" w:rsidRDefault="00AB694B" w:rsidP="002C4F77">
      <w:pPr>
        <w:spacing w:after="0" w:line="240" w:lineRule="auto"/>
        <w:jc w:val="both"/>
        <w:rPr>
          <w:rFonts w:ascii="Arial" w:hAnsi="Arial" w:cs="Arial"/>
          <w:color w:val="000000" w:themeColor="text1"/>
          <w:sz w:val="20"/>
          <w:szCs w:val="20"/>
        </w:rPr>
      </w:pPr>
      <w:r w:rsidRPr="0008498C">
        <w:rPr>
          <w:rFonts w:ascii="Arial" w:hAnsi="Arial" w:cs="Arial"/>
          <w:sz w:val="20"/>
          <w:szCs w:val="20"/>
        </w:rPr>
        <w:t xml:space="preserve">The production of violet pigment started on third day of incubation and continued to increase, and reached to its highest level at tenth day. The UV-VIS analysis of the samples obtained after every 24 h showed two constant peaks, one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404 nm and another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535 nm. </w:t>
      </w:r>
      <w:r w:rsidRPr="0008498C">
        <w:rPr>
          <w:rFonts w:ascii="Arial" w:hAnsi="Arial" w:cs="Arial"/>
          <w:sz w:val="20"/>
          <w:szCs w:val="20"/>
        </w:rPr>
        <w:t>To determine the effect of initial pH of the medium on production, fermentation was carried out over a range of pH 4.0- 8.0. The maximum pigment yield and growth (</w:t>
      </w:r>
      <w:r w:rsidRPr="0008498C">
        <w:rPr>
          <w:rFonts w:ascii="Arial" w:hAnsi="Arial" w:cs="Arial"/>
          <w:color w:val="000000" w:themeColor="text1"/>
          <w:sz w:val="20"/>
          <w:szCs w:val="20"/>
        </w:rPr>
        <w:t xml:space="preserve">2.92 g/l) </w:t>
      </w:r>
      <w:r w:rsidRPr="0008498C">
        <w:rPr>
          <w:rFonts w:ascii="Arial" w:hAnsi="Arial" w:cs="Arial"/>
          <w:sz w:val="20"/>
          <w:szCs w:val="20"/>
        </w:rPr>
        <w:t xml:space="preserve">was achieved at pH 5.0 </w:t>
      </w:r>
      <w:r w:rsidR="00A66D0C" w:rsidRPr="0008498C">
        <w:rPr>
          <w:rFonts w:ascii="Arial" w:hAnsi="Arial" w:cs="Arial"/>
          <w:sz w:val="20"/>
          <w:szCs w:val="20"/>
        </w:rPr>
        <w:t>and pH 6.0, respectively (Fig. 2</w:t>
      </w:r>
      <w:r w:rsidRPr="0008498C">
        <w:rPr>
          <w:rFonts w:ascii="Arial" w:hAnsi="Arial" w:cs="Arial"/>
          <w:sz w:val="20"/>
          <w:szCs w:val="20"/>
        </w:rPr>
        <w:t xml:space="preserve">a). The quality of the pigment varied with change of </w:t>
      </w:r>
      <w:proofErr w:type="spellStart"/>
      <w:r w:rsidRPr="0008498C">
        <w:rPr>
          <w:rFonts w:ascii="Arial" w:hAnsi="Arial" w:cs="Arial"/>
          <w:sz w:val="20"/>
          <w:szCs w:val="20"/>
        </w:rPr>
        <w:t>pH.</w:t>
      </w:r>
      <w:proofErr w:type="spellEnd"/>
      <w:r w:rsidRPr="0008498C">
        <w:rPr>
          <w:rFonts w:ascii="Arial" w:hAnsi="Arial" w:cs="Arial"/>
          <w:sz w:val="20"/>
          <w:szCs w:val="20"/>
        </w:rPr>
        <w:t xml:space="preserve">  Pink to violet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pigment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sz w:val="20"/>
          <w:szCs w:val="20"/>
        </w:rPr>
        <w:t xml:space="preserve"> 404 and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sz w:val="20"/>
          <w:szCs w:val="20"/>
        </w:rPr>
        <w:t xml:space="preserve"> 535 was produced at acidic pH (4.0-6.0) but higher pH supported the production of blue pigment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535 nm. In accordance to our results, Chatterjee </w:t>
      </w:r>
      <w:r w:rsidRPr="0008498C">
        <w:rPr>
          <w:rFonts w:ascii="Arial" w:hAnsi="Arial" w:cs="Arial"/>
          <w:i/>
          <w:color w:val="000000" w:themeColor="text1"/>
          <w:sz w:val="20"/>
          <w:szCs w:val="20"/>
        </w:rPr>
        <w:t>et al</w:t>
      </w:r>
      <w:r w:rsidRPr="0008498C">
        <w:rPr>
          <w:rFonts w:ascii="Arial" w:hAnsi="Arial" w:cs="Arial"/>
          <w:color w:val="000000" w:themeColor="text1"/>
          <w:sz w:val="20"/>
          <w:szCs w:val="20"/>
        </w:rPr>
        <w:t xml:space="preserve">. </w:t>
      </w:r>
      <w:r w:rsidR="00C80E72" w:rsidRPr="0008498C">
        <w:rPr>
          <w:rFonts w:ascii="Arial" w:hAnsi="Arial" w:cs="Arial"/>
          <w:color w:val="000000" w:themeColor="text1"/>
          <w:sz w:val="20"/>
          <w:szCs w:val="20"/>
        </w:rPr>
        <w:t xml:space="preserve"> (2009) </w:t>
      </w:r>
      <w:r w:rsidRPr="0008498C">
        <w:rPr>
          <w:rFonts w:ascii="Arial" w:hAnsi="Arial" w:cs="Arial"/>
          <w:color w:val="000000" w:themeColor="text1"/>
          <w:sz w:val="20"/>
          <w:szCs w:val="20"/>
        </w:rPr>
        <w:t xml:space="preserve">also reported the influence of initial pH of the fermentation medium on quality of the pigment produced by </w:t>
      </w:r>
      <w:proofErr w:type="spellStart"/>
      <w:r w:rsidRPr="0008498C">
        <w:rPr>
          <w:rFonts w:ascii="Arial" w:hAnsi="Arial" w:cs="Arial"/>
          <w:i/>
          <w:sz w:val="20"/>
          <w:szCs w:val="20"/>
        </w:rPr>
        <w:t>Monascus</w:t>
      </w:r>
      <w:proofErr w:type="spellEnd"/>
      <w:r w:rsidRPr="0008498C">
        <w:rPr>
          <w:rFonts w:ascii="Arial" w:hAnsi="Arial" w:cs="Arial"/>
          <w:i/>
          <w:sz w:val="20"/>
          <w:szCs w:val="20"/>
        </w:rPr>
        <w:t xml:space="preserve"> </w:t>
      </w:r>
      <w:proofErr w:type="spellStart"/>
      <w:r w:rsidRPr="0008498C">
        <w:rPr>
          <w:rFonts w:ascii="Arial" w:hAnsi="Arial" w:cs="Arial"/>
          <w:i/>
          <w:sz w:val="20"/>
          <w:szCs w:val="20"/>
        </w:rPr>
        <w:t>purpureus</w:t>
      </w:r>
      <w:proofErr w:type="spellEnd"/>
      <w:r w:rsidR="00C80E72" w:rsidRPr="0008498C">
        <w:rPr>
          <w:rFonts w:ascii="Arial" w:hAnsi="Arial" w:cs="Arial"/>
          <w:sz w:val="20"/>
          <w:szCs w:val="20"/>
        </w:rPr>
        <w:t xml:space="preserve">. </w:t>
      </w:r>
      <w:r w:rsidRPr="0008498C">
        <w:rPr>
          <w:rFonts w:ascii="Arial" w:hAnsi="Arial" w:cs="Arial"/>
          <w:sz w:val="20"/>
          <w:szCs w:val="20"/>
        </w:rPr>
        <w:t>They obtained more yellow pigment (</w:t>
      </w:r>
      <w:proofErr w:type="spellStart"/>
      <w:r w:rsidRPr="0008498C">
        <w:rPr>
          <w:rFonts w:ascii="Arial" w:hAnsi="Arial" w:cs="Arial"/>
          <w:sz w:val="20"/>
          <w:szCs w:val="20"/>
        </w:rPr>
        <w:t>λ</w:t>
      </w:r>
      <w:r w:rsidRPr="0008498C">
        <w:rPr>
          <w:rFonts w:ascii="Arial" w:hAnsi="Arial" w:cs="Arial"/>
          <w:sz w:val="20"/>
          <w:szCs w:val="20"/>
          <w:vertAlign w:val="subscript"/>
        </w:rPr>
        <w:t>max</w:t>
      </w:r>
      <w:proofErr w:type="spellEnd"/>
      <w:r w:rsidRPr="0008498C">
        <w:rPr>
          <w:rFonts w:ascii="Arial" w:hAnsi="Arial" w:cs="Arial"/>
          <w:sz w:val="20"/>
          <w:szCs w:val="20"/>
        </w:rPr>
        <w:t xml:space="preserve"> 400 nm) at acidic pH (2.0- 4.0), whereas</w:t>
      </w:r>
      <w:r w:rsidRPr="0008498C">
        <w:rPr>
          <w:rFonts w:ascii="Arial" w:hAnsi="Arial" w:cs="Arial"/>
          <w:color w:val="000000" w:themeColor="text1"/>
          <w:sz w:val="20"/>
          <w:szCs w:val="20"/>
        </w:rPr>
        <w:t xml:space="preserve"> at higher pH (6.0- 8.0) the red pigment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500 nm) was dominating. The orange fraction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480 nm) maintained steadily irrespective of pH condition. </w:t>
      </w:r>
    </w:p>
    <w:p w14:paraId="471EDDE9" w14:textId="77777777" w:rsidR="000B7EB4" w:rsidRDefault="000B7EB4" w:rsidP="000B7EB4">
      <w:pPr>
        <w:autoSpaceDE w:val="0"/>
        <w:autoSpaceDN w:val="0"/>
        <w:adjustRightInd w:val="0"/>
        <w:spacing w:before="240" w:after="0" w:line="240" w:lineRule="auto"/>
        <w:jc w:val="both"/>
        <w:rPr>
          <w:rFonts w:ascii="Arial" w:hAnsi="Arial" w:cs="Arial"/>
          <w:color w:val="000000" w:themeColor="text1"/>
          <w:sz w:val="20"/>
          <w:szCs w:val="20"/>
        </w:rPr>
      </w:pPr>
      <w:r w:rsidRPr="0008498C">
        <w:rPr>
          <w:rFonts w:ascii="Arial" w:hAnsi="Arial" w:cs="Arial"/>
          <w:sz w:val="20"/>
          <w:szCs w:val="20"/>
        </w:rPr>
        <w:t>Temperature plays a vital role in cell metabolism, thus influencing pigment production</w:t>
      </w:r>
      <w:r w:rsidR="00C80E72" w:rsidRPr="0008498C">
        <w:rPr>
          <w:rFonts w:ascii="Arial" w:hAnsi="Arial" w:cs="Arial"/>
          <w:sz w:val="20"/>
          <w:szCs w:val="20"/>
        </w:rPr>
        <w:t xml:space="preserve"> (Chatterjee et al., 2009).</w:t>
      </w:r>
      <w:r w:rsidRPr="0008498C">
        <w:rPr>
          <w:rFonts w:ascii="Arial" w:hAnsi="Arial" w:cs="Arial"/>
          <w:sz w:val="20"/>
          <w:szCs w:val="20"/>
        </w:rPr>
        <w:t xml:space="preserve"> The maximum pigment and biomass production (1.3 g/l) from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DP6 was recorded at 30</w:t>
      </w:r>
      <w:r w:rsidRPr="0008498C">
        <w:rPr>
          <w:rFonts w:ascii="Arial" w:hAnsi="Arial" w:cs="Arial"/>
          <w:sz w:val="20"/>
          <w:szCs w:val="20"/>
        </w:rPr>
        <w:t>ºC and rate of production was reduced as the temperature increased. No pigment was produced at 40 ºC (</w:t>
      </w:r>
      <w:r w:rsidR="00C80E72" w:rsidRPr="0008498C">
        <w:rPr>
          <w:rFonts w:ascii="Arial" w:hAnsi="Arial" w:cs="Arial"/>
          <w:sz w:val="20"/>
          <w:szCs w:val="20"/>
        </w:rPr>
        <w:t>Fig. 2</w:t>
      </w:r>
      <w:r w:rsidRPr="0008498C">
        <w:rPr>
          <w:rFonts w:ascii="Arial" w:hAnsi="Arial" w:cs="Arial"/>
          <w:sz w:val="20"/>
          <w:szCs w:val="20"/>
        </w:rPr>
        <w:t xml:space="preserve">b). Variation in temperature did not affect the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of the pigment. To check the influence of agitation on growth and pigment production,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 xml:space="preserve">DP6 was grown at various agitation rates. The pigment yield and growth varied at different agitation rates </w:t>
      </w:r>
      <w:r w:rsidR="00C80E72" w:rsidRPr="0008498C">
        <w:rPr>
          <w:rFonts w:ascii="Arial" w:hAnsi="Arial" w:cs="Arial"/>
          <w:sz w:val="20"/>
          <w:szCs w:val="20"/>
        </w:rPr>
        <w:t>(Fig. 3</w:t>
      </w:r>
      <w:r w:rsidRPr="0008498C">
        <w:rPr>
          <w:rFonts w:ascii="Arial" w:hAnsi="Arial" w:cs="Arial"/>
          <w:sz w:val="20"/>
          <w:szCs w:val="20"/>
        </w:rPr>
        <w:t>).</w:t>
      </w:r>
      <w:r w:rsidRPr="0008498C">
        <w:rPr>
          <w:rFonts w:ascii="Arial" w:hAnsi="Arial" w:cs="Arial"/>
          <w:color w:val="000000" w:themeColor="text1"/>
          <w:sz w:val="20"/>
          <w:szCs w:val="20"/>
        </w:rPr>
        <w:t xml:space="preserve"> The highest growth (1.3 g/l) and pigment production was obtained at 160 rpm and reduced thereafter with further increase in agitation. The highest levels of violacein (violet pigment) from </w:t>
      </w:r>
      <w:proofErr w:type="spellStart"/>
      <w:r w:rsidRPr="0008498C">
        <w:rPr>
          <w:rFonts w:ascii="Arial" w:hAnsi="Arial" w:cs="Arial"/>
          <w:i/>
          <w:color w:val="000000" w:themeColor="text1"/>
          <w:sz w:val="20"/>
          <w:szCs w:val="20"/>
        </w:rPr>
        <w:t>Pseudoalteromonas</w:t>
      </w:r>
      <w:proofErr w:type="spellEnd"/>
      <w:r w:rsidRPr="0008498C">
        <w:rPr>
          <w:rFonts w:ascii="Arial" w:hAnsi="Arial" w:cs="Arial"/>
          <w:i/>
          <w:color w:val="000000" w:themeColor="text1"/>
          <w:sz w:val="20"/>
          <w:szCs w:val="20"/>
        </w:rPr>
        <w:t xml:space="preserve"> </w:t>
      </w:r>
      <w:proofErr w:type="spellStart"/>
      <w:r w:rsidRPr="0008498C">
        <w:rPr>
          <w:rFonts w:ascii="Arial" w:hAnsi="Arial" w:cs="Arial"/>
          <w:i/>
          <w:color w:val="000000" w:themeColor="text1"/>
          <w:sz w:val="20"/>
          <w:szCs w:val="20"/>
        </w:rPr>
        <w:t>luteoviolacea</w:t>
      </w:r>
      <w:proofErr w:type="spellEnd"/>
      <w:r w:rsidRPr="0008498C">
        <w:rPr>
          <w:rFonts w:ascii="Arial" w:hAnsi="Arial" w:cs="Arial"/>
          <w:i/>
          <w:color w:val="000000" w:themeColor="text1"/>
          <w:sz w:val="20"/>
          <w:szCs w:val="20"/>
        </w:rPr>
        <w:t xml:space="preserve"> </w:t>
      </w:r>
      <w:r w:rsidRPr="0008498C">
        <w:rPr>
          <w:rFonts w:ascii="Arial" w:hAnsi="Arial" w:cs="Arial"/>
          <w:color w:val="000000" w:themeColor="text1"/>
          <w:sz w:val="20"/>
          <w:szCs w:val="20"/>
        </w:rPr>
        <w:t>under static conditions and decrease in yield with the increase of agitation speed (Yang et al., 2007).</w:t>
      </w:r>
    </w:p>
    <w:p w14:paraId="06341DD2" w14:textId="77777777" w:rsidR="001E41E7" w:rsidRPr="0008498C" w:rsidRDefault="001E41E7" w:rsidP="000B7EB4">
      <w:pPr>
        <w:autoSpaceDE w:val="0"/>
        <w:autoSpaceDN w:val="0"/>
        <w:adjustRightInd w:val="0"/>
        <w:spacing w:before="240" w:after="0" w:line="240" w:lineRule="auto"/>
        <w:jc w:val="both"/>
        <w:rPr>
          <w:rFonts w:ascii="Arial" w:hAnsi="Arial" w:cs="Arial"/>
          <w:color w:val="000000" w:themeColor="text1"/>
          <w:sz w:val="20"/>
          <w:szCs w:val="20"/>
        </w:rPr>
      </w:pPr>
    </w:p>
    <w:p w14:paraId="1868C387" w14:textId="77777777" w:rsidR="000B7EB4" w:rsidRPr="0008498C" w:rsidRDefault="000B7EB4" w:rsidP="002C4F77">
      <w:pPr>
        <w:spacing w:after="0" w:line="240" w:lineRule="auto"/>
        <w:jc w:val="both"/>
        <w:rPr>
          <w:rFonts w:ascii="Arial" w:hAnsi="Arial" w:cs="Arial"/>
          <w:color w:val="000000" w:themeColor="text1"/>
          <w:sz w:val="20"/>
          <w:szCs w:val="20"/>
        </w:rPr>
      </w:pPr>
    </w:p>
    <w:p w14:paraId="0621DB67" w14:textId="77777777" w:rsidR="00C35074" w:rsidRPr="0008498C" w:rsidRDefault="00715A40" w:rsidP="00C35074">
      <w:pPr>
        <w:spacing w:after="0" w:line="240" w:lineRule="auto"/>
        <w:ind w:hanging="426"/>
        <w:jc w:val="both"/>
        <w:rPr>
          <w:rFonts w:ascii="Arial" w:hAnsi="Arial" w:cs="Arial"/>
          <w:sz w:val="20"/>
          <w:szCs w:val="20"/>
        </w:rPr>
      </w:pPr>
      <w:r w:rsidRPr="0008498C">
        <w:rPr>
          <w:rFonts w:ascii="Arial" w:hAnsi="Arial" w:cs="Arial"/>
          <w:noProof/>
          <w:sz w:val="20"/>
          <w:szCs w:val="20"/>
          <w:lang w:eastAsia="en-IN"/>
        </w:rPr>
        <w:drawing>
          <wp:inline distT="0" distB="0" distL="0" distR="0" wp14:anchorId="3CB73C10" wp14:editId="5C8808F4">
            <wp:extent cx="3095625" cy="2537378"/>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8498C">
        <w:rPr>
          <w:noProof/>
          <w:lang w:eastAsia="en-IN"/>
        </w:rPr>
        <w:t xml:space="preserve">      </w:t>
      </w:r>
      <w:r w:rsidRPr="0008498C">
        <w:rPr>
          <w:rFonts w:ascii="Arial" w:hAnsi="Arial" w:cs="Arial"/>
          <w:noProof/>
          <w:sz w:val="20"/>
          <w:szCs w:val="20"/>
          <w:lang w:eastAsia="en-IN"/>
        </w:rPr>
        <w:drawing>
          <wp:inline distT="0" distB="0" distL="0" distR="0" wp14:anchorId="69CC5BFE" wp14:editId="5FF219EE">
            <wp:extent cx="2962275" cy="2765977"/>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EAAB39" w14:textId="77777777" w:rsidR="00715A40" w:rsidRPr="0008498C" w:rsidRDefault="00715A40" w:rsidP="00C35074">
      <w:pPr>
        <w:spacing w:after="0" w:line="240" w:lineRule="auto"/>
        <w:jc w:val="both"/>
        <w:rPr>
          <w:rFonts w:ascii="Arial" w:hAnsi="Arial" w:cs="Arial"/>
          <w:b/>
          <w:sz w:val="20"/>
          <w:szCs w:val="20"/>
        </w:rPr>
      </w:pPr>
    </w:p>
    <w:p w14:paraId="54B79B5F" w14:textId="77777777" w:rsidR="00715A40" w:rsidRPr="0008498C" w:rsidRDefault="00715A40" w:rsidP="00C35074">
      <w:pPr>
        <w:spacing w:after="0" w:line="240" w:lineRule="auto"/>
        <w:jc w:val="both"/>
        <w:rPr>
          <w:rFonts w:ascii="Arial" w:hAnsi="Arial" w:cs="Arial"/>
          <w:b/>
          <w:sz w:val="20"/>
          <w:szCs w:val="20"/>
        </w:rPr>
      </w:pPr>
    </w:p>
    <w:p w14:paraId="22D07A68" w14:textId="77777777" w:rsidR="00C35074" w:rsidRPr="0008498C" w:rsidRDefault="00C35074" w:rsidP="00C35074">
      <w:pPr>
        <w:spacing w:after="0" w:line="240" w:lineRule="auto"/>
        <w:jc w:val="both"/>
        <w:rPr>
          <w:rFonts w:ascii="Arial" w:hAnsi="Arial" w:cs="Arial"/>
          <w:sz w:val="20"/>
          <w:szCs w:val="20"/>
        </w:rPr>
      </w:pPr>
      <w:r w:rsidRPr="0008498C">
        <w:rPr>
          <w:rFonts w:ascii="Arial" w:hAnsi="Arial" w:cs="Arial"/>
          <w:b/>
          <w:sz w:val="20"/>
          <w:szCs w:val="20"/>
        </w:rPr>
        <w:t>Fig</w:t>
      </w:r>
      <w:r w:rsidR="00C80E72" w:rsidRPr="0008498C">
        <w:rPr>
          <w:rFonts w:ascii="Arial" w:hAnsi="Arial" w:cs="Arial"/>
          <w:b/>
          <w:sz w:val="20"/>
          <w:szCs w:val="20"/>
        </w:rPr>
        <w:t>.</w:t>
      </w:r>
      <w:r w:rsidRPr="0008498C">
        <w:rPr>
          <w:rFonts w:ascii="Arial" w:hAnsi="Arial" w:cs="Arial"/>
          <w:b/>
          <w:sz w:val="20"/>
          <w:szCs w:val="20"/>
        </w:rPr>
        <w:t xml:space="preserve"> 2</w:t>
      </w:r>
      <w:r w:rsidR="00C80E72" w:rsidRPr="0008498C">
        <w:rPr>
          <w:rFonts w:ascii="Arial" w:hAnsi="Arial" w:cs="Arial"/>
          <w:b/>
          <w:sz w:val="20"/>
          <w:szCs w:val="20"/>
        </w:rPr>
        <w:t>.</w:t>
      </w:r>
      <w:r w:rsidRPr="0008498C">
        <w:rPr>
          <w:rFonts w:ascii="Arial" w:hAnsi="Arial" w:cs="Arial"/>
          <w:b/>
          <w:sz w:val="20"/>
          <w:szCs w:val="20"/>
        </w:rPr>
        <w:t xml:space="preserve"> Effect of pigment production and mycelial </w:t>
      </w:r>
      <w:r w:rsidR="00C80E72" w:rsidRPr="0008498C">
        <w:rPr>
          <w:rFonts w:ascii="Arial" w:hAnsi="Arial" w:cs="Arial"/>
          <w:b/>
          <w:sz w:val="20"/>
          <w:szCs w:val="20"/>
        </w:rPr>
        <w:t xml:space="preserve">growth (a) Initial pH of medium (b) </w:t>
      </w:r>
      <w:r w:rsidRPr="0008498C">
        <w:rPr>
          <w:rFonts w:ascii="Arial" w:hAnsi="Arial" w:cs="Arial"/>
          <w:b/>
          <w:sz w:val="20"/>
          <w:szCs w:val="20"/>
        </w:rPr>
        <w:t>Incubation temperature</w:t>
      </w:r>
      <w:r w:rsidRPr="0008498C">
        <w:rPr>
          <w:rFonts w:ascii="Arial" w:hAnsi="Arial" w:cs="Arial"/>
          <w:sz w:val="20"/>
          <w:szCs w:val="20"/>
        </w:rPr>
        <w:t xml:space="preserve"> </w:t>
      </w:r>
    </w:p>
    <w:p w14:paraId="32F4BB07" w14:textId="77777777" w:rsidR="00C35074" w:rsidRPr="0008498C" w:rsidRDefault="00C35074" w:rsidP="002C4F77">
      <w:pPr>
        <w:spacing w:after="0" w:line="240" w:lineRule="auto"/>
        <w:jc w:val="both"/>
        <w:rPr>
          <w:rFonts w:ascii="Arial" w:hAnsi="Arial" w:cs="Arial"/>
          <w:sz w:val="20"/>
          <w:szCs w:val="20"/>
        </w:rPr>
      </w:pPr>
    </w:p>
    <w:p w14:paraId="71B7CDD0" w14:textId="77777777" w:rsidR="00C35074" w:rsidRPr="0008498C" w:rsidRDefault="00AA1CAD" w:rsidP="00AA1CAD">
      <w:pPr>
        <w:autoSpaceDE w:val="0"/>
        <w:autoSpaceDN w:val="0"/>
        <w:adjustRightInd w:val="0"/>
        <w:spacing w:before="240" w:after="0" w:line="240" w:lineRule="auto"/>
        <w:jc w:val="center"/>
        <w:rPr>
          <w:rFonts w:ascii="Arial" w:hAnsi="Arial" w:cs="Arial"/>
          <w:color w:val="000000" w:themeColor="text1"/>
          <w:sz w:val="20"/>
          <w:szCs w:val="20"/>
        </w:rPr>
      </w:pPr>
      <w:r w:rsidRPr="0008498C">
        <w:rPr>
          <w:noProof/>
          <w:lang w:eastAsia="en-IN"/>
        </w:rPr>
        <w:lastRenderedPageBreak/>
        <w:drawing>
          <wp:inline distT="0" distB="0" distL="0" distR="0" wp14:anchorId="65D9A68F" wp14:editId="69D7B9C0">
            <wp:extent cx="3371215" cy="234315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86588" cy="2353835"/>
                    </a:xfrm>
                    <a:prstGeom prst="rect">
                      <a:avLst/>
                    </a:prstGeom>
                  </pic:spPr>
                </pic:pic>
              </a:graphicData>
            </a:graphic>
          </wp:inline>
        </w:drawing>
      </w:r>
    </w:p>
    <w:p w14:paraId="335F8F56" w14:textId="77777777" w:rsidR="00C35074" w:rsidRPr="0008498C" w:rsidRDefault="00C35074" w:rsidP="00C35074">
      <w:pPr>
        <w:autoSpaceDE w:val="0"/>
        <w:autoSpaceDN w:val="0"/>
        <w:adjustRightInd w:val="0"/>
        <w:spacing w:before="240" w:after="0" w:line="240" w:lineRule="auto"/>
        <w:jc w:val="both"/>
        <w:rPr>
          <w:rFonts w:ascii="Arial" w:hAnsi="Arial" w:cs="Arial"/>
          <w:b/>
          <w:color w:val="000000" w:themeColor="text1"/>
          <w:sz w:val="20"/>
          <w:szCs w:val="20"/>
        </w:rPr>
      </w:pPr>
      <w:r w:rsidRPr="0008498C">
        <w:rPr>
          <w:rFonts w:ascii="Arial" w:hAnsi="Arial" w:cs="Arial"/>
          <w:b/>
          <w:color w:val="000000" w:themeColor="text1"/>
          <w:sz w:val="20"/>
          <w:szCs w:val="20"/>
        </w:rPr>
        <w:t>Fig</w:t>
      </w:r>
      <w:r w:rsidR="00C80E72" w:rsidRPr="0008498C">
        <w:rPr>
          <w:rFonts w:ascii="Arial" w:hAnsi="Arial" w:cs="Arial"/>
          <w:b/>
          <w:color w:val="000000" w:themeColor="text1"/>
          <w:sz w:val="20"/>
          <w:szCs w:val="20"/>
        </w:rPr>
        <w:t>.</w:t>
      </w:r>
      <w:r w:rsidRPr="0008498C">
        <w:rPr>
          <w:rFonts w:ascii="Arial" w:hAnsi="Arial" w:cs="Arial"/>
          <w:b/>
          <w:color w:val="000000" w:themeColor="text1"/>
          <w:sz w:val="20"/>
          <w:szCs w:val="20"/>
        </w:rPr>
        <w:t xml:space="preserve"> </w:t>
      </w:r>
      <w:r w:rsidR="00C80E72" w:rsidRPr="0008498C">
        <w:rPr>
          <w:rFonts w:ascii="Arial" w:hAnsi="Arial" w:cs="Arial"/>
          <w:b/>
          <w:color w:val="000000" w:themeColor="text1"/>
          <w:sz w:val="20"/>
          <w:szCs w:val="20"/>
        </w:rPr>
        <w:t xml:space="preserve">3. </w:t>
      </w:r>
      <w:r w:rsidRPr="0008498C">
        <w:rPr>
          <w:rFonts w:ascii="Arial" w:hAnsi="Arial" w:cs="Arial"/>
          <w:b/>
          <w:color w:val="000000" w:themeColor="text1"/>
          <w:sz w:val="20"/>
          <w:szCs w:val="20"/>
        </w:rPr>
        <w:t xml:space="preserve">Effect of agitation on the pigment production and mycelial growth </w:t>
      </w:r>
    </w:p>
    <w:p w14:paraId="740AA9EF" w14:textId="77777777" w:rsidR="00AB694B" w:rsidRPr="0008498C" w:rsidRDefault="00232C57" w:rsidP="002C4F77">
      <w:pPr>
        <w:spacing w:before="240" w:line="240" w:lineRule="auto"/>
        <w:jc w:val="both"/>
        <w:rPr>
          <w:rFonts w:ascii="Arial" w:hAnsi="Arial" w:cs="Arial"/>
          <w:b/>
        </w:rPr>
      </w:pPr>
      <w:r w:rsidRPr="0008498C">
        <w:rPr>
          <w:rFonts w:ascii="Arial" w:hAnsi="Arial" w:cs="Arial"/>
          <w:b/>
        </w:rPr>
        <w:t xml:space="preserve">3.3 </w:t>
      </w:r>
      <w:r w:rsidR="00AB694B" w:rsidRPr="0008498C">
        <w:rPr>
          <w:rFonts w:ascii="Arial" w:hAnsi="Arial" w:cs="Arial"/>
          <w:b/>
        </w:rPr>
        <w:t>pH sensitivity and photochem</w:t>
      </w:r>
      <w:r w:rsidRPr="0008498C">
        <w:rPr>
          <w:rFonts w:ascii="Arial" w:hAnsi="Arial" w:cs="Arial"/>
          <w:b/>
        </w:rPr>
        <w:t>ical degradation of the pigment</w:t>
      </w:r>
    </w:p>
    <w:p w14:paraId="582631E8" w14:textId="77777777" w:rsidR="00AB694B" w:rsidRPr="0008498C" w:rsidRDefault="00AB694B" w:rsidP="002C4F77">
      <w:pPr>
        <w:spacing w:line="240" w:lineRule="auto"/>
        <w:jc w:val="both"/>
        <w:rPr>
          <w:rFonts w:ascii="Arial" w:hAnsi="Arial" w:cs="Arial"/>
          <w:color w:val="FF0000"/>
          <w:sz w:val="20"/>
          <w:szCs w:val="20"/>
        </w:rPr>
      </w:pPr>
      <w:r w:rsidRPr="0008498C">
        <w:rPr>
          <w:rFonts w:ascii="Arial" w:hAnsi="Arial" w:cs="Arial"/>
          <w:color w:val="000000" w:themeColor="text1"/>
          <w:sz w:val="20"/>
          <w:szCs w:val="20"/>
        </w:rPr>
        <w:t xml:space="preserve">The pigment isolated from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 xml:space="preserve">DP6 was found to be very sensitive to pH change </w:t>
      </w:r>
      <w:r w:rsidRPr="0008498C">
        <w:rPr>
          <w:rFonts w:ascii="Arial" w:eastAsia="Calibri" w:hAnsi="Arial" w:cs="Arial"/>
          <w:color w:val="000000" w:themeColor="text1"/>
          <w:sz w:val="20"/>
          <w:szCs w:val="20"/>
        </w:rPr>
        <w:t>(Fig. S2)</w:t>
      </w:r>
      <w:r w:rsidRPr="0008498C">
        <w:rPr>
          <w:rFonts w:ascii="Arial" w:hAnsi="Arial" w:cs="Arial"/>
          <w:color w:val="000000" w:themeColor="text1"/>
          <w:sz w:val="20"/>
          <w:szCs w:val="20"/>
        </w:rPr>
        <w:t xml:space="preserve">. 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of the pigment changed according to the variation in the pH of the supernatant along with change in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as follows; at pH 2-6, pink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532- 235</w:t>
      </w:r>
      <w:r w:rsidRPr="0008498C">
        <w:rPr>
          <w:rFonts w:ascii="Arial" w:eastAsia="Calibri" w:hAnsi="Arial" w:cs="Arial"/>
          <w:color w:val="000000" w:themeColor="text1"/>
          <w:sz w:val="20"/>
          <w:szCs w:val="20"/>
        </w:rPr>
        <w:t xml:space="preserve"> nm); pH 6, light violet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w:t>
      </w:r>
      <w:r w:rsidRPr="0008498C">
        <w:rPr>
          <w:rFonts w:ascii="Arial" w:eastAsia="Calibri" w:hAnsi="Arial" w:cs="Arial"/>
          <w:color w:val="000000" w:themeColor="text1"/>
          <w:sz w:val="20"/>
          <w:szCs w:val="20"/>
        </w:rPr>
        <w:t>5 nm); pH 7, violet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57</w:t>
      </w:r>
      <w:r w:rsidRPr="0008498C">
        <w:rPr>
          <w:rFonts w:ascii="Arial" w:eastAsia="Calibri" w:hAnsi="Arial" w:cs="Arial"/>
          <w:color w:val="000000" w:themeColor="text1"/>
          <w:sz w:val="20"/>
          <w:szCs w:val="20"/>
        </w:rPr>
        <w:t>5 nm); pH 8, pale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579</w:t>
      </w:r>
      <w:r w:rsidRPr="0008498C">
        <w:rPr>
          <w:rFonts w:ascii="Arial" w:eastAsia="Calibri" w:hAnsi="Arial" w:cs="Arial"/>
          <w:color w:val="000000" w:themeColor="text1"/>
          <w:sz w:val="20"/>
          <w:szCs w:val="20"/>
        </w:rPr>
        <w:t xml:space="preserve"> nm); pH 10,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591</w:t>
      </w:r>
      <w:r w:rsidRPr="0008498C">
        <w:rPr>
          <w:rFonts w:ascii="Arial" w:eastAsia="Calibri" w:hAnsi="Arial" w:cs="Arial"/>
          <w:color w:val="000000" w:themeColor="text1"/>
          <w:sz w:val="20"/>
          <w:szCs w:val="20"/>
        </w:rPr>
        <w:t xml:space="preserve"> nm) and pH 12,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eastAsia="Calibri" w:hAnsi="Arial" w:cs="Arial"/>
          <w:color w:val="000000" w:themeColor="text1"/>
          <w:sz w:val="20"/>
          <w:szCs w:val="20"/>
        </w:rPr>
        <w:t xml:space="preserve">610 nm). Similar observation was reported for the anthocyanin pigments, widely used as food colorant, in that they are highly </w:t>
      </w:r>
      <w:proofErr w:type="spellStart"/>
      <w:r w:rsidRPr="0008498C">
        <w:rPr>
          <w:rFonts w:ascii="Arial" w:eastAsia="Calibri" w:hAnsi="Arial" w:cs="Arial"/>
          <w:color w:val="000000" w:themeColor="text1"/>
          <w:sz w:val="20"/>
          <w:szCs w:val="20"/>
        </w:rPr>
        <w:t>colored</w:t>
      </w:r>
      <w:proofErr w:type="spellEnd"/>
      <w:r w:rsidRPr="0008498C">
        <w:rPr>
          <w:rFonts w:ascii="Arial" w:eastAsia="Calibri" w:hAnsi="Arial" w:cs="Arial"/>
          <w:color w:val="000000" w:themeColor="text1"/>
          <w:sz w:val="20"/>
          <w:szCs w:val="20"/>
        </w:rPr>
        <w:t xml:space="preserve"> at pH values from 4-6 but alm</w:t>
      </w:r>
      <w:r w:rsidR="00BA4607" w:rsidRPr="0008498C">
        <w:rPr>
          <w:rFonts w:ascii="Arial" w:eastAsia="Calibri" w:hAnsi="Arial" w:cs="Arial"/>
          <w:color w:val="000000" w:themeColor="text1"/>
          <w:sz w:val="20"/>
          <w:szCs w:val="20"/>
        </w:rPr>
        <w:t>o</w:t>
      </w:r>
      <w:r w:rsidR="00D8669A" w:rsidRPr="0008498C">
        <w:rPr>
          <w:rFonts w:ascii="Arial" w:eastAsia="Calibri" w:hAnsi="Arial" w:cs="Arial"/>
          <w:color w:val="000000" w:themeColor="text1"/>
          <w:sz w:val="20"/>
          <w:szCs w:val="20"/>
        </w:rPr>
        <w:t xml:space="preserve">st </w:t>
      </w:r>
      <w:proofErr w:type="spellStart"/>
      <w:r w:rsidR="00D8669A" w:rsidRPr="0008498C">
        <w:rPr>
          <w:rFonts w:ascii="Arial" w:eastAsia="Calibri" w:hAnsi="Arial" w:cs="Arial"/>
          <w:color w:val="000000" w:themeColor="text1"/>
          <w:sz w:val="20"/>
          <w:szCs w:val="20"/>
        </w:rPr>
        <w:t>colorless</w:t>
      </w:r>
      <w:proofErr w:type="spellEnd"/>
      <w:r w:rsidR="00D8669A" w:rsidRPr="0008498C">
        <w:rPr>
          <w:rFonts w:ascii="Arial" w:eastAsia="Calibri" w:hAnsi="Arial" w:cs="Arial"/>
          <w:color w:val="000000" w:themeColor="text1"/>
          <w:sz w:val="20"/>
          <w:szCs w:val="20"/>
        </w:rPr>
        <w:t xml:space="preserve"> at high pH values (Carlsen &amp; Stapelfeldt,1997) </w:t>
      </w:r>
      <w:r w:rsidRPr="0008498C">
        <w:rPr>
          <w:rFonts w:ascii="Arial" w:eastAsia="Calibri" w:hAnsi="Arial" w:cs="Arial"/>
          <w:color w:val="000000" w:themeColor="text1"/>
          <w:sz w:val="20"/>
          <w:szCs w:val="20"/>
        </w:rPr>
        <w:t xml:space="preserve">Similarly, the </w:t>
      </w:r>
      <w:proofErr w:type="spellStart"/>
      <w:r w:rsidRPr="0008498C">
        <w:rPr>
          <w:rFonts w:ascii="Arial" w:eastAsia="Calibri" w:hAnsi="Arial" w:cs="Arial"/>
          <w:color w:val="000000" w:themeColor="text1"/>
          <w:sz w:val="20"/>
          <w:szCs w:val="20"/>
        </w:rPr>
        <w:t>color</w:t>
      </w:r>
      <w:proofErr w:type="spellEnd"/>
      <w:r w:rsidRPr="0008498C">
        <w:rPr>
          <w:rFonts w:ascii="Arial" w:eastAsia="Calibri" w:hAnsi="Arial" w:cs="Arial"/>
          <w:color w:val="000000" w:themeColor="text1"/>
          <w:sz w:val="20"/>
          <w:szCs w:val="20"/>
        </w:rPr>
        <w:t xml:space="preserve"> of the pigment from </w:t>
      </w:r>
      <w:proofErr w:type="spellStart"/>
      <w:r w:rsidRPr="0008498C">
        <w:rPr>
          <w:rFonts w:ascii="Arial" w:eastAsia="Calibri" w:hAnsi="Arial" w:cs="Arial"/>
          <w:i/>
          <w:color w:val="000000" w:themeColor="text1"/>
          <w:sz w:val="20"/>
          <w:szCs w:val="20"/>
        </w:rPr>
        <w:t>Paecilomyces</w:t>
      </w:r>
      <w:proofErr w:type="spellEnd"/>
      <w:r w:rsidRPr="0008498C">
        <w:rPr>
          <w:rFonts w:ascii="Arial" w:eastAsia="Calibri" w:hAnsi="Arial" w:cs="Arial"/>
          <w:i/>
          <w:color w:val="000000" w:themeColor="text1"/>
          <w:sz w:val="20"/>
          <w:szCs w:val="20"/>
        </w:rPr>
        <w:t xml:space="preserve"> </w:t>
      </w:r>
      <w:proofErr w:type="spellStart"/>
      <w:r w:rsidRPr="0008498C">
        <w:rPr>
          <w:rFonts w:ascii="Arial" w:eastAsia="Calibri" w:hAnsi="Arial" w:cs="Arial"/>
          <w:i/>
          <w:color w:val="000000" w:themeColor="text1"/>
          <w:sz w:val="20"/>
          <w:szCs w:val="20"/>
        </w:rPr>
        <w:t>sinclairii</w:t>
      </w:r>
      <w:proofErr w:type="spellEnd"/>
      <w:r w:rsidRPr="0008498C">
        <w:rPr>
          <w:rFonts w:ascii="Arial" w:eastAsia="Calibri" w:hAnsi="Arial" w:cs="Arial"/>
          <w:color w:val="000000" w:themeColor="text1"/>
          <w:sz w:val="20"/>
          <w:szCs w:val="20"/>
        </w:rPr>
        <w:t xml:space="preserve"> was found to be dependent on pH of the solution; red at pH 3- 4 (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500, 507</w:t>
      </w:r>
      <w:r w:rsidRPr="0008498C">
        <w:rPr>
          <w:rFonts w:ascii="Arial" w:eastAsia="Calibri" w:hAnsi="Arial" w:cs="Arial"/>
          <w:color w:val="000000" w:themeColor="text1"/>
          <w:sz w:val="20"/>
          <w:szCs w:val="20"/>
        </w:rPr>
        <w:t xml:space="preserve"> nm); violet at pH 5-7 (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522, 526, 529</w:t>
      </w:r>
      <w:r w:rsidRPr="0008498C">
        <w:rPr>
          <w:rFonts w:ascii="Arial" w:eastAsia="Calibri" w:hAnsi="Arial" w:cs="Arial"/>
          <w:color w:val="000000" w:themeColor="text1"/>
          <w:sz w:val="20"/>
          <w:szCs w:val="20"/>
        </w:rPr>
        <w:t xml:space="preserve"> nm); pale violet at pH 8- 9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536, 537</w:t>
      </w:r>
      <w:r w:rsidRPr="0008498C">
        <w:rPr>
          <w:rFonts w:ascii="Arial" w:eastAsia="Calibri" w:hAnsi="Arial" w:cs="Arial"/>
          <w:color w:val="000000" w:themeColor="text1"/>
          <w:sz w:val="20"/>
          <w:szCs w:val="20"/>
        </w:rPr>
        <w:t xml:space="preserve"> nm) and pale pink at pH 10- 12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540</w:t>
      </w:r>
      <w:r w:rsidRPr="0008498C">
        <w:rPr>
          <w:rFonts w:ascii="Arial" w:eastAsia="Calibri" w:hAnsi="Arial" w:cs="Arial"/>
          <w:color w:val="000000" w:themeColor="text1"/>
          <w:sz w:val="20"/>
          <w:szCs w:val="20"/>
        </w:rPr>
        <w:t xml:space="preserve">, 541, 542 nm) </w:t>
      </w:r>
      <w:r w:rsidR="00257717" w:rsidRPr="0008498C">
        <w:rPr>
          <w:rFonts w:ascii="Arial" w:eastAsia="Calibri" w:hAnsi="Arial" w:cs="Arial"/>
          <w:color w:val="000000" w:themeColor="text1"/>
          <w:sz w:val="20"/>
          <w:szCs w:val="20"/>
        </w:rPr>
        <w:t>(Cho et al., 2002)</w:t>
      </w:r>
      <w:r w:rsidRPr="0008498C">
        <w:rPr>
          <w:rFonts w:ascii="Arial" w:eastAsia="Calibri" w:hAnsi="Arial" w:cs="Arial"/>
          <w:color w:val="000000" w:themeColor="text1"/>
          <w:sz w:val="20"/>
          <w:szCs w:val="20"/>
        </w:rPr>
        <w:t>.</w:t>
      </w:r>
      <w:r w:rsidRPr="0008498C">
        <w:rPr>
          <w:rFonts w:ascii="Arial" w:hAnsi="Arial" w:cs="Arial"/>
          <w:color w:val="000000" w:themeColor="text1"/>
          <w:sz w:val="20"/>
          <w:szCs w:val="20"/>
        </w:rPr>
        <w:t xml:space="preserve">This might be possible because of the presence of different </w:t>
      </w:r>
      <w:proofErr w:type="spellStart"/>
      <w:r w:rsidRPr="0008498C">
        <w:rPr>
          <w:rFonts w:ascii="Arial" w:hAnsi="Arial" w:cs="Arial"/>
          <w:color w:val="000000" w:themeColor="text1"/>
          <w:sz w:val="20"/>
          <w:szCs w:val="20"/>
        </w:rPr>
        <w:t>colored</w:t>
      </w:r>
      <w:proofErr w:type="spellEnd"/>
      <w:r w:rsidRPr="0008498C">
        <w:rPr>
          <w:rFonts w:ascii="Arial" w:hAnsi="Arial" w:cs="Arial"/>
          <w:color w:val="000000" w:themeColor="text1"/>
          <w:sz w:val="20"/>
          <w:szCs w:val="20"/>
        </w:rPr>
        <w:t xml:space="preserve"> components present in the extract, concentrations of which vary at different pH values thus resulting in the corresponding shifts in absorption maxima. Due to this property of exhibiting different </w:t>
      </w:r>
      <w:proofErr w:type="spellStart"/>
      <w:r w:rsidRPr="0008498C">
        <w:rPr>
          <w:rFonts w:ascii="Arial" w:hAnsi="Arial" w:cs="Arial"/>
          <w:color w:val="000000" w:themeColor="text1"/>
          <w:sz w:val="20"/>
          <w:szCs w:val="20"/>
        </w:rPr>
        <w:t>colors</w:t>
      </w:r>
      <w:proofErr w:type="spellEnd"/>
      <w:r w:rsidRPr="0008498C">
        <w:rPr>
          <w:rFonts w:ascii="Arial" w:hAnsi="Arial" w:cs="Arial"/>
          <w:color w:val="000000" w:themeColor="text1"/>
          <w:sz w:val="20"/>
          <w:szCs w:val="20"/>
        </w:rPr>
        <w:t xml:space="preserve"> at different pH, the pigment from DP6 </w:t>
      </w:r>
      <w:r w:rsidRPr="0008498C">
        <w:rPr>
          <w:rFonts w:ascii="Arial" w:eastAsia="TimesNewRomanPSMT" w:hAnsi="Arial" w:cs="Arial"/>
          <w:sz w:val="20"/>
          <w:szCs w:val="20"/>
        </w:rPr>
        <w:t>can be used as a pH indicator.</w:t>
      </w:r>
    </w:p>
    <w:p w14:paraId="4C556354" w14:textId="77777777" w:rsidR="00AB694B" w:rsidRPr="0008498C" w:rsidRDefault="00AB694B" w:rsidP="002C4F77">
      <w:pPr>
        <w:spacing w:line="240" w:lineRule="auto"/>
        <w:jc w:val="both"/>
        <w:rPr>
          <w:rFonts w:ascii="Arial" w:hAnsi="Arial" w:cs="Arial"/>
          <w:sz w:val="20"/>
          <w:szCs w:val="20"/>
        </w:rPr>
      </w:pPr>
      <w:r w:rsidRPr="0008498C">
        <w:rPr>
          <w:rFonts w:ascii="Arial" w:hAnsi="Arial" w:cs="Arial"/>
          <w:color w:val="000000" w:themeColor="text1"/>
          <w:sz w:val="20"/>
          <w:szCs w:val="20"/>
        </w:rPr>
        <w:t xml:space="preserve">The photochemical degradation of pigment under mercury lamp, UV-light and sun light was checked spectrophotometrically after three hours intervals until 9 hours. It was observed that after three hours of irradiation, chromophore degradation under sun light began with corresponding shift of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from initial 525 nm to 502 nm, whereas in case of mercury lamp and UV-light no significant change took place. On further exposure, pigment showed even higher degradation under sun-light and negligible change in case of mercury lamp and UV-light. Thus, it is concluded that pigment is highly sensitive to sun-light and comparatively stable when exposed to mercury lamp and UV-light. After 9 hours, the percent degradation under mercury lamp, UV-light and sun light were 12.1%, 8.4% and 22.0%, respectively. </w:t>
      </w:r>
      <w:r w:rsidRPr="0008498C">
        <w:rPr>
          <w:rFonts w:ascii="Arial" w:hAnsi="Arial" w:cs="Arial"/>
          <w:sz w:val="20"/>
          <w:szCs w:val="20"/>
        </w:rPr>
        <w:t xml:space="preserve">It would, therefore be suggested to protect the products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with the pigment from intense sun light as much as possible or the pigment should be complexed with some light protective agent or mordant before use. Photochemical degradation of dye gardenia blue, phycocyanin and indigo dye has also been reported </w:t>
      </w:r>
      <w:proofErr w:type="spellStart"/>
      <w:r w:rsidR="00257717" w:rsidRPr="0008498C">
        <w:rPr>
          <w:rFonts w:ascii="Arial" w:hAnsi="Arial" w:cs="Arial"/>
          <w:sz w:val="20"/>
          <w:szCs w:val="20"/>
        </w:rPr>
        <w:t>Dellamatrice</w:t>
      </w:r>
      <w:proofErr w:type="spellEnd"/>
      <w:r w:rsidR="00257717" w:rsidRPr="0008498C">
        <w:rPr>
          <w:rFonts w:ascii="Arial" w:hAnsi="Arial" w:cs="Arial"/>
          <w:sz w:val="20"/>
          <w:szCs w:val="20"/>
        </w:rPr>
        <w:t>, et al., 2017; Ali et al., 2011)</w:t>
      </w:r>
      <w:r w:rsidR="00146710" w:rsidRPr="0008498C">
        <w:rPr>
          <w:rFonts w:ascii="Arial" w:hAnsi="Arial" w:cs="Arial"/>
          <w:sz w:val="20"/>
          <w:szCs w:val="20"/>
        </w:rPr>
        <w:t>.</w:t>
      </w:r>
    </w:p>
    <w:p w14:paraId="02D06363" w14:textId="77777777" w:rsidR="00AB694B" w:rsidRDefault="00232C57" w:rsidP="00680AA9">
      <w:pPr>
        <w:tabs>
          <w:tab w:val="left" w:pos="709"/>
        </w:tabs>
        <w:spacing w:before="240" w:line="240" w:lineRule="auto"/>
        <w:jc w:val="both"/>
        <w:rPr>
          <w:rFonts w:ascii="Arial" w:hAnsi="Arial" w:cs="Arial"/>
          <w:b/>
        </w:rPr>
      </w:pPr>
      <w:r w:rsidRPr="0008498C">
        <w:rPr>
          <w:rFonts w:ascii="Arial" w:hAnsi="Arial" w:cs="Arial"/>
          <w:b/>
        </w:rPr>
        <w:t xml:space="preserve">3.4 </w:t>
      </w:r>
      <w:r w:rsidR="00AB694B" w:rsidRPr="0008498C">
        <w:rPr>
          <w:rFonts w:ascii="Arial" w:hAnsi="Arial" w:cs="Arial"/>
          <w:b/>
        </w:rPr>
        <w:t>Dyeing potential analysis</w:t>
      </w:r>
    </w:p>
    <w:p w14:paraId="0F818697" w14:textId="77777777" w:rsidR="00680AA9" w:rsidRDefault="00680AA9" w:rsidP="00680AA9">
      <w:pPr>
        <w:tabs>
          <w:tab w:val="left" w:pos="709"/>
        </w:tabs>
        <w:spacing w:before="240"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Dyeing ability of the pigment extract was assayed by directly applying it on wool and silk fabrics. The pigment showed dyeing ability for both fabrics. </w:t>
      </w:r>
      <w:proofErr w:type="spellStart"/>
      <w:r w:rsidRPr="00680AA9">
        <w:rPr>
          <w:rFonts w:ascii="Arial" w:hAnsi="Arial" w:cs="Arial"/>
          <w:color w:val="000000" w:themeColor="text1"/>
          <w:sz w:val="20"/>
          <w:szCs w:val="20"/>
        </w:rPr>
        <w:t>Color</w:t>
      </w:r>
      <w:proofErr w:type="spellEnd"/>
      <w:r w:rsidRPr="00680AA9">
        <w:rPr>
          <w:rFonts w:ascii="Arial" w:hAnsi="Arial" w:cs="Arial"/>
          <w:color w:val="000000" w:themeColor="text1"/>
          <w:sz w:val="20"/>
          <w:szCs w:val="20"/>
        </w:rPr>
        <w:t xml:space="preserve"> yield was found to be better on wool as compared to silk because of amphoteric nature of wool. Similarly, Yosuf et al., also reported fabric depended varying dyeing capability of pigment from </w:t>
      </w:r>
      <w:r w:rsidRPr="00680AA9">
        <w:rPr>
          <w:rFonts w:ascii="Arial" w:hAnsi="Arial" w:cs="Arial"/>
          <w:i/>
          <w:color w:val="000000" w:themeColor="text1"/>
          <w:sz w:val="20"/>
          <w:szCs w:val="20"/>
        </w:rPr>
        <w:t>Serratia marcescens</w:t>
      </w:r>
      <w:r w:rsidRPr="00680AA9">
        <w:rPr>
          <w:rFonts w:ascii="Arial" w:hAnsi="Arial" w:cs="Arial"/>
          <w:color w:val="000000" w:themeColor="text1"/>
          <w:sz w:val="20"/>
          <w:szCs w:val="20"/>
        </w:rPr>
        <w:t xml:space="preserve">.  Red and yellow pigment obtained from fungal strains </w:t>
      </w:r>
      <w:proofErr w:type="spellStart"/>
      <w:r w:rsidRPr="00680AA9">
        <w:rPr>
          <w:rFonts w:ascii="Arial" w:hAnsi="Arial" w:cs="Arial"/>
          <w:i/>
          <w:color w:val="000000" w:themeColor="text1"/>
          <w:sz w:val="20"/>
          <w:szCs w:val="20"/>
        </w:rPr>
        <w:t>Monascus</w:t>
      </w:r>
      <w:proofErr w:type="spellEnd"/>
      <w:r w:rsidRPr="00680AA9">
        <w:rPr>
          <w:rFonts w:ascii="Arial" w:hAnsi="Arial" w:cs="Arial"/>
          <w:i/>
          <w:color w:val="000000" w:themeColor="text1"/>
          <w:sz w:val="20"/>
          <w:szCs w:val="20"/>
        </w:rPr>
        <w:t xml:space="preserve"> </w:t>
      </w:r>
      <w:proofErr w:type="spellStart"/>
      <w:r w:rsidRPr="00680AA9">
        <w:rPr>
          <w:rFonts w:ascii="Arial" w:hAnsi="Arial" w:cs="Arial"/>
          <w:i/>
          <w:color w:val="000000" w:themeColor="text1"/>
          <w:sz w:val="20"/>
          <w:szCs w:val="20"/>
        </w:rPr>
        <w:t>purpureus</w:t>
      </w:r>
      <w:proofErr w:type="spellEnd"/>
      <w:r w:rsidRPr="00680AA9">
        <w:rPr>
          <w:rFonts w:ascii="Arial" w:hAnsi="Arial" w:cs="Arial"/>
          <w:color w:val="000000" w:themeColor="text1"/>
          <w:sz w:val="20"/>
          <w:szCs w:val="20"/>
        </w:rPr>
        <w:t xml:space="preserve"> and </w:t>
      </w:r>
      <w:r w:rsidRPr="00680AA9">
        <w:rPr>
          <w:rFonts w:ascii="Arial" w:hAnsi="Arial" w:cs="Arial"/>
          <w:i/>
          <w:color w:val="000000" w:themeColor="text1"/>
          <w:sz w:val="20"/>
          <w:szCs w:val="20"/>
        </w:rPr>
        <w:t xml:space="preserve">Penicillium </w:t>
      </w:r>
      <w:proofErr w:type="spellStart"/>
      <w:r w:rsidRPr="00680AA9">
        <w:rPr>
          <w:rFonts w:ascii="Arial" w:hAnsi="Arial" w:cs="Arial"/>
          <w:i/>
          <w:color w:val="000000" w:themeColor="text1"/>
          <w:sz w:val="20"/>
          <w:szCs w:val="20"/>
        </w:rPr>
        <w:t>purpurogenum</w:t>
      </w:r>
      <w:proofErr w:type="spellEnd"/>
      <w:r w:rsidRPr="00680AA9">
        <w:rPr>
          <w:rFonts w:ascii="Arial" w:hAnsi="Arial" w:cs="Arial"/>
          <w:i/>
          <w:color w:val="000000" w:themeColor="text1"/>
          <w:sz w:val="20"/>
          <w:szCs w:val="20"/>
        </w:rPr>
        <w:t>,</w:t>
      </w:r>
      <w:r w:rsidRPr="00680AA9">
        <w:rPr>
          <w:rFonts w:ascii="Arial" w:hAnsi="Arial" w:cs="Arial"/>
          <w:color w:val="000000" w:themeColor="text1"/>
          <w:sz w:val="20"/>
          <w:szCs w:val="20"/>
        </w:rPr>
        <w:t xml:space="preserve"> respectively, also showed dyeing potential for cotton and leather products when used in combination with ferrous sulphate as mordant (Velmurugan et al., 2009). Dyeing and printing efficiency of the brown pigment produced by a </w:t>
      </w:r>
      <w:r w:rsidRPr="00680AA9">
        <w:rPr>
          <w:rFonts w:ascii="Arial" w:hAnsi="Arial" w:cs="Arial"/>
          <w:i/>
          <w:color w:val="000000" w:themeColor="text1"/>
          <w:sz w:val="20"/>
          <w:szCs w:val="20"/>
        </w:rPr>
        <w:t>Streptomyces</w:t>
      </w:r>
      <w:r w:rsidRPr="00680AA9">
        <w:rPr>
          <w:rFonts w:ascii="Arial" w:hAnsi="Arial" w:cs="Arial"/>
          <w:color w:val="000000" w:themeColor="text1"/>
          <w:sz w:val="20"/>
          <w:szCs w:val="20"/>
        </w:rPr>
        <w:t xml:space="preserve"> strain was also </w:t>
      </w:r>
      <w:r w:rsidRPr="00680AA9">
        <w:rPr>
          <w:rFonts w:ascii="Arial" w:hAnsi="Arial" w:cs="Arial"/>
          <w:color w:val="000000" w:themeColor="text1"/>
          <w:sz w:val="20"/>
          <w:szCs w:val="20"/>
        </w:rPr>
        <w:lastRenderedPageBreak/>
        <w:t xml:space="preserve">reported (Periyasamy et al., 2024). In another study, </w:t>
      </w:r>
      <w:proofErr w:type="spellStart"/>
      <w:r w:rsidRPr="00680AA9">
        <w:rPr>
          <w:rFonts w:ascii="Arial" w:hAnsi="Arial" w:cs="Arial"/>
          <w:color w:val="000000" w:themeColor="text1"/>
          <w:sz w:val="20"/>
          <w:szCs w:val="20"/>
          <w:shd w:val="clear" w:color="auto" w:fill="FFFFFF"/>
        </w:rPr>
        <w:t>Abou</w:t>
      </w:r>
      <w:proofErr w:type="spellEnd"/>
      <w:r w:rsidRPr="00680AA9">
        <w:rPr>
          <w:rFonts w:ascii="Arial" w:hAnsi="Arial" w:cs="Arial"/>
          <w:color w:val="000000" w:themeColor="text1"/>
          <w:sz w:val="20"/>
          <w:szCs w:val="20"/>
          <w:shd w:val="clear" w:color="auto" w:fill="FFFFFF"/>
        </w:rPr>
        <w:t xml:space="preserve"> </w:t>
      </w:r>
      <w:proofErr w:type="spellStart"/>
      <w:r w:rsidRPr="00680AA9">
        <w:rPr>
          <w:rFonts w:ascii="Arial" w:hAnsi="Arial" w:cs="Arial"/>
          <w:color w:val="000000" w:themeColor="text1"/>
          <w:sz w:val="20"/>
          <w:szCs w:val="20"/>
          <w:shd w:val="clear" w:color="auto" w:fill="FFFFFF"/>
        </w:rPr>
        <w:t>Elmaaty</w:t>
      </w:r>
      <w:proofErr w:type="spellEnd"/>
      <w:r w:rsidRPr="00680AA9">
        <w:rPr>
          <w:rFonts w:ascii="Arial" w:hAnsi="Arial" w:cs="Arial"/>
          <w:color w:val="000000" w:themeColor="text1"/>
          <w:sz w:val="20"/>
          <w:szCs w:val="20"/>
        </w:rPr>
        <w:t xml:space="preserve"> et al. (2020) also evaluated the dyeing potential of orange pigment obtained from </w:t>
      </w:r>
      <w:r w:rsidRPr="00680AA9">
        <w:rPr>
          <w:rFonts w:ascii="Arial" w:hAnsi="Arial" w:cs="Arial"/>
          <w:i/>
          <w:color w:val="000000" w:themeColor="text1"/>
          <w:sz w:val="20"/>
          <w:szCs w:val="20"/>
        </w:rPr>
        <w:t xml:space="preserve">Streptomyces </w:t>
      </w:r>
      <w:proofErr w:type="spellStart"/>
      <w:r w:rsidRPr="00680AA9">
        <w:rPr>
          <w:rFonts w:ascii="Arial" w:hAnsi="Arial" w:cs="Arial"/>
          <w:i/>
          <w:color w:val="000000" w:themeColor="text1"/>
          <w:sz w:val="20"/>
          <w:szCs w:val="20"/>
        </w:rPr>
        <w:t>thingirensis</w:t>
      </w:r>
      <w:proofErr w:type="spellEnd"/>
      <w:r w:rsidRPr="00680AA9">
        <w:rPr>
          <w:rFonts w:ascii="Arial" w:hAnsi="Arial" w:cs="Arial"/>
          <w:i/>
          <w:color w:val="000000" w:themeColor="text1"/>
          <w:sz w:val="20"/>
          <w:szCs w:val="20"/>
        </w:rPr>
        <w:t xml:space="preserve"> </w:t>
      </w:r>
      <w:r w:rsidRPr="00680AA9">
        <w:rPr>
          <w:rFonts w:ascii="Arial" w:hAnsi="Arial" w:cs="Arial"/>
          <w:color w:val="000000" w:themeColor="text1"/>
          <w:sz w:val="20"/>
          <w:szCs w:val="20"/>
        </w:rPr>
        <w:t>on wool.</w:t>
      </w:r>
    </w:p>
    <w:p w14:paraId="7714F61E" w14:textId="77777777" w:rsidR="00680AA9" w:rsidRPr="00680AA9" w:rsidRDefault="00680AA9" w:rsidP="00680AA9">
      <w:pPr>
        <w:spacing w:before="240" w:after="0" w:line="240" w:lineRule="auto"/>
        <w:rPr>
          <w:rFonts w:ascii="Arial" w:hAnsi="Arial" w:cs="Arial"/>
          <w:color w:val="000000" w:themeColor="text1"/>
        </w:rPr>
      </w:pPr>
      <w:r w:rsidRPr="00680AA9">
        <w:rPr>
          <w:rFonts w:ascii="Arial" w:hAnsi="Arial" w:cs="Arial"/>
          <w:b/>
          <w:color w:val="000000" w:themeColor="text1"/>
        </w:rPr>
        <w:t>3.5 Washing and light fastness testing of the dyed fabrics</w:t>
      </w:r>
    </w:p>
    <w:p w14:paraId="7A32D4A1" w14:textId="77777777" w:rsidR="00680AA9" w:rsidRPr="00680AA9" w:rsidRDefault="00680AA9" w:rsidP="00680AA9">
      <w:pPr>
        <w:spacing w:before="240"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The results of fastness studies indicate very good washing fastness for both the dyed </w:t>
      </w:r>
      <w:proofErr w:type="gramStart"/>
      <w:r w:rsidRPr="00680AA9">
        <w:rPr>
          <w:rFonts w:ascii="Arial" w:hAnsi="Arial" w:cs="Arial"/>
          <w:color w:val="000000" w:themeColor="text1"/>
          <w:sz w:val="20"/>
          <w:szCs w:val="20"/>
        </w:rPr>
        <w:t>samples  while</w:t>
      </w:r>
      <w:proofErr w:type="gramEnd"/>
      <w:r w:rsidRPr="00680AA9">
        <w:rPr>
          <w:rFonts w:ascii="Arial" w:hAnsi="Arial" w:cs="Arial"/>
          <w:color w:val="000000" w:themeColor="text1"/>
          <w:sz w:val="20"/>
          <w:szCs w:val="20"/>
        </w:rPr>
        <w:t xml:space="preserve"> light fastness  was moderate to good (Table 3). The </w:t>
      </w:r>
      <w:proofErr w:type="spellStart"/>
      <w:r w:rsidRPr="00680AA9">
        <w:rPr>
          <w:rFonts w:ascii="Arial" w:hAnsi="Arial" w:cs="Arial"/>
          <w:color w:val="000000" w:themeColor="text1"/>
          <w:sz w:val="20"/>
          <w:szCs w:val="20"/>
        </w:rPr>
        <w:t>color</w:t>
      </w:r>
      <w:proofErr w:type="spellEnd"/>
      <w:r w:rsidRPr="00680AA9">
        <w:rPr>
          <w:rFonts w:ascii="Arial" w:hAnsi="Arial" w:cs="Arial"/>
          <w:color w:val="000000" w:themeColor="text1"/>
          <w:sz w:val="20"/>
          <w:szCs w:val="20"/>
        </w:rPr>
        <w:t xml:space="preserve"> fastness, including washing and light, of the dyed wool and silk samples was performed according to grey scale and presented in Table 4. The results indicted very good washing fastness for both the dyed samples with values ranging from 4-5 on grey scale. However, the results of light fastness for the samples indicate moderate to good values according to grey scale. Similar results were observed when wool fabrics was dyed with pigment from </w:t>
      </w:r>
      <w:r w:rsidRPr="00680AA9">
        <w:rPr>
          <w:rFonts w:ascii="Arial" w:hAnsi="Arial" w:cs="Arial"/>
          <w:i/>
          <w:color w:val="000000" w:themeColor="text1"/>
          <w:sz w:val="20"/>
          <w:szCs w:val="20"/>
        </w:rPr>
        <w:t xml:space="preserve">Streptomyces </w:t>
      </w:r>
      <w:proofErr w:type="spellStart"/>
      <w:r w:rsidRPr="00680AA9">
        <w:rPr>
          <w:rFonts w:ascii="Arial" w:hAnsi="Arial" w:cs="Arial"/>
          <w:i/>
          <w:color w:val="000000" w:themeColor="text1"/>
          <w:sz w:val="20"/>
          <w:szCs w:val="20"/>
        </w:rPr>
        <w:t>thingirensis</w:t>
      </w:r>
      <w:proofErr w:type="spellEnd"/>
      <w:r w:rsidRPr="00680AA9">
        <w:rPr>
          <w:rFonts w:ascii="Arial" w:hAnsi="Arial" w:cs="Arial"/>
          <w:color w:val="000000" w:themeColor="text1"/>
          <w:sz w:val="20"/>
          <w:szCs w:val="20"/>
        </w:rPr>
        <w:t xml:space="preserve"> </w:t>
      </w:r>
      <w:proofErr w:type="spellStart"/>
      <w:r w:rsidRPr="00680AA9">
        <w:rPr>
          <w:rFonts w:ascii="Arial" w:hAnsi="Arial" w:cs="Arial"/>
          <w:color w:val="000000" w:themeColor="text1"/>
          <w:sz w:val="20"/>
          <w:szCs w:val="20"/>
          <w:shd w:val="clear" w:color="auto" w:fill="FFFFFF"/>
        </w:rPr>
        <w:t>Abou</w:t>
      </w:r>
      <w:proofErr w:type="spellEnd"/>
      <w:r w:rsidRPr="00680AA9">
        <w:rPr>
          <w:rFonts w:ascii="Arial" w:hAnsi="Arial" w:cs="Arial"/>
          <w:color w:val="000000" w:themeColor="text1"/>
          <w:sz w:val="20"/>
          <w:szCs w:val="20"/>
          <w:shd w:val="clear" w:color="auto" w:fill="FFFFFF"/>
        </w:rPr>
        <w:t xml:space="preserve"> </w:t>
      </w:r>
      <w:proofErr w:type="spellStart"/>
      <w:r w:rsidRPr="00680AA9">
        <w:rPr>
          <w:rFonts w:ascii="Arial" w:hAnsi="Arial" w:cs="Arial"/>
          <w:color w:val="000000" w:themeColor="text1"/>
          <w:sz w:val="20"/>
          <w:szCs w:val="20"/>
          <w:shd w:val="clear" w:color="auto" w:fill="FFFFFF"/>
        </w:rPr>
        <w:t>Elmaaty</w:t>
      </w:r>
      <w:proofErr w:type="spellEnd"/>
      <w:r w:rsidRPr="00680AA9">
        <w:rPr>
          <w:rFonts w:ascii="Arial" w:hAnsi="Arial" w:cs="Arial"/>
          <w:color w:val="000000" w:themeColor="text1"/>
          <w:sz w:val="20"/>
          <w:szCs w:val="20"/>
        </w:rPr>
        <w:t xml:space="preserve"> et al. (2020).</w:t>
      </w:r>
    </w:p>
    <w:p w14:paraId="0B142EE2" w14:textId="77777777" w:rsidR="00680AA9" w:rsidRPr="0008498C" w:rsidRDefault="00680AA9" w:rsidP="00680AA9">
      <w:pPr>
        <w:spacing w:before="240" w:after="0" w:line="240" w:lineRule="auto"/>
        <w:jc w:val="both"/>
        <w:rPr>
          <w:rFonts w:ascii="Arial" w:hAnsi="Arial" w:cs="Arial"/>
          <w:b/>
          <w:color w:val="000000" w:themeColor="text1"/>
          <w:sz w:val="20"/>
          <w:szCs w:val="20"/>
        </w:rPr>
      </w:pPr>
      <w:r w:rsidRPr="0008498C">
        <w:rPr>
          <w:rFonts w:ascii="Arial" w:hAnsi="Arial" w:cs="Arial"/>
          <w:b/>
          <w:color w:val="000000" w:themeColor="text1"/>
          <w:sz w:val="20"/>
          <w:szCs w:val="20"/>
        </w:rPr>
        <w:t>Table 3: Dyeing and fastness gradings of dyed fabrics</w:t>
      </w:r>
    </w:p>
    <w:p w14:paraId="20575A76" w14:textId="77777777" w:rsidR="00680AA9" w:rsidRPr="0008498C" w:rsidRDefault="00680AA9" w:rsidP="00680AA9">
      <w:pPr>
        <w:spacing w:before="240" w:line="240" w:lineRule="auto"/>
        <w:jc w:val="both"/>
        <w:rPr>
          <w:rFonts w:ascii="Arial" w:hAnsi="Arial" w:cs="Arial"/>
          <w:color w:val="000000" w:themeColor="text1"/>
          <w:sz w:val="20"/>
          <w:szCs w:val="20"/>
        </w:rPr>
      </w:pPr>
      <w:r w:rsidRPr="0008498C">
        <w:rPr>
          <w:rFonts w:ascii="Arial" w:hAnsi="Arial" w:cs="Arial"/>
          <w:color w:val="000000" w:themeColor="text1"/>
          <w:sz w:val="20"/>
          <w:szCs w:val="20"/>
          <w:vertAlign w:val="superscript"/>
        </w:rPr>
        <w:t>*</w:t>
      </w:r>
      <w:r w:rsidRPr="0008498C">
        <w:rPr>
          <w:rFonts w:ascii="Arial" w:hAnsi="Arial" w:cs="Arial"/>
          <w:b/>
          <w:color w:val="000000" w:themeColor="text1"/>
          <w:sz w:val="20"/>
          <w:szCs w:val="20"/>
        </w:rPr>
        <w:t xml:space="preserve">SCA: </w:t>
      </w:r>
      <w:r w:rsidRPr="0008498C">
        <w:rPr>
          <w:rFonts w:ascii="Arial" w:hAnsi="Arial" w:cs="Arial"/>
          <w:color w:val="000000" w:themeColor="text1"/>
          <w:sz w:val="20"/>
          <w:szCs w:val="20"/>
        </w:rPr>
        <w:t xml:space="preserve">Secondary Cellulose Acetate; </w:t>
      </w:r>
      <w:r w:rsidRPr="0008498C">
        <w:rPr>
          <w:rFonts w:ascii="Arial" w:hAnsi="Arial" w:cs="Arial"/>
          <w:b/>
          <w:color w:val="000000" w:themeColor="text1"/>
          <w:sz w:val="20"/>
          <w:szCs w:val="20"/>
        </w:rPr>
        <w:t>BUC:</w:t>
      </w:r>
      <w:r w:rsidRPr="0008498C">
        <w:rPr>
          <w:rFonts w:ascii="Arial" w:hAnsi="Arial" w:cs="Arial"/>
          <w:color w:val="000000" w:themeColor="text1"/>
          <w:sz w:val="20"/>
          <w:szCs w:val="20"/>
        </w:rPr>
        <w:t xml:space="preserve"> Bleached </w:t>
      </w:r>
      <w:proofErr w:type="spellStart"/>
      <w:r w:rsidRPr="0008498C">
        <w:rPr>
          <w:rFonts w:ascii="Arial" w:hAnsi="Arial" w:cs="Arial"/>
          <w:color w:val="000000" w:themeColor="text1"/>
          <w:sz w:val="20"/>
          <w:szCs w:val="20"/>
        </w:rPr>
        <w:t>Unmercerized</w:t>
      </w:r>
      <w:proofErr w:type="spellEnd"/>
      <w:r w:rsidRPr="0008498C">
        <w:rPr>
          <w:rFonts w:ascii="Arial" w:hAnsi="Arial" w:cs="Arial"/>
          <w:color w:val="000000" w:themeColor="text1"/>
          <w:sz w:val="20"/>
          <w:szCs w:val="20"/>
        </w:rPr>
        <w:t xml:space="preserve"> cotton; </w:t>
      </w:r>
      <w:r w:rsidRPr="0008498C">
        <w:rPr>
          <w:rFonts w:ascii="Arial" w:hAnsi="Arial" w:cs="Arial"/>
          <w:b/>
          <w:color w:val="000000" w:themeColor="text1"/>
          <w:sz w:val="20"/>
          <w:szCs w:val="20"/>
        </w:rPr>
        <w:t>N:</w:t>
      </w:r>
      <w:r w:rsidRPr="0008498C">
        <w:rPr>
          <w:rFonts w:ascii="Arial" w:hAnsi="Arial" w:cs="Arial"/>
          <w:color w:val="000000" w:themeColor="text1"/>
          <w:sz w:val="20"/>
          <w:szCs w:val="20"/>
        </w:rPr>
        <w:t xml:space="preserve"> Nylon; </w:t>
      </w:r>
      <w:r w:rsidRPr="0008498C">
        <w:rPr>
          <w:rFonts w:ascii="Arial" w:hAnsi="Arial" w:cs="Arial"/>
          <w:b/>
          <w:color w:val="000000" w:themeColor="text1"/>
          <w:sz w:val="20"/>
          <w:szCs w:val="20"/>
        </w:rPr>
        <w:t>P:</w:t>
      </w:r>
      <w:r w:rsidRPr="0008498C">
        <w:rPr>
          <w:rFonts w:ascii="Arial" w:hAnsi="Arial" w:cs="Arial"/>
          <w:color w:val="000000" w:themeColor="text1"/>
          <w:sz w:val="20"/>
          <w:szCs w:val="20"/>
        </w:rPr>
        <w:t xml:space="preserve"> Polyester; </w:t>
      </w:r>
      <w:r w:rsidRPr="0008498C">
        <w:rPr>
          <w:rFonts w:ascii="Arial" w:hAnsi="Arial" w:cs="Arial"/>
          <w:b/>
          <w:color w:val="000000" w:themeColor="text1"/>
          <w:sz w:val="20"/>
          <w:szCs w:val="20"/>
        </w:rPr>
        <w:t>A:</w:t>
      </w:r>
      <w:r w:rsidRPr="0008498C">
        <w:rPr>
          <w:rFonts w:ascii="Arial" w:hAnsi="Arial" w:cs="Arial"/>
          <w:color w:val="000000" w:themeColor="text1"/>
          <w:sz w:val="20"/>
          <w:szCs w:val="20"/>
        </w:rPr>
        <w:t xml:space="preserve"> Acrylic; </w:t>
      </w:r>
      <w:r w:rsidRPr="0008498C">
        <w:rPr>
          <w:rFonts w:ascii="Arial" w:hAnsi="Arial" w:cs="Arial"/>
          <w:b/>
          <w:color w:val="000000" w:themeColor="text1"/>
          <w:sz w:val="20"/>
          <w:szCs w:val="20"/>
        </w:rPr>
        <w:t>WW:</w:t>
      </w:r>
      <w:r w:rsidRPr="0008498C">
        <w:rPr>
          <w:rFonts w:ascii="Arial" w:hAnsi="Arial" w:cs="Arial"/>
          <w:color w:val="000000" w:themeColor="text1"/>
          <w:sz w:val="20"/>
          <w:szCs w:val="20"/>
        </w:rPr>
        <w:t xml:space="preserve"> Worsted Wool</w:t>
      </w:r>
    </w:p>
    <w:p w14:paraId="523629D9" w14:textId="77777777" w:rsidR="00680AA9" w:rsidRPr="0008498C" w:rsidRDefault="00680AA9" w:rsidP="00680AA9">
      <w:pPr>
        <w:spacing w:before="240" w:line="240" w:lineRule="auto"/>
        <w:jc w:val="both"/>
        <w:rPr>
          <w:rFonts w:ascii="Arial" w:hAnsi="Arial" w:cs="Arial"/>
          <w:b/>
        </w:rPr>
      </w:pPr>
      <w:r w:rsidRPr="0008498C">
        <w:rPr>
          <w:rFonts w:ascii="Arial" w:hAnsi="Arial" w:cs="Arial"/>
          <w:color w:val="000000" w:themeColor="text1"/>
          <w:sz w:val="20"/>
          <w:szCs w:val="20"/>
          <w:vertAlign w:val="superscript"/>
        </w:rPr>
        <w:t xml:space="preserve">** </w:t>
      </w:r>
      <w:r w:rsidRPr="0008498C">
        <w:rPr>
          <w:rFonts w:ascii="Arial" w:hAnsi="Arial" w:cs="Arial"/>
          <w:color w:val="000000" w:themeColor="text1"/>
          <w:sz w:val="20"/>
          <w:szCs w:val="20"/>
        </w:rPr>
        <w:t>Grade</w:t>
      </w:r>
      <w:r w:rsidRPr="0008498C">
        <w:rPr>
          <w:rFonts w:ascii="Arial" w:hAnsi="Arial" w:cs="Arial"/>
          <w:b/>
          <w:color w:val="000000" w:themeColor="text1"/>
          <w:sz w:val="20"/>
          <w:szCs w:val="20"/>
        </w:rPr>
        <w:t xml:space="preserve"> 5:</w:t>
      </w:r>
      <w:r w:rsidRPr="0008498C">
        <w:rPr>
          <w:rFonts w:ascii="Arial" w:hAnsi="Arial" w:cs="Arial"/>
          <w:color w:val="000000" w:themeColor="text1"/>
          <w:sz w:val="20"/>
          <w:szCs w:val="20"/>
        </w:rPr>
        <w:t xml:space="preserve"> Excellent; 4: Better; 3: Good; 2: Ok; 1: poor</w:t>
      </w:r>
    </w:p>
    <w:tbl>
      <w:tblPr>
        <w:tblStyle w:val="TableGrid"/>
        <w:tblpPr w:leftFromText="180" w:rightFromText="180" w:vertAnchor="page" w:horzAnchor="margin" w:tblpXSpec="center" w:tblpY="5166"/>
        <w:tblW w:w="10411" w:type="dxa"/>
        <w:tblLook w:val="04A0" w:firstRow="1" w:lastRow="0" w:firstColumn="1" w:lastColumn="0" w:noHBand="0" w:noVBand="1"/>
      </w:tblPr>
      <w:tblGrid>
        <w:gridCol w:w="895"/>
        <w:gridCol w:w="1608"/>
        <w:gridCol w:w="1716"/>
        <w:gridCol w:w="968"/>
        <w:gridCol w:w="985"/>
        <w:gridCol w:w="556"/>
        <w:gridCol w:w="539"/>
        <w:gridCol w:w="693"/>
        <w:gridCol w:w="915"/>
        <w:gridCol w:w="1536"/>
      </w:tblGrid>
      <w:tr w:rsidR="00680AA9" w:rsidRPr="0008498C" w14:paraId="100EED9B" w14:textId="77777777" w:rsidTr="00680AA9">
        <w:trPr>
          <w:trHeight w:val="464"/>
        </w:trPr>
        <w:tc>
          <w:tcPr>
            <w:tcW w:w="895" w:type="dxa"/>
            <w:tcBorders>
              <w:top w:val="single" w:sz="4" w:space="0" w:color="auto"/>
              <w:left w:val="nil"/>
              <w:bottom w:val="single" w:sz="4" w:space="0" w:color="auto"/>
              <w:right w:val="nil"/>
            </w:tcBorders>
          </w:tcPr>
          <w:p w14:paraId="02F0408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Sample</w:t>
            </w:r>
          </w:p>
        </w:tc>
        <w:tc>
          <w:tcPr>
            <w:tcW w:w="1608" w:type="dxa"/>
            <w:tcBorders>
              <w:top w:val="single" w:sz="4" w:space="0" w:color="auto"/>
              <w:left w:val="nil"/>
              <w:bottom w:val="single" w:sz="4" w:space="0" w:color="auto"/>
              <w:right w:val="nil"/>
            </w:tcBorders>
          </w:tcPr>
          <w:p w14:paraId="55E8349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Dyed Fabrics</w:t>
            </w:r>
          </w:p>
        </w:tc>
        <w:tc>
          <w:tcPr>
            <w:tcW w:w="0" w:type="auto"/>
            <w:tcBorders>
              <w:top w:val="single" w:sz="4" w:space="0" w:color="auto"/>
              <w:left w:val="nil"/>
              <w:bottom w:val="single" w:sz="4" w:space="0" w:color="auto"/>
              <w:right w:val="nil"/>
            </w:tcBorders>
          </w:tcPr>
          <w:p w14:paraId="48364B84" w14:textId="77777777" w:rsidR="00680AA9" w:rsidRPr="0008498C" w:rsidRDefault="00680AA9" w:rsidP="00680AA9">
            <w:pPr>
              <w:spacing w:before="240"/>
              <w:jc w:val="both"/>
              <w:rPr>
                <w:rFonts w:ascii="Arial" w:eastAsiaTheme="minorHAnsi" w:hAnsi="Arial" w:cs="Arial"/>
                <w:color w:val="000000" w:themeColor="text1"/>
                <w:sz w:val="20"/>
                <w:szCs w:val="20"/>
              </w:rPr>
            </w:pPr>
            <w:proofErr w:type="spellStart"/>
            <w:r w:rsidRPr="0008498C">
              <w:rPr>
                <w:rFonts w:ascii="Arial" w:eastAsiaTheme="minorHAnsi" w:hAnsi="Arial" w:cs="Arial"/>
                <w:color w:val="000000" w:themeColor="text1"/>
                <w:sz w:val="20"/>
                <w:szCs w:val="20"/>
              </w:rPr>
              <w:t>Color</w:t>
            </w:r>
            <w:proofErr w:type="spellEnd"/>
            <w:r w:rsidRPr="0008498C">
              <w:rPr>
                <w:rFonts w:ascii="Arial" w:eastAsiaTheme="minorHAnsi" w:hAnsi="Arial" w:cs="Arial"/>
                <w:color w:val="000000" w:themeColor="text1"/>
                <w:sz w:val="20"/>
                <w:szCs w:val="20"/>
              </w:rPr>
              <w:t xml:space="preserve"> Fastness</w:t>
            </w:r>
          </w:p>
        </w:tc>
        <w:tc>
          <w:tcPr>
            <w:tcW w:w="0" w:type="auto"/>
            <w:gridSpan w:val="6"/>
            <w:tcBorders>
              <w:top w:val="single" w:sz="4" w:space="0" w:color="auto"/>
              <w:left w:val="nil"/>
              <w:bottom w:val="single" w:sz="4" w:space="0" w:color="auto"/>
              <w:right w:val="nil"/>
            </w:tcBorders>
          </w:tcPr>
          <w:p w14:paraId="65FBDC72"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Washing Fastness</w:t>
            </w:r>
          </w:p>
        </w:tc>
        <w:tc>
          <w:tcPr>
            <w:tcW w:w="1536" w:type="dxa"/>
            <w:tcBorders>
              <w:top w:val="single" w:sz="4" w:space="0" w:color="auto"/>
              <w:left w:val="nil"/>
              <w:bottom w:val="single" w:sz="4" w:space="0" w:color="auto"/>
              <w:right w:val="nil"/>
            </w:tcBorders>
          </w:tcPr>
          <w:p w14:paraId="0A44E4EC"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Light Fastness</w:t>
            </w:r>
          </w:p>
        </w:tc>
      </w:tr>
      <w:tr w:rsidR="00680AA9" w:rsidRPr="0008498C" w14:paraId="1399AF81" w14:textId="77777777" w:rsidTr="00680AA9">
        <w:trPr>
          <w:trHeight w:val="238"/>
        </w:trPr>
        <w:tc>
          <w:tcPr>
            <w:tcW w:w="895" w:type="dxa"/>
            <w:tcBorders>
              <w:top w:val="single" w:sz="4" w:space="0" w:color="auto"/>
              <w:left w:val="nil"/>
              <w:bottom w:val="nil"/>
              <w:right w:val="nil"/>
            </w:tcBorders>
          </w:tcPr>
          <w:p w14:paraId="27BE0BCE"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1608" w:type="dxa"/>
            <w:tcBorders>
              <w:top w:val="single" w:sz="4" w:space="0" w:color="auto"/>
              <w:left w:val="nil"/>
              <w:bottom w:val="nil"/>
              <w:right w:val="nil"/>
            </w:tcBorders>
            <w:shd w:val="clear" w:color="auto" w:fill="FFFFFF" w:themeFill="background1"/>
          </w:tcPr>
          <w:p w14:paraId="40D7B607"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single" w:sz="4" w:space="0" w:color="auto"/>
              <w:left w:val="nil"/>
              <w:bottom w:val="nil"/>
              <w:right w:val="nil"/>
            </w:tcBorders>
            <w:shd w:val="clear" w:color="auto" w:fill="FFFFFF" w:themeFill="background1"/>
          </w:tcPr>
          <w:p w14:paraId="2E6EFC5E"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single" w:sz="4" w:space="0" w:color="auto"/>
              <w:left w:val="nil"/>
              <w:bottom w:val="nil"/>
              <w:right w:val="nil"/>
            </w:tcBorders>
          </w:tcPr>
          <w:p w14:paraId="72D4631C"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SCA</w:t>
            </w:r>
          </w:p>
        </w:tc>
        <w:tc>
          <w:tcPr>
            <w:tcW w:w="0" w:type="auto"/>
            <w:tcBorders>
              <w:top w:val="single" w:sz="4" w:space="0" w:color="auto"/>
              <w:left w:val="nil"/>
              <w:bottom w:val="nil"/>
              <w:right w:val="nil"/>
            </w:tcBorders>
          </w:tcPr>
          <w:p w14:paraId="58EB1584"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BUC</w:t>
            </w:r>
          </w:p>
        </w:tc>
        <w:tc>
          <w:tcPr>
            <w:tcW w:w="0" w:type="auto"/>
            <w:tcBorders>
              <w:top w:val="single" w:sz="4" w:space="0" w:color="auto"/>
              <w:left w:val="nil"/>
              <w:bottom w:val="nil"/>
              <w:right w:val="nil"/>
            </w:tcBorders>
          </w:tcPr>
          <w:p w14:paraId="4DA55BF8"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N</w:t>
            </w:r>
          </w:p>
        </w:tc>
        <w:tc>
          <w:tcPr>
            <w:tcW w:w="0" w:type="auto"/>
            <w:tcBorders>
              <w:top w:val="single" w:sz="4" w:space="0" w:color="auto"/>
              <w:left w:val="nil"/>
              <w:bottom w:val="nil"/>
              <w:right w:val="nil"/>
            </w:tcBorders>
          </w:tcPr>
          <w:p w14:paraId="5BC60BF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P</w:t>
            </w:r>
          </w:p>
        </w:tc>
        <w:tc>
          <w:tcPr>
            <w:tcW w:w="0" w:type="auto"/>
            <w:tcBorders>
              <w:top w:val="single" w:sz="4" w:space="0" w:color="auto"/>
              <w:left w:val="nil"/>
              <w:bottom w:val="nil"/>
              <w:right w:val="nil"/>
            </w:tcBorders>
          </w:tcPr>
          <w:p w14:paraId="57C5D88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A</w:t>
            </w:r>
          </w:p>
        </w:tc>
        <w:tc>
          <w:tcPr>
            <w:tcW w:w="0" w:type="auto"/>
            <w:tcBorders>
              <w:top w:val="single" w:sz="4" w:space="0" w:color="auto"/>
              <w:left w:val="nil"/>
              <w:bottom w:val="nil"/>
              <w:right w:val="nil"/>
            </w:tcBorders>
          </w:tcPr>
          <w:p w14:paraId="5C1065B1"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WW</w:t>
            </w:r>
          </w:p>
        </w:tc>
        <w:tc>
          <w:tcPr>
            <w:tcW w:w="1536" w:type="dxa"/>
            <w:tcBorders>
              <w:top w:val="single" w:sz="4" w:space="0" w:color="auto"/>
              <w:left w:val="nil"/>
              <w:bottom w:val="nil"/>
              <w:right w:val="nil"/>
            </w:tcBorders>
          </w:tcPr>
          <w:p w14:paraId="7C1A2F68" w14:textId="77777777" w:rsidR="00680AA9" w:rsidRPr="0008498C" w:rsidRDefault="00680AA9" w:rsidP="00680AA9">
            <w:pPr>
              <w:spacing w:before="240"/>
              <w:jc w:val="both"/>
              <w:rPr>
                <w:rFonts w:ascii="Arial" w:eastAsiaTheme="minorHAnsi" w:hAnsi="Arial" w:cs="Arial"/>
                <w:color w:val="000000" w:themeColor="text1"/>
                <w:sz w:val="20"/>
                <w:szCs w:val="20"/>
              </w:rPr>
            </w:pPr>
          </w:p>
        </w:tc>
      </w:tr>
      <w:tr w:rsidR="00680AA9" w:rsidRPr="0008498C" w14:paraId="359AEB84" w14:textId="77777777" w:rsidTr="00680AA9">
        <w:trPr>
          <w:trHeight w:val="299"/>
        </w:trPr>
        <w:tc>
          <w:tcPr>
            <w:tcW w:w="895" w:type="dxa"/>
            <w:vMerge w:val="restart"/>
            <w:tcBorders>
              <w:top w:val="nil"/>
              <w:left w:val="nil"/>
              <w:bottom w:val="nil"/>
              <w:right w:val="nil"/>
            </w:tcBorders>
          </w:tcPr>
          <w:p w14:paraId="09EEB21F"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Wool</w:t>
            </w:r>
          </w:p>
        </w:tc>
        <w:tc>
          <w:tcPr>
            <w:tcW w:w="1608" w:type="dxa"/>
            <w:vMerge w:val="restart"/>
            <w:tcBorders>
              <w:top w:val="nil"/>
              <w:left w:val="nil"/>
              <w:bottom w:val="nil"/>
              <w:right w:val="nil"/>
            </w:tcBorders>
          </w:tcPr>
          <w:p w14:paraId="253402F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13FDF9FB" wp14:editId="116BD5FF">
                  <wp:extent cx="884294" cy="575945"/>
                  <wp:effectExtent l="0" t="0" r="0" b="0"/>
                  <wp:docPr id="3" name="Picture 8" descr="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jpg"/>
                          <pic:cNvPicPr/>
                        </pic:nvPicPr>
                        <pic:blipFill>
                          <a:blip r:embed="rId11" cstate="print"/>
                          <a:srcRect l="2461" t="6250" r="3697"/>
                          <a:stretch>
                            <a:fillRect/>
                          </a:stretch>
                        </pic:blipFill>
                        <pic:spPr>
                          <a:xfrm>
                            <a:off x="0" y="0"/>
                            <a:ext cx="889139" cy="579101"/>
                          </a:xfrm>
                          <a:prstGeom prst="rect">
                            <a:avLst/>
                          </a:prstGeom>
                        </pic:spPr>
                      </pic:pic>
                    </a:graphicData>
                  </a:graphic>
                </wp:inline>
              </w:drawing>
            </w:r>
          </w:p>
        </w:tc>
        <w:tc>
          <w:tcPr>
            <w:tcW w:w="0" w:type="auto"/>
            <w:tcBorders>
              <w:top w:val="nil"/>
              <w:left w:val="nil"/>
              <w:bottom w:val="nil"/>
              <w:right w:val="nil"/>
            </w:tcBorders>
          </w:tcPr>
          <w:p w14:paraId="57627DF1"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2-3</w:t>
            </w:r>
          </w:p>
        </w:tc>
        <w:tc>
          <w:tcPr>
            <w:tcW w:w="0" w:type="auto"/>
            <w:tcBorders>
              <w:top w:val="nil"/>
              <w:left w:val="nil"/>
              <w:bottom w:val="nil"/>
              <w:right w:val="nil"/>
            </w:tcBorders>
          </w:tcPr>
          <w:p w14:paraId="788679F0"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5A00E1E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6EE71C2E"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3330F292"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77D68734"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7C0DD09F"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w:t>
            </w:r>
          </w:p>
        </w:tc>
        <w:tc>
          <w:tcPr>
            <w:tcW w:w="1536" w:type="dxa"/>
            <w:tcBorders>
              <w:top w:val="nil"/>
              <w:left w:val="nil"/>
              <w:bottom w:val="nil"/>
              <w:right w:val="nil"/>
            </w:tcBorders>
          </w:tcPr>
          <w:p w14:paraId="390951FB"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3-4</w:t>
            </w:r>
          </w:p>
        </w:tc>
      </w:tr>
      <w:tr w:rsidR="00680AA9" w:rsidRPr="0008498C" w14:paraId="14713C48" w14:textId="77777777" w:rsidTr="00680AA9">
        <w:trPr>
          <w:trHeight w:val="539"/>
        </w:trPr>
        <w:tc>
          <w:tcPr>
            <w:tcW w:w="895" w:type="dxa"/>
            <w:vMerge/>
            <w:tcBorders>
              <w:top w:val="nil"/>
              <w:left w:val="nil"/>
              <w:bottom w:val="nil"/>
              <w:right w:val="nil"/>
            </w:tcBorders>
          </w:tcPr>
          <w:p w14:paraId="1349FEEC"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1608" w:type="dxa"/>
            <w:vMerge/>
            <w:tcBorders>
              <w:top w:val="nil"/>
              <w:left w:val="nil"/>
              <w:bottom w:val="nil"/>
              <w:right w:val="nil"/>
            </w:tcBorders>
          </w:tcPr>
          <w:p w14:paraId="18C560A7"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nil"/>
              <w:left w:val="nil"/>
              <w:bottom w:val="nil"/>
              <w:right w:val="nil"/>
            </w:tcBorders>
          </w:tcPr>
          <w:p w14:paraId="6719B3FE"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70FD59DF" wp14:editId="426DAFBB">
                  <wp:extent cx="926592" cy="338328"/>
                  <wp:effectExtent l="19050" t="0" r="6858" b="0"/>
                  <wp:docPr id="5" name="Picture 11" desc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pg"/>
                          <pic:cNvPicPr/>
                        </pic:nvPicPr>
                        <pic:blipFill>
                          <a:blip r:embed="rId12" cstate="print"/>
                          <a:stretch>
                            <a:fillRect/>
                          </a:stretch>
                        </pic:blipFill>
                        <pic:spPr>
                          <a:xfrm>
                            <a:off x="0" y="0"/>
                            <a:ext cx="926592" cy="338328"/>
                          </a:xfrm>
                          <a:prstGeom prst="rect">
                            <a:avLst/>
                          </a:prstGeom>
                        </pic:spPr>
                      </pic:pic>
                    </a:graphicData>
                  </a:graphic>
                </wp:inline>
              </w:drawing>
            </w:r>
          </w:p>
        </w:tc>
        <w:tc>
          <w:tcPr>
            <w:tcW w:w="0" w:type="auto"/>
            <w:gridSpan w:val="6"/>
            <w:tcBorders>
              <w:top w:val="nil"/>
              <w:left w:val="nil"/>
              <w:bottom w:val="nil"/>
              <w:right w:val="nil"/>
            </w:tcBorders>
          </w:tcPr>
          <w:p w14:paraId="601B027F"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04FB6C2F" wp14:editId="3C71F2FC">
                  <wp:extent cx="2800350" cy="314325"/>
                  <wp:effectExtent l="19050" t="0" r="0" b="0"/>
                  <wp:docPr id="6" name="Picture 2" descr="C:\Users\sony\Desktop\Project\New folder\fastness\k2_dp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Project\New folder\fastness\k2_dp6_1.jpg"/>
                          <pic:cNvPicPr>
                            <a:picLocks noChangeAspect="1" noChangeArrowheads="1"/>
                          </pic:cNvPicPr>
                        </pic:nvPicPr>
                        <pic:blipFill>
                          <a:blip r:embed="rId13" cstate="print"/>
                          <a:srcRect/>
                          <a:stretch>
                            <a:fillRect/>
                          </a:stretch>
                        </pic:blipFill>
                        <pic:spPr bwMode="auto">
                          <a:xfrm>
                            <a:off x="0" y="0"/>
                            <a:ext cx="2800350" cy="314325"/>
                          </a:xfrm>
                          <a:prstGeom prst="rect">
                            <a:avLst/>
                          </a:prstGeom>
                          <a:noFill/>
                          <a:ln w="9525">
                            <a:noFill/>
                            <a:miter lim="800000"/>
                            <a:headEnd/>
                            <a:tailEnd/>
                          </a:ln>
                        </pic:spPr>
                      </pic:pic>
                    </a:graphicData>
                  </a:graphic>
                </wp:inline>
              </w:drawing>
            </w:r>
          </w:p>
        </w:tc>
        <w:tc>
          <w:tcPr>
            <w:tcW w:w="1536" w:type="dxa"/>
            <w:tcBorders>
              <w:top w:val="nil"/>
              <w:left w:val="nil"/>
              <w:bottom w:val="nil"/>
              <w:right w:val="nil"/>
            </w:tcBorders>
          </w:tcPr>
          <w:p w14:paraId="073B993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7A8371F4" wp14:editId="1FB797A0">
                  <wp:extent cx="838200" cy="337820"/>
                  <wp:effectExtent l="0" t="0" r="0" b="5080"/>
                  <wp:docPr id="7" name="Picture 10" desc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jpg"/>
                          <pic:cNvPicPr/>
                        </pic:nvPicPr>
                        <pic:blipFill>
                          <a:blip r:embed="rId14" cstate="print"/>
                          <a:srcRect r="18579" b="40540"/>
                          <a:stretch>
                            <a:fillRect/>
                          </a:stretch>
                        </pic:blipFill>
                        <pic:spPr>
                          <a:xfrm>
                            <a:off x="0" y="0"/>
                            <a:ext cx="839565" cy="338370"/>
                          </a:xfrm>
                          <a:prstGeom prst="rect">
                            <a:avLst/>
                          </a:prstGeom>
                        </pic:spPr>
                      </pic:pic>
                    </a:graphicData>
                  </a:graphic>
                </wp:inline>
              </w:drawing>
            </w:r>
          </w:p>
        </w:tc>
      </w:tr>
      <w:tr w:rsidR="00680AA9" w:rsidRPr="0008498C" w14:paraId="3E0D6952" w14:textId="77777777" w:rsidTr="00680AA9">
        <w:trPr>
          <w:trHeight w:val="336"/>
        </w:trPr>
        <w:tc>
          <w:tcPr>
            <w:tcW w:w="895" w:type="dxa"/>
            <w:vMerge w:val="restart"/>
            <w:tcBorders>
              <w:top w:val="nil"/>
              <w:left w:val="nil"/>
              <w:bottom w:val="nil"/>
              <w:right w:val="nil"/>
            </w:tcBorders>
          </w:tcPr>
          <w:p w14:paraId="5722483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Silk</w:t>
            </w:r>
          </w:p>
        </w:tc>
        <w:tc>
          <w:tcPr>
            <w:tcW w:w="1608" w:type="dxa"/>
            <w:vMerge w:val="restart"/>
            <w:tcBorders>
              <w:top w:val="nil"/>
              <w:left w:val="nil"/>
              <w:bottom w:val="nil"/>
              <w:right w:val="nil"/>
            </w:tcBorders>
          </w:tcPr>
          <w:p w14:paraId="5938FFFB"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6140A3DF" wp14:editId="07DB9E8C">
                  <wp:extent cx="864704" cy="615950"/>
                  <wp:effectExtent l="0" t="0" r="0" b="0"/>
                  <wp:docPr id="8" name="Picture 9"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15" cstate="print"/>
                          <a:stretch>
                            <a:fillRect/>
                          </a:stretch>
                        </pic:blipFill>
                        <pic:spPr>
                          <a:xfrm>
                            <a:off x="0" y="0"/>
                            <a:ext cx="867808" cy="618161"/>
                          </a:xfrm>
                          <a:prstGeom prst="rect">
                            <a:avLst/>
                          </a:prstGeom>
                        </pic:spPr>
                      </pic:pic>
                    </a:graphicData>
                  </a:graphic>
                </wp:inline>
              </w:drawing>
            </w:r>
          </w:p>
        </w:tc>
        <w:tc>
          <w:tcPr>
            <w:tcW w:w="0" w:type="auto"/>
            <w:tcBorders>
              <w:top w:val="nil"/>
              <w:left w:val="nil"/>
              <w:bottom w:val="nil"/>
              <w:right w:val="nil"/>
            </w:tcBorders>
          </w:tcPr>
          <w:p w14:paraId="7AC11B2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w:t>
            </w:r>
          </w:p>
        </w:tc>
        <w:tc>
          <w:tcPr>
            <w:tcW w:w="0" w:type="auto"/>
            <w:tcBorders>
              <w:top w:val="nil"/>
              <w:left w:val="nil"/>
              <w:bottom w:val="nil"/>
              <w:right w:val="nil"/>
            </w:tcBorders>
          </w:tcPr>
          <w:p w14:paraId="5D3B47E9"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46429E0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04B500A2"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2EE6000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489BB05C"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17C98C8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w:t>
            </w:r>
          </w:p>
        </w:tc>
        <w:tc>
          <w:tcPr>
            <w:tcW w:w="1536" w:type="dxa"/>
            <w:tcBorders>
              <w:top w:val="nil"/>
              <w:left w:val="nil"/>
              <w:bottom w:val="nil"/>
              <w:right w:val="nil"/>
            </w:tcBorders>
          </w:tcPr>
          <w:p w14:paraId="2A208EA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w:t>
            </w:r>
          </w:p>
        </w:tc>
      </w:tr>
      <w:tr w:rsidR="00680AA9" w:rsidRPr="0008498C" w14:paraId="10D621AF" w14:textId="77777777" w:rsidTr="00680AA9">
        <w:trPr>
          <w:trHeight w:val="449"/>
        </w:trPr>
        <w:tc>
          <w:tcPr>
            <w:tcW w:w="895" w:type="dxa"/>
            <w:vMerge/>
            <w:tcBorders>
              <w:top w:val="nil"/>
              <w:left w:val="nil"/>
              <w:bottom w:val="single" w:sz="4" w:space="0" w:color="auto"/>
              <w:right w:val="nil"/>
            </w:tcBorders>
          </w:tcPr>
          <w:p w14:paraId="238E41A9"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1608" w:type="dxa"/>
            <w:vMerge/>
            <w:tcBorders>
              <w:top w:val="nil"/>
              <w:left w:val="nil"/>
              <w:bottom w:val="single" w:sz="4" w:space="0" w:color="auto"/>
              <w:right w:val="nil"/>
            </w:tcBorders>
          </w:tcPr>
          <w:p w14:paraId="2379C631"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nil"/>
              <w:left w:val="nil"/>
              <w:bottom w:val="single" w:sz="4" w:space="0" w:color="auto"/>
              <w:right w:val="nil"/>
            </w:tcBorders>
          </w:tcPr>
          <w:p w14:paraId="11B4F87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0F5E0FFE" wp14:editId="2698406B">
                  <wp:extent cx="939165" cy="337931"/>
                  <wp:effectExtent l="0" t="0" r="0" b="5080"/>
                  <wp:docPr id="9" name="Picture 12"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16" cstate="print">
                            <a:lum bright="4000"/>
                          </a:blip>
                          <a:srcRect l="17452" t="12111" b="25197"/>
                          <a:stretch>
                            <a:fillRect/>
                          </a:stretch>
                        </pic:blipFill>
                        <pic:spPr>
                          <a:xfrm>
                            <a:off x="0" y="0"/>
                            <a:ext cx="944467" cy="339839"/>
                          </a:xfrm>
                          <a:prstGeom prst="rect">
                            <a:avLst/>
                          </a:prstGeom>
                        </pic:spPr>
                      </pic:pic>
                    </a:graphicData>
                  </a:graphic>
                </wp:inline>
              </w:drawing>
            </w:r>
          </w:p>
        </w:tc>
        <w:tc>
          <w:tcPr>
            <w:tcW w:w="0" w:type="auto"/>
            <w:gridSpan w:val="6"/>
            <w:tcBorders>
              <w:top w:val="nil"/>
              <w:left w:val="nil"/>
              <w:bottom w:val="single" w:sz="4" w:space="0" w:color="auto"/>
              <w:right w:val="nil"/>
            </w:tcBorders>
          </w:tcPr>
          <w:p w14:paraId="66AC4BE3"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39EC04BD" wp14:editId="2E7EA585">
                  <wp:extent cx="2800350" cy="387627"/>
                  <wp:effectExtent l="0" t="0" r="0" b="0"/>
                  <wp:docPr id="10" name="Picture 3" descr="C:\Users\sony\Desktop\Project\New folder\fastness\k4_dp6_sil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Project\New folder\fastness\k4_dp6_silk_2.jpg"/>
                          <pic:cNvPicPr>
                            <a:picLocks noChangeAspect="1" noChangeArrowheads="1"/>
                          </pic:cNvPicPr>
                        </pic:nvPicPr>
                        <pic:blipFill>
                          <a:blip r:embed="rId17" cstate="print"/>
                          <a:srcRect/>
                          <a:stretch>
                            <a:fillRect/>
                          </a:stretch>
                        </pic:blipFill>
                        <pic:spPr bwMode="auto">
                          <a:xfrm>
                            <a:off x="0" y="0"/>
                            <a:ext cx="2830352" cy="391780"/>
                          </a:xfrm>
                          <a:prstGeom prst="rect">
                            <a:avLst/>
                          </a:prstGeom>
                          <a:noFill/>
                          <a:ln w="9525">
                            <a:noFill/>
                            <a:miter lim="800000"/>
                            <a:headEnd/>
                            <a:tailEnd/>
                          </a:ln>
                        </pic:spPr>
                      </pic:pic>
                    </a:graphicData>
                  </a:graphic>
                </wp:inline>
              </w:drawing>
            </w:r>
          </w:p>
        </w:tc>
        <w:tc>
          <w:tcPr>
            <w:tcW w:w="1536" w:type="dxa"/>
            <w:tcBorders>
              <w:top w:val="nil"/>
              <w:left w:val="nil"/>
              <w:bottom w:val="single" w:sz="4" w:space="0" w:color="auto"/>
              <w:right w:val="nil"/>
            </w:tcBorders>
          </w:tcPr>
          <w:p w14:paraId="7AE823D2" w14:textId="77777777" w:rsidR="00680AA9"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4BA0B782" wp14:editId="6FACC80C">
                  <wp:extent cx="819150" cy="308113"/>
                  <wp:effectExtent l="0" t="0" r="0" b="0"/>
                  <wp:docPr id="11" name="Picture 12"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16" cstate="print">
                            <a:lum bright="4000"/>
                          </a:blip>
                          <a:srcRect l="17452" t="12111" b="25197"/>
                          <a:stretch>
                            <a:fillRect/>
                          </a:stretch>
                        </pic:blipFill>
                        <pic:spPr>
                          <a:xfrm>
                            <a:off x="0" y="0"/>
                            <a:ext cx="821789" cy="309105"/>
                          </a:xfrm>
                          <a:prstGeom prst="rect">
                            <a:avLst/>
                          </a:prstGeom>
                        </pic:spPr>
                      </pic:pic>
                    </a:graphicData>
                  </a:graphic>
                </wp:inline>
              </w:drawing>
            </w:r>
          </w:p>
          <w:p w14:paraId="36B31FC2" w14:textId="77777777" w:rsidR="00680AA9" w:rsidRPr="0008498C" w:rsidRDefault="00680AA9" w:rsidP="00680AA9">
            <w:pPr>
              <w:spacing w:before="240"/>
              <w:jc w:val="both"/>
              <w:rPr>
                <w:rFonts w:ascii="Arial" w:eastAsiaTheme="minorHAnsi" w:hAnsi="Arial" w:cs="Arial"/>
                <w:color w:val="000000" w:themeColor="text1"/>
                <w:sz w:val="20"/>
                <w:szCs w:val="20"/>
              </w:rPr>
            </w:pPr>
          </w:p>
        </w:tc>
      </w:tr>
    </w:tbl>
    <w:p w14:paraId="01D6DFA4" w14:textId="77777777" w:rsidR="00AB694B" w:rsidRPr="0008498C" w:rsidRDefault="00232C57" w:rsidP="002C4F77">
      <w:pPr>
        <w:tabs>
          <w:tab w:val="left" w:pos="709"/>
        </w:tabs>
        <w:spacing w:before="240" w:line="240" w:lineRule="auto"/>
        <w:jc w:val="both"/>
        <w:rPr>
          <w:rFonts w:ascii="Arial" w:hAnsi="Arial" w:cs="Arial"/>
          <w:b/>
          <w:color w:val="000000" w:themeColor="text1"/>
        </w:rPr>
      </w:pPr>
      <w:r w:rsidRPr="0008498C">
        <w:rPr>
          <w:rFonts w:ascii="Arial" w:hAnsi="Arial" w:cs="Arial"/>
          <w:b/>
          <w:color w:val="000000" w:themeColor="text1"/>
        </w:rPr>
        <w:t xml:space="preserve">3.6 </w:t>
      </w:r>
      <w:r w:rsidR="00AB694B" w:rsidRPr="0008498C">
        <w:rPr>
          <w:rFonts w:ascii="Arial" w:hAnsi="Arial" w:cs="Arial"/>
          <w:b/>
          <w:color w:val="000000" w:themeColor="text1"/>
        </w:rPr>
        <w:t>Spectrophotometric K/S Analysis</w:t>
      </w:r>
    </w:p>
    <w:p w14:paraId="2B4E385F" w14:textId="77777777" w:rsidR="00AB694B" w:rsidRDefault="00AB694B" w:rsidP="002C4F77">
      <w:pPr>
        <w:tabs>
          <w:tab w:val="left" w:pos="709"/>
        </w:tabs>
        <w:spacing w:line="240" w:lineRule="auto"/>
        <w:jc w:val="both"/>
        <w:rPr>
          <w:rFonts w:ascii="Arial" w:hAnsi="Arial" w:cs="Arial"/>
          <w:sz w:val="20"/>
          <w:szCs w:val="20"/>
        </w:rPr>
      </w:pPr>
      <w:r w:rsidRPr="0008498C">
        <w:rPr>
          <w:rFonts w:ascii="Arial" w:hAnsi="Arial" w:cs="Arial"/>
          <w:color w:val="000000" w:themeColor="text1"/>
          <w:sz w:val="20"/>
          <w:szCs w:val="20"/>
        </w:rPr>
        <w:t xml:space="preserve">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properties of dyed wool and silk samples were quantified using the CIELAB system </w:t>
      </w:r>
      <w:r w:rsidR="00DF7470" w:rsidRPr="0008498C">
        <w:rPr>
          <w:rFonts w:ascii="Arial" w:hAnsi="Arial" w:cs="Arial"/>
          <w:color w:val="000000" w:themeColor="text1"/>
          <w:sz w:val="20"/>
          <w:szCs w:val="20"/>
        </w:rPr>
        <w:t>(</w:t>
      </w:r>
      <w:r w:rsidRPr="0008498C">
        <w:rPr>
          <w:rFonts w:ascii="Arial" w:hAnsi="Arial" w:cs="Arial"/>
          <w:sz w:val="20"/>
          <w:szCs w:val="20"/>
        </w:rPr>
        <w:t>Table 4</w:t>
      </w:r>
      <w:r w:rsidR="00DF7470" w:rsidRPr="0008498C">
        <w:rPr>
          <w:rFonts w:ascii="Arial" w:hAnsi="Arial" w:cs="Arial"/>
          <w:sz w:val="20"/>
          <w:szCs w:val="20"/>
        </w:rPr>
        <w:t>)</w:t>
      </w:r>
      <w:r w:rsidRPr="0008498C">
        <w:rPr>
          <w:rFonts w:ascii="Arial" w:hAnsi="Arial" w:cs="Arial"/>
          <w:sz w:val="20"/>
          <w:szCs w:val="20"/>
        </w:rPr>
        <w:t>.</w:t>
      </w:r>
      <w:r w:rsidRPr="0008498C">
        <w:rPr>
          <w:rFonts w:ascii="Arial" w:hAnsi="Arial" w:cs="Arial"/>
          <w:color w:val="000000" w:themeColor="text1"/>
          <w:sz w:val="20"/>
          <w:szCs w:val="20"/>
        </w:rPr>
        <w:t xml:space="preserve"> The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coordinates indicated the dyed wool was more deeply dyed than the silk at the given temperature, as indicated by greater chroma (C</w:t>
      </w:r>
      <w:r w:rsidRPr="0008498C">
        <w:rPr>
          <w:rFonts w:ascii="Arial" w:hAnsi="Arial" w:cs="Arial"/>
          <w:sz w:val="20"/>
          <w:szCs w:val="20"/>
          <w:vertAlign w:val="superscript"/>
        </w:rPr>
        <w:t>*</w:t>
      </w:r>
      <w:r w:rsidRPr="0008498C">
        <w:rPr>
          <w:rFonts w:ascii="Arial" w:hAnsi="Arial" w:cs="Arial"/>
          <w:sz w:val="20"/>
          <w:szCs w:val="20"/>
        </w:rPr>
        <w:t xml:space="preserve">). </w:t>
      </w:r>
      <w:r w:rsidRPr="0008498C">
        <w:rPr>
          <w:rFonts w:ascii="Arial" w:hAnsi="Arial" w:cs="Arial"/>
          <w:color w:val="292526"/>
          <w:sz w:val="20"/>
          <w:szCs w:val="20"/>
        </w:rPr>
        <w:t>D</w:t>
      </w:r>
      <w:r w:rsidRPr="0008498C">
        <w:rPr>
          <w:rFonts w:ascii="Arial" w:hAnsi="Arial" w:cs="Arial"/>
          <w:sz w:val="20"/>
          <w:szCs w:val="20"/>
        </w:rPr>
        <w:t>yed substrates were evaluated for K/S values by using spectrophotometer which showed higher K/S value for dyed wool as compared to silk (Fig.</w:t>
      </w:r>
      <w:r w:rsidR="00C80E72" w:rsidRPr="0008498C">
        <w:rPr>
          <w:rFonts w:ascii="Arial" w:hAnsi="Arial" w:cs="Arial"/>
          <w:sz w:val="20"/>
          <w:szCs w:val="20"/>
        </w:rPr>
        <w:t xml:space="preserve"> 4</w:t>
      </w:r>
      <w:r w:rsidRPr="0008498C">
        <w:rPr>
          <w:rFonts w:ascii="Arial" w:hAnsi="Arial" w:cs="Arial"/>
          <w:sz w:val="20"/>
          <w:szCs w:val="20"/>
        </w:rPr>
        <w:t>).</w:t>
      </w:r>
    </w:p>
    <w:p w14:paraId="72D56B47" w14:textId="77777777" w:rsidR="00680AA9" w:rsidRDefault="00680AA9" w:rsidP="002C4F77">
      <w:pPr>
        <w:tabs>
          <w:tab w:val="left" w:pos="709"/>
        </w:tabs>
        <w:spacing w:line="240" w:lineRule="auto"/>
        <w:jc w:val="both"/>
        <w:rPr>
          <w:rFonts w:ascii="Arial" w:hAnsi="Arial" w:cs="Arial"/>
          <w:sz w:val="20"/>
          <w:szCs w:val="20"/>
        </w:rPr>
      </w:pPr>
    </w:p>
    <w:p w14:paraId="008180AD" w14:textId="77777777" w:rsidR="00680AA9" w:rsidRDefault="00680AA9" w:rsidP="002C4F77">
      <w:pPr>
        <w:tabs>
          <w:tab w:val="left" w:pos="709"/>
        </w:tabs>
        <w:spacing w:line="240" w:lineRule="auto"/>
        <w:jc w:val="both"/>
        <w:rPr>
          <w:rFonts w:ascii="Arial" w:hAnsi="Arial" w:cs="Arial"/>
          <w:sz w:val="20"/>
          <w:szCs w:val="20"/>
        </w:rPr>
      </w:pPr>
    </w:p>
    <w:p w14:paraId="03322652" w14:textId="77777777" w:rsidR="00680AA9" w:rsidRDefault="00680AA9" w:rsidP="002C4F77">
      <w:pPr>
        <w:tabs>
          <w:tab w:val="left" w:pos="709"/>
        </w:tabs>
        <w:spacing w:line="240" w:lineRule="auto"/>
        <w:jc w:val="both"/>
        <w:rPr>
          <w:rFonts w:ascii="Arial" w:hAnsi="Arial" w:cs="Arial"/>
          <w:sz w:val="20"/>
          <w:szCs w:val="20"/>
        </w:rPr>
      </w:pPr>
    </w:p>
    <w:p w14:paraId="35F4D77B" w14:textId="77777777" w:rsidR="00680AA9" w:rsidRDefault="00680AA9" w:rsidP="002C4F77">
      <w:pPr>
        <w:tabs>
          <w:tab w:val="left" w:pos="709"/>
        </w:tabs>
        <w:spacing w:line="240" w:lineRule="auto"/>
        <w:jc w:val="both"/>
        <w:rPr>
          <w:rFonts w:ascii="Arial" w:hAnsi="Arial" w:cs="Arial"/>
          <w:sz w:val="20"/>
          <w:szCs w:val="20"/>
        </w:rPr>
      </w:pPr>
    </w:p>
    <w:p w14:paraId="0CFB57CC" w14:textId="77777777" w:rsidR="00680AA9" w:rsidRDefault="00680AA9" w:rsidP="002C4F77">
      <w:pPr>
        <w:tabs>
          <w:tab w:val="left" w:pos="709"/>
        </w:tabs>
        <w:spacing w:line="240" w:lineRule="auto"/>
        <w:jc w:val="both"/>
        <w:rPr>
          <w:rFonts w:ascii="Arial" w:hAnsi="Arial" w:cs="Arial"/>
          <w:sz w:val="20"/>
          <w:szCs w:val="20"/>
        </w:rPr>
      </w:pPr>
    </w:p>
    <w:p w14:paraId="2163EAA1" w14:textId="77777777" w:rsidR="00680AA9" w:rsidRPr="0008498C" w:rsidRDefault="00680AA9" w:rsidP="002C4F77">
      <w:pPr>
        <w:tabs>
          <w:tab w:val="left" w:pos="709"/>
        </w:tabs>
        <w:spacing w:line="240" w:lineRule="auto"/>
        <w:jc w:val="both"/>
        <w:rPr>
          <w:rFonts w:ascii="Arial" w:hAnsi="Arial" w:cs="Arial"/>
          <w:sz w:val="20"/>
          <w:szCs w:val="20"/>
        </w:rPr>
      </w:pPr>
    </w:p>
    <w:p w14:paraId="112CDAD6" w14:textId="77777777" w:rsidR="00715A40" w:rsidRPr="0008498C" w:rsidRDefault="00715A40" w:rsidP="00715A40">
      <w:pPr>
        <w:tabs>
          <w:tab w:val="left" w:pos="709"/>
        </w:tabs>
        <w:spacing w:line="240" w:lineRule="auto"/>
        <w:jc w:val="both"/>
        <w:rPr>
          <w:rFonts w:ascii="Arial" w:hAnsi="Arial" w:cs="Arial"/>
          <w:b/>
          <w:sz w:val="20"/>
          <w:szCs w:val="20"/>
        </w:rPr>
      </w:pPr>
      <w:r w:rsidRPr="0008498C">
        <w:rPr>
          <w:rFonts w:ascii="Arial" w:hAnsi="Arial" w:cs="Arial"/>
          <w:b/>
          <w:sz w:val="20"/>
          <w:szCs w:val="20"/>
        </w:rPr>
        <w:lastRenderedPageBreak/>
        <w:t>Table 4: Colorimetric data of dyed fabrics</w:t>
      </w:r>
    </w:p>
    <w:tbl>
      <w:tblPr>
        <w:tblStyle w:val="TableGrid"/>
        <w:tblW w:w="9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840"/>
        <w:gridCol w:w="840"/>
        <w:gridCol w:w="840"/>
        <w:gridCol w:w="840"/>
        <w:gridCol w:w="840"/>
        <w:gridCol w:w="840"/>
        <w:gridCol w:w="840"/>
        <w:gridCol w:w="840"/>
        <w:gridCol w:w="841"/>
        <w:gridCol w:w="841"/>
      </w:tblGrid>
      <w:tr w:rsidR="00715A40" w:rsidRPr="0008498C" w14:paraId="7745A240" w14:textId="77777777" w:rsidTr="00AD6DD2">
        <w:tc>
          <w:tcPr>
            <w:tcW w:w="1441" w:type="dxa"/>
            <w:tcBorders>
              <w:top w:val="single" w:sz="4" w:space="0" w:color="auto"/>
              <w:bottom w:val="single" w:sz="4" w:space="0" w:color="auto"/>
            </w:tcBorders>
            <w:hideMark/>
          </w:tcPr>
          <w:p w14:paraId="00D40E00"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 xml:space="preserve">D65 10 </w:t>
            </w:r>
            <w:proofErr w:type="spellStart"/>
            <w:r w:rsidRPr="0008498C">
              <w:rPr>
                <w:rFonts w:ascii="Arial" w:eastAsiaTheme="minorHAnsi" w:hAnsi="Arial" w:cs="Arial"/>
                <w:b/>
                <w:sz w:val="20"/>
                <w:szCs w:val="20"/>
              </w:rPr>
              <w:t>Deg</w:t>
            </w:r>
            <w:proofErr w:type="spellEnd"/>
          </w:p>
        </w:tc>
        <w:tc>
          <w:tcPr>
            <w:tcW w:w="840" w:type="dxa"/>
            <w:tcBorders>
              <w:top w:val="single" w:sz="4" w:space="0" w:color="auto"/>
              <w:bottom w:val="single" w:sz="4" w:space="0" w:color="auto"/>
            </w:tcBorders>
            <w:hideMark/>
          </w:tcPr>
          <w:p w14:paraId="6229C9B3"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L*</w:t>
            </w:r>
          </w:p>
        </w:tc>
        <w:tc>
          <w:tcPr>
            <w:tcW w:w="840" w:type="dxa"/>
            <w:tcBorders>
              <w:top w:val="single" w:sz="4" w:space="0" w:color="auto"/>
              <w:bottom w:val="single" w:sz="4" w:space="0" w:color="auto"/>
            </w:tcBorders>
            <w:hideMark/>
          </w:tcPr>
          <w:p w14:paraId="782BBE9A"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a*</w:t>
            </w:r>
          </w:p>
        </w:tc>
        <w:tc>
          <w:tcPr>
            <w:tcW w:w="840" w:type="dxa"/>
            <w:tcBorders>
              <w:top w:val="single" w:sz="4" w:space="0" w:color="auto"/>
              <w:bottom w:val="single" w:sz="4" w:space="0" w:color="auto"/>
            </w:tcBorders>
            <w:hideMark/>
          </w:tcPr>
          <w:p w14:paraId="413C18CD"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b*</w:t>
            </w:r>
          </w:p>
        </w:tc>
        <w:tc>
          <w:tcPr>
            <w:tcW w:w="840" w:type="dxa"/>
            <w:tcBorders>
              <w:top w:val="single" w:sz="4" w:space="0" w:color="auto"/>
              <w:bottom w:val="single" w:sz="4" w:space="0" w:color="auto"/>
            </w:tcBorders>
            <w:hideMark/>
          </w:tcPr>
          <w:p w14:paraId="399037E1"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C*</w:t>
            </w:r>
          </w:p>
        </w:tc>
        <w:tc>
          <w:tcPr>
            <w:tcW w:w="840" w:type="dxa"/>
            <w:tcBorders>
              <w:top w:val="single" w:sz="4" w:space="0" w:color="auto"/>
              <w:bottom w:val="single" w:sz="4" w:space="0" w:color="auto"/>
            </w:tcBorders>
            <w:hideMark/>
          </w:tcPr>
          <w:p w14:paraId="6CBC908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H</w:t>
            </w:r>
          </w:p>
        </w:tc>
        <w:tc>
          <w:tcPr>
            <w:tcW w:w="840" w:type="dxa"/>
            <w:tcBorders>
              <w:top w:val="single" w:sz="4" w:space="0" w:color="auto"/>
              <w:bottom w:val="single" w:sz="4" w:space="0" w:color="auto"/>
            </w:tcBorders>
            <w:hideMark/>
          </w:tcPr>
          <w:p w14:paraId="19023496"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X</w:t>
            </w:r>
          </w:p>
        </w:tc>
        <w:tc>
          <w:tcPr>
            <w:tcW w:w="840" w:type="dxa"/>
            <w:tcBorders>
              <w:top w:val="single" w:sz="4" w:space="0" w:color="auto"/>
              <w:bottom w:val="single" w:sz="4" w:space="0" w:color="auto"/>
            </w:tcBorders>
            <w:hideMark/>
          </w:tcPr>
          <w:p w14:paraId="04A81D5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Y</w:t>
            </w:r>
          </w:p>
        </w:tc>
        <w:tc>
          <w:tcPr>
            <w:tcW w:w="840" w:type="dxa"/>
            <w:tcBorders>
              <w:top w:val="single" w:sz="4" w:space="0" w:color="auto"/>
              <w:bottom w:val="single" w:sz="4" w:space="0" w:color="auto"/>
            </w:tcBorders>
            <w:hideMark/>
          </w:tcPr>
          <w:p w14:paraId="407B151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Z</w:t>
            </w:r>
          </w:p>
        </w:tc>
        <w:tc>
          <w:tcPr>
            <w:tcW w:w="841" w:type="dxa"/>
            <w:tcBorders>
              <w:top w:val="single" w:sz="4" w:space="0" w:color="auto"/>
              <w:bottom w:val="single" w:sz="4" w:space="0" w:color="auto"/>
            </w:tcBorders>
            <w:hideMark/>
          </w:tcPr>
          <w:p w14:paraId="4CE59FF9"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x</w:t>
            </w:r>
          </w:p>
        </w:tc>
        <w:tc>
          <w:tcPr>
            <w:tcW w:w="841" w:type="dxa"/>
            <w:tcBorders>
              <w:top w:val="single" w:sz="4" w:space="0" w:color="auto"/>
              <w:bottom w:val="single" w:sz="4" w:space="0" w:color="auto"/>
            </w:tcBorders>
            <w:hideMark/>
          </w:tcPr>
          <w:p w14:paraId="2036F444"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Y</w:t>
            </w:r>
          </w:p>
        </w:tc>
      </w:tr>
      <w:tr w:rsidR="00715A40" w:rsidRPr="0008498C" w14:paraId="5FF6B5D0" w14:textId="77777777" w:rsidTr="00AD6DD2">
        <w:tc>
          <w:tcPr>
            <w:tcW w:w="1441" w:type="dxa"/>
            <w:tcBorders>
              <w:top w:val="single" w:sz="4" w:space="0" w:color="auto"/>
            </w:tcBorders>
            <w:hideMark/>
          </w:tcPr>
          <w:p w14:paraId="456E7161"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Wool</w:t>
            </w:r>
          </w:p>
        </w:tc>
        <w:tc>
          <w:tcPr>
            <w:tcW w:w="840" w:type="dxa"/>
            <w:tcBorders>
              <w:top w:val="single" w:sz="4" w:space="0" w:color="auto"/>
            </w:tcBorders>
            <w:hideMark/>
          </w:tcPr>
          <w:p w14:paraId="39006118"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66.68</w:t>
            </w:r>
          </w:p>
        </w:tc>
        <w:tc>
          <w:tcPr>
            <w:tcW w:w="840" w:type="dxa"/>
            <w:tcBorders>
              <w:top w:val="single" w:sz="4" w:space="0" w:color="auto"/>
            </w:tcBorders>
            <w:hideMark/>
          </w:tcPr>
          <w:p w14:paraId="5E999AC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5.00</w:t>
            </w:r>
          </w:p>
        </w:tc>
        <w:tc>
          <w:tcPr>
            <w:tcW w:w="840" w:type="dxa"/>
            <w:tcBorders>
              <w:top w:val="single" w:sz="4" w:space="0" w:color="auto"/>
            </w:tcBorders>
            <w:hideMark/>
          </w:tcPr>
          <w:p w14:paraId="45D49672"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13.93</w:t>
            </w:r>
          </w:p>
        </w:tc>
        <w:tc>
          <w:tcPr>
            <w:tcW w:w="840" w:type="dxa"/>
            <w:tcBorders>
              <w:top w:val="single" w:sz="4" w:space="0" w:color="auto"/>
            </w:tcBorders>
            <w:hideMark/>
          </w:tcPr>
          <w:p w14:paraId="079C6371"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14.80</w:t>
            </w:r>
          </w:p>
        </w:tc>
        <w:tc>
          <w:tcPr>
            <w:tcW w:w="840" w:type="dxa"/>
            <w:tcBorders>
              <w:top w:val="single" w:sz="4" w:space="0" w:color="auto"/>
            </w:tcBorders>
            <w:hideMark/>
          </w:tcPr>
          <w:p w14:paraId="159F993B"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70.26</w:t>
            </w:r>
          </w:p>
        </w:tc>
        <w:tc>
          <w:tcPr>
            <w:tcW w:w="840" w:type="dxa"/>
            <w:tcBorders>
              <w:top w:val="single" w:sz="4" w:space="0" w:color="auto"/>
            </w:tcBorders>
            <w:hideMark/>
          </w:tcPr>
          <w:p w14:paraId="26C6223C"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35.79</w:t>
            </w:r>
          </w:p>
        </w:tc>
        <w:tc>
          <w:tcPr>
            <w:tcW w:w="840" w:type="dxa"/>
            <w:tcBorders>
              <w:top w:val="single" w:sz="4" w:space="0" w:color="auto"/>
            </w:tcBorders>
            <w:hideMark/>
          </w:tcPr>
          <w:p w14:paraId="1A1C1B4F"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36.21</w:t>
            </w:r>
          </w:p>
        </w:tc>
        <w:tc>
          <w:tcPr>
            <w:tcW w:w="840" w:type="dxa"/>
            <w:tcBorders>
              <w:top w:val="single" w:sz="4" w:space="0" w:color="auto"/>
            </w:tcBorders>
            <w:hideMark/>
          </w:tcPr>
          <w:p w14:paraId="4350726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28.54</w:t>
            </w:r>
          </w:p>
        </w:tc>
        <w:tc>
          <w:tcPr>
            <w:tcW w:w="841" w:type="dxa"/>
            <w:tcBorders>
              <w:top w:val="single" w:sz="4" w:space="0" w:color="auto"/>
            </w:tcBorders>
            <w:hideMark/>
          </w:tcPr>
          <w:p w14:paraId="00429971"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0.3560</w:t>
            </w:r>
          </w:p>
        </w:tc>
        <w:tc>
          <w:tcPr>
            <w:tcW w:w="841" w:type="dxa"/>
            <w:tcBorders>
              <w:top w:val="single" w:sz="4" w:space="0" w:color="auto"/>
            </w:tcBorders>
            <w:hideMark/>
          </w:tcPr>
          <w:p w14:paraId="16052F5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0.3601</w:t>
            </w:r>
          </w:p>
        </w:tc>
      </w:tr>
      <w:tr w:rsidR="00715A40" w:rsidRPr="0008498C" w14:paraId="497E4F78" w14:textId="77777777" w:rsidTr="00AD6DD2">
        <w:tc>
          <w:tcPr>
            <w:tcW w:w="1441" w:type="dxa"/>
            <w:hideMark/>
          </w:tcPr>
          <w:p w14:paraId="16A9C928"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Silk</w:t>
            </w:r>
          </w:p>
        </w:tc>
        <w:tc>
          <w:tcPr>
            <w:tcW w:w="840" w:type="dxa"/>
            <w:hideMark/>
          </w:tcPr>
          <w:p w14:paraId="0A96D25C"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79.57</w:t>
            </w:r>
          </w:p>
        </w:tc>
        <w:tc>
          <w:tcPr>
            <w:tcW w:w="840" w:type="dxa"/>
            <w:hideMark/>
          </w:tcPr>
          <w:p w14:paraId="5710CA32"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2.25</w:t>
            </w:r>
          </w:p>
        </w:tc>
        <w:tc>
          <w:tcPr>
            <w:tcW w:w="840" w:type="dxa"/>
            <w:hideMark/>
          </w:tcPr>
          <w:p w14:paraId="3A29B189"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7.42</w:t>
            </w:r>
          </w:p>
        </w:tc>
        <w:tc>
          <w:tcPr>
            <w:tcW w:w="840" w:type="dxa"/>
            <w:hideMark/>
          </w:tcPr>
          <w:p w14:paraId="6C8CB8A6"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7.75</w:t>
            </w:r>
          </w:p>
        </w:tc>
        <w:tc>
          <w:tcPr>
            <w:tcW w:w="840" w:type="dxa"/>
            <w:hideMark/>
          </w:tcPr>
          <w:p w14:paraId="6D949703"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73.14</w:t>
            </w:r>
          </w:p>
        </w:tc>
        <w:tc>
          <w:tcPr>
            <w:tcW w:w="840" w:type="dxa"/>
            <w:hideMark/>
          </w:tcPr>
          <w:p w14:paraId="78723EB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53.90</w:t>
            </w:r>
          </w:p>
        </w:tc>
        <w:tc>
          <w:tcPr>
            <w:tcW w:w="840" w:type="dxa"/>
            <w:hideMark/>
          </w:tcPr>
          <w:p w14:paraId="51DC7FE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55.93</w:t>
            </w:r>
          </w:p>
        </w:tc>
        <w:tc>
          <w:tcPr>
            <w:tcW w:w="840" w:type="dxa"/>
            <w:hideMark/>
          </w:tcPr>
          <w:p w14:paraId="13233B7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52.27</w:t>
            </w:r>
          </w:p>
        </w:tc>
        <w:tc>
          <w:tcPr>
            <w:tcW w:w="841" w:type="dxa"/>
            <w:hideMark/>
          </w:tcPr>
          <w:p w14:paraId="49AC7AA7"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0.3325</w:t>
            </w:r>
          </w:p>
        </w:tc>
        <w:tc>
          <w:tcPr>
            <w:tcW w:w="841" w:type="dxa"/>
            <w:hideMark/>
          </w:tcPr>
          <w:p w14:paraId="78EA244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0.3450</w:t>
            </w:r>
          </w:p>
        </w:tc>
      </w:tr>
    </w:tbl>
    <w:p w14:paraId="0DBB97B9" w14:textId="77777777" w:rsidR="00715A40" w:rsidRPr="0008498C" w:rsidRDefault="00715A40" w:rsidP="00715A40">
      <w:pPr>
        <w:tabs>
          <w:tab w:val="left" w:pos="709"/>
        </w:tabs>
        <w:spacing w:line="240" w:lineRule="auto"/>
        <w:jc w:val="both"/>
        <w:rPr>
          <w:rFonts w:ascii="Arial" w:hAnsi="Arial" w:cs="Arial"/>
          <w:sz w:val="20"/>
          <w:szCs w:val="20"/>
        </w:rPr>
      </w:pPr>
    </w:p>
    <w:p w14:paraId="70B8419C" w14:textId="77777777" w:rsidR="00715A40" w:rsidRPr="0008498C" w:rsidRDefault="00715A40" w:rsidP="00715A40">
      <w:pPr>
        <w:tabs>
          <w:tab w:val="left" w:pos="709"/>
        </w:tabs>
        <w:spacing w:line="240" w:lineRule="auto"/>
        <w:jc w:val="both"/>
        <w:rPr>
          <w:rFonts w:ascii="Arial" w:hAnsi="Arial" w:cs="Arial"/>
          <w:sz w:val="20"/>
          <w:szCs w:val="20"/>
        </w:rPr>
      </w:pPr>
      <w:r w:rsidRPr="0008498C">
        <w:rPr>
          <w:rFonts w:ascii="Arial" w:hAnsi="Arial" w:cs="Arial"/>
          <w:sz w:val="20"/>
          <w:szCs w:val="20"/>
        </w:rPr>
        <w:t xml:space="preserve">L* - White/black   a* - Red/Green   b* - Blue/ yellow     C* - Chroma   H   - Hue </w:t>
      </w:r>
      <w:proofErr w:type="spellStart"/>
      <w:proofErr w:type="gramStart"/>
      <w:r w:rsidRPr="0008498C">
        <w:rPr>
          <w:rFonts w:ascii="Arial" w:hAnsi="Arial" w:cs="Arial"/>
          <w:sz w:val="20"/>
          <w:szCs w:val="20"/>
        </w:rPr>
        <w:t>X,Y</w:t>
      </w:r>
      <w:proofErr w:type="gramEnd"/>
      <w:r w:rsidRPr="0008498C">
        <w:rPr>
          <w:rFonts w:ascii="Arial" w:hAnsi="Arial" w:cs="Arial"/>
          <w:sz w:val="20"/>
          <w:szCs w:val="20"/>
        </w:rPr>
        <w:t>,Z,x,y</w:t>
      </w:r>
      <w:proofErr w:type="spellEnd"/>
      <w:r w:rsidRPr="0008498C">
        <w:rPr>
          <w:rFonts w:ascii="Arial" w:hAnsi="Arial" w:cs="Arial"/>
          <w:sz w:val="20"/>
          <w:szCs w:val="20"/>
        </w:rPr>
        <w:t xml:space="preserve">: coordinates                    </w:t>
      </w:r>
    </w:p>
    <w:p w14:paraId="67BA00B8" w14:textId="77777777" w:rsidR="00715A40" w:rsidRDefault="00715A40" w:rsidP="00715A40">
      <w:pPr>
        <w:tabs>
          <w:tab w:val="left" w:pos="709"/>
        </w:tabs>
        <w:spacing w:line="240" w:lineRule="auto"/>
        <w:jc w:val="both"/>
        <w:rPr>
          <w:rFonts w:ascii="Arial" w:hAnsi="Arial" w:cs="Arial"/>
          <w:b/>
          <w:sz w:val="20"/>
          <w:szCs w:val="20"/>
        </w:rPr>
      </w:pPr>
    </w:p>
    <w:p w14:paraId="65BA8735" w14:textId="77777777" w:rsidR="00680AA9" w:rsidRPr="0008498C" w:rsidRDefault="00680AA9" w:rsidP="00715A40">
      <w:pPr>
        <w:tabs>
          <w:tab w:val="left" w:pos="709"/>
        </w:tabs>
        <w:spacing w:line="240" w:lineRule="auto"/>
        <w:jc w:val="both"/>
        <w:rPr>
          <w:rFonts w:ascii="Arial" w:hAnsi="Arial" w:cs="Arial"/>
          <w:b/>
          <w:sz w:val="20"/>
          <w:szCs w:val="20"/>
        </w:rPr>
      </w:pPr>
    </w:p>
    <w:p w14:paraId="3FE1D977" w14:textId="77777777" w:rsidR="00715A40" w:rsidRPr="0008498C" w:rsidRDefault="00AA1CAD" w:rsidP="00AA1CAD">
      <w:pPr>
        <w:tabs>
          <w:tab w:val="left" w:pos="709"/>
        </w:tabs>
        <w:spacing w:line="240" w:lineRule="auto"/>
        <w:jc w:val="center"/>
        <w:rPr>
          <w:rFonts w:ascii="Arial" w:hAnsi="Arial" w:cs="Arial"/>
          <w:b/>
          <w:sz w:val="20"/>
          <w:szCs w:val="20"/>
        </w:rPr>
      </w:pPr>
      <w:r w:rsidRPr="0008498C">
        <w:rPr>
          <w:noProof/>
          <w:lang w:eastAsia="en-IN"/>
        </w:rPr>
        <w:drawing>
          <wp:inline distT="0" distB="0" distL="0" distR="0" wp14:anchorId="52835BAF" wp14:editId="14613500">
            <wp:extent cx="5128122" cy="3259174"/>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8">
                      <a:extLst>
                        <a:ext uri="{28A0092B-C50C-407E-A947-70E740481C1C}">
                          <a14:useLocalDpi xmlns:a14="http://schemas.microsoft.com/office/drawing/2010/main" val="0"/>
                        </a:ext>
                      </a:extLst>
                    </a:blip>
                    <a:srcRect l="5034" r="11187"/>
                    <a:stretch/>
                  </pic:blipFill>
                  <pic:spPr bwMode="auto">
                    <a:xfrm>
                      <a:off x="0" y="0"/>
                      <a:ext cx="5166105" cy="3283314"/>
                    </a:xfrm>
                    <a:prstGeom prst="rect">
                      <a:avLst/>
                    </a:prstGeom>
                    <a:ln>
                      <a:noFill/>
                    </a:ln>
                    <a:extLst>
                      <a:ext uri="{53640926-AAD7-44D8-BBD7-CCE9431645EC}">
                        <a14:shadowObscured xmlns:a14="http://schemas.microsoft.com/office/drawing/2010/main"/>
                      </a:ext>
                    </a:extLst>
                  </pic:spPr>
                </pic:pic>
              </a:graphicData>
            </a:graphic>
          </wp:inline>
        </w:drawing>
      </w:r>
    </w:p>
    <w:p w14:paraId="56608292" w14:textId="77777777" w:rsidR="00715A40" w:rsidRDefault="00C80E72" w:rsidP="00715A40">
      <w:pPr>
        <w:tabs>
          <w:tab w:val="left" w:pos="709"/>
        </w:tabs>
        <w:spacing w:line="240" w:lineRule="auto"/>
        <w:jc w:val="both"/>
        <w:rPr>
          <w:rFonts w:ascii="Arial" w:hAnsi="Arial" w:cs="Arial"/>
          <w:b/>
          <w:sz w:val="20"/>
          <w:szCs w:val="20"/>
        </w:rPr>
      </w:pPr>
      <w:r w:rsidRPr="00680AA9">
        <w:rPr>
          <w:rFonts w:ascii="Arial" w:hAnsi="Arial" w:cs="Arial"/>
          <w:b/>
          <w:sz w:val="20"/>
          <w:szCs w:val="20"/>
        </w:rPr>
        <w:t xml:space="preserve">Fig. 4. </w:t>
      </w:r>
      <w:r w:rsidR="000B7EB4" w:rsidRPr="00680AA9">
        <w:rPr>
          <w:rFonts w:ascii="Arial" w:hAnsi="Arial" w:cs="Arial"/>
          <w:b/>
          <w:sz w:val="20"/>
          <w:szCs w:val="20"/>
        </w:rPr>
        <w:t>K/S values of dyed fabrics</w:t>
      </w:r>
    </w:p>
    <w:p w14:paraId="4F7DFACC" w14:textId="77777777" w:rsidR="00680AA9" w:rsidRPr="00680AA9" w:rsidRDefault="00680AA9" w:rsidP="00715A40">
      <w:pPr>
        <w:tabs>
          <w:tab w:val="left" w:pos="709"/>
        </w:tabs>
        <w:spacing w:line="240" w:lineRule="auto"/>
        <w:jc w:val="both"/>
        <w:rPr>
          <w:rFonts w:ascii="Arial" w:hAnsi="Arial" w:cs="Arial"/>
          <w:b/>
          <w:sz w:val="20"/>
          <w:szCs w:val="20"/>
        </w:rPr>
      </w:pPr>
    </w:p>
    <w:p w14:paraId="2F0B4332" w14:textId="77777777" w:rsidR="00AB694B" w:rsidRPr="0008498C" w:rsidRDefault="00232C57" w:rsidP="002C4F77">
      <w:pPr>
        <w:autoSpaceDE w:val="0"/>
        <w:autoSpaceDN w:val="0"/>
        <w:adjustRightInd w:val="0"/>
        <w:spacing w:line="240" w:lineRule="auto"/>
        <w:jc w:val="both"/>
        <w:rPr>
          <w:rFonts w:ascii="Arial" w:hAnsi="Arial" w:cs="Arial"/>
          <w:b/>
        </w:rPr>
      </w:pPr>
      <w:r w:rsidRPr="0008498C">
        <w:rPr>
          <w:rFonts w:ascii="Arial" w:hAnsi="Arial" w:cs="Arial"/>
          <w:b/>
        </w:rPr>
        <w:t xml:space="preserve">3.7 </w:t>
      </w:r>
      <w:r w:rsidR="00AB694B" w:rsidRPr="0008498C">
        <w:rPr>
          <w:rFonts w:ascii="Arial" w:hAnsi="Arial" w:cs="Arial"/>
          <w:b/>
        </w:rPr>
        <w:t xml:space="preserve">Toxicity testing of the pigment  </w:t>
      </w:r>
    </w:p>
    <w:p w14:paraId="5E1D9BE5" w14:textId="77777777" w:rsidR="00AB694B" w:rsidRDefault="00AB694B" w:rsidP="002C4F77">
      <w:pPr>
        <w:autoSpaceDE w:val="0"/>
        <w:autoSpaceDN w:val="0"/>
        <w:adjustRightInd w:val="0"/>
        <w:spacing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Mutagenicity testing done by Ames test </w:t>
      </w:r>
      <w:proofErr w:type="gramStart"/>
      <w:r w:rsidRPr="00680AA9">
        <w:rPr>
          <w:rFonts w:ascii="Arial" w:hAnsi="Arial" w:cs="Arial"/>
          <w:color w:val="000000" w:themeColor="text1"/>
          <w:sz w:val="20"/>
          <w:szCs w:val="20"/>
        </w:rPr>
        <w:t>showed  non</w:t>
      </w:r>
      <w:proofErr w:type="gramEnd"/>
      <w:r w:rsidRPr="00680AA9">
        <w:rPr>
          <w:rFonts w:ascii="Arial" w:hAnsi="Arial" w:cs="Arial"/>
          <w:color w:val="000000" w:themeColor="text1"/>
          <w:sz w:val="20"/>
          <w:szCs w:val="20"/>
        </w:rPr>
        <w:t xml:space="preserve"> mutagenic nature of the pigment at all the studied concentrations (25, 50, 100 and 200 µg/ 0.1ml) used in the experiment, as the number of revertant colonies in plates with pigment concentrations were found to be similar to that of spontaneous revertant colonies for TA98 as well as TA100 (Table 5). On contrary, most of the textile dyes are highly toxic and potentially carcinogenic and pose potential threat to the environmental as well as to human health </w:t>
      </w:r>
      <w:r w:rsidR="00257717" w:rsidRPr="00680AA9">
        <w:rPr>
          <w:rFonts w:ascii="Arial" w:hAnsi="Arial" w:cs="Arial"/>
          <w:color w:val="000000" w:themeColor="text1"/>
          <w:sz w:val="20"/>
          <w:szCs w:val="20"/>
        </w:rPr>
        <w:t>(Periyasamy et al., 2024).</w:t>
      </w:r>
      <w:r w:rsidR="006B6FED" w:rsidRPr="00680AA9">
        <w:rPr>
          <w:rFonts w:ascii="Arial" w:hAnsi="Arial" w:cs="Arial"/>
          <w:color w:val="000000" w:themeColor="text1"/>
          <w:sz w:val="20"/>
          <w:szCs w:val="20"/>
        </w:rPr>
        <w:t xml:space="preserve"> Therefore, the non-</w:t>
      </w:r>
      <w:r w:rsidRPr="00680AA9">
        <w:rPr>
          <w:rFonts w:ascii="Arial" w:hAnsi="Arial" w:cs="Arial"/>
          <w:color w:val="000000" w:themeColor="text1"/>
          <w:sz w:val="20"/>
          <w:szCs w:val="20"/>
        </w:rPr>
        <w:t>mutagenic nature of the pigment point towards its promising potential to be used as a safe pigment/dye in the textile industries.</w:t>
      </w:r>
    </w:p>
    <w:p w14:paraId="30F28C04"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3F2378A"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5E498AEA"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46630E6C"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12D0FC9"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18C387F6"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20439819"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5C2EC59B" w14:textId="77777777" w:rsidR="00AA1CAD" w:rsidRDefault="00AA1CAD" w:rsidP="00AA1CAD">
      <w:pPr>
        <w:autoSpaceDE w:val="0"/>
        <w:autoSpaceDN w:val="0"/>
        <w:adjustRightInd w:val="0"/>
        <w:spacing w:after="0" w:line="240" w:lineRule="auto"/>
        <w:jc w:val="both"/>
        <w:rPr>
          <w:rFonts w:ascii="Arial" w:hAnsi="Arial" w:cs="Arial"/>
          <w:b/>
          <w:sz w:val="20"/>
          <w:szCs w:val="20"/>
        </w:rPr>
      </w:pPr>
      <w:r w:rsidRPr="0008498C">
        <w:rPr>
          <w:rFonts w:ascii="Arial" w:hAnsi="Arial" w:cs="Arial"/>
          <w:b/>
          <w:sz w:val="20"/>
          <w:szCs w:val="20"/>
        </w:rPr>
        <w:lastRenderedPageBreak/>
        <w:t>Table 5: Mutagenic Testing of DP6 Pigment</w:t>
      </w:r>
    </w:p>
    <w:p w14:paraId="095FB2F0" w14:textId="77777777" w:rsidR="00816909" w:rsidRPr="0008498C" w:rsidRDefault="00816909" w:rsidP="00AA1CAD">
      <w:pPr>
        <w:autoSpaceDE w:val="0"/>
        <w:autoSpaceDN w:val="0"/>
        <w:adjustRightInd w:val="0"/>
        <w:spacing w:after="0" w:line="240" w:lineRule="auto"/>
        <w:jc w:val="both"/>
        <w:rPr>
          <w:rFonts w:ascii="Arial" w:hAnsi="Arial" w:cs="Arial"/>
          <w:b/>
          <w:sz w:val="20"/>
          <w:szCs w:val="20"/>
        </w:rPr>
      </w:pPr>
    </w:p>
    <w:tbl>
      <w:tblPr>
        <w:tblpPr w:leftFromText="180" w:rightFromText="180" w:vertAnchor="text" w:horzAnchor="margin" w:tblpX="198" w:tblpY="9"/>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504"/>
        <w:gridCol w:w="1886"/>
        <w:gridCol w:w="1954"/>
      </w:tblGrid>
      <w:tr w:rsidR="00AA1CAD" w:rsidRPr="0008498C" w14:paraId="4E37389E" w14:textId="77777777" w:rsidTr="00AD6DD2">
        <w:trPr>
          <w:trHeight w:val="530"/>
        </w:trPr>
        <w:tc>
          <w:tcPr>
            <w:tcW w:w="1536" w:type="pct"/>
            <w:vMerge w:val="restart"/>
            <w:shd w:val="clear" w:color="auto" w:fill="auto"/>
          </w:tcPr>
          <w:p w14:paraId="37605CAE"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Treatment</w:t>
            </w:r>
          </w:p>
        </w:tc>
        <w:tc>
          <w:tcPr>
            <w:tcW w:w="1367" w:type="pct"/>
            <w:vMerge w:val="restart"/>
            <w:shd w:val="clear" w:color="auto" w:fill="auto"/>
          </w:tcPr>
          <w:p w14:paraId="06D06198"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Dose (µg)</w:t>
            </w:r>
          </w:p>
        </w:tc>
        <w:tc>
          <w:tcPr>
            <w:tcW w:w="2097" w:type="pct"/>
            <w:gridSpan w:val="2"/>
            <w:shd w:val="clear" w:color="auto" w:fill="auto"/>
          </w:tcPr>
          <w:p w14:paraId="033CCAA8"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No. of colonies</w:t>
            </w:r>
          </w:p>
        </w:tc>
      </w:tr>
      <w:tr w:rsidR="00AA1CAD" w:rsidRPr="0008498C" w14:paraId="3181ADF5" w14:textId="77777777" w:rsidTr="00AD6DD2">
        <w:trPr>
          <w:trHeight w:val="440"/>
        </w:trPr>
        <w:tc>
          <w:tcPr>
            <w:tcW w:w="1536" w:type="pct"/>
            <w:vMerge/>
            <w:shd w:val="clear" w:color="auto" w:fill="auto"/>
          </w:tcPr>
          <w:p w14:paraId="3783D7F9"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p>
        </w:tc>
        <w:tc>
          <w:tcPr>
            <w:tcW w:w="1367" w:type="pct"/>
            <w:vMerge/>
            <w:shd w:val="clear" w:color="auto" w:fill="auto"/>
          </w:tcPr>
          <w:p w14:paraId="58013C61"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p>
        </w:tc>
        <w:tc>
          <w:tcPr>
            <w:tcW w:w="1030" w:type="pct"/>
            <w:shd w:val="clear" w:color="auto" w:fill="auto"/>
          </w:tcPr>
          <w:p w14:paraId="427635AC"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TA98</w:t>
            </w:r>
          </w:p>
        </w:tc>
        <w:tc>
          <w:tcPr>
            <w:tcW w:w="1068" w:type="pct"/>
            <w:shd w:val="clear" w:color="auto" w:fill="auto"/>
          </w:tcPr>
          <w:p w14:paraId="4BF5D88E"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TA100</w:t>
            </w:r>
          </w:p>
        </w:tc>
      </w:tr>
      <w:tr w:rsidR="00AA1CAD" w:rsidRPr="0008498C" w14:paraId="518CA747" w14:textId="77777777" w:rsidTr="00AD6DD2">
        <w:trPr>
          <w:trHeight w:val="233"/>
        </w:trPr>
        <w:tc>
          <w:tcPr>
            <w:tcW w:w="1536" w:type="pct"/>
            <w:shd w:val="clear" w:color="auto" w:fill="auto"/>
          </w:tcPr>
          <w:p w14:paraId="56FB58D5"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proofErr w:type="spellStart"/>
            <w:r w:rsidRPr="00680AA9">
              <w:rPr>
                <w:rFonts w:ascii="Arial" w:hAnsi="Arial" w:cs="Arial"/>
                <w:sz w:val="20"/>
                <w:szCs w:val="20"/>
              </w:rPr>
              <w:t>Spontaneous</w:t>
            </w:r>
            <w:r w:rsidRPr="00680AA9">
              <w:rPr>
                <w:rFonts w:ascii="Arial" w:hAnsi="Arial" w:cs="Arial"/>
                <w:sz w:val="20"/>
                <w:szCs w:val="20"/>
                <w:vertAlign w:val="superscript"/>
              </w:rPr>
              <w:t>a</w:t>
            </w:r>
            <w:proofErr w:type="spellEnd"/>
          </w:p>
        </w:tc>
        <w:tc>
          <w:tcPr>
            <w:tcW w:w="1367" w:type="pct"/>
            <w:shd w:val="clear" w:color="auto" w:fill="auto"/>
          </w:tcPr>
          <w:p w14:paraId="038BD280"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
        </w:tc>
        <w:tc>
          <w:tcPr>
            <w:tcW w:w="1030" w:type="pct"/>
            <w:shd w:val="clear" w:color="auto" w:fill="auto"/>
          </w:tcPr>
          <w:p w14:paraId="26173A4A"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26.0  ±</w:t>
            </w:r>
            <w:proofErr w:type="gramEnd"/>
            <w:r w:rsidRPr="0008498C">
              <w:rPr>
                <w:rFonts w:ascii="Arial" w:hAnsi="Arial" w:cs="Arial"/>
                <w:sz w:val="20"/>
                <w:szCs w:val="20"/>
              </w:rPr>
              <w:t xml:space="preserve"> 1.0</w:t>
            </w:r>
          </w:p>
        </w:tc>
        <w:tc>
          <w:tcPr>
            <w:tcW w:w="1068" w:type="pct"/>
            <w:shd w:val="clear" w:color="auto" w:fill="auto"/>
          </w:tcPr>
          <w:p w14:paraId="6423EECA"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187.33± 2.0</w:t>
            </w:r>
          </w:p>
        </w:tc>
      </w:tr>
      <w:tr w:rsidR="00AA1CAD" w:rsidRPr="0008498C" w14:paraId="281AF33A" w14:textId="77777777" w:rsidTr="00AD6DD2">
        <w:tc>
          <w:tcPr>
            <w:tcW w:w="1536" w:type="pct"/>
            <w:shd w:val="clear" w:color="auto" w:fill="auto"/>
          </w:tcPr>
          <w:p w14:paraId="1BFA3E37"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Positive control (NPD)</w:t>
            </w:r>
            <w:r w:rsidRPr="00680AA9">
              <w:rPr>
                <w:rFonts w:ascii="Arial" w:hAnsi="Arial" w:cs="Arial"/>
                <w:sz w:val="20"/>
                <w:szCs w:val="20"/>
                <w:vertAlign w:val="superscript"/>
              </w:rPr>
              <w:t>b</w:t>
            </w:r>
          </w:p>
        </w:tc>
        <w:tc>
          <w:tcPr>
            <w:tcW w:w="1367" w:type="pct"/>
            <w:shd w:val="clear" w:color="auto" w:fill="auto"/>
          </w:tcPr>
          <w:p w14:paraId="6A317B46"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20</w:t>
            </w:r>
          </w:p>
        </w:tc>
        <w:tc>
          <w:tcPr>
            <w:tcW w:w="1030" w:type="pct"/>
            <w:shd w:val="clear" w:color="auto" w:fill="auto"/>
          </w:tcPr>
          <w:p w14:paraId="07532E95"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950.33  ±</w:t>
            </w:r>
            <w:proofErr w:type="gramEnd"/>
            <w:r w:rsidRPr="0008498C">
              <w:rPr>
                <w:rFonts w:ascii="Arial" w:hAnsi="Arial" w:cs="Arial"/>
                <w:sz w:val="20"/>
                <w:szCs w:val="20"/>
              </w:rPr>
              <w:t xml:space="preserve"> 2.5</w:t>
            </w:r>
          </w:p>
        </w:tc>
        <w:tc>
          <w:tcPr>
            <w:tcW w:w="1068" w:type="pct"/>
            <w:shd w:val="clear" w:color="auto" w:fill="auto"/>
          </w:tcPr>
          <w:p w14:paraId="1D2ED12A"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
        </w:tc>
      </w:tr>
      <w:tr w:rsidR="00AA1CAD" w:rsidRPr="0008498C" w14:paraId="52C3DD0D" w14:textId="77777777" w:rsidTr="00AD6DD2">
        <w:tc>
          <w:tcPr>
            <w:tcW w:w="1536" w:type="pct"/>
            <w:shd w:val="clear" w:color="auto" w:fill="auto"/>
          </w:tcPr>
          <w:p w14:paraId="2CF1D00A"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 xml:space="preserve">Positive </w:t>
            </w:r>
            <w:proofErr w:type="spellStart"/>
            <w:r w:rsidRPr="00680AA9">
              <w:rPr>
                <w:rFonts w:ascii="Arial" w:hAnsi="Arial" w:cs="Arial"/>
                <w:sz w:val="20"/>
                <w:szCs w:val="20"/>
              </w:rPr>
              <w:t>control</w:t>
            </w:r>
            <w:r w:rsidRPr="00680AA9">
              <w:rPr>
                <w:rFonts w:ascii="Arial" w:hAnsi="Arial" w:cs="Arial"/>
                <w:sz w:val="20"/>
                <w:szCs w:val="20"/>
                <w:vertAlign w:val="superscript"/>
              </w:rPr>
              <w:t>b</w:t>
            </w:r>
            <w:proofErr w:type="spellEnd"/>
          </w:p>
          <w:p w14:paraId="53C6CC8C"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 xml:space="preserve">(Sodium </w:t>
            </w:r>
            <w:proofErr w:type="spellStart"/>
            <w:r w:rsidRPr="00680AA9">
              <w:rPr>
                <w:rFonts w:ascii="Arial" w:hAnsi="Arial" w:cs="Arial"/>
                <w:sz w:val="20"/>
                <w:szCs w:val="20"/>
              </w:rPr>
              <w:t>azide</w:t>
            </w:r>
            <w:proofErr w:type="spellEnd"/>
            <w:r w:rsidRPr="00680AA9">
              <w:rPr>
                <w:rFonts w:ascii="Arial" w:hAnsi="Arial" w:cs="Arial"/>
                <w:sz w:val="20"/>
                <w:szCs w:val="20"/>
              </w:rPr>
              <w:t>)</w:t>
            </w:r>
          </w:p>
        </w:tc>
        <w:tc>
          <w:tcPr>
            <w:tcW w:w="1367" w:type="pct"/>
            <w:shd w:val="clear" w:color="auto" w:fill="auto"/>
          </w:tcPr>
          <w:p w14:paraId="0CA20A8D"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2.5</w:t>
            </w:r>
          </w:p>
        </w:tc>
        <w:tc>
          <w:tcPr>
            <w:tcW w:w="1030" w:type="pct"/>
            <w:shd w:val="clear" w:color="auto" w:fill="auto"/>
          </w:tcPr>
          <w:p w14:paraId="3F7B8815"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
        </w:tc>
        <w:tc>
          <w:tcPr>
            <w:tcW w:w="1068" w:type="pct"/>
            <w:shd w:val="clear" w:color="auto" w:fill="auto"/>
          </w:tcPr>
          <w:p w14:paraId="012064B3"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1115.33± 4.0</w:t>
            </w:r>
          </w:p>
        </w:tc>
      </w:tr>
      <w:tr w:rsidR="00AA1CAD" w:rsidRPr="0008498C" w14:paraId="281644C6" w14:textId="77777777" w:rsidTr="00AD6DD2">
        <w:tc>
          <w:tcPr>
            <w:tcW w:w="1536" w:type="pct"/>
            <w:shd w:val="clear" w:color="auto" w:fill="auto"/>
          </w:tcPr>
          <w:p w14:paraId="3F041424"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 xml:space="preserve">DP6 Pigment </w:t>
            </w:r>
            <w:proofErr w:type="spellStart"/>
            <w:r w:rsidRPr="00680AA9">
              <w:rPr>
                <w:rFonts w:ascii="Arial" w:hAnsi="Arial" w:cs="Arial"/>
                <w:sz w:val="20"/>
                <w:szCs w:val="20"/>
              </w:rPr>
              <w:t>Extract</w:t>
            </w:r>
            <w:r w:rsidRPr="00680AA9">
              <w:rPr>
                <w:rFonts w:ascii="Arial" w:hAnsi="Arial" w:cs="Arial"/>
                <w:sz w:val="20"/>
                <w:szCs w:val="20"/>
                <w:vertAlign w:val="superscript"/>
              </w:rPr>
              <w:t>c</w:t>
            </w:r>
            <w:proofErr w:type="spellEnd"/>
          </w:p>
        </w:tc>
        <w:tc>
          <w:tcPr>
            <w:tcW w:w="1367" w:type="pct"/>
            <w:shd w:val="clear" w:color="auto" w:fill="auto"/>
          </w:tcPr>
          <w:p w14:paraId="1A8574E8"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25</w:t>
            </w:r>
          </w:p>
          <w:p w14:paraId="0CE2BB3B"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50</w:t>
            </w:r>
          </w:p>
          <w:p w14:paraId="71357CD4"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100</w:t>
            </w:r>
          </w:p>
          <w:p w14:paraId="2C02CC46"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250</w:t>
            </w:r>
          </w:p>
        </w:tc>
        <w:tc>
          <w:tcPr>
            <w:tcW w:w="1030" w:type="pct"/>
            <w:shd w:val="clear" w:color="auto" w:fill="auto"/>
          </w:tcPr>
          <w:p w14:paraId="02636BA1"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22.33  ±</w:t>
            </w:r>
            <w:proofErr w:type="gramEnd"/>
            <w:r w:rsidRPr="0008498C">
              <w:rPr>
                <w:rFonts w:ascii="Arial" w:hAnsi="Arial" w:cs="Arial"/>
                <w:sz w:val="20"/>
                <w:szCs w:val="20"/>
              </w:rPr>
              <w:t xml:space="preserve"> 2.5</w:t>
            </w:r>
          </w:p>
          <w:p w14:paraId="3B24BCEE"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25  ±</w:t>
            </w:r>
            <w:proofErr w:type="gramEnd"/>
            <w:r w:rsidRPr="0008498C">
              <w:rPr>
                <w:rFonts w:ascii="Arial" w:hAnsi="Arial" w:cs="Arial"/>
                <w:sz w:val="20"/>
                <w:szCs w:val="20"/>
              </w:rPr>
              <w:t xml:space="preserve"> 1.6</w:t>
            </w:r>
          </w:p>
          <w:p w14:paraId="0B70CE35"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24.0  ±</w:t>
            </w:r>
            <w:proofErr w:type="gramEnd"/>
            <w:r w:rsidRPr="0008498C">
              <w:rPr>
                <w:rFonts w:ascii="Arial" w:hAnsi="Arial" w:cs="Arial"/>
                <w:sz w:val="20"/>
                <w:szCs w:val="20"/>
              </w:rPr>
              <w:t xml:space="preserve"> 2.5</w:t>
            </w:r>
          </w:p>
          <w:p w14:paraId="01A38646"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24.63  ±</w:t>
            </w:r>
            <w:proofErr w:type="gramEnd"/>
            <w:r w:rsidRPr="0008498C">
              <w:rPr>
                <w:rFonts w:ascii="Arial" w:hAnsi="Arial" w:cs="Arial"/>
                <w:sz w:val="20"/>
                <w:szCs w:val="20"/>
              </w:rPr>
              <w:t xml:space="preserve"> 1.5</w:t>
            </w:r>
          </w:p>
        </w:tc>
        <w:tc>
          <w:tcPr>
            <w:tcW w:w="1068" w:type="pct"/>
            <w:shd w:val="clear" w:color="auto" w:fill="auto"/>
          </w:tcPr>
          <w:p w14:paraId="7962D5B0"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187.66  ±</w:t>
            </w:r>
            <w:proofErr w:type="gramEnd"/>
            <w:r w:rsidRPr="0008498C">
              <w:rPr>
                <w:rFonts w:ascii="Arial" w:hAnsi="Arial" w:cs="Arial"/>
                <w:sz w:val="20"/>
                <w:szCs w:val="20"/>
              </w:rPr>
              <w:t xml:space="preserve"> 4.0</w:t>
            </w:r>
          </w:p>
          <w:p w14:paraId="5FACABDC"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185.0  ±</w:t>
            </w:r>
            <w:proofErr w:type="gramEnd"/>
            <w:r w:rsidRPr="0008498C">
              <w:rPr>
                <w:rFonts w:ascii="Arial" w:hAnsi="Arial" w:cs="Arial"/>
                <w:sz w:val="20"/>
                <w:szCs w:val="20"/>
              </w:rPr>
              <w:t xml:space="preserve"> 4.5</w:t>
            </w:r>
          </w:p>
          <w:p w14:paraId="7E4A0417"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186.66  ±</w:t>
            </w:r>
            <w:proofErr w:type="gramEnd"/>
            <w:r w:rsidRPr="0008498C">
              <w:rPr>
                <w:rFonts w:ascii="Arial" w:hAnsi="Arial" w:cs="Arial"/>
                <w:sz w:val="20"/>
                <w:szCs w:val="20"/>
              </w:rPr>
              <w:t xml:space="preserve"> 2.5</w:t>
            </w:r>
          </w:p>
          <w:p w14:paraId="788BD924"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roofErr w:type="gramStart"/>
            <w:r w:rsidRPr="0008498C">
              <w:rPr>
                <w:rFonts w:ascii="Arial" w:hAnsi="Arial" w:cs="Arial"/>
                <w:sz w:val="20"/>
                <w:szCs w:val="20"/>
              </w:rPr>
              <w:t>190.33  ±</w:t>
            </w:r>
            <w:proofErr w:type="gramEnd"/>
            <w:r w:rsidRPr="0008498C">
              <w:rPr>
                <w:rFonts w:ascii="Arial" w:hAnsi="Arial" w:cs="Arial"/>
                <w:sz w:val="20"/>
                <w:szCs w:val="20"/>
              </w:rPr>
              <w:t xml:space="preserve"> 7.6</w:t>
            </w:r>
          </w:p>
        </w:tc>
      </w:tr>
    </w:tbl>
    <w:p w14:paraId="79591BCB" w14:textId="77777777" w:rsidR="00680AA9" w:rsidRDefault="00680AA9" w:rsidP="00AA1CAD">
      <w:pPr>
        <w:autoSpaceDE w:val="0"/>
        <w:autoSpaceDN w:val="0"/>
        <w:adjustRightInd w:val="0"/>
        <w:spacing w:after="0" w:line="240" w:lineRule="auto"/>
        <w:jc w:val="both"/>
        <w:rPr>
          <w:rFonts w:ascii="Arial" w:hAnsi="Arial" w:cs="Arial"/>
          <w:sz w:val="20"/>
          <w:szCs w:val="20"/>
        </w:rPr>
      </w:pPr>
    </w:p>
    <w:p w14:paraId="6A8C3FF7"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08498C">
        <w:rPr>
          <w:rFonts w:ascii="Arial" w:hAnsi="Arial" w:cs="Arial"/>
          <w:sz w:val="20"/>
          <w:szCs w:val="20"/>
        </w:rPr>
        <w:t xml:space="preserve"> </w:t>
      </w:r>
      <w:r w:rsidRPr="00680AA9">
        <w:rPr>
          <w:rFonts w:ascii="Arial" w:hAnsi="Arial" w:cs="Arial"/>
          <w:sz w:val="18"/>
          <w:szCs w:val="18"/>
        </w:rPr>
        <w:t xml:space="preserve"> Values are mean ± S.D</w:t>
      </w:r>
    </w:p>
    <w:p w14:paraId="217EE570"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a</w:t>
      </w:r>
      <w:r w:rsidRPr="00680AA9">
        <w:rPr>
          <w:rFonts w:ascii="Arial" w:hAnsi="Arial" w:cs="Arial"/>
          <w:sz w:val="18"/>
          <w:szCs w:val="18"/>
        </w:rPr>
        <w:t>Mean</w:t>
      </w:r>
      <w:proofErr w:type="spellEnd"/>
      <w:r w:rsidRPr="00680AA9">
        <w:rPr>
          <w:rFonts w:ascii="Arial" w:hAnsi="Arial" w:cs="Arial"/>
          <w:sz w:val="18"/>
          <w:szCs w:val="18"/>
        </w:rPr>
        <w:t xml:space="preserve"> number of spontaneous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as determined in assays without pigment extract and   standard mutagen</w:t>
      </w:r>
    </w:p>
    <w:p w14:paraId="1C34B316"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b</w:t>
      </w:r>
      <w:r w:rsidRPr="00680AA9">
        <w:rPr>
          <w:rFonts w:ascii="Arial" w:hAnsi="Arial" w:cs="Arial"/>
          <w:sz w:val="18"/>
          <w:szCs w:val="18"/>
        </w:rPr>
        <w:t>Mean</w:t>
      </w:r>
      <w:proofErr w:type="spellEnd"/>
      <w:r w:rsidRPr="00680AA9">
        <w:rPr>
          <w:rFonts w:ascii="Arial" w:hAnsi="Arial" w:cs="Arial"/>
          <w:sz w:val="18"/>
          <w:szCs w:val="18"/>
        </w:rPr>
        <w:t xml:space="preserve"> number of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induced by reference mutagens: </w:t>
      </w:r>
      <w:r w:rsidR="00680AA9">
        <w:rPr>
          <w:rFonts w:ascii="Arial" w:hAnsi="Arial" w:cs="Arial"/>
          <w:sz w:val="18"/>
          <w:szCs w:val="18"/>
        </w:rPr>
        <w:t>NPD</w:t>
      </w:r>
      <w:r w:rsidRPr="00680AA9">
        <w:rPr>
          <w:rFonts w:ascii="Arial" w:hAnsi="Arial" w:cs="Arial"/>
          <w:sz w:val="18"/>
          <w:szCs w:val="18"/>
        </w:rPr>
        <w:t xml:space="preserve"> </w:t>
      </w:r>
      <w:r w:rsidR="00680AA9">
        <w:rPr>
          <w:rFonts w:ascii="Arial" w:hAnsi="Arial" w:cs="Arial"/>
          <w:sz w:val="18"/>
          <w:szCs w:val="18"/>
        </w:rPr>
        <w:t>(</w:t>
      </w:r>
      <w:r w:rsidRPr="00680AA9">
        <w:rPr>
          <w:rFonts w:ascii="Arial" w:hAnsi="Arial" w:cs="Arial"/>
          <w:sz w:val="18"/>
          <w:szCs w:val="18"/>
        </w:rPr>
        <w:t xml:space="preserve">20 </w:t>
      </w:r>
      <w:proofErr w:type="spellStart"/>
      <w:r w:rsidRPr="00680AA9">
        <w:rPr>
          <w:rFonts w:ascii="Arial" w:hAnsi="Arial" w:cs="Arial"/>
          <w:sz w:val="18"/>
          <w:szCs w:val="18"/>
        </w:rPr>
        <w:t>μg</w:t>
      </w:r>
      <w:proofErr w:type="spellEnd"/>
      <w:r w:rsidRPr="00680AA9">
        <w:rPr>
          <w:rFonts w:ascii="Arial" w:hAnsi="Arial" w:cs="Arial"/>
          <w:sz w:val="18"/>
          <w:szCs w:val="18"/>
        </w:rPr>
        <w:t xml:space="preserve">) and Sodium </w:t>
      </w:r>
      <w:proofErr w:type="spellStart"/>
      <w:r w:rsidRPr="00680AA9">
        <w:rPr>
          <w:rFonts w:ascii="Arial" w:hAnsi="Arial" w:cs="Arial"/>
          <w:sz w:val="18"/>
          <w:szCs w:val="18"/>
        </w:rPr>
        <w:t>azide</w:t>
      </w:r>
      <w:proofErr w:type="spellEnd"/>
    </w:p>
    <w:p w14:paraId="2CC70BB7" w14:textId="77777777" w:rsidR="00AA1CAD" w:rsidRPr="00680AA9" w:rsidRDefault="00AA1CAD" w:rsidP="00680AA9">
      <w:pPr>
        <w:autoSpaceDE w:val="0"/>
        <w:autoSpaceDN w:val="0"/>
        <w:adjustRightInd w:val="0"/>
        <w:spacing w:after="0" w:line="276" w:lineRule="auto"/>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c</w:t>
      </w:r>
      <w:r w:rsidRPr="00680AA9">
        <w:rPr>
          <w:rFonts w:ascii="Arial" w:hAnsi="Arial" w:cs="Arial"/>
          <w:sz w:val="18"/>
          <w:szCs w:val="18"/>
        </w:rPr>
        <w:t>Mean</w:t>
      </w:r>
      <w:proofErr w:type="spellEnd"/>
      <w:r w:rsidRPr="00680AA9">
        <w:rPr>
          <w:rFonts w:ascii="Arial" w:hAnsi="Arial" w:cs="Arial"/>
          <w:sz w:val="18"/>
          <w:szCs w:val="18"/>
        </w:rPr>
        <w:t xml:space="preserve"> number of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induced by DP6 pigment extract at different concentrations</w:t>
      </w:r>
    </w:p>
    <w:p w14:paraId="6B193236" w14:textId="77777777" w:rsidR="00AA1CAD" w:rsidRPr="00680AA9" w:rsidRDefault="00AA1CAD" w:rsidP="00680AA9">
      <w:pPr>
        <w:autoSpaceDE w:val="0"/>
        <w:autoSpaceDN w:val="0"/>
        <w:adjustRightInd w:val="0"/>
        <w:spacing w:before="240" w:line="240" w:lineRule="auto"/>
        <w:rPr>
          <w:rFonts w:ascii="Arial" w:hAnsi="Arial" w:cs="Arial"/>
          <w:b/>
          <w:sz w:val="18"/>
          <w:szCs w:val="18"/>
        </w:rPr>
      </w:pPr>
    </w:p>
    <w:p w14:paraId="40A82D70" w14:textId="77777777" w:rsidR="00A726C4" w:rsidRPr="0008498C" w:rsidRDefault="00232C57" w:rsidP="002C4F77">
      <w:pPr>
        <w:autoSpaceDE w:val="0"/>
        <w:autoSpaceDN w:val="0"/>
        <w:adjustRightInd w:val="0"/>
        <w:spacing w:before="240" w:line="240" w:lineRule="auto"/>
        <w:jc w:val="both"/>
        <w:rPr>
          <w:rFonts w:ascii="Arial" w:hAnsi="Arial" w:cs="Arial"/>
          <w:b/>
        </w:rPr>
      </w:pPr>
      <w:r w:rsidRPr="0008498C">
        <w:rPr>
          <w:rFonts w:ascii="Arial" w:hAnsi="Arial" w:cs="Arial"/>
          <w:b/>
        </w:rPr>
        <w:t xml:space="preserve">3.8 </w:t>
      </w:r>
      <w:r w:rsidR="00A726C4" w:rsidRPr="0008498C">
        <w:rPr>
          <w:rFonts w:ascii="Arial" w:hAnsi="Arial" w:cs="Arial"/>
          <w:b/>
        </w:rPr>
        <w:t>Purification and structure of pigment</w:t>
      </w:r>
    </w:p>
    <w:p w14:paraId="0EE40A37" w14:textId="77777777" w:rsidR="00312097" w:rsidRDefault="00ED621E"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sz w:val="20"/>
          <w:szCs w:val="20"/>
        </w:rPr>
        <w:t>The pigment culture filtrate was recovered using XAD-4 (5% v/v) resin, purified by size exclusion chromatography (</w:t>
      </w:r>
      <w:proofErr w:type="spellStart"/>
      <w:r w:rsidRPr="0008498C">
        <w:rPr>
          <w:rFonts w:ascii="Arial" w:hAnsi="Arial" w:cs="Arial"/>
          <w:sz w:val="20"/>
          <w:szCs w:val="20"/>
        </w:rPr>
        <w:t>Toyopearl</w:t>
      </w:r>
      <w:proofErr w:type="spellEnd"/>
      <w:r w:rsidRPr="0008498C">
        <w:rPr>
          <w:rFonts w:ascii="Arial" w:hAnsi="Arial" w:cs="Arial"/>
          <w:sz w:val="20"/>
          <w:szCs w:val="20"/>
        </w:rPr>
        <w:t xml:space="preserve"> resin HW-40) and reverse phase-HPLC. The HPLC purified peptide showed retention peak at 17.3 min (Fig.</w:t>
      </w:r>
      <w:r w:rsidR="00A66D0C" w:rsidRPr="0008498C">
        <w:rPr>
          <w:rFonts w:ascii="Arial" w:hAnsi="Arial" w:cs="Arial"/>
          <w:sz w:val="20"/>
          <w:szCs w:val="20"/>
        </w:rPr>
        <w:t xml:space="preserve"> 4</w:t>
      </w:r>
      <w:r w:rsidRPr="0008498C">
        <w:rPr>
          <w:rFonts w:ascii="Arial" w:hAnsi="Arial" w:cs="Arial"/>
          <w:sz w:val="20"/>
          <w:szCs w:val="20"/>
        </w:rPr>
        <w:t>)</w:t>
      </w:r>
      <w:proofErr w:type="gramStart"/>
      <w:r w:rsidRPr="0008498C">
        <w:rPr>
          <w:rFonts w:ascii="Arial" w:hAnsi="Arial" w:cs="Arial"/>
          <w:sz w:val="20"/>
          <w:szCs w:val="20"/>
        </w:rPr>
        <w:t>. .</w:t>
      </w:r>
      <w:proofErr w:type="gramEnd"/>
      <w:r w:rsidRPr="0008498C">
        <w:rPr>
          <w:rFonts w:ascii="Arial" w:hAnsi="Arial" w:cs="Arial"/>
          <w:sz w:val="20"/>
          <w:szCs w:val="20"/>
        </w:rPr>
        <w:t xml:space="preserve"> </w:t>
      </w:r>
      <w:r w:rsidRPr="0008498C">
        <w:rPr>
          <w:rFonts w:ascii="Arial" w:hAnsi="Arial" w:cs="Arial"/>
          <w:sz w:val="20"/>
          <w:szCs w:val="20"/>
          <w:vertAlign w:val="superscript"/>
        </w:rPr>
        <w:t>1</w:t>
      </w:r>
      <w:r w:rsidRPr="0008498C">
        <w:rPr>
          <w:rFonts w:ascii="Arial" w:hAnsi="Arial" w:cs="Arial"/>
          <w:sz w:val="20"/>
          <w:szCs w:val="20"/>
        </w:rPr>
        <w:t xml:space="preserve">H NMR showed the doublets at δ 7.14 and 7.38 respectively, and some </w:t>
      </w:r>
      <w:proofErr w:type="spellStart"/>
      <w:r w:rsidRPr="0008498C">
        <w:rPr>
          <w:rFonts w:ascii="Arial" w:hAnsi="Arial" w:cs="Arial"/>
          <w:sz w:val="20"/>
          <w:szCs w:val="20"/>
        </w:rPr>
        <w:t>multiplets</w:t>
      </w:r>
      <w:proofErr w:type="spellEnd"/>
      <w:r w:rsidRPr="0008498C">
        <w:rPr>
          <w:rFonts w:ascii="Arial" w:hAnsi="Arial" w:cs="Arial"/>
          <w:sz w:val="20"/>
          <w:szCs w:val="20"/>
        </w:rPr>
        <w:t xml:space="preserve"> of remaining aroma</w:t>
      </w:r>
      <w:r w:rsidR="008C6C92" w:rsidRPr="0008498C">
        <w:rPr>
          <w:rFonts w:ascii="Arial" w:hAnsi="Arial" w:cs="Arial"/>
          <w:sz w:val="20"/>
          <w:szCs w:val="20"/>
        </w:rPr>
        <w:t>tic protons are showed at δ 1.0</w:t>
      </w:r>
      <w:r w:rsidRPr="0008498C">
        <w:rPr>
          <w:rFonts w:ascii="Arial" w:hAnsi="Arial" w:cs="Arial"/>
          <w:sz w:val="20"/>
          <w:szCs w:val="20"/>
        </w:rPr>
        <w:t>-</w:t>
      </w:r>
      <w:r w:rsidR="008C6C92" w:rsidRPr="0008498C">
        <w:rPr>
          <w:rFonts w:ascii="Arial" w:hAnsi="Arial" w:cs="Arial"/>
          <w:sz w:val="20"/>
          <w:szCs w:val="20"/>
        </w:rPr>
        <w:t>11.9</w:t>
      </w:r>
      <w:r w:rsidR="00A66D0C" w:rsidRPr="0008498C">
        <w:rPr>
          <w:rFonts w:ascii="Arial" w:hAnsi="Arial" w:cs="Arial"/>
          <w:sz w:val="20"/>
          <w:szCs w:val="20"/>
        </w:rPr>
        <w:t xml:space="preserve"> (Fig</w:t>
      </w:r>
      <w:r w:rsidR="00816909">
        <w:rPr>
          <w:rFonts w:ascii="Arial" w:hAnsi="Arial" w:cs="Arial"/>
          <w:sz w:val="20"/>
          <w:szCs w:val="20"/>
        </w:rPr>
        <w:t>.</w:t>
      </w:r>
      <w:r w:rsidR="00A66D0C" w:rsidRPr="0008498C">
        <w:rPr>
          <w:rFonts w:ascii="Arial" w:hAnsi="Arial" w:cs="Arial"/>
          <w:sz w:val="20"/>
          <w:szCs w:val="20"/>
        </w:rPr>
        <w:t xml:space="preserve"> 5)</w:t>
      </w:r>
      <w:r w:rsidRPr="0008498C">
        <w:rPr>
          <w:rFonts w:ascii="Arial" w:hAnsi="Arial" w:cs="Arial"/>
          <w:sz w:val="20"/>
          <w:szCs w:val="20"/>
        </w:rPr>
        <w:t xml:space="preserve">. Proton NMR </w:t>
      </w:r>
      <w:r w:rsidR="00414D05" w:rsidRPr="0008498C">
        <w:rPr>
          <w:rFonts w:ascii="Arial" w:hAnsi="Arial" w:cs="Arial"/>
          <w:sz w:val="20"/>
          <w:szCs w:val="20"/>
        </w:rPr>
        <w:t>indicate presence of</w:t>
      </w:r>
      <w:r w:rsidR="008C6C92" w:rsidRPr="0008498C">
        <w:rPr>
          <w:rFonts w:ascii="Arial" w:hAnsi="Arial" w:cs="Arial"/>
          <w:sz w:val="20"/>
          <w:szCs w:val="20"/>
        </w:rPr>
        <w:t xml:space="preserve"> </w:t>
      </w:r>
      <w:r w:rsidRPr="0008498C">
        <w:rPr>
          <w:rFonts w:ascii="Arial" w:hAnsi="Arial" w:cs="Arial"/>
          <w:sz w:val="20"/>
          <w:szCs w:val="20"/>
        </w:rPr>
        <w:t>the singlet of methoxy group at δ 4.04.</w:t>
      </w:r>
      <w:r w:rsidR="00312097" w:rsidRPr="0008498C">
        <w:rPr>
          <w:rFonts w:ascii="Arial" w:hAnsi="Arial" w:cs="Arial"/>
          <w:sz w:val="20"/>
          <w:szCs w:val="20"/>
        </w:rPr>
        <w:t xml:space="preserve"> </w:t>
      </w:r>
      <w:r w:rsidR="00F2198E" w:rsidRPr="0008498C">
        <w:rPr>
          <w:rFonts w:ascii="Arial" w:hAnsi="Arial" w:cs="Arial"/>
          <w:sz w:val="20"/>
          <w:szCs w:val="20"/>
        </w:rPr>
        <w:t xml:space="preserve">It is suggested that the </w:t>
      </w:r>
      <w:r w:rsidR="0023547B" w:rsidRPr="0008498C">
        <w:rPr>
          <w:rFonts w:ascii="Arial" w:hAnsi="Arial" w:cs="Arial"/>
          <w:sz w:val="20"/>
          <w:szCs w:val="20"/>
        </w:rPr>
        <w:t xml:space="preserve">DP6 </w:t>
      </w:r>
      <w:r w:rsidR="00F2198E" w:rsidRPr="0008498C">
        <w:rPr>
          <w:rFonts w:ascii="Arial" w:hAnsi="Arial" w:cs="Arial"/>
          <w:sz w:val="20"/>
          <w:szCs w:val="20"/>
        </w:rPr>
        <w:t xml:space="preserve">pigment </w:t>
      </w:r>
      <w:r w:rsidR="00312097" w:rsidRPr="0008498C">
        <w:rPr>
          <w:rFonts w:ascii="Arial" w:hAnsi="Arial" w:cs="Arial"/>
          <w:sz w:val="20"/>
          <w:szCs w:val="20"/>
        </w:rPr>
        <w:t>may be like a</w:t>
      </w:r>
      <w:r w:rsidR="00F2198E" w:rsidRPr="0008498C">
        <w:rPr>
          <w:rFonts w:ascii="Arial" w:hAnsi="Arial" w:cs="Arial"/>
          <w:sz w:val="20"/>
          <w:szCs w:val="20"/>
        </w:rPr>
        <w:t>n</w:t>
      </w:r>
      <w:r w:rsidR="00312097" w:rsidRPr="0008498C">
        <w:rPr>
          <w:rFonts w:ascii="Arial" w:hAnsi="Arial" w:cs="Arial"/>
          <w:sz w:val="20"/>
          <w:szCs w:val="20"/>
        </w:rPr>
        <w:t xml:space="preserve"> anthraquinone type</w:t>
      </w:r>
      <w:r w:rsidR="00F2198E" w:rsidRPr="0008498C">
        <w:rPr>
          <w:rFonts w:ascii="Arial" w:hAnsi="Arial" w:cs="Arial"/>
          <w:sz w:val="20"/>
          <w:szCs w:val="20"/>
        </w:rPr>
        <w:t xml:space="preserve"> structure</w:t>
      </w:r>
      <w:r w:rsidR="00312097" w:rsidRPr="0008498C">
        <w:rPr>
          <w:rFonts w:ascii="Arial" w:hAnsi="Arial" w:cs="Arial"/>
          <w:sz w:val="20"/>
          <w:szCs w:val="20"/>
        </w:rPr>
        <w:t xml:space="preserve"> with methoxy group.</w:t>
      </w:r>
      <w:r w:rsidR="00246271" w:rsidRPr="0008498C">
        <w:rPr>
          <w:rFonts w:ascii="Georgia" w:hAnsi="Georgia"/>
          <w:color w:val="1F1F1F"/>
        </w:rPr>
        <w:t xml:space="preserve"> </w:t>
      </w:r>
      <w:r w:rsidR="00A32160" w:rsidRPr="0008498C">
        <w:rPr>
          <w:rFonts w:ascii="Arial" w:hAnsi="Arial" w:cs="Arial"/>
          <w:color w:val="1F1F1F"/>
          <w:sz w:val="20"/>
          <w:szCs w:val="20"/>
        </w:rPr>
        <w:t xml:space="preserve">A structurally related compound </w:t>
      </w:r>
      <w:r w:rsidR="0023547B" w:rsidRPr="0008498C">
        <w:rPr>
          <w:rFonts w:ascii="Arial" w:hAnsi="Arial" w:cs="Arial"/>
          <w:color w:val="1F1F1F"/>
          <w:sz w:val="20"/>
          <w:szCs w:val="20"/>
        </w:rPr>
        <w:t xml:space="preserve">to DP6, </w:t>
      </w:r>
      <w:r w:rsidR="00A32160" w:rsidRPr="0008498C">
        <w:rPr>
          <w:rFonts w:ascii="Arial" w:hAnsi="Arial" w:cs="Arial"/>
          <w:color w:val="1F1F1F"/>
          <w:sz w:val="20"/>
          <w:szCs w:val="20"/>
        </w:rPr>
        <w:t>exhibiting a</w:t>
      </w:r>
      <w:r w:rsidR="00246271" w:rsidRPr="0008498C">
        <w:rPr>
          <w:rFonts w:ascii="Arial" w:hAnsi="Arial" w:cs="Arial"/>
          <w:sz w:val="20"/>
          <w:szCs w:val="20"/>
        </w:rPr>
        <w:t>ntimicrobial and antiproliferative</w:t>
      </w:r>
      <w:r w:rsidR="0023547B" w:rsidRPr="0008498C">
        <w:rPr>
          <w:rFonts w:ascii="Arial" w:hAnsi="Arial" w:cs="Arial"/>
          <w:sz w:val="20"/>
          <w:szCs w:val="20"/>
        </w:rPr>
        <w:t xml:space="preserve"> property</w:t>
      </w:r>
      <w:r w:rsidR="00A32160" w:rsidRPr="0008498C">
        <w:rPr>
          <w:rFonts w:ascii="Arial" w:hAnsi="Arial" w:cs="Arial"/>
          <w:sz w:val="20"/>
          <w:szCs w:val="20"/>
        </w:rPr>
        <w:t>,</w:t>
      </w:r>
      <w:r w:rsidR="00246271" w:rsidRPr="0008498C">
        <w:rPr>
          <w:rFonts w:ascii="Arial" w:hAnsi="Arial" w:cs="Arial"/>
          <w:sz w:val="20"/>
          <w:szCs w:val="20"/>
        </w:rPr>
        <w:t xml:space="preserve"> was</w:t>
      </w:r>
      <w:r w:rsidR="00A32160" w:rsidRPr="0008498C">
        <w:rPr>
          <w:rFonts w:ascii="Arial" w:hAnsi="Arial" w:cs="Arial"/>
          <w:sz w:val="20"/>
          <w:szCs w:val="20"/>
        </w:rPr>
        <w:t xml:space="preserve"> previously </w:t>
      </w:r>
      <w:r w:rsidR="00246271" w:rsidRPr="0008498C">
        <w:rPr>
          <w:rFonts w:ascii="Arial" w:hAnsi="Arial" w:cs="Arial"/>
          <w:sz w:val="20"/>
          <w:szCs w:val="20"/>
        </w:rPr>
        <w:t>isolated</w:t>
      </w:r>
      <w:r w:rsidR="0023547B" w:rsidRPr="0008498C">
        <w:rPr>
          <w:rFonts w:ascii="Arial" w:hAnsi="Arial" w:cs="Arial"/>
          <w:sz w:val="20"/>
          <w:szCs w:val="20"/>
        </w:rPr>
        <w:t xml:space="preserve"> and reported </w:t>
      </w:r>
      <w:r w:rsidR="00246271" w:rsidRPr="0008498C">
        <w:rPr>
          <w:rFonts w:ascii="Arial" w:hAnsi="Arial" w:cs="Arial"/>
          <w:sz w:val="20"/>
          <w:szCs w:val="20"/>
        </w:rPr>
        <w:t>from </w:t>
      </w:r>
      <w:r w:rsidR="00246271" w:rsidRPr="0008498C">
        <w:rPr>
          <w:rFonts w:ascii="Arial" w:hAnsi="Arial" w:cs="Arial"/>
          <w:i/>
          <w:iCs/>
          <w:sz w:val="20"/>
          <w:szCs w:val="20"/>
        </w:rPr>
        <w:t xml:space="preserve">Streptomyces </w:t>
      </w:r>
      <w:proofErr w:type="spellStart"/>
      <w:r w:rsidR="00246271" w:rsidRPr="0008498C">
        <w:rPr>
          <w:rFonts w:ascii="Arial" w:hAnsi="Arial" w:cs="Arial"/>
          <w:i/>
          <w:iCs/>
          <w:sz w:val="20"/>
          <w:szCs w:val="20"/>
        </w:rPr>
        <w:t>olivochromogenes</w:t>
      </w:r>
      <w:proofErr w:type="spellEnd"/>
      <w:r w:rsidR="00246271" w:rsidRPr="0008498C">
        <w:rPr>
          <w:rFonts w:ascii="Arial" w:hAnsi="Arial" w:cs="Arial"/>
          <w:sz w:val="20"/>
          <w:szCs w:val="20"/>
        </w:rPr>
        <w:t> </w:t>
      </w:r>
      <w:r w:rsidR="00A32160" w:rsidRPr="0008498C">
        <w:rPr>
          <w:rFonts w:ascii="Arial" w:hAnsi="Arial" w:cs="Arial"/>
          <w:sz w:val="20"/>
          <w:szCs w:val="20"/>
        </w:rPr>
        <w:t xml:space="preserve">(Balachandran et al., 2016). </w:t>
      </w:r>
    </w:p>
    <w:p w14:paraId="5D68A25E" w14:textId="77777777" w:rsidR="00816909" w:rsidRPr="0008498C" w:rsidRDefault="00816909" w:rsidP="002C4F77">
      <w:pPr>
        <w:autoSpaceDE w:val="0"/>
        <w:autoSpaceDN w:val="0"/>
        <w:adjustRightInd w:val="0"/>
        <w:spacing w:after="0" w:line="240" w:lineRule="auto"/>
        <w:jc w:val="both"/>
        <w:rPr>
          <w:rFonts w:ascii="Arial" w:hAnsi="Arial" w:cs="Arial"/>
          <w:sz w:val="20"/>
          <w:szCs w:val="20"/>
        </w:rPr>
      </w:pPr>
    </w:p>
    <w:p w14:paraId="1229C771" w14:textId="77777777" w:rsidR="00AA1CAD" w:rsidRPr="0008498C" w:rsidRDefault="00AA1CAD" w:rsidP="002C4F77">
      <w:pPr>
        <w:autoSpaceDE w:val="0"/>
        <w:autoSpaceDN w:val="0"/>
        <w:adjustRightInd w:val="0"/>
        <w:spacing w:after="0" w:line="240" w:lineRule="auto"/>
        <w:jc w:val="both"/>
        <w:rPr>
          <w:rFonts w:ascii="Arial" w:hAnsi="Arial" w:cs="Arial"/>
          <w:sz w:val="20"/>
          <w:szCs w:val="20"/>
        </w:rPr>
      </w:pPr>
    </w:p>
    <w:p w14:paraId="67D504FA" w14:textId="77777777" w:rsidR="00791EED" w:rsidRPr="0008498C" w:rsidRDefault="00AA1CAD" w:rsidP="004C1C8D">
      <w:pPr>
        <w:autoSpaceDE w:val="0"/>
        <w:autoSpaceDN w:val="0"/>
        <w:adjustRightInd w:val="0"/>
        <w:spacing w:after="0" w:line="240" w:lineRule="auto"/>
        <w:jc w:val="center"/>
        <w:rPr>
          <w:rFonts w:ascii="Arial" w:hAnsi="Arial" w:cs="Arial"/>
          <w:sz w:val="20"/>
          <w:szCs w:val="20"/>
        </w:rPr>
      </w:pPr>
      <w:r w:rsidRPr="0008498C">
        <w:rPr>
          <w:noProof/>
          <w:lang w:eastAsia="en-IN"/>
        </w:rPr>
        <w:drawing>
          <wp:inline distT="0" distB="0" distL="0" distR="0" wp14:anchorId="703AEE1B" wp14:editId="1FCD68FD">
            <wp:extent cx="5112172" cy="1808922"/>
            <wp:effectExtent l="0" t="0" r="0" b="127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5080" cy="1834720"/>
                    </a:xfrm>
                    <a:prstGeom prst="rect">
                      <a:avLst/>
                    </a:prstGeom>
                    <a:noFill/>
                    <a:ln>
                      <a:noFill/>
                    </a:ln>
                  </pic:spPr>
                </pic:pic>
              </a:graphicData>
            </a:graphic>
          </wp:inline>
        </w:drawing>
      </w:r>
    </w:p>
    <w:p w14:paraId="722CDD3C" w14:textId="77777777" w:rsidR="00791EED" w:rsidRPr="0008498C" w:rsidRDefault="00791EED" w:rsidP="00791EED">
      <w:pPr>
        <w:rPr>
          <w:rFonts w:ascii="Arial" w:hAnsi="Arial" w:cs="Arial"/>
          <w:sz w:val="20"/>
          <w:szCs w:val="20"/>
        </w:rPr>
      </w:pPr>
    </w:p>
    <w:p w14:paraId="3E302EA6" w14:textId="77777777" w:rsidR="00791EED" w:rsidRPr="00816909" w:rsidRDefault="00791EED" w:rsidP="00816909">
      <w:pPr>
        <w:tabs>
          <w:tab w:val="left" w:pos="1110"/>
        </w:tabs>
        <w:jc w:val="center"/>
        <w:rPr>
          <w:rFonts w:ascii="Arial" w:hAnsi="Arial" w:cs="Arial"/>
          <w:b/>
          <w:sz w:val="20"/>
          <w:szCs w:val="20"/>
        </w:rPr>
      </w:pPr>
      <w:r w:rsidRPr="00816909">
        <w:rPr>
          <w:rFonts w:ascii="Arial" w:hAnsi="Arial" w:cs="Arial"/>
          <w:b/>
          <w:sz w:val="20"/>
          <w:szCs w:val="20"/>
        </w:rPr>
        <w:t>Fig</w:t>
      </w:r>
      <w:r w:rsidR="00816909">
        <w:rPr>
          <w:rFonts w:ascii="Arial" w:hAnsi="Arial" w:cs="Arial"/>
          <w:b/>
          <w:sz w:val="20"/>
          <w:szCs w:val="20"/>
        </w:rPr>
        <w:t xml:space="preserve">. 4. </w:t>
      </w:r>
      <w:r w:rsidRPr="00816909">
        <w:rPr>
          <w:rFonts w:ascii="Arial" w:hAnsi="Arial" w:cs="Arial"/>
          <w:b/>
          <w:sz w:val="20"/>
          <w:szCs w:val="20"/>
        </w:rPr>
        <w:t>RP-HPLC profile of the purified pigment</w:t>
      </w:r>
    </w:p>
    <w:p w14:paraId="597A66DA" w14:textId="77777777" w:rsidR="00AA1CAD" w:rsidRPr="0008498C" w:rsidRDefault="00AA1CAD" w:rsidP="00791EED">
      <w:pPr>
        <w:tabs>
          <w:tab w:val="left" w:pos="1110"/>
        </w:tabs>
        <w:rPr>
          <w:rFonts w:ascii="Arial" w:hAnsi="Arial" w:cs="Arial"/>
          <w:sz w:val="20"/>
          <w:szCs w:val="20"/>
        </w:rPr>
      </w:pPr>
    </w:p>
    <w:p w14:paraId="47C89D26" w14:textId="77777777" w:rsidR="00AA1CAD" w:rsidRPr="0008498C" w:rsidRDefault="00AA1CAD" w:rsidP="004C1C8D">
      <w:pPr>
        <w:autoSpaceDE w:val="0"/>
        <w:autoSpaceDN w:val="0"/>
        <w:adjustRightInd w:val="0"/>
        <w:spacing w:after="0" w:line="240" w:lineRule="auto"/>
        <w:jc w:val="center"/>
        <w:rPr>
          <w:rFonts w:ascii="Arial" w:hAnsi="Arial" w:cs="Arial"/>
          <w:sz w:val="20"/>
          <w:szCs w:val="20"/>
        </w:rPr>
      </w:pPr>
      <w:r w:rsidRPr="0008498C">
        <w:rPr>
          <w:noProof/>
          <w:lang w:eastAsia="en-IN"/>
        </w:rPr>
        <w:lastRenderedPageBreak/>
        <w:drawing>
          <wp:inline distT="0" distB="0" distL="0" distR="0" wp14:anchorId="26416A09" wp14:editId="368D909F">
            <wp:extent cx="5724525" cy="3599815"/>
            <wp:effectExtent l="0" t="0" r="9525" b="635"/>
            <wp:docPr id="2050" name="Picture 2" descr="C:\Users\sony\Desktop\sandy.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sony\Desktop\sandy.b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2378" cy="3604753"/>
                    </a:xfrm>
                    <a:prstGeom prst="rect">
                      <a:avLst/>
                    </a:prstGeom>
                    <a:noFill/>
                    <a:ln>
                      <a:noFill/>
                    </a:ln>
                  </pic:spPr>
                </pic:pic>
              </a:graphicData>
            </a:graphic>
          </wp:inline>
        </w:drawing>
      </w:r>
    </w:p>
    <w:p w14:paraId="7641A07B" w14:textId="77777777" w:rsidR="00816909" w:rsidRDefault="00816909" w:rsidP="00816909">
      <w:pPr>
        <w:autoSpaceDE w:val="0"/>
        <w:autoSpaceDN w:val="0"/>
        <w:adjustRightInd w:val="0"/>
        <w:spacing w:after="0" w:line="240" w:lineRule="auto"/>
        <w:jc w:val="center"/>
        <w:rPr>
          <w:rFonts w:ascii="Arial" w:hAnsi="Arial" w:cs="Arial"/>
          <w:b/>
          <w:sz w:val="20"/>
          <w:szCs w:val="20"/>
        </w:rPr>
      </w:pPr>
    </w:p>
    <w:p w14:paraId="4EB67B2E" w14:textId="77777777" w:rsidR="00791EED" w:rsidRPr="00816909" w:rsidRDefault="00791EED" w:rsidP="00816909">
      <w:pPr>
        <w:autoSpaceDE w:val="0"/>
        <w:autoSpaceDN w:val="0"/>
        <w:adjustRightInd w:val="0"/>
        <w:spacing w:after="0" w:line="240" w:lineRule="auto"/>
        <w:jc w:val="center"/>
        <w:rPr>
          <w:rFonts w:ascii="Arial" w:hAnsi="Arial" w:cs="Arial"/>
          <w:b/>
          <w:sz w:val="20"/>
          <w:szCs w:val="20"/>
        </w:rPr>
      </w:pPr>
      <w:r w:rsidRPr="00816909">
        <w:rPr>
          <w:rFonts w:ascii="Arial" w:hAnsi="Arial" w:cs="Arial"/>
          <w:b/>
          <w:sz w:val="20"/>
          <w:szCs w:val="20"/>
        </w:rPr>
        <w:t>Fig</w:t>
      </w:r>
      <w:r w:rsidR="00816909" w:rsidRPr="00816909">
        <w:rPr>
          <w:rFonts w:ascii="Arial" w:hAnsi="Arial" w:cs="Arial"/>
          <w:b/>
          <w:sz w:val="20"/>
          <w:szCs w:val="20"/>
        </w:rPr>
        <w:t>.</w:t>
      </w:r>
      <w:r w:rsidRPr="00816909">
        <w:rPr>
          <w:rFonts w:ascii="Arial" w:hAnsi="Arial" w:cs="Arial"/>
          <w:b/>
          <w:sz w:val="20"/>
          <w:szCs w:val="20"/>
        </w:rPr>
        <w:t xml:space="preserve"> 5</w:t>
      </w:r>
      <w:r w:rsidR="00816909" w:rsidRPr="00816909">
        <w:rPr>
          <w:rFonts w:ascii="Arial" w:hAnsi="Arial" w:cs="Arial"/>
          <w:b/>
          <w:sz w:val="20"/>
          <w:szCs w:val="20"/>
        </w:rPr>
        <w:t xml:space="preserve">. </w:t>
      </w:r>
      <w:r w:rsidRPr="00816909">
        <w:rPr>
          <w:rFonts w:ascii="Arial" w:hAnsi="Arial" w:cs="Arial"/>
          <w:b/>
          <w:sz w:val="20"/>
          <w:szCs w:val="20"/>
        </w:rPr>
        <w:t xml:space="preserve"> </w:t>
      </w:r>
      <w:r w:rsidRPr="00816909">
        <w:rPr>
          <w:rFonts w:ascii="Arial" w:hAnsi="Arial" w:cs="Arial"/>
          <w:b/>
          <w:sz w:val="20"/>
          <w:szCs w:val="20"/>
          <w:vertAlign w:val="superscript"/>
        </w:rPr>
        <w:t>1</w:t>
      </w:r>
      <w:r w:rsidRPr="00816909">
        <w:rPr>
          <w:rFonts w:ascii="Arial" w:hAnsi="Arial" w:cs="Arial"/>
          <w:b/>
          <w:sz w:val="20"/>
          <w:szCs w:val="20"/>
        </w:rPr>
        <w:t>H NMR of the purified pigment</w:t>
      </w:r>
    </w:p>
    <w:p w14:paraId="49A06E26" w14:textId="77777777" w:rsidR="00791EED" w:rsidRPr="00816909" w:rsidRDefault="00791EED" w:rsidP="00791EED">
      <w:pPr>
        <w:autoSpaceDE w:val="0"/>
        <w:autoSpaceDN w:val="0"/>
        <w:adjustRightInd w:val="0"/>
        <w:spacing w:after="0" w:line="240" w:lineRule="auto"/>
        <w:jc w:val="both"/>
        <w:rPr>
          <w:rFonts w:ascii="Arial" w:hAnsi="Arial" w:cs="Arial"/>
          <w:b/>
          <w:sz w:val="20"/>
          <w:szCs w:val="20"/>
        </w:rPr>
      </w:pPr>
    </w:p>
    <w:p w14:paraId="2AAE8ADD" w14:textId="77777777" w:rsidR="00AA1CAD" w:rsidRPr="0008498C" w:rsidRDefault="00AA1CAD" w:rsidP="002C4F77">
      <w:pPr>
        <w:autoSpaceDE w:val="0"/>
        <w:autoSpaceDN w:val="0"/>
        <w:adjustRightInd w:val="0"/>
        <w:spacing w:after="0" w:line="240" w:lineRule="auto"/>
        <w:jc w:val="both"/>
        <w:rPr>
          <w:rFonts w:ascii="Arial" w:hAnsi="Arial" w:cs="Arial"/>
          <w:sz w:val="20"/>
          <w:szCs w:val="20"/>
        </w:rPr>
      </w:pPr>
    </w:p>
    <w:p w14:paraId="0511F8B6" w14:textId="77777777" w:rsidR="00AB694B" w:rsidRPr="0008498C" w:rsidRDefault="00232C57" w:rsidP="0008498C">
      <w:pPr>
        <w:spacing w:line="240" w:lineRule="auto"/>
        <w:jc w:val="both"/>
        <w:rPr>
          <w:rFonts w:ascii="Arial" w:hAnsi="Arial" w:cs="Arial"/>
          <w:b/>
          <w:sz w:val="24"/>
          <w:szCs w:val="24"/>
        </w:rPr>
      </w:pPr>
      <w:r w:rsidRPr="0008498C">
        <w:rPr>
          <w:rFonts w:ascii="Arial" w:hAnsi="Arial" w:cs="Arial"/>
          <w:b/>
          <w:sz w:val="24"/>
          <w:szCs w:val="24"/>
        </w:rPr>
        <w:t xml:space="preserve">4. </w:t>
      </w:r>
      <w:r w:rsidR="00AB694B" w:rsidRPr="0008498C">
        <w:rPr>
          <w:rFonts w:ascii="Arial" w:hAnsi="Arial" w:cs="Arial"/>
          <w:b/>
          <w:sz w:val="24"/>
          <w:szCs w:val="24"/>
        </w:rPr>
        <w:t>Conclusion</w:t>
      </w:r>
    </w:p>
    <w:p w14:paraId="1D7F08FB" w14:textId="77777777" w:rsidR="00AB694B" w:rsidRPr="0008498C" w:rsidRDefault="00A1790A" w:rsidP="0008498C">
      <w:pPr>
        <w:spacing w:line="240" w:lineRule="auto"/>
        <w:jc w:val="both"/>
        <w:rPr>
          <w:rFonts w:ascii="Arial" w:hAnsi="Arial" w:cs="Arial"/>
          <w:b/>
          <w:sz w:val="20"/>
          <w:szCs w:val="20"/>
        </w:rPr>
      </w:pPr>
      <w:r w:rsidRPr="0008498C">
        <w:rPr>
          <w:rFonts w:ascii="Arial" w:hAnsi="Arial" w:cs="Arial"/>
          <w:color w:val="000000" w:themeColor="text1"/>
          <w:sz w:val="20"/>
          <w:szCs w:val="20"/>
        </w:rPr>
        <w:t xml:space="preserve">Textile industry is facing challenges related to environmental issues as it is generating a substantial amount of contaminated water and chemical waste. Microbial </w:t>
      </w:r>
      <w:r w:rsidRPr="0008498C">
        <w:rPr>
          <w:rFonts w:ascii="Arial" w:hAnsi="Arial" w:cs="Arial"/>
          <w:sz w:val="20"/>
          <w:szCs w:val="20"/>
        </w:rPr>
        <w:t>pigments can bring sustainability</w:t>
      </w:r>
      <w:r w:rsidRPr="0008498C">
        <w:rPr>
          <w:rFonts w:ascii="Arial" w:hAnsi="Arial" w:cs="Arial"/>
          <w:color w:val="000000" w:themeColor="text1"/>
          <w:sz w:val="20"/>
          <w:szCs w:val="20"/>
        </w:rPr>
        <w:t xml:space="preserve"> </w:t>
      </w:r>
      <w:r w:rsidRPr="0008498C">
        <w:rPr>
          <w:rFonts w:ascii="Arial" w:hAnsi="Arial" w:cs="Arial"/>
          <w:sz w:val="20"/>
          <w:szCs w:val="20"/>
        </w:rPr>
        <w:t xml:space="preserve">to the textile industry. </w:t>
      </w:r>
      <w:r w:rsidR="0092757E" w:rsidRPr="0008498C">
        <w:rPr>
          <w:rFonts w:ascii="Arial" w:hAnsi="Arial" w:cs="Arial"/>
          <w:sz w:val="20"/>
          <w:szCs w:val="20"/>
        </w:rPr>
        <w:t xml:space="preserve">Although most researchers have focused on evaluating pigmented compounds against biofilm-forming microorganisms, studies specifically examining </w:t>
      </w:r>
      <w:r w:rsidR="0092757E" w:rsidRPr="0008498C">
        <w:rPr>
          <w:rFonts w:ascii="Arial" w:hAnsi="Arial" w:cs="Arial"/>
          <w:i/>
          <w:sz w:val="20"/>
          <w:szCs w:val="20"/>
        </w:rPr>
        <w:t>Streptomyces</w:t>
      </w:r>
      <w:r w:rsidR="0092757E" w:rsidRPr="0008498C">
        <w:rPr>
          <w:rFonts w:ascii="Arial" w:hAnsi="Arial" w:cs="Arial"/>
          <w:sz w:val="20"/>
          <w:szCs w:val="20"/>
        </w:rPr>
        <w:t xml:space="preserve"> pigments have been limited to antimicrobial activity and quorum sensing inhibitors. </w:t>
      </w:r>
      <w:r w:rsidR="00AB694B" w:rsidRPr="0008498C">
        <w:rPr>
          <w:rFonts w:ascii="Arial" w:hAnsi="Arial" w:cs="Arial"/>
          <w:sz w:val="20"/>
          <w:szCs w:val="20"/>
        </w:rPr>
        <w:t xml:space="preserve">The results of current study indicate that the pigment from </w:t>
      </w:r>
      <w:r w:rsidR="00AB694B" w:rsidRPr="0008498C">
        <w:rPr>
          <w:rFonts w:ascii="Arial" w:hAnsi="Arial" w:cs="Arial"/>
          <w:i/>
          <w:sz w:val="20"/>
          <w:szCs w:val="20"/>
        </w:rPr>
        <w:t>S</w:t>
      </w:r>
      <w:r w:rsidRPr="0008498C">
        <w:rPr>
          <w:rFonts w:ascii="Arial" w:hAnsi="Arial" w:cs="Arial"/>
          <w:i/>
          <w:sz w:val="20"/>
          <w:szCs w:val="20"/>
        </w:rPr>
        <w:t>.</w:t>
      </w:r>
      <w:r w:rsidR="00AB694B" w:rsidRPr="0008498C">
        <w:rPr>
          <w:rFonts w:ascii="Arial" w:hAnsi="Arial" w:cs="Arial"/>
          <w:i/>
          <w:sz w:val="20"/>
          <w:szCs w:val="20"/>
        </w:rPr>
        <w:t xml:space="preserve"> </w:t>
      </w:r>
      <w:proofErr w:type="spellStart"/>
      <w:r w:rsidR="00AB694B" w:rsidRPr="0008498C">
        <w:rPr>
          <w:rFonts w:ascii="Arial" w:hAnsi="Arial" w:cs="Arial"/>
          <w:i/>
          <w:sz w:val="20"/>
          <w:szCs w:val="20"/>
        </w:rPr>
        <w:t>violaceoruber</w:t>
      </w:r>
      <w:proofErr w:type="spellEnd"/>
      <w:r w:rsidR="00AB694B" w:rsidRPr="0008498C">
        <w:rPr>
          <w:rFonts w:ascii="Arial" w:hAnsi="Arial" w:cs="Arial"/>
          <w:i/>
          <w:sz w:val="20"/>
          <w:szCs w:val="20"/>
        </w:rPr>
        <w:t xml:space="preserve"> </w:t>
      </w:r>
      <w:r w:rsidR="00AB694B" w:rsidRPr="0008498C">
        <w:rPr>
          <w:rFonts w:ascii="Arial" w:hAnsi="Arial" w:cs="Arial"/>
          <w:sz w:val="20"/>
          <w:szCs w:val="20"/>
        </w:rPr>
        <w:t xml:space="preserve">DP6 is suitable for dyeing wool and silk fabrics and can be used </w:t>
      </w:r>
      <w:r w:rsidRPr="0008498C">
        <w:rPr>
          <w:rFonts w:ascii="Arial" w:hAnsi="Arial" w:cs="Arial"/>
          <w:sz w:val="20"/>
          <w:szCs w:val="20"/>
        </w:rPr>
        <w:t>for dyeing fabrics in textile industry</w:t>
      </w:r>
      <w:r w:rsidR="00AB694B" w:rsidRPr="0008498C">
        <w:rPr>
          <w:rFonts w:ascii="Arial" w:hAnsi="Arial" w:cs="Arial"/>
          <w:sz w:val="20"/>
          <w:szCs w:val="20"/>
        </w:rPr>
        <w:t xml:space="preserve">. </w:t>
      </w:r>
      <w:r w:rsidRPr="0008498C">
        <w:rPr>
          <w:rFonts w:ascii="Arial" w:hAnsi="Arial" w:cs="Arial"/>
          <w:sz w:val="20"/>
          <w:szCs w:val="20"/>
        </w:rPr>
        <w:t>Furthermore</w:t>
      </w:r>
      <w:r w:rsidR="00AB694B" w:rsidRPr="0008498C">
        <w:rPr>
          <w:rFonts w:ascii="Arial" w:hAnsi="Arial" w:cs="Arial"/>
          <w:sz w:val="20"/>
          <w:szCs w:val="20"/>
        </w:rPr>
        <w:t xml:space="preserve">, </w:t>
      </w:r>
      <w:r w:rsidRPr="0008498C">
        <w:rPr>
          <w:rFonts w:ascii="Arial" w:hAnsi="Arial" w:cs="Arial"/>
          <w:sz w:val="20"/>
          <w:szCs w:val="20"/>
        </w:rPr>
        <w:t>the pigment could</w:t>
      </w:r>
      <w:r w:rsidR="00AB694B" w:rsidRPr="0008498C">
        <w:rPr>
          <w:rFonts w:ascii="Arial" w:hAnsi="Arial" w:cs="Arial"/>
          <w:sz w:val="20"/>
          <w:szCs w:val="20"/>
        </w:rPr>
        <w:t xml:space="preserve"> also be used as pH indicator due to its sensitivity towards pH changes. </w:t>
      </w:r>
    </w:p>
    <w:p w14:paraId="2D8834C4" w14:textId="77777777" w:rsidR="00791EED" w:rsidRPr="0008498C" w:rsidRDefault="00791EED" w:rsidP="00791EED">
      <w:pPr>
        <w:pStyle w:val="AcknHead"/>
        <w:spacing w:after="0"/>
        <w:jc w:val="both"/>
        <w:rPr>
          <w:rFonts w:ascii="Arial" w:hAnsi="Arial" w:cs="Arial"/>
        </w:rPr>
      </w:pPr>
    </w:p>
    <w:p w14:paraId="11A3CE7A" w14:textId="77777777" w:rsidR="00CF2411" w:rsidRPr="0008498C" w:rsidRDefault="00CF2411" w:rsidP="0008498C">
      <w:pPr>
        <w:spacing w:before="240" w:after="0" w:line="240" w:lineRule="auto"/>
        <w:rPr>
          <w:rFonts w:ascii="Arial" w:hAnsi="Arial" w:cs="Arial"/>
          <w:b/>
          <w:sz w:val="20"/>
          <w:szCs w:val="20"/>
        </w:rPr>
      </w:pPr>
      <w:bookmarkStart w:id="0" w:name="_GoBack"/>
      <w:bookmarkEnd w:id="0"/>
      <w:r w:rsidRPr="0008498C">
        <w:rPr>
          <w:rFonts w:ascii="Arial" w:eastAsia="Calibri" w:hAnsi="Arial" w:cs="Arial"/>
          <w:b/>
          <w:sz w:val="24"/>
          <w:szCs w:val="24"/>
        </w:rPr>
        <w:t>REFERENCES</w:t>
      </w:r>
    </w:p>
    <w:p w14:paraId="5434DED5" w14:textId="77777777" w:rsidR="00CF2411" w:rsidRPr="0008498C" w:rsidRDefault="00CF2411" w:rsidP="0008498C">
      <w:pPr>
        <w:spacing w:before="240" w:line="240" w:lineRule="auto"/>
        <w:jc w:val="both"/>
        <w:rPr>
          <w:rFonts w:ascii="Arial" w:eastAsia="Calibri" w:hAnsi="Arial" w:cs="Arial"/>
          <w:sz w:val="20"/>
          <w:szCs w:val="20"/>
        </w:rPr>
      </w:pPr>
      <w:proofErr w:type="spellStart"/>
      <w:r w:rsidRPr="0008498C">
        <w:rPr>
          <w:rFonts w:ascii="Arial" w:eastAsia="Calibri" w:hAnsi="Arial" w:cs="Arial"/>
          <w:sz w:val="20"/>
          <w:szCs w:val="20"/>
        </w:rPr>
        <w:t>Abou</w:t>
      </w:r>
      <w:proofErr w:type="spellEnd"/>
      <w:r w:rsidRPr="0008498C">
        <w:rPr>
          <w:rFonts w:ascii="Arial" w:eastAsia="Calibri" w:hAnsi="Arial" w:cs="Arial"/>
          <w:sz w:val="20"/>
          <w:szCs w:val="20"/>
        </w:rPr>
        <w:t xml:space="preserve"> </w:t>
      </w:r>
      <w:proofErr w:type="spellStart"/>
      <w:r w:rsidRPr="0008498C">
        <w:rPr>
          <w:rFonts w:ascii="Arial" w:eastAsia="Calibri" w:hAnsi="Arial" w:cs="Arial"/>
          <w:sz w:val="20"/>
          <w:szCs w:val="20"/>
        </w:rPr>
        <w:t>Elmaaty</w:t>
      </w:r>
      <w:proofErr w:type="spellEnd"/>
      <w:r w:rsidRPr="0008498C">
        <w:rPr>
          <w:rFonts w:ascii="Arial" w:eastAsia="Calibri" w:hAnsi="Arial" w:cs="Arial"/>
          <w:sz w:val="20"/>
          <w:szCs w:val="20"/>
        </w:rPr>
        <w:t xml:space="preserve">, T., Kasem, A., </w:t>
      </w:r>
      <w:proofErr w:type="spellStart"/>
      <w:r w:rsidRPr="0008498C">
        <w:rPr>
          <w:rFonts w:ascii="Arial" w:eastAsia="Calibri" w:hAnsi="Arial" w:cs="Arial"/>
          <w:sz w:val="20"/>
          <w:szCs w:val="20"/>
        </w:rPr>
        <w:t>Elsalamony</w:t>
      </w:r>
      <w:proofErr w:type="spellEnd"/>
      <w:r w:rsidRPr="0008498C">
        <w:rPr>
          <w:rFonts w:ascii="Arial" w:eastAsia="Calibri" w:hAnsi="Arial" w:cs="Arial"/>
          <w:sz w:val="20"/>
          <w:szCs w:val="20"/>
        </w:rPr>
        <w:t xml:space="preserve">, M. &amp; Gamal, H. A. (2020) Green Approach for One Step Dyeing and Finishing of Wool Fabric with Natural Pigment Extracted from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thinghirensis</w:t>
      </w:r>
      <w:proofErr w:type="spellEnd"/>
      <w:r w:rsidRPr="0008498C">
        <w:rPr>
          <w:rFonts w:ascii="Arial" w:eastAsia="Calibri" w:hAnsi="Arial" w:cs="Arial"/>
          <w:sz w:val="20"/>
          <w:szCs w:val="20"/>
        </w:rPr>
        <w:t xml:space="preserve">. </w:t>
      </w:r>
      <w:r w:rsidRPr="0008498C">
        <w:rPr>
          <w:rFonts w:ascii="Arial" w:eastAsia="Calibri" w:hAnsi="Arial" w:cs="Arial"/>
          <w:i/>
          <w:sz w:val="20"/>
          <w:szCs w:val="20"/>
        </w:rPr>
        <w:t>Egyptian Journal of Chemistry</w:t>
      </w:r>
      <w:r w:rsidRPr="0008498C">
        <w:rPr>
          <w:rFonts w:ascii="Arial" w:eastAsia="Calibri" w:hAnsi="Arial" w:cs="Arial"/>
          <w:sz w:val="20"/>
          <w:szCs w:val="20"/>
        </w:rPr>
        <w:t>, 63(6), 1999-2008. https://doi: 10.21608/</w:t>
      </w:r>
      <w:proofErr w:type="spellStart"/>
      <w:r w:rsidRPr="0008498C">
        <w:rPr>
          <w:rFonts w:ascii="Arial" w:eastAsia="Calibri" w:hAnsi="Arial" w:cs="Arial"/>
          <w:sz w:val="20"/>
          <w:szCs w:val="20"/>
        </w:rPr>
        <w:t>ejchem</w:t>
      </w:r>
      <w:proofErr w:type="spellEnd"/>
    </w:p>
    <w:p w14:paraId="0B557A48"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Agarwal, H., Bajpai, S., Mishra, A., Kohli, I., Varma, A., </w:t>
      </w:r>
      <w:proofErr w:type="spellStart"/>
      <w:r w:rsidRPr="0008498C">
        <w:rPr>
          <w:rFonts w:ascii="Arial" w:eastAsia="Calibri" w:hAnsi="Arial" w:cs="Arial"/>
          <w:sz w:val="20"/>
          <w:szCs w:val="20"/>
        </w:rPr>
        <w:t>Fouillaud</w:t>
      </w:r>
      <w:proofErr w:type="spellEnd"/>
      <w:r w:rsidRPr="0008498C">
        <w:rPr>
          <w:rFonts w:ascii="Arial" w:eastAsia="Calibri" w:hAnsi="Arial" w:cs="Arial"/>
          <w:sz w:val="20"/>
          <w:szCs w:val="20"/>
        </w:rPr>
        <w:t xml:space="preserve">, M., </w:t>
      </w:r>
      <w:proofErr w:type="spellStart"/>
      <w:r w:rsidRPr="0008498C">
        <w:rPr>
          <w:rFonts w:ascii="Arial" w:eastAsia="Calibri" w:hAnsi="Arial" w:cs="Arial"/>
          <w:sz w:val="20"/>
          <w:szCs w:val="20"/>
        </w:rPr>
        <w:t>Dufossé</w:t>
      </w:r>
      <w:proofErr w:type="spellEnd"/>
      <w:r w:rsidRPr="0008498C">
        <w:rPr>
          <w:rFonts w:ascii="Arial" w:eastAsia="Calibri" w:hAnsi="Arial" w:cs="Arial"/>
          <w:sz w:val="20"/>
          <w:szCs w:val="20"/>
        </w:rPr>
        <w:t>, L., &amp; Joshi, N. C. (2023). Bacterial Pigments and Their Multifaceted Roles in Contemporary Biotechnology and Pharmacological Applications. </w:t>
      </w:r>
      <w:r w:rsidRPr="0008498C">
        <w:rPr>
          <w:rFonts w:ascii="Arial" w:eastAsia="Calibri" w:hAnsi="Arial" w:cs="Arial"/>
          <w:i/>
          <w:iCs/>
          <w:sz w:val="20"/>
          <w:szCs w:val="20"/>
        </w:rPr>
        <w:t>Microorganisms</w:t>
      </w:r>
      <w:r w:rsidRPr="0008498C">
        <w:rPr>
          <w:rFonts w:ascii="Arial" w:eastAsia="Calibri" w:hAnsi="Arial" w:cs="Arial"/>
          <w:sz w:val="20"/>
          <w:szCs w:val="20"/>
        </w:rPr>
        <w:t>, </w:t>
      </w:r>
      <w:r w:rsidRPr="0008498C">
        <w:rPr>
          <w:rFonts w:ascii="Arial" w:eastAsia="Calibri" w:hAnsi="Arial" w:cs="Arial"/>
          <w:i/>
          <w:iCs/>
          <w:sz w:val="20"/>
          <w:szCs w:val="20"/>
        </w:rPr>
        <w:t>11</w:t>
      </w:r>
      <w:r w:rsidRPr="0008498C">
        <w:rPr>
          <w:rFonts w:ascii="Arial" w:eastAsia="Calibri" w:hAnsi="Arial" w:cs="Arial"/>
          <w:sz w:val="20"/>
          <w:szCs w:val="20"/>
        </w:rPr>
        <w:t>(3), 614. https://doi.org/10.3390/microorganisms11030614</w:t>
      </w:r>
    </w:p>
    <w:p w14:paraId="6940DB05"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bCs/>
          <w:sz w:val="20"/>
          <w:szCs w:val="20"/>
        </w:rPr>
        <w:t>Ali, M. A., Keera, A. A., Helmy, M. S., Abd El-Nasser, H. N., Ahmed, K. A. &amp; El-</w:t>
      </w:r>
      <w:proofErr w:type="spellStart"/>
      <w:r w:rsidRPr="0008498C">
        <w:rPr>
          <w:rFonts w:ascii="Arial" w:eastAsia="Calibri" w:hAnsi="Arial" w:cs="Arial"/>
          <w:bCs/>
          <w:sz w:val="20"/>
          <w:szCs w:val="20"/>
        </w:rPr>
        <w:t>Hennawi</w:t>
      </w:r>
      <w:proofErr w:type="spellEnd"/>
      <w:r w:rsidRPr="0008498C">
        <w:rPr>
          <w:rFonts w:ascii="Arial" w:eastAsia="Calibri" w:hAnsi="Arial" w:cs="Arial"/>
          <w:bCs/>
          <w:sz w:val="20"/>
          <w:szCs w:val="20"/>
        </w:rPr>
        <w:t xml:space="preserve"> H. M.</w:t>
      </w:r>
      <w:r w:rsidRPr="0008498C">
        <w:rPr>
          <w:rFonts w:ascii="Arial" w:eastAsia="Calibri" w:hAnsi="Arial" w:cs="Arial"/>
          <w:iCs/>
          <w:sz w:val="20"/>
          <w:szCs w:val="20"/>
        </w:rPr>
        <w:t xml:space="preserve"> (2011)</w:t>
      </w:r>
      <w:r w:rsidRPr="0008498C">
        <w:rPr>
          <w:rFonts w:ascii="Arial" w:eastAsia="Calibri" w:hAnsi="Arial" w:cs="Arial"/>
          <w:bCs/>
          <w:sz w:val="20"/>
          <w:szCs w:val="20"/>
        </w:rPr>
        <w:t xml:space="preserve"> </w:t>
      </w:r>
      <w:r w:rsidRPr="0008498C">
        <w:rPr>
          <w:rFonts w:ascii="Arial" w:eastAsia="Calibri" w:hAnsi="Arial" w:cs="Arial"/>
          <w:bCs/>
          <w:sz w:val="20"/>
          <w:szCs w:val="20"/>
          <w:lang w:val="en-US"/>
        </w:rPr>
        <w:t xml:space="preserve">Selection of pigment (melanin) production in </w:t>
      </w:r>
      <w:r w:rsidRPr="0008498C">
        <w:rPr>
          <w:rFonts w:ascii="Arial" w:eastAsia="Calibri" w:hAnsi="Arial" w:cs="Arial"/>
          <w:bCs/>
          <w:i/>
          <w:sz w:val="20"/>
          <w:szCs w:val="20"/>
          <w:lang w:val="en-US"/>
        </w:rPr>
        <w:t>Streptomyces</w:t>
      </w:r>
      <w:r w:rsidRPr="0008498C">
        <w:rPr>
          <w:rFonts w:ascii="Arial" w:eastAsia="Calibri" w:hAnsi="Arial" w:cs="Arial"/>
          <w:bCs/>
          <w:sz w:val="20"/>
          <w:szCs w:val="20"/>
          <w:lang w:val="en-US"/>
        </w:rPr>
        <w:t xml:space="preserve"> and their application in printing and dyeing of wool</w:t>
      </w:r>
      <w:r w:rsidRPr="0008498C">
        <w:rPr>
          <w:rFonts w:ascii="Arial" w:eastAsia="Calibri" w:hAnsi="Arial" w:cs="Arial"/>
          <w:b/>
          <w:bCs/>
          <w:sz w:val="20"/>
          <w:szCs w:val="20"/>
          <w:lang w:val="en-US"/>
        </w:rPr>
        <w:t xml:space="preserve"> </w:t>
      </w:r>
      <w:r w:rsidRPr="0008498C">
        <w:rPr>
          <w:rFonts w:ascii="Arial" w:eastAsia="Calibri" w:hAnsi="Arial" w:cs="Arial"/>
          <w:bCs/>
          <w:sz w:val="20"/>
          <w:szCs w:val="20"/>
          <w:lang w:val="en-US"/>
        </w:rPr>
        <w:t xml:space="preserve">fabrics. </w:t>
      </w:r>
      <w:r w:rsidRPr="0008498C">
        <w:rPr>
          <w:rFonts w:ascii="Arial" w:eastAsia="Calibri" w:hAnsi="Arial" w:cs="Arial"/>
          <w:i/>
          <w:iCs/>
          <w:sz w:val="20"/>
          <w:szCs w:val="20"/>
        </w:rPr>
        <w:t xml:space="preserve">Research Journal of Chemical Sciences, </w:t>
      </w:r>
      <w:r w:rsidRPr="0008498C">
        <w:rPr>
          <w:rFonts w:ascii="Arial" w:eastAsia="Calibri" w:hAnsi="Arial" w:cs="Arial"/>
          <w:iCs/>
          <w:sz w:val="20"/>
          <w:szCs w:val="20"/>
        </w:rPr>
        <w:t>1, 22-28.</w:t>
      </w:r>
    </w:p>
    <w:p w14:paraId="781F37DD"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lastRenderedPageBreak/>
        <w:t>Alihosseini</w:t>
      </w:r>
      <w:proofErr w:type="spellEnd"/>
      <w:r w:rsidRPr="0008498C">
        <w:rPr>
          <w:rFonts w:ascii="Arial" w:eastAsia="Calibri" w:hAnsi="Arial" w:cs="Arial"/>
          <w:sz w:val="20"/>
          <w:szCs w:val="20"/>
        </w:rPr>
        <w:t xml:space="preserve">, F., Ju, K. S., Lango, J., Hammock, B. D. &amp; Sun, G.  (2008) Antibacterial colorants: characterization of prodiginines and their applications on textile materials. </w:t>
      </w:r>
      <w:r w:rsidRPr="0008498C">
        <w:rPr>
          <w:rFonts w:ascii="Arial" w:eastAsia="Calibri" w:hAnsi="Arial" w:cs="Arial"/>
          <w:i/>
          <w:sz w:val="20"/>
          <w:szCs w:val="20"/>
        </w:rPr>
        <w:t>Biotechnology Progress</w:t>
      </w:r>
      <w:r w:rsidRPr="0008498C">
        <w:rPr>
          <w:rFonts w:ascii="Arial" w:eastAsia="Calibri" w:hAnsi="Arial" w:cs="Arial"/>
          <w:sz w:val="20"/>
          <w:szCs w:val="20"/>
        </w:rPr>
        <w:t>, 24,742-747. https://doi: 10.1021/bp070481r</w:t>
      </w:r>
    </w:p>
    <w:p w14:paraId="60AF0C73"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Balachandran, C., </w:t>
      </w:r>
      <w:proofErr w:type="spellStart"/>
      <w:r w:rsidRPr="0008498C">
        <w:rPr>
          <w:rFonts w:ascii="Arial" w:eastAsia="Calibri" w:hAnsi="Arial" w:cs="Arial"/>
          <w:sz w:val="20"/>
          <w:szCs w:val="20"/>
        </w:rPr>
        <w:t>Duraipandiyan</w:t>
      </w:r>
      <w:proofErr w:type="spellEnd"/>
      <w:r w:rsidRPr="0008498C">
        <w:rPr>
          <w:rFonts w:ascii="Arial" w:eastAsia="Calibri" w:hAnsi="Arial" w:cs="Arial"/>
          <w:sz w:val="20"/>
          <w:szCs w:val="20"/>
        </w:rPr>
        <w:t xml:space="preserve">, V., Arun, Y., Sangeetha, B., Emi, N., Al-Dhabi, N. A., </w:t>
      </w:r>
      <w:proofErr w:type="spellStart"/>
      <w:r w:rsidRPr="0008498C">
        <w:rPr>
          <w:rFonts w:ascii="Arial" w:eastAsia="Calibri" w:hAnsi="Arial" w:cs="Arial"/>
          <w:sz w:val="20"/>
          <w:szCs w:val="20"/>
        </w:rPr>
        <w:t>Ignacimuthu</w:t>
      </w:r>
      <w:proofErr w:type="spellEnd"/>
      <w:r w:rsidRPr="0008498C">
        <w:rPr>
          <w:rFonts w:ascii="Arial" w:eastAsia="Calibri" w:hAnsi="Arial" w:cs="Arial"/>
          <w:sz w:val="20"/>
          <w:szCs w:val="20"/>
        </w:rPr>
        <w:t xml:space="preserve">, S., </w:t>
      </w:r>
      <w:proofErr w:type="spellStart"/>
      <w:r w:rsidRPr="0008498C">
        <w:rPr>
          <w:rFonts w:ascii="Arial" w:eastAsia="Calibri" w:hAnsi="Arial" w:cs="Arial"/>
          <w:sz w:val="20"/>
          <w:szCs w:val="20"/>
        </w:rPr>
        <w:t>Inaguma</w:t>
      </w:r>
      <w:proofErr w:type="spellEnd"/>
      <w:r w:rsidRPr="0008498C">
        <w:rPr>
          <w:rFonts w:ascii="Arial" w:eastAsia="Calibri" w:hAnsi="Arial" w:cs="Arial"/>
          <w:sz w:val="20"/>
          <w:szCs w:val="20"/>
        </w:rPr>
        <w:t xml:space="preserve">, Y., Okamoto, A. &amp; Perumal, P. T. (2016). Isolation and characterization of 2-hydroxy-9,10-anthraquinone from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olivochromogenes</w:t>
      </w:r>
      <w:proofErr w:type="spellEnd"/>
      <w:r w:rsidRPr="0008498C">
        <w:rPr>
          <w:rFonts w:ascii="Arial" w:eastAsia="Calibri" w:hAnsi="Arial" w:cs="Arial"/>
          <w:sz w:val="20"/>
          <w:szCs w:val="20"/>
        </w:rPr>
        <w:t xml:space="preserve"> (ERINLG-261) with antimicrobial and antiproliferative properties. </w:t>
      </w:r>
      <w:proofErr w:type="spellStart"/>
      <w:r w:rsidRPr="0008498C">
        <w:rPr>
          <w:rFonts w:ascii="Arial" w:eastAsia="Calibri" w:hAnsi="Arial" w:cs="Arial"/>
          <w:i/>
          <w:sz w:val="20"/>
          <w:szCs w:val="20"/>
        </w:rPr>
        <w:t>Revista</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Brasileira</w:t>
      </w:r>
      <w:proofErr w:type="spellEnd"/>
      <w:r w:rsidRPr="0008498C">
        <w:rPr>
          <w:rFonts w:ascii="Arial" w:eastAsia="Calibri" w:hAnsi="Arial" w:cs="Arial"/>
          <w:i/>
          <w:sz w:val="20"/>
          <w:szCs w:val="20"/>
        </w:rPr>
        <w:t xml:space="preserve"> de </w:t>
      </w:r>
      <w:proofErr w:type="spellStart"/>
      <w:r w:rsidRPr="0008498C">
        <w:rPr>
          <w:rFonts w:ascii="Arial" w:eastAsia="Calibri" w:hAnsi="Arial" w:cs="Arial"/>
          <w:i/>
          <w:sz w:val="20"/>
          <w:szCs w:val="20"/>
        </w:rPr>
        <w:t>Farmacognosia</w:t>
      </w:r>
      <w:proofErr w:type="spellEnd"/>
      <w:r w:rsidRPr="0008498C">
        <w:rPr>
          <w:rFonts w:ascii="Arial" w:eastAsia="Calibri" w:hAnsi="Arial" w:cs="Arial"/>
          <w:i/>
          <w:sz w:val="20"/>
          <w:szCs w:val="20"/>
        </w:rPr>
        <w:t xml:space="preserve">, </w:t>
      </w:r>
      <w:r w:rsidRPr="0008498C">
        <w:rPr>
          <w:rFonts w:ascii="Arial" w:eastAsia="Calibri" w:hAnsi="Arial" w:cs="Arial"/>
          <w:sz w:val="20"/>
          <w:szCs w:val="20"/>
        </w:rPr>
        <w:t>26(3), 285-295. https://doi.org/10.1016/j.bjp.2015.12.003.</w:t>
      </w:r>
    </w:p>
    <w:p w14:paraId="367D78A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Carlsen, C. &amp; Stapelfeldt, H. (1997). Light sensitivity of elderberry extract quantum yields for photodegradation in aqueous solution. </w:t>
      </w:r>
      <w:r w:rsidRPr="0008498C">
        <w:rPr>
          <w:rFonts w:ascii="Arial" w:eastAsia="Calibri" w:hAnsi="Arial" w:cs="Arial"/>
          <w:i/>
          <w:sz w:val="20"/>
          <w:szCs w:val="20"/>
        </w:rPr>
        <w:t>Food Chemistry</w:t>
      </w:r>
      <w:r w:rsidRPr="0008498C">
        <w:rPr>
          <w:rFonts w:ascii="Arial" w:eastAsia="Calibri" w:hAnsi="Arial" w:cs="Arial"/>
          <w:sz w:val="20"/>
          <w:szCs w:val="20"/>
        </w:rPr>
        <w:t>, 60:383-387. https://doi:10.1016/j.foodres.2018.02.035</w:t>
      </w:r>
    </w:p>
    <w:p w14:paraId="068ABFEB" w14:textId="77777777" w:rsidR="00CF2411" w:rsidRPr="0008498C" w:rsidRDefault="00CF2411" w:rsidP="0008498C">
      <w:pPr>
        <w:spacing w:line="240" w:lineRule="auto"/>
        <w:jc w:val="both"/>
        <w:rPr>
          <w:rFonts w:ascii="Arial" w:eastAsia="Calibri" w:hAnsi="Arial" w:cs="Arial"/>
          <w:i/>
          <w:sz w:val="20"/>
          <w:szCs w:val="20"/>
        </w:rPr>
      </w:pPr>
      <w:r w:rsidRPr="0008498C">
        <w:rPr>
          <w:rFonts w:ascii="Arial" w:eastAsia="Calibri" w:hAnsi="Arial" w:cs="Arial"/>
          <w:sz w:val="20"/>
          <w:szCs w:val="20"/>
        </w:rPr>
        <w:t xml:space="preserve">Chatterjee, S., Maity, S., Chattopadhyay, P., Sarkar, A., Laskar, S., Sen, S. K. (2009) Characterization of red pigment from </w:t>
      </w:r>
      <w:proofErr w:type="spellStart"/>
      <w:r w:rsidRPr="0008498C">
        <w:rPr>
          <w:rFonts w:ascii="Arial" w:eastAsia="Calibri" w:hAnsi="Arial" w:cs="Arial"/>
          <w:i/>
          <w:sz w:val="20"/>
          <w:szCs w:val="20"/>
        </w:rPr>
        <w:t>Monascus</w:t>
      </w:r>
      <w:proofErr w:type="spellEnd"/>
      <w:r w:rsidRPr="0008498C">
        <w:rPr>
          <w:rFonts w:ascii="Arial" w:eastAsia="Calibri" w:hAnsi="Arial" w:cs="Arial"/>
          <w:sz w:val="20"/>
          <w:szCs w:val="20"/>
        </w:rPr>
        <w:t xml:space="preserve"> in submerged cultured pigment from </w:t>
      </w:r>
      <w:proofErr w:type="spellStart"/>
      <w:r w:rsidRPr="0008498C">
        <w:rPr>
          <w:rFonts w:ascii="Arial" w:eastAsia="Calibri" w:hAnsi="Arial" w:cs="Arial"/>
          <w:i/>
          <w:sz w:val="20"/>
          <w:szCs w:val="20"/>
        </w:rPr>
        <w:t>Monascus</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purpureus</w:t>
      </w:r>
      <w:proofErr w:type="spellEnd"/>
      <w:r w:rsidRPr="0008498C">
        <w:rPr>
          <w:rFonts w:ascii="Arial" w:eastAsia="Calibri" w:hAnsi="Arial" w:cs="Arial"/>
          <w:sz w:val="20"/>
          <w:szCs w:val="20"/>
        </w:rPr>
        <w:t xml:space="preserve">. </w:t>
      </w:r>
      <w:r w:rsidRPr="0008498C">
        <w:rPr>
          <w:rFonts w:ascii="Arial" w:eastAsia="Calibri" w:hAnsi="Arial" w:cs="Arial"/>
          <w:i/>
          <w:sz w:val="20"/>
          <w:szCs w:val="20"/>
        </w:rPr>
        <w:t xml:space="preserve">Journal of Applied Sciences Research, </w:t>
      </w:r>
      <w:r w:rsidRPr="0008498C">
        <w:rPr>
          <w:rFonts w:ascii="Arial" w:eastAsia="Calibri" w:hAnsi="Arial" w:cs="Arial"/>
          <w:sz w:val="20"/>
          <w:szCs w:val="20"/>
        </w:rPr>
        <w:t>40, 132-138.</w:t>
      </w:r>
    </w:p>
    <w:p w14:paraId="13F149A7"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Cho, Y. J., Park, J. P., Hwang, H. J., Kim, S. W., Choi, J. W. &amp; Yun, J. W. (2002). </w:t>
      </w:r>
      <w:r w:rsidRPr="0008498C">
        <w:rPr>
          <w:rFonts w:ascii="Arial" w:eastAsia="Calibri" w:hAnsi="Arial" w:cs="Arial"/>
          <w:sz w:val="20"/>
          <w:szCs w:val="20"/>
          <w:lang w:val="en-US"/>
        </w:rPr>
        <w:t xml:space="preserve">Production of red pigment by submerged culture of </w:t>
      </w:r>
      <w:proofErr w:type="spellStart"/>
      <w:r w:rsidRPr="0008498C">
        <w:rPr>
          <w:rFonts w:ascii="Arial" w:eastAsia="Calibri" w:hAnsi="Arial" w:cs="Arial"/>
          <w:i/>
          <w:sz w:val="20"/>
          <w:szCs w:val="20"/>
          <w:lang w:val="en-US"/>
        </w:rPr>
        <w:t>Paecilomyces</w:t>
      </w:r>
      <w:proofErr w:type="spellEnd"/>
      <w:r w:rsidRPr="0008498C">
        <w:rPr>
          <w:rFonts w:ascii="Arial" w:eastAsia="Calibri" w:hAnsi="Arial" w:cs="Arial"/>
          <w:i/>
          <w:sz w:val="20"/>
          <w:szCs w:val="20"/>
          <w:lang w:val="en-US"/>
        </w:rPr>
        <w:t xml:space="preserve"> </w:t>
      </w:r>
      <w:proofErr w:type="spellStart"/>
      <w:r w:rsidRPr="0008498C">
        <w:rPr>
          <w:rFonts w:ascii="Arial" w:eastAsia="Calibri" w:hAnsi="Arial" w:cs="Arial"/>
          <w:i/>
          <w:sz w:val="20"/>
          <w:szCs w:val="20"/>
          <w:lang w:val="en-US"/>
        </w:rPr>
        <w:t>sinclairii</w:t>
      </w:r>
      <w:proofErr w:type="spellEnd"/>
      <w:r w:rsidRPr="0008498C">
        <w:rPr>
          <w:rFonts w:ascii="Arial" w:eastAsia="Calibri" w:hAnsi="Arial" w:cs="Arial"/>
          <w:sz w:val="20"/>
          <w:szCs w:val="20"/>
          <w:lang w:val="en-US"/>
        </w:rPr>
        <w:t>.</w:t>
      </w:r>
      <w:r w:rsidRPr="0008498C">
        <w:rPr>
          <w:rFonts w:ascii="Arial" w:eastAsia="Calibri" w:hAnsi="Arial" w:cs="Arial"/>
          <w:sz w:val="20"/>
          <w:szCs w:val="20"/>
        </w:rPr>
        <w:t xml:space="preserve"> </w:t>
      </w:r>
      <w:r w:rsidRPr="0008498C">
        <w:rPr>
          <w:rFonts w:ascii="Arial" w:eastAsia="Calibri" w:hAnsi="Arial" w:cs="Arial"/>
          <w:i/>
          <w:sz w:val="20"/>
          <w:szCs w:val="20"/>
        </w:rPr>
        <w:t>Letters in Applied Microbiology</w:t>
      </w:r>
      <w:r w:rsidRPr="0008498C">
        <w:rPr>
          <w:rFonts w:ascii="Arial" w:eastAsia="Calibri" w:hAnsi="Arial" w:cs="Arial"/>
          <w:iCs/>
          <w:sz w:val="20"/>
          <w:szCs w:val="20"/>
        </w:rPr>
        <w:t xml:space="preserve">. </w:t>
      </w:r>
      <w:r w:rsidRPr="0008498C">
        <w:rPr>
          <w:rFonts w:ascii="Arial" w:eastAsia="Calibri" w:hAnsi="Arial" w:cs="Arial"/>
          <w:bCs/>
          <w:sz w:val="20"/>
          <w:szCs w:val="20"/>
        </w:rPr>
        <w:t xml:space="preserve">35, </w:t>
      </w:r>
      <w:r w:rsidRPr="0008498C">
        <w:rPr>
          <w:rFonts w:ascii="Arial" w:eastAsia="Calibri" w:hAnsi="Arial" w:cs="Arial"/>
          <w:sz w:val="20"/>
          <w:szCs w:val="20"/>
        </w:rPr>
        <w:t>195-202. https://doi:10.1046/j.1472-765x.2002.01168.x. </w:t>
      </w:r>
    </w:p>
    <w:p w14:paraId="2AA356BF"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Chun, J., Lee, J. H., Jung Y, Kim, M., Kim, S. &amp; Lim, Y.W. (2007). </w:t>
      </w:r>
      <w:proofErr w:type="spellStart"/>
      <w:r w:rsidRPr="0008498C">
        <w:rPr>
          <w:rFonts w:ascii="Arial" w:eastAsia="Calibri" w:hAnsi="Arial" w:cs="Arial"/>
          <w:sz w:val="20"/>
          <w:szCs w:val="20"/>
        </w:rPr>
        <w:t>EzTaxon</w:t>
      </w:r>
      <w:proofErr w:type="spellEnd"/>
      <w:r w:rsidRPr="0008498C">
        <w:rPr>
          <w:rFonts w:ascii="Arial" w:eastAsia="Calibri" w:hAnsi="Arial" w:cs="Arial"/>
          <w:sz w:val="20"/>
          <w:szCs w:val="20"/>
        </w:rPr>
        <w:t xml:space="preserve">: a web-based tool for the identification of prokaryotes based on 16S ribosomal RNA gene sequences. </w:t>
      </w:r>
      <w:r w:rsidRPr="0008498C">
        <w:rPr>
          <w:rFonts w:ascii="Arial" w:eastAsia="Calibri" w:hAnsi="Arial" w:cs="Arial"/>
          <w:i/>
          <w:iCs/>
          <w:sz w:val="20"/>
          <w:szCs w:val="20"/>
        </w:rPr>
        <w:t>International Journal of Systematic and Evolutionary Microbiology</w:t>
      </w:r>
      <w:r w:rsidRPr="0008498C">
        <w:rPr>
          <w:rFonts w:ascii="Arial" w:eastAsia="Calibri" w:hAnsi="Arial" w:cs="Arial"/>
          <w:sz w:val="20"/>
          <w:szCs w:val="20"/>
        </w:rPr>
        <w:t>, 57, 2259-2261. https://doi: 10.1099/ijs.0.64915-0.</w:t>
      </w:r>
    </w:p>
    <w:p w14:paraId="5743B760"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DeBritto</w:t>
      </w:r>
      <w:proofErr w:type="spellEnd"/>
      <w:r w:rsidRPr="0008498C">
        <w:rPr>
          <w:rFonts w:ascii="Arial" w:eastAsia="Calibri" w:hAnsi="Arial" w:cs="Arial"/>
          <w:sz w:val="20"/>
          <w:szCs w:val="20"/>
        </w:rPr>
        <w:t xml:space="preserve">, S., </w:t>
      </w:r>
      <w:proofErr w:type="spellStart"/>
      <w:r w:rsidRPr="0008498C">
        <w:rPr>
          <w:rFonts w:ascii="Arial" w:eastAsia="Calibri" w:hAnsi="Arial" w:cs="Arial"/>
          <w:sz w:val="20"/>
          <w:szCs w:val="20"/>
        </w:rPr>
        <w:t>Gajbar</w:t>
      </w:r>
      <w:proofErr w:type="spellEnd"/>
      <w:r w:rsidRPr="0008498C">
        <w:rPr>
          <w:rFonts w:ascii="Arial" w:eastAsia="Calibri" w:hAnsi="Arial" w:cs="Arial"/>
          <w:sz w:val="20"/>
          <w:szCs w:val="20"/>
        </w:rPr>
        <w:t xml:space="preserve">, T. D., </w:t>
      </w:r>
      <w:proofErr w:type="spellStart"/>
      <w:r w:rsidRPr="0008498C">
        <w:rPr>
          <w:rFonts w:ascii="Arial" w:eastAsia="Calibri" w:hAnsi="Arial" w:cs="Arial"/>
          <w:sz w:val="20"/>
          <w:szCs w:val="20"/>
        </w:rPr>
        <w:t>Satapute</w:t>
      </w:r>
      <w:proofErr w:type="spellEnd"/>
      <w:r w:rsidRPr="0008498C">
        <w:rPr>
          <w:rFonts w:ascii="Arial" w:eastAsia="Calibri" w:hAnsi="Arial" w:cs="Arial"/>
          <w:sz w:val="20"/>
          <w:szCs w:val="20"/>
        </w:rPr>
        <w:t xml:space="preserve">, P., Sundaram, L., Lakshmikantha, R. Y., </w:t>
      </w:r>
      <w:proofErr w:type="spellStart"/>
      <w:r w:rsidRPr="0008498C">
        <w:rPr>
          <w:rFonts w:ascii="Arial" w:eastAsia="Calibri" w:hAnsi="Arial" w:cs="Arial"/>
          <w:sz w:val="20"/>
          <w:szCs w:val="20"/>
        </w:rPr>
        <w:t>Jogaiah</w:t>
      </w:r>
      <w:proofErr w:type="spellEnd"/>
      <w:r w:rsidRPr="0008498C">
        <w:rPr>
          <w:rFonts w:ascii="Arial" w:eastAsia="Calibri" w:hAnsi="Arial" w:cs="Arial"/>
          <w:sz w:val="20"/>
          <w:szCs w:val="20"/>
        </w:rPr>
        <w:t xml:space="preserve">, S. &amp; Ito, S. I. (2020). Isolation and characterization of nutrient dependent pyocyanin from </w:t>
      </w:r>
      <w:r w:rsidRPr="0008498C">
        <w:rPr>
          <w:rFonts w:ascii="Arial" w:eastAsia="Calibri" w:hAnsi="Arial" w:cs="Arial"/>
          <w:i/>
          <w:sz w:val="20"/>
          <w:szCs w:val="20"/>
        </w:rPr>
        <w:t>Pseudomonas aeruginosa</w:t>
      </w:r>
      <w:r w:rsidRPr="0008498C">
        <w:rPr>
          <w:rFonts w:ascii="Arial" w:eastAsia="Calibri" w:hAnsi="Arial" w:cs="Arial"/>
          <w:sz w:val="20"/>
          <w:szCs w:val="20"/>
        </w:rPr>
        <w:t xml:space="preserve"> and its dye and agrochemical properties. </w:t>
      </w:r>
      <w:r w:rsidRPr="0008498C">
        <w:rPr>
          <w:rFonts w:ascii="Arial" w:eastAsia="Calibri" w:hAnsi="Arial" w:cs="Arial"/>
          <w:i/>
          <w:sz w:val="20"/>
          <w:szCs w:val="20"/>
        </w:rPr>
        <w:t>Scientific Reports</w:t>
      </w:r>
      <w:r w:rsidRPr="0008498C">
        <w:rPr>
          <w:rFonts w:ascii="Arial" w:eastAsia="Calibri" w:hAnsi="Arial" w:cs="Arial"/>
          <w:sz w:val="20"/>
          <w:szCs w:val="20"/>
        </w:rPr>
        <w:t xml:space="preserve">, 10(1), 1542. https://doi: 10.1038/s41598-020-58335-6 </w:t>
      </w:r>
    </w:p>
    <w:p w14:paraId="5BDEBD7B"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Dellamatrice</w:t>
      </w:r>
      <w:proofErr w:type="spellEnd"/>
      <w:r w:rsidRPr="0008498C">
        <w:rPr>
          <w:rFonts w:ascii="Arial" w:eastAsia="Calibri" w:hAnsi="Arial" w:cs="Arial"/>
          <w:sz w:val="20"/>
          <w:szCs w:val="20"/>
        </w:rPr>
        <w:t>, P. M., Silva-</w:t>
      </w:r>
      <w:proofErr w:type="spellStart"/>
      <w:r w:rsidRPr="0008498C">
        <w:rPr>
          <w:rFonts w:ascii="Arial" w:eastAsia="Calibri" w:hAnsi="Arial" w:cs="Arial"/>
          <w:sz w:val="20"/>
          <w:szCs w:val="20"/>
        </w:rPr>
        <w:t>Stenico</w:t>
      </w:r>
      <w:proofErr w:type="spellEnd"/>
      <w:r w:rsidRPr="0008498C">
        <w:rPr>
          <w:rFonts w:ascii="Arial" w:eastAsia="Calibri" w:hAnsi="Arial" w:cs="Arial"/>
          <w:sz w:val="20"/>
          <w:szCs w:val="20"/>
        </w:rPr>
        <w:t xml:space="preserve">, M.E, </w:t>
      </w:r>
      <w:proofErr w:type="spellStart"/>
      <w:r w:rsidRPr="0008498C">
        <w:rPr>
          <w:rFonts w:ascii="Arial" w:eastAsia="Calibri" w:hAnsi="Arial" w:cs="Arial"/>
          <w:sz w:val="20"/>
          <w:szCs w:val="20"/>
        </w:rPr>
        <w:t>Moraes</w:t>
      </w:r>
      <w:proofErr w:type="spellEnd"/>
      <w:r w:rsidRPr="0008498C">
        <w:rPr>
          <w:rFonts w:ascii="Arial" w:eastAsia="Calibri" w:hAnsi="Arial" w:cs="Arial"/>
          <w:sz w:val="20"/>
          <w:szCs w:val="20"/>
        </w:rPr>
        <w:t xml:space="preserve">, L. A., Fiore, M. F. &amp; Monteiro, R. T. (2017). Degradation of textile dyes by cyanobacteria. </w:t>
      </w:r>
      <w:r w:rsidRPr="0008498C">
        <w:rPr>
          <w:rFonts w:ascii="Arial" w:eastAsia="Calibri" w:hAnsi="Arial" w:cs="Arial"/>
          <w:i/>
          <w:sz w:val="20"/>
          <w:szCs w:val="20"/>
        </w:rPr>
        <w:t>Brazilian Journal of Microbiology</w:t>
      </w:r>
      <w:r w:rsidRPr="0008498C">
        <w:rPr>
          <w:rFonts w:ascii="Arial" w:eastAsia="Calibri" w:hAnsi="Arial" w:cs="Arial"/>
          <w:sz w:val="20"/>
          <w:szCs w:val="20"/>
        </w:rPr>
        <w:t>, 48(1), 25-31. https://doi:10.1016/j.bjm.2016.09.012</w:t>
      </w:r>
    </w:p>
    <w:p w14:paraId="0B180F33"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Etta, K. K., </w:t>
      </w:r>
      <w:proofErr w:type="spellStart"/>
      <w:r w:rsidRPr="0008498C">
        <w:rPr>
          <w:rFonts w:ascii="Arial" w:eastAsia="Calibri" w:hAnsi="Arial" w:cs="Arial"/>
          <w:sz w:val="20"/>
          <w:szCs w:val="20"/>
        </w:rPr>
        <w:t>Chetapalli</w:t>
      </w:r>
      <w:proofErr w:type="spellEnd"/>
      <w:r w:rsidRPr="0008498C">
        <w:rPr>
          <w:rFonts w:ascii="Arial" w:eastAsia="Calibri" w:hAnsi="Arial" w:cs="Arial"/>
          <w:sz w:val="20"/>
          <w:szCs w:val="20"/>
        </w:rPr>
        <w:t xml:space="preserve">, C., </w:t>
      </w:r>
      <w:proofErr w:type="spellStart"/>
      <w:r w:rsidRPr="0008498C">
        <w:rPr>
          <w:rFonts w:ascii="Arial" w:eastAsia="Calibri" w:hAnsi="Arial" w:cs="Arial"/>
          <w:sz w:val="20"/>
          <w:szCs w:val="20"/>
        </w:rPr>
        <w:t>Muvva</w:t>
      </w:r>
      <w:proofErr w:type="spellEnd"/>
      <w:r w:rsidRPr="0008498C">
        <w:rPr>
          <w:rFonts w:ascii="Arial" w:eastAsia="Calibri" w:hAnsi="Arial" w:cs="Arial"/>
          <w:sz w:val="20"/>
          <w:szCs w:val="20"/>
        </w:rPr>
        <w:t>, V. &amp; Kumbha, N. (2025</w:t>
      </w:r>
      <w:proofErr w:type="gramStart"/>
      <w:r w:rsidRPr="0008498C">
        <w:rPr>
          <w:rFonts w:ascii="Arial" w:eastAsia="Calibri" w:hAnsi="Arial" w:cs="Arial"/>
          <w:sz w:val="20"/>
          <w:szCs w:val="20"/>
        </w:rPr>
        <w:t>).Taxonomic</w:t>
      </w:r>
      <w:proofErr w:type="gramEnd"/>
      <w:r w:rsidRPr="0008498C">
        <w:rPr>
          <w:rFonts w:ascii="Arial" w:eastAsia="Calibri" w:hAnsi="Arial" w:cs="Arial"/>
          <w:sz w:val="20"/>
          <w:szCs w:val="20"/>
        </w:rPr>
        <w:t xml:space="preserve"> profile &amp; antimicrobial potential of </w:t>
      </w:r>
      <w:proofErr w:type="spellStart"/>
      <w:r w:rsidRPr="0008498C">
        <w:rPr>
          <w:rFonts w:ascii="Arial" w:eastAsia="Calibri" w:hAnsi="Arial" w:cs="Arial"/>
          <w:i/>
          <w:sz w:val="20"/>
          <w:szCs w:val="20"/>
        </w:rPr>
        <w:t>Brachybacterium</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conglomeratum</w:t>
      </w:r>
      <w:r w:rsidRPr="0008498C">
        <w:rPr>
          <w:rFonts w:ascii="Arial" w:eastAsia="Calibri" w:hAnsi="Arial" w:cs="Arial"/>
          <w:sz w:val="20"/>
          <w:szCs w:val="20"/>
        </w:rPr>
        <w:t>VLCH</w:t>
      </w:r>
      <w:proofErr w:type="spellEnd"/>
      <w:r w:rsidRPr="0008498C">
        <w:rPr>
          <w:rFonts w:ascii="Arial" w:eastAsia="Calibri" w:hAnsi="Arial" w:cs="Arial"/>
          <w:sz w:val="20"/>
          <w:szCs w:val="20"/>
        </w:rPr>
        <w:t xml:space="preserve">–15 Isolated from Mangroves of Machilipatnam, Andhra Pradesh, India. </w:t>
      </w:r>
      <w:r w:rsidRPr="0008498C">
        <w:rPr>
          <w:rFonts w:ascii="Arial" w:eastAsia="Calibri" w:hAnsi="Arial" w:cs="Arial"/>
          <w:i/>
          <w:sz w:val="20"/>
          <w:szCs w:val="20"/>
        </w:rPr>
        <w:t>Journal of Advances in Microbiology</w:t>
      </w:r>
      <w:r w:rsidRPr="0008498C">
        <w:rPr>
          <w:rFonts w:ascii="Arial" w:eastAsia="Calibri" w:hAnsi="Arial" w:cs="Arial"/>
          <w:sz w:val="20"/>
          <w:szCs w:val="20"/>
        </w:rPr>
        <w:t>, 25 (2), 22-33. https://doi.org/10.9734/jamb/2025/v25i2898</w:t>
      </w:r>
    </w:p>
    <w:p w14:paraId="350BC024"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Francis, F. J. (1989). Food colorants: anthocyanins. </w:t>
      </w:r>
      <w:r w:rsidRPr="0008498C">
        <w:rPr>
          <w:rFonts w:ascii="Arial" w:eastAsia="Calibri" w:hAnsi="Arial" w:cs="Arial"/>
          <w:i/>
          <w:sz w:val="20"/>
          <w:szCs w:val="20"/>
        </w:rPr>
        <w:t>Critical Reviews in Food Science &amp; Nutrition</w:t>
      </w:r>
      <w:r w:rsidRPr="0008498C">
        <w:rPr>
          <w:rFonts w:ascii="Arial" w:eastAsia="Calibri" w:hAnsi="Arial" w:cs="Arial"/>
          <w:sz w:val="20"/>
          <w:szCs w:val="20"/>
        </w:rPr>
        <w:t>, 28(4), 273-314. https://doi: 10.1080/10408398909527503.</w:t>
      </w:r>
    </w:p>
    <w:p w14:paraId="1ED6E9CA"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Galasso, C., </w:t>
      </w:r>
      <w:proofErr w:type="spellStart"/>
      <w:r w:rsidRPr="0008498C">
        <w:rPr>
          <w:rFonts w:ascii="Arial" w:eastAsia="Calibri" w:hAnsi="Arial" w:cs="Arial"/>
          <w:sz w:val="20"/>
          <w:szCs w:val="20"/>
        </w:rPr>
        <w:t>Corinaldesi</w:t>
      </w:r>
      <w:proofErr w:type="spellEnd"/>
      <w:r w:rsidRPr="0008498C">
        <w:rPr>
          <w:rFonts w:ascii="Arial" w:eastAsia="Calibri" w:hAnsi="Arial" w:cs="Arial"/>
          <w:sz w:val="20"/>
          <w:szCs w:val="20"/>
        </w:rPr>
        <w:t xml:space="preserve">, C. &amp; Sansone, C. (2017). Carotenoids from marine organisms: biological functions and industrial applications. </w:t>
      </w:r>
      <w:r w:rsidRPr="0008498C">
        <w:rPr>
          <w:rFonts w:ascii="Arial" w:eastAsia="Calibri" w:hAnsi="Arial" w:cs="Arial"/>
          <w:i/>
          <w:sz w:val="20"/>
          <w:szCs w:val="20"/>
        </w:rPr>
        <w:t>Antioxidants (Basel)</w:t>
      </w:r>
      <w:r w:rsidRPr="0008498C">
        <w:rPr>
          <w:rFonts w:ascii="Arial" w:eastAsia="Calibri" w:hAnsi="Arial" w:cs="Arial"/>
          <w:sz w:val="20"/>
          <w:szCs w:val="20"/>
        </w:rPr>
        <w:t>, 6(4), 96. https://doi: 10.3390/antiox6040096</w:t>
      </w:r>
    </w:p>
    <w:p w14:paraId="35D3B384"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Hizbullah</w:t>
      </w:r>
      <w:proofErr w:type="spellEnd"/>
      <w:r w:rsidRPr="0008498C">
        <w:rPr>
          <w:rFonts w:ascii="Arial" w:eastAsia="Calibri" w:hAnsi="Arial" w:cs="Arial"/>
          <w:sz w:val="20"/>
          <w:szCs w:val="20"/>
        </w:rPr>
        <w:t xml:space="preserve">, U. M., Farouq, A. A. A., Baki, S., </w:t>
      </w:r>
      <w:proofErr w:type="spellStart"/>
      <w:r w:rsidRPr="0008498C">
        <w:rPr>
          <w:rFonts w:ascii="Arial" w:eastAsia="Calibri" w:hAnsi="Arial" w:cs="Arial"/>
          <w:sz w:val="20"/>
          <w:szCs w:val="20"/>
        </w:rPr>
        <w:t>Dabai</w:t>
      </w:r>
      <w:proofErr w:type="spellEnd"/>
      <w:r w:rsidRPr="0008498C">
        <w:rPr>
          <w:rFonts w:ascii="Arial" w:eastAsia="Calibri" w:hAnsi="Arial" w:cs="Arial"/>
          <w:sz w:val="20"/>
          <w:szCs w:val="20"/>
        </w:rPr>
        <w:t xml:space="preserve">, M. U., </w:t>
      </w:r>
      <w:proofErr w:type="spellStart"/>
      <w:r w:rsidRPr="0008498C">
        <w:rPr>
          <w:rFonts w:ascii="Arial" w:eastAsia="Calibri" w:hAnsi="Arial" w:cs="Arial"/>
          <w:sz w:val="20"/>
          <w:szCs w:val="20"/>
        </w:rPr>
        <w:t>Nafi’u</w:t>
      </w:r>
      <w:proofErr w:type="spellEnd"/>
      <w:r w:rsidRPr="0008498C">
        <w:rPr>
          <w:rFonts w:ascii="Arial" w:eastAsia="Calibri" w:hAnsi="Arial" w:cs="Arial"/>
          <w:sz w:val="20"/>
          <w:szCs w:val="20"/>
        </w:rPr>
        <w:t>, A.</w:t>
      </w:r>
      <w:proofErr w:type="gramStart"/>
      <w:r w:rsidRPr="0008498C">
        <w:rPr>
          <w:rFonts w:ascii="Arial" w:eastAsia="Calibri" w:hAnsi="Arial" w:cs="Arial"/>
          <w:sz w:val="20"/>
          <w:szCs w:val="20"/>
        </w:rPr>
        <w:t xml:space="preserve">,  </w:t>
      </w:r>
      <w:proofErr w:type="spellStart"/>
      <w:r w:rsidRPr="0008498C">
        <w:rPr>
          <w:rFonts w:ascii="Arial" w:eastAsia="Calibri" w:hAnsi="Arial" w:cs="Arial"/>
          <w:sz w:val="20"/>
          <w:szCs w:val="20"/>
        </w:rPr>
        <w:t>Nata’ala</w:t>
      </w:r>
      <w:proofErr w:type="spellEnd"/>
      <w:proofErr w:type="gramEnd"/>
      <w:r w:rsidRPr="0008498C">
        <w:rPr>
          <w:rFonts w:ascii="Arial" w:eastAsia="Calibri" w:hAnsi="Arial" w:cs="Arial"/>
          <w:sz w:val="20"/>
          <w:szCs w:val="20"/>
        </w:rPr>
        <w:t>, M. K. &amp; Mustapha, G. (2018). “Studies on Bio-</w:t>
      </w:r>
      <w:proofErr w:type="spellStart"/>
      <w:r w:rsidRPr="0008498C">
        <w:rPr>
          <w:rFonts w:ascii="Arial" w:eastAsia="Calibri" w:hAnsi="Arial" w:cs="Arial"/>
          <w:sz w:val="20"/>
          <w:szCs w:val="20"/>
        </w:rPr>
        <w:t>Color</w:t>
      </w:r>
      <w:proofErr w:type="spellEnd"/>
      <w:r w:rsidRPr="0008498C">
        <w:rPr>
          <w:rFonts w:ascii="Arial" w:eastAsia="Calibri" w:hAnsi="Arial" w:cs="Arial"/>
          <w:sz w:val="20"/>
          <w:szCs w:val="20"/>
        </w:rPr>
        <w:t xml:space="preserve"> Production by </w:t>
      </w:r>
      <w:r w:rsidRPr="0008498C">
        <w:rPr>
          <w:rFonts w:ascii="Arial" w:eastAsia="Calibri" w:hAnsi="Arial" w:cs="Arial"/>
          <w:i/>
          <w:sz w:val="20"/>
          <w:szCs w:val="20"/>
        </w:rPr>
        <w:t>Pseudomonas Aeruginosa</w:t>
      </w:r>
      <w:r w:rsidRPr="0008498C">
        <w:rPr>
          <w:rFonts w:ascii="Arial" w:eastAsia="Calibri" w:hAnsi="Arial" w:cs="Arial"/>
          <w:sz w:val="20"/>
          <w:szCs w:val="20"/>
        </w:rPr>
        <w:t xml:space="preserve"> isolated from Soil”. </w:t>
      </w:r>
      <w:r w:rsidRPr="0008498C">
        <w:rPr>
          <w:rFonts w:ascii="Arial" w:eastAsia="Calibri" w:hAnsi="Arial" w:cs="Arial"/>
          <w:i/>
          <w:iCs/>
          <w:sz w:val="20"/>
          <w:szCs w:val="20"/>
        </w:rPr>
        <w:t>Journal of Advances in Microbiology</w:t>
      </w:r>
      <w:r w:rsidRPr="0008498C">
        <w:rPr>
          <w:rFonts w:ascii="Arial" w:eastAsia="Calibri" w:hAnsi="Arial" w:cs="Arial"/>
          <w:sz w:val="20"/>
          <w:szCs w:val="20"/>
        </w:rPr>
        <w:t> 12 (1):1-12. https://doi.org/10.9734/JAMB/2018/43068</w:t>
      </w:r>
    </w:p>
    <w:p w14:paraId="159A8D3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Islam, T., </w:t>
      </w:r>
      <w:proofErr w:type="spellStart"/>
      <w:r w:rsidRPr="0008498C">
        <w:rPr>
          <w:rFonts w:ascii="Arial" w:eastAsia="Calibri" w:hAnsi="Arial" w:cs="Arial"/>
          <w:sz w:val="20"/>
          <w:szCs w:val="20"/>
        </w:rPr>
        <w:t>Repon</w:t>
      </w:r>
      <w:proofErr w:type="spellEnd"/>
      <w:r w:rsidRPr="0008498C">
        <w:rPr>
          <w:rFonts w:ascii="Arial" w:eastAsia="Calibri" w:hAnsi="Arial" w:cs="Arial"/>
          <w:sz w:val="20"/>
          <w:szCs w:val="20"/>
        </w:rPr>
        <w:t>, M., Islam, T, Sarwar, Z. &amp; Rahman, M. M. (2023). Impact of textile dyes on health and ecosystem: a review of structure, causes, and potential solutions. Environmental Science &amp; Pollution Research International, 30, 9207-9242. https://doi:10.1007/s11356-022-24398-3</w:t>
      </w:r>
    </w:p>
    <w:p w14:paraId="65287502"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Kanwar, K., Sharma, D., Singh, H., Pal, M., Bandhu, R. &amp; Azmi, W. (2024) In vitro effects of alginate lyase SG4+ produced by </w:t>
      </w:r>
      <w:proofErr w:type="spellStart"/>
      <w:r w:rsidRPr="0008498C">
        <w:rPr>
          <w:rFonts w:ascii="Arial" w:eastAsia="Calibri" w:hAnsi="Arial" w:cs="Arial"/>
          <w:i/>
          <w:sz w:val="20"/>
          <w:szCs w:val="20"/>
        </w:rPr>
        <w:t>Paenibacillus</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lautus</w:t>
      </w:r>
      <w:proofErr w:type="spellEnd"/>
      <w:r w:rsidRPr="0008498C">
        <w:rPr>
          <w:rFonts w:ascii="Arial" w:eastAsia="Calibri" w:hAnsi="Arial" w:cs="Arial"/>
          <w:sz w:val="20"/>
          <w:szCs w:val="20"/>
        </w:rPr>
        <w:t xml:space="preserve"> alone and combined with antibiotics on biofilm formation by mucoid </w:t>
      </w:r>
      <w:r w:rsidRPr="0008498C">
        <w:rPr>
          <w:rFonts w:ascii="Arial" w:eastAsia="Calibri" w:hAnsi="Arial" w:cs="Arial"/>
          <w:i/>
          <w:sz w:val="20"/>
          <w:szCs w:val="20"/>
        </w:rPr>
        <w:t>Pseudomonas aeruginosa</w:t>
      </w:r>
      <w:r w:rsidRPr="0008498C">
        <w:rPr>
          <w:rFonts w:ascii="Arial" w:eastAsia="Calibri" w:hAnsi="Arial" w:cs="Arial"/>
          <w:sz w:val="20"/>
          <w:szCs w:val="20"/>
        </w:rPr>
        <w:t xml:space="preserve">. </w:t>
      </w:r>
      <w:r w:rsidRPr="0008498C">
        <w:rPr>
          <w:rFonts w:ascii="Arial" w:eastAsia="Calibri" w:hAnsi="Arial" w:cs="Arial"/>
          <w:i/>
          <w:sz w:val="20"/>
          <w:szCs w:val="20"/>
        </w:rPr>
        <w:t>Brazilian Journal of Microbiology</w:t>
      </w:r>
      <w:r w:rsidRPr="0008498C">
        <w:rPr>
          <w:rFonts w:ascii="Arial" w:eastAsia="Calibri" w:hAnsi="Arial" w:cs="Arial"/>
          <w:sz w:val="20"/>
          <w:szCs w:val="20"/>
        </w:rPr>
        <w:t>, 5(2), 1189-1203. https://doi: 10.1007/s42770-024-01334-w</w:t>
      </w:r>
    </w:p>
    <w:p w14:paraId="5C1DBB7F"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Kaur, T., Sharma, D., Kaur, A. &amp; Manhas R. K. (2013) Antagonistic and plant growth promoting activities of endophytic and soil actinomycetes. </w:t>
      </w:r>
      <w:r w:rsidRPr="0008498C">
        <w:rPr>
          <w:rFonts w:ascii="Arial" w:eastAsia="Calibri" w:hAnsi="Arial" w:cs="Arial"/>
          <w:bCs/>
          <w:i/>
          <w:sz w:val="20"/>
          <w:szCs w:val="20"/>
        </w:rPr>
        <w:t>Archives of Phytopathology and Plant Protection</w:t>
      </w:r>
      <w:r w:rsidRPr="0008498C">
        <w:rPr>
          <w:rFonts w:ascii="Arial" w:eastAsia="Calibri" w:hAnsi="Arial" w:cs="Arial"/>
          <w:i/>
          <w:sz w:val="20"/>
          <w:szCs w:val="20"/>
        </w:rPr>
        <w:t xml:space="preserve">, </w:t>
      </w:r>
      <w:r w:rsidRPr="0008498C">
        <w:rPr>
          <w:rFonts w:ascii="Arial" w:eastAsia="Calibri" w:hAnsi="Arial" w:cs="Arial"/>
          <w:sz w:val="20"/>
          <w:szCs w:val="20"/>
        </w:rPr>
        <w:t>46, 1756-1768. https://doi:10.1080/03235408.2013.777169</w:t>
      </w:r>
    </w:p>
    <w:p w14:paraId="7BAED4F2"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lastRenderedPageBreak/>
        <w:t xml:space="preserve">Kramar, A., &amp; Kostic, M. M. (2022). Bacterial Secondary Metabolites as </w:t>
      </w:r>
      <w:proofErr w:type="spellStart"/>
      <w:r w:rsidRPr="0008498C">
        <w:rPr>
          <w:rFonts w:ascii="Arial" w:eastAsia="Calibri" w:hAnsi="Arial" w:cs="Arial"/>
          <w:sz w:val="20"/>
          <w:szCs w:val="20"/>
        </w:rPr>
        <w:t>Biopigments</w:t>
      </w:r>
      <w:proofErr w:type="spellEnd"/>
      <w:r w:rsidRPr="0008498C">
        <w:rPr>
          <w:rFonts w:ascii="Arial" w:eastAsia="Calibri" w:hAnsi="Arial" w:cs="Arial"/>
          <w:sz w:val="20"/>
          <w:szCs w:val="20"/>
        </w:rPr>
        <w:t xml:space="preserve"> for Textile Dyeing. </w:t>
      </w:r>
      <w:r w:rsidRPr="0008498C">
        <w:rPr>
          <w:rFonts w:ascii="Arial" w:eastAsia="Calibri" w:hAnsi="Arial" w:cs="Arial"/>
          <w:i/>
          <w:iCs/>
          <w:sz w:val="20"/>
          <w:szCs w:val="20"/>
        </w:rPr>
        <w:t>Textiles</w:t>
      </w:r>
      <w:r w:rsidRPr="0008498C">
        <w:rPr>
          <w:rFonts w:ascii="Arial" w:eastAsia="Calibri" w:hAnsi="Arial" w:cs="Arial"/>
          <w:sz w:val="20"/>
          <w:szCs w:val="20"/>
        </w:rPr>
        <w:t>, </w:t>
      </w:r>
      <w:r w:rsidRPr="0008498C">
        <w:rPr>
          <w:rFonts w:ascii="Arial" w:eastAsia="Calibri" w:hAnsi="Arial" w:cs="Arial"/>
          <w:i/>
          <w:iCs/>
          <w:sz w:val="20"/>
          <w:szCs w:val="20"/>
        </w:rPr>
        <w:t>2</w:t>
      </w:r>
      <w:r w:rsidRPr="0008498C">
        <w:rPr>
          <w:rFonts w:ascii="Arial" w:eastAsia="Calibri" w:hAnsi="Arial" w:cs="Arial"/>
          <w:sz w:val="20"/>
          <w:szCs w:val="20"/>
        </w:rPr>
        <w:t>(2), 252-264. https://doi.org/10.3390/textiles2020013</w:t>
      </w:r>
    </w:p>
    <w:p w14:paraId="7D2C31A2"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Kumar, A., Vishwakarma, H. S., Singh, J., Dwivedi, S. &amp; Kumar, M. (2015). Microbial pigments: production and their applications in various industries. </w:t>
      </w:r>
      <w:r w:rsidRPr="0008498C">
        <w:rPr>
          <w:rFonts w:ascii="Arial" w:eastAsia="Calibri" w:hAnsi="Arial" w:cs="Arial"/>
          <w:i/>
          <w:sz w:val="20"/>
          <w:szCs w:val="20"/>
        </w:rPr>
        <w:t>International Journal of Pharmaceutical Chemical and Biological Sciences</w:t>
      </w:r>
      <w:r w:rsidRPr="0008498C">
        <w:rPr>
          <w:rFonts w:ascii="Arial" w:eastAsia="Calibri" w:hAnsi="Arial" w:cs="Arial"/>
          <w:sz w:val="20"/>
          <w:szCs w:val="20"/>
        </w:rPr>
        <w:t>, 5, 203–212.</w:t>
      </w:r>
    </w:p>
    <w:p w14:paraId="23791F72"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Mazotto</w:t>
      </w:r>
      <w:proofErr w:type="spellEnd"/>
      <w:r w:rsidRPr="0008498C">
        <w:rPr>
          <w:rFonts w:ascii="Arial" w:eastAsia="Calibri" w:hAnsi="Arial" w:cs="Arial"/>
          <w:sz w:val="20"/>
          <w:szCs w:val="20"/>
        </w:rPr>
        <w:t xml:space="preserve">, A. M., De Ramos Silva, J., De Brito, L. A. A., </w:t>
      </w:r>
      <w:proofErr w:type="gramStart"/>
      <w:r w:rsidRPr="0008498C">
        <w:rPr>
          <w:rFonts w:ascii="Arial" w:eastAsia="Calibri" w:hAnsi="Arial" w:cs="Arial"/>
          <w:sz w:val="20"/>
          <w:szCs w:val="20"/>
        </w:rPr>
        <w:t>Rocha ,</w:t>
      </w:r>
      <w:proofErr w:type="gramEnd"/>
      <w:r w:rsidRPr="0008498C">
        <w:rPr>
          <w:rFonts w:ascii="Arial" w:eastAsia="Calibri" w:hAnsi="Arial" w:cs="Arial"/>
          <w:sz w:val="20"/>
          <w:szCs w:val="20"/>
        </w:rPr>
        <w:t>N. U. &amp; De Souza Soares, A. (2021). How can microbiology help to improve sustainability in the fashion industry? Environmental Technology &amp; Innovation, 23, 101760. https://doi: 10.1016/j.eti.2021.101760</w:t>
      </w:r>
    </w:p>
    <w:p w14:paraId="78B81B2C"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Mumtaz, R., Bashir, S., Numan, M., Shinwari, Z. K. &amp; Ali, M. (2019). Pigments from soil bacteria and their therapeutic properties: a mini review. </w:t>
      </w:r>
      <w:r w:rsidRPr="0008498C">
        <w:rPr>
          <w:rFonts w:ascii="Arial" w:eastAsia="Calibri" w:hAnsi="Arial" w:cs="Arial"/>
          <w:i/>
          <w:sz w:val="20"/>
          <w:szCs w:val="20"/>
        </w:rPr>
        <w:t>Current Microbiology</w:t>
      </w:r>
      <w:r w:rsidRPr="0008498C">
        <w:rPr>
          <w:rFonts w:ascii="Arial" w:eastAsia="Calibri" w:hAnsi="Arial" w:cs="Arial"/>
          <w:sz w:val="20"/>
          <w:szCs w:val="20"/>
        </w:rPr>
        <w:t>, 76(6):783-790. https://doi: 10.1007/s00284-018-1557-2</w:t>
      </w:r>
    </w:p>
    <w:p w14:paraId="49F7611E"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Ndinchout</w:t>
      </w:r>
      <w:proofErr w:type="spellEnd"/>
      <w:r w:rsidRPr="0008498C">
        <w:rPr>
          <w:rFonts w:ascii="Arial" w:eastAsia="Calibri" w:hAnsi="Arial" w:cs="Arial"/>
          <w:sz w:val="20"/>
          <w:szCs w:val="20"/>
        </w:rPr>
        <w:t xml:space="preserve">, A. S., </w:t>
      </w:r>
      <w:r w:rsidRPr="0008498C">
        <w:rPr>
          <w:rFonts w:ascii="Arial" w:eastAsia="Calibri" w:hAnsi="Arial" w:cs="Arial"/>
          <w:bCs/>
          <w:sz w:val="20"/>
          <w:szCs w:val="20"/>
        </w:rPr>
        <w:t>Chattopadhyay, D. P., Paul, M. F., Ascension, N. M., Kaur, V. &amp; Kaur, S.</w:t>
      </w:r>
      <w:r w:rsidRPr="0008498C">
        <w:rPr>
          <w:rFonts w:ascii="Arial" w:eastAsia="Calibri" w:hAnsi="Arial" w:cs="Arial"/>
          <w:sz w:val="20"/>
          <w:szCs w:val="20"/>
        </w:rPr>
        <w:t xml:space="preserve"> (2019). Studies on dyeing and bacterial resistance of </w:t>
      </w:r>
      <w:proofErr w:type="spellStart"/>
      <w:r w:rsidRPr="0008498C">
        <w:rPr>
          <w:rFonts w:ascii="Arial" w:eastAsia="Calibri" w:hAnsi="Arial" w:cs="Arial"/>
          <w:sz w:val="20"/>
          <w:szCs w:val="20"/>
        </w:rPr>
        <w:t>Dacryodes</w:t>
      </w:r>
      <w:proofErr w:type="spellEnd"/>
      <w:r w:rsidRPr="0008498C">
        <w:rPr>
          <w:rFonts w:ascii="Arial" w:eastAsia="Calibri" w:hAnsi="Arial" w:cs="Arial"/>
          <w:sz w:val="20"/>
          <w:szCs w:val="20"/>
        </w:rPr>
        <w:t xml:space="preserve"> macrophylla extract on woollen fabric. </w:t>
      </w:r>
      <w:r w:rsidRPr="0008498C">
        <w:rPr>
          <w:rFonts w:ascii="Arial" w:eastAsia="Calibri" w:hAnsi="Arial" w:cs="Arial"/>
          <w:i/>
          <w:sz w:val="20"/>
          <w:szCs w:val="20"/>
        </w:rPr>
        <w:t>Journal of Applied &amp; Natural Science</w:t>
      </w:r>
      <w:r w:rsidRPr="0008498C">
        <w:rPr>
          <w:rFonts w:ascii="Arial" w:eastAsia="Calibri" w:hAnsi="Arial" w:cs="Arial"/>
          <w:sz w:val="20"/>
          <w:szCs w:val="20"/>
        </w:rPr>
        <w:t>, 11(1), 205-210. https://doi.org/10.31018/jans.v11i1.1993</w:t>
      </w:r>
    </w:p>
    <w:p w14:paraId="325598BC"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Nuanjohn</w:t>
      </w:r>
      <w:proofErr w:type="spellEnd"/>
      <w:r w:rsidRPr="0008498C">
        <w:rPr>
          <w:rFonts w:ascii="Arial" w:eastAsia="Calibri" w:hAnsi="Arial" w:cs="Arial"/>
          <w:sz w:val="20"/>
          <w:szCs w:val="20"/>
        </w:rPr>
        <w:t xml:space="preserve">, T., </w:t>
      </w:r>
      <w:proofErr w:type="spellStart"/>
      <w:r w:rsidRPr="0008498C">
        <w:rPr>
          <w:rFonts w:ascii="Arial" w:eastAsia="Calibri" w:hAnsi="Arial" w:cs="Arial"/>
          <w:sz w:val="20"/>
          <w:szCs w:val="20"/>
        </w:rPr>
        <w:t>Suphrom</w:t>
      </w:r>
      <w:proofErr w:type="spellEnd"/>
      <w:r w:rsidRPr="0008498C">
        <w:rPr>
          <w:rFonts w:ascii="Arial" w:eastAsia="Calibri" w:hAnsi="Arial" w:cs="Arial"/>
          <w:sz w:val="20"/>
          <w:szCs w:val="20"/>
        </w:rPr>
        <w:t xml:space="preserve">, N., </w:t>
      </w:r>
      <w:proofErr w:type="spellStart"/>
      <w:r w:rsidRPr="0008498C">
        <w:rPr>
          <w:rFonts w:ascii="Arial" w:eastAsia="Calibri" w:hAnsi="Arial" w:cs="Arial"/>
          <w:sz w:val="20"/>
          <w:szCs w:val="20"/>
        </w:rPr>
        <w:t>Nakaew</w:t>
      </w:r>
      <w:proofErr w:type="spellEnd"/>
      <w:r w:rsidRPr="0008498C">
        <w:rPr>
          <w:rFonts w:ascii="Arial" w:eastAsia="Calibri" w:hAnsi="Arial" w:cs="Arial"/>
          <w:sz w:val="20"/>
          <w:szCs w:val="20"/>
        </w:rPr>
        <w:t xml:space="preserve">, N., Pathom-Aree, W., </w:t>
      </w:r>
      <w:proofErr w:type="spellStart"/>
      <w:r w:rsidRPr="0008498C">
        <w:rPr>
          <w:rFonts w:ascii="Arial" w:eastAsia="Calibri" w:hAnsi="Arial" w:cs="Arial"/>
          <w:sz w:val="20"/>
          <w:szCs w:val="20"/>
        </w:rPr>
        <w:t>Pensupa</w:t>
      </w:r>
      <w:proofErr w:type="spellEnd"/>
      <w:r w:rsidRPr="0008498C">
        <w:rPr>
          <w:rFonts w:ascii="Arial" w:eastAsia="Calibri" w:hAnsi="Arial" w:cs="Arial"/>
          <w:sz w:val="20"/>
          <w:szCs w:val="20"/>
        </w:rPr>
        <w:t xml:space="preserve">, N., </w:t>
      </w:r>
      <w:proofErr w:type="spellStart"/>
      <w:r w:rsidRPr="0008498C">
        <w:rPr>
          <w:rFonts w:ascii="Arial" w:eastAsia="Calibri" w:hAnsi="Arial" w:cs="Arial"/>
          <w:sz w:val="20"/>
          <w:szCs w:val="20"/>
        </w:rPr>
        <w:t>Siangsuepchart</w:t>
      </w:r>
      <w:proofErr w:type="spellEnd"/>
      <w:r w:rsidRPr="0008498C">
        <w:rPr>
          <w:rFonts w:ascii="Arial" w:eastAsia="Calibri" w:hAnsi="Arial" w:cs="Arial"/>
          <w:sz w:val="20"/>
          <w:szCs w:val="20"/>
        </w:rPr>
        <w:t xml:space="preserve">, A., Dell, B., &amp; </w:t>
      </w:r>
      <w:proofErr w:type="spellStart"/>
      <w:r w:rsidRPr="0008498C">
        <w:rPr>
          <w:rFonts w:ascii="Arial" w:eastAsia="Calibri" w:hAnsi="Arial" w:cs="Arial"/>
          <w:sz w:val="20"/>
          <w:szCs w:val="20"/>
        </w:rPr>
        <w:t>Jumpathong</w:t>
      </w:r>
      <w:proofErr w:type="spellEnd"/>
      <w:r w:rsidRPr="0008498C">
        <w:rPr>
          <w:rFonts w:ascii="Arial" w:eastAsia="Calibri" w:hAnsi="Arial" w:cs="Arial"/>
          <w:sz w:val="20"/>
          <w:szCs w:val="20"/>
        </w:rPr>
        <w:t xml:space="preserve">, J. (2023). </w:t>
      </w:r>
      <w:proofErr w:type="spellStart"/>
      <w:r w:rsidRPr="0008498C">
        <w:rPr>
          <w:rFonts w:ascii="Arial" w:eastAsia="Calibri" w:hAnsi="Arial" w:cs="Arial"/>
          <w:sz w:val="20"/>
          <w:szCs w:val="20"/>
        </w:rPr>
        <w:t>Actinomycins</w:t>
      </w:r>
      <w:proofErr w:type="spellEnd"/>
      <w:r w:rsidRPr="0008498C">
        <w:rPr>
          <w:rFonts w:ascii="Arial" w:eastAsia="Calibri" w:hAnsi="Arial" w:cs="Arial"/>
          <w:sz w:val="20"/>
          <w:szCs w:val="20"/>
        </w:rPr>
        <w:t xml:space="preserve"> from Soil-Inhabiting </w:t>
      </w:r>
      <w:r w:rsidRPr="0008498C">
        <w:rPr>
          <w:rFonts w:ascii="Arial" w:eastAsia="Calibri" w:hAnsi="Arial" w:cs="Arial"/>
          <w:i/>
          <w:iCs/>
          <w:sz w:val="20"/>
          <w:szCs w:val="20"/>
        </w:rPr>
        <w:t>Streptomyces</w:t>
      </w:r>
      <w:r w:rsidRPr="0008498C">
        <w:rPr>
          <w:rFonts w:ascii="Arial" w:eastAsia="Calibri" w:hAnsi="Arial" w:cs="Arial"/>
          <w:sz w:val="20"/>
          <w:szCs w:val="20"/>
        </w:rPr>
        <w:t> as Sources of Antibacterial Pigments for Silk Dyeing. </w:t>
      </w:r>
      <w:r w:rsidRPr="0008498C">
        <w:rPr>
          <w:rFonts w:ascii="Arial" w:eastAsia="Calibri" w:hAnsi="Arial" w:cs="Arial"/>
          <w:i/>
          <w:iCs/>
          <w:sz w:val="20"/>
          <w:szCs w:val="20"/>
        </w:rPr>
        <w:t>Molecules</w:t>
      </w:r>
      <w:r w:rsidRPr="0008498C">
        <w:rPr>
          <w:rFonts w:ascii="Arial" w:eastAsia="Calibri" w:hAnsi="Arial" w:cs="Arial"/>
          <w:sz w:val="20"/>
          <w:szCs w:val="20"/>
        </w:rPr>
        <w:t>, </w:t>
      </w:r>
      <w:r w:rsidRPr="0008498C">
        <w:rPr>
          <w:rFonts w:ascii="Arial" w:eastAsia="Calibri" w:hAnsi="Arial" w:cs="Arial"/>
          <w:i/>
          <w:iCs/>
          <w:sz w:val="20"/>
          <w:szCs w:val="20"/>
        </w:rPr>
        <w:t>28</w:t>
      </w:r>
      <w:r w:rsidRPr="0008498C">
        <w:rPr>
          <w:rFonts w:ascii="Arial" w:eastAsia="Calibri" w:hAnsi="Arial" w:cs="Arial"/>
          <w:sz w:val="20"/>
          <w:szCs w:val="20"/>
        </w:rPr>
        <w:t>(16), 5949. https://doi.org/10.3390/molecules28165949</w:t>
      </w:r>
    </w:p>
    <w:p w14:paraId="18D1402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Periyasamy, A. P.  (2024). Recent advances in the remediation of textile-dye-containing wastewater: prioritizing human health and sustainable wastewater treatment. </w:t>
      </w:r>
      <w:r w:rsidRPr="0008498C">
        <w:rPr>
          <w:rFonts w:ascii="Arial" w:eastAsia="Calibri" w:hAnsi="Arial" w:cs="Arial"/>
          <w:i/>
          <w:sz w:val="20"/>
          <w:szCs w:val="20"/>
        </w:rPr>
        <w:t>Sustainability</w:t>
      </w:r>
      <w:r w:rsidRPr="0008498C">
        <w:rPr>
          <w:rFonts w:ascii="Arial" w:eastAsia="Calibri" w:hAnsi="Arial" w:cs="Arial"/>
          <w:sz w:val="20"/>
          <w:szCs w:val="20"/>
        </w:rPr>
        <w:t xml:space="preserve">, 16(2), 495. </w:t>
      </w:r>
      <w:r w:rsidRPr="00816909">
        <w:rPr>
          <w:rFonts w:ascii="Arial" w:eastAsia="Calibri" w:hAnsi="Arial" w:cs="Arial"/>
          <w:sz w:val="20"/>
          <w:szCs w:val="20"/>
        </w:rPr>
        <w:t>https://doi:10.3390/su16020495</w:t>
      </w:r>
    </w:p>
    <w:p w14:paraId="2E9732E5"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Rampal, G., Singh, T. T., Arora, R., </w:t>
      </w:r>
      <w:proofErr w:type="spellStart"/>
      <w:r w:rsidRPr="0008498C">
        <w:rPr>
          <w:rFonts w:ascii="Arial" w:eastAsia="Calibri" w:hAnsi="Arial" w:cs="Arial"/>
          <w:sz w:val="20"/>
          <w:szCs w:val="20"/>
        </w:rPr>
        <w:t>Vig</w:t>
      </w:r>
      <w:proofErr w:type="spellEnd"/>
      <w:r w:rsidRPr="0008498C">
        <w:rPr>
          <w:rFonts w:ascii="Arial" w:eastAsia="Calibri" w:hAnsi="Arial" w:cs="Arial"/>
          <w:sz w:val="20"/>
          <w:szCs w:val="20"/>
        </w:rPr>
        <w:t xml:space="preserve">, A. P. &amp; Arora, S. (2017). Synergistic antimutagenic effect of isothiocyanates against varied mutagens, </w:t>
      </w:r>
      <w:r w:rsidRPr="0008498C">
        <w:rPr>
          <w:rFonts w:ascii="Arial" w:eastAsia="Calibri" w:hAnsi="Arial" w:cs="Arial"/>
          <w:bCs/>
          <w:i/>
          <w:sz w:val="20"/>
          <w:szCs w:val="20"/>
        </w:rPr>
        <w:t>Food</w:t>
      </w:r>
      <w:r w:rsidRPr="0008498C">
        <w:rPr>
          <w:rFonts w:ascii="Arial" w:eastAsia="Calibri" w:hAnsi="Arial" w:cs="Arial"/>
          <w:i/>
          <w:sz w:val="20"/>
          <w:szCs w:val="20"/>
        </w:rPr>
        <w:t> &amp; </w:t>
      </w:r>
      <w:r w:rsidRPr="0008498C">
        <w:rPr>
          <w:rFonts w:ascii="Arial" w:eastAsia="Calibri" w:hAnsi="Arial" w:cs="Arial"/>
          <w:bCs/>
          <w:i/>
          <w:sz w:val="20"/>
          <w:szCs w:val="20"/>
        </w:rPr>
        <w:t>Chemical Toxicology</w:t>
      </w:r>
      <w:r w:rsidRPr="0008498C">
        <w:rPr>
          <w:rFonts w:ascii="Arial" w:eastAsia="Calibri" w:hAnsi="Arial" w:cs="Arial"/>
          <w:sz w:val="20"/>
          <w:szCs w:val="20"/>
        </w:rPr>
        <w:t>, 109, 879-887. https://doi: 10.1016/j.fct.2017.05.017</w:t>
      </w:r>
    </w:p>
    <w:p w14:paraId="79885866"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Sarmiento-Tovar, A. A., Silva, L., Sánchez-Suárez, J., &amp; Diaz, L. (2022). </w:t>
      </w:r>
      <w:r w:rsidRPr="0008498C">
        <w:rPr>
          <w:rFonts w:ascii="Arial" w:eastAsia="Calibri" w:hAnsi="Arial" w:cs="Arial"/>
          <w:i/>
          <w:iCs/>
          <w:sz w:val="20"/>
          <w:szCs w:val="20"/>
        </w:rPr>
        <w:t>Streptomyces</w:t>
      </w:r>
      <w:r w:rsidRPr="0008498C">
        <w:rPr>
          <w:rFonts w:ascii="Arial" w:eastAsia="Calibri" w:hAnsi="Arial" w:cs="Arial"/>
          <w:sz w:val="20"/>
          <w:szCs w:val="20"/>
        </w:rPr>
        <w:t>-Derived Bioactive Pigments: Ecofriendly Source of Bioactive Compounds. </w:t>
      </w:r>
      <w:r w:rsidRPr="0008498C">
        <w:rPr>
          <w:rFonts w:ascii="Arial" w:eastAsia="Calibri" w:hAnsi="Arial" w:cs="Arial"/>
          <w:i/>
          <w:iCs/>
          <w:sz w:val="20"/>
          <w:szCs w:val="20"/>
        </w:rPr>
        <w:t>Coatings</w:t>
      </w:r>
      <w:r w:rsidRPr="0008498C">
        <w:rPr>
          <w:rFonts w:ascii="Arial" w:eastAsia="Calibri" w:hAnsi="Arial" w:cs="Arial"/>
          <w:sz w:val="20"/>
          <w:szCs w:val="20"/>
        </w:rPr>
        <w:t>, </w:t>
      </w:r>
      <w:r w:rsidRPr="0008498C">
        <w:rPr>
          <w:rFonts w:ascii="Arial" w:eastAsia="Calibri" w:hAnsi="Arial" w:cs="Arial"/>
          <w:i/>
          <w:iCs/>
          <w:sz w:val="20"/>
          <w:szCs w:val="20"/>
        </w:rPr>
        <w:t>12</w:t>
      </w:r>
      <w:r w:rsidRPr="0008498C">
        <w:rPr>
          <w:rFonts w:ascii="Arial" w:eastAsia="Calibri" w:hAnsi="Arial" w:cs="Arial"/>
          <w:sz w:val="20"/>
          <w:szCs w:val="20"/>
        </w:rPr>
        <w:t>(12), 1858. https://doi.org/10.3390/coatings12121858</w:t>
      </w:r>
    </w:p>
    <w:p w14:paraId="7EB43FC1"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Sen, T., Barrow, C. J. &amp; Deshmukh, S. K. (2019) Microbial pigments in the food industry-challenges and the way forward. </w:t>
      </w:r>
      <w:r w:rsidRPr="0008498C">
        <w:rPr>
          <w:rFonts w:ascii="Arial" w:eastAsia="Calibri" w:hAnsi="Arial" w:cs="Arial"/>
          <w:i/>
          <w:sz w:val="20"/>
          <w:szCs w:val="20"/>
        </w:rPr>
        <w:t>Frontier in Nutrition</w:t>
      </w:r>
      <w:r w:rsidRPr="0008498C">
        <w:rPr>
          <w:rFonts w:ascii="Arial" w:eastAsia="Calibri" w:hAnsi="Arial" w:cs="Arial"/>
          <w:sz w:val="20"/>
          <w:szCs w:val="20"/>
        </w:rPr>
        <w:t>, 6, 7. https://doi:10.3389/fnut.2019.00007</w:t>
      </w:r>
    </w:p>
    <w:p w14:paraId="63FED54F"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B., Dangi, A. K. &amp; Shukla, P. (2018) Contemporary </w:t>
      </w:r>
      <w:proofErr w:type="gramStart"/>
      <w:r w:rsidRPr="0008498C">
        <w:rPr>
          <w:rFonts w:ascii="Arial" w:eastAsia="Calibri" w:hAnsi="Arial" w:cs="Arial"/>
          <w:sz w:val="20"/>
          <w:szCs w:val="20"/>
        </w:rPr>
        <w:t>enzyme based</w:t>
      </w:r>
      <w:proofErr w:type="gramEnd"/>
      <w:r w:rsidRPr="0008498C">
        <w:rPr>
          <w:rFonts w:ascii="Arial" w:eastAsia="Calibri" w:hAnsi="Arial" w:cs="Arial"/>
          <w:sz w:val="20"/>
          <w:szCs w:val="20"/>
        </w:rPr>
        <w:t xml:space="preserve"> technologies for bioremediation: A review. </w:t>
      </w:r>
      <w:r w:rsidRPr="0008498C">
        <w:rPr>
          <w:rFonts w:ascii="Arial" w:eastAsia="Calibri" w:hAnsi="Arial" w:cs="Arial"/>
          <w:i/>
          <w:sz w:val="20"/>
          <w:szCs w:val="20"/>
        </w:rPr>
        <w:t>Journal of Environmental Management</w:t>
      </w:r>
      <w:r w:rsidRPr="0008498C">
        <w:rPr>
          <w:rFonts w:ascii="Arial" w:eastAsia="Calibri" w:hAnsi="Arial" w:cs="Arial"/>
          <w:sz w:val="20"/>
          <w:szCs w:val="20"/>
        </w:rPr>
        <w:t>, 15, 210:10-22. https://doi: 10.1016/j.jenvman.2017.12.075-22.</w:t>
      </w:r>
    </w:p>
    <w:p w14:paraId="424A1DD4"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(2024) Novel natural and synthetic anticandidal therapeutic peptides to combat drug-resistant infections. </w:t>
      </w:r>
      <w:r w:rsidRPr="0008498C">
        <w:rPr>
          <w:rFonts w:ascii="Arial" w:eastAsia="Calibri" w:hAnsi="Arial" w:cs="Arial"/>
          <w:i/>
          <w:sz w:val="20"/>
          <w:szCs w:val="20"/>
        </w:rPr>
        <w:t>Medical Science Forum</w:t>
      </w:r>
      <w:r w:rsidRPr="0008498C">
        <w:rPr>
          <w:rFonts w:ascii="Arial" w:eastAsia="Calibri" w:hAnsi="Arial" w:cs="Arial"/>
          <w:sz w:val="20"/>
          <w:szCs w:val="20"/>
        </w:rPr>
        <w:t>, 24, 12. https://doi:10.3390/ECA2023-16385.</w:t>
      </w:r>
    </w:p>
    <w:p w14:paraId="3067179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Kanwar, K., &amp; Manhas R. K. (2025). Genomic analysis of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amritsarensis</w:t>
      </w:r>
      <w:proofErr w:type="spellEnd"/>
      <w:r w:rsidRPr="0008498C">
        <w:rPr>
          <w:rFonts w:ascii="Arial" w:eastAsia="Calibri" w:hAnsi="Arial" w:cs="Arial"/>
          <w:sz w:val="20"/>
          <w:szCs w:val="20"/>
        </w:rPr>
        <w:t xml:space="preserve"> MTCC 11845 and characterization of novel lanthipeptide 2A. </w:t>
      </w:r>
      <w:r w:rsidRPr="0008498C">
        <w:rPr>
          <w:rFonts w:ascii="Arial" w:eastAsia="Calibri" w:hAnsi="Arial" w:cs="Arial"/>
          <w:i/>
          <w:sz w:val="20"/>
          <w:szCs w:val="20"/>
        </w:rPr>
        <w:t xml:space="preserve">Indian Journal of Experimental </w:t>
      </w:r>
      <w:proofErr w:type="gramStart"/>
      <w:r w:rsidRPr="0008498C">
        <w:rPr>
          <w:rFonts w:ascii="Arial" w:eastAsia="Calibri" w:hAnsi="Arial" w:cs="Arial"/>
          <w:i/>
          <w:sz w:val="20"/>
          <w:szCs w:val="20"/>
        </w:rPr>
        <w:t>Biology</w:t>
      </w:r>
      <w:r w:rsidRPr="0008498C">
        <w:rPr>
          <w:rFonts w:ascii="Arial" w:eastAsia="Calibri" w:hAnsi="Arial" w:cs="Arial"/>
          <w:sz w:val="20"/>
          <w:szCs w:val="20"/>
        </w:rPr>
        <w:t>,  63</w:t>
      </w:r>
      <w:proofErr w:type="gramEnd"/>
      <w:r w:rsidRPr="0008498C">
        <w:rPr>
          <w:rFonts w:ascii="Arial" w:eastAsia="Calibri" w:hAnsi="Arial" w:cs="Arial"/>
          <w:sz w:val="20"/>
          <w:szCs w:val="20"/>
        </w:rPr>
        <w:t>, 229-238 https://doi.org/10.56042/ijeb.v63i03.13585</w:t>
      </w:r>
    </w:p>
    <w:p w14:paraId="7E010A4A"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Kaur, T., Chadha, B. S. &amp; Manhas, R. K. (2011). Antimicrobial activity of actinomycetes against multidrug resistant </w:t>
      </w:r>
      <w:r w:rsidRPr="0008498C">
        <w:rPr>
          <w:rFonts w:ascii="Arial" w:eastAsia="Calibri" w:hAnsi="Arial" w:cs="Arial"/>
          <w:i/>
          <w:sz w:val="20"/>
          <w:szCs w:val="20"/>
        </w:rPr>
        <w:t>Staphylococcus aureus</w:t>
      </w:r>
      <w:r w:rsidRPr="0008498C">
        <w:rPr>
          <w:rFonts w:ascii="Arial" w:eastAsia="Calibri" w:hAnsi="Arial" w:cs="Arial"/>
          <w:sz w:val="20"/>
          <w:szCs w:val="20"/>
        </w:rPr>
        <w:t xml:space="preserve">, </w:t>
      </w:r>
      <w:r w:rsidRPr="0008498C">
        <w:rPr>
          <w:rFonts w:ascii="Arial" w:eastAsia="Calibri" w:hAnsi="Arial" w:cs="Arial"/>
          <w:i/>
          <w:sz w:val="20"/>
          <w:szCs w:val="20"/>
        </w:rPr>
        <w:t>E. coli</w:t>
      </w:r>
      <w:r w:rsidRPr="0008498C">
        <w:rPr>
          <w:rFonts w:ascii="Arial" w:eastAsia="Calibri" w:hAnsi="Arial" w:cs="Arial"/>
          <w:sz w:val="20"/>
          <w:szCs w:val="20"/>
        </w:rPr>
        <w:t xml:space="preserve"> and various other pathogens. </w:t>
      </w:r>
      <w:r w:rsidRPr="0008498C">
        <w:rPr>
          <w:rFonts w:ascii="Arial" w:eastAsia="Calibri" w:hAnsi="Arial" w:cs="Arial"/>
          <w:i/>
          <w:sz w:val="20"/>
          <w:szCs w:val="20"/>
        </w:rPr>
        <w:t>Tropical Journal of Pharmaceutical Research</w:t>
      </w:r>
      <w:r w:rsidRPr="0008498C">
        <w:rPr>
          <w:rFonts w:ascii="Arial" w:eastAsia="Calibri" w:hAnsi="Arial" w:cs="Arial"/>
          <w:sz w:val="20"/>
          <w:szCs w:val="20"/>
        </w:rPr>
        <w:t>, 10, 801-808. https://doi:10.4314/tjpr.v10i6.14</w:t>
      </w:r>
    </w:p>
    <w:p w14:paraId="08F4C48E"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w:t>
      </w:r>
      <w:proofErr w:type="spellStart"/>
      <w:r w:rsidRPr="0008498C">
        <w:rPr>
          <w:rFonts w:ascii="Arial" w:eastAsia="Calibri" w:hAnsi="Arial" w:cs="Arial"/>
          <w:sz w:val="20"/>
          <w:szCs w:val="20"/>
        </w:rPr>
        <w:t>Mayilraj</w:t>
      </w:r>
      <w:proofErr w:type="spellEnd"/>
      <w:r w:rsidRPr="0008498C">
        <w:rPr>
          <w:rFonts w:ascii="Arial" w:eastAsia="Calibri" w:hAnsi="Arial" w:cs="Arial"/>
          <w:sz w:val="20"/>
          <w:szCs w:val="20"/>
        </w:rPr>
        <w:t xml:space="preserve">, S., Manhas, R. K. (2014).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amritsarensis</w:t>
      </w:r>
      <w:proofErr w:type="spellEnd"/>
      <w:r w:rsidRPr="0008498C">
        <w:rPr>
          <w:rFonts w:ascii="Arial" w:eastAsia="Calibri" w:hAnsi="Arial" w:cs="Arial"/>
          <w:sz w:val="20"/>
          <w:szCs w:val="20"/>
        </w:rPr>
        <w:t xml:space="preserve"> sp. </w:t>
      </w:r>
      <w:proofErr w:type="spellStart"/>
      <w:r w:rsidRPr="0008498C">
        <w:rPr>
          <w:rFonts w:ascii="Arial" w:eastAsia="Calibri" w:hAnsi="Arial" w:cs="Arial"/>
          <w:sz w:val="20"/>
          <w:szCs w:val="20"/>
        </w:rPr>
        <w:t>nov.</w:t>
      </w:r>
      <w:proofErr w:type="spellEnd"/>
      <w:r w:rsidRPr="0008498C">
        <w:rPr>
          <w:rFonts w:ascii="Arial" w:eastAsia="Calibri" w:hAnsi="Arial" w:cs="Arial"/>
          <w:sz w:val="20"/>
          <w:szCs w:val="20"/>
        </w:rPr>
        <w:t xml:space="preserve">, exhibiting broad-spectrum antimicrobial activity. </w:t>
      </w:r>
      <w:r w:rsidRPr="0008498C">
        <w:rPr>
          <w:rFonts w:ascii="Arial" w:eastAsia="Calibri" w:hAnsi="Arial" w:cs="Arial"/>
          <w:i/>
          <w:sz w:val="20"/>
          <w:szCs w:val="20"/>
        </w:rPr>
        <w:t xml:space="preserve">Antonie Van Leeuwenhoek </w:t>
      </w:r>
      <w:r w:rsidRPr="0008498C">
        <w:rPr>
          <w:rFonts w:ascii="Arial" w:eastAsia="Calibri" w:hAnsi="Arial" w:cs="Arial"/>
          <w:sz w:val="20"/>
          <w:szCs w:val="20"/>
        </w:rPr>
        <w:t>105(5):943-9. https://doi:10.1007/s10482-014-0151-2.</w:t>
      </w:r>
    </w:p>
    <w:p w14:paraId="31251EE1"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Srinivasan, M., Keziah, S. M, Hemalatha, M. &amp; Devi, C. S. (2017). Pigment from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bellus</w:t>
      </w:r>
      <w:proofErr w:type="spellEnd"/>
      <w:r w:rsidRPr="0008498C">
        <w:rPr>
          <w:rFonts w:ascii="Arial" w:eastAsia="Calibri" w:hAnsi="Arial" w:cs="Arial"/>
          <w:sz w:val="20"/>
          <w:szCs w:val="20"/>
        </w:rPr>
        <w:t xml:space="preserve"> MSA1 isolated from marine sediments. </w:t>
      </w:r>
      <w:r w:rsidRPr="0008498C">
        <w:rPr>
          <w:rFonts w:ascii="Arial" w:eastAsia="Calibri" w:hAnsi="Arial" w:cs="Arial"/>
          <w:i/>
          <w:sz w:val="20"/>
          <w:szCs w:val="20"/>
        </w:rPr>
        <w:t>IOP Conference Series: Material Science &amp; Engineering</w:t>
      </w:r>
      <w:r w:rsidRPr="0008498C">
        <w:rPr>
          <w:rFonts w:ascii="Arial" w:eastAsia="Calibri" w:hAnsi="Arial" w:cs="Arial"/>
          <w:sz w:val="20"/>
          <w:szCs w:val="20"/>
        </w:rPr>
        <w:t>, 263, https://022049.doi:10.1088/1757-899X/263/2/022049</w:t>
      </w:r>
    </w:p>
    <w:p w14:paraId="781E666A"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lastRenderedPageBreak/>
        <w:t xml:space="preserve">Stankovic, N., </w:t>
      </w:r>
      <w:proofErr w:type="spellStart"/>
      <w:r w:rsidRPr="0008498C">
        <w:rPr>
          <w:rFonts w:ascii="Arial" w:eastAsia="Calibri" w:hAnsi="Arial" w:cs="Arial"/>
          <w:sz w:val="20"/>
          <w:szCs w:val="20"/>
        </w:rPr>
        <w:t>Senerovic</w:t>
      </w:r>
      <w:proofErr w:type="spellEnd"/>
      <w:r w:rsidRPr="0008498C">
        <w:rPr>
          <w:rFonts w:ascii="Arial" w:eastAsia="Calibri" w:hAnsi="Arial" w:cs="Arial"/>
          <w:sz w:val="20"/>
          <w:szCs w:val="20"/>
        </w:rPr>
        <w:t xml:space="preserve">, L., Ilic-Tomic, T., Vasiljevic, B. &amp; </w:t>
      </w:r>
      <w:proofErr w:type="spellStart"/>
      <w:r w:rsidRPr="0008498C">
        <w:rPr>
          <w:rFonts w:ascii="Arial" w:eastAsia="Calibri" w:hAnsi="Arial" w:cs="Arial"/>
          <w:sz w:val="20"/>
          <w:szCs w:val="20"/>
        </w:rPr>
        <w:t>Nikodinovic</w:t>
      </w:r>
      <w:proofErr w:type="spellEnd"/>
      <w:r w:rsidRPr="0008498C">
        <w:rPr>
          <w:rFonts w:ascii="Arial" w:eastAsia="Calibri" w:hAnsi="Arial" w:cs="Arial"/>
          <w:sz w:val="20"/>
          <w:szCs w:val="20"/>
        </w:rPr>
        <w:t xml:space="preserve">-Runic, J. (2014) Properties and applications of </w:t>
      </w:r>
      <w:proofErr w:type="spellStart"/>
      <w:r w:rsidRPr="0008498C">
        <w:rPr>
          <w:rFonts w:ascii="Arial" w:eastAsia="Calibri" w:hAnsi="Arial" w:cs="Arial"/>
          <w:sz w:val="20"/>
          <w:szCs w:val="20"/>
        </w:rPr>
        <w:t>undecylprodigiosin</w:t>
      </w:r>
      <w:proofErr w:type="spellEnd"/>
      <w:r w:rsidRPr="0008498C">
        <w:rPr>
          <w:rFonts w:ascii="Arial" w:eastAsia="Calibri" w:hAnsi="Arial" w:cs="Arial"/>
          <w:sz w:val="20"/>
          <w:szCs w:val="20"/>
        </w:rPr>
        <w:t xml:space="preserve"> and other bacterial </w:t>
      </w:r>
      <w:proofErr w:type="spellStart"/>
      <w:r w:rsidRPr="0008498C">
        <w:rPr>
          <w:rFonts w:ascii="Arial" w:eastAsia="Calibri" w:hAnsi="Arial" w:cs="Arial"/>
          <w:sz w:val="20"/>
          <w:szCs w:val="20"/>
        </w:rPr>
        <w:t>prodigiosins</w:t>
      </w:r>
      <w:proofErr w:type="spellEnd"/>
      <w:r w:rsidRPr="0008498C">
        <w:rPr>
          <w:rFonts w:ascii="Arial" w:eastAsia="Calibri" w:hAnsi="Arial" w:cs="Arial"/>
          <w:sz w:val="20"/>
          <w:szCs w:val="20"/>
        </w:rPr>
        <w:t xml:space="preserve">. </w:t>
      </w:r>
      <w:r w:rsidRPr="0008498C">
        <w:rPr>
          <w:rFonts w:ascii="Arial" w:eastAsia="Calibri" w:hAnsi="Arial" w:cs="Arial"/>
          <w:i/>
          <w:sz w:val="20"/>
          <w:szCs w:val="20"/>
        </w:rPr>
        <w:t>Applied Microbiology &amp; Biotechnology</w:t>
      </w:r>
      <w:r w:rsidRPr="0008498C">
        <w:rPr>
          <w:rFonts w:ascii="Arial" w:eastAsia="Calibri" w:hAnsi="Arial" w:cs="Arial"/>
          <w:sz w:val="20"/>
          <w:szCs w:val="20"/>
        </w:rPr>
        <w:t>, 98(9), 3841-358. https://doi: 10.1007/s00253-014-5590-1</w:t>
      </w:r>
    </w:p>
    <w:p w14:paraId="414BF80E"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Tamura, K., Peterson, D., Peterson, N., Stecher, G., Nei, M. &amp; Kumar, S. (2011) MEGA5: molecular evolutionary genetics analysis using maximum likelihood, evolutionary distance, and maximum parsimony methods. </w:t>
      </w:r>
      <w:r w:rsidRPr="0008498C">
        <w:rPr>
          <w:rFonts w:ascii="Arial" w:eastAsia="Calibri" w:hAnsi="Arial" w:cs="Arial"/>
          <w:i/>
          <w:iCs/>
          <w:sz w:val="20"/>
          <w:szCs w:val="20"/>
        </w:rPr>
        <w:t>Molecular Biology and Evolution</w:t>
      </w:r>
      <w:r w:rsidRPr="0008498C">
        <w:rPr>
          <w:rFonts w:ascii="Arial" w:eastAsia="Calibri" w:hAnsi="Arial" w:cs="Arial"/>
          <w:sz w:val="20"/>
          <w:szCs w:val="20"/>
        </w:rPr>
        <w:t>, 28, 2731-2739. https://doi:10.1093/molbev/msr121</w:t>
      </w:r>
    </w:p>
    <w:p w14:paraId="1A77FB31"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Velmurugan, P., Chae, J., </w:t>
      </w:r>
      <w:proofErr w:type="spellStart"/>
      <w:r w:rsidRPr="0008498C">
        <w:rPr>
          <w:rFonts w:ascii="Arial" w:eastAsia="Calibri" w:hAnsi="Arial" w:cs="Arial"/>
          <w:sz w:val="20"/>
          <w:szCs w:val="20"/>
        </w:rPr>
        <w:t>Lakshmanperumalsamy</w:t>
      </w:r>
      <w:proofErr w:type="spellEnd"/>
      <w:r w:rsidRPr="0008498C">
        <w:rPr>
          <w:rFonts w:ascii="Arial" w:eastAsia="Calibri" w:hAnsi="Arial" w:cs="Arial"/>
          <w:sz w:val="20"/>
          <w:szCs w:val="20"/>
        </w:rPr>
        <w:t xml:space="preserve">, P., Yun, B., Lee, K. &amp; Oh, B. (2009). Assessment of the dyeing properties of pigments from five fungi and anti-bacterial activity of dyed cotton fabric and leather. </w:t>
      </w:r>
      <w:proofErr w:type="spellStart"/>
      <w:r w:rsidRPr="0008498C">
        <w:rPr>
          <w:rFonts w:ascii="Arial" w:eastAsia="Calibri" w:hAnsi="Arial" w:cs="Arial"/>
          <w:i/>
          <w:sz w:val="20"/>
          <w:szCs w:val="20"/>
        </w:rPr>
        <w:t>Color</w:t>
      </w:r>
      <w:proofErr w:type="spellEnd"/>
      <w:r w:rsidRPr="0008498C">
        <w:rPr>
          <w:rFonts w:ascii="Arial" w:eastAsia="Calibri" w:hAnsi="Arial" w:cs="Arial"/>
          <w:i/>
          <w:sz w:val="20"/>
          <w:szCs w:val="20"/>
        </w:rPr>
        <w:t xml:space="preserve"> Technology</w:t>
      </w:r>
      <w:r w:rsidRPr="0008498C">
        <w:rPr>
          <w:rFonts w:ascii="Arial" w:eastAsia="Calibri" w:hAnsi="Arial" w:cs="Arial"/>
          <w:sz w:val="20"/>
          <w:szCs w:val="20"/>
        </w:rPr>
        <w:t>, 125, 334-341. https://doi:10.1111/j.1478-4408.2009.00215.x</w:t>
      </w:r>
    </w:p>
    <w:p w14:paraId="07EC52EF"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Venil</w:t>
      </w:r>
      <w:proofErr w:type="spellEnd"/>
      <w:r w:rsidRPr="0008498C">
        <w:rPr>
          <w:rFonts w:ascii="Arial" w:eastAsia="Calibri" w:hAnsi="Arial" w:cs="Arial"/>
          <w:sz w:val="20"/>
          <w:szCs w:val="20"/>
        </w:rPr>
        <w:t xml:space="preserve">, C. K., </w:t>
      </w:r>
      <w:proofErr w:type="spellStart"/>
      <w:r w:rsidRPr="0008498C">
        <w:rPr>
          <w:rFonts w:ascii="Arial" w:eastAsia="Calibri" w:hAnsi="Arial" w:cs="Arial"/>
          <w:sz w:val="20"/>
          <w:szCs w:val="20"/>
        </w:rPr>
        <w:t>Dufossé</w:t>
      </w:r>
      <w:proofErr w:type="spellEnd"/>
      <w:r w:rsidRPr="0008498C">
        <w:rPr>
          <w:rFonts w:ascii="Arial" w:eastAsia="Calibri" w:hAnsi="Arial" w:cs="Arial"/>
          <w:sz w:val="20"/>
          <w:szCs w:val="20"/>
        </w:rPr>
        <w:t xml:space="preserve">, L., Velmurugan, P., Malathi, M., &amp; </w:t>
      </w:r>
      <w:proofErr w:type="spellStart"/>
      <w:r w:rsidRPr="0008498C">
        <w:rPr>
          <w:rFonts w:ascii="Arial" w:eastAsia="Calibri" w:hAnsi="Arial" w:cs="Arial"/>
          <w:sz w:val="20"/>
          <w:szCs w:val="20"/>
        </w:rPr>
        <w:t>Lakshmanaperumalsamy</w:t>
      </w:r>
      <w:proofErr w:type="spellEnd"/>
      <w:r w:rsidRPr="0008498C">
        <w:rPr>
          <w:rFonts w:ascii="Arial" w:eastAsia="Calibri" w:hAnsi="Arial" w:cs="Arial"/>
          <w:sz w:val="20"/>
          <w:szCs w:val="20"/>
        </w:rPr>
        <w:t>, P. (2021). Extraction and Application of Pigment from </w:t>
      </w:r>
      <w:r w:rsidRPr="0008498C">
        <w:rPr>
          <w:rFonts w:ascii="Arial" w:eastAsia="Calibri" w:hAnsi="Arial" w:cs="Arial"/>
          <w:i/>
          <w:iCs/>
          <w:sz w:val="20"/>
          <w:szCs w:val="20"/>
        </w:rPr>
        <w:t>Serratia marcescens</w:t>
      </w:r>
      <w:r w:rsidRPr="0008498C">
        <w:rPr>
          <w:rFonts w:ascii="Arial" w:eastAsia="Calibri" w:hAnsi="Arial" w:cs="Arial"/>
          <w:sz w:val="20"/>
          <w:szCs w:val="20"/>
        </w:rPr>
        <w:t> SB08, an Insect Enteric Gut Bacterium, for Textile Dyeing. </w:t>
      </w:r>
      <w:r w:rsidRPr="0008498C">
        <w:rPr>
          <w:rFonts w:ascii="Arial" w:eastAsia="Calibri" w:hAnsi="Arial" w:cs="Arial"/>
          <w:i/>
          <w:iCs/>
          <w:sz w:val="20"/>
          <w:szCs w:val="20"/>
        </w:rPr>
        <w:t>Textiles</w:t>
      </w:r>
      <w:r w:rsidRPr="0008498C">
        <w:rPr>
          <w:rFonts w:ascii="Arial" w:eastAsia="Calibri" w:hAnsi="Arial" w:cs="Arial"/>
          <w:sz w:val="20"/>
          <w:szCs w:val="20"/>
        </w:rPr>
        <w:t>, </w:t>
      </w:r>
      <w:r w:rsidRPr="0008498C">
        <w:rPr>
          <w:rFonts w:ascii="Arial" w:eastAsia="Calibri" w:hAnsi="Arial" w:cs="Arial"/>
          <w:i/>
          <w:iCs/>
          <w:sz w:val="20"/>
          <w:szCs w:val="20"/>
        </w:rPr>
        <w:t>1</w:t>
      </w:r>
      <w:r w:rsidRPr="0008498C">
        <w:rPr>
          <w:rFonts w:ascii="Arial" w:eastAsia="Calibri" w:hAnsi="Arial" w:cs="Arial"/>
          <w:sz w:val="20"/>
          <w:szCs w:val="20"/>
        </w:rPr>
        <w:t>(1), 21-36. https://doi.org/10.3390/textiles1010003</w:t>
      </w:r>
    </w:p>
    <w:p w14:paraId="10363CEB" w14:textId="77777777" w:rsidR="003456C9" w:rsidRDefault="00CF2411" w:rsidP="00816909">
      <w:pPr>
        <w:spacing w:line="240" w:lineRule="auto"/>
        <w:jc w:val="both"/>
        <w:rPr>
          <w:rFonts w:ascii="Times New Roman" w:hAnsi="Times New Roman" w:cs="Times New Roman"/>
          <w:b/>
          <w:sz w:val="24"/>
          <w:szCs w:val="24"/>
        </w:rPr>
      </w:pPr>
      <w:r w:rsidRPr="0008498C">
        <w:rPr>
          <w:rFonts w:ascii="Arial" w:eastAsia="Calibri" w:hAnsi="Arial" w:cs="Arial"/>
          <w:sz w:val="20"/>
          <w:szCs w:val="20"/>
        </w:rPr>
        <w:t xml:space="preserve">Yang, L. H., Xiong, H., Lee, O. O., Qi, S. H. &amp; Qian, P. Y. (2007). Effect of agitation on violacein production in </w:t>
      </w:r>
      <w:proofErr w:type="spellStart"/>
      <w:r w:rsidRPr="0008498C">
        <w:rPr>
          <w:rFonts w:ascii="Arial" w:eastAsia="Calibri" w:hAnsi="Arial" w:cs="Arial"/>
          <w:i/>
          <w:sz w:val="20"/>
          <w:szCs w:val="20"/>
        </w:rPr>
        <w:t>Pseudoalteromonas</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luteoviolacea</w:t>
      </w:r>
      <w:proofErr w:type="spellEnd"/>
      <w:r w:rsidRPr="0008498C">
        <w:rPr>
          <w:rFonts w:ascii="Arial" w:eastAsia="Calibri" w:hAnsi="Arial" w:cs="Arial"/>
          <w:sz w:val="20"/>
          <w:szCs w:val="20"/>
        </w:rPr>
        <w:t xml:space="preserve"> isolated from a marine sponge. </w:t>
      </w:r>
      <w:r w:rsidRPr="0008498C">
        <w:rPr>
          <w:rFonts w:ascii="Arial" w:eastAsia="Calibri" w:hAnsi="Arial" w:cs="Arial"/>
          <w:i/>
          <w:sz w:val="20"/>
          <w:szCs w:val="20"/>
        </w:rPr>
        <w:t>Letters in Applied Microbiology</w:t>
      </w:r>
      <w:r w:rsidRPr="0008498C">
        <w:rPr>
          <w:rFonts w:ascii="Arial" w:eastAsia="Calibri" w:hAnsi="Arial" w:cs="Arial"/>
          <w:sz w:val="20"/>
          <w:szCs w:val="20"/>
        </w:rPr>
        <w:t>, 44(6), 625-30. https://doi:10.1111/j.1472-765X.2007.02125.x</w:t>
      </w:r>
      <w:r w:rsidRPr="00CF2411">
        <w:rPr>
          <w:rFonts w:ascii="Arial" w:eastAsia="Calibri" w:hAnsi="Arial" w:cs="Arial"/>
          <w:sz w:val="20"/>
          <w:szCs w:val="20"/>
        </w:rPr>
        <w:t xml:space="preserve"> </w:t>
      </w:r>
    </w:p>
    <w:sectPr w:rsidR="003456C9" w:rsidSect="00586329">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E4BC9" w14:textId="77777777" w:rsidR="000D1921" w:rsidRDefault="000D1921">
      <w:pPr>
        <w:spacing w:after="0" w:line="240" w:lineRule="auto"/>
      </w:pPr>
      <w:r>
        <w:separator/>
      </w:r>
    </w:p>
  </w:endnote>
  <w:endnote w:type="continuationSeparator" w:id="0">
    <w:p w14:paraId="0FB18889" w14:textId="77777777" w:rsidR="000D1921" w:rsidRDefault="000D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371C" w14:textId="77777777" w:rsidR="00390D30" w:rsidRDefault="0039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6C29" w14:textId="77777777" w:rsidR="00390D30" w:rsidRDefault="0039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C7B8" w14:textId="77777777" w:rsidR="00390D30" w:rsidRDefault="0039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01F5" w14:textId="77777777" w:rsidR="000D1921" w:rsidRDefault="000D1921">
      <w:pPr>
        <w:spacing w:after="0" w:line="240" w:lineRule="auto"/>
      </w:pPr>
      <w:r>
        <w:separator/>
      </w:r>
    </w:p>
  </w:footnote>
  <w:footnote w:type="continuationSeparator" w:id="0">
    <w:p w14:paraId="4CAD97F1" w14:textId="77777777" w:rsidR="000D1921" w:rsidRDefault="000D1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3794" w14:textId="7EF7B896" w:rsidR="00390D30" w:rsidRDefault="00390D30">
    <w:pPr>
      <w:pStyle w:val="Header"/>
    </w:pPr>
    <w:r>
      <w:rPr>
        <w:noProof/>
      </w:rPr>
      <w:pict w14:anchorId="20F55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AB06" w14:textId="08849993" w:rsidR="00390D30" w:rsidRDefault="00390D30">
    <w:pPr>
      <w:pStyle w:val="Header"/>
    </w:pPr>
    <w:r>
      <w:rPr>
        <w:noProof/>
      </w:rPr>
      <w:pict w14:anchorId="38D61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E044" w14:textId="3901CA34" w:rsidR="00390D30" w:rsidRDefault="00390D30">
    <w:pPr>
      <w:pStyle w:val="Header"/>
    </w:pPr>
    <w:r>
      <w:rPr>
        <w:noProof/>
      </w:rPr>
      <w:pict w14:anchorId="1A974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86E6B"/>
    <w:multiLevelType w:val="multilevel"/>
    <w:tmpl w:val="BC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D764B"/>
    <w:multiLevelType w:val="hybridMultilevel"/>
    <w:tmpl w:val="D2FA69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D628B4"/>
    <w:multiLevelType w:val="hybridMultilevel"/>
    <w:tmpl w:val="98CAF4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EB1A94"/>
    <w:multiLevelType w:val="multilevel"/>
    <w:tmpl w:val="C8B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63"/>
    <w:rsid w:val="000005CD"/>
    <w:rsid w:val="00011EB0"/>
    <w:rsid w:val="00024025"/>
    <w:rsid w:val="00036C87"/>
    <w:rsid w:val="0008498C"/>
    <w:rsid w:val="000922C0"/>
    <w:rsid w:val="0009613C"/>
    <w:rsid w:val="000A7BB0"/>
    <w:rsid w:val="000B7EB4"/>
    <w:rsid w:val="000D1921"/>
    <w:rsid w:val="000D51C3"/>
    <w:rsid w:val="000E013F"/>
    <w:rsid w:val="000F657B"/>
    <w:rsid w:val="00126300"/>
    <w:rsid w:val="001455CE"/>
    <w:rsid w:val="00146710"/>
    <w:rsid w:val="001A1C6F"/>
    <w:rsid w:val="001D2D48"/>
    <w:rsid w:val="001D4A09"/>
    <w:rsid w:val="001E41E7"/>
    <w:rsid w:val="001F27C4"/>
    <w:rsid w:val="00223E85"/>
    <w:rsid w:val="0023153E"/>
    <w:rsid w:val="00232C57"/>
    <w:rsid w:val="0023547B"/>
    <w:rsid w:val="00246271"/>
    <w:rsid w:val="0025527A"/>
    <w:rsid w:val="00257717"/>
    <w:rsid w:val="00280F9A"/>
    <w:rsid w:val="002B1671"/>
    <w:rsid w:val="002C4C4F"/>
    <w:rsid w:val="002C4F77"/>
    <w:rsid w:val="003110A7"/>
    <w:rsid w:val="00312097"/>
    <w:rsid w:val="00312314"/>
    <w:rsid w:val="00323F6C"/>
    <w:rsid w:val="00324171"/>
    <w:rsid w:val="0034087E"/>
    <w:rsid w:val="003411DD"/>
    <w:rsid w:val="003456C9"/>
    <w:rsid w:val="00346C45"/>
    <w:rsid w:val="00365ACA"/>
    <w:rsid w:val="00375BEB"/>
    <w:rsid w:val="00384529"/>
    <w:rsid w:val="00385340"/>
    <w:rsid w:val="00390D30"/>
    <w:rsid w:val="003923C9"/>
    <w:rsid w:val="003F613E"/>
    <w:rsid w:val="00410F80"/>
    <w:rsid w:val="004145B8"/>
    <w:rsid w:val="004147E6"/>
    <w:rsid w:val="004148FB"/>
    <w:rsid w:val="00414D05"/>
    <w:rsid w:val="00420019"/>
    <w:rsid w:val="0046704D"/>
    <w:rsid w:val="0047378E"/>
    <w:rsid w:val="00491AA1"/>
    <w:rsid w:val="00496CE5"/>
    <w:rsid w:val="004B08EE"/>
    <w:rsid w:val="004C11B6"/>
    <w:rsid w:val="004C1C8D"/>
    <w:rsid w:val="004D6549"/>
    <w:rsid w:val="004D7529"/>
    <w:rsid w:val="004F1801"/>
    <w:rsid w:val="0052276B"/>
    <w:rsid w:val="00561477"/>
    <w:rsid w:val="00561930"/>
    <w:rsid w:val="00586329"/>
    <w:rsid w:val="005A31BA"/>
    <w:rsid w:val="005B6888"/>
    <w:rsid w:val="005C2321"/>
    <w:rsid w:val="005E0B20"/>
    <w:rsid w:val="00680AA9"/>
    <w:rsid w:val="006904C0"/>
    <w:rsid w:val="006A145C"/>
    <w:rsid w:val="006A1F99"/>
    <w:rsid w:val="006B6FED"/>
    <w:rsid w:val="006F1D8D"/>
    <w:rsid w:val="006F3963"/>
    <w:rsid w:val="006F57F4"/>
    <w:rsid w:val="00715A40"/>
    <w:rsid w:val="007206E5"/>
    <w:rsid w:val="00722356"/>
    <w:rsid w:val="00750A43"/>
    <w:rsid w:val="0078140A"/>
    <w:rsid w:val="00791EED"/>
    <w:rsid w:val="007D01EA"/>
    <w:rsid w:val="008056A3"/>
    <w:rsid w:val="0080718F"/>
    <w:rsid w:val="00816909"/>
    <w:rsid w:val="0083558D"/>
    <w:rsid w:val="00845CDB"/>
    <w:rsid w:val="00853353"/>
    <w:rsid w:val="00865BBF"/>
    <w:rsid w:val="008721E8"/>
    <w:rsid w:val="008A1782"/>
    <w:rsid w:val="008B3EDF"/>
    <w:rsid w:val="008B3F36"/>
    <w:rsid w:val="008C6C92"/>
    <w:rsid w:val="008D1FE1"/>
    <w:rsid w:val="0091768C"/>
    <w:rsid w:val="0092757E"/>
    <w:rsid w:val="009360CC"/>
    <w:rsid w:val="00970276"/>
    <w:rsid w:val="009715ED"/>
    <w:rsid w:val="009A0A7D"/>
    <w:rsid w:val="009B1020"/>
    <w:rsid w:val="009B2433"/>
    <w:rsid w:val="009E071F"/>
    <w:rsid w:val="009F74ED"/>
    <w:rsid w:val="00A1790A"/>
    <w:rsid w:val="00A32160"/>
    <w:rsid w:val="00A66D0C"/>
    <w:rsid w:val="00A726C4"/>
    <w:rsid w:val="00A73F8D"/>
    <w:rsid w:val="00AA1172"/>
    <w:rsid w:val="00AA1CAD"/>
    <w:rsid w:val="00AA261A"/>
    <w:rsid w:val="00AA6ED2"/>
    <w:rsid w:val="00AB694B"/>
    <w:rsid w:val="00AD6DD2"/>
    <w:rsid w:val="00AD7DD0"/>
    <w:rsid w:val="00B70E02"/>
    <w:rsid w:val="00B76CC7"/>
    <w:rsid w:val="00B82918"/>
    <w:rsid w:val="00BA187F"/>
    <w:rsid w:val="00BA4607"/>
    <w:rsid w:val="00BB4602"/>
    <w:rsid w:val="00C22303"/>
    <w:rsid w:val="00C226CD"/>
    <w:rsid w:val="00C23236"/>
    <w:rsid w:val="00C23ED1"/>
    <w:rsid w:val="00C35074"/>
    <w:rsid w:val="00C43DD5"/>
    <w:rsid w:val="00C80E72"/>
    <w:rsid w:val="00CA2C27"/>
    <w:rsid w:val="00CB3B05"/>
    <w:rsid w:val="00CD04A2"/>
    <w:rsid w:val="00CF2411"/>
    <w:rsid w:val="00D23153"/>
    <w:rsid w:val="00D4123E"/>
    <w:rsid w:val="00D52772"/>
    <w:rsid w:val="00D57044"/>
    <w:rsid w:val="00D8669A"/>
    <w:rsid w:val="00D86C6A"/>
    <w:rsid w:val="00D92537"/>
    <w:rsid w:val="00D95B71"/>
    <w:rsid w:val="00DC1934"/>
    <w:rsid w:val="00DD47EE"/>
    <w:rsid w:val="00DF7470"/>
    <w:rsid w:val="00E00433"/>
    <w:rsid w:val="00E61BB4"/>
    <w:rsid w:val="00E90D8B"/>
    <w:rsid w:val="00EA409B"/>
    <w:rsid w:val="00EB7BAE"/>
    <w:rsid w:val="00ED621E"/>
    <w:rsid w:val="00EE2830"/>
    <w:rsid w:val="00F2198E"/>
    <w:rsid w:val="00F7497B"/>
    <w:rsid w:val="00FF5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1867D"/>
  <w15:chartTrackingRefBased/>
  <w15:docId w15:val="{550FC429-D801-4F12-AFC5-3271314C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ED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B1671"/>
    <w:rPr>
      <w:color w:val="0563C1" w:themeColor="hyperlink"/>
      <w:u w:val="single"/>
    </w:rPr>
  </w:style>
  <w:style w:type="table" w:styleId="TableGrid">
    <w:name w:val="Table Grid"/>
    <w:basedOn w:val="TableNormal"/>
    <w:uiPriority w:val="59"/>
    <w:rsid w:val="000F65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F657B"/>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F657B"/>
    <w:rPr>
      <w:rFonts w:eastAsiaTheme="minorEastAsia"/>
      <w:lang w:val="en-US"/>
    </w:rPr>
  </w:style>
  <w:style w:type="paragraph" w:styleId="ListParagraph">
    <w:name w:val="List Paragraph"/>
    <w:basedOn w:val="Normal"/>
    <w:uiPriority w:val="34"/>
    <w:qFormat/>
    <w:rsid w:val="005E0B20"/>
    <w:pPr>
      <w:ind w:left="720"/>
      <w:contextualSpacing/>
    </w:pPr>
  </w:style>
  <w:style w:type="paragraph" w:styleId="Header">
    <w:name w:val="header"/>
    <w:basedOn w:val="Normal"/>
    <w:link w:val="HeaderChar"/>
    <w:uiPriority w:val="99"/>
    <w:unhideWhenUsed/>
    <w:rsid w:val="007D0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EA"/>
  </w:style>
  <w:style w:type="paragraph" w:customStyle="1" w:styleId="AcknHead">
    <w:name w:val="Ackn Head"/>
    <w:basedOn w:val="Normal"/>
    <w:rsid w:val="00791EE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791EED"/>
    <w:pPr>
      <w:keepNext/>
      <w:spacing w:after="240" w:line="240" w:lineRule="auto"/>
    </w:pPr>
    <w:rPr>
      <w:rFonts w:ascii="Helvetica" w:eastAsia="Times New Roman" w:hAnsi="Helvetica" w:cs="Times New Roman"/>
      <w:b/>
      <w:caps/>
      <w:szCs w:val="20"/>
      <w:lang w:val="en-US"/>
    </w:rPr>
  </w:style>
  <w:style w:type="character" w:styleId="Emphasis">
    <w:name w:val="Emphasis"/>
    <w:basedOn w:val="DefaultParagraphFont"/>
    <w:uiPriority w:val="20"/>
    <w:qFormat/>
    <w:rsid w:val="00385340"/>
    <w:rPr>
      <w:i/>
      <w:iCs/>
    </w:rPr>
  </w:style>
  <w:style w:type="character" w:styleId="LineNumber">
    <w:name w:val="line number"/>
    <w:basedOn w:val="DefaultParagraphFont"/>
    <w:uiPriority w:val="99"/>
    <w:semiHidden/>
    <w:unhideWhenUsed/>
    <w:rsid w:val="00324171"/>
  </w:style>
  <w:style w:type="character" w:styleId="UnresolvedMention">
    <w:name w:val="Unresolved Mention"/>
    <w:basedOn w:val="DefaultParagraphFont"/>
    <w:uiPriority w:val="99"/>
    <w:semiHidden/>
    <w:unhideWhenUsed/>
    <w:rsid w:val="0087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58160">
      <w:bodyDiv w:val="1"/>
      <w:marLeft w:val="0"/>
      <w:marRight w:val="0"/>
      <w:marTop w:val="0"/>
      <w:marBottom w:val="0"/>
      <w:divBdr>
        <w:top w:val="none" w:sz="0" w:space="0" w:color="auto"/>
        <w:left w:val="none" w:sz="0" w:space="0" w:color="auto"/>
        <w:bottom w:val="none" w:sz="0" w:space="0" w:color="auto"/>
        <w:right w:val="none" w:sz="0" w:space="0" w:color="auto"/>
      </w:divBdr>
    </w:div>
    <w:div w:id="671374753">
      <w:bodyDiv w:val="1"/>
      <w:marLeft w:val="0"/>
      <w:marRight w:val="0"/>
      <w:marTop w:val="0"/>
      <w:marBottom w:val="0"/>
      <w:divBdr>
        <w:top w:val="none" w:sz="0" w:space="0" w:color="auto"/>
        <w:left w:val="none" w:sz="0" w:space="0" w:color="auto"/>
        <w:bottom w:val="none" w:sz="0" w:space="0" w:color="auto"/>
        <w:right w:val="none" w:sz="0" w:space="0" w:color="auto"/>
      </w:divBdr>
    </w:div>
    <w:div w:id="673998525">
      <w:bodyDiv w:val="1"/>
      <w:marLeft w:val="0"/>
      <w:marRight w:val="0"/>
      <w:marTop w:val="0"/>
      <w:marBottom w:val="0"/>
      <w:divBdr>
        <w:top w:val="none" w:sz="0" w:space="0" w:color="auto"/>
        <w:left w:val="none" w:sz="0" w:space="0" w:color="auto"/>
        <w:bottom w:val="none" w:sz="0" w:space="0" w:color="auto"/>
        <w:right w:val="none" w:sz="0" w:space="0" w:color="auto"/>
      </w:divBdr>
    </w:div>
    <w:div w:id="791634467">
      <w:bodyDiv w:val="1"/>
      <w:marLeft w:val="0"/>
      <w:marRight w:val="0"/>
      <w:marTop w:val="0"/>
      <w:marBottom w:val="0"/>
      <w:divBdr>
        <w:top w:val="none" w:sz="0" w:space="0" w:color="auto"/>
        <w:left w:val="none" w:sz="0" w:space="0" w:color="auto"/>
        <w:bottom w:val="none" w:sz="0" w:space="0" w:color="auto"/>
        <w:right w:val="none" w:sz="0" w:space="0" w:color="auto"/>
      </w:divBdr>
    </w:div>
    <w:div w:id="1179082188">
      <w:bodyDiv w:val="1"/>
      <w:marLeft w:val="0"/>
      <w:marRight w:val="0"/>
      <w:marTop w:val="0"/>
      <w:marBottom w:val="0"/>
      <w:divBdr>
        <w:top w:val="none" w:sz="0" w:space="0" w:color="auto"/>
        <w:left w:val="none" w:sz="0" w:space="0" w:color="auto"/>
        <w:bottom w:val="none" w:sz="0" w:space="0" w:color="auto"/>
        <w:right w:val="none" w:sz="0" w:space="0" w:color="auto"/>
      </w:divBdr>
    </w:div>
    <w:div w:id="1303467798">
      <w:bodyDiv w:val="1"/>
      <w:marLeft w:val="0"/>
      <w:marRight w:val="0"/>
      <w:marTop w:val="0"/>
      <w:marBottom w:val="0"/>
      <w:divBdr>
        <w:top w:val="none" w:sz="0" w:space="0" w:color="auto"/>
        <w:left w:val="none" w:sz="0" w:space="0" w:color="auto"/>
        <w:bottom w:val="none" w:sz="0" w:space="0" w:color="auto"/>
        <w:right w:val="none" w:sz="0" w:space="0" w:color="auto"/>
      </w:divBdr>
    </w:div>
    <w:div w:id="1563826122">
      <w:bodyDiv w:val="1"/>
      <w:marLeft w:val="0"/>
      <w:marRight w:val="0"/>
      <w:marTop w:val="0"/>
      <w:marBottom w:val="0"/>
      <w:divBdr>
        <w:top w:val="none" w:sz="0" w:space="0" w:color="auto"/>
        <w:left w:val="none" w:sz="0" w:space="0" w:color="auto"/>
        <w:bottom w:val="none" w:sz="0" w:space="0" w:color="auto"/>
        <w:right w:val="none" w:sz="0" w:space="0" w:color="auto"/>
      </w:divBdr>
    </w:div>
    <w:div w:id="1634021793">
      <w:bodyDiv w:val="1"/>
      <w:marLeft w:val="0"/>
      <w:marRight w:val="0"/>
      <w:marTop w:val="0"/>
      <w:marBottom w:val="0"/>
      <w:divBdr>
        <w:top w:val="none" w:sz="0" w:space="0" w:color="auto"/>
        <w:left w:val="none" w:sz="0" w:space="0" w:color="auto"/>
        <w:bottom w:val="none" w:sz="0" w:space="0" w:color="auto"/>
        <w:right w:val="none" w:sz="0" w:space="0" w:color="auto"/>
      </w:divBdr>
    </w:div>
    <w:div w:id="1815372983">
      <w:bodyDiv w:val="1"/>
      <w:marLeft w:val="0"/>
      <w:marRight w:val="0"/>
      <w:marTop w:val="0"/>
      <w:marBottom w:val="0"/>
      <w:divBdr>
        <w:top w:val="none" w:sz="0" w:space="0" w:color="auto"/>
        <w:left w:val="none" w:sz="0" w:space="0" w:color="auto"/>
        <w:bottom w:val="none" w:sz="0" w:space="0" w:color="auto"/>
        <w:right w:val="none" w:sz="0" w:space="0" w:color="auto"/>
      </w:divBdr>
    </w:div>
    <w:div w:id="19746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259039048690342"/>
          <c:y val="3.8931545040123576E-2"/>
          <c:w val="0.7432784935147152"/>
          <c:h val="0.63118009770309813"/>
        </c:manualLayout>
      </c:layout>
      <c:lineChart>
        <c:grouping val="standard"/>
        <c:varyColors val="0"/>
        <c:ser>
          <c:idx val="0"/>
          <c:order val="0"/>
          <c:tx>
            <c:strRef>
              <c:f>Sheet1!$B$7</c:f>
              <c:strCache>
                <c:ptCount val="1"/>
                <c:pt idx="0">
                  <c:v>Absorbance at 404 nm</c:v>
                </c:pt>
              </c:strCache>
            </c:strRef>
          </c:tx>
          <c:spPr>
            <a:ln w="12700">
              <a:solidFill>
                <a:schemeClr val="tx2"/>
              </a:solidFill>
            </a:ln>
          </c:spPr>
          <c:marker>
            <c:symbol val="diamond"/>
            <c:size val="5"/>
            <c:spPr>
              <a:solidFill>
                <a:schemeClr val="tx2"/>
              </a:solidFill>
            </c:spPr>
          </c:marker>
          <c:cat>
            <c:numRef>
              <c:f>Sheet1!$A$9:$A$14</c:f>
              <c:numCache>
                <c:formatCode>General</c:formatCode>
                <c:ptCount val="6"/>
                <c:pt idx="0">
                  <c:v>3</c:v>
                </c:pt>
                <c:pt idx="1">
                  <c:v>4</c:v>
                </c:pt>
                <c:pt idx="2">
                  <c:v>5</c:v>
                </c:pt>
                <c:pt idx="3">
                  <c:v>6</c:v>
                </c:pt>
                <c:pt idx="4">
                  <c:v>7</c:v>
                </c:pt>
                <c:pt idx="5">
                  <c:v>8</c:v>
                </c:pt>
              </c:numCache>
            </c:numRef>
          </c:cat>
          <c:val>
            <c:numRef>
              <c:f>Sheet1!$B$9:$B$14</c:f>
              <c:numCache>
                <c:formatCode>General</c:formatCode>
                <c:ptCount val="6"/>
                <c:pt idx="0">
                  <c:v>0</c:v>
                </c:pt>
                <c:pt idx="1">
                  <c:v>0.23400000000000001</c:v>
                </c:pt>
                <c:pt idx="2">
                  <c:v>0.27800000000000002</c:v>
                </c:pt>
                <c:pt idx="3">
                  <c:v>0.251</c:v>
                </c:pt>
                <c:pt idx="4">
                  <c:v>0.15400000000000008</c:v>
                </c:pt>
                <c:pt idx="5">
                  <c:v>0</c:v>
                </c:pt>
              </c:numCache>
            </c:numRef>
          </c:val>
          <c:smooth val="0"/>
          <c:extLst>
            <c:ext xmlns:c16="http://schemas.microsoft.com/office/drawing/2014/chart" uri="{C3380CC4-5D6E-409C-BE32-E72D297353CC}">
              <c16:uniqueId val="{00000000-6FC7-4331-B01C-5B9B7BC9F27B}"/>
            </c:ext>
          </c:extLst>
        </c:ser>
        <c:ser>
          <c:idx val="1"/>
          <c:order val="1"/>
          <c:tx>
            <c:strRef>
              <c:f>Sheet1!$C$7</c:f>
              <c:strCache>
                <c:ptCount val="1"/>
                <c:pt idx="0">
                  <c:v>Absorbance at 525 nm</c:v>
                </c:pt>
              </c:strCache>
            </c:strRef>
          </c:tx>
          <c:spPr>
            <a:ln w="12700">
              <a:solidFill>
                <a:srgbClr val="FF0000"/>
              </a:solidFill>
            </a:ln>
          </c:spPr>
          <c:marker>
            <c:symbol val="square"/>
            <c:size val="4"/>
            <c:spPr>
              <a:solidFill>
                <a:srgbClr val="FF0000"/>
              </a:solidFill>
            </c:spPr>
          </c:marker>
          <c:cat>
            <c:numRef>
              <c:f>Sheet1!$A$9:$A$14</c:f>
              <c:numCache>
                <c:formatCode>General</c:formatCode>
                <c:ptCount val="6"/>
                <c:pt idx="0">
                  <c:v>3</c:v>
                </c:pt>
                <c:pt idx="1">
                  <c:v>4</c:v>
                </c:pt>
                <c:pt idx="2">
                  <c:v>5</c:v>
                </c:pt>
                <c:pt idx="3">
                  <c:v>6</c:v>
                </c:pt>
                <c:pt idx="4">
                  <c:v>7</c:v>
                </c:pt>
                <c:pt idx="5">
                  <c:v>8</c:v>
                </c:pt>
              </c:numCache>
            </c:numRef>
          </c:cat>
          <c:val>
            <c:numRef>
              <c:f>Sheet1!$C$9:$C$14</c:f>
              <c:numCache>
                <c:formatCode>General</c:formatCode>
                <c:ptCount val="6"/>
                <c:pt idx="0">
                  <c:v>0</c:v>
                </c:pt>
                <c:pt idx="1">
                  <c:v>0.26</c:v>
                </c:pt>
                <c:pt idx="2">
                  <c:v>0.30300000000000021</c:v>
                </c:pt>
                <c:pt idx="3">
                  <c:v>0.24100000000000008</c:v>
                </c:pt>
                <c:pt idx="4">
                  <c:v>0.2213</c:v>
                </c:pt>
                <c:pt idx="5">
                  <c:v>0</c:v>
                </c:pt>
              </c:numCache>
            </c:numRef>
          </c:val>
          <c:smooth val="0"/>
          <c:extLst>
            <c:ext xmlns:c16="http://schemas.microsoft.com/office/drawing/2014/chart" uri="{C3380CC4-5D6E-409C-BE32-E72D297353CC}">
              <c16:uniqueId val="{00000001-6FC7-4331-B01C-5B9B7BC9F27B}"/>
            </c:ext>
          </c:extLst>
        </c:ser>
        <c:dLbls>
          <c:showLegendKey val="0"/>
          <c:showVal val="0"/>
          <c:showCatName val="0"/>
          <c:showSerName val="0"/>
          <c:showPercent val="0"/>
          <c:showBubbleSize val="0"/>
        </c:dLbls>
        <c:marker val="1"/>
        <c:smooth val="0"/>
        <c:axId val="99360768"/>
        <c:axId val="99362688"/>
      </c:lineChart>
      <c:lineChart>
        <c:grouping val="standard"/>
        <c:varyColors val="0"/>
        <c:ser>
          <c:idx val="2"/>
          <c:order val="2"/>
          <c:tx>
            <c:strRef>
              <c:f>Sheet1!$D$7</c:f>
              <c:strCache>
                <c:ptCount val="1"/>
                <c:pt idx="0">
                  <c:v>Mycelial dry weight g/l</c:v>
                </c:pt>
              </c:strCache>
            </c:strRef>
          </c:tx>
          <c:spPr>
            <a:ln w="12700">
              <a:solidFill>
                <a:schemeClr val="accent3"/>
              </a:solidFill>
            </a:ln>
          </c:spPr>
          <c:marker>
            <c:symbol val="triangle"/>
            <c:size val="4"/>
            <c:spPr>
              <a:solidFill>
                <a:schemeClr val="accent3"/>
              </a:solidFill>
            </c:spPr>
          </c:marker>
          <c:cat>
            <c:numRef>
              <c:f>Sheet1!$A$9:$A$14</c:f>
              <c:numCache>
                <c:formatCode>General</c:formatCode>
                <c:ptCount val="6"/>
                <c:pt idx="0">
                  <c:v>3</c:v>
                </c:pt>
                <c:pt idx="1">
                  <c:v>4</c:v>
                </c:pt>
                <c:pt idx="2">
                  <c:v>5</c:v>
                </c:pt>
                <c:pt idx="3">
                  <c:v>6</c:v>
                </c:pt>
                <c:pt idx="4">
                  <c:v>7</c:v>
                </c:pt>
                <c:pt idx="5">
                  <c:v>8</c:v>
                </c:pt>
              </c:numCache>
            </c:numRef>
          </c:cat>
          <c:val>
            <c:numRef>
              <c:f>Sheet1!$D$9:$D$14</c:f>
              <c:numCache>
                <c:formatCode>General</c:formatCode>
                <c:ptCount val="6"/>
                <c:pt idx="0">
                  <c:v>0.5</c:v>
                </c:pt>
                <c:pt idx="1">
                  <c:v>1.23</c:v>
                </c:pt>
                <c:pt idx="2">
                  <c:v>1.6</c:v>
                </c:pt>
                <c:pt idx="3">
                  <c:v>2.92</c:v>
                </c:pt>
                <c:pt idx="4">
                  <c:v>2.12</c:v>
                </c:pt>
                <c:pt idx="5">
                  <c:v>1.28</c:v>
                </c:pt>
              </c:numCache>
            </c:numRef>
          </c:val>
          <c:smooth val="0"/>
          <c:extLst>
            <c:ext xmlns:c16="http://schemas.microsoft.com/office/drawing/2014/chart" uri="{C3380CC4-5D6E-409C-BE32-E72D297353CC}">
              <c16:uniqueId val="{00000002-6FC7-4331-B01C-5B9B7BC9F27B}"/>
            </c:ext>
          </c:extLst>
        </c:ser>
        <c:dLbls>
          <c:showLegendKey val="0"/>
          <c:showVal val="0"/>
          <c:showCatName val="0"/>
          <c:showSerName val="0"/>
          <c:showPercent val="0"/>
          <c:showBubbleSize val="0"/>
        </c:dLbls>
        <c:marker val="1"/>
        <c:smooth val="0"/>
        <c:axId val="99370112"/>
        <c:axId val="99364224"/>
      </c:lineChart>
      <c:catAx>
        <c:axId val="99360768"/>
        <c:scaling>
          <c:orientation val="minMax"/>
        </c:scaling>
        <c:delete val="0"/>
        <c:axPos val="b"/>
        <c:numFmt formatCode="General" sourceLinked="1"/>
        <c:majorTickMark val="out"/>
        <c:minorTickMark val="none"/>
        <c:tickLblPos val="nextTo"/>
        <c:crossAx val="99362688"/>
        <c:crosses val="autoZero"/>
        <c:auto val="1"/>
        <c:lblAlgn val="ctr"/>
        <c:lblOffset val="100"/>
        <c:noMultiLvlLbl val="0"/>
      </c:catAx>
      <c:valAx>
        <c:axId val="99362688"/>
        <c:scaling>
          <c:orientation val="minMax"/>
        </c:scaling>
        <c:delete val="0"/>
        <c:axPos val="l"/>
        <c:numFmt formatCode="General" sourceLinked="1"/>
        <c:majorTickMark val="out"/>
        <c:minorTickMark val="none"/>
        <c:tickLblPos val="nextTo"/>
        <c:txPr>
          <a:bodyPr/>
          <a:lstStyle/>
          <a:p>
            <a:pPr>
              <a:defRPr b="1"/>
            </a:pPr>
            <a:endParaRPr lang="en-US"/>
          </a:p>
        </c:txPr>
        <c:crossAx val="99360768"/>
        <c:crosses val="autoZero"/>
        <c:crossBetween val="midCat"/>
      </c:valAx>
      <c:valAx>
        <c:axId val="99364224"/>
        <c:scaling>
          <c:orientation val="minMax"/>
        </c:scaling>
        <c:delete val="0"/>
        <c:axPos val="r"/>
        <c:numFmt formatCode="General" sourceLinked="1"/>
        <c:majorTickMark val="out"/>
        <c:minorTickMark val="none"/>
        <c:tickLblPos val="nextTo"/>
        <c:txPr>
          <a:bodyPr/>
          <a:lstStyle/>
          <a:p>
            <a:pPr>
              <a:defRPr sz="800" b="1">
                <a:latin typeface="Arial" panose="020B0604020202020204" pitchFamily="34" charset="0"/>
                <a:cs typeface="Arial" panose="020B0604020202020204" pitchFamily="34" charset="0"/>
              </a:defRPr>
            </a:pPr>
            <a:endParaRPr lang="en-US"/>
          </a:p>
        </c:txPr>
        <c:crossAx val="99370112"/>
        <c:crosses val="max"/>
        <c:crossBetween val="between"/>
      </c:valAx>
      <c:catAx>
        <c:axId val="99370112"/>
        <c:scaling>
          <c:orientation val="minMax"/>
        </c:scaling>
        <c:delete val="1"/>
        <c:axPos val="b"/>
        <c:numFmt formatCode="General" sourceLinked="1"/>
        <c:majorTickMark val="out"/>
        <c:minorTickMark val="none"/>
        <c:tickLblPos val="nextTo"/>
        <c:crossAx val="99364224"/>
        <c:crosses val="autoZero"/>
        <c:auto val="1"/>
        <c:lblAlgn val="ctr"/>
        <c:lblOffset val="100"/>
        <c:noMultiLvlLbl val="0"/>
      </c:catAx>
      <c:spPr>
        <a:noFill/>
        <a:ln w="25400">
          <a:noFill/>
        </a:ln>
      </c:spPr>
    </c:plotArea>
    <c:legend>
      <c:legendPos val="b"/>
      <c:layout>
        <c:manualLayout>
          <c:xMode val="edge"/>
          <c:yMode val="edge"/>
          <c:x val="2.9618098196441033E-2"/>
          <c:y val="0.87213956299626549"/>
          <c:w val="0.96926075754292185"/>
          <c:h val="0.12786045285009232"/>
        </c:manualLayout>
      </c:layout>
      <c:overlay val="0"/>
      <c:txPr>
        <a:bodyPr/>
        <a:lstStyle/>
        <a:p>
          <a:pPr>
            <a:defRPr sz="800" b="1">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27191449771948"/>
          <c:y val="0.1008237749808833"/>
          <c:w val="0.74370874789065278"/>
          <c:h val="0.58744429552688893"/>
        </c:manualLayout>
      </c:layout>
      <c:lineChart>
        <c:grouping val="standard"/>
        <c:varyColors val="0"/>
        <c:ser>
          <c:idx val="0"/>
          <c:order val="0"/>
          <c:tx>
            <c:strRef>
              <c:f>Sheet1!$B$28</c:f>
              <c:strCache>
                <c:ptCount val="1"/>
                <c:pt idx="0">
                  <c:v>Absorbance at 404 nm</c:v>
                </c:pt>
              </c:strCache>
            </c:strRef>
          </c:tx>
          <c:spPr>
            <a:ln w="12700">
              <a:solidFill>
                <a:srgbClr val="1F497D"/>
              </a:solidFill>
            </a:ln>
          </c:spPr>
          <c:marker>
            <c:symbol val="diamond"/>
            <c:size val="5"/>
            <c:spPr>
              <a:solidFill>
                <a:srgbClr val="1F497D"/>
              </a:solidFill>
            </c:spPr>
          </c:marker>
          <c:cat>
            <c:numRef>
              <c:f>Sheet1!$A$29:$A$33</c:f>
              <c:numCache>
                <c:formatCode>General</c:formatCode>
                <c:ptCount val="5"/>
                <c:pt idx="0">
                  <c:v>0</c:v>
                </c:pt>
                <c:pt idx="1">
                  <c:v>25</c:v>
                </c:pt>
                <c:pt idx="2">
                  <c:v>30</c:v>
                </c:pt>
                <c:pt idx="3">
                  <c:v>35</c:v>
                </c:pt>
                <c:pt idx="4">
                  <c:v>40</c:v>
                </c:pt>
              </c:numCache>
            </c:numRef>
          </c:cat>
          <c:val>
            <c:numRef>
              <c:f>Sheet1!$B$29:$B$33</c:f>
              <c:numCache>
                <c:formatCode>General</c:formatCode>
                <c:ptCount val="5"/>
                <c:pt idx="0">
                  <c:v>0</c:v>
                </c:pt>
                <c:pt idx="1">
                  <c:v>0.21800000000000008</c:v>
                </c:pt>
                <c:pt idx="2">
                  <c:v>0.37400000000000017</c:v>
                </c:pt>
                <c:pt idx="3">
                  <c:v>0.24500000000000008</c:v>
                </c:pt>
                <c:pt idx="4">
                  <c:v>0</c:v>
                </c:pt>
              </c:numCache>
            </c:numRef>
          </c:val>
          <c:smooth val="0"/>
          <c:extLst>
            <c:ext xmlns:c16="http://schemas.microsoft.com/office/drawing/2014/chart" uri="{C3380CC4-5D6E-409C-BE32-E72D297353CC}">
              <c16:uniqueId val="{00000000-28BF-4665-AD61-4FE630A97F3C}"/>
            </c:ext>
          </c:extLst>
        </c:ser>
        <c:ser>
          <c:idx val="1"/>
          <c:order val="1"/>
          <c:tx>
            <c:strRef>
              <c:f>Sheet1!$C$28</c:f>
              <c:strCache>
                <c:ptCount val="1"/>
                <c:pt idx="0">
                  <c:v>Absorbance at 525 nm</c:v>
                </c:pt>
              </c:strCache>
            </c:strRef>
          </c:tx>
          <c:spPr>
            <a:ln w="12700">
              <a:solidFill>
                <a:srgbClr val="FF0000"/>
              </a:solidFill>
            </a:ln>
          </c:spPr>
          <c:marker>
            <c:symbol val="diamond"/>
            <c:size val="5"/>
            <c:spPr>
              <a:solidFill>
                <a:srgbClr val="FF0000"/>
              </a:solidFill>
            </c:spPr>
          </c:marker>
          <c:cat>
            <c:numRef>
              <c:f>Sheet1!$A$29:$A$33</c:f>
              <c:numCache>
                <c:formatCode>General</c:formatCode>
                <c:ptCount val="5"/>
                <c:pt idx="0">
                  <c:v>0</c:v>
                </c:pt>
                <c:pt idx="1">
                  <c:v>25</c:v>
                </c:pt>
                <c:pt idx="2">
                  <c:v>30</c:v>
                </c:pt>
                <c:pt idx="3">
                  <c:v>35</c:v>
                </c:pt>
                <c:pt idx="4">
                  <c:v>40</c:v>
                </c:pt>
              </c:numCache>
            </c:numRef>
          </c:cat>
          <c:val>
            <c:numRef>
              <c:f>Sheet1!$C$29:$C$33</c:f>
              <c:numCache>
                <c:formatCode>General</c:formatCode>
                <c:ptCount val="5"/>
                <c:pt idx="0">
                  <c:v>0</c:v>
                </c:pt>
                <c:pt idx="1">
                  <c:v>0.22500000000000001</c:v>
                </c:pt>
                <c:pt idx="2">
                  <c:v>0.35400000000000015</c:v>
                </c:pt>
                <c:pt idx="3">
                  <c:v>0.23800000000000004</c:v>
                </c:pt>
                <c:pt idx="4">
                  <c:v>0</c:v>
                </c:pt>
              </c:numCache>
            </c:numRef>
          </c:val>
          <c:smooth val="0"/>
          <c:extLst>
            <c:ext xmlns:c16="http://schemas.microsoft.com/office/drawing/2014/chart" uri="{C3380CC4-5D6E-409C-BE32-E72D297353CC}">
              <c16:uniqueId val="{00000001-28BF-4665-AD61-4FE630A97F3C}"/>
            </c:ext>
          </c:extLst>
        </c:ser>
        <c:dLbls>
          <c:showLegendKey val="0"/>
          <c:showVal val="0"/>
          <c:showCatName val="0"/>
          <c:showSerName val="0"/>
          <c:showPercent val="0"/>
          <c:showBubbleSize val="0"/>
        </c:dLbls>
        <c:marker val="1"/>
        <c:smooth val="0"/>
        <c:axId val="99388032"/>
        <c:axId val="99410688"/>
      </c:lineChart>
      <c:lineChart>
        <c:grouping val="standard"/>
        <c:varyColors val="0"/>
        <c:ser>
          <c:idx val="2"/>
          <c:order val="2"/>
          <c:tx>
            <c:strRef>
              <c:f>Sheet1!$D$28</c:f>
              <c:strCache>
                <c:ptCount val="1"/>
                <c:pt idx="0">
                  <c:v>Mycelial dry weight g/l</c:v>
                </c:pt>
              </c:strCache>
            </c:strRef>
          </c:tx>
          <c:spPr>
            <a:ln w="12700">
              <a:solidFill>
                <a:schemeClr val="accent3"/>
              </a:solidFill>
            </a:ln>
          </c:spPr>
          <c:marker>
            <c:symbol val="triangle"/>
            <c:size val="4"/>
            <c:spPr>
              <a:solidFill>
                <a:schemeClr val="accent3"/>
              </a:solidFill>
            </c:spPr>
          </c:marker>
          <c:dPt>
            <c:idx val="2"/>
            <c:marker>
              <c:symbol val="triangle"/>
              <c:size val="5"/>
            </c:marker>
            <c:bubble3D val="0"/>
            <c:extLst>
              <c:ext xmlns:c16="http://schemas.microsoft.com/office/drawing/2014/chart" uri="{C3380CC4-5D6E-409C-BE32-E72D297353CC}">
                <c16:uniqueId val="{00000002-28BF-4665-AD61-4FE630A97F3C}"/>
              </c:ext>
            </c:extLst>
          </c:dPt>
          <c:cat>
            <c:numRef>
              <c:f>Sheet1!$A$29:$A$33</c:f>
              <c:numCache>
                <c:formatCode>General</c:formatCode>
                <c:ptCount val="5"/>
                <c:pt idx="0">
                  <c:v>0</c:v>
                </c:pt>
                <c:pt idx="1">
                  <c:v>25</c:v>
                </c:pt>
                <c:pt idx="2">
                  <c:v>30</c:v>
                </c:pt>
                <c:pt idx="3">
                  <c:v>35</c:v>
                </c:pt>
                <c:pt idx="4">
                  <c:v>40</c:v>
                </c:pt>
              </c:numCache>
            </c:numRef>
          </c:cat>
          <c:val>
            <c:numRef>
              <c:f>Sheet1!$D$29:$D$33</c:f>
              <c:numCache>
                <c:formatCode>General</c:formatCode>
                <c:ptCount val="5"/>
                <c:pt idx="0">
                  <c:v>0</c:v>
                </c:pt>
                <c:pt idx="1">
                  <c:v>1</c:v>
                </c:pt>
                <c:pt idx="2">
                  <c:v>1.3</c:v>
                </c:pt>
                <c:pt idx="3">
                  <c:v>1</c:v>
                </c:pt>
                <c:pt idx="4">
                  <c:v>0.9</c:v>
                </c:pt>
              </c:numCache>
            </c:numRef>
          </c:val>
          <c:smooth val="0"/>
          <c:extLst>
            <c:ext xmlns:c16="http://schemas.microsoft.com/office/drawing/2014/chart" uri="{C3380CC4-5D6E-409C-BE32-E72D297353CC}">
              <c16:uniqueId val="{00000003-28BF-4665-AD61-4FE630A97F3C}"/>
            </c:ext>
          </c:extLst>
        </c:ser>
        <c:dLbls>
          <c:showLegendKey val="0"/>
          <c:showVal val="0"/>
          <c:showCatName val="0"/>
          <c:showSerName val="0"/>
          <c:showPercent val="0"/>
          <c:showBubbleSize val="0"/>
        </c:dLbls>
        <c:marker val="1"/>
        <c:smooth val="0"/>
        <c:axId val="101908480"/>
        <c:axId val="99412224"/>
      </c:lineChart>
      <c:catAx>
        <c:axId val="99388032"/>
        <c:scaling>
          <c:orientation val="minMax"/>
        </c:scaling>
        <c:delete val="0"/>
        <c:axPos val="b"/>
        <c:numFmt formatCode="General" sourceLinked="1"/>
        <c:majorTickMark val="out"/>
        <c:minorTickMark val="none"/>
        <c:tickLblPos val="nextTo"/>
        <c:crossAx val="99410688"/>
        <c:crosses val="autoZero"/>
        <c:auto val="0"/>
        <c:lblAlgn val="ctr"/>
        <c:lblOffset val="100"/>
        <c:noMultiLvlLbl val="0"/>
      </c:catAx>
      <c:valAx>
        <c:axId val="99410688"/>
        <c:scaling>
          <c:orientation val="minMax"/>
        </c:scaling>
        <c:delete val="0"/>
        <c:axPos val="l"/>
        <c:numFmt formatCode="General" sourceLinked="1"/>
        <c:majorTickMark val="out"/>
        <c:minorTickMark val="none"/>
        <c:tickLblPos val="nextTo"/>
        <c:txPr>
          <a:bodyPr/>
          <a:lstStyle/>
          <a:p>
            <a:pPr>
              <a:defRPr b="1"/>
            </a:pPr>
            <a:endParaRPr lang="en-US"/>
          </a:p>
        </c:txPr>
        <c:crossAx val="99388032"/>
        <c:crosses val="autoZero"/>
        <c:crossBetween val="midCat"/>
      </c:valAx>
      <c:valAx>
        <c:axId val="99412224"/>
        <c:scaling>
          <c:orientation val="minMax"/>
        </c:scaling>
        <c:delete val="0"/>
        <c:axPos val="r"/>
        <c:numFmt formatCode="General" sourceLinked="1"/>
        <c:majorTickMark val="out"/>
        <c:minorTickMark val="none"/>
        <c:tickLblPos val="nextTo"/>
        <c:txPr>
          <a:bodyPr/>
          <a:lstStyle/>
          <a:p>
            <a:pPr>
              <a:defRPr b="1"/>
            </a:pPr>
            <a:endParaRPr lang="en-US"/>
          </a:p>
        </c:txPr>
        <c:crossAx val="101908480"/>
        <c:crosses val="max"/>
        <c:crossBetween val="between"/>
      </c:valAx>
      <c:catAx>
        <c:axId val="101908480"/>
        <c:scaling>
          <c:orientation val="minMax"/>
        </c:scaling>
        <c:delete val="1"/>
        <c:axPos val="b"/>
        <c:numFmt formatCode="General" sourceLinked="1"/>
        <c:majorTickMark val="out"/>
        <c:minorTickMark val="none"/>
        <c:tickLblPos val="nextTo"/>
        <c:crossAx val="99412224"/>
        <c:crosses val="autoZero"/>
        <c:auto val="1"/>
        <c:lblAlgn val="ctr"/>
        <c:lblOffset val="100"/>
        <c:noMultiLvlLbl val="0"/>
      </c:catAx>
      <c:spPr>
        <a:noFill/>
        <a:ln w="25400">
          <a:noFill/>
        </a:ln>
      </c:spPr>
    </c:plotArea>
    <c:legend>
      <c:legendPos val="b"/>
      <c:layout>
        <c:manualLayout>
          <c:xMode val="edge"/>
          <c:yMode val="edge"/>
          <c:x val="0"/>
          <c:y val="0.88303200297387718"/>
          <c:w val="1"/>
          <c:h val="0.11146544181977253"/>
        </c:manualLayout>
      </c:layout>
      <c:overlay val="0"/>
      <c:txPr>
        <a:bodyPr/>
        <a:lstStyle/>
        <a:p>
          <a:pPr>
            <a:defRPr b="1"/>
          </a:pPr>
          <a:endParaRPr lang="en-US"/>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0.44699</cdr:x>
      <cdr:y>0.73982</cdr:y>
    </cdr:from>
    <cdr:to>
      <cdr:x>0.70413</cdr:x>
      <cdr:y>0.81262</cdr:y>
    </cdr:to>
    <cdr:sp macro="" textlink="">
      <cdr:nvSpPr>
        <cdr:cNvPr id="3" name="TextBox 2"/>
        <cdr:cNvSpPr txBox="1"/>
      </cdr:nvSpPr>
      <cdr:spPr>
        <a:xfrm xmlns:a="http://schemas.openxmlformats.org/drawingml/2006/main">
          <a:off x="1383714" y="1472786"/>
          <a:ext cx="796004" cy="1449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Times New Roman" pitchFamily="18" charset="0"/>
              <a:cs typeface="Times New Roman" pitchFamily="18" charset="0"/>
            </a:rPr>
            <a:t>Initial</a:t>
          </a:r>
          <a:r>
            <a:rPr lang="en-US" sz="1000" b="1">
              <a:latin typeface="Times New Roman" pitchFamily="18" charset="0"/>
              <a:cs typeface="Times New Roman" pitchFamily="18" charset="0"/>
            </a:rPr>
            <a:t> pH</a:t>
          </a:r>
        </a:p>
      </cdr:txBody>
    </cdr:sp>
  </cdr:relSizeAnchor>
  <cdr:relSizeAnchor xmlns:cdr="http://schemas.openxmlformats.org/drawingml/2006/chartDrawing">
    <cdr:from>
      <cdr:x>0.01663</cdr:x>
      <cdr:y>0.16111</cdr:y>
    </cdr:from>
    <cdr:to>
      <cdr:x>0.06861</cdr:x>
      <cdr:y>0.46111</cdr:y>
    </cdr:to>
    <cdr:sp macro="" textlink="">
      <cdr:nvSpPr>
        <cdr:cNvPr id="4" name="TextBox 3"/>
        <cdr:cNvSpPr txBox="1"/>
      </cdr:nvSpPr>
      <cdr:spPr>
        <a:xfrm xmlns:a="http://schemas.openxmlformats.org/drawingml/2006/main">
          <a:off x="76200" y="552450"/>
          <a:ext cx="238125" cy="10286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0.03119</cdr:x>
      <cdr:y>0.45</cdr:y>
    </cdr:from>
    <cdr:to>
      <cdr:x>0.04574</cdr:x>
      <cdr:y>0.71111</cdr:y>
    </cdr:to>
    <cdr:sp macro="" textlink="">
      <cdr:nvSpPr>
        <cdr:cNvPr id="6" name="TextBox 5"/>
        <cdr:cNvSpPr txBox="1"/>
      </cdr:nvSpPr>
      <cdr:spPr>
        <a:xfrm xmlns:a="http://schemas.openxmlformats.org/drawingml/2006/main">
          <a:off x="142875" y="1543050"/>
          <a:ext cx="66675" cy="8953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0.00917</cdr:x>
      <cdr:y>0.07942</cdr:y>
    </cdr:from>
    <cdr:to>
      <cdr:x>0.07154</cdr:x>
      <cdr:y>0.50222</cdr:y>
    </cdr:to>
    <cdr:sp macro="" textlink="">
      <cdr:nvSpPr>
        <cdr:cNvPr id="7" name="TextBox 6"/>
        <cdr:cNvSpPr txBox="1"/>
      </cdr:nvSpPr>
      <cdr:spPr>
        <a:xfrm xmlns:a="http://schemas.openxmlformats.org/drawingml/2006/main">
          <a:off x="34250" y="176265"/>
          <a:ext cx="232876" cy="938325"/>
        </a:xfrm>
        <a:prstGeom xmlns:a="http://schemas.openxmlformats.org/drawingml/2006/main" prst="rect">
          <a:avLst/>
        </a:prstGeom>
      </cdr:spPr>
      <cdr:txBody>
        <a:bodyPr xmlns:a="http://schemas.openxmlformats.org/drawingml/2006/main" vert="vert270" wrap="square" rtlCol="0" anchor="ctr"/>
        <a:lstStyle xmlns:a="http://schemas.openxmlformats.org/drawingml/2006/main"/>
        <a:p xmlns:a="http://schemas.openxmlformats.org/drawingml/2006/main">
          <a:r>
            <a:rPr lang="en-US" sz="800" b="1">
              <a:latin typeface="Arial" panose="020B0604020202020204" pitchFamily="34" charset="0"/>
              <a:cs typeface="Arial" panose="020B0604020202020204" pitchFamily="34" charset="0"/>
            </a:rPr>
            <a:t>Pigment</a:t>
          </a:r>
          <a:r>
            <a:rPr lang="en-US" sz="800" b="1">
              <a:latin typeface="Times New Roman" pitchFamily="18" charset="0"/>
              <a:cs typeface="Times New Roman" pitchFamily="18" charset="0"/>
            </a:rPr>
            <a:t> OD</a:t>
          </a:r>
        </a:p>
      </cdr:txBody>
    </cdr:sp>
  </cdr:relSizeAnchor>
</c:userShapes>
</file>

<file path=word/drawings/drawing2.xml><?xml version="1.0" encoding="utf-8"?>
<c:userShapes xmlns:c="http://schemas.openxmlformats.org/drawingml/2006/chart">
  <cdr:relSizeAnchor xmlns:cdr="http://schemas.openxmlformats.org/drawingml/2006/chartDrawing">
    <cdr:from>
      <cdr:x>0.21134</cdr:x>
      <cdr:y>0.78205</cdr:y>
    </cdr:from>
    <cdr:to>
      <cdr:x>0.68557</cdr:x>
      <cdr:y>0.83654</cdr:y>
    </cdr:to>
    <cdr:sp macro="" textlink="">
      <cdr:nvSpPr>
        <cdr:cNvPr id="2" name="TextBox 1"/>
        <cdr:cNvSpPr txBox="1"/>
      </cdr:nvSpPr>
      <cdr:spPr>
        <a:xfrm xmlns:a="http://schemas.openxmlformats.org/drawingml/2006/main">
          <a:off x="1171576" y="2324100"/>
          <a:ext cx="2628900" cy="161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0.22165</cdr:x>
      <cdr:y>0.76149</cdr:y>
    </cdr:from>
    <cdr:to>
      <cdr:x>0.64777</cdr:x>
      <cdr:y>0.8046</cdr:y>
    </cdr:to>
    <cdr:sp macro="" textlink="">
      <cdr:nvSpPr>
        <cdr:cNvPr id="3" name="TextBox 2"/>
        <cdr:cNvSpPr txBox="1"/>
      </cdr:nvSpPr>
      <cdr:spPr>
        <a:xfrm xmlns:a="http://schemas.openxmlformats.org/drawingml/2006/main">
          <a:off x="1228726" y="2524125"/>
          <a:ext cx="2362200" cy="142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0.40377</cdr:x>
      <cdr:y>0.75575</cdr:y>
    </cdr:from>
    <cdr:to>
      <cdr:x>0.99035</cdr:x>
      <cdr:y>0.82833</cdr:y>
    </cdr:to>
    <cdr:sp macro="" textlink="">
      <cdr:nvSpPr>
        <cdr:cNvPr id="4" name="TextBox 3"/>
        <cdr:cNvSpPr txBox="1"/>
      </cdr:nvSpPr>
      <cdr:spPr>
        <a:xfrm xmlns:a="http://schemas.openxmlformats.org/drawingml/2006/main">
          <a:off x="1196078" y="1677256"/>
          <a:ext cx="1737622" cy="16107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Temperature</a:t>
          </a:r>
          <a:r>
            <a:rPr lang="en-US" sz="1000" b="1">
              <a:latin typeface="Times New Roman" pitchFamily="18" charset="0"/>
              <a:cs typeface="Times New Roman" pitchFamily="18" charset="0"/>
            </a:rPr>
            <a:t> (⁰C)</a:t>
          </a:r>
        </a:p>
      </cdr:txBody>
    </cdr:sp>
  </cdr:relSizeAnchor>
  <cdr:relSizeAnchor xmlns:cdr="http://schemas.openxmlformats.org/drawingml/2006/chartDrawing">
    <cdr:from>
      <cdr:x>0.03265</cdr:x>
      <cdr:y>0.06322</cdr:y>
    </cdr:from>
    <cdr:to>
      <cdr:x>0.05498</cdr:x>
      <cdr:y>0.39655</cdr:y>
    </cdr:to>
    <cdr:sp macro="" textlink="">
      <cdr:nvSpPr>
        <cdr:cNvPr id="5" name="TextBox 4"/>
        <cdr:cNvSpPr txBox="1"/>
      </cdr:nvSpPr>
      <cdr:spPr>
        <a:xfrm xmlns:a="http://schemas.openxmlformats.org/drawingml/2006/main">
          <a:off x="180976" y="209550"/>
          <a:ext cx="123825" cy="1104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0.02234</cdr:x>
      <cdr:y>0.10057</cdr:y>
    </cdr:from>
    <cdr:to>
      <cdr:x>0.0567</cdr:x>
      <cdr:y>0.45402</cdr:y>
    </cdr:to>
    <cdr:sp macro="" textlink="">
      <cdr:nvSpPr>
        <cdr:cNvPr id="6" name="TextBox 5"/>
        <cdr:cNvSpPr txBox="1"/>
      </cdr:nvSpPr>
      <cdr:spPr>
        <a:xfrm xmlns:a="http://schemas.openxmlformats.org/drawingml/2006/main">
          <a:off x="123826" y="333374"/>
          <a:ext cx="190499" cy="11715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0.04467</cdr:x>
      <cdr:y>0.27112</cdr:y>
    </cdr:from>
    <cdr:to>
      <cdr:x>0.08996</cdr:x>
      <cdr:y>0.54699</cdr:y>
    </cdr:to>
    <cdr:sp macro="" textlink="">
      <cdr:nvSpPr>
        <cdr:cNvPr id="7" name="TextBox 6"/>
        <cdr:cNvSpPr txBox="1"/>
      </cdr:nvSpPr>
      <cdr:spPr>
        <a:xfrm xmlns:a="http://schemas.openxmlformats.org/drawingml/2006/main">
          <a:off x="203381" y="970986"/>
          <a:ext cx="206194" cy="988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0.18181</cdr:y>
    </cdr:from>
    <cdr:to>
      <cdr:x>0.05764</cdr:x>
      <cdr:y>0.52866</cdr:y>
    </cdr:to>
    <cdr:sp macro="" textlink="">
      <cdr:nvSpPr>
        <cdr:cNvPr id="9" name="TextBox 8"/>
        <cdr:cNvSpPr txBox="1"/>
      </cdr:nvSpPr>
      <cdr:spPr>
        <a:xfrm xmlns:a="http://schemas.openxmlformats.org/drawingml/2006/main">
          <a:off x="-3895725" y="403500"/>
          <a:ext cx="170736" cy="769770"/>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sz="800" b="1">
              <a:latin typeface="Times New Roman" pitchFamily="18" charset="0"/>
              <a:cs typeface="Times New Roman" pitchFamily="18" charset="0"/>
            </a:rPr>
            <a:t>Pigment</a:t>
          </a:r>
          <a:r>
            <a:rPr lang="en-US" sz="1000" b="1">
              <a:latin typeface="Times New Roman" pitchFamily="18" charset="0"/>
              <a:cs typeface="Times New Roman" pitchFamily="18" charset="0"/>
            </a:rPr>
            <a:t> OD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2506</TotalTime>
  <Pages>15</Pages>
  <Words>5408</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33</cp:revision>
  <dcterms:created xsi:type="dcterms:W3CDTF">2024-07-26T04:52:00Z</dcterms:created>
  <dcterms:modified xsi:type="dcterms:W3CDTF">2025-05-05T11:57:00Z</dcterms:modified>
</cp:coreProperties>
</file>