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6521" w14:textId="7B50ABE3" w:rsidR="00811DE8" w:rsidRPr="00004F0A" w:rsidRDefault="00811DE8" w:rsidP="00004F0A">
      <w:pPr>
        <w:spacing w:line="480" w:lineRule="auto"/>
        <w:jc w:val="center"/>
        <w:rPr>
          <w:rFonts w:ascii="Times New Roman" w:hAnsi="Times New Roman" w:cs="Times New Roman"/>
          <w:b/>
          <w:sz w:val="22"/>
          <w:szCs w:val="22"/>
        </w:rPr>
      </w:pPr>
      <w:r w:rsidRPr="00004F0A">
        <w:rPr>
          <w:rFonts w:ascii="Times New Roman" w:hAnsi="Times New Roman" w:cs="Times New Roman"/>
          <w:b/>
          <w:sz w:val="22"/>
          <w:szCs w:val="22"/>
        </w:rPr>
        <w:t>ANTIFUNGAL GALLOTANNINS IN MANGO FRUIT, FLORETS AND LEAVES</w:t>
      </w:r>
    </w:p>
    <w:p w14:paraId="7574532E" w14:textId="1E80A716" w:rsidR="00354AE2" w:rsidRPr="00016E5F" w:rsidRDefault="00354AE2" w:rsidP="00E1418C">
      <w:pPr>
        <w:spacing w:line="480" w:lineRule="auto"/>
        <w:jc w:val="center"/>
        <w:rPr>
          <w:rFonts w:ascii="Times New Roman" w:hAnsi="Times New Roman" w:cs="Times New Roman"/>
          <w:i/>
          <w:sz w:val="22"/>
          <w:szCs w:val="22"/>
        </w:rPr>
      </w:pPr>
      <w:bookmarkStart w:id="0" w:name="_Hlk196307644"/>
    </w:p>
    <w:bookmarkEnd w:id="0"/>
    <w:p w14:paraId="1450391D" w14:textId="02D0CBAA" w:rsidR="00811DE8" w:rsidRPr="00016E5F" w:rsidRDefault="00811DE8"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ABSTRACT</w:t>
      </w:r>
    </w:p>
    <w:p w14:paraId="5C578CED" w14:textId="1CE7CE05" w:rsidR="00811DE8" w:rsidRPr="00016E5F" w:rsidRDefault="009270AC" w:rsidP="002B5509">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Antifungal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are linked with resistance of unripe mango fruit to postharvest diseases. Three closely related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have been identified in mature unripe mango fruit peel along with antifungal </w:t>
      </w:r>
      <w:proofErr w:type="spellStart"/>
      <w:r w:rsidRPr="00016E5F">
        <w:rPr>
          <w:rFonts w:ascii="Times New Roman" w:hAnsi="Times New Roman" w:cs="Times New Roman"/>
          <w:sz w:val="22"/>
          <w:szCs w:val="22"/>
        </w:rPr>
        <w:t>resorcinols</w:t>
      </w:r>
      <w:proofErr w:type="spellEnd"/>
      <w:r w:rsidRPr="00016E5F">
        <w:rPr>
          <w:rFonts w:ascii="Times New Roman" w:hAnsi="Times New Roman" w:cs="Times New Roman"/>
          <w:sz w:val="22"/>
          <w:szCs w:val="22"/>
        </w:rPr>
        <w:t xml:space="preserve"> responsible for conferring resistance in unripe fruits. The present study aimed to identify the presence of antifungal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in other aerial parts of the mango tree; namely florets, young flush and mature leaves which are also subjected to diseases such as anthracnose. The study also looked into the decline of </w:t>
      </w:r>
      <w:proofErr w:type="spellStart"/>
      <w:r w:rsidRPr="00016E5F">
        <w:rPr>
          <w:rFonts w:ascii="Times New Roman" w:hAnsi="Times New Roman" w:cs="Times New Roman"/>
          <w:sz w:val="22"/>
          <w:szCs w:val="22"/>
        </w:rPr>
        <w:t>gallotannin</w:t>
      </w:r>
      <w:proofErr w:type="spellEnd"/>
      <w:r w:rsidRPr="00016E5F">
        <w:rPr>
          <w:rFonts w:ascii="Times New Roman" w:hAnsi="Times New Roman" w:cs="Times New Roman"/>
          <w:sz w:val="22"/>
          <w:szCs w:val="22"/>
        </w:rPr>
        <w:t xml:space="preserve"> activity in fruit peel and </w:t>
      </w:r>
      <w:r w:rsidR="006168EB" w:rsidRPr="00016E5F">
        <w:rPr>
          <w:rFonts w:ascii="Times New Roman" w:hAnsi="Times New Roman" w:cs="Times New Roman"/>
          <w:sz w:val="22"/>
          <w:szCs w:val="22"/>
        </w:rPr>
        <w:t xml:space="preserve">the correlation with </w:t>
      </w:r>
      <w:r w:rsidRPr="00016E5F">
        <w:rPr>
          <w:rFonts w:ascii="Times New Roman" w:hAnsi="Times New Roman" w:cs="Times New Roman"/>
          <w:sz w:val="22"/>
          <w:szCs w:val="22"/>
        </w:rPr>
        <w:t>anthracnose lesion expansion</w:t>
      </w:r>
      <w:r w:rsidR="006168EB" w:rsidRPr="00016E5F">
        <w:rPr>
          <w:rFonts w:ascii="Times New Roman" w:hAnsi="Times New Roman" w:cs="Times New Roman"/>
          <w:sz w:val="22"/>
          <w:szCs w:val="22"/>
        </w:rPr>
        <w:t xml:space="preserve"> in inoculated fruit</w:t>
      </w:r>
      <w:r w:rsidRPr="00016E5F">
        <w:rPr>
          <w:rFonts w:ascii="Times New Roman" w:hAnsi="Times New Roman" w:cs="Times New Roman"/>
          <w:sz w:val="22"/>
          <w:szCs w:val="22"/>
        </w:rPr>
        <w:t xml:space="preserve">. </w:t>
      </w:r>
      <w:r w:rsidR="006168EB" w:rsidRPr="00016E5F">
        <w:rPr>
          <w:rFonts w:ascii="Times New Roman" w:hAnsi="Times New Roman" w:cs="Times New Roman"/>
          <w:sz w:val="22"/>
          <w:szCs w:val="22"/>
        </w:rPr>
        <w:t>Florets, flush and mature leaves were collected from cultivar ‘Kohu’. Fruits of cultivar ‘</w:t>
      </w:r>
      <w:proofErr w:type="spellStart"/>
      <w:r w:rsidR="008535E5">
        <w:rPr>
          <w:rFonts w:ascii="Times New Roman" w:hAnsi="Times New Roman" w:cs="Times New Roman"/>
          <w:sz w:val="22"/>
          <w:szCs w:val="22"/>
        </w:rPr>
        <w:t>Karutha</w:t>
      </w:r>
      <w:proofErr w:type="spellEnd"/>
      <w:r w:rsidR="008535E5">
        <w:rPr>
          <w:rFonts w:ascii="Times New Roman" w:hAnsi="Times New Roman" w:cs="Times New Roman"/>
          <w:sz w:val="22"/>
          <w:szCs w:val="22"/>
        </w:rPr>
        <w:t xml:space="preserve"> </w:t>
      </w:r>
      <w:proofErr w:type="spellStart"/>
      <w:r w:rsidR="008535E5">
        <w:rPr>
          <w:rFonts w:ascii="Times New Roman" w:hAnsi="Times New Roman" w:cs="Times New Roman"/>
          <w:sz w:val="22"/>
          <w:szCs w:val="22"/>
        </w:rPr>
        <w:t>colomban</w:t>
      </w:r>
      <w:proofErr w:type="spellEnd"/>
      <w:r w:rsidR="006168EB" w:rsidRPr="00016E5F">
        <w:rPr>
          <w:rFonts w:ascii="Times New Roman" w:hAnsi="Times New Roman" w:cs="Times New Roman"/>
          <w:sz w:val="22"/>
          <w:szCs w:val="22"/>
        </w:rPr>
        <w:t xml:space="preserve">’ which is </w:t>
      </w:r>
      <w:r w:rsidR="008535E5">
        <w:rPr>
          <w:rFonts w:ascii="Times New Roman" w:hAnsi="Times New Roman" w:cs="Times New Roman"/>
          <w:sz w:val="22"/>
          <w:szCs w:val="22"/>
        </w:rPr>
        <w:t>resistant</w:t>
      </w:r>
      <w:r w:rsidR="006168EB" w:rsidRPr="00016E5F">
        <w:rPr>
          <w:rFonts w:ascii="Times New Roman" w:hAnsi="Times New Roman" w:cs="Times New Roman"/>
          <w:sz w:val="22"/>
          <w:szCs w:val="22"/>
        </w:rPr>
        <w:t xml:space="preserve"> to anthracnose </w:t>
      </w:r>
      <w:r w:rsidR="008535E5" w:rsidRPr="00016E5F">
        <w:rPr>
          <w:rFonts w:ascii="Times New Roman" w:hAnsi="Times New Roman" w:cs="Times New Roman"/>
          <w:sz w:val="22"/>
          <w:szCs w:val="22"/>
        </w:rPr>
        <w:t>were</w:t>
      </w:r>
      <w:r w:rsidR="006168EB" w:rsidRPr="00016E5F">
        <w:rPr>
          <w:rFonts w:ascii="Times New Roman" w:hAnsi="Times New Roman" w:cs="Times New Roman"/>
          <w:sz w:val="22"/>
          <w:szCs w:val="22"/>
        </w:rPr>
        <w:t xml:space="preserve"> used for inoculation </w:t>
      </w:r>
      <w:r w:rsidR="008535E5">
        <w:rPr>
          <w:rFonts w:ascii="Times New Roman" w:hAnsi="Times New Roman" w:cs="Times New Roman"/>
          <w:sz w:val="22"/>
          <w:szCs w:val="22"/>
        </w:rPr>
        <w:t xml:space="preserve">of fruits </w:t>
      </w:r>
      <w:r w:rsidR="006168EB" w:rsidRPr="00016E5F">
        <w:rPr>
          <w:rFonts w:ascii="Times New Roman" w:hAnsi="Times New Roman" w:cs="Times New Roman"/>
          <w:sz w:val="22"/>
          <w:szCs w:val="22"/>
        </w:rPr>
        <w:t xml:space="preserve">with conidia of </w:t>
      </w:r>
      <w:r w:rsidR="006168EB" w:rsidRPr="00016E5F">
        <w:rPr>
          <w:rFonts w:ascii="Times New Roman" w:hAnsi="Times New Roman" w:cs="Times New Roman"/>
          <w:i/>
          <w:sz w:val="22"/>
          <w:szCs w:val="22"/>
        </w:rPr>
        <w:t xml:space="preserve">Colletotrichum </w:t>
      </w:r>
      <w:proofErr w:type="spellStart"/>
      <w:r w:rsidR="006168EB" w:rsidRPr="00016E5F">
        <w:rPr>
          <w:rFonts w:ascii="Times New Roman" w:hAnsi="Times New Roman" w:cs="Times New Roman"/>
          <w:i/>
          <w:sz w:val="22"/>
          <w:szCs w:val="22"/>
        </w:rPr>
        <w:t>gloeosporioides</w:t>
      </w:r>
      <w:proofErr w:type="spellEnd"/>
      <w:r w:rsidR="006168EB" w:rsidRPr="00016E5F">
        <w:rPr>
          <w:rFonts w:ascii="Times New Roman" w:hAnsi="Times New Roman" w:cs="Times New Roman"/>
          <w:sz w:val="22"/>
          <w:szCs w:val="22"/>
        </w:rPr>
        <w:t>. Disease development was asse</w:t>
      </w:r>
      <w:r w:rsidR="00150CAE" w:rsidRPr="00016E5F">
        <w:rPr>
          <w:rFonts w:ascii="Times New Roman" w:hAnsi="Times New Roman" w:cs="Times New Roman"/>
          <w:sz w:val="22"/>
          <w:szCs w:val="22"/>
        </w:rPr>
        <w:t>sse</w:t>
      </w:r>
      <w:r w:rsidR="006168EB" w:rsidRPr="00016E5F">
        <w:rPr>
          <w:rFonts w:ascii="Times New Roman" w:hAnsi="Times New Roman" w:cs="Times New Roman"/>
          <w:sz w:val="22"/>
          <w:szCs w:val="22"/>
        </w:rPr>
        <w:t>d daily</w:t>
      </w:r>
      <w:r w:rsidR="00150CAE" w:rsidRPr="00016E5F">
        <w:rPr>
          <w:rFonts w:ascii="Times New Roman" w:hAnsi="Times New Roman" w:cs="Times New Roman"/>
          <w:sz w:val="22"/>
          <w:szCs w:val="22"/>
        </w:rPr>
        <w:t xml:space="preserve"> by measuring lesion diameter</w:t>
      </w:r>
      <w:r w:rsidR="006168EB" w:rsidRPr="00016E5F">
        <w:rPr>
          <w:rFonts w:ascii="Times New Roman" w:hAnsi="Times New Roman" w:cs="Times New Roman"/>
          <w:sz w:val="22"/>
          <w:szCs w:val="22"/>
        </w:rPr>
        <w:t>. Peel of fruits were also obtained to extract antifungal compounds on</w:t>
      </w:r>
      <w:r w:rsidR="008535E5">
        <w:rPr>
          <w:rFonts w:ascii="Times New Roman" w:hAnsi="Times New Roman" w:cs="Times New Roman"/>
          <w:sz w:val="22"/>
          <w:szCs w:val="22"/>
        </w:rPr>
        <w:t xml:space="preserve"> day 1, 3, 5, 7 and 9 after harvest</w:t>
      </w:r>
      <w:r w:rsidR="006168EB" w:rsidRPr="00016E5F">
        <w:rPr>
          <w:rFonts w:ascii="Times New Roman" w:hAnsi="Times New Roman" w:cs="Times New Roman"/>
          <w:sz w:val="22"/>
          <w:szCs w:val="22"/>
        </w:rPr>
        <w:t xml:space="preserve">. Extraction of antifungal compounds was done using vacuum infiltration method. The amount of antifungal activity was assessed by obtaining the inhibition area on thin layered chromatography plates. Results show that not only mango fruit peel, but also mango florets, flush and mature leaves contain </w:t>
      </w:r>
      <w:r w:rsidR="008535E5">
        <w:rPr>
          <w:rFonts w:ascii="Times New Roman" w:hAnsi="Times New Roman" w:cs="Times New Roman"/>
          <w:sz w:val="22"/>
          <w:szCs w:val="22"/>
        </w:rPr>
        <w:t xml:space="preserve">antifungal </w:t>
      </w:r>
      <w:proofErr w:type="spellStart"/>
      <w:r w:rsidR="006168EB" w:rsidRPr="00016E5F">
        <w:rPr>
          <w:rFonts w:ascii="Times New Roman" w:hAnsi="Times New Roman" w:cs="Times New Roman"/>
          <w:sz w:val="22"/>
          <w:szCs w:val="22"/>
        </w:rPr>
        <w:t>gallotannins</w:t>
      </w:r>
      <w:proofErr w:type="spellEnd"/>
      <w:r w:rsidR="00150CAE" w:rsidRPr="00016E5F">
        <w:rPr>
          <w:rFonts w:ascii="Times New Roman" w:hAnsi="Times New Roman" w:cs="Times New Roman"/>
          <w:sz w:val="22"/>
          <w:szCs w:val="22"/>
        </w:rPr>
        <w:t xml:space="preserve">. The amount of </w:t>
      </w:r>
      <w:proofErr w:type="spellStart"/>
      <w:r w:rsidR="00150CAE" w:rsidRPr="00016E5F">
        <w:rPr>
          <w:rFonts w:ascii="Times New Roman" w:hAnsi="Times New Roman" w:cs="Times New Roman"/>
          <w:sz w:val="22"/>
          <w:szCs w:val="22"/>
        </w:rPr>
        <w:t>gallotannins</w:t>
      </w:r>
      <w:proofErr w:type="spellEnd"/>
      <w:r w:rsidR="00150CAE" w:rsidRPr="00016E5F">
        <w:rPr>
          <w:rFonts w:ascii="Times New Roman" w:hAnsi="Times New Roman" w:cs="Times New Roman"/>
          <w:sz w:val="22"/>
          <w:szCs w:val="22"/>
        </w:rPr>
        <w:t xml:space="preserve"> is higher in florets and fruits when compared with vegetative leaves</w:t>
      </w:r>
      <w:r w:rsidR="006168EB" w:rsidRPr="00016E5F">
        <w:rPr>
          <w:rFonts w:ascii="Times New Roman" w:hAnsi="Times New Roman" w:cs="Times New Roman"/>
          <w:sz w:val="22"/>
          <w:szCs w:val="22"/>
        </w:rPr>
        <w:t xml:space="preserve">. The amount of </w:t>
      </w:r>
      <w:proofErr w:type="spellStart"/>
      <w:r w:rsidR="006168EB" w:rsidRPr="00016E5F">
        <w:rPr>
          <w:rFonts w:ascii="Times New Roman" w:hAnsi="Times New Roman" w:cs="Times New Roman"/>
          <w:sz w:val="22"/>
          <w:szCs w:val="22"/>
        </w:rPr>
        <w:t>gallotannins</w:t>
      </w:r>
      <w:proofErr w:type="spellEnd"/>
      <w:r w:rsidR="006168EB" w:rsidRPr="00016E5F">
        <w:rPr>
          <w:rFonts w:ascii="Times New Roman" w:hAnsi="Times New Roman" w:cs="Times New Roman"/>
          <w:sz w:val="22"/>
          <w:szCs w:val="22"/>
        </w:rPr>
        <w:t xml:space="preserve"> in fruit peel and anthracnose development in fruit peel are inversely correlated. </w:t>
      </w:r>
    </w:p>
    <w:p w14:paraId="2D0AF3D4" w14:textId="26669427" w:rsidR="00150CAE" w:rsidRPr="00016E5F" w:rsidRDefault="00150CAE"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 xml:space="preserve">Key words </w:t>
      </w:r>
    </w:p>
    <w:p w14:paraId="484E61C7" w14:textId="373799FE" w:rsidR="00150CAE" w:rsidRPr="00016E5F" w:rsidRDefault="00150CAE"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Anthracnose, postharvest, mango florets, mango flush</w:t>
      </w:r>
      <w:r w:rsidR="002B5509">
        <w:rPr>
          <w:rFonts w:ascii="Times New Roman" w:hAnsi="Times New Roman" w:cs="Times New Roman"/>
          <w:sz w:val="22"/>
          <w:szCs w:val="22"/>
        </w:rPr>
        <w:t xml:space="preserve">, antifungal </w:t>
      </w:r>
      <w:proofErr w:type="spellStart"/>
      <w:r w:rsidR="002B5509">
        <w:rPr>
          <w:rFonts w:ascii="Times New Roman" w:hAnsi="Times New Roman" w:cs="Times New Roman"/>
          <w:sz w:val="22"/>
          <w:szCs w:val="22"/>
        </w:rPr>
        <w:t>gallotannins</w:t>
      </w:r>
      <w:proofErr w:type="spellEnd"/>
    </w:p>
    <w:p w14:paraId="2E79C659" w14:textId="238B7892" w:rsidR="00354AE2" w:rsidRPr="00E1418C" w:rsidRDefault="00690AFF" w:rsidP="00E1418C">
      <w:pPr>
        <w:pStyle w:val="ListParagraph"/>
        <w:numPr>
          <w:ilvl w:val="0"/>
          <w:numId w:val="1"/>
        </w:numPr>
        <w:spacing w:line="480" w:lineRule="auto"/>
        <w:rPr>
          <w:rFonts w:ascii="Times New Roman" w:hAnsi="Times New Roman" w:cs="Times New Roman"/>
          <w:b/>
          <w:bCs/>
          <w:sz w:val="22"/>
          <w:szCs w:val="22"/>
        </w:rPr>
      </w:pPr>
      <w:r w:rsidRPr="00E1418C">
        <w:rPr>
          <w:rFonts w:ascii="Times New Roman" w:hAnsi="Times New Roman" w:cs="Times New Roman"/>
          <w:b/>
          <w:bCs/>
          <w:sz w:val="22"/>
          <w:szCs w:val="22"/>
        </w:rPr>
        <w:t>INTRODUCTION</w:t>
      </w:r>
    </w:p>
    <w:p w14:paraId="77EDA715" w14:textId="6BC4F31A" w:rsidR="00833255" w:rsidRPr="00016E5F" w:rsidRDefault="00E1418C" w:rsidP="00E1418C">
      <w:pPr>
        <w:spacing w:line="480" w:lineRule="auto"/>
        <w:rPr>
          <w:rFonts w:ascii="Times New Roman" w:hAnsi="Times New Roman" w:cs="Times New Roman"/>
          <w:sz w:val="22"/>
          <w:szCs w:val="22"/>
          <w:lang w:val="en-GB"/>
        </w:rPr>
      </w:pPr>
      <w:r>
        <w:rPr>
          <w:rFonts w:ascii="Times New Roman" w:hAnsi="Times New Roman" w:cs="Times New Roman"/>
          <w:sz w:val="22"/>
          <w:szCs w:val="22"/>
          <w:lang w:val="en-GB"/>
        </w:rPr>
        <w:lastRenderedPageBreak/>
        <w:t>D</w:t>
      </w:r>
      <w:r w:rsidR="00833255" w:rsidRPr="00016E5F">
        <w:rPr>
          <w:rFonts w:ascii="Times New Roman" w:hAnsi="Times New Roman" w:cs="Times New Roman"/>
          <w:sz w:val="22"/>
          <w:szCs w:val="22"/>
          <w:lang w:val="en-GB"/>
        </w:rPr>
        <w:t>etailed structural studies on the polyphenolic compounds in mango peel, pulp and seed kernel of cultivar ‘</w:t>
      </w:r>
      <w:r w:rsidR="00833255" w:rsidRPr="00016E5F">
        <w:rPr>
          <w:rFonts w:ascii="Times New Roman" w:hAnsi="Times New Roman" w:cs="Times New Roman"/>
          <w:i/>
          <w:sz w:val="22"/>
          <w:szCs w:val="22"/>
          <w:lang w:val="en-GB"/>
        </w:rPr>
        <w:t>Tommy Atkins</w:t>
      </w:r>
      <w:r w:rsidR="00833255" w:rsidRPr="00016E5F">
        <w:rPr>
          <w:rFonts w:ascii="Times New Roman" w:hAnsi="Times New Roman" w:cs="Times New Roman"/>
          <w:sz w:val="22"/>
          <w:szCs w:val="22"/>
          <w:lang w:val="en-GB"/>
        </w:rPr>
        <w:t>’</w:t>
      </w:r>
      <w:r>
        <w:rPr>
          <w:rFonts w:ascii="Times New Roman" w:hAnsi="Times New Roman" w:cs="Times New Roman"/>
          <w:sz w:val="22"/>
          <w:szCs w:val="22"/>
          <w:lang w:val="en-GB"/>
        </w:rPr>
        <w:t xml:space="preserve"> was carried out [1]</w:t>
      </w:r>
      <w:r w:rsidR="00833255" w:rsidRPr="00016E5F">
        <w:rPr>
          <w:rFonts w:ascii="Times New Roman" w:hAnsi="Times New Roman" w:cs="Times New Roman"/>
          <w:sz w:val="22"/>
          <w:szCs w:val="22"/>
          <w:lang w:val="en-GB"/>
        </w:rPr>
        <w:t xml:space="preserve">.  Phenols were extracted and then characterized by HPLC and electrospray ionization mass spectrometry.  Eighteen </w:t>
      </w:r>
      <w:proofErr w:type="spellStart"/>
      <w:r w:rsidR="00833255" w:rsidRPr="00016E5F">
        <w:rPr>
          <w:rFonts w:ascii="Times New Roman" w:hAnsi="Times New Roman" w:cs="Times New Roman"/>
          <w:sz w:val="22"/>
          <w:szCs w:val="22"/>
          <w:lang w:val="en-GB"/>
        </w:rPr>
        <w:t>gallotannins</w:t>
      </w:r>
      <w:proofErr w:type="spellEnd"/>
      <w:r w:rsidR="00833255" w:rsidRPr="00016E5F">
        <w:rPr>
          <w:rFonts w:ascii="Times New Roman" w:hAnsi="Times New Roman" w:cs="Times New Roman"/>
          <w:sz w:val="22"/>
          <w:szCs w:val="22"/>
          <w:lang w:val="en-GB"/>
        </w:rPr>
        <w:t xml:space="preserve"> and five benzophenone derivatives were detected in the peel, while twenty-one </w:t>
      </w:r>
      <w:proofErr w:type="spellStart"/>
      <w:r w:rsidR="00833255" w:rsidRPr="00016E5F">
        <w:rPr>
          <w:rFonts w:ascii="Times New Roman" w:hAnsi="Times New Roman" w:cs="Times New Roman"/>
          <w:sz w:val="22"/>
          <w:szCs w:val="22"/>
          <w:lang w:val="en-GB"/>
        </w:rPr>
        <w:t>gallotannins</w:t>
      </w:r>
      <w:proofErr w:type="spellEnd"/>
      <w:r w:rsidR="00833255" w:rsidRPr="00016E5F">
        <w:rPr>
          <w:rFonts w:ascii="Times New Roman" w:hAnsi="Times New Roman" w:cs="Times New Roman"/>
          <w:sz w:val="22"/>
          <w:szCs w:val="22"/>
          <w:lang w:val="en-GB"/>
        </w:rPr>
        <w:t xml:space="preserve"> were found in the kernels and eight in the pulp.  </w:t>
      </w:r>
    </w:p>
    <w:p w14:paraId="5EBD3D23" w14:textId="783430D5" w:rsidR="000E52F8" w:rsidRPr="00016E5F" w:rsidRDefault="00833255" w:rsidP="00E1418C">
      <w:pPr>
        <w:spacing w:line="480" w:lineRule="auto"/>
        <w:rPr>
          <w:rFonts w:ascii="Times New Roman" w:hAnsi="Times New Roman" w:cs="Times New Roman"/>
          <w:sz w:val="22"/>
          <w:szCs w:val="22"/>
          <w:lang w:val="en-GB"/>
        </w:rPr>
      </w:pPr>
      <w:r w:rsidRPr="00016E5F">
        <w:rPr>
          <w:rFonts w:ascii="Times New Roman" w:hAnsi="Times New Roman" w:cs="Times New Roman"/>
          <w:sz w:val="22"/>
          <w:szCs w:val="22"/>
        </w:rPr>
        <w:t xml:space="preserve">These </w:t>
      </w:r>
      <w:proofErr w:type="spellStart"/>
      <w:r w:rsidRPr="00016E5F">
        <w:rPr>
          <w:rFonts w:ascii="Times New Roman" w:hAnsi="Times New Roman" w:cs="Times New Roman"/>
          <w:sz w:val="22"/>
          <w:szCs w:val="22"/>
        </w:rPr>
        <w:t>gallotannin</w:t>
      </w:r>
      <w:proofErr w:type="spellEnd"/>
      <w:r w:rsidRPr="00016E5F">
        <w:rPr>
          <w:rFonts w:ascii="Times New Roman" w:hAnsi="Times New Roman" w:cs="Times New Roman"/>
          <w:sz w:val="22"/>
          <w:szCs w:val="22"/>
        </w:rPr>
        <w:t xml:space="preserve"> compounds became linked with the natural </w:t>
      </w:r>
      <w:proofErr w:type="spellStart"/>
      <w:r w:rsidRPr="00016E5F">
        <w:rPr>
          <w:rFonts w:ascii="Times New Roman" w:hAnsi="Times New Roman" w:cs="Times New Roman"/>
          <w:sz w:val="22"/>
          <w:szCs w:val="22"/>
        </w:rPr>
        <w:t>defence</w:t>
      </w:r>
      <w:proofErr w:type="spellEnd"/>
      <w:r w:rsidRPr="00016E5F">
        <w:rPr>
          <w:rFonts w:ascii="Times New Roman" w:hAnsi="Times New Roman" w:cs="Times New Roman"/>
          <w:sz w:val="22"/>
          <w:szCs w:val="22"/>
        </w:rPr>
        <w:t xml:space="preserve"> mechanism of immature mango fruit </w:t>
      </w:r>
      <w:r w:rsidR="00E74C5E" w:rsidRPr="00016E5F">
        <w:rPr>
          <w:rFonts w:ascii="Times New Roman" w:hAnsi="Times New Roman" w:cs="Times New Roman"/>
          <w:sz w:val="22"/>
          <w:szCs w:val="22"/>
        </w:rPr>
        <w:t xml:space="preserve">following studies on the local mango cultivar </w:t>
      </w:r>
      <w:proofErr w:type="gramStart"/>
      <w:r w:rsidR="00E74C5E" w:rsidRPr="00016E5F">
        <w:rPr>
          <w:rFonts w:ascii="Times New Roman" w:hAnsi="Times New Roman" w:cs="Times New Roman"/>
          <w:sz w:val="22"/>
          <w:szCs w:val="22"/>
        </w:rPr>
        <w:t xml:space="preserve">‘ </w:t>
      </w:r>
      <w:proofErr w:type="spellStart"/>
      <w:r w:rsidR="00E74C5E" w:rsidRPr="00016E5F">
        <w:rPr>
          <w:rFonts w:ascii="Times New Roman" w:hAnsi="Times New Roman" w:cs="Times New Roman"/>
          <w:sz w:val="22"/>
          <w:szCs w:val="22"/>
        </w:rPr>
        <w:t>Karutha</w:t>
      </w:r>
      <w:proofErr w:type="spellEnd"/>
      <w:proofErr w:type="gramEnd"/>
      <w:r w:rsidR="00E74C5E" w:rsidRPr="00016E5F">
        <w:rPr>
          <w:rFonts w:ascii="Times New Roman" w:hAnsi="Times New Roman" w:cs="Times New Roman"/>
          <w:sz w:val="22"/>
          <w:szCs w:val="22"/>
        </w:rPr>
        <w:t xml:space="preserve"> </w:t>
      </w:r>
      <w:proofErr w:type="spellStart"/>
      <w:r w:rsidR="00E74C5E" w:rsidRPr="00016E5F">
        <w:rPr>
          <w:rFonts w:ascii="Times New Roman" w:hAnsi="Times New Roman" w:cs="Times New Roman"/>
          <w:sz w:val="22"/>
          <w:szCs w:val="22"/>
        </w:rPr>
        <w:t>colomban</w:t>
      </w:r>
      <w:proofErr w:type="spellEnd"/>
      <w:r w:rsidR="00E74C5E" w:rsidRPr="00016E5F">
        <w:rPr>
          <w:rFonts w:ascii="Times New Roman" w:hAnsi="Times New Roman" w:cs="Times New Roman"/>
          <w:sz w:val="22"/>
          <w:szCs w:val="22"/>
        </w:rPr>
        <w:t xml:space="preserve">’. </w:t>
      </w:r>
      <w:r w:rsidR="006E5530" w:rsidRPr="00016E5F">
        <w:rPr>
          <w:rFonts w:ascii="Times New Roman" w:hAnsi="Times New Roman" w:cs="Times New Roman"/>
          <w:sz w:val="22"/>
          <w:szCs w:val="22"/>
        </w:rPr>
        <w:t xml:space="preserve">Constitutive </w:t>
      </w:r>
      <w:proofErr w:type="spellStart"/>
      <w:r w:rsidR="006E5530" w:rsidRPr="00016E5F">
        <w:rPr>
          <w:rFonts w:ascii="Times New Roman" w:hAnsi="Times New Roman" w:cs="Times New Roman"/>
          <w:sz w:val="22"/>
          <w:szCs w:val="22"/>
        </w:rPr>
        <w:t>defences</w:t>
      </w:r>
      <w:proofErr w:type="spellEnd"/>
      <w:r w:rsidR="006E5530" w:rsidRPr="00016E5F">
        <w:rPr>
          <w:rFonts w:ascii="Times New Roman" w:hAnsi="Times New Roman" w:cs="Times New Roman"/>
          <w:sz w:val="22"/>
          <w:szCs w:val="22"/>
        </w:rPr>
        <w:t xml:space="preserve">, consisting of antifungal </w:t>
      </w:r>
      <w:proofErr w:type="spellStart"/>
      <w:r w:rsidR="006E5530" w:rsidRPr="00016E5F">
        <w:rPr>
          <w:rFonts w:ascii="Times New Roman" w:hAnsi="Times New Roman" w:cs="Times New Roman"/>
          <w:sz w:val="22"/>
          <w:szCs w:val="22"/>
        </w:rPr>
        <w:t>resorcinols</w:t>
      </w:r>
      <w:proofErr w:type="spellEnd"/>
      <w:r w:rsidR="006E5530" w:rsidRPr="00016E5F">
        <w:rPr>
          <w:rFonts w:ascii="Times New Roman" w:hAnsi="Times New Roman" w:cs="Times New Roman"/>
          <w:sz w:val="22"/>
          <w:szCs w:val="22"/>
        </w:rPr>
        <w:t xml:space="preserve">, </w:t>
      </w:r>
      <w:proofErr w:type="spellStart"/>
      <w:r w:rsidR="006E5530" w:rsidRPr="00016E5F">
        <w:rPr>
          <w:rFonts w:ascii="Times New Roman" w:hAnsi="Times New Roman" w:cs="Times New Roman"/>
          <w:sz w:val="22"/>
          <w:szCs w:val="22"/>
        </w:rPr>
        <w:t>gallotannins</w:t>
      </w:r>
      <w:proofErr w:type="spellEnd"/>
      <w:r w:rsidR="006E5530" w:rsidRPr="00016E5F">
        <w:rPr>
          <w:rFonts w:ascii="Times New Roman" w:hAnsi="Times New Roman" w:cs="Times New Roman"/>
          <w:sz w:val="22"/>
          <w:szCs w:val="22"/>
        </w:rPr>
        <w:t xml:space="preserve"> and chitinases, </w:t>
      </w:r>
      <w:r w:rsidR="00E74C5E" w:rsidRPr="00016E5F">
        <w:rPr>
          <w:rFonts w:ascii="Times New Roman" w:hAnsi="Times New Roman" w:cs="Times New Roman"/>
          <w:sz w:val="22"/>
          <w:szCs w:val="22"/>
        </w:rPr>
        <w:t>were</w:t>
      </w:r>
      <w:r w:rsidR="006E5530" w:rsidRPr="00016E5F">
        <w:rPr>
          <w:rFonts w:ascii="Times New Roman" w:hAnsi="Times New Roman" w:cs="Times New Roman"/>
          <w:sz w:val="22"/>
          <w:szCs w:val="22"/>
        </w:rPr>
        <w:t xml:space="preserve"> shown to be the basis of resistance of immature mango fruits to fungal infections </w:t>
      </w:r>
      <w:r w:rsidR="0057263A" w:rsidRPr="00016E5F">
        <w:rPr>
          <w:rFonts w:ascii="Times New Roman" w:hAnsi="Times New Roman" w:cs="Times New Roman"/>
          <w:sz w:val="22"/>
          <w:szCs w:val="22"/>
        </w:rPr>
        <w:t>[2].</w:t>
      </w:r>
      <w:r w:rsidR="006E5530" w:rsidRPr="00016E5F">
        <w:rPr>
          <w:rFonts w:ascii="Times New Roman" w:hAnsi="Times New Roman" w:cs="Times New Roman"/>
          <w:sz w:val="22"/>
          <w:szCs w:val="22"/>
        </w:rPr>
        <w:t xml:space="preserve"> A mixture of three closely related </w:t>
      </w:r>
      <w:proofErr w:type="spellStart"/>
      <w:r w:rsidR="006E5530" w:rsidRPr="00016E5F">
        <w:rPr>
          <w:rFonts w:ascii="Times New Roman" w:hAnsi="Times New Roman" w:cs="Times New Roman"/>
          <w:sz w:val="22"/>
          <w:szCs w:val="22"/>
        </w:rPr>
        <w:t>gallotannins</w:t>
      </w:r>
      <w:proofErr w:type="spellEnd"/>
      <w:r w:rsidR="006E5530" w:rsidRPr="00016E5F">
        <w:rPr>
          <w:rFonts w:ascii="Times New Roman" w:hAnsi="Times New Roman" w:cs="Times New Roman"/>
          <w:sz w:val="22"/>
          <w:szCs w:val="22"/>
        </w:rPr>
        <w:t xml:space="preserve"> with glycosidic linkages, in the peel of unripe mangoes were isolated and characterized </w:t>
      </w:r>
      <w:r w:rsidR="0057263A" w:rsidRPr="00016E5F">
        <w:rPr>
          <w:rFonts w:ascii="Times New Roman" w:hAnsi="Times New Roman" w:cs="Times New Roman"/>
          <w:sz w:val="22"/>
          <w:szCs w:val="22"/>
        </w:rPr>
        <w:t>[2]</w:t>
      </w:r>
      <w:r w:rsidR="006E5530" w:rsidRPr="00016E5F">
        <w:rPr>
          <w:rFonts w:ascii="Times New Roman" w:hAnsi="Times New Roman" w:cs="Times New Roman"/>
          <w:sz w:val="22"/>
          <w:szCs w:val="22"/>
        </w:rPr>
        <w:t xml:space="preserve">. Antifungal activity due to </w:t>
      </w:r>
      <w:proofErr w:type="spellStart"/>
      <w:r w:rsidR="006E5530" w:rsidRPr="00016E5F">
        <w:rPr>
          <w:rFonts w:ascii="Times New Roman" w:hAnsi="Times New Roman" w:cs="Times New Roman"/>
          <w:sz w:val="22"/>
          <w:szCs w:val="22"/>
        </w:rPr>
        <w:t>gallotannins</w:t>
      </w:r>
      <w:proofErr w:type="spellEnd"/>
      <w:r w:rsidR="006E5530" w:rsidRPr="00016E5F">
        <w:rPr>
          <w:rFonts w:ascii="Times New Roman" w:hAnsi="Times New Roman" w:cs="Times New Roman"/>
          <w:sz w:val="22"/>
          <w:szCs w:val="22"/>
        </w:rPr>
        <w:t xml:space="preserve"> was higher in the fruit peel at harvesting maturi</w:t>
      </w:r>
      <w:r w:rsidR="005C54D7" w:rsidRPr="00016E5F">
        <w:rPr>
          <w:rFonts w:ascii="Times New Roman" w:hAnsi="Times New Roman" w:cs="Times New Roman"/>
          <w:sz w:val="22"/>
          <w:szCs w:val="22"/>
        </w:rPr>
        <w:t>ty and declined gradually</w:t>
      </w:r>
      <w:r w:rsidR="006E5530" w:rsidRPr="00016E5F">
        <w:rPr>
          <w:rFonts w:ascii="Times New Roman" w:hAnsi="Times New Roman" w:cs="Times New Roman"/>
          <w:sz w:val="22"/>
          <w:szCs w:val="22"/>
        </w:rPr>
        <w:t xml:space="preserve"> </w:t>
      </w:r>
      <w:r w:rsidR="005C54D7" w:rsidRPr="00016E5F">
        <w:rPr>
          <w:rFonts w:ascii="Times New Roman" w:hAnsi="Times New Roman" w:cs="Times New Roman"/>
          <w:sz w:val="22"/>
          <w:szCs w:val="22"/>
        </w:rPr>
        <w:t xml:space="preserve">with ripening </w:t>
      </w:r>
      <w:r w:rsidR="0057263A" w:rsidRPr="00016E5F">
        <w:rPr>
          <w:rFonts w:ascii="Times New Roman" w:hAnsi="Times New Roman" w:cs="Times New Roman"/>
          <w:sz w:val="22"/>
          <w:szCs w:val="22"/>
        </w:rPr>
        <w:t>[2]</w:t>
      </w:r>
      <w:r w:rsidR="006E5530" w:rsidRPr="00016E5F">
        <w:rPr>
          <w:rFonts w:ascii="Times New Roman" w:hAnsi="Times New Roman" w:cs="Times New Roman"/>
          <w:sz w:val="22"/>
          <w:szCs w:val="22"/>
        </w:rPr>
        <w:t xml:space="preserve">. </w:t>
      </w:r>
      <w:r w:rsidR="008B4F0E" w:rsidRPr="00016E5F">
        <w:rPr>
          <w:rFonts w:ascii="Times New Roman" w:hAnsi="Times New Roman" w:cs="Times New Roman"/>
          <w:sz w:val="22"/>
          <w:szCs w:val="22"/>
        </w:rPr>
        <w:t xml:space="preserve"> Further, t</w:t>
      </w:r>
      <w:r w:rsidR="004A6287" w:rsidRPr="00016E5F">
        <w:rPr>
          <w:rFonts w:ascii="Times New Roman" w:hAnsi="Times New Roman" w:cs="Times New Roman"/>
          <w:sz w:val="22"/>
          <w:szCs w:val="22"/>
        </w:rPr>
        <w:t xml:space="preserve">he cultivars that </w:t>
      </w:r>
      <w:r w:rsidR="00B15D8A">
        <w:rPr>
          <w:rFonts w:ascii="Times New Roman" w:hAnsi="Times New Roman" w:cs="Times New Roman"/>
          <w:sz w:val="22"/>
          <w:szCs w:val="22"/>
        </w:rPr>
        <w:t>we</w:t>
      </w:r>
      <w:r w:rsidR="004A6287" w:rsidRPr="00016E5F">
        <w:rPr>
          <w:rFonts w:ascii="Times New Roman" w:hAnsi="Times New Roman" w:cs="Times New Roman"/>
          <w:sz w:val="22"/>
          <w:szCs w:val="22"/>
        </w:rPr>
        <w:t xml:space="preserve">re more resistant to anthracnose demonstrated higher </w:t>
      </w:r>
      <w:proofErr w:type="spellStart"/>
      <w:r w:rsidR="004A6287" w:rsidRPr="00016E5F">
        <w:rPr>
          <w:rFonts w:ascii="Times New Roman" w:hAnsi="Times New Roman" w:cs="Times New Roman"/>
          <w:sz w:val="22"/>
          <w:szCs w:val="22"/>
        </w:rPr>
        <w:t>gallotannin</w:t>
      </w:r>
      <w:proofErr w:type="spellEnd"/>
      <w:r w:rsidR="004A6287" w:rsidRPr="00016E5F">
        <w:rPr>
          <w:rFonts w:ascii="Times New Roman" w:hAnsi="Times New Roman" w:cs="Times New Roman"/>
          <w:sz w:val="22"/>
          <w:szCs w:val="22"/>
        </w:rPr>
        <w:t xml:space="preserve"> activity in the unripe fruit peel while those cultivars that were more susceptible to anthracnose showed lower </w:t>
      </w:r>
      <w:proofErr w:type="spellStart"/>
      <w:r w:rsidR="004A6287" w:rsidRPr="00016E5F">
        <w:rPr>
          <w:rFonts w:ascii="Times New Roman" w:hAnsi="Times New Roman" w:cs="Times New Roman"/>
          <w:sz w:val="22"/>
          <w:szCs w:val="22"/>
        </w:rPr>
        <w:t>gallotannin</w:t>
      </w:r>
      <w:proofErr w:type="spellEnd"/>
      <w:r w:rsidR="004A6287" w:rsidRPr="00016E5F">
        <w:rPr>
          <w:rFonts w:ascii="Times New Roman" w:hAnsi="Times New Roman" w:cs="Times New Roman"/>
          <w:sz w:val="22"/>
          <w:szCs w:val="22"/>
        </w:rPr>
        <w:t xml:space="preserve"> activity </w:t>
      </w:r>
      <w:r w:rsidR="0057263A" w:rsidRPr="00016E5F">
        <w:rPr>
          <w:rFonts w:ascii="Times New Roman" w:hAnsi="Times New Roman" w:cs="Times New Roman"/>
          <w:sz w:val="22"/>
          <w:szCs w:val="22"/>
        </w:rPr>
        <w:t>[2,3]</w:t>
      </w:r>
      <w:r w:rsidR="004A6287" w:rsidRPr="00016E5F">
        <w:rPr>
          <w:rFonts w:ascii="Times New Roman" w:hAnsi="Times New Roman" w:cs="Times New Roman"/>
          <w:sz w:val="22"/>
          <w:szCs w:val="22"/>
        </w:rPr>
        <w:t xml:space="preserve">. </w:t>
      </w:r>
      <w:r w:rsidR="00806ED2" w:rsidRPr="00016E5F">
        <w:rPr>
          <w:rFonts w:ascii="Times New Roman" w:hAnsi="Times New Roman" w:cs="Times New Roman"/>
          <w:sz w:val="22"/>
          <w:szCs w:val="22"/>
        </w:rPr>
        <w:t>A</w:t>
      </w:r>
      <w:r w:rsidR="004A6287" w:rsidRPr="00016E5F">
        <w:rPr>
          <w:rFonts w:ascii="Times New Roman" w:hAnsi="Times New Roman" w:cs="Times New Roman"/>
          <w:sz w:val="22"/>
          <w:szCs w:val="22"/>
        </w:rPr>
        <w:t xml:space="preserve"> significant negative correlation </w:t>
      </w:r>
      <w:r w:rsidR="00806ED2" w:rsidRPr="00016E5F">
        <w:rPr>
          <w:rFonts w:ascii="Times New Roman" w:hAnsi="Times New Roman" w:cs="Times New Roman"/>
          <w:sz w:val="22"/>
          <w:szCs w:val="22"/>
        </w:rPr>
        <w:t xml:space="preserve">was present </w:t>
      </w:r>
      <w:r w:rsidR="004A6287" w:rsidRPr="00016E5F">
        <w:rPr>
          <w:rFonts w:ascii="Times New Roman" w:hAnsi="Times New Roman" w:cs="Times New Roman"/>
          <w:sz w:val="22"/>
          <w:szCs w:val="22"/>
        </w:rPr>
        <w:t xml:space="preserve">between the level of </w:t>
      </w:r>
      <w:proofErr w:type="spellStart"/>
      <w:r w:rsidR="004A6287" w:rsidRPr="00016E5F">
        <w:rPr>
          <w:rFonts w:ascii="Times New Roman" w:hAnsi="Times New Roman" w:cs="Times New Roman"/>
          <w:sz w:val="22"/>
          <w:szCs w:val="22"/>
        </w:rPr>
        <w:t>gallotannins</w:t>
      </w:r>
      <w:proofErr w:type="spellEnd"/>
      <w:r w:rsidR="004A6287" w:rsidRPr="00016E5F">
        <w:rPr>
          <w:rFonts w:ascii="Times New Roman" w:hAnsi="Times New Roman" w:cs="Times New Roman"/>
          <w:sz w:val="22"/>
          <w:szCs w:val="22"/>
        </w:rPr>
        <w:t xml:space="preserve"> in the ripe fruit peel and anthracnose development among the mango cultivars examined</w:t>
      </w:r>
      <w:r w:rsidR="00806ED2" w:rsidRPr="00016E5F">
        <w:rPr>
          <w:rFonts w:ascii="Times New Roman" w:hAnsi="Times New Roman" w:cs="Times New Roman"/>
          <w:sz w:val="22"/>
          <w:szCs w:val="22"/>
        </w:rPr>
        <w:t xml:space="preserve"> [3]. T</w:t>
      </w:r>
      <w:r w:rsidR="004A6287" w:rsidRPr="00016E5F">
        <w:rPr>
          <w:rFonts w:ascii="Times New Roman" w:hAnsi="Times New Roman" w:cs="Times New Roman"/>
          <w:sz w:val="22"/>
          <w:szCs w:val="22"/>
        </w:rPr>
        <w:t xml:space="preserve">he level of </w:t>
      </w:r>
      <w:proofErr w:type="spellStart"/>
      <w:r w:rsidR="004A6287" w:rsidRPr="00016E5F">
        <w:rPr>
          <w:rFonts w:ascii="Times New Roman" w:hAnsi="Times New Roman" w:cs="Times New Roman"/>
          <w:sz w:val="22"/>
          <w:szCs w:val="22"/>
        </w:rPr>
        <w:t>gallotannins</w:t>
      </w:r>
      <w:proofErr w:type="spellEnd"/>
      <w:r w:rsidR="004A6287" w:rsidRPr="00016E5F">
        <w:rPr>
          <w:rFonts w:ascii="Times New Roman" w:hAnsi="Times New Roman" w:cs="Times New Roman"/>
          <w:sz w:val="22"/>
          <w:szCs w:val="22"/>
        </w:rPr>
        <w:t xml:space="preserve"> retained in the ripe fruit peel appears to be the most crucial factor in keeping the ripe fruits resistant to anthracnose</w:t>
      </w:r>
      <w:r w:rsidR="00806ED2" w:rsidRPr="00016E5F">
        <w:rPr>
          <w:rFonts w:ascii="Times New Roman" w:hAnsi="Times New Roman" w:cs="Times New Roman"/>
          <w:sz w:val="22"/>
          <w:szCs w:val="22"/>
        </w:rPr>
        <w:t xml:space="preserve"> [3]</w:t>
      </w:r>
      <w:r w:rsidR="004A6287" w:rsidRPr="00016E5F">
        <w:rPr>
          <w:rFonts w:ascii="Times New Roman" w:hAnsi="Times New Roman" w:cs="Times New Roman"/>
          <w:sz w:val="22"/>
          <w:szCs w:val="22"/>
        </w:rPr>
        <w:t xml:space="preserve">. </w:t>
      </w:r>
      <w:r w:rsidR="000E52F8" w:rsidRPr="00016E5F">
        <w:rPr>
          <w:rFonts w:ascii="Times New Roman" w:hAnsi="Times New Roman" w:cs="Times New Roman"/>
          <w:sz w:val="22"/>
          <w:szCs w:val="22"/>
          <w:lang w:val="en-GB"/>
        </w:rPr>
        <w:t xml:space="preserve"> </w:t>
      </w:r>
    </w:p>
    <w:p w14:paraId="1CDF4680" w14:textId="2168A924" w:rsidR="001F0BAB" w:rsidRPr="00016E5F" w:rsidRDefault="001F0BAB"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lang w:val="en-GB"/>
        </w:rPr>
        <w:t xml:space="preserve">Considering its therapeutic effects, </w:t>
      </w:r>
      <w:proofErr w:type="spellStart"/>
      <w:r w:rsidRPr="00016E5F">
        <w:rPr>
          <w:rFonts w:ascii="Times New Roman" w:hAnsi="Times New Roman" w:cs="Times New Roman"/>
          <w:sz w:val="22"/>
          <w:szCs w:val="22"/>
          <w:lang w:val="en-GB"/>
        </w:rPr>
        <w:t>g</w:t>
      </w:r>
      <w:r w:rsidR="001F292A" w:rsidRPr="00016E5F">
        <w:rPr>
          <w:rFonts w:ascii="Times New Roman" w:hAnsi="Times New Roman" w:cs="Times New Roman"/>
          <w:sz w:val="22"/>
          <w:szCs w:val="22"/>
          <w:lang w:val="en-GB"/>
        </w:rPr>
        <w:t>allotannins</w:t>
      </w:r>
      <w:proofErr w:type="spellEnd"/>
      <w:r w:rsidR="001F292A" w:rsidRPr="00016E5F">
        <w:rPr>
          <w:rFonts w:ascii="Times New Roman" w:hAnsi="Times New Roman" w:cs="Times New Roman"/>
          <w:sz w:val="22"/>
          <w:szCs w:val="22"/>
          <w:lang w:val="en-GB"/>
        </w:rPr>
        <w:t xml:space="preserve"> and other associated polyphenols present in mango fruit</w:t>
      </w:r>
      <w:r w:rsidR="008A6E97" w:rsidRPr="00016E5F">
        <w:rPr>
          <w:rFonts w:ascii="Times New Roman" w:hAnsi="Times New Roman" w:cs="Times New Roman"/>
          <w:sz w:val="22"/>
          <w:szCs w:val="22"/>
          <w:lang w:val="en-GB"/>
        </w:rPr>
        <w:t xml:space="preserve"> p</w:t>
      </w:r>
      <w:r w:rsidR="004D0F6C" w:rsidRPr="00016E5F">
        <w:rPr>
          <w:rFonts w:ascii="Times New Roman" w:hAnsi="Times New Roman" w:cs="Times New Roman"/>
          <w:sz w:val="22"/>
          <w:szCs w:val="22"/>
          <w:lang w:val="en-GB"/>
        </w:rPr>
        <w:t>e</w:t>
      </w:r>
      <w:r w:rsidR="008A6E97" w:rsidRPr="00016E5F">
        <w:rPr>
          <w:rFonts w:ascii="Times New Roman" w:hAnsi="Times New Roman" w:cs="Times New Roman"/>
          <w:sz w:val="22"/>
          <w:szCs w:val="22"/>
          <w:lang w:val="en-GB"/>
        </w:rPr>
        <w:t>el and seed kernel</w:t>
      </w:r>
      <w:r w:rsidR="001F292A" w:rsidRPr="00016E5F">
        <w:rPr>
          <w:rFonts w:ascii="Times New Roman" w:hAnsi="Times New Roman" w:cs="Times New Roman"/>
          <w:sz w:val="22"/>
          <w:szCs w:val="22"/>
          <w:lang w:val="en-GB"/>
        </w:rPr>
        <w:t xml:space="preserve"> act </w:t>
      </w:r>
      <w:r w:rsidRPr="00016E5F">
        <w:rPr>
          <w:rFonts w:ascii="Times New Roman" w:hAnsi="Times New Roman" w:cs="Times New Roman"/>
          <w:sz w:val="22"/>
          <w:szCs w:val="22"/>
          <w:lang w:val="en-GB"/>
        </w:rPr>
        <w:t xml:space="preserve">in the gut as gut prebiotics and have a beneficial effect on the </w:t>
      </w:r>
      <w:proofErr w:type="gramStart"/>
      <w:r w:rsidRPr="00016E5F">
        <w:rPr>
          <w:rFonts w:ascii="Times New Roman" w:hAnsi="Times New Roman" w:cs="Times New Roman"/>
          <w:sz w:val="22"/>
          <w:szCs w:val="22"/>
          <w:lang w:val="en-GB"/>
        </w:rPr>
        <w:t>intestinal  microbiome</w:t>
      </w:r>
      <w:proofErr w:type="gramEnd"/>
      <w:r w:rsidRPr="00016E5F">
        <w:rPr>
          <w:rFonts w:ascii="Times New Roman" w:hAnsi="Times New Roman" w:cs="Times New Roman"/>
          <w:sz w:val="22"/>
          <w:szCs w:val="22"/>
          <w:lang w:val="en-GB"/>
        </w:rPr>
        <w:t xml:space="preserve"> and intestinal health </w:t>
      </w:r>
      <w:r w:rsidR="00806ED2" w:rsidRPr="00016E5F">
        <w:rPr>
          <w:rFonts w:ascii="Times New Roman" w:hAnsi="Times New Roman" w:cs="Times New Roman"/>
          <w:sz w:val="22"/>
          <w:szCs w:val="22"/>
          <w:lang w:val="en-GB"/>
        </w:rPr>
        <w:t>[4]</w:t>
      </w:r>
      <w:r w:rsidRPr="00016E5F">
        <w:rPr>
          <w:rFonts w:ascii="Times New Roman" w:hAnsi="Times New Roman" w:cs="Times New Roman"/>
          <w:sz w:val="22"/>
          <w:szCs w:val="22"/>
          <w:lang w:val="en-GB"/>
        </w:rPr>
        <w:t xml:space="preserve">. </w:t>
      </w:r>
      <w:r w:rsidR="001F292A" w:rsidRPr="00016E5F">
        <w:rPr>
          <w:rFonts w:ascii="Times New Roman" w:hAnsi="Times New Roman" w:cs="Times New Roman"/>
          <w:sz w:val="22"/>
          <w:szCs w:val="22"/>
          <w:lang w:val="en-GB"/>
        </w:rPr>
        <w:t xml:space="preserve"> </w:t>
      </w:r>
      <w:r w:rsidR="000F3D33" w:rsidRPr="00016E5F">
        <w:rPr>
          <w:rFonts w:ascii="Times New Roman" w:hAnsi="Times New Roman" w:cs="Times New Roman"/>
          <w:sz w:val="22"/>
          <w:szCs w:val="22"/>
          <w:lang w:val="en-GB"/>
        </w:rPr>
        <w:t xml:space="preserve">Further, </w:t>
      </w:r>
      <w:proofErr w:type="spellStart"/>
      <w:r w:rsidR="000F3D33" w:rsidRPr="00016E5F">
        <w:rPr>
          <w:rFonts w:ascii="Times New Roman" w:hAnsi="Times New Roman" w:cs="Times New Roman"/>
          <w:sz w:val="22"/>
          <w:szCs w:val="22"/>
          <w:lang w:val="en-GB"/>
        </w:rPr>
        <w:t>gallotanins</w:t>
      </w:r>
      <w:proofErr w:type="spellEnd"/>
      <w:r w:rsidR="000F3D33" w:rsidRPr="00016E5F">
        <w:rPr>
          <w:rFonts w:ascii="Times New Roman" w:hAnsi="Times New Roman" w:cs="Times New Roman"/>
          <w:sz w:val="22"/>
          <w:szCs w:val="22"/>
          <w:lang w:val="en-GB"/>
        </w:rPr>
        <w:t xml:space="preserve"> present in mango peel and seed </w:t>
      </w:r>
      <w:proofErr w:type="spellStart"/>
      <w:r w:rsidR="000F3D33" w:rsidRPr="00016E5F">
        <w:rPr>
          <w:rFonts w:ascii="Times New Roman" w:hAnsi="Times New Roman" w:cs="Times New Roman"/>
          <w:sz w:val="22"/>
          <w:szCs w:val="22"/>
          <w:lang w:val="en-GB"/>
        </w:rPr>
        <w:t>kernal</w:t>
      </w:r>
      <w:proofErr w:type="spellEnd"/>
      <w:r w:rsidR="000F3D33" w:rsidRPr="00016E5F">
        <w:rPr>
          <w:rFonts w:ascii="Times New Roman" w:hAnsi="Times New Roman" w:cs="Times New Roman"/>
          <w:sz w:val="22"/>
          <w:szCs w:val="22"/>
          <w:lang w:val="en-GB"/>
        </w:rPr>
        <w:t xml:space="preserve"> were found to have antiproliferative effects on </w:t>
      </w:r>
      <w:r w:rsidR="00CB06E6" w:rsidRPr="00016E5F">
        <w:rPr>
          <w:rFonts w:ascii="Times New Roman" w:hAnsi="Times New Roman" w:cs="Times New Roman"/>
          <w:sz w:val="22"/>
          <w:szCs w:val="22"/>
          <w:lang w:val="en-GB"/>
        </w:rPr>
        <w:t xml:space="preserve">breast, liver and </w:t>
      </w:r>
      <w:proofErr w:type="spellStart"/>
      <w:r w:rsidR="00CB06E6" w:rsidRPr="00016E5F">
        <w:rPr>
          <w:rFonts w:ascii="Times New Roman" w:hAnsi="Times New Roman" w:cs="Times New Roman"/>
          <w:sz w:val="22"/>
          <w:szCs w:val="22"/>
          <w:lang w:val="en-GB"/>
        </w:rPr>
        <w:t>leukemia</w:t>
      </w:r>
      <w:proofErr w:type="spellEnd"/>
      <w:r w:rsidR="000F3D33" w:rsidRPr="00016E5F">
        <w:rPr>
          <w:rFonts w:ascii="Times New Roman" w:hAnsi="Times New Roman" w:cs="Times New Roman"/>
          <w:sz w:val="22"/>
          <w:szCs w:val="22"/>
          <w:lang w:val="en-GB"/>
        </w:rPr>
        <w:t xml:space="preserve"> cancer cells </w:t>
      </w:r>
      <w:r w:rsidR="00806ED2" w:rsidRPr="00016E5F">
        <w:rPr>
          <w:rFonts w:ascii="Times New Roman" w:hAnsi="Times New Roman" w:cs="Times New Roman"/>
          <w:sz w:val="22"/>
          <w:szCs w:val="22"/>
          <w:lang w:val="en-GB"/>
        </w:rPr>
        <w:t>[5]</w:t>
      </w:r>
      <w:r w:rsidR="000F3D33" w:rsidRPr="00016E5F">
        <w:rPr>
          <w:rFonts w:ascii="Times New Roman" w:hAnsi="Times New Roman" w:cs="Times New Roman"/>
          <w:sz w:val="22"/>
          <w:szCs w:val="22"/>
          <w:lang w:val="en-GB"/>
        </w:rPr>
        <w:t xml:space="preserve"> and therefore </w:t>
      </w:r>
      <w:r w:rsidR="000F3D33" w:rsidRPr="00016E5F">
        <w:rPr>
          <w:rFonts w:ascii="Times New Roman" w:hAnsi="Times New Roman" w:cs="Times New Roman"/>
          <w:sz w:val="22"/>
          <w:szCs w:val="22"/>
        </w:rPr>
        <w:t xml:space="preserve">the </w:t>
      </w:r>
      <w:proofErr w:type="spellStart"/>
      <w:r w:rsidR="000F3D33" w:rsidRPr="00016E5F">
        <w:rPr>
          <w:rFonts w:ascii="Times New Roman" w:hAnsi="Times New Roman" w:cs="Times New Roman"/>
          <w:sz w:val="22"/>
          <w:szCs w:val="22"/>
        </w:rPr>
        <w:t>gallotannin</w:t>
      </w:r>
      <w:proofErr w:type="spellEnd"/>
      <w:r w:rsidR="000F3D33" w:rsidRPr="00016E5F">
        <w:rPr>
          <w:rFonts w:ascii="Times New Roman" w:hAnsi="Times New Roman" w:cs="Times New Roman"/>
          <w:sz w:val="22"/>
          <w:szCs w:val="22"/>
        </w:rPr>
        <w:t>-rich extracts of mango kernel and peel may serve as natural sources of anticancer agents and may have important pharmaceutical potential</w:t>
      </w:r>
      <w:r w:rsidR="00806ED2" w:rsidRPr="00016E5F">
        <w:rPr>
          <w:rFonts w:ascii="Times New Roman" w:hAnsi="Times New Roman" w:cs="Times New Roman"/>
          <w:sz w:val="22"/>
          <w:szCs w:val="22"/>
        </w:rPr>
        <w:t xml:space="preserve"> [5]</w:t>
      </w:r>
      <w:r w:rsidR="000F3D33" w:rsidRPr="00016E5F">
        <w:rPr>
          <w:rFonts w:ascii="Times New Roman" w:hAnsi="Times New Roman" w:cs="Times New Roman"/>
          <w:sz w:val="22"/>
          <w:szCs w:val="22"/>
        </w:rPr>
        <w:t>.</w:t>
      </w:r>
      <w:r w:rsidR="008A6E97" w:rsidRPr="00016E5F">
        <w:rPr>
          <w:rFonts w:ascii="Times New Roman" w:hAnsi="Times New Roman" w:cs="Times New Roman"/>
          <w:sz w:val="22"/>
          <w:szCs w:val="22"/>
        </w:rPr>
        <w:t xml:space="preserve"> </w:t>
      </w:r>
      <w:proofErr w:type="spellStart"/>
      <w:r w:rsidR="008A6E97" w:rsidRPr="00016E5F">
        <w:rPr>
          <w:rFonts w:ascii="Times New Roman" w:hAnsi="Times New Roman" w:cs="Times New Roman"/>
          <w:sz w:val="22"/>
          <w:szCs w:val="22"/>
        </w:rPr>
        <w:t>Gallotannins</w:t>
      </w:r>
      <w:proofErr w:type="spellEnd"/>
      <w:r w:rsidR="008A6E97" w:rsidRPr="00016E5F">
        <w:rPr>
          <w:rFonts w:ascii="Times New Roman" w:hAnsi="Times New Roman" w:cs="Times New Roman"/>
          <w:sz w:val="22"/>
          <w:szCs w:val="22"/>
        </w:rPr>
        <w:t xml:space="preserve"> in mango are also reported to have antibacterial properties</w:t>
      </w:r>
      <w:r w:rsidR="00806ED2" w:rsidRPr="00016E5F">
        <w:rPr>
          <w:rFonts w:ascii="Times New Roman" w:hAnsi="Times New Roman" w:cs="Times New Roman"/>
          <w:sz w:val="22"/>
          <w:szCs w:val="22"/>
        </w:rPr>
        <w:t xml:space="preserve"> [6, 7]</w:t>
      </w:r>
      <w:r w:rsidR="00B36AD0" w:rsidRPr="00016E5F">
        <w:rPr>
          <w:rFonts w:ascii="Times New Roman" w:hAnsi="Times New Roman" w:cs="Times New Roman"/>
          <w:sz w:val="22"/>
          <w:szCs w:val="22"/>
        </w:rPr>
        <w:t xml:space="preserve"> and Gram positive food borne bacteria were found to be more susceptible to </w:t>
      </w:r>
      <w:proofErr w:type="spellStart"/>
      <w:r w:rsidR="00B36AD0" w:rsidRPr="00016E5F">
        <w:rPr>
          <w:rFonts w:ascii="Times New Roman" w:hAnsi="Times New Roman" w:cs="Times New Roman"/>
          <w:sz w:val="22"/>
          <w:szCs w:val="22"/>
        </w:rPr>
        <w:t>gallotannins</w:t>
      </w:r>
      <w:proofErr w:type="spellEnd"/>
      <w:r w:rsidR="00B36AD0" w:rsidRPr="00016E5F">
        <w:rPr>
          <w:rFonts w:ascii="Times New Roman" w:hAnsi="Times New Roman" w:cs="Times New Roman"/>
          <w:sz w:val="22"/>
          <w:szCs w:val="22"/>
        </w:rPr>
        <w:t xml:space="preserve"> than </w:t>
      </w:r>
      <w:r w:rsidR="00EB2961" w:rsidRPr="00016E5F">
        <w:rPr>
          <w:rFonts w:ascii="Times New Roman" w:hAnsi="Times New Roman" w:cs="Times New Roman"/>
          <w:sz w:val="22"/>
          <w:szCs w:val="22"/>
        </w:rPr>
        <w:t xml:space="preserve">the </w:t>
      </w:r>
      <w:r w:rsidR="00B36AD0" w:rsidRPr="00016E5F">
        <w:rPr>
          <w:rFonts w:ascii="Times New Roman" w:hAnsi="Times New Roman" w:cs="Times New Roman"/>
          <w:sz w:val="22"/>
          <w:szCs w:val="22"/>
        </w:rPr>
        <w:t xml:space="preserve">Gram negative </w:t>
      </w:r>
      <w:r w:rsidR="00806ED2" w:rsidRPr="00016E5F">
        <w:rPr>
          <w:rFonts w:ascii="Times New Roman" w:hAnsi="Times New Roman" w:cs="Times New Roman"/>
          <w:sz w:val="22"/>
          <w:szCs w:val="22"/>
        </w:rPr>
        <w:t>[8]</w:t>
      </w:r>
      <w:r w:rsidR="00EB2961" w:rsidRPr="00016E5F">
        <w:rPr>
          <w:rFonts w:ascii="Times New Roman" w:hAnsi="Times New Roman" w:cs="Times New Roman"/>
          <w:sz w:val="22"/>
          <w:szCs w:val="22"/>
        </w:rPr>
        <w:t xml:space="preserve">. </w:t>
      </w:r>
    </w:p>
    <w:p w14:paraId="36B7EFE7" w14:textId="7950141A" w:rsidR="008F0432" w:rsidRPr="00016E5F" w:rsidRDefault="004D0F6C"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lastRenderedPageBreak/>
        <w:t>T</w:t>
      </w:r>
      <w:r w:rsidR="008F0432" w:rsidRPr="00016E5F">
        <w:rPr>
          <w:rFonts w:ascii="Times New Roman" w:hAnsi="Times New Roman" w:cs="Times New Roman"/>
          <w:sz w:val="22"/>
          <w:szCs w:val="22"/>
        </w:rPr>
        <w:t>h</w:t>
      </w:r>
      <w:r w:rsidRPr="00016E5F">
        <w:rPr>
          <w:rFonts w:ascii="Times New Roman" w:hAnsi="Times New Roman" w:cs="Times New Roman"/>
          <w:sz w:val="22"/>
          <w:szCs w:val="22"/>
        </w:rPr>
        <w:t>e</w:t>
      </w:r>
      <w:r w:rsidR="008F0432" w:rsidRPr="00016E5F">
        <w:rPr>
          <w:rFonts w:ascii="Times New Roman" w:hAnsi="Times New Roman" w:cs="Times New Roman"/>
          <w:sz w:val="22"/>
          <w:szCs w:val="22"/>
        </w:rPr>
        <w:t xml:space="preserve"> work </w:t>
      </w:r>
      <w:r w:rsidR="008D34F2" w:rsidRPr="00016E5F">
        <w:rPr>
          <w:rFonts w:ascii="Times New Roman" w:hAnsi="Times New Roman" w:cs="Times New Roman"/>
          <w:sz w:val="22"/>
          <w:szCs w:val="22"/>
        </w:rPr>
        <w:t xml:space="preserve">on mango </w:t>
      </w:r>
      <w:proofErr w:type="spellStart"/>
      <w:r w:rsidR="008D34F2" w:rsidRPr="00016E5F">
        <w:rPr>
          <w:rFonts w:ascii="Times New Roman" w:hAnsi="Times New Roman" w:cs="Times New Roman"/>
          <w:sz w:val="22"/>
          <w:szCs w:val="22"/>
        </w:rPr>
        <w:t>gallotannins</w:t>
      </w:r>
      <w:proofErr w:type="spellEnd"/>
      <w:r w:rsidR="008D34F2" w:rsidRPr="00016E5F">
        <w:rPr>
          <w:rFonts w:ascii="Times New Roman" w:hAnsi="Times New Roman" w:cs="Times New Roman"/>
          <w:sz w:val="22"/>
          <w:szCs w:val="22"/>
        </w:rPr>
        <w:t xml:space="preserve"> </w:t>
      </w:r>
      <w:r w:rsidR="008F0432" w:rsidRPr="00016E5F">
        <w:rPr>
          <w:rFonts w:ascii="Times New Roman" w:hAnsi="Times New Roman" w:cs="Times New Roman"/>
          <w:sz w:val="22"/>
          <w:szCs w:val="22"/>
        </w:rPr>
        <w:t>ha</w:t>
      </w:r>
      <w:r w:rsidR="008D34F2" w:rsidRPr="00016E5F">
        <w:rPr>
          <w:rFonts w:ascii="Times New Roman" w:hAnsi="Times New Roman" w:cs="Times New Roman"/>
          <w:sz w:val="22"/>
          <w:szCs w:val="22"/>
        </w:rPr>
        <w:t xml:space="preserve">ve </w:t>
      </w:r>
      <w:r w:rsidR="0074727A" w:rsidRPr="00016E5F">
        <w:rPr>
          <w:rFonts w:ascii="Times New Roman" w:hAnsi="Times New Roman" w:cs="Times New Roman"/>
          <w:sz w:val="22"/>
          <w:szCs w:val="22"/>
        </w:rPr>
        <w:t xml:space="preserve">so far </w:t>
      </w:r>
      <w:r w:rsidR="008D34F2" w:rsidRPr="00016E5F">
        <w:rPr>
          <w:rFonts w:ascii="Times New Roman" w:hAnsi="Times New Roman" w:cs="Times New Roman"/>
          <w:sz w:val="22"/>
          <w:szCs w:val="22"/>
        </w:rPr>
        <w:t xml:space="preserve">focused on </w:t>
      </w:r>
      <w:r w:rsidR="008F0432" w:rsidRPr="00016E5F">
        <w:rPr>
          <w:rFonts w:ascii="Times New Roman" w:hAnsi="Times New Roman" w:cs="Times New Roman"/>
          <w:sz w:val="22"/>
          <w:szCs w:val="22"/>
        </w:rPr>
        <w:t xml:space="preserve">mango fruit peel or seed kernel. </w:t>
      </w:r>
      <w:r w:rsidRPr="00016E5F">
        <w:rPr>
          <w:rFonts w:ascii="Times New Roman" w:hAnsi="Times New Roman" w:cs="Times New Roman"/>
          <w:sz w:val="22"/>
          <w:szCs w:val="22"/>
        </w:rPr>
        <w:t xml:space="preserve">Anthracnose caused by </w:t>
      </w:r>
      <w:r w:rsidRPr="00016E5F">
        <w:rPr>
          <w:rFonts w:ascii="Times New Roman" w:hAnsi="Times New Roman" w:cs="Times New Roman"/>
          <w:i/>
          <w:iCs/>
          <w:sz w:val="22"/>
          <w:szCs w:val="22"/>
        </w:rPr>
        <w:t xml:space="preserve">Colletotrichum </w:t>
      </w:r>
      <w:proofErr w:type="spellStart"/>
      <w:r w:rsidRPr="00016E5F">
        <w:rPr>
          <w:rFonts w:ascii="Times New Roman" w:hAnsi="Times New Roman" w:cs="Times New Roman"/>
          <w:i/>
          <w:iCs/>
          <w:sz w:val="22"/>
          <w:szCs w:val="22"/>
        </w:rPr>
        <w:t>gloeosporioides</w:t>
      </w:r>
      <w:proofErr w:type="spellEnd"/>
      <w:r w:rsidRPr="00016E5F">
        <w:rPr>
          <w:rFonts w:ascii="Times New Roman" w:hAnsi="Times New Roman" w:cs="Times New Roman"/>
          <w:sz w:val="22"/>
          <w:szCs w:val="22"/>
        </w:rPr>
        <w:t xml:space="preserve"> is a quiescent infection in mango fruits which often originates or is first seen in mango leaves, flush and florets and from these parts the infect</w:t>
      </w:r>
      <w:r w:rsidR="0074727A" w:rsidRPr="00016E5F">
        <w:rPr>
          <w:rFonts w:ascii="Times New Roman" w:hAnsi="Times New Roman" w:cs="Times New Roman"/>
          <w:sz w:val="22"/>
          <w:szCs w:val="22"/>
        </w:rPr>
        <w:t>ion spreads to the developing</w:t>
      </w:r>
      <w:r w:rsidRPr="00016E5F">
        <w:rPr>
          <w:rFonts w:ascii="Times New Roman" w:hAnsi="Times New Roman" w:cs="Times New Roman"/>
          <w:sz w:val="22"/>
          <w:szCs w:val="22"/>
        </w:rPr>
        <w:t xml:space="preserve"> fruits. </w:t>
      </w:r>
      <w:r w:rsidR="00791295" w:rsidRPr="00016E5F">
        <w:rPr>
          <w:rFonts w:ascii="Times New Roman" w:hAnsi="Times New Roman" w:cs="Times New Roman"/>
          <w:sz w:val="22"/>
          <w:szCs w:val="22"/>
        </w:rPr>
        <w:t xml:space="preserve">The present study aims to investigate the possible presence of </w:t>
      </w:r>
      <w:proofErr w:type="spellStart"/>
      <w:r w:rsidR="00791295" w:rsidRPr="00016E5F">
        <w:rPr>
          <w:rFonts w:ascii="Times New Roman" w:hAnsi="Times New Roman" w:cs="Times New Roman"/>
          <w:sz w:val="22"/>
          <w:szCs w:val="22"/>
        </w:rPr>
        <w:t>gallotannins</w:t>
      </w:r>
      <w:proofErr w:type="spellEnd"/>
      <w:r w:rsidR="00791295" w:rsidRPr="00016E5F">
        <w:rPr>
          <w:rFonts w:ascii="Times New Roman" w:hAnsi="Times New Roman" w:cs="Times New Roman"/>
          <w:sz w:val="22"/>
          <w:szCs w:val="22"/>
        </w:rPr>
        <w:t xml:space="preserve"> in relation to other aerial parts of the mango tree such as mature leaves, flush and florets which are also susceptible to infections by fungi such as </w:t>
      </w:r>
      <w:r w:rsidR="00791295" w:rsidRPr="00016E5F">
        <w:rPr>
          <w:rFonts w:ascii="Times New Roman" w:hAnsi="Times New Roman" w:cs="Times New Roman"/>
          <w:i/>
          <w:sz w:val="22"/>
          <w:szCs w:val="22"/>
        </w:rPr>
        <w:t xml:space="preserve">C. </w:t>
      </w:r>
      <w:proofErr w:type="spellStart"/>
      <w:r w:rsidR="00791295" w:rsidRPr="00016E5F">
        <w:rPr>
          <w:rFonts w:ascii="Times New Roman" w:hAnsi="Times New Roman" w:cs="Times New Roman"/>
          <w:i/>
          <w:sz w:val="22"/>
          <w:szCs w:val="22"/>
        </w:rPr>
        <w:t>gloeosporioides</w:t>
      </w:r>
      <w:proofErr w:type="spellEnd"/>
      <w:r w:rsidR="00791295" w:rsidRPr="00016E5F">
        <w:rPr>
          <w:rFonts w:ascii="Times New Roman" w:hAnsi="Times New Roman" w:cs="Times New Roman"/>
          <w:sz w:val="22"/>
          <w:szCs w:val="22"/>
        </w:rPr>
        <w:t xml:space="preserve">. </w:t>
      </w:r>
      <w:r w:rsidR="0074727A" w:rsidRPr="00016E5F">
        <w:rPr>
          <w:rFonts w:ascii="Times New Roman" w:hAnsi="Times New Roman" w:cs="Times New Roman"/>
          <w:sz w:val="22"/>
          <w:szCs w:val="22"/>
        </w:rPr>
        <w:t xml:space="preserve">And also look into the </w:t>
      </w:r>
      <w:r w:rsidR="00B15D8A">
        <w:rPr>
          <w:rFonts w:ascii="Times New Roman" w:hAnsi="Times New Roman" w:cs="Times New Roman"/>
          <w:sz w:val="22"/>
          <w:szCs w:val="22"/>
        </w:rPr>
        <w:t xml:space="preserve">gradual </w:t>
      </w:r>
      <w:r w:rsidR="0074727A" w:rsidRPr="00016E5F">
        <w:rPr>
          <w:rFonts w:ascii="Times New Roman" w:hAnsi="Times New Roman" w:cs="Times New Roman"/>
          <w:sz w:val="22"/>
          <w:szCs w:val="22"/>
        </w:rPr>
        <w:t xml:space="preserve">decline of </w:t>
      </w:r>
      <w:proofErr w:type="spellStart"/>
      <w:r w:rsidR="0074727A" w:rsidRPr="00016E5F">
        <w:rPr>
          <w:rFonts w:ascii="Times New Roman" w:hAnsi="Times New Roman" w:cs="Times New Roman"/>
          <w:sz w:val="22"/>
          <w:szCs w:val="22"/>
        </w:rPr>
        <w:t>gallotannins</w:t>
      </w:r>
      <w:proofErr w:type="spellEnd"/>
      <w:r w:rsidR="0074727A" w:rsidRPr="00016E5F">
        <w:rPr>
          <w:rFonts w:ascii="Times New Roman" w:hAnsi="Times New Roman" w:cs="Times New Roman"/>
          <w:sz w:val="22"/>
          <w:szCs w:val="22"/>
        </w:rPr>
        <w:t xml:space="preserve"> in fruit peel </w:t>
      </w:r>
      <w:r w:rsidR="00B15D8A">
        <w:rPr>
          <w:rFonts w:ascii="Times New Roman" w:hAnsi="Times New Roman" w:cs="Times New Roman"/>
          <w:sz w:val="22"/>
          <w:szCs w:val="22"/>
        </w:rPr>
        <w:t xml:space="preserve">after harvest </w:t>
      </w:r>
      <w:r w:rsidR="0074727A" w:rsidRPr="00016E5F">
        <w:rPr>
          <w:rFonts w:ascii="Times New Roman" w:hAnsi="Times New Roman" w:cs="Times New Roman"/>
          <w:sz w:val="22"/>
          <w:szCs w:val="22"/>
        </w:rPr>
        <w:t xml:space="preserve">and how it coincides with anthracnose lesion development. </w:t>
      </w:r>
    </w:p>
    <w:p w14:paraId="4B5B3741" w14:textId="77777777" w:rsidR="000A44E5" w:rsidRPr="00690AFF" w:rsidRDefault="000A44E5" w:rsidP="00E1418C">
      <w:pPr>
        <w:spacing w:line="480" w:lineRule="auto"/>
        <w:rPr>
          <w:rFonts w:ascii="Times New Roman" w:hAnsi="Times New Roman" w:cs="Times New Roman"/>
          <w:b/>
          <w:sz w:val="22"/>
          <w:szCs w:val="22"/>
        </w:rPr>
      </w:pPr>
    </w:p>
    <w:p w14:paraId="5A54C286" w14:textId="7B6BAE09" w:rsidR="000A44E5" w:rsidRPr="00690AFF" w:rsidRDefault="005C54D7" w:rsidP="00E1418C">
      <w:pPr>
        <w:pStyle w:val="ListParagraph"/>
        <w:numPr>
          <w:ilvl w:val="0"/>
          <w:numId w:val="1"/>
        </w:numPr>
        <w:spacing w:line="480" w:lineRule="auto"/>
        <w:rPr>
          <w:rFonts w:ascii="Times New Roman" w:hAnsi="Times New Roman" w:cs="Times New Roman"/>
          <w:b/>
          <w:sz w:val="22"/>
          <w:szCs w:val="22"/>
        </w:rPr>
      </w:pPr>
      <w:r w:rsidRPr="00690AFF">
        <w:rPr>
          <w:rFonts w:ascii="Times New Roman" w:hAnsi="Times New Roman" w:cs="Times New Roman"/>
          <w:b/>
          <w:sz w:val="22"/>
          <w:szCs w:val="22"/>
        </w:rPr>
        <w:t>METHODOLOGY</w:t>
      </w:r>
    </w:p>
    <w:p w14:paraId="67CE7BD3" w14:textId="1CC474F4" w:rsidR="00AB0062" w:rsidRPr="00016E5F" w:rsidRDefault="00B02C2C" w:rsidP="00E1418C">
      <w:pPr>
        <w:pStyle w:val="BodyText"/>
        <w:spacing w:line="480" w:lineRule="auto"/>
        <w:rPr>
          <w:sz w:val="22"/>
          <w:szCs w:val="22"/>
        </w:rPr>
      </w:pPr>
      <w:r w:rsidRPr="00016E5F">
        <w:rPr>
          <w:sz w:val="22"/>
          <w:szCs w:val="22"/>
        </w:rPr>
        <w:t xml:space="preserve">2.1 </w:t>
      </w:r>
      <w:r w:rsidR="00AB0062" w:rsidRPr="00016E5F">
        <w:rPr>
          <w:sz w:val="22"/>
          <w:szCs w:val="22"/>
        </w:rPr>
        <w:t>Plat material</w:t>
      </w:r>
    </w:p>
    <w:p w14:paraId="57548080" w14:textId="2EFEED1B" w:rsidR="00AB0062" w:rsidRPr="00016E5F" w:rsidRDefault="00E62581"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Healthy florets</w:t>
      </w:r>
      <w:r w:rsidR="00AB0062" w:rsidRPr="00016E5F">
        <w:rPr>
          <w:rFonts w:ascii="Times New Roman" w:hAnsi="Times New Roman" w:cs="Times New Roman"/>
          <w:sz w:val="22"/>
          <w:szCs w:val="22"/>
        </w:rPr>
        <w:t xml:space="preserve"> from the mango inflorescence</w:t>
      </w:r>
      <w:r w:rsidRPr="00016E5F">
        <w:rPr>
          <w:rFonts w:ascii="Times New Roman" w:hAnsi="Times New Roman" w:cs="Times New Roman"/>
          <w:sz w:val="22"/>
          <w:szCs w:val="22"/>
        </w:rPr>
        <w:t xml:space="preserve">, </w:t>
      </w:r>
      <w:r w:rsidR="00AB0062" w:rsidRPr="00016E5F">
        <w:rPr>
          <w:rFonts w:ascii="Times New Roman" w:hAnsi="Times New Roman" w:cs="Times New Roman"/>
          <w:sz w:val="22"/>
          <w:szCs w:val="22"/>
        </w:rPr>
        <w:t xml:space="preserve">healthy young </w:t>
      </w:r>
      <w:r w:rsidRPr="00016E5F">
        <w:rPr>
          <w:rFonts w:ascii="Times New Roman" w:hAnsi="Times New Roman" w:cs="Times New Roman"/>
          <w:sz w:val="22"/>
          <w:szCs w:val="22"/>
        </w:rPr>
        <w:t xml:space="preserve">flush and </w:t>
      </w:r>
      <w:r w:rsidR="00AB0062" w:rsidRPr="00016E5F">
        <w:rPr>
          <w:rFonts w:ascii="Times New Roman" w:hAnsi="Times New Roman" w:cs="Times New Roman"/>
          <w:sz w:val="22"/>
          <w:szCs w:val="22"/>
        </w:rPr>
        <w:t xml:space="preserve">healthy, undamaged </w:t>
      </w:r>
      <w:r w:rsidRPr="00016E5F">
        <w:rPr>
          <w:rFonts w:ascii="Times New Roman" w:hAnsi="Times New Roman" w:cs="Times New Roman"/>
          <w:sz w:val="22"/>
          <w:szCs w:val="22"/>
        </w:rPr>
        <w:t>mature leaves were collec</w:t>
      </w:r>
      <w:r w:rsidR="00B02C2C" w:rsidRPr="00016E5F">
        <w:rPr>
          <w:rFonts w:ascii="Times New Roman" w:hAnsi="Times New Roman" w:cs="Times New Roman"/>
          <w:sz w:val="22"/>
          <w:szCs w:val="22"/>
        </w:rPr>
        <w:t>ted from “Kohu amba’ trees growing</w:t>
      </w:r>
      <w:r w:rsidRPr="00016E5F">
        <w:rPr>
          <w:rFonts w:ascii="Times New Roman" w:hAnsi="Times New Roman" w:cs="Times New Roman"/>
          <w:sz w:val="22"/>
          <w:szCs w:val="22"/>
        </w:rPr>
        <w:t xml:space="preserve"> in home gardens.  </w:t>
      </w:r>
    </w:p>
    <w:p w14:paraId="2CF5CA0F" w14:textId="00D2D649" w:rsidR="00AB0062" w:rsidRPr="00016E5F" w:rsidRDefault="007B669A"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Fruits- healthy, unblemished fruits at harvesting maturity of </w:t>
      </w:r>
      <w:r w:rsidR="00A11AEB">
        <w:rPr>
          <w:rFonts w:ascii="Times New Roman" w:hAnsi="Times New Roman" w:cs="Times New Roman"/>
          <w:sz w:val="22"/>
          <w:szCs w:val="22"/>
        </w:rPr>
        <w:t xml:space="preserve">commercially valuable </w:t>
      </w:r>
      <w:r w:rsidRPr="00016E5F">
        <w:rPr>
          <w:rFonts w:ascii="Times New Roman" w:hAnsi="Times New Roman" w:cs="Times New Roman"/>
          <w:sz w:val="22"/>
          <w:szCs w:val="22"/>
        </w:rPr>
        <w:t>cultivar ‘</w:t>
      </w:r>
      <w:proofErr w:type="spellStart"/>
      <w:r w:rsidR="00A11AEB">
        <w:rPr>
          <w:rFonts w:ascii="Times New Roman" w:hAnsi="Times New Roman" w:cs="Times New Roman"/>
          <w:sz w:val="22"/>
          <w:szCs w:val="22"/>
        </w:rPr>
        <w:t>Karutrha</w:t>
      </w:r>
      <w:proofErr w:type="spellEnd"/>
      <w:r w:rsidR="00A11AEB">
        <w:rPr>
          <w:rFonts w:ascii="Times New Roman" w:hAnsi="Times New Roman" w:cs="Times New Roman"/>
          <w:sz w:val="22"/>
          <w:szCs w:val="22"/>
        </w:rPr>
        <w:t xml:space="preserve"> </w:t>
      </w:r>
      <w:proofErr w:type="spellStart"/>
      <w:r w:rsidR="00A11AEB">
        <w:rPr>
          <w:rFonts w:ascii="Times New Roman" w:hAnsi="Times New Roman" w:cs="Times New Roman"/>
          <w:sz w:val="22"/>
          <w:szCs w:val="22"/>
        </w:rPr>
        <w:t>colomban</w:t>
      </w:r>
      <w:proofErr w:type="spellEnd"/>
      <w:r w:rsidRPr="00016E5F">
        <w:rPr>
          <w:rFonts w:ascii="Times New Roman" w:hAnsi="Times New Roman" w:cs="Times New Roman"/>
          <w:sz w:val="22"/>
          <w:szCs w:val="22"/>
        </w:rPr>
        <w:t xml:space="preserve">’ </w:t>
      </w:r>
      <w:r w:rsidR="0074727A" w:rsidRPr="00016E5F">
        <w:rPr>
          <w:rFonts w:ascii="Times New Roman" w:hAnsi="Times New Roman" w:cs="Times New Roman"/>
          <w:sz w:val="22"/>
          <w:szCs w:val="22"/>
        </w:rPr>
        <w:t xml:space="preserve">reported to </w:t>
      </w:r>
      <w:r w:rsidR="00A11AEB">
        <w:rPr>
          <w:rFonts w:ascii="Times New Roman" w:hAnsi="Times New Roman" w:cs="Times New Roman"/>
          <w:sz w:val="22"/>
          <w:szCs w:val="22"/>
        </w:rPr>
        <w:t>be a cultivar more resistant</w:t>
      </w:r>
      <w:r w:rsidR="0074727A" w:rsidRPr="00016E5F">
        <w:rPr>
          <w:rFonts w:ascii="Times New Roman" w:hAnsi="Times New Roman" w:cs="Times New Roman"/>
          <w:sz w:val="22"/>
          <w:szCs w:val="22"/>
        </w:rPr>
        <w:t xml:space="preserve"> to anthracnose</w:t>
      </w:r>
      <w:r w:rsidR="00222A71" w:rsidRPr="00016E5F">
        <w:rPr>
          <w:rFonts w:ascii="Times New Roman" w:hAnsi="Times New Roman" w:cs="Times New Roman"/>
          <w:sz w:val="22"/>
          <w:szCs w:val="22"/>
        </w:rPr>
        <w:t xml:space="preserve"> [3]</w:t>
      </w:r>
      <w:r w:rsidR="0074727A" w:rsidRPr="00016E5F">
        <w:rPr>
          <w:rFonts w:ascii="Times New Roman" w:hAnsi="Times New Roman" w:cs="Times New Roman"/>
          <w:sz w:val="22"/>
          <w:szCs w:val="22"/>
        </w:rPr>
        <w:t xml:space="preserve"> were used</w:t>
      </w:r>
      <w:r w:rsidR="00914075">
        <w:rPr>
          <w:rFonts w:ascii="Times New Roman" w:hAnsi="Times New Roman" w:cs="Times New Roman"/>
          <w:sz w:val="22"/>
          <w:szCs w:val="22"/>
        </w:rPr>
        <w:t xml:space="preserve"> to look at the gradual decline in </w:t>
      </w:r>
      <w:proofErr w:type="spellStart"/>
      <w:r w:rsidR="00914075">
        <w:rPr>
          <w:rFonts w:ascii="Times New Roman" w:hAnsi="Times New Roman" w:cs="Times New Roman"/>
          <w:sz w:val="22"/>
          <w:szCs w:val="22"/>
        </w:rPr>
        <w:t>gallotannins</w:t>
      </w:r>
      <w:proofErr w:type="spellEnd"/>
      <w:r w:rsidR="00914075">
        <w:rPr>
          <w:rFonts w:ascii="Times New Roman" w:hAnsi="Times New Roman" w:cs="Times New Roman"/>
          <w:sz w:val="22"/>
          <w:szCs w:val="22"/>
        </w:rPr>
        <w:t xml:space="preserve"> after harvest</w:t>
      </w:r>
      <w:r w:rsidR="0074727A" w:rsidRPr="00016E5F">
        <w:rPr>
          <w:rFonts w:ascii="Times New Roman" w:hAnsi="Times New Roman" w:cs="Times New Roman"/>
          <w:sz w:val="22"/>
          <w:szCs w:val="22"/>
        </w:rPr>
        <w:t>. Six</w:t>
      </w:r>
      <w:r w:rsidRPr="00016E5F">
        <w:rPr>
          <w:rFonts w:ascii="Times New Roman" w:hAnsi="Times New Roman" w:cs="Times New Roman"/>
          <w:sz w:val="22"/>
          <w:szCs w:val="22"/>
        </w:rPr>
        <w:t xml:space="preserve"> fruits were </w:t>
      </w:r>
      <w:r w:rsidR="0074727A" w:rsidRPr="00016E5F">
        <w:rPr>
          <w:rFonts w:ascii="Times New Roman" w:hAnsi="Times New Roman" w:cs="Times New Roman"/>
          <w:sz w:val="22"/>
          <w:szCs w:val="22"/>
        </w:rPr>
        <w:t xml:space="preserve">inoculated with the anthracnose pathogen while </w:t>
      </w:r>
      <w:r w:rsidR="00FD5751" w:rsidRPr="00016E5F">
        <w:rPr>
          <w:rFonts w:ascii="Times New Roman" w:hAnsi="Times New Roman" w:cs="Times New Roman"/>
          <w:sz w:val="22"/>
          <w:szCs w:val="22"/>
        </w:rPr>
        <w:t>15</w:t>
      </w:r>
      <w:r w:rsidR="0074727A" w:rsidRPr="00016E5F">
        <w:rPr>
          <w:rFonts w:ascii="Times New Roman" w:hAnsi="Times New Roman" w:cs="Times New Roman"/>
          <w:sz w:val="22"/>
          <w:szCs w:val="22"/>
        </w:rPr>
        <w:t xml:space="preserve"> fruits were </w:t>
      </w:r>
      <w:r w:rsidRPr="00016E5F">
        <w:rPr>
          <w:rFonts w:ascii="Times New Roman" w:hAnsi="Times New Roman" w:cs="Times New Roman"/>
          <w:sz w:val="22"/>
          <w:szCs w:val="22"/>
        </w:rPr>
        <w:t xml:space="preserve">kept </w:t>
      </w:r>
      <w:r w:rsidR="00222A71" w:rsidRPr="00016E5F">
        <w:rPr>
          <w:rFonts w:ascii="Times New Roman" w:hAnsi="Times New Roman" w:cs="Times New Roman"/>
          <w:sz w:val="22"/>
          <w:szCs w:val="22"/>
        </w:rPr>
        <w:t xml:space="preserve">aside </w:t>
      </w:r>
      <w:r w:rsidR="00A11AEB">
        <w:rPr>
          <w:rFonts w:ascii="Times New Roman" w:hAnsi="Times New Roman" w:cs="Times New Roman"/>
          <w:sz w:val="22"/>
          <w:szCs w:val="22"/>
        </w:rPr>
        <w:t>until ripe stage (day 09</w:t>
      </w:r>
      <w:r w:rsidRPr="00016E5F">
        <w:rPr>
          <w:rFonts w:ascii="Times New Roman" w:hAnsi="Times New Roman" w:cs="Times New Roman"/>
          <w:sz w:val="22"/>
          <w:szCs w:val="22"/>
        </w:rPr>
        <w:t>)</w:t>
      </w:r>
      <w:r w:rsidR="00222A71" w:rsidRPr="00016E5F">
        <w:rPr>
          <w:rFonts w:ascii="Times New Roman" w:hAnsi="Times New Roman" w:cs="Times New Roman"/>
          <w:sz w:val="22"/>
          <w:szCs w:val="22"/>
        </w:rPr>
        <w:t xml:space="preserve"> for obtaining peels</w:t>
      </w:r>
      <w:r w:rsidRPr="00016E5F">
        <w:rPr>
          <w:rFonts w:ascii="Times New Roman" w:hAnsi="Times New Roman" w:cs="Times New Roman"/>
          <w:sz w:val="22"/>
          <w:szCs w:val="22"/>
        </w:rPr>
        <w:t xml:space="preserve">. Peels were obtained (destructive harvesting) from 3 fruits each day to </w:t>
      </w:r>
      <w:r w:rsidR="00674F5B" w:rsidRPr="00016E5F">
        <w:rPr>
          <w:rFonts w:ascii="Times New Roman" w:hAnsi="Times New Roman" w:cs="Times New Roman"/>
          <w:sz w:val="22"/>
          <w:szCs w:val="22"/>
        </w:rPr>
        <w:t>extract</w:t>
      </w:r>
      <w:r w:rsidRPr="00016E5F">
        <w:rPr>
          <w:rFonts w:ascii="Times New Roman" w:hAnsi="Times New Roman" w:cs="Times New Roman"/>
          <w:sz w:val="22"/>
          <w:szCs w:val="22"/>
        </w:rPr>
        <w:t xml:space="preserve"> antifungal </w:t>
      </w:r>
      <w:proofErr w:type="spellStart"/>
      <w:r w:rsidR="00914075">
        <w:rPr>
          <w:rFonts w:ascii="Times New Roman" w:hAnsi="Times New Roman" w:cs="Times New Roman"/>
          <w:sz w:val="22"/>
          <w:szCs w:val="22"/>
        </w:rPr>
        <w:t>gallotannin</w:t>
      </w:r>
      <w:r w:rsidRPr="00016E5F">
        <w:rPr>
          <w:rFonts w:ascii="Times New Roman" w:hAnsi="Times New Roman" w:cs="Times New Roman"/>
          <w:sz w:val="22"/>
          <w:szCs w:val="22"/>
        </w:rPr>
        <w:t>s</w:t>
      </w:r>
      <w:proofErr w:type="spellEnd"/>
      <w:r w:rsidRPr="00016E5F">
        <w:rPr>
          <w:rFonts w:ascii="Times New Roman" w:hAnsi="Times New Roman" w:cs="Times New Roman"/>
          <w:sz w:val="22"/>
          <w:szCs w:val="22"/>
        </w:rPr>
        <w:t xml:space="preserve">. </w:t>
      </w:r>
    </w:p>
    <w:p w14:paraId="0DA499BD" w14:textId="77777777" w:rsidR="00D02611" w:rsidRPr="00016E5F" w:rsidRDefault="00D02611" w:rsidP="00E1418C">
      <w:pPr>
        <w:spacing w:line="480" w:lineRule="auto"/>
        <w:jc w:val="both"/>
        <w:rPr>
          <w:rFonts w:ascii="Times New Roman" w:hAnsi="Times New Roman" w:cs="Times New Roman"/>
          <w:sz w:val="22"/>
          <w:szCs w:val="22"/>
        </w:rPr>
      </w:pPr>
    </w:p>
    <w:p w14:paraId="4A79DFEA" w14:textId="375C2765" w:rsidR="00D02611" w:rsidRPr="00016E5F" w:rsidRDefault="00B02C2C" w:rsidP="00E1418C">
      <w:pPr>
        <w:pStyle w:val="BodyText"/>
        <w:tabs>
          <w:tab w:val="left" w:pos="-180"/>
          <w:tab w:val="left" w:pos="540"/>
        </w:tabs>
        <w:spacing w:line="480" w:lineRule="auto"/>
        <w:jc w:val="both"/>
        <w:rPr>
          <w:bCs/>
          <w:sz w:val="22"/>
          <w:szCs w:val="22"/>
        </w:rPr>
      </w:pPr>
      <w:r w:rsidRPr="00016E5F">
        <w:rPr>
          <w:bCs/>
          <w:sz w:val="22"/>
          <w:szCs w:val="22"/>
        </w:rPr>
        <w:t xml:space="preserve">2.2 </w:t>
      </w:r>
      <w:r w:rsidR="00D02611" w:rsidRPr="00016E5F">
        <w:rPr>
          <w:bCs/>
          <w:sz w:val="22"/>
          <w:szCs w:val="22"/>
        </w:rPr>
        <w:t>Inoculation for anthracnose</w:t>
      </w:r>
    </w:p>
    <w:p w14:paraId="6EF494DC" w14:textId="502C75A7" w:rsidR="00D02611" w:rsidRPr="00016E5F" w:rsidRDefault="00D02611" w:rsidP="00E1418C">
      <w:pPr>
        <w:pStyle w:val="BodyText"/>
        <w:tabs>
          <w:tab w:val="left" w:pos="-180"/>
          <w:tab w:val="left" w:pos="540"/>
        </w:tabs>
        <w:spacing w:line="480" w:lineRule="auto"/>
        <w:jc w:val="both"/>
        <w:rPr>
          <w:sz w:val="22"/>
          <w:szCs w:val="22"/>
        </w:rPr>
      </w:pPr>
      <w:r w:rsidRPr="00016E5F">
        <w:rPr>
          <w:sz w:val="22"/>
          <w:szCs w:val="22"/>
        </w:rPr>
        <w:t>A suspension of conidia (10</w:t>
      </w:r>
      <w:r w:rsidRPr="00016E5F">
        <w:rPr>
          <w:sz w:val="22"/>
          <w:szCs w:val="22"/>
          <w:vertAlign w:val="superscript"/>
        </w:rPr>
        <w:t xml:space="preserve">5 </w:t>
      </w:r>
      <w:r w:rsidRPr="00016E5F">
        <w:rPr>
          <w:sz w:val="22"/>
          <w:szCs w:val="22"/>
        </w:rPr>
        <w:t xml:space="preserve">conidia/ml) of </w:t>
      </w:r>
      <w:r w:rsidRPr="00016E5F">
        <w:rPr>
          <w:i/>
          <w:sz w:val="22"/>
          <w:szCs w:val="22"/>
        </w:rPr>
        <w:t xml:space="preserve">C. </w:t>
      </w:r>
      <w:proofErr w:type="spellStart"/>
      <w:r w:rsidRPr="00016E5F">
        <w:rPr>
          <w:i/>
          <w:sz w:val="22"/>
          <w:szCs w:val="22"/>
        </w:rPr>
        <w:t>gloeosporioides</w:t>
      </w:r>
      <w:proofErr w:type="spellEnd"/>
      <w:r w:rsidRPr="00016E5F">
        <w:rPr>
          <w:sz w:val="22"/>
          <w:szCs w:val="22"/>
        </w:rPr>
        <w:t xml:space="preserve"> was prepared</w:t>
      </w:r>
      <w:r w:rsidR="001A0E59" w:rsidRPr="00016E5F">
        <w:rPr>
          <w:sz w:val="22"/>
          <w:szCs w:val="22"/>
        </w:rPr>
        <w:t xml:space="preserve"> </w:t>
      </w:r>
      <w:r w:rsidR="00222A71" w:rsidRPr="00016E5F">
        <w:rPr>
          <w:sz w:val="22"/>
          <w:szCs w:val="22"/>
        </w:rPr>
        <w:t>[2]</w:t>
      </w:r>
      <w:r w:rsidRPr="00016E5F">
        <w:rPr>
          <w:sz w:val="22"/>
          <w:szCs w:val="22"/>
        </w:rPr>
        <w:t xml:space="preserve">.  </w:t>
      </w:r>
      <w:r w:rsidR="00674F5B" w:rsidRPr="00016E5F">
        <w:rPr>
          <w:sz w:val="22"/>
          <w:szCs w:val="22"/>
        </w:rPr>
        <w:t>Six f</w:t>
      </w:r>
      <w:r w:rsidRPr="00016E5F">
        <w:rPr>
          <w:sz w:val="22"/>
          <w:szCs w:val="22"/>
        </w:rPr>
        <w:t xml:space="preserve">ruits </w:t>
      </w:r>
      <w:r w:rsidR="00674F5B" w:rsidRPr="00016E5F">
        <w:rPr>
          <w:sz w:val="22"/>
          <w:szCs w:val="22"/>
        </w:rPr>
        <w:t xml:space="preserve">of equal dimensions at harvesting maturity </w:t>
      </w:r>
      <w:r w:rsidRPr="00016E5F">
        <w:rPr>
          <w:sz w:val="22"/>
          <w:szCs w:val="22"/>
        </w:rPr>
        <w:t xml:space="preserve">were selected </w:t>
      </w:r>
      <w:r w:rsidR="00674F5B" w:rsidRPr="00016E5F">
        <w:rPr>
          <w:sz w:val="22"/>
          <w:szCs w:val="22"/>
        </w:rPr>
        <w:t xml:space="preserve">for inoculation. Fruits were </w:t>
      </w:r>
      <w:r w:rsidRPr="00016E5F">
        <w:rPr>
          <w:sz w:val="22"/>
          <w:szCs w:val="22"/>
        </w:rPr>
        <w:t>surface disinfected with 70 % alcohol and then allo</w:t>
      </w:r>
      <w:r w:rsidR="00B02C2C" w:rsidRPr="00016E5F">
        <w:rPr>
          <w:sz w:val="22"/>
          <w:szCs w:val="22"/>
        </w:rPr>
        <w:t>wed to air dry.  Three drops (20</w:t>
      </w:r>
      <w:r w:rsidRPr="00016E5F">
        <w:rPr>
          <w:sz w:val="22"/>
          <w:szCs w:val="22"/>
        </w:rPr>
        <w:t xml:space="preserve"> </w:t>
      </w:r>
      <w:proofErr w:type="spellStart"/>
      <w:r w:rsidRPr="00016E5F">
        <w:rPr>
          <w:sz w:val="22"/>
          <w:szCs w:val="22"/>
        </w:rPr>
        <w:t>μl</w:t>
      </w:r>
      <w:proofErr w:type="spellEnd"/>
      <w:r w:rsidRPr="00016E5F">
        <w:rPr>
          <w:sz w:val="22"/>
          <w:szCs w:val="22"/>
        </w:rPr>
        <w:t xml:space="preserve"> each) of the suspension of conidia were placed on the surface, along the long axis, of each fruit and the area around each drop was marked with an ink pen.  After inoculation </w:t>
      </w:r>
      <w:r w:rsidR="00674F5B" w:rsidRPr="00016E5F">
        <w:rPr>
          <w:sz w:val="22"/>
          <w:szCs w:val="22"/>
        </w:rPr>
        <w:t xml:space="preserve">fruits were placed in </w:t>
      </w:r>
      <w:r w:rsidRPr="00016E5F">
        <w:rPr>
          <w:sz w:val="22"/>
          <w:szCs w:val="22"/>
        </w:rPr>
        <w:t>moist chamber</w:t>
      </w:r>
      <w:r w:rsidR="00674F5B" w:rsidRPr="00016E5F">
        <w:rPr>
          <w:sz w:val="22"/>
          <w:szCs w:val="22"/>
        </w:rPr>
        <w:t>s</w:t>
      </w:r>
      <w:r w:rsidRPr="00016E5F">
        <w:rPr>
          <w:sz w:val="22"/>
          <w:szCs w:val="22"/>
        </w:rPr>
        <w:t xml:space="preserve">.     </w:t>
      </w:r>
      <w:r w:rsidR="00370D41" w:rsidRPr="00016E5F">
        <w:rPr>
          <w:sz w:val="22"/>
          <w:szCs w:val="22"/>
        </w:rPr>
        <w:t xml:space="preserve">Once anthracnose lesions developed, the diameter </w:t>
      </w:r>
      <w:r w:rsidR="00370D41" w:rsidRPr="00016E5F">
        <w:rPr>
          <w:sz w:val="22"/>
          <w:szCs w:val="22"/>
        </w:rPr>
        <w:lastRenderedPageBreak/>
        <w:t xml:space="preserve">of lesions was taken (in mm) using a ruler on two axis at right angles to each other. The average value was obtained and used to calculate the disease area. </w:t>
      </w:r>
    </w:p>
    <w:p w14:paraId="02DB02C9" w14:textId="77777777" w:rsidR="00736602" w:rsidRPr="00016E5F" w:rsidRDefault="00736602" w:rsidP="00E1418C">
      <w:pPr>
        <w:pStyle w:val="BodyText"/>
        <w:tabs>
          <w:tab w:val="left" w:pos="-180"/>
          <w:tab w:val="left" w:pos="540"/>
        </w:tabs>
        <w:spacing w:line="480" w:lineRule="auto"/>
        <w:jc w:val="both"/>
        <w:rPr>
          <w:sz w:val="22"/>
          <w:szCs w:val="22"/>
        </w:rPr>
      </w:pPr>
    </w:p>
    <w:p w14:paraId="214A3FC7" w14:textId="5C5DB295" w:rsidR="00AB0062" w:rsidRPr="00016E5F" w:rsidRDefault="00B02C2C"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2.3 </w:t>
      </w:r>
      <w:r w:rsidR="00AB0062" w:rsidRPr="00016E5F">
        <w:rPr>
          <w:rFonts w:ascii="Times New Roman" w:hAnsi="Times New Roman" w:cs="Times New Roman"/>
          <w:sz w:val="22"/>
          <w:szCs w:val="22"/>
        </w:rPr>
        <w:t>Extraction for antifungal compounds</w:t>
      </w:r>
    </w:p>
    <w:p w14:paraId="2E3D941C" w14:textId="2E848BC2" w:rsidR="00780954" w:rsidRPr="00016E5F" w:rsidRDefault="00E62581"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Healthy florets (10 grams) were extracted in </w:t>
      </w:r>
      <w:proofErr w:type="spellStart"/>
      <w:proofErr w:type="gramStart"/>
      <w:r w:rsidRPr="00016E5F">
        <w:rPr>
          <w:rFonts w:ascii="Times New Roman" w:hAnsi="Times New Roman" w:cs="Times New Roman"/>
          <w:sz w:val="22"/>
          <w:szCs w:val="22"/>
        </w:rPr>
        <w:t>dichloromethanol:methanol</w:t>
      </w:r>
      <w:proofErr w:type="spellEnd"/>
      <w:proofErr w:type="gramEnd"/>
      <w:r w:rsidRPr="00016E5F">
        <w:rPr>
          <w:rFonts w:ascii="Times New Roman" w:hAnsi="Times New Roman" w:cs="Times New Roman"/>
          <w:sz w:val="22"/>
          <w:szCs w:val="22"/>
        </w:rPr>
        <w:t xml:space="preserve"> (1:1, v/v) (100 ml) by vacuum infiltration.  Extracting, partitioning and subsequent drying of each phase (dichloromethane phase and aqueous methanol phase) were carried out </w:t>
      </w:r>
      <w:r w:rsidR="00AB0062" w:rsidRPr="00016E5F">
        <w:rPr>
          <w:rFonts w:ascii="Times New Roman" w:hAnsi="Times New Roman" w:cs="Times New Roman"/>
          <w:sz w:val="22"/>
          <w:szCs w:val="22"/>
        </w:rPr>
        <w:t xml:space="preserve">as described in literature </w:t>
      </w:r>
      <w:r w:rsidR="00272B45" w:rsidRPr="00016E5F">
        <w:rPr>
          <w:rFonts w:ascii="Times New Roman" w:hAnsi="Times New Roman" w:cs="Times New Roman"/>
          <w:sz w:val="22"/>
          <w:szCs w:val="22"/>
        </w:rPr>
        <w:t>[2, 9</w:t>
      </w:r>
      <w:r w:rsidR="00222A71" w:rsidRPr="00016E5F">
        <w:rPr>
          <w:rFonts w:ascii="Times New Roman" w:hAnsi="Times New Roman" w:cs="Times New Roman"/>
          <w:sz w:val="22"/>
          <w:szCs w:val="22"/>
        </w:rPr>
        <w:t>]</w:t>
      </w:r>
      <w:r w:rsidRPr="00016E5F">
        <w:rPr>
          <w:rFonts w:ascii="Times New Roman" w:hAnsi="Times New Roman" w:cs="Times New Roman"/>
          <w:sz w:val="22"/>
          <w:szCs w:val="22"/>
        </w:rPr>
        <w:t>.</w:t>
      </w:r>
      <w:r w:rsidRPr="00016E5F">
        <w:rPr>
          <w:rFonts w:ascii="Times New Roman" w:hAnsi="Times New Roman" w:cs="Times New Roman"/>
          <w:color w:val="FF00FF"/>
          <w:sz w:val="22"/>
          <w:szCs w:val="22"/>
        </w:rPr>
        <w:t xml:space="preserve">  </w:t>
      </w:r>
      <w:r w:rsidRPr="00016E5F">
        <w:rPr>
          <w:rFonts w:ascii="Times New Roman" w:hAnsi="Times New Roman" w:cs="Times New Roman"/>
          <w:sz w:val="22"/>
          <w:szCs w:val="22"/>
        </w:rPr>
        <w:t>The same procedure was fol</w:t>
      </w:r>
      <w:r w:rsidR="007B669A" w:rsidRPr="00016E5F">
        <w:rPr>
          <w:rFonts w:ascii="Times New Roman" w:hAnsi="Times New Roman" w:cs="Times New Roman"/>
          <w:sz w:val="22"/>
          <w:szCs w:val="22"/>
        </w:rPr>
        <w:t>lowed for</w:t>
      </w:r>
      <w:r w:rsidR="00780954" w:rsidRPr="00016E5F">
        <w:rPr>
          <w:rFonts w:ascii="Times New Roman" w:hAnsi="Times New Roman" w:cs="Times New Roman"/>
          <w:sz w:val="22"/>
          <w:szCs w:val="22"/>
        </w:rPr>
        <w:t xml:space="preserve"> flush, mature leaves and</w:t>
      </w:r>
      <w:r w:rsidR="007B669A" w:rsidRPr="00016E5F">
        <w:rPr>
          <w:rFonts w:ascii="Times New Roman" w:hAnsi="Times New Roman" w:cs="Times New Roman"/>
          <w:sz w:val="22"/>
          <w:szCs w:val="22"/>
        </w:rPr>
        <w:t xml:space="preserve"> peel </w:t>
      </w:r>
      <w:r w:rsidR="00780954" w:rsidRPr="00016E5F">
        <w:rPr>
          <w:rFonts w:ascii="Times New Roman" w:hAnsi="Times New Roman" w:cs="Times New Roman"/>
          <w:sz w:val="22"/>
          <w:szCs w:val="22"/>
        </w:rPr>
        <w:t xml:space="preserve">of </w:t>
      </w:r>
      <w:r w:rsidRPr="00016E5F">
        <w:rPr>
          <w:rFonts w:ascii="Times New Roman" w:hAnsi="Times New Roman" w:cs="Times New Roman"/>
          <w:sz w:val="22"/>
          <w:szCs w:val="22"/>
        </w:rPr>
        <w:t>fruit</w:t>
      </w:r>
      <w:r w:rsidR="007B669A" w:rsidRPr="00016E5F">
        <w:rPr>
          <w:rFonts w:ascii="Times New Roman" w:hAnsi="Times New Roman" w:cs="Times New Roman"/>
          <w:sz w:val="22"/>
          <w:szCs w:val="22"/>
        </w:rPr>
        <w:t>s</w:t>
      </w:r>
      <w:r w:rsidR="00674F5B" w:rsidRPr="00016E5F">
        <w:rPr>
          <w:rFonts w:ascii="Times New Roman" w:hAnsi="Times New Roman" w:cs="Times New Roman"/>
          <w:sz w:val="22"/>
          <w:szCs w:val="22"/>
        </w:rPr>
        <w:t xml:space="preserve">. </w:t>
      </w:r>
      <w:r w:rsidR="007B669A" w:rsidRPr="00016E5F">
        <w:rPr>
          <w:rFonts w:ascii="Times New Roman" w:hAnsi="Times New Roman" w:cs="Times New Roman"/>
          <w:sz w:val="22"/>
          <w:szCs w:val="22"/>
        </w:rPr>
        <w:t xml:space="preserve"> </w:t>
      </w:r>
      <w:r w:rsidR="00CE0D33" w:rsidRPr="00016E5F">
        <w:rPr>
          <w:rFonts w:ascii="Times New Roman" w:hAnsi="Times New Roman" w:cs="Times New Roman"/>
          <w:sz w:val="22"/>
          <w:szCs w:val="22"/>
        </w:rPr>
        <w:t>Peels were obtained on days 1, 3, 5, 7 and 9</w:t>
      </w:r>
      <w:r w:rsidR="000B2D73" w:rsidRPr="00016E5F">
        <w:rPr>
          <w:rFonts w:ascii="Times New Roman" w:hAnsi="Times New Roman" w:cs="Times New Roman"/>
          <w:sz w:val="22"/>
          <w:szCs w:val="22"/>
        </w:rPr>
        <w:t xml:space="preserve"> after harvest. </w:t>
      </w:r>
    </w:p>
    <w:p w14:paraId="74DC2BF9" w14:textId="77777777" w:rsidR="00A75274" w:rsidRPr="00016E5F" w:rsidRDefault="00A75274" w:rsidP="00E1418C">
      <w:pPr>
        <w:spacing w:line="480" w:lineRule="auto"/>
        <w:jc w:val="both"/>
        <w:rPr>
          <w:rFonts w:ascii="Times New Roman" w:hAnsi="Times New Roman" w:cs="Times New Roman"/>
          <w:sz w:val="22"/>
          <w:szCs w:val="22"/>
        </w:rPr>
      </w:pPr>
    </w:p>
    <w:p w14:paraId="226A16C3" w14:textId="3D1598CD" w:rsidR="00A75274" w:rsidRPr="00016E5F" w:rsidRDefault="00B02C2C"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2.4 </w:t>
      </w:r>
      <w:r w:rsidR="00A75274" w:rsidRPr="00016E5F">
        <w:rPr>
          <w:rFonts w:ascii="Times New Roman" w:hAnsi="Times New Roman" w:cs="Times New Roman"/>
          <w:sz w:val="22"/>
          <w:szCs w:val="22"/>
        </w:rPr>
        <w:t>TLC bio-assay for antifungal compounds</w:t>
      </w:r>
    </w:p>
    <w:p w14:paraId="0E480ED6" w14:textId="4FF54804" w:rsidR="00E62581" w:rsidRPr="00016E5F" w:rsidRDefault="00E62581"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 xml:space="preserve">An amount of crude extract equivalent to 0.5 grams fresh weight tissue of the </w:t>
      </w:r>
      <w:r w:rsidR="00A75274" w:rsidRPr="00016E5F">
        <w:rPr>
          <w:rFonts w:ascii="Times New Roman" w:hAnsi="Times New Roman" w:cs="Times New Roman"/>
          <w:sz w:val="22"/>
          <w:szCs w:val="22"/>
        </w:rPr>
        <w:t>aqueous methanol</w:t>
      </w:r>
      <w:r w:rsidRPr="00016E5F">
        <w:rPr>
          <w:rFonts w:ascii="Times New Roman" w:hAnsi="Times New Roman" w:cs="Times New Roman"/>
          <w:sz w:val="22"/>
          <w:szCs w:val="22"/>
        </w:rPr>
        <w:t xml:space="preserve"> phase of each extract </w:t>
      </w:r>
      <w:r w:rsidR="00A75274" w:rsidRPr="00016E5F">
        <w:rPr>
          <w:rFonts w:ascii="Times New Roman" w:hAnsi="Times New Roman" w:cs="Times New Roman"/>
          <w:sz w:val="22"/>
          <w:szCs w:val="22"/>
        </w:rPr>
        <w:t xml:space="preserve">reported to contain antifungal </w:t>
      </w:r>
      <w:proofErr w:type="spellStart"/>
      <w:r w:rsidR="00A75274" w:rsidRPr="00016E5F">
        <w:rPr>
          <w:rFonts w:ascii="Times New Roman" w:hAnsi="Times New Roman" w:cs="Times New Roman"/>
          <w:sz w:val="22"/>
          <w:szCs w:val="22"/>
        </w:rPr>
        <w:t>gallotannins</w:t>
      </w:r>
      <w:proofErr w:type="spellEnd"/>
      <w:r w:rsidR="00A75274" w:rsidRPr="00016E5F">
        <w:rPr>
          <w:rFonts w:ascii="Times New Roman" w:hAnsi="Times New Roman" w:cs="Times New Roman"/>
          <w:sz w:val="22"/>
          <w:szCs w:val="22"/>
        </w:rPr>
        <w:t xml:space="preserve"> </w:t>
      </w:r>
      <w:r w:rsidRPr="00016E5F">
        <w:rPr>
          <w:rFonts w:ascii="Times New Roman" w:hAnsi="Times New Roman" w:cs="Times New Roman"/>
          <w:sz w:val="22"/>
          <w:szCs w:val="22"/>
        </w:rPr>
        <w:t xml:space="preserve">was subjected to the TLC bioassay using </w:t>
      </w:r>
      <w:r w:rsidRPr="00016E5F">
        <w:rPr>
          <w:rFonts w:ascii="Times New Roman" w:hAnsi="Times New Roman" w:cs="Times New Roman"/>
          <w:i/>
          <w:sz w:val="22"/>
          <w:szCs w:val="22"/>
        </w:rPr>
        <w:t>Cladosporium</w:t>
      </w:r>
      <w:r w:rsidRPr="00016E5F">
        <w:rPr>
          <w:rFonts w:ascii="Times New Roman" w:hAnsi="Times New Roman" w:cs="Times New Roman"/>
          <w:sz w:val="22"/>
          <w:szCs w:val="22"/>
        </w:rPr>
        <w:t xml:space="preserve"> sp. as the assay organism </w:t>
      </w:r>
      <w:r w:rsidR="00272B45" w:rsidRPr="00016E5F">
        <w:rPr>
          <w:rFonts w:ascii="Times New Roman" w:hAnsi="Times New Roman" w:cs="Times New Roman"/>
          <w:sz w:val="22"/>
          <w:szCs w:val="22"/>
        </w:rPr>
        <w:t>[2</w:t>
      </w:r>
      <w:r w:rsidR="00690AFF">
        <w:rPr>
          <w:rFonts w:ascii="Times New Roman" w:hAnsi="Times New Roman" w:cs="Times New Roman"/>
          <w:sz w:val="22"/>
          <w:szCs w:val="22"/>
        </w:rPr>
        <w:t>, 3</w:t>
      </w:r>
      <w:r w:rsidR="00272B45" w:rsidRPr="00016E5F">
        <w:rPr>
          <w:rFonts w:ascii="Times New Roman" w:hAnsi="Times New Roman" w:cs="Times New Roman"/>
          <w:sz w:val="22"/>
          <w:szCs w:val="22"/>
        </w:rPr>
        <w:t>]</w:t>
      </w:r>
      <w:r w:rsidR="00A75274" w:rsidRPr="00016E5F">
        <w:rPr>
          <w:rFonts w:ascii="Times New Roman" w:hAnsi="Times New Roman" w:cs="Times New Roman"/>
          <w:sz w:val="22"/>
          <w:szCs w:val="22"/>
        </w:rPr>
        <w:t>.  A</w:t>
      </w:r>
      <w:r w:rsidRPr="00016E5F">
        <w:rPr>
          <w:rFonts w:ascii="Times New Roman" w:hAnsi="Times New Roman" w:cs="Times New Roman"/>
          <w:sz w:val="22"/>
          <w:szCs w:val="22"/>
        </w:rPr>
        <w:t xml:space="preserve">reas of inhibition corresponding to </w:t>
      </w:r>
      <w:proofErr w:type="spellStart"/>
      <w:r w:rsidR="00EC109B">
        <w:rPr>
          <w:rFonts w:ascii="Times New Roman" w:hAnsi="Times New Roman" w:cs="Times New Roman"/>
          <w:sz w:val="22"/>
          <w:szCs w:val="22"/>
        </w:rPr>
        <w:t>gallotannin</w:t>
      </w:r>
      <w:proofErr w:type="spellEnd"/>
      <w:r w:rsidR="00EC109B">
        <w:rPr>
          <w:rFonts w:ascii="Times New Roman" w:hAnsi="Times New Roman" w:cs="Times New Roman"/>
          <w:sz w:val="22"/>
          <w:szCs w:val="22"/>
        </w:rPr>
        <w:t xml:space="preserve"> </w:t>
      </w:r>
      <w:r w:rsidRPr="00016E5F">
        <w:rPr>
          <w:rFonts w:ascii="Times New Roman" w:hAnsi="Times New Roman" w:cs="Times New Roman"/>
          <w:sz w:val="22"/>
          <w:szCs w:val="22"/>
        </w:rPr>
        <w:t xml:space="preserve">antifungal activity </w:t>
      </w:r>
      <w:r w:rsidR="00A75274" w:rsidRPr="00016E5F">
        <w:rPr>
          <w:rFonts w:ascii="Times New Roman" w:hAnsi="Times New Roman" w:cs="Times New Roman"/>
          <w:sz w:val="22"/>
          <w:szCs w:val="22"/>
        </w:rPr>
        <w:t xml:space="preserve">at Rf 0.00 </w:t>
      </w:r>
      <w:r w:rsidR="00EC109B">
        <w:rPr>
          <w:rFonts w:ascii="Times New Roman" w:hAnsi="Times New Roman" w:cs="Times New Roman"/>
          <w:sz w:val="22"/>
          <w:szCs w:val="22"/>
        </w:rPr>
        <w:t xml:space="preserve">[2, 3] </w:t>
      </w:r>
      <w:r w:rsidRPr="00016E5F">
        <w:rPr>
          <w:rFonts w:ascii="Times New Roman" w:hAnsi="Times New Roman" w:cs="Times New Roman"/>
          <w:sz w:val="22"/>
          <w:szCs w:val="22"/>
        </w:rPr>
        <w:t>were observed following 48 hours incubation</w:t>
      </w:r>
      <w:r w:rsidR="00A75274" w:rsidRPr="00016E5F">
        <w:rPr>
          <w:rFonts w:ascii="Times New Roman" w:hAnsi="Times New Roman" w:cs="Times New Roman"/>
          <w:sz w:val="22"/>
          <w:szCs w:val="22"/>
        </w:rPr>
        <w:t xml:space="preserve"> of TLC plates</w:t>
      </w:r>
      <w:r w:rsidRPr="00016E5F">
        <w:rPr>
          <w:rFonts w:ascii="Times New Roman" w:hAnsi="Times New Roman" w:cs="Times New Roman"/>
          <w:sz w:val="22"/>
          <w:szCs w:val="22"/>
        </w:rPr>
        <w:t xml:space="preserve">. </w:t>
      </w:r>
    </w:p>
    <w:p w14:paraId="74EC1237" w14:textId="79CEF041" w:rsidR="00AD4F35" w:rsidRPr="00016E5F" w:rsidRDefault="00AD4F35" w:rsidP="00E1418C">
      <w:pPr>
        <w:pStyle w:val="BodyText"/>
        <w:spacing w:line="480" w:lineRule="auto"/>
        <w:jc w:val="both"/>
        <w:rPr>
          <w:sz w:val="22"/>
          <w:szCs w:val="22"/>
        </w:rPr>
      </w:pPr>
      <w:r w:rsidRPr="00016E5F">
        <w:rPr>
          <w:sz w:val="22"/>
          <w:szCs w:val="22"/>
          <w:u w:val="single"/>
        </w:rPr>
        <w:t>Assessing antifungal activity</w:t>
      </w:r>
      <w:r w:rsidRPr="00016E5F">
        <w:rPr>
          <w:i/>
          <w:sz w:val="22"/>
          <w:szCs w:val="22"/>
        </w:rPr>
        <w:t xml:space="preserve"> </w:t>
      </w:r>
      <w:r w:rsidRPr="00016E5F">
        <w:rPr>
          <w:sz w:val="22"/>
          <w:szCs w:val="22"/>
        </w:rPr>
        <w:t xml:space="preserve">– antifungal activity of the inhibition zone was assessed by obtaining the area corresponding to </w:t>
      </w:r>
      <w:r w:rsidR="00B02C2C" w:rsidRPr="00016E5F">
        <w:rPr>
          <w:sz w:val="22"/>
          <w:szCs w:val="22"/>
        </w:rPr>
        <w:t xml:space="preserve">the zone of no growth or inhibition zone </w:t>
      </w:r>
      <w:r w:rsidR="001A0E59" w:rsidRPr="00016E5F">
        <w:rPr>
          <w:sz w:val="22"/>
          <w:szCs w:val="22"/>
        </w:rPr>
        <w:t>at Rf 0.00</w:t>
      </w:r>
      <w:r w:rsidRPr="00016E5F">
        <w:rPr>
          <w:sz w:val="22"/>
          <w:szCs w:val="22"/>
        </w:rPr>
        <w:t>.  A transparent graph paper with 1 mm</w:t>
      </w:r>
      <w:r w:rsidRPr="00016E5F">
        <w:rPr>
          <w:sz w:val="22"/>
          <w:szCs w:val="22"/>
          <w:vertAlign w:val="superscript"/>
        </w:rPr>
        <w:t>2</w:t>
      </w:r>
      <w:r w:rsidRPr="00016E5F">
        <w:rPr>
          <w:sz w:val="22"/>
          <w:szCs w:val="22"/>
        </w:rPr>
        <w:t xml:space="preserve"> squares was placed over the zone of inhibition and the area was marked on the graph paper.  The number of squares occupying the area was equivalent to the inhibition area</w:t>
      </w:r>
      <w:r w:rsidR="001A0E59" w:rsidRPr="00016E5F">
        <w:rPr>
          <w:sz w:val="22"/>
          <w:szCs w:val="22"/>
        </w:rPr>
        <w:t xml:space="preserve"> and this area is proportional to the amount of antifungal activity</w:t>
      </w:r>
      <w:r w:rsidR="00272B45" w:rsidRPr="00016E5F">
        <w:rPr>
          <w:sz w:val="22"/>
          <w:szCs w:val="22"/>
        </w:rPr>
        <w:t xml:space="preserve"> [2</w:t>
      </w:r>
      <w:r w:rsidR="00690AFF">
        <w:rPr>
          <w:sz w:val="22"/>
          <w:szCs w:val="22"/>
        </w:rPr>
        <w:t>, 3</w:t>
      </w:r>
      <w:r w:rsidR="00272B45" w:rsidRPr="00016E5F">
        <w:rPr>
          <w:sz w:val="22"/>
          <w:szCs w:val="22"/>
        </w:rPr>
        <w:t>]</w:t>
      </w:r>
      <w:r w:rsidRPr="00016E5F">
        <w:rPr>
          <w:sz w:val="22"/>
          <w:szCs w:val="22"/>
        </w:rPr>
        <w:t>.</w:t>
      </w:r>
    </w:p>
    <w:p w14:paraId="6E806553" w14:textId="77777777" w:rsidR="00A75274" w:rsidRPr="00016E5F" w:rsidRDefault="00A75274" w:rsidP="00E1418C">
      <w:pPr>
        <w:pStyle w:val="BodyText"/>
        <w:spacing w:line="480" w:lineRule="auto"/>
        <w:jc w:val="both"/>
        <w:rPr>
          <w:sz w:val="22"/>
          <w:szCs w:val="22"/>
        </w:rPr>
      </w:pPr>
    </w:p>
    <w:p w14:paraId="1A5B7C7C" w14:textId="35EEFC07" w:rsidR="00A75274" w:rsidRPr="00016E5F" w:rsidRDefault="00B02C2C" w:rsidP="00E1418C">
      <w:pPr>
        <w:pStyle w:val="BodyText"/>
        <w:spacing w:line="480" w:lineRule="auto"/>
        <w:jc w:val="both"/>
        <w:rPr>
          <w:sz w:val="22"/>
          <w:szCs w:val="22"/>
        </w:rPr>
      </w:pPr>
      <w:r w:rsidRPr="00016E5F">
        <w:rPr>
          <w:sz w:val="22"/>
          <w:szCs w:val="22"/>
        </w:rPr>
        <w:t xml:space="preserve">2.5 </w:t>
      </w:r>
      <w:r w:rsidR="00A75274" w:rsidRPr="00016E5F">
        <w:rPr>
          <w:sz w:val="22"/>
          <w:szCs w:val="22"/>
        </w:rPr>
        <w:t>Statistical analysis</w:t>
      </w:r>
    </w:p>
    <w:p w14:paraId="4EBC19A3" w14:textId="5CC7A7BF" w:rsidR="00A75274" w:rsidRPr="00016E5F" w:rsidRDefault="00A75274" w:rsidP="00E1418C">
      <w:pPr>
        <w:pStyle w:val="BodyText"/>
        <w:spacing w:line="480" w:lineRule="auto"/>
        <w:jc w:val="both"/>
        <w:rPr>
          <w:sz w:val="22"/>
          <w:szCs w:val="22"/>
        </w:rPr>
      </w:pPr>
      <w:r w:rsidRPr="00016E5F">
        <w:rPr>
          <w:sz w:val="22"/>
          <w:szCs w:val="22"/>
        </w:rPr>
        <w:t xml:space="preserve">The experiment was performed three times and data were </w:t>
      </w:r>
      <w:proofErr w:type="spellStart"/>
      <w:r w:rsidRPr="00016E5F">
        <w:rPr>
          <w:sz w:val="22"/>
          <w:szCs w:val="22"/>
        </w:rPr>
        <w:t>analysed</w:t>
      </w:r>
      <w:proofErr w:type="spellEnd"/>
      <w:r w:rsidRPr="00016E5F">
        <w:rPr>
          <w:sz w:val="22"/>
          <w:szCs w:val="22"/>
        </w:rPr>
        <w:t xml:space="preserve"> for variance in a completely randomized design at the 5% probability level, using Minitab 11 for Windows.</w:t>
      </w:r>
    </w:p>
    <w:p w14:paraId="307C31E5" w14:textId="6151A159" w:rsidR="002850EB" w:rsidRPr="00690AFF" w:rsidRDefault="00690AFF" w:rsidP="00E1418C">
      <w:pPr>
        <w:pStyle w:val="ListParagraph"/>
        <w:numPr>
          <w:ilvl w:val="0"/>
          <w:numId w:val="1"/>
        </w:numPr>
        <w:spacing w:line="480" w:lineRule="auto"/>
        <w:jc w:val="both"/>
        <w:rPr>
          <w:rFonts w:ascii="Times New Roman" w:hAnsi="Times New Roman" w:cs="Times New Roman"/>
          <w:b/>
          <w:sz w:val="22"/>
          <w:szCs w:val="22"/>
        </w:rPr>
      </w:pPr>
      <w:r w:rsidRPr="00690AFF">
        <w:rPr>
          <w:rFonts w:ascii="Times New Roman" w:hAnsi="Times New Roman" w:cs="Times New Roman"/>
          <w:b/>
          <w:sz w:val="22"/>
          <w:szCs w:val="22"/>
        </w:rPr>
        <w:lastRenderedPageBreak/>
        <w:t xml:space="preserve">RESULTS AND DISCUSSION </w:t>
      </w:r>
    </w:p>
    <w:p w14:paraId="0F24452C" w14:textId="7A68AF39" w:rsidR="002850EB" w:rsidRPr="0022582D" w:rsidRDefault="002850EB" w:rsidP="00E1418C">
      <w:pPr>
        <w:spacing w:line="480" w:lineRule="auto"/>
        <w:ind w:left="60"/>
        <w:rPr>
          <w:rFonts w:ascii="Times New Roman" w:hAnsi="Times New Roman" w:cs="Times New Roman"/>
          <w:b/>
          <w:sz w:val="22"/>
          <w:szCs w:val="22"/>
        </w:rPr>
      </w:pPr>
      <w:r w:rsidRPr="0022582D">
        <w:rPr>
          <w:rFonts w:ascii="Times New Roman" w:hAnsi="Times New Roman" w:cs="Times New Roman"/>
          <w:b/>
          <w:sz w:val="22"/>
          <w:szCs w:val="22"/>
        </w:rPr>
        <w:t xml:space="preserve">Presence of </w:t>
      </w:r>
      <w:proofErr w:type="spellStart"/>
      <w:r w:rsidRPr="0022582D">
        <w:rPr>
          <w:rFonts w:ascii="Times New Roman" w:hAnsi="Times New Roman" w:cs="Times New Roman"/>
          <w:b/>
          <w:sz w:val="22"/>
          <w:szCs w:val="22"/>
        </w:rPr>
        <w:t>gallotannin</w:t>
      </w:r>
      <w:proofErr w:type="spellEnd"/>
      <w:r w:rsidRPr="0022582D">
        <w:rPr>
          <w:rFonts w:ascii="Times New Roman" w:hAnsi="Times New Roman" w:cs="Times New Roman"/>
          <w:b/>
          <w:sz w:val="22"/>
          <w:szCs w:val="22"/>
        </w:rPr>
        <w:t xml:space="preserve"> antifungal compounds in mango florets and leaves</w:t>
      </w:r>
    </w:p>
    <w:p w14:paraId="7BF7276F" w14:textId="77777777" w:rsidR="00C26C78" w:rsidRPr="00016E5F" w:rsidRDefault="002850EB" w:rsidP="00E1418C">
      <w:pPr>
        <w:pStyle w:val="BodyText"/>
        <w:spacing w:line="480" w:lineRule="auto"/>
        <w:jc w:val="both"/>
        <w:rPr>
          <w:sz w:val="22"/>
          <w:szCs w:val="22"/>
        </w:rPr>
      </w:pPr>
      <w:r w:rsidRPr="00016E5F">
        <w:rPr>
          <w:sz w:val="22"/>
          <w:szCs w:val="22"/>
        </w:rPr>
        <w:t xml:space="preserve">TLC studies showed that </w:t>
      </w:r>
      <w:proofErr w:type="spellStart"/>
      <w:r w:rsidRPr="00016E5F">
        <w:rPr>
          <w:sz w:val="22"/>
          <w:szCs w:val="22"/>
        </w:rPr>
        <w:t>gallotannin</w:t>
      </w:r>
      <w:proofErr w:type="spellEnd"/>
      <w:r w:rsidRPr="00016E5F">
        <w:rPr>
          <w:sz w:val="22"/>
          <w:szCs w:val="22"/>
        </w:rPr>
        <w:t xml:space="preserve"> antifungal compounds (indicated by the inhibition area on TLC at Rf 0.00) were present in mango florets, flush and mature leaves </w:t>
      </w:r>
      <w:r w:rsidR="00C26C78" w:rsidRPr="00016E5F">
        <w:rPr>
          <w:sz w:val="22"/>
          <w:szCs w:val="22"/>
        </w:rPr>
        <w:t>in addition to fruit peel.</w:t>
      </w:r>
    </w:p>
    <w:p w14:paraId="73C4EB80" w14:textId="218A5A28" w:rsidR="00C26C78" w:rsidRPr="00016E5F" w:rsidRDefault="002850EB" w:rsidP="00E1418C">
      <w:pPr>
        <w:spacing w:line="480" w:lineRule="auto"/>
        <w:jc w:val="both"/>
        <w:rPr>
          <w:rFonts w:ascii="Times New Roman" w:hAnsi="Times New Roman" w:cs="Times New Roman"/>
          <w:i/>
          <w:sz w:val="22"/>
          <w:szCs w:val="22"/>
        </w:rPr>
      </w:pPr>
      <w:r w:rsidRPr="00016E5F">
        <w:rPr>
          <w:rFonts w:ascii="Times New Roman" w:hAnsi="Times New Roman" w:cs="Times New Roman"/>
          <w:sz w:val="22"/>
          <w:szCs w:val="22"/>
        </w:rPr>
        <w:t xml:space="preserve">The extracts of reproductive organs such as florets and peel of fruit resulted in significantly larger zones of inhibition at Rf 0.00 on TLC than the extracts of vegetative leaves (Table </w:t>
      </w:r>
      <w:r w:rsidR="00425CAC" w:rsidRPr="00016E5F">
        <w:rPr>
          <w:rFonts w:ascii="Times New Roman" w:hAnsi="Times New Roman" w:cs="Times New Roman"/>
          <w:sz w:val="22"/>
          <w:szCs w:val="22"/>
        </w:rPr>
        <w:t>1</w:t>
      </w:r>
      <w:r w:rsidRPr="00016E5F">
        <w:rPr>
          <w:rFonts w:ascii="Times New Roman" w:hAnsi="Times New Roman" w:cs="Times New Roman"/>
          <w:sz w:val="22"/>
          <w:szCs w:val="22"/>
        </w:rPr>
        <w:t xml:space="preserve">).  </w:t>
      </w:r>
      <w:r w:rsidR="004A2CAC" w:rsidRPr="00016E5F">
        <w:rPr>
          <w:rFonts w:ascii="Times New Roman" w:hAnsi="Times New Roman" w:cs="Times New Roman"/>
          <w:sz w:val="22"/>
          <w:szCs w:val="22"/>
        </w:rPr>
        <w:t xml:space="preserve">Similarly, in strawberry both flowers and fruits are reported to contain antifungal compounds [10]. </w:t>
      </w:r>
      <w:r w:rsidR="004A2CAC" w:rsidRPr="00016E5F">
        <w:rPr>
          <w:rFonts w:ascii="Times New Roman" w:hAnsi="Times New Roman" w:cs="Times New Roman"/>
          <w:color w:val="231F20"/>
          <w:sz w:val="22"/>
          <w:szCs w:val="22"/>
        </w:rPr>
        <w:t xml:space="preserve">Although </w:t>
      </w:r>
      <w:proofErr w:type="spellStart"/>
      <w:r w:rsidR="004A2CAC" w:rsidRPr="00016E5F">
        <w:rPr>
          <w:rFonts w:ascii="Times New Roman" w:hAnsi="Times New Roman" w:cs="Times New Roman"/>
          <w:color w:val="231F20"/>
          <w:sz w:val="22"/>
          <w:szCs w:val="22"/>
        </w:rPr>
        <w:t>gallotannins</w:t>
      </w:r>
      <w:proofErr w:type="spellEnd"/>
      <w:r w:rsidR="004A2CAC" w:rsidRPr="00016E5F">
        <w:rPr>
          <w:rFonts w:ascii="Times New Roman" w:hAnsi="Times New Roman" w:cs="Times New Roman"/>
          <w:color w:val="231F20"/>
          <w:sz w:val="22"/>
          <w:szCs w:val="22"/>
        </w:rPr>
        <w:t xml:space="preserve"> are present in unripe fruit pulp, it is at a much lower concentrations than fruit peel [1] and </w:t>
      </w:r>
      <w:r w:rsidR="00D078CE">
        <w:rPr>
          <w:rFonts w:ascii="Times New Roman" w:hAnsi="Times New Roman" w:cs="Times New Roman"/>
          <w:color w:val="231F20"/>
          <w:sz w:val="22"/>
          <w:szCs w:val="22"/>
        </w:rPr>
        <w:t xml:space="preserve">as fruit pulp is susceptible to fungal attack [11] </w:t>
      </w:r>
      <w:r w:rsidR="004A2CAC" w:rsidRPr="00016E5F">
        <w:rPr>
          <w:rFonts w:ascii="Times New Roman" w:hAnsi="Times New Roman" w:cs="Times New Roman"/>
          <w:color w:val="231F20"/>
          <w:sz w:val="22"/>
          <w:szCs w:val="22"/>
        </w:rPr>
        <w:t>this concentration ma</w:t>
      </w:r>
      <w:r w:rsidR="004A2CAC" w:rsidRPr="00016E5F">
        <w:rPr>
          <w:rFonts w:ascii="Times New Roman" w:hAnsi="Times New Roman" w:cs="Times New Roman"/>
          <w:sz w:val="22"/>
          <w:szCs w:val="22"/>
        </w:rPr>
        <w:t xml:space="preserve">y be insufficient to be toxic to fungi. This maybe </w:t>
      </w:r>
      <w:r w:rsidR="007D6E9E" w:rsidRPr="00016E5F">
        <w:rPr>
          <w:rFonts w:ascii="Times New Roman" w:hAnsi="Times New Roman" w:cs="Times New Roman"/>
          <w:sz w:val="22"/>
          <w:szCs w:val="22"/>
        </w:rPr>
        <w:t xml:space="preserve">the </w:t>
      </w:r>
      <w:r w:rsidR="004A2CAC" w:rsidRPr="00016E5F">
        <w:rPr>
          <w:rFonts w:ascii="Times New Roman" w:hAnsi="Times New Roman" w:cs="Times New Roman"/>
          <w:sz w:val="22"/>
          <w:szCs w:val="22"/>
        </w:rPr>
        <w:t xml:space="preserve">same for young flush and leaves which are often infected with </w:t>
      </w:r>
      <w:r w:rsidR="004A2CAC" w:rsidRPr="00016E5F">
        <w:rPr>
          <w:rFonts w:ascii="Times New Roman" w:hAnsi="Times New Roman" w:cs="Times New Roman"/>
          <w:i/>
          <w:sz w:val="22"/>
          <w:szCs w:val="22"/>
        </w:rPr>
        <w:t xml:space="preserve">C. </w:t>
      </w:r>
      <w:proofErr w:type="spellStart"/>
      <w:r w:rsidR="004A2CAC" w:rsidRPr="00016E5F">
        <w:rPr>
          <w:rFonts w:ascii="Times New Roman" w:hAnsi="Times New Roman" w:cs="Times New Roman"/>
          <w:i/>
          <w:sz w:val="22"/>
          <w:szCs w:val="22"/>
        </w:rPr>
        <w:t>gloeosporioides</w:t>
      </w:r>
      <w:proofErr w:type="spellEnd"/>
      <w:r w:rsidR="004A2CAC" w:rsidRPr="00016E5F">
        <w:rPr>
          <w:rFonts w:ascii="Times New Roman" w:hAnsi="Times New Roman" w:cs="Times New Roman"/>
          <w:i/>
          <w:sz w:val="22"/>
          <w:szCs w:val="22"/>
        </w:rPr>
        <w:t xml:space="preserve">.  </w:t>
      </w:r>
    </w:p>
    <w:p w14:paraId="3582E377" w14:textId="182E9611" w:rsidR="00C26C78" w:rsidRPr="00016E5F" w:rsidRDefault="00C26C78" w:rsidP="00E1418C">
      <w:pPr>
        <w:spacing w:line="480" w:lineRule="auto"/>
        <w:rPr>
          <w:rFonts w:ascii="Times New Roman" w:eastAsia="Times New Roman" w:hAnsi="Times New Roman" w:cs="Times New Roman"/>
          <w:kern w:val="0"/>
          <w:sz w:val="22"/>
          <w:szCs w:val="22"/>
          <w:lang w:bidi="ar-SA"/>
          <w14:ligatures w14:val="none"/>
        </w:rPr>
      </w:pPr>
    </w:p>
    <w:p w14:paraId="598B7B58" w14:textId="51E0DEFD" w:rsidR="002850EB" w:rsidRPr="00016E5F" w:rsidRDefault="002850EB"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 xml:space="preserve">Table 1.Inhibition area </w:t>
      </w:r>
      <w:r w:rsidR="00B02C2C" w:rsidRPr="00016E5F">
        <w:rPr>
          <w:rFonts w:ascii="Times New Roman" w:hAnsi="Times New Roman" w:cs="Times New Roman"/>
          <w:sz w:val="22"/>
          <w:szCs w:val="22"/>
        </w:rPr>
        <w:t xml:space="preserve">on TLC bio assay </w:t>
      </w:r>
      <w:r w:rsidRPr="00016E5F">
        <w:rPr>
          <w:rFonts w:ascii="Times New Roman" w:hAnsi="Times New Roman" w:cs="Times New Roman"/>
          <w:sz w:val="22"/>
          <w:szCs w:val="22"/>
        </w:rPr>
        <w:t>given by extracts of</w:t>
      </w:r>
      <w:r w:rsidR="00B02C2C" w:rsidRPr="00016E5F">
        <w:rPr>
          <w:rFonts w:ascii="Times New Roman" w:hAnsi="Times New Roman" w:cs="Times New Roman"/>
          <w:sz w:val="22"/>
          <w:szCs w:val="22"/>
        </w:rPr>
        <w:t xml:space="preserve"> various aerial parts</w:t>
      </w:r>
      <w:r w:rsidRPr="00016E5F">
        <w:rPr>
          <w:rFonts w:ascii="Times New Roman" w:hAnsi="Times New Roman" w:cs="Times New Roman"/>
          <w:sz w:val="22"/>
          <w:szCs w:val="22"/>
        </w:rPr>
        <w:t xml:space="preserve"> of the mango tree. </w:t>
      </w:r>
    </w:p>
    <w:p w14:paraId="5707B3A3" w14:textId="171DDCF3" w:rsidR="002850EB" w:rsidRPr="00016E5F" w:rsidRDefault="002850EB" w:rsidP="00E1418C">
      <w:pPr>
        <w:spacing w:line="480" w:lineRule="auto"/>
        <w:rPr>
          <w:rFonts w:ascii="Times New Roman" w:hAnsi="Times New Roman" w:cs="Times New Roman"/>
          <w:sz w:val="22"/>
          <w:szCs w:val="22"/>
        </w:rPr>
      </w:pPr>
      <w:r w:rsidRPr="00016E5F">
        <w:rPr>
          <w:rFonts w:ascii="Times New Roman" w:hAnsi="Times New Roman" w:cs="Times New Roman"/>
          <w:noProof/>
          <w:sz w:val="22"/>
          <w:szCs w:val="22"/>
          <w:lang w:bidi="ar-SA"/>
        </w:rPr>
        <mc:AlternateContent>
          <mc:Choice Requires="wps">
            <w:drawing>
              <wp:anchor distT="0" distB="0" distL="114300" distR="114300" simplePos="0" relativeHeight="251659264" behindDoc="0" locked="0" layoutInCell="1" allowOverlap="1" wp14:anchorId="3547DA74" wp14:editId="60A438A4">
                <wp:simplePos x="0" y="0"/>
                <wp:positionH relativeFrom="column">
                  <wp:posOffset>114300</wp:posOffset>
                </wp:positionH>
                <wp:positionV relativeFrom="paragraph">
                  <wp:posOffset>167640</wp:posOffset>
                </wp:positionV>
                <wp:extent cx="4457700" cy="0"/>
                <wp:effectExtent l="6350" t="7620" r="1270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0DE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2pt" to="5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4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"/>
            </w:pict>
          </mc:Fallback>
        </mc:AlternateContent>
      </w:r>
    </w:p>
    <w:p w14:paraId="5D8357CB" w14:textId="14D9A8D6" w:rsidR="002850EB" w:rsidRPr="00016E5F" w:rsidRDefault="002850EB" w:rsidP="00E1418C">
      <w:pPr>
        <w:tabs>
          <w:tab w:val="left" w:pos="540"/>
        </w:tabs>
        <w:spacing w:line="480" w:lineRule="auto"/>
        <w:rPr>
          <w:rFonts w:ascii="Times New Roman" w:hAnsi="Times New Roman" w:cs="Times New Roman"/>
          <w:sz w:val="22"/>
          <w:szCs w:val="22"/>
        </w:rPr>
      </w:pPr>
      <w:r w:rsidRPr="00016E5F">
        <w:rPr>
          <w:rFonts w:ascii="Times New Roman" w:hAnsi="Times New Roman" w:cs="Times New Roman"/>
          <w:noProof/>
          <w:sz w:val="22"/>
          <w:szCs w:val="22"/>
          <w:lang w:bidi="ar-SA"/>
        </w:rPr>
        <mc:AlternateContent>
          <mc:Choice Requires="wps">
            <w:drawing>
              <wp:anchor distT="0" distB="0" distL="114300" distR="114300" simplePos="0" relativeHeight="251660288" behindDoc="0" locked="0" layoutInCell="1" allowOverlap="1" wp14:anchorId="209451BC" wp14:editId="3BA3C56D">
                <wp:simplePos x="0" y="0"/>
                <wp:positionH relativeFrom="column">
                  <wp:posOffset>114300</wp:posOffset>
                </wp:positionH>
                <wp:positionV relativeFrom="paragraph">
                  <wp:posOffset>247650</wp:posOffset>
                </wp:positionV>
                <wp:extent cx="4457700" cy="0"/>
                <wp:effectExtent l="6350" t="7620" r="1270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4C8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5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O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Pp09P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"/>
            </w:pict>
          </mc:Fallback>
        </mc:AlternateContent>
      </w:r>
      <w:r w:rsidRPr="00016E5F">
        <w:rPr>
          <w:rFonts w:ascii="Times New Roman" w:hAnsi="Times New Roman" w:cs="Times New Roman"/>
          <w:sz w:val="22"/>
          <w:szCs w:val="22"/>
        </w:rPr>
        <w:t xml:space="preserve">   </w:t>
      </w:r>
      <w:r w:rsidRPr="00016E5F">
        <w:rPr>
          <w:rFonts w:ascii="Times New Roman" w:hAnsi="Times New Roman" w:cs="Times New Roman"/>
          <w:sz w:val="22"/>
          <w:szCs w:val="22"/>
        </w:rPr>
        <w:tab/>
        <w:t>Plant part</w:t>
      </w:r>
      <w:r w:rsidRPr="00016E5F">
        <w:rPr>
          <w:rFonts w:ascii="Times New Roman" w:hAnsi="Times New Roman" w:cs="Times New Roman"/>
          <w:sz w:val="22"/>
          <w:szCs w:val="22"/>
        </w:rPr>
        <w:tab/>
      </w:r>
      <w:r w:rsidRPr="00016E5F">
        <w:rPr>
          <w:rFonts w:ascii="Times New Roman" w:hAnsi="Times New Roman" w:cs="Times New Roman"/>
          <w:sz w:val="22"/>
          <w:szCs w:val="22"/>
        </w:rPr>
        <w:tab/>
        <w:t xml:space="preserve">         Average inhibition area on TLC (mm</w:t>
      </w:r>
      <w:r w:rsidRPr="00016E5F">
        <w:rPr>
          <w:rFonts w:ascii="Times New Roman" w:hAnsi="Times New Roman" w:cs="Times New Roman"/>
          <w:sz w:val="22"/>
          <w:szCs w:val="22"/>
          <w:vertAlign w:val="superscript"/>
        </w:rPr>
        <w:t>2</w:t>
      </w:r>
      <w:r w:rsidRPr="00016E5F">
        <w:rPr>
          <w:rFonts w:ascii="Times New Roman" w:hAnsi="Times New Roman" w:cs="Times New Roman"/>
          <w:sz w:val="22"/>
          <w:szCs w:val="22"/>
        </w:rPr>
        <w:t>)</w:t>
      </w:r>
    </w:p>
    <w:p w14:paraId="12CBEFF3" w14:textId="77777777" w:rsidR="002850EB" w:rsidRPr="00016E5F" w:rsidRDefault="002850EB" w:rsidP="00E1418C">
      <w:pPr>
        <w:tabs>
          <w:tab w:val="left" w:pos="540"/>
        </w:tabs>
        <w:spacing w:line="480" w:lineRule="auto"/>
        <w:rPr>
          <w:rFonts w:ascii="Times New Roman" w:hAnsi="Times New Roman" w:cs="Times New Roman"/>
          <w:sz w:val="22"/>
          <w:szCs w:val="22"/>
          <w:vertAlign w:val="superscript"/>
        </w:rPr>
      </w:pPr>
      <w:r w:rsidRPr="00016E5F">
        <w:rPr>
          <w:rFonts w:ascii="Times New Roman" w:hAnsi="Times New Roman" w:cs="Times New Roman"/>
          <w:sz w:val="22"/>
          <w:szCs w:val="22"/>
        </w:rPr>
        <w:t xml:space="preserve">  </w:t>
      </w:r>
      <w:r w:rsidRPr="00016E5F">
        <w:rPr>
          <w:rFonts w:ascii="Times New Roman" w:hAnsi="Times New Roman" w:cs="Times New Roman"/>
          <w:sz w:val="22"/>
          <w:szCs w:val="22"/>
        </w:rPr>
        <w:tab/>
        <w:t>Young leaves</w:t>
      </w:r>
      <w:r w:rsidRPr="00016E5F">
        <w:rPr>
          <w:rFonts w:ascii="Times New Roman" w:hAnsi="Times New Roman" w:cs="Times New Roman"/>
          <w:sz w:val="22"/>
          <w:szCs w:val="22"/>
        </w:rPr>
        <w:tab/>
      </w:r>
      <w:r w:rsidRPr="00016E5F">
        <w:rPr>
          <w:rFonts w:ascii="Times New Roman" w:hAnsi="Times New Roman" w:cs="Times New Roman"/>
          <w:sz w:val="22"/>
          <w:szCs w:val="22"/>
        </w:rPr>
        <w:tab/>
      </w:r>
      <w:r w:rsidRPr="00016E5F">
        <w:rPr>
          <w:rFonts w:ascii="Times New Roman" w:hAnsi="Times New Roman" w:cs="Times New Roman"/>
          <w:sz w:val="22"/>
          <w:szCs w:val="22"/>
        </w:rPr>
        <w:tab/>
        <w:t xml:space="preserve">173.3±15.89 </w:t>
      </w:r>
      <w:r w:rsidRPr="00016E5F">
        <w:rPr>
          <w:rFonts w:ascii="Times New Roman" w:hAnsi="Times New Roman" w:cs="Times New Roman"/>
          <w:sz w:val="22"/>
          <w:szCs w:val="22"/>
          <w:vertAlign w:val="superscript"/>
        </w:rPr>
        <w:t>a</w:t>
      </w:r>
    </w:p>
    <w:p w14:paraId="34C0F1A7" w14:textId="77777777" w:rsidR="002850EB" w:rsidRPr="00016E5F" w:rsidRDefault="002850EB" w:rsidP="00E1418C">
      <w:pPr>
        <w:tabs>
          <w:tab w:val="left" w:pos="540"/>
        </w:tabs>
        <w:spacing w:line="480" w:lineRule="auto"/>
        <w:rPr>
          <w:rFonts w:ascii="Times New Roman" w:hAnsi="Times New Roman" w:cs="Times New Roman"/>
          <w:sz w:val="22"/>
          <w:szCs w:val="22"/>
          <w:vertAlign w:val="superscript"/>
        </w:rPr>
      </w:pPr>
      <w:r w:rsidRPr="00016E5F">
        <w:rPr>
          <w:rFonts w:ascii="Times New Roman" w:hAnsi="Times New Roman" w:cs="Times New Roman"/>
          <w:sz w:val="22"/>
          <w:szCs w:val="22"/>
        </w:rPr>
        <w:t xml:space="preserve">   </w:t>
      </w:r>
      <w:r w:rsidRPr="00016E5F">
        <w:rPr>
          <w:rFonts w:ascii="Times New Roman" w:hAnsi="Times New Roman" w:cs="Times New Roman"/>
          <w:sz w:val="22"/>
          <w:szCs w:val="22"/>
        </w:rPr>
        <w:tab/>
        <w:t>Mature leaves</w:t>
      </w:r>
      <w:r w:rsidRPr="00016E5F">
        <w:rPr>
          <w:rFonts w:ascii="Times New Roman" w:hAnsi="Times New Roman" w:cs="Times New Roman"/>
          <w:sz w:val="22"/>
          <w:szCs w:val="22"/>
        </w:rPr>
        <w:tab/>
      </w:r>
      <w:r w:rsidRPr="00016E5F">
        <w:rPr>
          <w:rFonts w:ascii="Times New Roman" w:hAnsi="Times New Roman" w:cs="Times New Roman"/>
          <w:sz w:val="22"/>
          <w:szCs w:val="22"/>
        </w:rPr>
        <w:tab/>
      </w:r>
      <w:r w:rsidRPr="00016E5F">
        <w:rPr>
          <w:rFonts w:ascii="Times New Roman" w:hAnsi="Times New Roman" w:cs="Times New Roman"/>
          <w:sz w:val="22"/>
          <w:szCs w:val="22"/>
        </w:rPr>
        <w:tab/>
        <w:t>111.67±4.4</w:t>
      </w:r>
      <w:r w:rsidRPr="00016E5F">
        <w:rPr>
          <w:rFonts w:ascii="Times New Roman" w:hAnsi="Times New Roman" w:cs="Times New Roman"/>
          <w:sz w:val="22"/>
          <w:szCs w:val="22"/>
          <w:vertAlign w:val="superscript"/>
        </w:rPr>
        <w:t xml:space="preserve"> b</w:t>
      </w:r>
    </w:p>
    <w:p w14:paraId="69036C3B" w14:textId="77777777" w:rsidR="002850EB" w:rsidRPr="00016E5F" w:rsidRDefault="002850EB" w:rsidP="00E1418C">
      <w:pPr>
        <w:tabs>
          <w:tab w:val="left" w:pos="540"/>
        </w:tabs>
        <w:spacing w:line="480" w:lineRule="auto"/>
        <w:rPr>
          <w:rFonts w:ascii="Times New Roman" w:hAnsi="Times New Roman" w:cs="Times New Roman"/>
          <w:sz w:val="22"/>
          <w:szCs w:val="22"/>
          <w:vertAlign w:val="superscript"/>
        </w:rPr>
      </w:pPr>
      <w:r w:rsidRPr="00016E5F">
        <w:rPr>
          <w:rFonts w:ascii="Times New Roman" w:hAnsi="Times New Roman" w:cs="Times New Roman"/>
          <w:sz w:val="22"/>
          <w:szCs w:val="22"/>
        </w:rPr>
        <w:t xml:space="preserve">   </w:t>
      </w:r>
      <w:r w:rsidRPr="00016E5F">
        <w:rPr>
          <w:rFonts w:ascii="Times New Roman" w:hAnsi="Times New Roman" w:cs="Times New Roman"/>
          <w:sz w:val="22"/>
          <w:szCs w:val="22"/>
        </w:rPr>
        <w:tab/>
        <w:t>Florets</w:t>
      </w:r>
      <w:r w:rsidRPr="00016E5F">
        <w:rPr>
          <w:rFonts w:ascii="Times New Roman" w:hAnsi="Times New Roman" w:cs="Times New Roman"/>
          <w:sz w:val="22"/>
          <w:szCs w:val="22"/>
        </w:rPr>
        <w:tab/>
      </w:r>
      <w:r w:rsidRPr="00016E5F">
        <w:rPr>
          <w:rFonts w:ascii="Times New Roman" w:hAnsi="Times New Roman" w:cs="Times New Roman"/>
          <w:sz w:val="22"/>
          <w:szCs w:val="22"/>
        </w:rPr>
        <w:tab/>
      </w:r>
      <w:r w:rsidRPr="00016E5F">
        <w:rPr>
          <w:rFonts w:ascii="Times New Roman" w:hAnsi="Times New Roman" w:cs="Times New Roman"/>
          <w:sz w:val="22"/>
          <w:szCs w:val="22"/>
        </w:rPr>
        <w:tab/>
      </w:r>
      <w:r w:rsidRPr="00016E5F">
        <w:rPr>
          <w:rFonts w:ascii="Times New Roman" w:hAnsi="Times New Roman" w:cs="Times New Roman"/>
          <w:sz w:val="22"/>
          <w:szCs w:val="22"/>
        </w:rPr>
        <w:tab/>
        <w:t>285±29.29</w:t>
      </w:r>
      <w:r w:rsidRPr="00016E5F">
        <w:rPr>
          <w:rFonts w:ascii="Times New Roman" w:hAnsi="Times New Roman" w:cs="Times New Roman"/>
          <w:sz w:val="22"/>
          <w:szCs w:val="22"/>
          <w:vertAlign w:val="superscript"/>
        </w:rPr>
        <w:t xml:space="preserve"> c</w:t>
      </w:r>
    </w:p>
    <w:p w14:paraId="435C0819" w14:textId="59426619" w:rsidR="002850EB" w:rsidRPr="00016E5F" w:rsidRDefault="002850EB" w:rsidP="00E1418C">
      <w:pPr>
        <w:tabs>
          <w:tab w:val="left" w:pos="540"/>
        </w:tabs>
        <w:spacing w:line="480" w:lineRule="auto"/>
        <w:rPr>
          <w:rFonts w:ascii="Times New Roman" w:hAnsi="Times New Roman" w:cs="Times New Roman"/>
          <w:sz w:val="22"/>
          <w:szCs w:val="22"/>
        </w:rPr>
      </w:pPr>
      <w:r w:rsidRPr="00016E5F">
        <w:rPr>
          <w:rFonts w:ascii="Times New Roman" w:hAnsi="Times New Roman" w:cs="Times New Roman"/>
          <w:noProof/>
          <w:sz w:val="22"/>
          <w:szCs w:val="22"/>
          <w:lang w:bidi="ar-SA"/>
        </w:rPr>
        <mc:AlternateContent>
          <mc:Choice Requires="wps">
            <w:drawing>
              <wp:anchor distT="0" distB="0" distL="114300" distR="114300" simplePos="0" relativeHeight="251661312" behindDoc="0" locked="0" layoutInCell="1" allowOverlap="1" wp14:anchorId="7510589C" wp14:editId="455B8965">
                <wp:simplePos x="0" y="0"/>
                <wp:positionH relativeFrom="column">
                  <wp:posOffset>114300</wp:posOffset>
                </wp:positionH>
                <wp:positionV relativeFrom="paragraph">
                  <wp:posOffset>252095</wp:posOffset>
                </wp:positionV>
                <wp:extent cx="4457700" cy="0"/>
                <wp:effectExtent l="6350" t="7620" r="1270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A7F0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85pt" to="5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X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z6dP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"/>
            </w:pict>
          </mc:Fallback>
        </mc:AlternateContent>
      </w:r>
      <w:r w:rsidRPr="00016E5F">
        <w:rPr>
          <w:rFonts w:ascii="Times New Roman" w:hAnsi="Times New Roman" w:cs="Times New Roman"/>
          <w:sz w:val="22"/>
          <w:szCs w:val="22"/>
        </w:rPr>
        <w:t xml:space="preserve">   </w:t>
      </w:r>
      <w:r w:rsidRPr="00016E5F">
        <w:rPr>
          <w:rFonts w:ascii="Times New Roman" w:hAnsi="Times New Roman" w:cs="Times New Roman"/>
          <w:sz w:val="22"/>
          <w:szCs w:val="22"/>
        </w:rPr>
        <w:tab/>
        <w:t>Unripe fruit peel</w:t>
      </w:r>
      <w:r w:rsidRPr="00016E5F">
        <w:rPr>
          <w:rFonts w:ascii="Times New Roman" w:hAnsi="Times New Roman" w:cs="Times New Roman"/>
          <w:sz w:val="22"/>
          <w:szCs w:val="22"/>
        </w:rPr>
        <w:tab/>
      </w:r>
      <w:r w:rsidRPr="00016E5F">
        <w:rPr>
          <w:rFonts w:ascii="Times New Roman" w:hAnsi="Times New Roman" w:cs="Times New Roman"/>
          <w:sz w:val="22"/>
          <w:szCs w:val="22"/>
        </w:rPr>
        <w:tab/>
      </w:r>
      <w:r w:rsidR="00825DF9">
        <w:rPr>
          <w:rFonts w:ascii="Times New Roman" w:hAnsi="Times New Roman" w:cs="Times New Roman"/>
          <w:sz w:val="22"/>
          <w:szCs w:val="22"/>
        </w:rPr>
        <w:tab/>
      </w:r>
      <w:r w:rsidRPr="00016E5F">
        <w:rPr>
          <w:rFonts w:ascii="Times New Roman" w:hAnsi="Times New Roman" w:cs="Times New Roman"/>
          <w:sz w:val="22"/>
          <w:szCs w:val="22"/>
        </w:rPr>
        <w:t>256.66±29.48</w:t>
      </w:r>
      <w:r w:rsidRPr="00016E5F">
        <w:rPr>
          <w:rFonts w:ascii="Times New Roman" w:hAnsi="Times New Roman" w:cs="Times New Roman"/>
          <w:sz w:val="22"/>
          <w:szCs w:val="22"/>
          <w:vertAlign w:val="superscript"/>
        </w:rPr>
        <w:t xml:space="preserve"> c</w:t>
      </w:r>
    </w:p>
    <w:p w14:paraId="3CAF79CE" w14:textId="77777777" w:rsidR="002850EB" w:rsidRPr="00016E5F" w:rsidRDefault="002850EB" w:rsidP="00E1418C">
      <w:pPr>
        <w:spacing w:line="480" w:lineRule="auto"/>
        <w:rPr>
          <w:rFonts w:ascii="Times New Roman" w:hAnsi="Times New Roman" w:cs="Times New Roman"/>
          <w:sz w:val="22"/>
          <w:szCs w:val="22"/>
        </w:rPr>
      </w:pPr>
    </w:p>
    <w:p w14:paraId="32E09BB1" w14:textId="77777777" w:rsidR="002850EB" w:rsidRPr="00016E5F" w:rsidRDefault="002850EB"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Values followed by the same letter within each column are not significantly different at the 5% probability level (Duncan’s Multiple Range Test)</w:t>
      </w:r>
    </w:p>
    <w:p w14:paraId="3B855CF3" w14:textId="77777777" w:rsidR="002850EB" w:rsidRPr="00016E5F" w:rsidRDefault="002850EB" w:rsidP="00E1418C">
      <w:pPr>
        <w:spacing w:line="480" w:lineRule="auto"/>
        <w:rPr>
          <w:rFonts w:ascii="Times New Roman" w:hAnsi="Times New Roman" w:cs="Times New Roman"/>
          <w:sz w:val="22"/>
          <w:szCs w:val="22"/>
        </w:rPr>
      </w:pPr>
    </w:p>
    <w:p w14:paraId="064B9765" w14:textId="0E9CD567" w:rsidR="00AF2B58" w:rsidRPr="00016E5F" w:rsidRDefault="002850EB"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lastRenderedPageBreak/>
        <w:t xml:space="preserve">The extracts of young flush caused a significantly larger zone of inhibition than extracts of mature leaves.  Extracts of florets gave a slightly larger </w:t>
      </w:r>
      <w:r w:rsidR="00031C1F" w:rsidRPr="00016E5F">
        <w:rPr>
          <w:rFonts w:ascii="Times New Roman" w:hAnsi="Times New Roman" w:cs="Times New Roman"/>
          <w:sz w:val="22"/>
          <w:szCs w:val="22"/>
        </w:rPr>
        <w:t xml:space="preserve">yet statistically insignificant </w:t>
      </w:r>
      <w:r w:rsidRPr="00016E5F">
        <w:rPr>
          <w:rFonts w:ascii="Times New Roman" w:hAnsi="Times New Roman" w:cs="Times New Roman"/>
          <w:sz w:val="22"/>
          <w:szCs w:val="22"/>
        </w:rPr>
        <w:t xml:space="preserve">zone of inhibition on TLC than extracts of mature unripe fruit peel.    </w:t>
      </w:r>
    </w:p>
    <w:p w14:paraId="33332EA3" w14:textId="77777777" w:rsidR="00CE0D33" w:rsidRPr="00016E5F" w:rsidRDefault="00C36742" w:rsidP="00E1418C">
      <w:pPr>
        <w:spacing w:line="480" w:lineRule="auto"/>
        <w:rPr>
          <w:rFonts w:ascii="Times New Roman" w:hAnsi="Times New Roman" w:cs="Times New Roman"/>
          <w:sz w:val="22"/>
          <w:szCs w:val="22"/>
        </w:rPr>
      </w:pPr>
      <w:r w:rsidRPr="00016E5F">
        <w:rPr>
          <w:rFonts w:ascii="Times New Roman" w:hAnsi="Times New Roman" w:cs="Times New Roman"/>
          <w:noProof/>
          <w:sz w:val="22"/>
          <w:szCs w:val="22"/>
          <w:lang w:bidi="ar-SA"/>
        </w:rPr>
        <mc:AlternateContent>
          <mc:Choice Requires="wps">
            <w:drawing>
              <wp:anchor distT="0" distB="0" distL="114300" distR="114300" simplePos="0" relativeHeight="251678720" behindDoc="0" locked="0" layoutInCell="1" allowOverlap="1" wp14:anchorId="3F4C30A2" wp14:editId="1CF26341">
                <wp:simplePos x="0" y="0"/>
                <wp:positionH relativeFrom="column">
                  <wp:posOffset>-2505075</wp:posOffset>
                </wp:positionH>
                <wp:positionV relativeFrom="paragraph">
                  <wp:posOffset>205740</wp:posOffset>
                </wp:positionV>
                <wp:extent cx="0" cy="228600"/>
                <wp:effectExtent l="57150" t="15240" r="57150" b="228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77BC"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6.2pt" to="-197.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" strokecolor="red" strokeweight="1pt">
                <v:stroke endarrow="block"/>
              </v:line>
            </w:pict>
          </mc:Fallback>
        </mc:AlternateContent>
      </w:r>
      <w:r w:rsidRPr="00016E5F">
        <w:rPr>
          <w:rFonts w:ascii="Times New Roman" w:hAnsi="Times New Roman" w:cs="Times New Roman"/>
          <w:noProof/>
          <w:sz w:val="22"/>
          <w:szCs w:val="22"/>
          <w:lang w:bidi="ar-SA"/>
        </w:rPr>
        <mc:AlternateContent>
          <mc:Choice Requires="wps">
            <w:drawing>
              <wp:anchor distT="0" distB="0" distL="114300" distR="114300" simplePos="0" relativeHeight="251674624" behindDoc="0" locked="0" layoutInCell="1" allowOverlap="1" wp14:anchorId="68F28F7D" wp14:editId="643BDA66">
                <wp:simplePos x="0" y="0"/>
                <wp:positionH relativeFrom="column">
                  <wp:posOffset>-2306320</wp:posOffset>
                </wp:positionH>
                <wp:positionV relativeFrom="paragraph">
                  <wp:posOffset>160020</wp:posOffset>
                </wp:positionV>
                <wp:extent cx="0" cy="388620"/>
                <wp:effectExtent l="55880" t="7620" r="58420" b="228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5178"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12.6pt" to="-181.6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" strokecolor="red" strokeweight="1pt">
                <v:stroke endarrow="block"/>
              </v:line>
            </w:pict>
          </mc:Fallback>
        </mc:AlternateContent>
      </w:r>
    </w:p>
    <w:p w14:paraId="2E83149B" w14:textId="4D90FDE1" w:rsidR="00CF75B8" w:rsidRPr="0022582D" w:rsidRDefault="00CF75B8" w:rsidP="00E1418C">
      <w:pPr>
        <w:spacing w:line="480" w:lineRule="auto"/>
        <w:rPr>
          <w:rFonts w:ascii="Times New Roman" w:hAnsi="Times New Roman" w:cs="Times New Roman"/>
          <w:b/>
          <w:sz w:val="22"/>
          <w:szCs w:val="22"/>
        </w:rPr>
      </w:pPr>
      <w:r w:rsidRPr="0022582D">
        <w:rPr>
          <w:rFonts w:ascii="Times New Roman" w:hAnsi="Times New Roman" w:cs="Times New Roman"/>
          <w:b/>
          <w:sz w:val="22"/>
          <w:szCs w:val="22"/>
        </w:rPr>
        <w:t xml:space="preserve">Decline of antifungal activity in fruit peel during ripening and development of anthracnose </w:t>
      </w:r>
    </w:p>
    <w:p w14:paraId="28FE92A1" w14:textId="3D32A8AF" w:rsidR="00CF75B8" w:rsidRPr="00016E5F" w:rsidRDefault="00CF75B8" w:rsidP="00E1418C">
      <w:pPr>
        <w:spacing w:line="480" w:lineRule="auto"/>
        <w:jc w:val="both"/>
        <w:rPr>
          <w:rFonts w:ascii="Times New Roman" w:hAnsi="Times New Roman" w:cs="Times New Roman"/>
          <w:sz w:val="22"/>
          <w:szCs w:val="22"/>
        </w:rPr>
      </w:pPr>
      <w:r w:rsidRPr="00016E5F">
        <w:rPr>
          <w:rFonts w:ascii="Times New Roman" w:hAnsi="Times New Roman" w:cs="Times New Roman"/>
          <w:sz w:val="22"/>
          <w:szCs w:val="22"/>
        </w:rPr>
        <w:t>A</w:t>
      </w:r>
      <w:r w:rsidR="00CE0D33" w:rsidRPr="00016E5F">
        <w:rPr>
          <w:rFonts w:ascii="Times New Roman" w:hAnsi="Times New Roman" w:cs="Times New Roman"/>
          <w:sz w:val="22"/>
          <w:szCs w:val="22"/>
        </w:rPr>
        <w:t xml:space="preserve">nthracnose disease development indicated by </w:t>
      </w:r>
      <w:r w:rsidRPr="00016E5F">
        <w:rPr>
          <w:rFonts w:ascii="Times New Roman" w:hAnsi="Times New Roman" w:cs="Times New Roman"/>
          <w:sz w:val="22"/>
          <w:szCs w:val="22"/>
        </w:rPr>
        <w:t>di</w:t>
      </w:r>
      <w:r w:rsidR="00CE0D33" w:rsidRPr="00016E5F">
        <w:rPr>
          <w:rFonts w:ascii="Times New Roman" w:hAnsi="Times New Roman" w:cs="Times New Roman"/>
          <w:sz w:val="22"/>
          <w:szCs w:val="22"/>
        </w:rPr>
        <w:t>sease area in inoculated fruits</w:t>
      </w:r>
      <w:r w:rsidRPr="00016E5F">
        <w:rPr>
          <w:rFonts w:ascii="Times New Roman" w:hAnsi="Times New Roman" w:cs="Times New Roman"/>
          <w:sz w:val="22"/>
          <w:szCs w:val="22"/>
        </w:rPr>
        <w:t xml:space="preserve"> and </w:t>
      </w:r>
      <w:proofErr w:type="spellStart"/>
      <w:r w:rsidRPr="00016E5F">
        <w:rPr>
          <w:rFonts w:ascii="Times New Roman" w:hAnsi="Times New Roman" w:cs="Times New Roman"/>
          <w:sz w:val="22"/>
          <w:szCs w:val="22"/>
        </w:rPr>
        <w:t>gallotannin</w:t>
      </w:r>
      <w:proofErr w:type="spellEnd"/>
      <w:r w:rsidRPr="00016E5F">
        <w:rPr>
          <w:rFonts w:ascii="Times New Roman" w:hAnsi="Times New Roman" w:cs="Times New Roman"/>
          <w:sz w:val="22"/>
          <w:szCs w:val="22"/>
        </w:rPr>
        <w:t xml:space="preserve"> antifungal activity </w:t>
      </w:r>
      <w:r w:rsidR="00CE0D33" w:rsidRPr="00016E5F">
        <w:rPr>
          <w:rFonts w:ascii="Times New Roman" w:hAnsi="Times New Roman" w:cs="Times New Roman"/>
          <w:sz w:val="22"/>
          <w:szCs w:val="22"/>
        </w:rPr>
        <w:t>indicated by inhibition area on TLC</w:t>
      </w:r>
      <w:r w:rsidRPr="00016E5F">
        <w:rPr>
          <w:rFonts w:ascii="Times New Roman" w:hAnsi="Times New Roman" w:cs="Times New Roman"/>
          <w:sz w:val="22"/>
          <w:szCs w:val="22"/>
        </w:rPr>
        <w:t xml:space="preserve"> showed a negative correlation.  </w:t>
      </w:r>
      <w:r w:rsidR="007D6E9E" w:rsidRPr="00016E5F">
        <w:rPr>
          <w:rFonts w:ascii="Times New Roman" w:hAnsi="Times New Roman" w:cs="Times New Roman"/>
          <w:sz w:val="22"/>
          <w:szCs w:val="22"/>
        </w:rPr>
        <w:t xml:space="preserve">Disease (anthracnose) development in inoculated fruits was observed along with the decline in antifungal </w:t>
      </w:r>
      <w:proofErr w:type="spellStart"/>
      <w:r w:rsidR="007D6E9E" w:rsidRPr="00016E5F">
        <w:rPr>
          <w:rFonts w:ascii="Times New Roman" w:hAnsi="Times New Roman" w:cs="Times New Roman"/>
          <w:sz w:val="22"/>
          <w:szCs w:val="22"/>
        </w:rPr>
        <w:t>gallotannins</w:t>
      </w:r>
      <w:proofErr w:type="spellEnd"/>
      <w:r w:rsidR="007D6E9E" w:rsidRPr="00016E5F">
        <w:rPr>
          <w:rFonts w:ascii="Times New Roman" w:hAnsi="Times New Roman" w:cs="Times New Roman"/>
          <w:sz w:val="22"/>
          <w:szCs w:val="22"/>
        </w:rPr>
        <w:t xml:space="preserve">.  </w:t>
      </w:r>
      <w:r w:rsidRPr="00016E5F">
        <w:rPr>
          <w:rFonts w:ascii="Times New Roman" w:hAnsi="Times New Roman" w:cs="Times New Roman"/>
          <w:sz w:val="22"/>
          <w:szCs w:val="22"/>
        </w:rPr>
        <w:t xml:space="preserve">Antifungal activity (inhibition area on TLC) was initially high and decreased </w:t>
      </w:r>
      <w:r w:rsidR="00690AFF">
        <w:rPr>
          <w:rFonts w:ascii="Times New Roman" w:hAnsi="Times New Roman" w:cs="Times New Roman"/>
          <w:sz w:val="22"/>
          <w:szCs w:val="22"/>
        </w:rPr>
        <w:t xml:space="preserve">very little </w:t>
      </w:r>
      <w:r w:rsidRPr="00016E5F">
        <w:rPr>
          <w:rFonts w:ascii="Times New Roman" w:hAnsi="Times New Roman" w:cs="Times New Roman"/>
          <w:sz w:val="22"/>
          <w:szCs w:val="22"/>
        </w:rPr>
        <w:t xml:space="preserve">from day one to five after </w:t>
      </w:r>
      <w:r w:rsidR="00690AFF">
        <w:rPr>
          <w:rFonts w:ascii="Times New Roman" w:hAnsi="Times New Roman" w:cs="Times New Roman"/>
          <w:sz w:val="22"/>
          <w:szCs w:val="22"/>
        </w:rPr>
        <w:t>harvest</w:t>
      </w:r>
      <w:r w:rsidRPr="00016E5F">
        <w:rPr>
          <w:rFonts w:ascii="Times New Roman" w:hAnsi="Times New Roman" w:cs="Times New Roman"/>
          <w:sz w:val="22"/>
          <w:szCs w:val="22"/>
        </w:rPr>
        <w:t xml:space="preserve">.  </w:t>
      </w:r>
      <w:r w:rsidR="00690AFF">
        <w:rPr>
          <w:rFonts w:ascii="Times New Roman" w:hAnsi="Times New Roman" w:cs="Times New Roman"/>
          <w:sz w:val="22"/>
          <w:szCs w:val="22"/>
        </w:rPr>
        <w:t xml:space="preserve">A more noticeable decline of antifungal activity was seen by day seven, and anthracnose lesion development was observable only with this decline in antifungal activity. By day nine after harvest antifungal activity had declined further and a measurable lesion of </w:t>
      </w:r>
      <w:r w:rsidR="008A2D57">
        <w:rPr>
          <w:rFonts w:ascii="Times New Roman" w:hAnsi="Times New Roman" w:cs="Times New Roman"/>
          <w:sz w:val="22"/>
          <w:szCs w:val="22"/>
        </w:rPr>
        <w:t>anthracnose</w:t>
      </w:r>
      <w:r w:rsidR="00690AFF" w:rsidRPr="00690AFF">
        <w:rPr>
          <w:rFonts w:ascii="Times New Roman" w:hAnsi="Times New Roman" w:cs="Times New Roman"/>
          <w:sz w:val="22"/>
          <w:szCs w:val="22"/>
          <w:vertAlign w:val="superscript"/>
        </w:rPr>
        <w:t xml:space="preserve"> </w:t>
      </w:r>
      <w:r w:rsidR="00690AFF">
        <w:rPr>
          <w:rFonts w:ascii="Times New Roman" w:hAnsi="Times New Roman" w:cs="Times New Roman"/>
          <w:sz w:val="22"/>
          <w:szCs w:val="22"/>
        </w:rPr>
        <w:t xml:space="preserve">was visible </w:t>
      </w:r>
      <w:r w:rsidR="00CE0D33" w:rsidRPr="00016E5F">
        <w:rPr>
          <w:rFonts w:ascii="Times New Roman" w:hAnsi="Times New Roman" w:cs="Times New Roman"/>
          <w:sz w:val="22"/>
          <w:szCs w:val="22"/>
        </w:rPr>
        <w:t>(figure 1</w:t>
      </w:r>
      <w:r w:rsidR="00E1418C">
        <w:rPr>
          <w:rFonts w:ascii="Times New Roman" w:hAnsi="Times New Roman" w:cs="Times New Roman"/>
          <w:sz w:val="22"/>
          <w:szCs w:val="22"/>
        </w:rPr>
        <w:t>).</w:t>
      </w:r>
      <w:r w:rsidR="00382A0A" w:rsidRPr="00016E5F">
        <w:rPr>
          <w:rFonts w:ascii="Times New Roman" w:hAnsi="Times New Roman" w:cs="Times New Roman"/>
          <w:sz w:val="22"/>
          <w:szCs w:val="22"/>
        </w:rPr>
        <w:t xml:space="preserve"> </w:t>
      </w:r>
    </w:p>
    <w:p w14:paraId="00DC63E5" w14:textId="5B8A4194" w:rsidR="00CF75B8" w:rsidRPr="00016E5F" w:rsidRDefault="005912C7" w:rsidP="00E1418C">
      <w:pPr>
        <w:spacing w:line="480" w:lineRule="auto"/>
        <w:jc w:val="both"/>
        <w:rPr>
          <w:rFonts w:ascii="Times New Roman" w:hAnsi="Times New Roman" w:cs="Times New Roman"/>
          <w:sz w:val="22"/>
          <w:szCs w:val="22"/>
        </w:rPr>
      </w:pPr>
      <w:r>
        <w:rPr>
          <w:noProof/>
          <w:lang w:bidi="ar-SA"/>
        </w:rPr>
        <w:drawing>
          <wp:inline distT="0" distB="0" distL="0" distR="0" wp14:anchorId="6202BF6D" wp14:editId="71099857">
            <wp:extent cx="3578087" cy="2751152"/>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B54B19" w14:textId="4146BC44" w:rsidR="00B02C2C" w:rsidRDefault="005912C7" w:rsidP="00E1418C">
      <w:pPr>
        <w:spacing w:line="480" w:lineRule="auto"/>
        <w:rPr>
          <w:rFonts w:ascii="Times New Roman" w:hAnsi="Times New Roman" w:cs="Times New Roman"/>
          <w:sz w:val="22"/>
          <w:szCs w:val="22"/>
        </w:rPr>
      </w:pPr>
      <w:r>
        <w:rPr>
          <w:rFonts w:ascii="Times New Roman" w:hAnsi="Times New Roman" w:cs="Times New Roman"/>
          <w:sz w:val="22"/>
          <w:szCs w:val="22"/>
        </w:rPr>
        <w:t>F</w:t>
      </w:r>
      <w:r w:rsidR="00B02C2C" w:rsidRPr="00016E5F">
        <w:rPr>
          <w:rFonts w:ascii="Times New Roman" w:hAnsi="Times New Roman" w:cs="Times New Roman"/>
          <w:sz w:val="22"/>
          <w:szCs w:val="22"/>
        </w:rPr>
        <w:t>igure 1. Inhibition area in mm</w:t>
      </w:r>
      <w:r w:rsidR="00B02C2C" w:rsidRPr="00016E5F">
        <w:rPr>
          <w:rFonts w:ascii="Times New Roman" w:hAnsi="Times New Roman" w:cs="Times New Roman"/>
          <w:sz w:val="22"/>
          <w:szCs w:val="22"/>
          <w:vertAlign w:val="superscript"/>
        </w:rPr>
        <w:t>2</w:t>
      </w:r>
      <w:r w:rsidR="00B02C2C" w:rsidRPr="00016E5F">
        <w:rPr>
          <w:rFonts w:ascii="Times New Roman" w:hAnsi="Times New Roman" w:cs="Times New Roman"/>
          <w:sz w:val="22"/>
          <w:szCs w:val="22"/>
        </w:rPr>
        <w:t xml:space="preserve"> given on TLC -</w:t>
      </w:r>
      <w:r w:rsidR="00B02C2C" w:rsidRPr="00016E5F">
        <w:rPr>
          <w:rFonts w:ascii="Times New Roman" w:hAnsi="Times New Roman" w:cs="Times New Roman"/>
          <w:i/>
          <w:iCs/>
          <w:sz w:val="22"/>
          <w:szCs w:val="22"/>
        </w:rPr>
        <w:t>Cladosporium</w:t>
      </w:r>
      <w:r w:rsidR="00B02C2C" w:rsidRPr="00016E5F">
        <w:rPr>
          <w:rFonts w:ascii="Times New Roman" w:hAnsi="Times New Roman" w:cs="Times New Roman"/>
          <w:sz w:val="22"/>
          <w:szCs w:val="22"/>
        </w:rPr>
        <w:t xml:space="preserve"> bio assay for peel extracts of fruits and lesion area in mm</w:t>
      </w:r>
      <w:r w:rsidR="00B02C2C" w:rsidRPr="00016E5F">
        <w:rPr>
          <w:rFonts w:ascii="Times New Roman" w:hAnsi="Times New Roman" w:cs="Times New Roman"/>
          <w:sz w:val="22"/>
          <w:szCs w:val="22"/>
          <w:vertAlign w:val="superscript"/>
        </w:rPr>
        <w:t>2</w:t>
      </w:r>
      <w:r w:rsidR="00B02C2C" w:rsidRPr="00016E5F">
        <w:rPr>
          <w:rFonts w:ascii="Times New Roman" w:hAnsi="Times New Roman" w:cs="Times New Roman"/>
          <w:sz w:val="22"/>
          <w:szCs w:val="22"/>
        </w:rPr>
        <w:t xml:space="preserve"> in inoculated fruits of cultivar ‘</w:t>
      </w:r>
      <w:proofErr w:type="spellStart"/>
      <w:r>
        <w:rPr>
          <w:rFonts w:ascii="Times New Roman" w:hAnsi="Times New Roman" w:cs="Times New Roman"/>
          <w:i/>
          <w:iCs/>
          <w:sz w:val="22"/>
          <w:szCs w:val="22"/>
        </w:rPr>
        <w:t>Karutha</w:t>
      </w:r>
      <w:proofErr w:type="spellEnd"/>
      <w:r>
        <w:rPr>
          <w:rFonts w:ascii="Times New Roman" w:hAnsi="Times New Roman" w:cs="Times New Roman"/>
          <w:i/>
          <w:iCs/>
          <w:sz w:val="22"/>
          <w:szCs w:val="22"/>
        </w:rPr>
        <w:t xml:space="preserve"> Colomban</w:t>
      </w:r>
      <w:r w:rsidR="00B02C2C" w:rsidRPr="00016E5F">
        <w:rPr>
          <w:rFonts w:ascii="Times New Roman" w:hAnsi="Times New Roman" w:cs="Times New Roman"/>
          <w:sz w:val="22"/>
          <w:szCs w:val="22"/>
        </w:rPr>
        <w:t xml:space="preserve">’. </w:t>
      </w:r>
    </w:p>
    <w:p w14:paraId="60C80B15" w14:textId="166F751F" w:rsidR="00E1418C" w:rsidRPr="00016E5F" w:rsidRDefault="00ED7842" w:rsidP="00E1418C">
      <w:pPr>
        <w:spacing w:line="480" w:lineRule="auto"/>
        <w:jc w:val="both"/>
        <w:rPr>
          <w:rFonts w:ascii="Times New Roman" w:hAnsi="Times New Roman" w:cs="Times New Roman"/>
          <w:sz w:val="22"/>
          <w:szCs w:val="22"/>
        </w:rPr>
      </w:pPr>
      <w:r>
        <w:rPr>
          <w:rFonts w:ascii="Times New Roman" w:hAnsi="Times New Roman" w:cs="Times New Roman"/>
          <w:sz w:val="22"/>
          <w:szCs w:val="22"/>
        </w:rPr>
        <w:lastRenderedPageBreak/>
        <w:t>A 20 % decline in antifungal activity is seen by the time of disease initiation</w:t>
      </w:r>
      <w:r w:rsidR="008A2D57">
        <w:rPr>
          <w:rFonts w:ascii="Times New Roman" w:hAnsi="Times New Roman" w:cs="Times New Roman"/>
          <w:sz w:val="22"/>
          <w:szCs w:val="22"/>
        </w:rPr>
        <w:t xml:space="preserve"> on day 7</w:t>
      </w:r>
      <w:r>
        <w:rPr>
          <w:rFonts w:ascii="Times New Roman" w:hAnsi="Times New Roman" w:cs="Times New Roman"/>
          <w:sz w:val="22"/>
          <w:szCs w:val="22"/>
        </w:rPr>
        <w:t xml:space="preserve">. The percentage decline in activity is comparable with earlier studies on mango [3] although TLC inhibition areas were somewhat smaller in this study.  </w:t>
      </w:r>
      <w:r w:rsidR="00E1418C" w:rsidRPr="00016E5F">
        <w:rPr>
          <w:rFonts w:ascii="Times New Roman" w:hAnsi="Times New Roman" w:cs="Times New Roman"/>
          <w:sz w:val="22"/>
          <w:szCs w:val="22"/>
        </w:rPr>
        <w:t>It is well established that disease development in tropical and subtropical fruits takes place after decrees in antifungal compounds in fruit peel [2, 3, 9,10, 11,12, 13]</w:t>
      </w:r>
      <w:r>
        <w:rPr>
          <w:rFonts w:ascii="Times New Roman" w:hAnsi="Times New Roman" w:cs="Times New Roman"/>
          <w:sz w:val="22"/>
          <w:szCs w:val="22"/>
        </w:rPr>
        <w:t>. G</w:t>
      </w:r>
      <w:r w:rsidR="00E1418C">
        <w:rPr>
          <w:rFonts w:ascii="Times New Roman" w:hAnsi="Times New Roman" w:cs="Times New Roman"/>
          <w:sz w:val="22"/>
          <w:szCs w:val="22"/>
        </w:rPr>
        <w:t xml:space="preserve">iven the quiescent nature of the anthracnose pathogen, it probably remains in a quiescent state until the level of </w:t>
      </w:r>
      <w:proofErr w:type="spellStart"/>
      <w:r w:rsidR="00E1418C">
        <w:rPr>
          <w:rFonts w:ascii="Times New Roman" w:hAnsi="Times New Roman" w:cs="Times New Roman"/>
          <w:sz w:val="22"/>
          <w:szCs w:val="22"/>
        </w:rPr>
        <w:t>gallotannins</w:t>
      </w:r>
      <w:proofErr w:type="spellEnd"/>
      <w:r w:rsidR="008A2D57">
        <w:rPr>
          <w:rFonts w:ascii="Times New Roman" w:hAnsi="Times New Roman" w:cs="Times New Roman"/>
          <w:sz w:val="22"/>
          <w:szCs w:val="22"/>
        </w:rPr>
        <w:t xml:space="preserve"> and other antifungal compounds </w:t>
      </w:r>
      <w:r w:rsidR="00E1418C">
        <w:rPr>
          <w:rFonts w:ascii="Times New Roman" w:hAnsi="Times New Roman" w:cs="Times New Roman"/>
          <w:sz w:val="22"/>
          <w:szCs w:val="22"/>
        </w:rPr>
        <w:t xml:space="preserve"> declines to sub-fungitoxic levels </w:t>
      </w:r>
      <w:r w:rsidR="008A2D57">
        <w:rPr>
          <w:rFonts w:ascii="Times New Roman" w:hAnsi="Times New Roman" w:cs="Times New Roman"/>
          <w:sz w:val="22"/>
          <w:szCs w:val="22"/>
        </w:rPr>
        <w:t>which takes place around day seven after harvest in cultivar ‘</w:t>
      </w:r>
      <w:proofErr w:type="spellStart"/>
      <w:r w:rsidR="008A2D57">
        <w:rPr>
          <w:rFonts w:ascii="Times New Roman" w:hAnsi="Times New Roman" w:cs="Times New Roman"/>
          <w:sz w:val="22"/>
          <w:szCs w:val="22"/>
        </w:rPr>
        <w:t>Karutha</w:t>
      </w:r>
      <w:proofErr w:type="spellEnd"/>
      <w:r w:rsidR="008A2D57">
        <w:rPr>
          <w:rFonts w:ascii="Times New Roman" w:hAnsi="Times New Roman" w:cs="Times New Roman"/>
          <w:sz w:val="22"/>
          <w:szCs w:val="22"/>
        </w:rPr>
        <w:t xml:space="preserve"> </w:t>
      </w:r>
      <w:proofErr w:type="spellStart"/>
      <w:r w:rsidR="008A2D57">
        <w:rPr>
          <w:rFonts w:ascii="Times New Roman" w:hAnsi="Times New Roman" w:cs="Times New Roman"/>
          <w:sz w:val="22"/>
          <w:szCs w:val="22"/>
        </w:rPr>
        <w:t>colomban</w:t>
      </w:r>
      <w:proofErr w:type="spellEnd"/>
      <w:r w:rsidR="008A2D57">
        <w:rPr>
          <w:rFonts w:ascii="Times New Roman" w:hAnsi="Times New Roman" w:cs="Times New Roman"/>
          <w:sz w:val="22"/>
          <w:szCs w:val="22"/>
        </w:rPr>
        <w:t>’.</w:t>
      </w:r>
      <w:r w:rsidR="00E1418C">
        <w:rPr>
          <w:rFonts w:ascii="Times New Roman" w:hAnsi="Times New Roman" w:cs="Times New Roman"/>
          <w:sz w:val="22"/>
          <w:szCs w:val="22"/>
        </w:rPr>
        <w:t xml:space="preserve"> </w:t>
      </w:r>
      <w:r w:rsidR="00E1418C" w:rsidRPr="00016E5F">
        <w:rPr>
          <w:rFonts w:ascii="Times New Roman" w:hAnsi="Times New Roman" w:cs="Times New Roman"/>
          <w:sz w:val="22"/>
          <w:szCs w:val="22"/>
        </w:rPr>
        <w:t xml:space="preserve"> </w:t>
      </w:r>
    </w:p>
    <w:p w14:paraId="23431D4E" w14:textId="77777777" w:rsidR="00E1418C" w:rsidRPr="00016E5F" w:rsidRDefault="00E1418C" w:rsidP="00E1418C">
      <w:pPr>
        <w:spacing w:line="480" w:lineRule="auto"/>
        <w:rPr>
          <w:rFonts w:ascii="Times New Roman" w:hAnsi="Times New Roman" w:cs="Times New Roman"/>
          <w:sz w:val="22"/>
          <w:szCs w:val="22"/>
        </w:rPr>
      </w:pPr>
    </w:p>
    <w:p w14:paraId="32F0D51C" w14:textId="77777777" w:rsidR="009B492B" w:rsidRPr="00567C85" w:rsidRDefault="00B02C2C" w:rsidP="00E1418C">
      <w:pPr>
        <w:pStyle w:val="ListParagraph"/>
        <w:numPr>
          <w:ilvl w:val="0"/>
          <w:numId w:val="1"/>
        </w:numPr>
        <w:spacing w:line="480" w:lineRule="auto"/>
        <w:rPr>
          <w:rFonts w:ascii="Times New Roman" w:hAnsi="Times New Roman" w:cs="Times New Roman"/>
          <w:b/>
          <w:sz w:val="22"/>
          <w:szCs w:val="22"/>
        </w:rPr>
      </w:pPr>
      <w:r w:rsidRPr="00567C85">
        <w:rPr>
          <w:rFonts w:ascii="Times New Roman" w:hAnsi="Times New Roman" w:cs="Times New Roman"/>
          <w:b/>
          <w:sz w:val="22"/>
          <w:szCs w:val="22"/>
        </w:rPr>
        <w:t xml:space="preserve">CONCLUSION </w:t>
      </w:r>
    </w:p>
    <w:p w14:paraId="3410913F" w14:textId="15F01D9F" w:rsidR="0078759A" w:rsidRPr="00016E5F" w:rsidRDefault="0078759A" w:rsidP="00E1418C">
      <w:pPr>
        <w:pStyle w:val="ListParagraph"/>
        <w:spacing w:line="480" w:lineRule="auto"/>
        <w:rPr>
          <w:rFonts w:ascii="Times New Roman" w:hAnsi="Times New Roman" w:cs="Times New Roman"/>
          <w:sz w:val="22"/>
          <w:szCs w:val="22"/>
        </w:rPr>
      </w:pPr>
      <w:r w:rsidRPr="00016E5F">
        <w:rPr>
          <w:rFonts w:ascii="Times New Roman" w:hAnsi="Times New Roman" w:cs="Times New Roman"/>
          <w:sz w:val="22"/>
          <w:szCs w:val="22"/>
        </w:rPr>
        <w:t xml:space="preserve">It can be concluded that aerial parts </w:t>
      </w:r>
      <w:r w:rsidR="00016E5F">
        <w:rPr>
          <w:rFonts w:ascii="Times New Roman" w:hAnsi="Times New Roman" w:cs="Times New Roman"/>
          <w:sz w:val="22"/>
          <w:szCs w:val="22"/>
        </w:rPr>
        <w:t>of the mango tree such as mango</w:t>
      </w:r>
      <w:r w:rsidRPr="00016E5F">
        <w:rPr>
          <w:rFonts w:ascii="Times New Roman" w:hAnsi="Times New Roman" w:cs="Times New Roman"/>
          <w:sz w:val="22"/>
          <w:szCs w:val="22"/>
        </w:rPr>
        <w:t xml:space="preserve"> florets, young flush and also mature leaves contain antifungal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in addition to fruit peel. The amount of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is higher in reproductive organs such as florets and fruits when compared with vegetative leaves. </w:t>
      </w:r>
      <w:proofErr w:type="spellStart"/>
      <w:r w:rsidRPr="00016E5F">
        <w:rPr>
          <w:rFonts w:ascii="Times New Roman" w:hAnsi="Times New Roman" w:cs="Times New Roman"/>
          <w:sz w:val="22"/>
          <w:szCs w:val="22"/>
        </w:rPr>
        <w:t>Gallotannin</w:t>
      </w:r>
      <w:proofErr w:type="spellEnd"/>
      <w:r w:rsidRPr="00016E5F">
        <w:rPr>
          <w:rFonts w:ascii="Times New Roman" w:hAnsi="Times New Roman" w:cs="Times New Roman"/>
          <w:sz w:val="22"/>
          <w:szCs w:val="22"/>
        </w:rPr>
        <w:t xml:space="preserve"> activity in fruit peel declines </w:t>
      </w:r>
      <w:r w:rsidR="004F18AA">
        <w:rPr>
          <w:rFonts w:ascii="Times New Roman" w:hAnsi="Times New Roman" w:cs="Times New Roman"/>
          <w:sz w:val="22"/>
          <w:szCs w:val="22"/>
        </w:rPr>
        <w:t xml:space="preserve">gradually </w:t>
      </w:r>
      <w:r w:rsidRPr="00016E5F">
        <w:rPr>
          <w:rFonts w:ascii="Times New Roman" w:hAnsi="Times New Roman" w:cs="Times New Roman"/>
          <w:sz w:val="22"/>
          <w:szCs w:val="22"/>
        </w:rPr>
        <w:t xml:space="preserve">after harvest and initiation and spread of anthracnose takes place after </w:t>
      </w:r>
      <w:r w:rsidR="004F18AA">
        <w:rPr>
          <w:rFonts w:ascii="Times New Roman" w:hAnsi="Times New Roman" w:cs="Times New Roman"/>
          <w:sz w:val="22"/>
          <w:szCs w:val="22"/>
        </w:rPr>
        <w:t xml:space="preserve">seven days when </w:t>
      </w:r>
      <w:r w:rsidRPr="00016E5F">
        <w:rPr>
          <w:rFonts w:ascii="Times New Roman" w:hAnsi="Times New Roman" w:cs="Times New Roman"/>
          <w:sz w:val="22"/>
          <w:szCs w:val="22"/>
        </w:rPr>
        <w:t xml:space="preserve">about </w:t>
      </w:r>
      <w:r w:rsidR="00ED7842">
        <w:rPr>
          <w:rFonts w:ascii="Times New Roman" w:hAnsi="Times New Roman" w:cs="Times New Roman"/>
          <w:sz w:val="22"/>
          <w:szCs w:val="22"/>
        </w:rPr>
        <w:t>twenty percent</w:t>
      </w:r>
      <w:r w:rsidRPr="00016E5F">
        <w:rPr>
          <w:rFonts w:ascii="Times New Roman" w:hAnsi="Times New Roman" w:cs="Times New Roman"/>
          <w:sz w:val="22"/>
          <w:szCs w:val="22"/>
        </w:rPr>
        <w:t xml:space="preserve"> of activity has been reduced in the peel of fruits</w:t>
      </w:r>
      <w:r w:rsidR="00016E5F">
        <w:rPr>
          <w:rFonts w:ascii="Times New Roman" w:hAnsi="Times New Roman" w:cs="Times New Roman"/>
          <w:sz w:val="22"/>
          <w:szCs w:val="22"/>
        </w:rPr>
        <w:t xml:space="preserve"> in cultivar </w:t>
      </w:r>
      <w:r w:rsidR="00ED7842">
        <w:rPr>
          <w:rFonts w:ascii="Times New Roman" w:hAnsi="Times New Roman" w:cs="Times New Roman"/>
          <w:i/>
          <w:sz w:val="22"/>
          <w:szCs w:val="22"/>
        </w:rPr>
        <w:t>‘</w:t>
      </w:r>
      <w:proofErr w:type="spellStart"/>
      <w:r w:rsidR="00ED7842">
        <w:rPr>
          <w:rFonts w:ascii="Times New Roman" w:hAnsi="Times New Roman" w:cs="Times New Roman"/>
          <w:i/>
          <w:sz w:val="22"/>
          <w:szCs w:val="22"/>
        </w:rPr>
        <w:t>Karutha</w:t>
      </w:r>
      <w:proofErr w:type="spellEnd"/>
      <w:r w:rsidR="00ED7842">
        <w:rPr>
          <w:rFonts w:ascii="Times New Roman" w:hAnsi="Times New Roman" w:cs="Times New Roman"/>
          <w:i/>
          <w:sz w:val="22"/>
          <w:szCs w:val="22"/>
        </w:rPr>
        <w:t xml:space="preserve"> </w:t>
      </w:r>
      <w:proofErr w:type="spellStart"/>
      <w:r w:rsidR="00ED7842">
        <w:rPr>
          <w:rFonts w:ascii="Times New Roman" w:hAnsi="Times New Roman" w:cs="Times New Roman"/>
          <w:i/>
          <w:sz w:val="22"/>
          <w:szCs w:val="22"/>
        </w:rPr>
        <w:t>colomban</w:t>
      </w:r>
      <w:proofErr w:type="spellEnd"/>
      <w:r w:rsidR="00ED7842">
        <w:rPr>
          <w:rFonts w:ascii="Times New Roman" w:hAnsi="Times New Roman" w:cs="Times New Roman"/>
          <w:i/>
          <w:sz w:val="22"/>
          <w:szCs w:val="22"/>
        </w:rPr>
        <w:t>’</w:t>
      </w:r>
      <w:r w:rsidRPr="00016E5F">
        <w:rPr>
          <w:rFonts w:ascii="Times New Roman" w:hAnsi="Times New Roman" w:cs="Times New Roman"/>
          <w:sz w:val="22"/>
          <w:szCs w:val="22"/>
        </w:rPr>
        <w:t xml:space="preserve">.  </w:t>
      </w:r>
    </w:p>
    <w:p w14:paraId="6E1F6403" w14:textId="3EA8565B" w:rsidR="0078759A" w:rsidRPr="00016E5F" w:rsidRDefault="0078759A" w:rsidP="00E1418C">
      <w:pPr>
        <w:spacing w:line="480" w:lineRule="auto"/>
        <w:rPr>
          <w:rFonts w:ascii="Times New Roman" w:hAnsi="Times New Roman" w:cs="Times New Roman"/>
          <w:sz w:val="22"/>
          <w:szCs w:val="22"/>
        </w:rPr>
      </w:pPr>
    </w:p>
    <w:p w14:paraId="5B05C77C" w14:textId="529F6BB5" w:rsidR="002C3EA8" w:rsidRPr="00016E5F" w:rsidRDefault="002C3EA8" w:rsidP="00E1418C">
      <w:pPr>
        <w:spacing w:line="480" w:lineRule="auto"/>
        <w:rPr>
          <w:rFonts w:ascii="Times New Roman" w:hAnsi="Times New Roman" w:cs="Times New Roman"/>
          <w:sz w:val="22"/>
          <w:szCs w:val="22"/>
        </w:rPr>
      </w:pPr>
      <w:r w:rsidRPr="00016E5F">
        <w:rPr>
          <w:rFonts w:ascii="Times New Roman" w:hAnsi="Times New Roman" w:cs="Times New Roman"/>
          <w:sz w:val="22"/>
          <w:szCs w:val="22"/>
        </w:rPr>
        <w:t xml:space="preserve">References </w:t>
      </w:r>
    </w:p>
    <w:p w14:paraId="4E5E7229" w14:textId="77777777" w:rsidR="00B02C2C" w:rsidRPr="00016E5F" w:rsidRDefault="00B02C2C" w:rsidP="00E1418C">
      <w:pPr>
        <w:spacing w:line="480" w:lineRule="auto"/>
        <w:rPr>
          <w:rFonts w:ascii="Times New Roman" w:hAnsi="Times New Roman" w:cs="Times New Roman"/>
          <w:sz w:val="22"/>
          <w:szCs w:val="22"/>
          <w:lang w:val="en-GB"/>
        </w:rPr>
      </w:pPr>
    </w:p>
    <w:p w14:paraId="0649CAD1" w14:textId="259E6E67" w:rsidR="00023361" w:rsidRPr="00016E5F" w:rsidRDefault="0057263A" w:rsidP="00E1418C">
      <w:pPr>
        <w:pStyle w:val="ListParagraph"/>
        <w:numPr>
          <w:ilvl w:val="0"/>
          <w:numId w:val="2"/>
        </w:numPr>
        <w:spacing w:line="480" w:lineRule="auto"/>
        <w:rPr>
          <w:rFonts w:ascii="Times New Roman" w:hAnsi="Times New Roman" w:cs="Times New Roman"/>
          <w:color w:val="000000"/>
          <w:sz w:val="22"/>
          <w:szCs w:val="22"/>
        </w:rPr>
      </w:pPr>
      <w:r w:rsidRPr="00016E5F">
        <w:rPr>
          <w:rFonts w:ascii="Times New Roman" w:hAnsi="Times New Roman" w:cs="Times New Roman"/>
          <w:color w:val="000000"/>
          <w:sz w:val="22"/>
          <w:szCs w:val="22"/>
        </w:rPr>
        <w:t xml:space="preserve">Berardini, N., Carle, R. and Schieber, A. (2004). Characterization of </w:t>
      </w:r>
      <w:proofErr w:type="spellStart"/>
      <w:r w:rsidRPr="00016E5F">
        <w:rPr>
          <w:rFonts w:ascii="Times New Roman" w:hAnsi="Times New Roman" w:cs="Times New Roman"/>
          <w:color w:val="000000"/>
          <w:sz w:val="22"/>
          <w:szCs w:val="22"/>
        </w:rPr>
        <w:t>gallotannins</w:t>
      </w:r>
      <w:proofErr w:type="spellEnd"/>
      <w:r w:rsidRPr="00016E5F">
        <w:rPr>
          <w:rFonts w:ascii="Times New Roman" w:hAnsi="Times New Roman" w:cs="Times New Roman"/>
          <w:color w:val="000000"/>
          <w:sz w:val="22"/>
          <w:szCs w:val="22"/>
        </w:rPr>
        <w:t xml:space="preserve"> and benzophenone derivatives from mango (</w:t>
      </w:r>
      <w:r w:rsidRPr="00016E5F">
        <w:rPr>
          <w:rFonts w:ascii="Times New Roman" w:hAnsi="Times New Roman" w:cs="Times New Roman"/>
          <w:i/>
          <w:iCs/>
          <w:color w:val="000000"/>
          <w:sz w:val="22"/>
          <w:szCs w:val="22"/>
        </w:rPr>
        <w:t>Mangifera</w:t>
      </w:r>
      <w:r w:rsidRPr="00016E5F">
        <w:rPr>
          <w:rFonts w:ascii="Times New Roman" w:hAnsi="Times New Roman" w:cs="Times New Roman"/>
          <w:color w:val="000000"/>
          <w:sz w:val="22"/>
          <w:szCs w:val="22"/>
        </w:rPr>
        <w:t xml:space="preserve"> </w:t>
      </w:r>
      <w:r w:rsidRPr="00016E5F">
        <w:rPr>
          <w:rFonts w:ascii="Times New Roman" w:hAnsi="Times New Roman" w:cs="Times New Roman"/>
          <w:i/>
          <w:iCs/>
          <w:color w:val="000000"/>
          <w:sz w:val="22"/>
          <w:szCs w:val="22"/>
        </w:rPr>
        <w:t>indica</w:t>
      </w:r>
      <w:r w:rsidRPr="00016E5F">
        <w:rPr>
          <w:rFonts w:ascii="Times New Roman" w:hAnsi="Times New Roman" w:cs="Times New Roman"/>
          <w:color w:val="000000"/>
          <w:sz w:val="22"/>
          <w:szCs w:val="22"/>
        </w:rPr>
        <w:t xml:space="preserve"> L. cv. ‘Tommy Atkins’) peel, pulp and kernels by high-performance liquid chromatography/electrospray ionization mass spectrometry.  </w:t>
      </w:r>
      <w:r w:rsidRPr="00016E5F">
        <w:rPr>
          <w:rFonts w:ascii="Times New Roman" w:hAnsi="Times New Roman" w:cs="Times New Roman"/>
          <w:i/>
          <w:iCs/>
          <w:color w:val="000000"/>
          <w:sz w:val="22"/>
          <w:szCs w:val="22"/>
        </w:rPr>
        <w:t>Rapid Communications in Mass Spectrometry</w:t>
      </w:r>
      <w:r w:rsidRPr="00016E5F">
        <w:rPr>
          <w:rFonts w:ascii="Times New Roman" w:hAnsi="Times New Roman" w:cs="Times New Roman"/>
          <w:color w:val="000000"/>
          <w:sz w:val="22"/>
          <w:szCs w:val="22"/>
        </w:rPr>
        <w:t xml:space="preserve"> </w:t>
      </w:r>
      <w:r w:rsidRPr="00016E5F">
        <w:rPr>
          <w:rFonts w:ascii="Times New Roman" w:hAnsi="Times New Roman" w:cs="Times New Roman"/>
          <w:bCs/>
          <w:color w:val="000000"/>
          <w:sz w:val="22"/>
          <w:szCs w:val="22"/>
        </w:rPr>
        <w:t>18</w:t>
      </w:r>
      <w:r w:rsidRPr="00016E5F">
        <w:rPr>
          <w:rFonts w:ascii="Times New Roman" w:hAnsi="Times New Roman" w:cs="Times New Roman"/>
          <w:color w:val="000000"/>
          <w:sz w:val="22"/>
          <w:szCs w:val="22"/>
        </w:rPr>
        <w:t>, 2208-2216.</w:t>
      </w:r>
    </w:p>
    <w:p w14:paraId="5C7C9511" w14:textId="77777777" w:rsidR="0057263A" w:rsidRPr="00016E5F" w:rsidRDefault="0057263A" w:rsidP="00E1418C">
      <w:pPr>
        <w:spacing w:line="480" w:lineRule="auto"/>
        <w:rPr>
          <w:rFonts w:ascii="Times New Roman" w:hAnsi="Times New Roman" w:cs="Times New Roman"/>
          <w:color w:val="000000"/>
          <w:sz w:val="22"/>
          <w:szCs w:val="22"/>
        </w:rPr>
      </w:pPr>
    </w:p>
    <w:p w14:paraId="0CA2E705" w14:textId="63041AC5" w:rsidR="0057263A" w:rsidRPr="00016E5F" w:rsidRDefault="0057263A" w:rsidP="00E1418C">
      <w:pPr>
        <w:pStyle w:val="ListParagraph"/>
        <w:numPr>
          <w:ilvl w:val="0"/>
          <w:numId w:val="2"/>
        </w:numPr>
        <w:autoSpaceDE w:val="0"/>
        <w:autoSpaceDN w:val="0"/>
        <w:adjustRightInd w:val="0"/>
        <w:spacing w:after="0" w:line="480" w:lineRule="auto"/>
        <w:rPr>
          <w:rFonts w:ascii="Times New Roman" w:hAnsi="Times New Roman" w:cs="Times New Roman"/>
          <w:kern w:val="0"/>
          <w:sz w:val="22"/>
          <w:szCs w:val="22"/>
          <w:lang w:bidi="ar-SA"/>
        </w:rPr>
      </w:pPr>
      <w:r w:rsidRPr="00016E5F">
        <w:rPr>
          <w:rFonts w:ascii="Times New Roman" w:hAnsi="Times New Roman" w:cs="Times New Roman"/>
          <w:kern w:val="0"/>
          <w:sz w:val="22"/>
          <w:szCs w:val="22"/>
          <w:lang w:bidi="ar-SA"/>
        </w:rPr>
        <w:lastRenderedPageBreak/>
        <w:t xml:space="preserve">Karunanayake, L.C., </w:t>
      </w:r>
      <w:proofErr w:type="spellStart"/>
      <w:r w:rsidRPr="00016E5F">
        <w:rPr>
          <w:rFonts w:ascii="Times New Roman" w:hAnsi="Times New Roman" w:cs="Times New Roman"/>
          <w:kern w:val="0"/>
          <w:sz w:val="22"/>
          <w:szCs w:val="22"/>
          <w:lang w:bidi="ar-SA"/>
        </w:rPr>
        <w:t>Adikaram</w:t>
      </w:r>
      <w:proofErr w:type="spellEnd"/>
      <w:r w:rsidRPr="00016E5F">
        <w:rPr>
          <w:rFonts w:ascii="Times New Roman" w:hAnsi="Times New Roman" w:cs="Times New Roman"/>
          <w:kern w:val="0"/>
          <w:sz w:val="22"/>
          <w:szCs w:val="22"/>
          <w:lang w:bidi="ar-SA"/>
        </w:rPr>
        <w:t xml:space="preserve">, N.K.B., </w:t>
      </w:r>
      <w:proofErr w:type="spellStart"/>
      <w:r w:rsidRPr="00016E5F">
        <w:rPr>
          <w:rFonts w:ascii="Times New Roman" w:hAnsi="Times New Roman" w:cs="Times New Roman"/>
          <w:kern w:val="0"/>
          <w:sz w:val="22"/>
          <w:szCs w:val="22"/>
          <w:lang w:bidi="ar-SA"/>
        </w:rPr>
        <w:t>Kumarihamy</w:t>
      </w:r>
      <w:proofErr w:type="spellEnd"/>
      <w:r w:rsidRPr="00016E5F">
        <w:rPr>
          <w:rFonts w:ascii="Times New Roman" w:hAnsi="Times New Roman" w:cs="Times New Roman"/>
          <w:kern w:val="0"/>
          <w:sz w:val="22"/>
          <w:szCs w:val="22"/>
          <w:lang w:bidi="ar-SA"/>
        </w:rPr>
        <w:t>, B.M.M, Bandara, B.M.R. and</w:t>
      </w:r>
    </w:p>
    <w:p w14:paraId="608556CC" w14:textId="77777777" w:rsidR="0057263A" w:rsidRPr="00016E5F" w:rsidRDefault="0057263A" w:rsidP="00E1418C">
      <w:pPr>
        <w:autoSpaceDE w:val="0"/>
        <w:autoSpaceDN w:val="0"/>
        <w:adjustRightInd w:val="0"/>
        <w:spacing w:after="0" w:line="480" w:lineRule="auto"/>
        <w:ind w:firstLine="720"/>
        <w:rPr>
          <w:rFonts w:ascii="Times New Roman" w:hAnsi="Times New Roman" w:cs="Times New Roman"/>
          <w:kern w:val="0"/>
          <w:sz w:val="22"/>
          <w:szCs w:val="22"/>
          <w:lang w:bidi="ar-SA"/>
        </w:rPr>
      </w:pPr>
      <w:r w:rsidRPr="00016E5F">
        <w:rPr>
          <w:rFonts w:ascii="Times New Roman" w:hAnsi="Times New Roman" w:cs="Times New Roman"/>
          <w:kern w:val="0"/>
          <w:sz w:val="22"/>
          <w:szCs w:val="22"/>
          <w:lang w:bidi="ar-SA"/>
        </w:rPr>
        <w:t xml:space="preserve">Abayasekara C.L. (2011). Role of antifungal </w:t>
      </w:r>
      <w:proofErr w:type="spellStart"/>
      <w:r w:rsidRPr="00016E5F">
        <w:rPr>
          <w:rFonts w:ascii="Times New Roman" w:hAnsi="Times New Roman" w:cs="Times New Roman"/>
          <w:kern w:val="0"/>
          <w:sz w:val="22"/>
          <w:szCs w:val="22"/>
          <w:lang w:bidi="ar-SA"/>
        </w:rPr>
        <w:t>gallotannins</w:t>
      </w:r>
      <w:proofErr w:type="spellEnd"/>
      <w:r w:rsidRPr="00016E5F">
        <w:rPr>
          <w:rFonts w:ascii="Times New Roman" w:hAnsi="Times New Roman" w:cs="Times New Roman"/>
          <w:kern w:val="0"/>
          <w:sz w:val="22"/>
          <w:szCs w:val="22"/>
          <w:lang w:bidi="ar-SA"/>
        </w:rPr>
        <w:t xml:space="preserve">, </w:t>
      </w:r>
      <w:proofErr w:type="spellStart"/>
      <w:r w:rsidRPr="00016E5F">
        <w:rPr>
          <w:rFonts w:ascii="Times New Roman" w:hAnsi="Times New Roman" w:cs="Times New Roman"/>
          <w:kern w:val="0"/>
          <w:sz w:val="22"/>
          <w:szCs w:val="22"/>
          <w:lang w:bidi="ar-SA"/>
        </w:rPr>
        <w:t>resorcinols</w:t>
      </w:r>
      <w:proofErr w:type="spellEnd"/>
      <w:r w:rsidRPr="00016E5F">
        <w:rPr>
          <w:rFonts w:ascii="Times New Roman" w:hAnsi="Times New Roman" w:cs="Times New Roman"/>
          <w:kern w:val="0"/>
          <w:sz w:val="22"/>
          <w:szCs w:val="22"/>
          <w:lang w:bidi="ar-SA"/>
        </w:rPr>
        <w:t xml:space="preserve"> and chitinases in</w:t>
      </w:r>
    </w:p>
    <w:p w14:paraId="765FC1D9" w14:textId="77777777" w:rsidR="0057263A" w:rsidRPr="00016E5F" w:rsidRDefault="0057263A" w:rsidP="00E1418C">
      <w:pPr>
        <w:autoSpaceDE w:val="0"/>
        <w:autoSpaceDN w:val="0"/>
        <w:adjustRightInd w:val="0"/>
        <w:spacing w:after="0" w:line="480" w:lineRule="auto"/>
        <w:ind w:firstLine="720"/>
        <w:rPr>
          <w:rFonts w:ascii="Times New Roman" w:hAnsi="Times New Roman" w:cs="Times New Roman"/>
          <w:kern w:val="0"/>
          <w:sz w:val="22"/>
          <w:szCs w:val="22"/>
          <w:lang w:bidi="ar-SA"/>
        </w:rPr>
      </w:pPr>
      <w:r w:rsidRPr="00016E5F">
        <w:rPr>
          <w:rFonts w:ascii="Times New Roman" w:hAnsi="Times New Roman" w:cs="Times New Roman"/>
          <w:kern w:val="0"/>
          <w:sz w:val="22"/>
          <w:szCs w:val="22"/>
          <w:lang w:bidi="ar-SA"/>
        </w:rPr>
        <w:t xml:space="preserve">the constitutive </w:t>
      </w:r>
      <w:proofErr w:type="spellStart"/>
      <w:r w:rsidRPr="00016E5F">
        <w:rPr>
          <w:rFonts w:ascii="Times New Roman" w:hAnsi="Times New Roman" w:cs="Times New Roman"/>
          <w:kern w:val="0"/>
          <w:sz w:val="22"/>
          <w:szCs w:val="22"/>
          <w:lang w:bidi="ar-SA"/>
        </w:rPr>
        <w:t>defence</w:t>
      </w:r>
      <w:proofErr w:type="spellEnd"/>
      <w:r w:rsidRPr="00016E5F">
        <w:rPr>
          <w:rFonts w:ascii="Times New Roman" w:hAnsi="Times New Roman" w:cs="Times New Roman"/>
          <w:kern w:val="0"/>
          <w:sz w:val="22"/>
          <w:szCs w:val="22"/>
          <w:lang w:bidi="ar-SA"/>
        </w:rPr>
        <w:t xml:space="preserve"> of immature mango (</w:t>
      </w:r>
      <w:r w:rsidRPr="00016E5F">
        <w:rPr>
          <w:rFonts w:ascii="Times New Roman" w:hAnsi="Times New Roman" w:cs="Times New Roman"/>
          <w:i/>
          <w:iCs/>
          <w:kern w:val="0"/>
          <w:sz w:val="22"/>
          <w:szCs w:val="22"/>
          <w:lang w:bidi="ar-SA"/>
        </w:rPr>
        <w:t xml:space="preserve">Mangifera indica </w:t>
      </w:r>
      <w:r w:rsidRPr="00016E5F">
        <w:rPr>
          <w:rFonts w:ascii="Times New Roman" w:hAnsi="Times New Roman" w:cs="Times New Roman"/>
          <w:kern w:val="0"/>
          <w:sz w:val="22"/>
          <w:szCs w:val="22"/>
          <w:lang w:bidi="ar-SA"/>
        </w:rPr>
        <w:t>L) against Colletotrichum</w:t>
      </w:r>
    </w:p>
    <w:p w14:paraId="326F9900" w14:textId="529C97B2" w:rsidR="0057263A" w:rsidRPr="00016E5F" w:rsidRDefault="0057263A" w:rsidP="00E1418C">
      <w:pPr>
        <w:spacing w:line="480" w:lineRule="auto"/>
        <w:ind w:firstLine="720"/>
        <w:rPr>
          <w:rFonts w:ascii="Times New Roman" w:hAnsi="Times New Roman" w:cs="Times New Roman"/>
          <w:kern w:val="0"/>
          <w:sz w:val="22"/>
          <w:szCs w:val="22"/>
          <w:lang w:bidi="ar-SA"/>
        </w:rPr>
      </w:pPr>
      <w:proofErr w:type="spellStart"/>
      <w:r w:rsidRPr="00016E5F">
        <w:rPr>
          <w:rFonts w:ascii="Times New Roman" w:hAnsi="Times New Roman" w:cs="Times New Roman"/>
          <w:kern w:val="0"/>
          <w:sz w:val="22"/>
          <w:szCs w:val="22"/>
          <w:lang w:bidi="ar-SA"/>
        </w:rPr>
        <w:t>gloeosporioides</w:t>
      </w:r>
      <w:proofErr w:type="spellEnd"/>
      <w:r w:rsidRPr="00016E5F">
        <w:rPr>
          <w:rFonts w:ascii="Times New Roman" w:hAnsi="Times New Roman" w:cs="Times New Roman"/>
          <w:kern w:val="0"/>
          <w:sz w:val="22"/>
          <w:szCs w:val="22"/>
          <w:lang w:bidi="ar-SA"/>
        </w:rPr>
        <w:t xml:space="preserve">. (2011). </w:t>
      </w:r>
      <w:r w:rsidRPr="00016E5F">
        <w:rPr>
          <w:rFonts w:ascii="Times New Roman" w:hAnsi="Times New Roman" w:cs="Times New Roman"/>
          <w:i/>
          <w:iCs/>
          <w:kern w:val="0"/>
          <w:sz w:val="22"/>
          <w:szCs w:val="22"/>
          <w:lang w:bidi="ar-SA"/>
        </w:rPr>
        <w:t xml:space="preserve">Journal of Phytopathology </w:t>
      </w:r>
      <w:r w:rsidRPr="00016E5F">
        <w:rPr>
          <w:rFonts w:ascii="Times New Roman" w:hAnsi="Times New Roman" w:cs="Times New Roman"/>
          <w:kern w:val="0"/>
          <w:sz w:val="22"/>
          <w:szCs w:val="22"/>
          <w:lang w:bidi="ar-SA"/>
        </w:rPr>
        <w:t>159, pp 657-664.</w:t>
      </w:r>
    </w:p>
    <w:p w14:paraId="77EA862E" w14:textId="77777777" w:rsidR="0057263A" w:rsidRPr="00016E5F" w:rsidRDefault="0057263A" w:rsidP="00E1418C">
      <w:pPr>
        <w:spacing w:line="480" w:lineRule="auto"/>
        <w:rPr>
          <w:rFonts w:ascii="Times New Roman" w:hAnsi="Times New Roman" w:cs="Times New Roman"/>
          <w:kern w:val="0"/>
          <w:sz w:val="22"/>
          <w:szCs w:val="22"/>
          <w:lang w:bidi="ar-SA"/>
        </w:rPr>
      </w:pPr>
    </w:p>
    <w:p w14:paraId="6C8931B0" w14:textId="648A261E" w:rsidR="0057263A" w:rsidRPr="00016E5F" w:rsidRDefault="0057263A" w:rsidP="00E1418C">
      <w:pPr>
        <w:autoSpaceDE w:val="0"/>
        <w:autoSpaceDN w:val="0"/>
        <w:adjustRightInd w:val="0"/>
        <w:spacing w:after="0" w:line="480" w:lineRule="auto"/>
        <w:ind w:firstLine="720"/>
        <w:rPr>
          <w:rFonts w:ascii="Times New Roman" w:hAnsi="Times New Roman" w:cs="Times New Roman"/>
          <w:color w:val="121312"/>
          <w:kern w:val="0"/>
          <w:sz w:val="22"/>
          <w:szCs w:val="22"/>
          <w:lang w:bidi="ar-SA"/>
        </w:rPr>
      </w:pPr>
      <w:r w:rsidRPr="00016E5F">
        <w:rPr>
          <w:rFonts w:ascii="Times New Roman" w:hAnsi="Times New Roman" w:cs="Times New Roman"/>
          <w:color w:val="121312"/>
          <w:kern w:val="0"/>
          <w:sz w:val="22"/>
          <w:szCs w:val="22"/>
          <w:lang w:bidi="ar-SA"/>
        </w:rPr>
        <w:t xml:space="preserve">3. Karunanayake, K. O. L. C., </w:t>
      </w:r>
      <w:proofErr w:type="spellStart"/>
      <w:r w:rsidRPr="00016E5F">
        <w:rPr>
          <w:rFonts w:ascii="Times New Roman" w:hAnsi="Times New Roman" w:cs="Times New Roman"/>
          <w:color w:val="121312"/>
          <w:kern w:val="0"/>
          <w:sz w:val="22"/>
          <w:szCs w:val="22"/>
          <w:lang w:bidi="ar-SA"/>
        </w:rPr>
        <w:t>Sinniah</w:t>
      </w:r>
      <w:proofErr w:type="spellEnd"/>
      <w:r w:rsidRPr="00016E5F">
        <w:rPr>
          <w:rFonts w:ascii="Times New Roman" w:hAnsi="Times New Roman" w:cs="Times New Roman"/>
          <w:color w:val="121312"/>
          <w:kern w:val="0"/>
          <w:sz w:val="22"/>
          <w:szCs w:val="22"/>
          <w:lang w:bidi="ar-SA"/>
        </w:rPr>
        <w:t xml:space="preserve">, G. D., </w:t>
      </w:r>
      <w:proofErr w:type="spellStart"/>
      <w:r w:rsidRPr="00016E5F">
        <w:rPr>
          <w:rFonts w:ascii="Times New Roman" w:hAnsi="Times New Roman" w:cs="Times New Roman"/>
          <w:color w:val="121312"/>
          <w:kern w:val="0"/>
          <w:sz w:val="22"/>
          <w:szCs w:val="22"/>
          <w:lang w:bidi="ar-SA"/>
        </w:rPr>
        <w:t>Adikaram</w:t>
      </w:r>
      <w:proofErr w:type="spellEnd"/>
      <w:r w:rsidRPr="00016E5F">
        <w:rPr>
          <w:rFonts w:ascii="Times New Roman" w:hAnsi="Times New Roman" w:cs="Times New Roman"/>
          <w:color w:val="121312"/>
          <w:kern w:val="0"/>
          <w:sz w:val="22"/>
          <w:szCs w:val="22"/>
          <w:lang w:bidi="ar-SA"/>
        </w:rPr>
        <w:t>, N. K. B and Abayasekara, C. L</w:t>
      </w:r>
    </w:p>
    <w:p w14:paraId="6644171C" w14:textId="77777777" w:rsidR="0057263A" w:rsidRPr="00016E5F" w:rsidRDefault="0057263A" w:rsidP="00E1418C">
      <w:pPr>
        <w:autoSpaceDE w:val="0"/>
        <w:autoSpaceDN w:val="0"/>
        <w:adjustRightInd w:val="0"/>
        <w:spacing w:after="0" w:line="480" w:lineRule="auto"/>
        <w:ind w:firstLine="720"/>
        <w:rPr>
          <w:rFonts w:ascii="Times New Roman" w:hAnsi="Times New Roman" w:cs="Times New Roman"/>
          <w:color w:val="121312"/>
          <w:kern w:val="0"/>
          <w:sz w:val="22"/>
          <w:szCs w:val="22"/>
          <w:lang w:bidi="ar-SA"/>
        </w:rPr>
      </w:pPr>
      <w:r w:rsidRPr="00016E5F">
        <w:rPr>
          <w:rFonts w:ascii="Times New Roman" w:hAnsi="Times New Roman" w:cs="Times New Roman"/>
          <w:color w:val="121312"/>
          <w:kern w:val="0"/>
          <w:sz w:val="22"/>
          <w:szCs w:val="22"/>
          <w:lang w:bidi="ar-SA"/>
        </w:rPr>
        <w:t>(2014). Cultivar differences in antifungal activity and the resistance to postharvest</w:t>
      </w:r>
    </w:p>
    <w:p w14:paraId="7B2A9D8D" w14:textId="55A3EE65" w:rsidR="0057263A" w:rsidRPr="00016E5F" w:rsidRDefault="0057263A" w:rsidP="00E1418C">
      <w:pPr>
        <w:autoSpaceDE w:val="0"/>
        <w:autoSpaceDN w:val="0"/>
        <w:adjustRightInd w:val="0"/>
        <w:spacing w:after="0" w:line="480" w:lineRule="auto"/>
        <w:ind w:left="720"/>
        <w:rPr>
          <w:rFonts w:ascii="Times New Roman" w:hAnsi="Times New Roman" w:cs="Times New Roman"/>
          <w:color w:val="121312"/>
          <w:kern w:val="0"/>
          <w:sz w:val="22"/>
          <w:szCs w:val="22"/>
          <w:lang w:bidi="ar-SA"/>
        </w:rPr>
      </w:pPr>
      <w:r w:rsidRPr="00016E5F">
        <w:rPr>
          <w:rFonts w:ascii="Times New Roman" w:hAnsi="Times New Roman" w:cs="Times New Roman"/>
          <w:color w:val="121312"/>
          <w:kern w:val="0"/>
          <w:sz w:val="22"/>
          <w:szCs w:val="22"/>
          <w:lang w:bidi="ar-SA"/>
        </w:rPr>
        <w:t xml:space="preserve">anthracnose and stem-end rot in mango (Mangifera indica L.). </w:t>
      </w:r>
      <w:r w:rsidRPr="00016E5F">
        <w:rPr>
          <w:rFonts w:ascii="Times New Roman" w:hAnsi="Times New Roman" w:cs="Times New Roman"/>
          <w:i/>
          <w:iCs/>
          <w:color w:val="121312"/>
          <w:kern w:val="0"/>
          <w:sz w:val="22"/>
          <w:szCs w:val="22"/>
          <w:lang w:bidi="ar-SA"/>
        </w:rPr>
        <w:t xml:space="preserve">Australasian Plant Pathology </w:t>
      </w:r>
      <w:r w:rsidRPr="00016E5F">
        <w:rPr>
          <w:rFonts w:ascii="Times New Roman" w:hAnsi="Times New Roman" w:cs="Times New Roman"/>
          <w:color w:val="121312"/>
          <w:kern w:val="0"/>
          <w:sz w:val="22"/>
          <w:szCs w:val="22"/>
          <w:lang w:bidi="ar-SA"/>
        </w:rPr>
        <w:t>43, pp 151-159.</w:t>
      </w:r>
    </w:p>
    <w:p w14:paraId="0CFD723C" w14:textId="77777777" w:rsidR="0057263A" w:rsidRPr="00016E5F" w:rsidRDefault="0057263A" w:rsidP="00E1418C">
      <w:pPr>
        <w:autoSpaceDE w:val="0"/>
        <w:autoSpaceDN w:val="0"/>
        <w:adjustRightInd w:val="0"/>
        <w:spacing w:after="0" w:line="480" w:lineRule="auto"/>
        <w:rPr>
          <w:rFonts w:ascii="Times New Roman" w:hAnsi="Times New Roman" w:cs="Times New Roman"/>
          <w:i/>
          <w:iCs/>
          <w:color w:val="121312"/>
          <w:kern w:val="0"/>
          <w:sz w:val="22"/>
          <w:szCs w:val="22"/>
          <w:lang w:bidi="ar-SA"/>
        </w:rPr>
      </w:pPr>
    </w:p>
    <w:p w14:paraId="1202D3C8" w14:textId="0021A92A" w:rsidR="001F0BAB" w:rsidRPr="00016E5F" w:rsidRDefault="001F0BAB" w:rsidP="00E1418C">
      <w:pPr>
        <w:pStyle w:val="ListParagraph"/>
        <w:numPr>
          <w:ilvl w:val="0"/>
          <w:numId w:val="4"/>
        </w:numPr>
        <w:spacing w:line="480" w:lineRule="auto"/>
        <w:rPr>
          <w:rFonts w:ascii="Times New Roman" w:hAnsi="Times New Roman" w:cs="Times New Roman"/>
          <w:sz w:val="22"/>
          <w:szCs w:val="22"/>
        </w:rPr>
      </w:pPr>
      <w:r w:rsidRPr="00016E5F">
        <w:rPr>
          <w:rFonts w:ascii="Times New Roman" w:hAnsi="Times New Roman" w:cs="Times New Roman"/>
          <w:sz w:val="22"/>
          <w:szCs w:val="22"/>
        </w:rPr>
        <w:t>Kim, H.; Castellon-</w:t>
      </w:r>
      <w:proofErr w:type="spellStart"/>
      <w:r w:rsidRPr="00016E5F">
        <w:rPr>
          <w:rFonts w:ascii="Times New Roman" w:hAnsi="Times New Roman" w:cs="Times New Roman"/>
          <w:sz w:val="22"/>
          <w:szCs w:val="22"/>
        </w:rPr>
        <w:t>Chicas</w:t>
      </w:r>
      <w:proofErr w:type="spellEnd"/>
      <w:r w:rsidRPr="00016E5F">
        <w:rPr>
          <w:rFonts w:ascii="Times New Roman" w:hAnsi="Times New Roman" w:cs="Times New Roman"/>
          <w:sz w:val="22"/>
          <w:szCs w:val="22"/>
        </w:rPr>
        <w:t>, M.J.; Arbizu, S.; Talcott, S.T.; Drury, N.L.; Smith, S.; Mertens-Talcott, S.U. (2021). Mango (Mangifera indica L.) Polyphenols: Anti-Inﬂammatory Intestinal Microbial Health Beneﬁts, and Associated Mechanisms of Actions. Molecules 2021,26, 2732.</w:t>
      </w:r>
      <w:r w:rsidR="00806ED2" w:rsidRPr="00016E5F">
        <w:rPr>
          <w:rFonts w:ascii="Times New Roman" w:hAnsi="Times New Roman" w:cs="Times New Roman"/>
          <w:sz w:val="22"/>
          <w:szCs w:val="22"/>
        </w:rPr>
        <w:t xml:space="preserve"> </w:t>
      </w:r>
      <w:r w:rsidRPr="00016E5F">
        <w:rPr>
          <w:rFonts w:ascii="Times New Roman" w:hAnsi="Times New Roman" w:cs="Times New Roman"/>
          <w:sz w:val="22"/>
          <w:szCs w:val="22"/>
        </w:rPr>
        <w:t xml:space="preserve">https://doi.org/10.3390/molecules26092732 </w:t>
      </w:r>
    </w:p>
    <w:p w14:paraId="16681621" w14:textId="77777777" w:rsidR="00DA42F9" w:rsidRPr="00016E5F" w:rsidRDefault="00DA42F9" w:rsidP="00E1418C">
      <w:pPr>
        <w:spacing w:line="480" w:lineRule="auto"/>
        <w:rPr>
          <w:rFonts w:ascii="Times New Roman" w:hAnsi="Times New Roman" w:cs="Times New Roman"/>
          <w:sz w:val="22"/>
          <w:szCs w:val="22"/>
        </w:rPr>
      </w:pPr>
    </w:p>
    <w:p w14:paraId="6D160EB2" w14:textId="0320088F" w:rsidR="00DA42F9" w:rsidRPr="00016E5F" w:rsidRDefault="00DA42F9" w:rsidP="00E1418C">
      <w:pPr>
        <w:pStyle w:val="ListParagraph"/>
        <w:numPr>
          <w:ilvl w:val="0"/>
          <w:numId w:val="4"/>
        </w:numPr>
        <w:spacing w:line="480" w:lineRule="auto"/>
        <w:rPr>
          <w:rFonts w:ascii="Times New Roman" w:hAnsi="Times New Roman" w:cs="Times New Roman"/>
          <w:sz w:val="22"/>
          <w:szCs w:val="22"/>
        </w:rPr>
      </w:pPr>
      <w:proofErr w:type="spellStart"/>
      <w:r w:rsidRPr="00016E5F">
        <w:rPr>
          <w:rFonts w:ascii="Times New Roman" w:hAnsi="Times New Roman" w:cs="Times New Roman"/>
          <w:sz w:val="22"/>
          <w:szCs w:val="22"/>
        </w:rPr>
        <w:t>Fenglei</w:t>
      </w:r>
      <w:proofErr w:type="spellEnd"/>
      <w:r w:rsidRPr="00016E5F">
        <w:rPr>
          <w:rFonts w:ascii="Times New Roman" w:hAnsi="Times New Roman" w:cs="Times New Roman"/>
          <w:sz w:val="22"/>
          <w:szCs w:val="22"/>
        </w:rPr>
        <w:t xml:space="preserve"> Luo, Yingying Fu, Yu Xiang, </w:t>
      </w:r>
      <w:proofErr w:type="spellStart"/>
      <w:r w:rsidRPr="00016E5F">
        <w:rPr>
          <w:rFonts w:ascii="Times New Roman" w:hAnsi="Times New Roman" w:cs="Times New Roman"/>
          <w:sz w:val="22"/>
          <w:szCs w:val="22"/>
        </w:rPr>
        <w:t>Shuxia</w:t>
      </w:r>
      <w:proofErr w:type="spellEnd"/>
      <w:r w:rsidRPr="00016E5F">
        <w:rPr>
          <w:rFonts w:ascii="Times New Roman" w:hAnsi="Times New Roman" w:cs="Times New Roman"/>
          <w:sz w:val="22"/>
          <w:szCs w:val="22"/>
        </w:rPr>
        <w:t xml:space="preserve"> Yan, </w:t>
      </w:r>
      <w:proofErr w:type="spellStart"/>
      <w:r w:rsidRPr="00016E5F">
        <w:rPr>
          <w:rFonts w:ascii="Times New Roman" w:hAnsi="Times New Roman" w:cs="Times New Roman"/>
          <w:sz w:val="22"/>
          <w:szCs w:val="22"/>
        </w:rPr>
        <w:t>Guibing</w:t>
      </w:r>
      <w:proofErr w:type="spellEnd"/>
      <w:r w:rsidRPr="00016E5F">
        <w:rPr>
          <w:rFonts w:ascii="Times New Roman" w:hAnsi="Times New Roman" w:cs="Times New Roman"/>
          <w:sz w:val="22"/>
          <w:szCs w:val="22"/>
        </w:rPr>
        <w:t xml:space="preserve"> Hu, </w:t>
      </w:r>
      <w:proofErr w:type="spellStart"/>
      <w:r w:rsidRPr="00016E5F">
        <w:rPr>
          <w:rFonts w:ascii="Times New Roman" w:hAnsi="Times New Roman" w:cs="Times New Roman"/>
          <w:sz w:val="22"/>
          <w:szCs w:val="22"/>
        </w:rPr>
        <w:t>Xuming</w:t>
      </w:r>
      <w:proofErr w:type="spellEnd"/>
      <w:r w:rsidRPr="00016E5F">
        <w:rPr>
          <w:rFonts w:ascii="Times New Roman" w:hAnsi="Times New Roman" w:cs="Times New Roman"/>
          <w:sz w:val="22"/>
          <w:szCs w:val="22"/>
        </w:rPr>
        <w:t xml:space="preserve"> Huang, </w:t>
      </w:r>
      <w:proofErr w:type="spellStart"/>
      <w:r w:rsidRPr="00016E5F">
        <w:rPr>
          <w:rFonts w:ascii="Times New Roman" w:hAnsi="Times New Roman" w:cs="Times New Roman"/>
          <w:sz w:val="22"/>
          <w:szCs w:val="22"/>
        </w:rPr>
        <w:t>Guodi</w:t>
      </w:r>
      <w:proofErr w:type="spellEnd"/>
      <w:r w:rsidRPr="00016E5F">
        <w:rPr>
          <w:rFonts w:ascii="Times New Roman" w:hAnsi="Times New Roman" w:cs="Times New Roman"/>
          <w:sz w:val="22"/>
          <w:szCs w:val="22"/>
        </w:rPr>
        <w:t xml:space="preserve"> Huang, </w:t>
      </w:r>
      <w:proofErr w:type="spellStart"/>
      <w:r w:rsidRPr="00016E5F">
        <w:rPr>
          <w:rFonts w:ascii="Times New Roman" w:hAnsi="Times New Roman" w:cs="Times New Roman"/>
          <w:sz w:val="22"/>
          <w:szCs w:val="22"/>
        </w:rPr>
        <w:t>Chongde</w:t>
      </w:r>
      <w:proofErr w:type="spellEnd"/>
      <w:r w:rsidRPr="00016E5F">
        <w:rPr>
          <w:rFonts w:ascii="Times New Roman" w:hAnsi="Times New Roman" w:cs="Times New Roman"/>
          <w:sz w:val="22"/>
          <w:szCs w:val="22"/>
        </w:rPr>
        <w:t xml:space="preserve"> Sun, Xian Li, </w:t>
      </w:r>
      <w:proofErr w:type="spellStart"/>
      <w:r w:rsidRPr="00016E5F">
        <w:rPr>
          <w:rFonts w:ascii="Times New Roman" w:hAnsi="Times New Roman" w:cs="Times New Roman"/>
          <w:sz w:val="22"/>
          <w:szCs w:val="22"/>
        </w:rPr>
        <w:t>Kunsong</w:t>
      </w:r>
      <w:proofErr w:type="spellEnd"/>
      <w:r w:rsidRPr="00016E5F">
        <w:rPr>
          <w:rFonts w:ascii="Times New Roman" w:hAnsi="Times New Roman" w:cs="Times New Roman"/>
          <w:sz w:val="22"/>
          <w:szCs w:val="22"/>
        </w:rPr>
        <w:t xml:space="preserve"> Chen (2014). Identification and quantification of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in mango (Mangifera indica L.) kernel and peel and their antiproliferative activities, Journal of Functional Foods, Volume 8,Pages 282-291,</w:t>
      </w:r>
      <w:r w:rsidR="00806ED2" w:rsidRPr="00016E5F">
        <w:rPr>
          <w:rFonts w:ascii="Times New Roman" w:hAnsi="Times New Roman" w:cs="Times New Roman"/>
          <w:sz w:val="22"/>
          <w:szCs w:val="22"/>
        </w:rPr>
        <w:t xml:space="preserve"> </w:t>
      </w:r>
      <w:r w:rsidRPr="00016E5F">
        <w:rPr>
          <w:rFonts w:ascii="Times New Roman" w:hAnsi="Times New Roman" w:cs="Times New Roman"/>
          <w:sz w:val="22"/>
          <w:szCs w:val="22"/>
        </w:rPr>
        <w:t>ISSN 1756-4646,</w:t>
      </w:r>
      <w:r w:rsidR="00806ED2" w:rsidRPr="00016E5F">
        <w:rPr>
          <w:rFonts w:ascii="Times New Roman" w:hAnsi="Times New Roman" w:cs="Times New Roman"/>
          <w:sz w:val="22"/>
          <w:szCs w:val="22"/>
        </w:rPr>
        <w:t xml:space="preserve"> </w:t>
      </w:r>
      <w:r w:rsidRPr="00016E5F">
        <w:rPr>
          <w:rFonts w:ascii="Times New Roman" w:hAnsi="Times New Roman" w:cs="Times New Roman"/>
          <w:sz w:val="22"/>
          <w:szCs w:val="22"/>
        </w:rPr>
        <w:t>https://doi.org/10.1016/j.jff.2014.03.030.</w:t>
      </w:r>
    </w:p>
    <w:p w14:paraId="3CA06DB9" w14:textId="2D7F3AFF" w:rsidR="000E52F8" w:rsidRPr="00016E5F" w:rsidRDefault="000E52F8" w:rsidP="00E1418C">
      <w:pPr>
        <w:spacing w:line="480" w:lineRule="auto"/>
        <w:rPr>
          <w:rFonts w:ascii="Times New Roman" w:hAnsi="Times New Roman" w:cs="Times New Roman"/>
          <w:sz w:val="22"/>
          <w:szCs w:val="22"/>
          <w:lang w:val="en-GB"/>
        </w:rPr>
      </w:pPr>
    </w:p>
    <w:p w14:paraId="719E2826" w14:textId="1855A96D" w:rsidR="000E52F8" w:rsidRPr="00016E5F" w:rsidRDefault="00B36AD0" w:rsidP="00E1418C">
      <w:pPr>
        <w:pStyle w:val="ListParagraph"/>
        <w:numPr>
          <w:ilvl w:val="0"/>
          <w:numId w:val="4"/>
        </w:numPr>
        <w:spacing w:line="480" w:lineRule="auto"/>
        <w:rPr>
          <w:rFonts w:ascii="Times New Roman" w:hAnsi="Times New Roman" w:cs="Times New Roman"/>
          <w:sz w:val="22"/>
          <w:szCs w:val="22"/>
        </w:rPr>
      </w:pPr>
      <w:r w:rsidRPr="00016E5F">
        <w:rPr>
          <w:rFonts w:ascii="Times New Roman" w:hAnsi="Times New Roman" w:cs="Times New Roman"/>
          <w:bCs/>
          <w:sz w:val="22"/>
          <w:szCs w:val="22"/>
        </w:rPr>
        <w:t>Abdalla, A. E. M., S. M. Darwish, E. H. E. Ayad, and R. M. El-</w:t>
      </w:r>
      <w:proofErr w:type="spellStart"/>
      <w:r w:rsidRPr="00016E5F">
        <w:rPr>
          <w:rFonts w:ascii="Times New Roman" w:hAnsi="Times New Roman" w:cs="Times New Roman"/>
          <w:bCs/>
          <w:sz w:val="22"/>
          <w:szCs w:val="22"/>
        </w:rPr>
        <w:t>Hamahmy</w:t>
      </w:r>
      <w:proofErr w:type="spellEnd"/>
      <w:r w:rsidRPr="00016E5F">
        <w:rPr>
          <w:rFonts w:ascii="Times New Roman" w:hAnsi="Times New Roman" w:cs="Times New Roman"/>
          <w:bCs/>
          <w:sz w:val="22"/>
          <w:szCs w:val="22"/>
        </w:rPr>
        <w:t>.</w:t>
      </w:r>
      <w:r w:rsidRPr="00016E5F">
        <w:rPr>
          <w:rFonts w:ascii="Times New Roman" w:hAnsi="Times New Roman" w:cs="Times New Roman"/>
          <w:sz w:val="22"/>
          <w:szCs w:val="22"/>
        </w:rPr>
        <w:t> 2007. Egyptian mango by-products 2: antioxidant and antimicrobial activities of extract and oil from mango seed kernel. Food Chem. 103</w:t>
      </w:r>
      <w:r w:rsidRPr="00016E5F">
        <w:rPr>
          <w:rFonts w:ascii="Times New Roman" w:hAnsi="Times New Roman" w:cs="Times New Roman"/>
          <w:bCs/>
          <w:sz w:val="22"/>
          <w:szCs w:val="22"/>
        </w:rPr>
        <w:t>:</w:t>
      </w:r>
      <w:r w:rsidRPr="00016E5F">
        <w:rPr>
          <w:rFonts w:ascii="Times New Roman" w:hAnsi="Times New Roman" w:cs="Times New Roman"/>
          <w:sz w:val="22"/>
          <w:szCs w:val="22"/>
        </w:rPr>
        <w:t>1141-1152</w:t>
      </w:r>
    </w:p>
    <w:p w14:paraId="6861105B" w14:textId="77777777" w:rsidR="00B36AD0" w:rsidRPr="00016E5F" w:rsidRDefault="00B36AD0" w:rsidP="00E1418C">
      <w:pPr>
        <w:spacing w:line="480" w:lineRule="auto"/>
        <w:rPr>
          <w:rFonts w:ascii="Times New Roman" w:hAnsi="Times New Roman" w:cs="Times New Roman"/>
          <w:sz w:val="22"/>
          <w:szCs w:val="22"/>
        </w:rPr>
      </w:pPr>
    </w:p>
    <w:p w14:paraId="7343D6CC" w14:textId="62B663CA" w:rsidR="00B36AD0" w:rsidRPr="00016E5F" w:rsidRDefault="00B36AD0" w:rsidP="00E1418C">
      <w:pPr>
        <w:pStyle w:val="ListParagraph"/>
        <w:numPr>
          <w:ilvl w:val="0"/>
          <w:numId w:val="4"/>
        </w:numPr>
        <w:spacing w:line="480" w:lineRule="auto"/>
        <w:rPr>
          <w:rFonts w:ascii="Times New Roman" w:hAnsi="Times New Roman" w:cs="Times New Roman"/>
          <w:sz w:val="22"/>
          <w:szCs w:val="22"/>
        </w:rPr>
      </w:pPr>
      <w:r w:rsidRPr="00016E5F">
        <w:rPr>
          <w:rFonts w:ascii="Times New Roman" w:hAnsi="Times New Roman" w:cs="Times New Roman"/>
          <w:bCs/>
          <w:sz w:val="22"/>
          <w:szCs w:val="22"/>
        </w:rPr>
        <w:t>Kabuki, T., et al.</w:t>
      </w:r>
      <w:r w:rsidRPr="00016E5F">
        <w:rPr>
          <w:rFonts w:ascii="Times New Roman" w:hAnsi="Times New Roman" w:cs="Times New Roman"/>
          <w:sz w:val="22"/>
          <w:szCs w:val="22"/>
        </w:rPr>
        <w:t> 2000. Characterization of novel antimicrobial compounds from mango (</w:t>
      </w:r>
      <w:r w:rsidRPr="00016E5F">
        <w:rPr>
          <w:rFonts w:ascii="Times New Roman" w:hAnsi="Times New Roman" w:cs="Times New Roman"/>
          <w:i/>
          <w:iCs/>
          <w:sz w:val="22"/>
          <w:szCs w:val="22"/>
        </w:rPr>
        <w:t>Mangifera indica</w:t>
      </w:r>
      <w:r w:rsidRPr="00016E5F">
        <w:rPr>
          <w:rFonts w:ascii="Times New Roman" w:hAnsi="Times New Roman" w:cs="Times New Roman"/>
          <w:sz w:val="22"/>
          <w:szCs w:val="22"/>
        </w:rPr>
        <w:t> L.) kernel seeds. Food Chem. 71</w:t>
      </w:r>
      <w:r w:rsidRPr="00016E5F">
        <w:rPr>
          <w:rFonts w:ascii="Times New Roman" w:hAnsi="Times New Roman" w:cs="Times New Roman"/>
          <w:bCs/>
          <w:sz w:val="22"/>
          <w:szCs w:val="22"/>
        </w:rPr>
        <w:t>:</w:t>
      </w:r>
      <w:r w:rsidRPr="00016E5F">
        <w:rPr>
          <w:rFonts w:ascii="Times New Roman" w:hAnsi="Times New Roman" w:cs="Times New Roman"/>
          <w:sz w:val="22"/>
          <w:szCs w:val="22"/>
        </w:rPr>
        <w:t>61-66.</w:t>
      </w:r>
    </w:p>
    <w:p w14:paraId="1C9CFCCD" w14:textId="77777777" w:rsidR="00EB2961" w:rsidRPr="00016E5F" w:rsidRDefault="00EB2961" w:rsidP="00E1418C">
      <w:pPr>
        <w:spacing w:line="480" w:lineRule="auto"/>
        <w:rPr>
          <w:rFonts w:ascii="Times New Roman" w:hAnsi="Times New Roman" w:cs="Times New Roman"/>
          <w:sz w:val="22"/>
          <w:szCs w:val="22"/>
        </w:rPr>
      </w:pPr>
    </w:p>
    <w:p w14:paraId="4F829BCA" w14:textId="1FD5E087" w:rsidR="00EB2961" w:rsidRPr="00016E5F" w:rsidRDefault="00EB2961" w:rsidP="00E1418C">
      <w:pPr>
        <w:pStyle w:val="ListParagraph"/>
        <w:numPr>
          <w:ilvl w:val="0"/>
          <w:numId w:val="4"/>
        </w:numPr>
        <w:spacing w:line="480" w:lineRule="auto"/>
        <w:rPr>
          <w:rFonts w:ascii="Times New Roman" w:hAnsi="Times New Roman" w:cs="Times New Roman"/>
          <w:sz w:val="22"/>
          <w:szCs w:val="22"/>
          <w:lang w:val="en-GB"/>
        </w:rPr>
      </w:pPr>
      <w:r w:rsidRPr="00016E5F">
        <w:rPr>
          <w:rFonts w:ascii="Times New Roman" w:hAnsi="Times New Roman" w:cs="Times New Roman"/>
          <w:sz w:val="22"/>
          <w:szCs w:val="22"/>
        </w:rPr>
        <w:t xml:space="preserve">Engels C, Schieber A, Gänzle MG. Inhibitory spectra and modes of antimicrobial action of </w:t>
      </w:r>
      <w:proofErr w:type="spellStart"/>
      <w:r w:rsidRPr="00016E5F">
        <w:rPr>
          <w:rFonts w:ascii="Times New Roman" w:hAnsi="Times New Roman" w:cs="Times New Roman"/>
          <w:sz w:val="22"/>
          <w:szCs w:val="22"/>
        </w:rPr>
        <w:t>gallotannins</w:t>
      </w:r>
      <w:proofErr w:type="spellEnd"/>
      <w:r w:rsidRPr="00016E5F">
        <w:rPr>
          <w:rFonts w:ascii="Times New Roman" w:hAnsi="Times New Roman" w:cs="Times New Roman"/>
          <w:sz w:val="22"/>
          <w:szCs w:val="22"/>
        </w:rPr>
        <w:t xml:space="preserve"> from mango kernels (Mangifera indica L.). Appl Environ </w:t>
      </w:r>
      <w:proofErr w:type="spellStart"/>
      <w:r w:rsidRPr="00016E5F">
        <w:rPr>
          <w:rFonts w:ascii="Times New Roman" w:hAnsi="Times New Roman" w:cs="Times New Roman"/>
          <w:sz w:val="22"/>
          <w:szCs w:val="22"/>
        </w:rPr>
        <w:t>Microbiol</w:t>
      </w:r>
      <w:proofErr w:type="spellEnd"/>
      <w:r w:rsidRPr="00016E5F">
        <w:rPr>
          <w:rFonts w:ascii="Times New Roman" w:hAnsi="Times New Roman" w:cs="Times New Roman"/>
          <w:sz w:val="22"/>
          <w:szCs w:val="22"/>
        </w:rPr>
        <w:t xml:space="preserve">. 2011 Apr;77(7):2215-23. </w:t>
      </w:r>
      <w:proofErr w:type="spellStart"/>
      <w:r w:rsidRPr="00016E5F">
        <w:rPr>
          <w:rFonts w:ascii="Times New Roman" w:hAnsi="Times New Roman" w:cs="Times New Roman"/>
          <w:sz w:val="22"/>
          <w:szCs w:val="22"/>
        </w:rPr>
        <w:t>doi</w:t>
      </w:r>
      <w:proofErr w:type="spellEnd"/>
      <w:r w:rsidRPr="00016E5F">
        <w:rPr>
          <w:rFonts w:ascii="Times New Roman" w:hAnsi="Times New Roman" w:cs="Times New Roman"/>
          <w:sz w:val="22"/>
          <w:szCs w:val="22"/>
        </w:rPr>
        <w:t>: 10.1128/AEM.02521-10. </w:t>
      </w:r>
    </w:p>
    <w:p w14:paraId="40C3200E" w14:textId="77777777" w:rsidR="000E52F8" w:rsidRPr="00016E5F" w:rsidRDefault="000E52F8" w:rsidP="00E1418C">
      <w:pPr>
        <w:spacing w:line="480" w:lineRule="auto"/>
        <w:rPr>
          <w:rFonts w:ascii="Times New Roman" w:hAnsi="Times New Roman" w:cs="Times New Roman"/>
          <w:sz w:val="22"/>
          <w:szCs w:val="22"/>
        </w:rPr>
      </w:pPr>
    </w:p>
    <w:p w14:paraId="76390585" w14:textId="1EC0D3B2" w:rsidR="00222A71" w:rsidRPr="00016E5F" w:rsidRDefault="00222A71" w:rsidP="00E1418C">
      <w:pPr>
        <w:pStyle w:val="ListParagraph"/>
        <w:numPr>
          <w:ilvl w:val="0"/>
          <w:numId w:val="4"/>
        </w:numPr>
        <w:autoSpaceDE w:val="0"/>
        <w:autoSpaceDN w:val="0"/>
        <w:adjustRightInd w:val="0"/>
        <w:spacing w:after="0" w:line="480" w:lineRule="auto"/>
        <w:rPr>
          <w:rFonts w:ascii="Times New Roman" w:hAnsi="Times New Roman" w:cs="Times New Roman"/>
          <w:sz w:val="22"/>
          <w:szCs w:val="22"/>
        </w:rPr>
      </w:pPr>
      <w:r w:rsidRPr="00016E5F">
        <w:rPr>
          <w:rFonts w:ascii="Times New Roman" w:hAnsi="Times New Roman" w:cs="Times New Roman"/>
          <w:kern w:val="0"/>
          <w:sz w:val="22"/>
          <w:szCs w:val="22"/>
          <w:lang w:bidi="ar-SA"/>
        </w:rPr>
        <w:t xml:space="preserve">Karunanayake, K. O. L. C., &amp; </w:t>
      </w:r>
      <w:proofErr w:type="spellStart"/>
      <w:r w:rsidRPr="00016E5F">
        <w:rPr>
          <w:rFonts w:ascii="Times New Roman" w:hAnsi="Times New Roman" w:cs="Times New Roman"/>
          <w:kern w:val="0"/>
          <w:sz w:val="22"/>
          <w:szCs w:val="22"/>
          <w:lang w:bidi="ar-SA"/>
        </w:rPr>
        <w:t>Adikaram</w:t>
      </w:r>
      <w:proofErr w:type="spellEnd"/>
      <w:r w:rsidRPr="00016E5F">
        <w:rPr>
          <w:rFonts w:ascii="Times New Roman" w:hAnsi="Times New Roman" w:cs="Times New Roman"/>
          <w:kern w:val="0"/>
          <w:sz w:val="22"/>
          <w:szCs w:val="22"/>
          <w:lang w:bidi="ar-SA"/>
        </w:rPr>
        <w:t xml:space="preserve">, N. K. B. (2021). Response of endemic </w:t>
      </w:r>
      <w:r w:rsidRPr="00016E5F">
        <w:rPr>
          <w:rFonts w:ascii="Times New Roman" w:hAnsi="Times New Roman" w:cs="Times New Roman"/>
          <w:i/>
          <w:iCs/>
          <w:kern w:val="0"/>
          <w:sz w:val="22"/>
          <w:szCs w:val="22"/>
          <w:lang w:bidi="ar-SA"/>
        </w:rPr>
        <w:t>Mangifera</w:t>
      </w:r>
      <w:r w:rsidR="00272B45" w:rsidRPr="00016E5F">
        <w:rPr>
          <w:rFonts w:ascii="Times New Roman" w:hAnsi="Times New Roman" w:cs="Times New Roman"/>
          <w:i/>
          <w:iCs/>
          <w:kern w:val="0"/>
          <w:sz w:val="22"/>
          <w:szCs w:val="22"/>
          <w:lang w:bidi="ar-SA"/>
        </w:rPr>
        <w:t xml:space="preserve"> </w:t>
      </w:r>
      <w:r w:rsidRPr="00016E5F">
        <w:rPr>
          <w:rFonts w:ascii="Times New Roman" w:hAnsi="Times New Roman" w:cs="Times New Roman"/>
          <w:i/>
          <w:iCs/>
          <w:kern w:val="0"/>
          <w:sz w:val="22"/>
          <w:szCs w:val="22"/>
          <w:lang w:bidi="ar-SA"/>
        </w:rPr>
        <w:t xml:space="preserve">zeylanica </w:t>
      </w:r>
      <w:r w:rsidRPr="00016E5F">
        <w:rPr>
          <w:rFonts w:ascii="Times New Roman" w:hAnsi="Times New Roman" w:cs="Times New Roman"/>
          <w:kern w:val="0"/>
          <w:sz w:val="22"/>
          <w:szCs w:val="22"/>
          <w:lang w:bidi="ar-SA"/>
        </w:rPr>
        <w:t>(Blume) Hook. f. fruit to common postharvest pathogens of cultivated mango</w:t>
      </w:r>
      <w:r w:rsidR="00272B45" w:rsidRPr="00016E5F">
        <w:rPr>
          <w:rFonts w:ascii="Times New Roman" w:hAnsi="Times New Roman" w:cs="Times New Roman"/>
          <w:kern w:val="0"/>
          <w:sz w:val="22"/>
          <w:szCs w:val="22"/>
          <w:lang w:bidi="ar-SA"/>
        </w:rPr>
        <w:t xml:space="preserve"> </w:t>
      </w:r>
      <w:r w:rsidRPr="00016E5F">
        <w:rPr>
          <w:rFonts w:ascii="Times New Roman" w:hAnsi="Times New Roman" w:cs="Times New Roman"/>
          <w:kern w:val="0"/>
          <w:sz w:val="22"/>
          <w:szCs w:val="22"/>
          <w:lang w:bidi="ar-SA"/>
        </w:rPr>
        <w:t>(</w:t>
      </w:r>
      <w:r w:rsidRPr="00016E5F">
        <w:rPr>
          <w:rFonts w:ascii="Times New Roman" w:hAnsi="Times New Roman" w:cs="Times New Roman"/>
          <w:i/>
          <w:iCs/>
          <w:kern w:val="0"/>
          <w:sz w:val="22"/>
          <w:szCs w:val="22"/>
          <w:lang w:bidi="ar-SA"/>
        </w:rPr>
        <w:t xml:space="preserve">Mangifera indica </w:t>
      </w:r>
      <w:r w:rsidRPr="00016E5F">
        <w:rPr>
          <w:rFonts w:ascii="Times New Roman" w:hAnsi="Times New Roman" w:cs="Times New Roman"/>
          <w:kern w:val="0"/>
          <w:sz w:val="22"/>
          <w:szCs w:val="22"/>
          <w:lang w:bidi="ar-SA"/>
        </w:rPr>
        <w:t xml:space="preserve">L.) fruit in Sri Lanka. </w:t>
      </w:r>
      <w:r w:rsidRPr="00016E5F">
        <w:rPr>
          <w:rFonts w:ascii="Times New Roman" w:hAnsi="Times New Roman" w:cs="Times New Roman"/>
          <w:i/>
          <w:iCs/>
          <w:kern w:val="0"/>
          <w:sz w:val="22"/>
          <w:szCs w:val="22"/>
          <w:lang w:bidi="ar-SA"/>
        </w:rPr>
        <w:t>Ceylon Journal of Science</w:t>
      </w:r>
      <w:r w:rsidRPr="00016E5F">
        <w:rPr>
          <w:rFonts w:ascii="Times New Roman" w:hAnsi="Times New Roman" w:cs="Times New Roman"/>
          <w:kern w:val="0"/>
          <w:sz w:val="22"/>
          <w:szCs w:val="22"/>
          <w:lang w:bidi="ar-SA"/>
        </w:rPr>
        <w:t xml:space="preserve">, </w:t>
      </w:r>
      <w:r w:rsidRPr="00016E5F">
        <w:rPr>
          <w:rFonts w:ascii="Times New Roman" w:hAnsi="Times New Roman" w:cs="Times New Roman"/>
          <w:i/>
          <w:iCs/>
          <w:kern w:val="0"/>
          <w:sz w:val="22"/>
          <w:szCs w:val="22"/>
          <w:lang w:bidi="ar-SA"/>
        </w:rPr>
        <w:t>50</w:t>
      </w:r>
      <w:r w:rsidRPr="00016E5F">
        <w:rPr>
          <w:rFonts w:ascii="Times New Roman" w:hAnsi="Times New Roman" w:cs="Times New Roman"/>
          <w:kern w:val="0"/>
          <w:sz w:val="22"/>
          <w:szCs w:val="22"/>
          <w:lang w:bidi="ar-SA"/>
        </w:rPr>
        <w:t>(1), 75–82.</w:t>
      </w:r>
    </w:p>
    <w:p w14:paraId="5F46D08F" w14:textId="77777777" w:rsidR="00023361" w:rsidRPr="00016E5F" w:rsidRDefault="00023361" w:rsidP="00E1418C">
      <w:pPr>
        <w:spacing w:line="480" w:lineRule="auto"/>
        <w:rPr>
          <w:rFonts w:ascii="Times New Roman" w:hAnsi="Times New Roman" w:cs="Times New Roman"/>
          <w:sz w:val="22"/>
          <w:szCs w:val="22"/>
        </w:rPr>
      </w:pPr>
    </w:p>
    <w:p w14:paraId="4FA63B6C" w14:textId="61E105E5" w:rsidR="002C3EA8" w:rsidRPr="0022582D" w:rsidRDefault="004A2CAC" w:rsidP="00565444">
      <w:pPr>
        <w:pStyle w:val="NormalWeb"/>
        <w:numPr>
          <w:ilvl w:val="0"/>
          <w:numId w:val="4"/>
        </w:numPr>
        <w:spacing w:before="280" w:beforeAutospacing="0" w:after="280" w:afterAutospacing="0" w:line="480" w:lineRule="auto"/>
        <w:rPr>
          <w:sz w:val="22"/>
          <w:szCs w:val="22"/>
        </w:rPr>
      </w:pPr>
      <w:r w:rsidRPr="0022582D">
        <w:rPr>
          <w:color w:val="000000"/>
          <w:sz w:val="22"/>
          <w:szCs w:val="22"/>
        </w:rPr>
        <w:t xml:space="preserve">Terry, L.A., Joyce, D.C., </w:t>
      </w:r>
      <w:proofErr w:type="spellStart"/>
      <w:r w:rsidRPr="0022582D">
        <w:rPr>
          <w:color w:val="000000"/>
          <w:sz w:val="22"/>
          <w:szCs w:val="22"/>
        </w:rPr>
        <w:t>Adikaram</w:t>
      </w:r>
      <w:proofErr w:type="spellEnd"/>
      <w:r w:rsidRPr="0022582D">
        <w:rPr>
          <w:color w:val="000000"/>
          <w:sz w:val="22"/>
          <w:szCs w:val="22"/>
        </w:rPr>
        <w:t xml:space="preserve">, N.K.B. </w:t>
      </w:r>
      <w:proofErr w:type="gramStart"/>
      <w:r w:rsidRPr="0022582D">
        <w:rPr>
          <w:color w:val="000000"/>
          <w:sz w:val="22"/>
          <w:szCs w:val="22"/>
        </w:rPr>
        <w:t xml:space="preserve">and  </w:t>
      </w:r>
      <w:proofErr w:type="spellStart"/>
      <w:r w:rsidRPr="0022582D">
        <w:rPr>
          <w:color w:val="000000"/>
          <w:sz w:val="22"/>
          <w:szCs w:val="22"/>
        </w:rPr>
        <w:t>Khambay</w:t>
      </w:r>
      <w:proofErr w:type="spellEnd"/>
      <w:proofErr w:type="gramEnd"/>
      <w:r w:rsidRPr="0022582D">
        <w:rPr>
          <w:color w:val="000000"/>
          <w:sz w:val="22"/>
          <w:szCs w:val="22"/>
        </w:rPr>
        <w:t>, B.P.S. (2004). Preformed antifungal compounds in strawberry fruit and flower tissues</w:t>
      </w:r>
      <w:r w:rsidRPr="0022582D">
        <w:rPr>
          <w:i/>
          <w:iCs/>
          <w:color w:val="000000"/>
          <w:sz w:val="22"/>
          <w:szCs w:val="22"/>
        </w:rPr>
        <w:t xml:space="preserve">, Postharvest Biology and Technology. </w:t>
      </w:r>
      <w:r w:rsidRPr="0022582D">
        <w:rPr>
          <w:bCs/>
          <w:color w:val="000000"/>
          <w:sz w:val="22"/>
          <w:szCs w:val="22"/>
        </w:rPr>
        <w:t>31</w:t>
      </w:r>
      <w:r w:rsidRPr="0022582D">
        <w:rPr>
          <w:color w:val="000000"/>
          <w:sz w:val="22"/>
          <w:szCs w:val="22"/>
        </w:rPr>
        <w:t>, 201-212. </w:t>
      </w:r>
    </w:p>
    <w:p w14:paraId="716B3437" w14:textId="38BF16DF" w:rsidR="00D078CE" w:rsidRPr="00D078CE" w:rsidRDefault="00D078CE" w:rsidP="00E1418C">
      <w:pPr>
        <w:pStyle w:val="NormalWeb"/>
        <w:numPr>
          <w:ilvl w:val="0"/>
          <w:numId w:val="4"/>
        </w:numPr>
        <w:spacing w:before="0" w:beforeAutospacing="0" w:after="0" w:afterAutospacing="0" w:line="480" w:lineRule="auto"/>
        <w:jc w:val="both"/>
        <w:rPr>
          <w:sz w:val="22"/>
          <w:szCs w:val="22"/>
        </w:rPr>
      </w:pPr>
      <w:r w:rsidRPr="00B6575E">
        <w:rPr>
          <w:color w:val="000000"/>
          <w:sz w:val="22"/>
          <w:szCs w:val="22"/>
        </w:rPr>
        <w:t xml:space="preserve">Prusky, D. and Keen, N.T. (1993). Involvement of antifungal compounds in the resistance of subtropical fruits to fungal decay. </w:t>
      </w:r>
      <w:r w:rsidRPr="00B6575E">
        <w:rPr>
          <w:i/>
          <w:iCs/>
          <w:color w:val="000000"/>
          <w:sz w:val="22"/>
          <w:szCs w:val="22"/>
        </w:rPr>
        <w:t>Plant Disease</w:t>
      </w:r>
      <w:r w:rsidRPr="00B6575E">
        <w:rPr>
          <w:color w:val="000000"/>
          <w:sz w:val="22"/>
          <w:szCs w:val="22"/>
        </w:rPr>
        <w:t xml:space="preserve"> </w:t>
      </w:r>
      <w:r w:rsidRPr="00B6575E">
        <w:rPr>
          <w:bCs/>
          <w:color w:val="000000"/>
          <w:sz w:val="22"/>
          <w:szCs w:val="22"/>
        </w:rPr>
        <w:t>77</w:t>
      </w:r>
      <w:r w:rsidRPr="00B6575E">
        <w:rPr>
          <w:color w:val="000000"/>
          <w:sz w:val="22"/>
          <w:szCs w:val="22"/>
        </w:rPr>
        <w:t>, 114-119</w:t>
      </w:r>
      <w:r>
        <w:rPr>
          <w:color w:val="000000"/>
          <w:sz w:val="22"/>
          <w:szCs w:val="22"/>
        </w:rPr>
        <w:t>.</w:t>
      </w:r>
    </w:p>
    <w:p w14:paraId="60ABA149" w14:textId="77777777" w:rsidR="00D078CE" w:rsidRPr="00D078CE" w:rsidRDefault="00D078CE" w:rsidP="00D078CE">
      <w:pPr>
        <w:pStyle w:val="NormalWeb"/>
        <w:spacing w:before="0" w:beforeAutospacing="0" w:after="0" w:afterAutospacing="0" w:line="480" w:lineRule="auto"/>
        <w:ind w:left="720"/>
        <w:jc w:val="both"/>
        <w:rPr>
          <w:sz w:val="22"/>
          <w:szCs w:val="22"/>
        </w:rPr>
      </w:pPr>
    </w:p>
    <w:p w14:paraId="0F3B3E76" w14:textId="39B1B4A0" w:rsidR="002C3EA8" w:rsidRPr="00016E5F" w:rsidRDefault="002C3EA8" w:rsidP="00E1418C">
      <w:pPr>
        <w:pStyle w:val="NormalWeb"/>
        <w:numPr>
          <w:ilvl w:val="0"/>
          <w:numId w:val="4"/>
        </w:numPr>
        <w:spacing w:before="0" w:beforeAutospacing="0" w:after="0" w:afterAutospacing="0" w:line="480" w:lineRule="auto"/>
        <w:jc w:val="both"/>
        <w:rPr>
          <w:sz w:val="22"/>
          <w:szCs w:val="22"/>
        </w:rPr>
      </w:pPr>
      <w:proofErr w:type="spellStart"/>
      <w:r w:rsidRPr="00016E5F">
        <w:rPr>
          <w:color w:val="000000"/>
          <w:sz w:val="22"/>
          <w:szCs w:val="22"/>
        </w:rPr>
        <w:t>Adikaram</w:t>
      </w:r>
      <w:proofErr w:type="spellEnd"/>
      <w:r w:rsidRPr="00016E5F">
        <w:rPr>
          <w:color w:val="000000"/>
          <w:sz w:val="22"/>
          <w:szCs w:val="22"/>
        </w:rPr>
        <w:t xml:space="preserve">, N.K.B., </w:t>
      </w:r>
      <w:proofErr w:type="spellStart"/>
      <w:r w:rsidRPr="00016E5F">
        <w:rPr>
          <w:color w:val="000000"/>
          <w:sz w:val="22"/>
          <w:szCs w:val="22"/>
        </w:rPr>
        <w:t>Abhayawardhane</w:t>
      </w:r>
      <w:proofErr w:type="spellEnd"/>
      <w:r w:rsidRPr="00016E5F">
        <w:rPr>
          <w:color w:val="000000"/>
          <w:sz w:val="22"/>
          <w:szCs w:val="22"/>
        </w:rPr>
        <w:t xml:space="preserve">, Y., Bandara, B.M.R., </w:t>
      </w:r>
      <w:proofErr w:type="spellStart"/>
      <w:r w:rsidRPr="00016E5F">
        <w:rPr>
          <w:color w:val="000000"/>
          <w:sz w:val="22"/>
          <w:szCs w:val="22"/>
        </w:rPr>
        <w:t>Gunatilaka</w:t>
      </w:r>
      <w:proofErr w:type="spellEnd"/>
      <w:r w:rsidRPr="00016E5F">
        <w:rPr>
          <w:color w:val="000000"/>
          <w:sz w:val="22"/>
          <w:szCs w:val="22"/>
        </w:rPr>
        <w:t xml:space="preserve">, A.A.L. and Wijeratne, E.M.K. (1989). Antifungal activity, acid and </w:t>
      </w:r>
      <w:proofErr w:type="spellStart"/>
      <w:r w:rsidRPr="00016E5F">
        <w:rPr>
          <w:color w:val="000000"/>
          <w:sz w:val="22"/>
          <w:szCs w:val="22"/>
        </w:rPr>
        <w:t>suguar</w:t>
      </w:r>
      <w:proofErr w:type="spellEnd"/>
      <w:r w:rsidRPr="00016E5F">
        <w:rPr>
          <w:color w:val="000000"/>
          <w:sz w:val="22"/>
          <w:szCs w:val="22"/>
        </w:rPr>
        <w:t xml:space="preserve"> content in the wood apple (</w:t>
      </w:r>
      <w:proofErr w:type="spellStart"/>
      <w:r w:rsidRPr="00016E5F">
        <w:rPr>
          <w:i/>
          <w:iCs/>
          <w:color w:val="000000"/>
          <w:sz w:val="22"/>
          <w:szCs w:val="22"/>
        </w:rPr>
        <w:t>Limonia</w:t>
      </w:r>
      <w:proofErr w:type="spellEnd"/>
      <w:r w:rsidRPr="00016E5F">
        <w:rPr>
          <w:color w:val="000000"/>
          <w:sz w:val="22"/>
          <w:szCs w:val="22"/>
        </w:rPr>
        <w:t xml:space="preserve"> </w:t>
      </w:r>
      <w:proofErr w:type="spellStart"/>
      <w:r w:rsidRPr="00016E5F">
        <w:rPr>
          <w:i/>
          <w:iCs/>
          <w:color w:val="000000"/>
          <w:sz w:val="22"/>
          <w:szCs w:val="22"/>
        </w:rPr>
        <w:t>acidissima</w:t>
      </w:r>
      <w:proofErr w:type="spellEnd"/>
      <w:r w:rsidRPr="00016E5F">
        <w:rPr>
          <w:color w:val="000000"/>
          <w:sz w:val="22"/>
          <w:szCs w:val="22"/>
        </w:rPr>
        <w:t xml:space="preserve">) and their relation to fungal development.  </w:t>
      </w:r>
      <w:r w:rsidRPr="00016E5F">
        <w:rPr>
          <w:i/>
          <w:iCs/>
          <w:color w:val="000000"/>
          <w:sz w:val="22"/>
          <w:szCs w:val="22"/>
        </w:rPr>
        <w:t>Plant Pathology</w:t>
      </w:r>
      <w:r w:rsidRPr="00016E5F">
        <w:rPr>
          <w:color w:val="000000"/>
          <w:sz w:val="22"/>
          <w:szCs w:val="22"/>
        </w:rPr>
        <w:t xml:space="preserve"> </w:t>
      </w:r>
      <w:r w:rsidRPr="00016E5F">
        <w:rPr>
          <w:bCs/>
          <w:color w:val="000000"/>
          <w:sz w:val="22"/>
          <w:szCs w:val="22"/>
        </w:rPr>
        <w:t>38</w:t>
      </w:r>
      <w:r w:rsidRPr="00016E5F">
        <w:rPr>
          <w:color w:val="000000"/>
          <w:sz w:val="22"/>
          <w:szCs w:val="22"/>
        </w:rPr>
        <w:t>, 258-265. </w:t>
      </w:r>
    </w:p>
    <w:p w14:paraId="34A5D281" w14:textId="77777777" w:rsidR="002C3EA8" w:rsidRPr="00016E5F" w:rsidRDefault="002C3EA8" w:rsidP="00E1418C">
      <w:pPr>
        <w:pStyle w:val="ListParagraph"/>
        <w:spacing w:line="480" w:lineRule="auto"/>
        <w:rPr>
          <w:rFonts w:ascii="Times New Roman" w:hAnsi="Times New Roman" w:cs="Times New Roman"/>
          <w:sz w:val="22"/>
          <w:szCs w:val="22"/>
        </w:rPr>
      </w:pPr>
    </w:p>
    <w:p w14:paraId="5518C36D" w14:textId="77777777" w:rsidR="002C3EA8" w:rsidRPr="00016E5F" w:rsidRDefault="002C3EA8" w:rsidP="00E1418C">
      <w:pPr>
        <w:pStyle w:val="ListParagraph"/>
        <w:numPr>
          <w:ilvl w:val="0"/>
          <w:numId w:val="4"/>
        </w:numPr>
        <w:spacing w:after="0" w:line="480" w:lineRule="auto"/>
        <w:jc w:val="both"/>
        <w:rPr>
          <w:rFonts w:ascii="Times New Roman" w:eastAsia="Times New Roman" w:hAnsi="Times New Roman" w:cs="Times New Roman"/>
          <w:kern w:val="0"/>
          <w:sz w:val="22"/>
          <w:szCs w:val="22"/>
          <w:lang w:bidi="ar-SA"/>
          <w14:ligatures w14:val="none"/>
        </w:rPr>
      </w:pPr>
      <w:r w:rsidRPr="00016E5F">
        <w:rPr>
          <w:rFonts w:ascii="Times New Roman" w:eastAsia="Times New Roman" w:hAnsi="Times New Roman" w:cs="Times New Roman"/>
          <w:color w:val="000000"/>
          <w:kern w:val="0"/>
          <w:sz w:val="22"/>
          <w:szCs w:val="22"/>
          <w:lang w:bidi="ar-SA"/>
          <w14:ligatures w14:val="none"/>
        </w:rPr>
        <w:lastRenderedPageBreak/>
        <w:t xml:space="preserve">Prusky, D. (1998). Mechanisms of resistance of fruits and vegetables to postharvest diseases. In Johnson, G.I., </w:t>
      </w:r>
      <w:proofErr w:type="spellStart"/>
      <w:r w:rsidRPr="00016E5F">
        <w:rPr>
          <w:rFonts w:ascii="Times New Roman" w:eastAsia="Times New Roman" w:hAnsi="Times New Roman" w:cs="Times New Roman"/>
          <w:color w:val="000000"/>
          <w:kern w:val="0"/>
          <w:sz w:val="22"/>
          <w:szCs w:val="22"/>
          <w:lang w:bidi="ar-SA"/>
          <w14:ligatures w14:val="none"/>
        </w:rPr>
        <w:t>Highley</w:t>
      </w:r>
      <w:proofErr w:type="spellEnd"/>
      <w:r w:rsidRPr="00016E5F">
        <w:rPr>
          <w:rFonts w:ascii="Times New Roman" w:eastAsia="Times New Roman" w:hAnsi="Times New Roman" w:cs="Times New Roman"/>
          <w:color w:val="000000"/>
          <w:kern w:val="0"/>
          <w:sz w:val="22"/>
          <w:szCs w:val="22"/>
          <w:lang w:bidi="ar-SA"/>
          <w14:ligatures w14:val="none"/>
        </w:rPr>
        <w:t xml:space="preserve">, E. and Joyce, D.C. ed., Disease </w:t>
      </w:r>
      <w:proofErr w:type="spellStart"/>
      <w:r w:rsidRPr="00016E5F">
        <w:rPr>
          <w:rFonts w:ascii="Times New Roman" w:eastAsia="Times New Roman" w:hAnsi="Times New Roman" w:cs="Times New Roman"/>
          <w:color w:val="000000"/>
          <w:kern w:val="0"/>
          <w:sz w:val="22"/>
          <w:szCs w:val="22"/>
          <w:lang w:bidi="ar-SA"/>
          <w14:ligatures w14:val="none"/>
        </w:rPr>
        <w:t>Resistence</w:t>
      </w:r>
      <w:proofErr w:type="spellEnd"/>
      <w:r w:rsidRPr="00016E5F">
        <w:rPr>
          <w:rFonts w:ascii="Times New Roman" w:eastAsia="Times New Roman" w:hAnsi="Times New Roman" w:cs="Times New Roman"/>
          <w:color w:val="000000"/>
          <w:kern w:val="0"/>
          <w:sz w:val="22"/>
          <w:szCs w:val="22"/>
          <w:lang w:bidi="ar-SA"/>
          <w14:ligatures w14:val="none"/>
        </w:rPr>
        <w:t xml:space="preserve"> in Fruits. ACIAR Proceedings NO. 80. </w:t>
      </w:r>
    </w:p>
    <w:p w14:paraId="320E132D" w14:textId="77777777" w:rsidR="002C3EA8" w:rsidRPr="00016E5F" w:rsidRDefault="002C3EA8" w:rsidP="00E1418C">
      <w:pPr>
        <w:pStyle w:val="ListParagraph"/>
        <w:spacing w:after="0" w:line="480" w:lineRule="auto"/>
        <w:rPr>
          <w:rFonts w:ascii="Times New Roman" w:eastAsia="Times New Roman" w:hAnsi="Times New Roman" w:cs="Times New Roman"/>
          <w:kern w:val="0"/>
          <w:sz w:val="22"/>
          <w:szCs w:val="22"/>
          <w:lang w:bidi="ar-SA"/>
          <w14:ligatures w14:val="none"/>
        </w:rPr>
      </w:pPr>
    </w:p>
    <w:p w14:paraId="15BEC284" w14:textId="33574FE7" w:rsidR="00D078CE" w:rsidRDefault="002C3EA8" w:rsidP="00D078CE">
      <w:pPr>
        <w:pStyle w:val="ListParagraph"/>
        <w:numPr>
          <w:ilvl w:val="0"/>
          <w:numId w:val="4"/>
        </w:numPr>
        <w:spacing w:after="0" w:line="480" w:lineRule="auto"/>
        <w:jc w:val="both"/>
        <w:rPr>
          <w:rFonts w:ascii="Times New Roman" w:eastAsia="Times New Roman" w:hAnsi="Times New Roman" w:cs="Times New Roman"/>
          <w:color w:val="000000"/>
          <w:kern w:val="0"/>
          <w:sz w:val="22"/>
          <w:szCs w:val="22"/>
          <w:lang w:bidi="ar-SA"/>
          <w14:ligatures w14:val="none"/>
        </w:rPr>
      </w:pPr>
      <w:r w:rsidRPr="00016E5F">
        <w:rPr>
          <w:rFonts w:ascii="Times New Roman" w:eastAsia="Times New Roman" w:hAnsi="Times New Roman" w:cs="Times New Roman"/>
          <w:color w:val="000000"/>
          <w:kern w:val="0"/>
          <w:sz w:val="22"/>
          <w:szCs w:val="22"/>
          <w:lang w:bidi="ar-SA"/>
          <w14:ligatures w14:val="none"/>
        </w:rPr>
        <w:t xml:space="preserve">Prusky, D. (1996). Pathogen quiescence in postharvest diseases. </w:t>
      </w:r>
      <w:r w:rsidRPr="00016E5F">
        <w:rPr>
          <w:rFonts w:ascii="Times New Roman" w:eastAsia="Times New Roman" w:hAnsi="Times New Roman" w:cs="Times New Roman"/>
          <w:i/>
          <w:iCs/>
          <w:color w:val="000000"/>
          <w:kern w:val="0"/>
          <w:sz w:val="22"/>
          <w:szCs w:val="22"/>
          <w:lang w:bidi="ar-SA"/>
          <w14:ligatures w14:val="none"/>
        </w:rPr>
        <w:t xml:space="preserve">Annual Review of Phytopathology </w:t>
      </w:r>
      <w:r w:rsidRPr="00016E5F">
        <w:rPr>
          <w:rFonts w:ascii="Times New Roman" w:eastAsia="Times New Roman" w:hAnsi="Times New Roman" w:cs="Times New Roman"/>
          <w:bCs/>
          <w:color w:val="000000"/>
          <w:kern w:val="0"/>
          <w:sz w:val="22"/>
          <w:szCs w:val="22"/>
          <w:lang w:bidi="ar-SA"/>
          <w14:ligatures w14:val="none"/>
        </w:rPr>
        <w:t>34</w:t>
      </w:r>
      <w:r w:rsidRPr="00016E5F">
        <w:rPr>
          <w:rFonts w:ascii="Times New Roman" w:eastAsia="Times New Roman" w:hAnsi="Times New Roman" w:cs="Times New Roman"/>
          <w:color w:val="000000"/>
          <w:kern w:val="0"/>
          <w:sz w:val="22"/>
          <w:szCs w:val="22"/>
          <w:lang w:bidi="ar-SA"/>
          <w14:ligatures w14:val="none"/>
        </w:rPr>
        <w:t>, 413-434.</w:t>
      </w:r>
    </w:p>
    <w:sectPr w:rsidR="00D078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DD73" w14:textId="77777777" w:rsidR="00C212F1" w:rsidRDefault="00C212F1" w:rsidP="007F6F94">
      <w:pPr>
        <w:spacing w:after="0" w:line="240" w:lineRule="auto"/>
      </w:pPr>
      <w:r>
        <w:separator/>
      </w:r>
    </w:p>
  </w:endnote>
  <w:endnote w:type="continuationSeparator" w:id="0">
    <w:p w14:paraId="337213E3" w14:textId="77777777" w:rsidR="00C212F1" w:rsidRDefault="00C212F1" w:rsidP="007F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1245" w14:textId="77777777" w:rsidR="007F6F94" w:rsidRDefault="007F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D55" w14:textId="77777777" w:rsidR="007F6F94" w:rsidRDefault="007F6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A21E" w14:textId="77777777" w:rsidR="007F6F94" w:rsidRDefault="007F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5241" w14:textId="77777777" w:rsidR="00C212F1" w:rsidRDefault="00C212F1" w:rsidP="007F6F94">
      <w:pPr>
        <w:spacing w:after="0" w:line="240" w:lineRule="auto"/>
      </w:pPr>
      <w:r>
        <w:separator/>
      </w:r>
    </w:p>
  </w:footnote>
  <w:footnote w:type="continuationSeparator" w:id="0">
    <w:p w14:paraId="5C6436E0" w14:textId="77777777" w:rsidR="00C212F1" w:rsidRDefault="00C212F1" w:rsidP="007F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C3E4" w14:textId="567D598D" w:rsidR="007F6F94" w:rsidRDefault="007F6F94">
    <w:pPr>
      <w:pStyle w:val="Header"/>
    </w:pPr>
    <w:r>
      <w:rPr>
        <w:noProof/>
      </w:rPr>
      <w:pict w14:anchorId="3EB59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79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1CD9" w14:textId="5666A528" w:rsidR="007F6F94" w:rsidRDefault="007F6F94">
    <w:pPr>
      <w:pStyle w:val="Header"/>
    </w:pPr>
    <w:r>
      <w:rPr>
        <w:noProof/>
      </w:rPr>
      <w:pict w14:anchorId="4C11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79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788" w14:textId="02FE119B" w:rsidR="007F6F94" w:rsidRDefault="007F6F94">
    <w:pPr>
      <w:pStyle w:val="Header"/>
    </w:pPr>
    <w:r>
      <w:rPr>
        <w:noProof/>
      </w:rPr>
      <w:pict w14:anchorId="19B2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79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78F"/>
    <w:multiLevelType w:val="hybridMultilevel"/>
    <w:tmpl w:val="7352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4093B"/>
    <w:multiLevelType w:val="hybridMultilevel"/>
    <w:tmpl w:val="2BB2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029EF"/>
    <w:multiLevelType w:val="hybridMultilevel"/>
    <w:tmpl w:val="5D2019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D38F2"/>
    <w:multiLevelType w:val="hybridMultilevel"/>
    <w:tmpl w:val="2BB2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A4F10"/>
    <w:multiLevelType w:val="hybridMultilevel"/>
    <w:tmpl w:val="5D2019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643810">
    <w:abstractNumId w:val="0"/>
  </w:num>
  <w:num w:numId="2" w16cid:durableId="215432921">
    <w:abstractNumId w:val="3"/>
  </w:num>
  <w:num w:numId="3" w16cid:durableId="522212931">
    <w:abstractNumId w:val="1"/>
  </w:num>
  <w:num w:numId="4" w16cid:durableId="201409446">
    <w:abstractNumId w:val="2"/>
  </w:num>
  <w:num w:numId="5" w16cid:durableId="72017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E2"/>
    <w:rsid w:val="00004F0A"/>
    <w:rsid w:val="00016E5F"/>
    <w:rsid w:val="00023361"/>
    <w:rsid w:val="00031C1F"/>
    <w:rsid w:val="000A44E5"/>
    <w:rsid w:val="000B2D73"/>
    <w:rsid w:val="000E52F8"/>
    <w:rsid w:val="000F3D33"/>
    <w:rsid w:val="00150CAE"/>
    <w:rsid w:val="00183583"/>
    <w:rsid w:val="001A0E59"/>
    <w:rsid w:val="001A4EF8"/>
    <w:rsid w:val="001F0BAB"/>
    <w:rsid w:val="001F292A"/>
    <w:rsid w:val="002025E3"/>
    <w:rsid w:val="00211666"/>
    <w:rsid w:val="00222A71"/>
    <w:rsid w:val="0022582D"/>
    <w:rsid w:val="002722D8"/>
    <w:rsid w:val="00272B45"/>
    <w:rsid w:val="002850EB"/>
    <w:rsid w:val="00292338"/>
    <w:rsid w:val="002B5509"/>
    <w:rsid w:val="002C3EA8"/>
    <w:rsid w:val="002F4E74"/>
    <w:rsid w:val="00354AE2"/>
    <w:rsid w:val="00370D41"/>
    <w:rsid w:val="00382A0A"/>
    <w:rsid w:val="003C123E"/>
    <w:rsid w:val="00425CAC"/>
    <w:rsid w:val="00453407"/>
    <w:rsid w:val="00456E8F"/>
    <w:rsid w:val="00467BFC"/>
    <w:rsid w:val="004A1A8C"/>
    <w:rsid w:val="004A2CAC"/>
    <w:rsid w:val="004A6287"/>
    <w:rsid w:val="004D0F6C"/>
    <w:rsid w:val="004F18AA"/>
    <w:rsid w:val="00567C85"/>
    <w:rsid w:val="0057263A"/>
    <w:rsid w:val="005912C7"/>
    <w:rsid w:val="005C54D7"/>
    <w:rsid w:val="006168EB"/>
    <w:rsid w:val="00674F5B"/>
    <w:rsid w:val="00690AFF"/>
    <w:rsid w:val="006E5530"/>
    <w:rsid w:val="00736602"/>
    <w:rsid w:val="0074727A"/>
    <w:rsid w:val="00780954"/>
    <w:rsid w:val="0078759A"/>
    <w:rsid w:val="00791295"/>
    <w:rsid w:val="007B669A"/>
    <w:rsid w:val="007C251B"/>
    <w:rsid w:val="007D6E9E"/>
    <w:rsid w:val="007F6F94"/>
    <w:rsid w:val="00806ED2"/>
    <w:rsid w:val="00811DE8"/>
    <w:rsid w:val="00825DF9"/>
    <w:rsid w:val="00833255"/>
    <w:rsid w:val="008535E5"/>
    <w:rsid w:val="008A2D57"/>
    <w:rsid w:val="008A6E97"/>
    <w:rsid w:val="008B4F0E"/>
    <w:rsid w:val="008D34F2"/>
    <w:rsid w:val="008F0432"/>
    <w:rsid w:val="00914075"/>
    <w:rsid w:val="00921A7D"/>
    <w:rsid w:val="009270AC"/>
    <w:rsid w:val="009A25BB"/>
    <w:rsid w:val="009B492B"/>
    <w:rsid w:val="00A11AEB"/>
    <w:rsid w:val="00A1343D"/>
    <w:rsid w:val="00A75274"/>
    <w:rsid w:val="00A852D4"/>
    <w:rsid w:val="00AB0062"/>
    <w:rsid w:val="00AD01D2"/>
    <w:rsid w:val="00AD4F35"/>
    <w:rsid w:val="00AF2B58"/>
    <w:rsid w:val="00B02C2C"/>
    <w:rsid w:val="00B125A0"/>
    <w:rsid w:val="00B15D8A"/>
    <w:rsid w:val="00B36AD0"/>
    <w:rsid w:val="00B374EF"/>
    <w:rsid w:val="00B6575E"/>
    <w:rsid w:val="00C05F95"/>
    <w:rsid w:val="00C212F1"/>
    <w:rsid w:val="00C26C78"/>
    <w:rsid w:val="00C36742"/>
    <w:rsid w:val="00C7455B"/>
    <w:rsid w:val="00CB06E6"/>
    <w:rsid w:val="00CE0D33"/>
    <w:rsid w:val="00CF75B8"/>
    <w:rsid w:val="00D02611"/>
    <w:rsid w:val="00D078CE"/>
    <w:rsid w:val="00D579F5"/>
    <w:rsid w:val="00DA42F9"/>
    <w:rsid w:val="00DE0D53"/>
    <w:rsid w:val="00E1418C"/>
    <w:rsid w:val="00E62581"/>
    <w:rsid w:val="00E74C5E"/>
    <w:rsid w:val="00E817DA"/>
    <w:rsid w:val="00E92107"/>
    <w:rsid w:val="00EB2961"/>
    <w:rsid w:val="00EC109B"/>
    <w:rsid w:val="00ED7842"/>
    <w:rsid w:val="00FD5751"/>
    <w:rsid w:val="00FF001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3AEC6"/>
  <w15:chartTrackingRefBased/>
  <w15:docId w15:val="{56DD323D-F54A-4E20-BE0E-7FE268DF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54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AE2"/>
    <w:rPr>
      <w:rFonts w:eastAsiaTheme="majorEastAsia" w:cstheme="majorBidi"/>
      <w:color w:val="272727" w:themeColor="text1" w:themeTint="D8"/>
    </w:rPr>
  </w:style>
  <w:style w:type="paragraph" w:styleId="Title">
    <w:name w:val="Title"/>
    <w:basedOn w:val="Normal"/>
    <w:next w:val="Normal"/>
    <w:link w:val="TitleChar"/>
    <w:uiPriority w:val="10"/>
    <w:qFormat/>
    <w:rsid w:val="0035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AE2"/>
    <w:pPr>
      <w:spacing w:before="160"/>
      <w:jc w:val="center"/>
    </w:pPr>
    <w:rPr>
      <w:i/>
      <w:iCs/>
      <w:color w:val="404040" w:themeColor="text1" w:themeTint="BF"/>
    </w:rPr>
  </w:style>
  <w:style w:type="character" w:customStyle="1" w:styleId="QuoteChar">
    <w:name w:val="Quote Char"/>
    <w:basedOn w:val="DefaultParagraphFont"/>
    <w:link w:val="Quote"/>
    <w:uiPriority w:val="29"/>
    <w:rsid w:val="00354AE2"/>
    <w:rPr>
      <w:i/>
      <w:iCs/>
      <w:color w:val="404040" w:themeColor="text1" w:themeTint="BF"/>
    </w:rPr>
  </w:style>
  <w:style w:type="paragraph" w:styleId="ListParagraph">
    <w:name w:val="List Paragraph"/>
    <w:basedOn w:val="Normal"/>
    <w:uiPriority w:val="34"/>
    <w:qFormat/>
    <w:rsid w:val="00354AE2"/>
    <w:pPr>
      <w:ind w:left="720"/>
      <w:contextualSpacing/>
    </w:pPr>
  </w:style>
  <w:style w:type="character" w:styleId="IntenseEmphasis">
    <w:name w:val="Intense Emphasis"/>
    <w:basedOn w:val="DefaultParagraphFont"/>
    <w:uiPriority w:val="21"/>
    <w:qFormat/>
    <w:rsid w:val="00354AE2"/>
    <w:rPr>
      <w:i/>
      <w:iCs/>
      <w:color w:val="0F4761" w:themeColor="accent1" w:themeShade="BF"/>
    </w:rPr>
  </w:style>
  <w:style w:type="paragraph" w:styleId="IntenseQuote">
    <w:name w:val="Intense Quote"/>
    <w:basedOn w:val="Normal"/>
    <w:next w:val="Normal"/>
    <w:link w:val="IntenseQuoteChar"/>
    <w:uiPriority w:val="30"/>
    <w:qFormat/>
    <w:rsid w:val="0035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AE2"/>
    <w:rPr>
      <w:i/>
      <w:iCs/>
      <w:color w:val="0F4761" w:themeColor="accent1" w:themeShade="BF"/>
    </w:rPr>
  </w:style>
  <w:style w:type="character" w:styleId="IntenseReference">
    <w:name w:val="Intense Reference"/>
    <w:basedOn w:val="DefaultParagraphFont"/>
    <w:uiPriority w:val="32"/>
    <w:qFormat/>
    <w:rsid w:val="00354AE2"/>
    <w:rPr>
      <w:b/>
      <w:bCs/>
      <w:smallCaps/>
      <w:color w:val="0F4761" w:themeColor="accent1" w:themeShade="BF"/>
      <w:spacing w:val="5"/>
    </w:rPr>
  </w:style>
  <w:style w:type="paragraph" w:styleId="BodyText">
    <w:name w:val="Body Text"/>
    <w:basedOn w:val="Normal"/>
    <w:link w:val="BodyTextChar"/>
    <w:rsid w:val="00E62581"/>
    <w:pPr>
      <w:spacing w:after="0" w:line="240" w:lineRule="auto"/>
    </w:pPr>
    <w:rPr>
      <w:rFonts w:ascii="Times New Roman" w:eastAsia="Times New Roman" w:hAnsi="Times New Roman" w:cs="Times New Roman"/>
      <w:kern w:val="0"/>
      <w:szCs w:val="20"/>
      <w:lang w:bidi="ar-SA"/>
      <w14:ligatures w14:val="none"/>
    </w:rPr>
  </w:style>
  <w:style w:type="character" w:customStyle="1" w:styleId="BodyTextChar">
    <w:name w:val="Body Text Char"/>
    <w:basedOn w:val="DefaultParagraphFont"/>
    <w:link w:val="BodyText"/>
    <w:rsid w:val="00E62581"/>
    <w:rPr>
      <w:rFonts w:ascii="Times New Roman" w:eastAsia="Times New Roman" w:hAnsi="Times New Roman" w:cs="Times New Roman"/>
      <w:kern w:val="0"/>
      <w:szCs w:val="20"/>
      <w:lang w:bidi="ar-SA"/>
      <w14:ligatures w14:val="none"/>
    </w:rPr>
  </w:style>
  <w:style w:type="paragraph" w:styleId="NormalWeb">
    <w:name w:val="Normal (Web)"/>
    <w:basedOn w:val="Normal"/>
    <w:uiPriority w:val="99"/>
    <w:unhideWhenUsed/>
    <w:rsid w:val="004A2CAC"/>
    <w:pPr>
      <w:spacing w:before="100" w:beforeAutospacing="1" w:after="100" w:afterAutospacing="1" w:line="240" w:lineRule="auto"/>
    </w:pPr>
    <w:rPr>
      <w:rFonts w:ascii="Times New Roman" w:eastAsia="Times New Roman" w:hAnsi="Times New Roman" w:cs="Times New Roman"/>
      <w:kern w:val="0"/>
      <w:lang w:bidi="ar-SA"/>
      <w14:ligatures w14:val="none"/>
    </w:rPr>
  </w:style>
  <w:style w:type="character" w:styleId="Hyperlink">
    <w:name w:val="Hyperlink"/>
    <w:basedOn w:val="DefaultParagraphFont"/>
    <w:uiPriority w:val="99"/>
    <w:unhideWhenUsed/>
    <w:rsid w:val="007C251B"/>
    <w:rPr>
      <w:color w:val="467886" w:themeColor="hyperlink"/>
      <w:u w:val="single"/>
    </w:rPr>
  </w:style>
  <w:style w:type="character" w:styleId="UnresolvedMention">
    <w:name w:val="Unresolved Mention"/>
    <w:basedOn w:val="DefaultParagraphFont"/>
    <w:uiPriority w:val="99"/>
    <w:semiHidden/>
    <w:unhideWhenUsed/>
    <w:rsid w:val="007C251B"/>
    <w:rPr>
      <w:color w:val="605E5C"/>
      <w:shd w:val="clear" w:color="auto" w:fill="E1DFDD"/>
    </w:rPr>
  </w:style>
  <w:style w:type="paragraph" w:styleId="Header">
    <w:name w:val="header"/>
    <w:basedOn w:val="Normal"/>
    <w:link w:val="HeaderChar"/>
    <w:uiPriority w:val="99"/>
    <w:unhideWhenUsed/>
    <w:rsid w:val="007F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94"/>
  </w:style>
  <w:style w:type="paragraph" w:styleId="Footer">
    <w:name w:val="footer"/>
    <w:basedOn w:val="Normal"/>
    <w:link w:val="FooterChar"/>
    <w:uiPriority w:val="99"/>
    <w:unhideWhenUsed/>
    <w:rsid w:val="007F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8615">
      <w:bodyDiv w:val="1"/>
      <w:marLeft w:val="0"/>
      <w:marRight w:val="0"/>
      <w:marTop w:val="0"/>
      <w:marBottom w:val="0"/>
      <w:divBdr>
        <w:top w:val="none" w:sz="0" w:space="0" w:color="auto"/>
        <w:left w:val="none" w:sz="0" w:space="0" w:color="auto"/>
        <w:bottom w:val="none" w:sz="0" w:space="0" w:color="auto"/>
        <w:right w:val="none" w:sz="0" w:space="0" w:color="auto"/>
      </w:divBdr>
    </w:div>
    <w:div w:id="515653172">
      <w:bodyDiv w:val="1"/>
      <w:marLeft w:val="0"/>
      <w:marRight w:val="0"/>
      <w:marTop w:val="0"/>
      <w:marBottom w:val="0"/>
      <w:divBdr>
        <w:top w:val="none" w:sz="0" w:space="0" w:color="auto"/>
        <w:left w:val="none" w:sz="0" w:space="0" w:color="auto"/>
        <w:bottom w:val="none" w:sz="0" w:space="0" w:color="auto"/>
        <w:right w:val="none" w:sz="0" w:space="0" w:color="auto"/>
      </w:divBdr>
      <w:divsChild>
        <w:div w:id="1526361611">
          <w:marLeft w:val="0"/>
          <w:marRight w:val="0"/>
          <w:marTop w:val="0"/>
          <w:marBottom w:val="0"/>
          <w:divBdr>
            <w:top w:val="none" w:sz="0" w:space="0" w:color="auto"/>
            <w:left w:val="none" w:sz="0" w:space="0" w:color="auto"/>
            <w:bottom w:val="none" w:sz="0" w:space="0" w:color="auto"/>
            <w:right w:val="none" w:sz="0" w:space="0" w:color="auto"/>
          </w:divBdr>
        </w:div>
        <w:div w:id="1317420487">
          <w:marLeft w:val="0"/>
          <w:marRight w:val="0"/>
          <w:marTop w:val="0"/>
          <w:marBottom w:val="0"/>
          <w:divBdr>
            <w:top w:val="none" w:sz="0" w:space="0" w:color="auto"/>
            <w:left w:val="none" w:sz="0" w:space="0" w:color="auto"/>
            <w:bottom w:val="none" w:sz="0" w:space="0" w:color="auto"/>
            <w:right w:val="none" w:sz="0" w:space="0" w:color="auto"/>
          </w:divBdr>
        </w:div>
        <w:div w:id="525682223">
          <w:marLeft w:val="0"/>
          <w:marRight w:val="0"/>
          <w:marTop w:val="0"/>
          <w:marBottom w:val="0"/>
          <w:divBdr>
            <w:top w:val="none" w:sz="0" w:space="0" w:color="auto"/>
            <w:left w:val="none" w:sz="0" w:space="0" w:color="auto"/>
            <w:bottom w:val="none" w:sz="0" w:space="0" w:color="auto"/>
            <w:right w:val="none" w:sz="0" w:space="0" w:color="auto"/>
          </w:divBdr>
        </w:div>
      </w:divsChild>
    </w:div>
    <w:div w:id="600383150">
      <w:bodyDiv w:val="1"/>
      <w:marLeft w:val="0"/>
      <w:marRight w:val="0"/>
      <w:marTop w:val="0"/>
      <w:marBottom w:val="0"/>
      <w:divBdr>
        <w:top w:val="none" w:sz="0" w:space="0" w:color="auto"/>
        <w:left w:val="none" w:sz="0" w:space="0" w:color="auto"/>
        <w:bottom w:val="none" w:sz="0" w:space="0" w:color="auto"/>
        <w:right w:val="none" w:sz="0" w:space="0" w:color="auto"/>
      </w:divBdr>
    </w:div>
    <w:div w:id="1003119115">
      <w:bodyDiv w:val="1"/>
      <w:marLeft w:val="0"/>
      <w:marRight w:val="0"/>
      <w:marTop w:val="0"/>
      <w:marBottom w:val="0"/>
      <w:divBdr>
        <w:top w:val="none" w:sz="0" w:space="0" w:color="auto"/>
        <w:left w:val="none" w:sz="0" w:space="0" w:color="auto"/>
        <w:bottom w:val="none" w:sz="0" w:space="0" w:color="auto"/>
        <w:right w:val="none" w:sz="0" w:space="0" w:color="auto"/>
      </w:divBdr>
    </w:div>
    <w:div w:id="1201553207">
      <w:bodyDiv w:val="1"/>
      <w:marLeft w:val="0"/>
      <w:marRight w:val="0"/>
      <w:marTop w:val="0"/>
      <w:marBottom w:val="0"/>
      <w:divBdr>
        <w:top w:val="none" w:sz="0" w:space="0" w:color="auto"/>
        <w:left w:val="none" w:sz="0" w:space="0" w:color="auto"/>
        <w:bottom w:val="none" w:sz="0" w:space="0" w:color="auto"/>
        <w:right w:val="none" w:sz="0" w:space="0" w:color="auto"/>
      </w:divBdr>
    </w:div>
    <w:div w:id="1221091195">
      <w:bodyDiv w:val="1"/>
      <w:marLeft w:val="0"/>
      <w:marRight w:val="0"/>
      <w:marTop w:val="0"/>
      <w:marBottom w:val="0"/>
      <w:divBdr>
        <w:top w:val="none" w:sz="0" w:space="0" w:color="auto"/>
        <w:left w:val="none" w:sz="0" w:space="0" w:color="auto"/>
        <w:bottom w:val="none" w:sz="0" w:space="0" w:color="auto"/>
        <w:right w:val="none" w:sz="0" w:space="0" w:color="auto"/>
      </w:divBdr>
    </w:div>
    <w:div w:id="1333948787">
      <w:bodyDiv w:val="1"/>
      <w:marLeft w:val="0"/>
      <w:marRight w:val="0"/>
      <w:marTop w:val="0"/>
      <w:marBottom w:val="0"/>
      <w:divBdr>
        <w:top w:val="none" w:sz="0" w:space="0" w:color="auto"/>
        <w:left w:val="none" w:sz="0" w:space="0" w:color="auto"/>
        <w:bottom w:val="none" w:sz="0" w:space="0" w:color="auto"/>
        <w:right w:val="none" w:sz="0" w:space="0" w:color="auto"/>
      </w:divBdr>
      <w:divsChild>
        <w:div w:id="1070738482">
          <w:marLeft w:val="0"/>
          <w:marRight w:val="0"/>
          <w:marTop w:val="0"/>
          <w:marBottom w:val="0"/>
          <w:divBdr>
            <w:top w:val="none" w:sz="0" w:space="0" w:color="auto"/>
            <w:left w:val="none" w:sz="0" w:space="0" w:color="auto"/>
            <w:bottom w:val="none" w:sz="0" w:space="0" w:color="auto"/>
            <w:right w:val="none" w:sz="0" w:space="0" w:color="auto"/>
          </w:divBdr>
        </w:div>
        <w:div w:id="539321878">
          <w:marLeft w:val="0"/>
          <w:marRight w:val="0"/>
          <w:marTop w:val="0"/>
          <w:marBottom w:val="0"/>
          <w:divBdr>
            <w:top w:val="none" w:sz="0" w:space="0" w:color="auto"/>
            <w:left w:val="none" w:sz="0" w:space="0" w:color="auto"/>
            <w:bottom w:val="none" w:sz="0" w:space="0" w:color="auto"/>
            <w:right w:val="none" w:sz="0" w:space="0" w:color="auto"/>
          </w:divBdr>
        </w:div>
        <w:div w:id="126050763">
          <w:marLeft w:val="0"/>
          <w:marRight w:val="0"/>
          <w:marTop w:val="0"/>
          <w:marBottom w:val="0"/>
          <w:divBdr>
            <w:top w:val="none" w:sz="0" w:space="0" w:color="auto"/>
            <w:left w:val="none" w:sz="0" w:space="0" w:color="auto"/>
            <w:bottom w:val="none" w:sz="0" w:space="0" w:color="auto"/>
            <w:right w:val="none" w:sz="0" w:space="0" w:color="auto"/>
          </w:divBdr>
        </w:div>
      </w:divsChild>
    </w:div>
    <w:div w:id="1993438431">
      <w:bodyDiv w:val="1"/>
      <w:marLeft w:val="0"/>
      <w:marRight w:val="0"/>
      <w:marTop w:val="0"/>
      <w:marBottom w:val="0"/>
      <w:divBdr>
        <w:top w:val="none" w:sz="0" w:space="0" w:color="auto"/>
        <w:left w:val="none" w:sz="0" w:space="0" w:color="auto"/>
        <w:bottom w:val="none" w:sz="0" w:space="0" w:color="auto"/>
        <w:right w:val="none" w:sz="0" w:space="0" w:color="auto"/>
      </w:divBdr>
    </w:div>
    <w:div w:id="20174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OneDrive\Desktop\publication24\gallo+chi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9051800281821"/>
          <c:y val="3.9351940809328002E-2"/>
          <c:w val="0.56327611671753441"/>
          <c:h val="0.73611277513919438"/>
        </c:manualLayout>
      </c:layout>
      <c:lineChart>
        <c:grouping val="standard"/>
        <c:varyColors val="0"/>
        <c:ser>
          <c:idx val="1"/>
          <c:order val="0"/>
          <c:tx>
            <c:strRef>
              <c:f>Sheet2!$I$19</c:f>
              <c:strCache>
                <c:ptCount val="1"/>
                <c:pt idx="0">
                  <c:v>Lesion area</c:v>
                </c:pt>
              </c:strCache>
            </c:strRef>
          </c:tx>
          <c:spPr>
            <a:ln w="12700">
              <a:solidFill>
                <a:srgbClr val="00B050"/>
              </a:solidFill>
              <a:prstDash val="sysDash"/>
            </a:ln>
          </c:spPr>
          <c:marker>
            <c:symbol val="square"/>
            <c:size val="5"/>
            <c:spPr>
              <a:solidFill>
                <a:srgbClr val="00B050"/>
              </a:solidFill>
              <a:ln>
                <a:solidFill>
                  <a:srgbClr val="00B050"/>
                </a:solidFill>
                <a:prstDash val="sysDash"/>
              </a:ln>
            </c:spPr>
          </c:marker>
          <c:cat>
            <c:numRef>
              <c:f>Sheet2!$J$18:$N$18</c:f>
              <c:numCache>
                <c:formatCode>General</c:formatCode>
                <c:ptCount val="5"/>
                <c:pt idx="0">
                  <c:v>1</c:v>
                </c:pt>
                <c:pt idx="1">
                  <c:v>3</c:v>
                </c:pt>
                <c:pt idx="2">
                  <c:v>5</c:v>
                </c:pt>
                <c:pt idx="3">
                  <c:v>7</c:v>
                </c:pt>
                <c:pt idx="4">
                  <c:v>9</c:v>
                </c:pt>
              </c:numCache>
            </c:numRef>
          </c:cat>
          <c:val>
            <c:numRef>
              <c:f>Sheet2!$J$19:$N$19</c:f>
              <c:numCache>
                <c:formatCode>General</c:formatCode>
                <c:ptCount val="5"/>
                <c:pt idx="0">
                  <c:v>0</c:v>
                </c:pt>
                <c:pt idx="1">
                  <c:v>0</c:v>
                </c:pt>
                <c:pt idx="2">
                  <c:v>0</c:v>
                </c:pt>
                <c:pt idx="3">
                  <c:v>7.0000000000000007E-2</c:v>
                </c:pt>
                <c:pt idx="4">
                  <c:v>12.24</c:v>
                </c:pt>
              </c:numCache>
            </c:numRef>
          </c:val>
          <c:smooth val="0"/>
          <c:extLst>
            <c:ext xmlns:c16="http://schemas.microsoft.com/office/drawing/2014/chart" uri="{C3380CC4-5D6E-409C-BE32-E72D297353CC}">
              <c16:uniqueId val="{00000000-94F2-4E00-93C9-354447DA7389}"/>
            </c:ext>
          </c:extLst>
        </c:ser>
        <c:dLbls>
          <c:showLegendKey val="0"/>
          <c:showVal val="0"/>
          <c:showCatName val="0"/>
          <c:showSerName val="0"/>
          <c:showPercent val="0"/>
          <c:showBubbleSize val="0"/>
        </c:dLbls>
        <c:marker val="1"/>
        <c:smooth val="0"/>
        <c:axId val="1941191936"/>
        <c:axId val="1941196832"/>
      </c:lineChart>
      <c:lineChart>
        <c:grouping val="standard"/>
        <c:varyColors val="0"/>
        <c:ser>
          <c:idx val="0"/>
          <c:order val="1"/>
          <c:tx>
            <c:strRef>
              <c:f>Sheet2!$I$20</c:f>
              <c:strCache>
                <c:ptCount val="1"/>
                <c:pt idx="0">
                  <c:v>Inhibition area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errBars>
            <c:errDir val="y"/>
            <c:errBarType val="both"/>
            <c:errValType val="cust"/>
            <c:noEndCap val="0"/>
            <c:plus>
              <c:numRef>
                <c:f>Sheet2!$J$9:$N$9</c:f>
                <c:numCache>
                  <c:formatCode>General</c:formatCode>
                  <c:ptCount val="5"/>
                  <c:pt idx="0">
                    <c:v>21.5</c:v>
                  </c:pt>
                  <c:pt idx="1">
                    <c:v>3</c:v>
                  </c:pt>
                  <c:pt idx="2">
                    <c:v>20</c:v>
                  </c:pt>
                  <c:pt idx="3">
                    <c:v>0.5</c:v>
                  </c:pt>
                  <c:pt idx="4">
                    <c:v>4</c:v>
                  </c:pt>
                </c:numCache>
              </c:numRef>
            </c:plus>
            <c:minus>
              <c:numRef>
                <c:f>Sheet2!$J$9:$N$9</c:f>
                <c:numCache>
                  <c:formatCode>General</c:formatCode>
                  <c:ptCount val="5"/>
                  <c:pt idx="0">
                    <c:v>21.5</c:v>
                  </c:pt>
                  <c:pt idx="1">
                    <c:v>3</c:v>
                  </c:pt>
                  <c:pt idx="2">
                    <c:v>20</c:v>
                  </c:pt>
                  <c:pt idx="3">
                    <c:v>0.5</c:v>
                  </c:pt>
                  <c:pt idx="4">
                    <c:v>4</c:v>
                  </c:pt>
                </c:numCache>
              </c:numRef>
            </c:minus>
            <c:spPr>
              <a:ln w="12700">
                <a:solidFill>
                  <a:srgbClr val="000000"/>
                </a:solidFill>
                <a:prstDash val="solid"/>
              </a:ln>
            </c:spPr>
          </c:errBars>
          <c:cat>
            <c:numRef>
              <c:f>Sheet2!$J$18:$N$18</c:f>
              <c:numCache>
                <c:formatCode>General</c:formatCode>
                <c:ptCount val="5"/>
                <c:pt idx="0">
                  <c:v>1</c:v>
                </c:pt>
                <c:pt idx="1">
                  <c:v>3</c:v>
                </c:pt>
                <c:pt idx="2">
                  <c:v>5</c:v>
                </c:pt>
                <c:pt idx="3">
                  <c:v>7</c:v>
                </c:pt>
                <c:pt idx="4">
                  <c:v>9</c:v>
                </c:pt>
              </c:numCache>
            </c:numRef>
          </c:cat>
          <c:val>
            <c:numRef>
              <c:f>Sheet2!$J$20:$N$20</c:f>
              <c:numCache>
                <c:formatCode>General</c:formatCode>
                <c:ptCount val="5"/>
                <c:pt idx="0">
                  <c:v>193.5</c:v>
                </c:pt>
                <c:pt idx="1">
                  <c:v>181</c:v>
                </c:pt>
                <c:pt idx="2">
                  <c:v>195</c:v>
                </c:pt>
                <c:pt idx="3">
                  <c:v>156.5</c:v>
                </c:pt>
                <c:pt idx="4">
                  <c:v>154</c:v>
                </c:pt>
              </c:numCache>
            </c:numRef>
          </c:val>
          <c:smooth val="0"/>
          <c:extLst>
            <c:ext xmlns:c16="http://schemas.microsoft.com/office/drawing/2014/chart" uri="{C3380CC4-5D6E-409C-BE32-E72D297353CC}">
              <c16:uniqueId val="{00000001-94F2-4E00-93C9-354447DA7389}"/>
            </c:ext>
          </c:extLst>
        </c:ser>
        <c:dLbls>
          <c:showLegendKey val="0"/>
          <c:showVal val="0"/>
          <c:showCatName val="0"/>
          <c:showSerName val="0"/>
          <c:showPercent val="0"/>
          <c:showBubbleSize val="0"/>
        </c:dLbls>
        <c:marker val="1"/>
        <c:smooth val="0"/>
        <c:axId val="1941199552"/>
        <c:axId val="1932268608"/>
      </c:lineChart>
      <c:catAx>
        <c:axId val="194119193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Days after inoculation</a:t>
                </a:r>
              </a:p>
            </c:rich>
          </c:tx>
          <c:layout>
            <c:manualLayout>
              <c:xMode val="edge"/>
              <c:yMode val="edge"/>
              <c:x val="0.26550900655848536"/>
              <c:y val="0.8472241374243557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41196832"/>
        <c:crosses val="autoZero"/>
        <c:auto val="0"/>
        <c:lblAlgn val="ctr"/>
        <c:lblOffset val="100"/>
        <c:tickLblSkip val="1"/>
        <c:tickMarkSkip val="1"/>
        <c:noMultiLvlLbl val="0"/>
      </c:catAx>
      <c:valAx>
        <c:axId val="1941196832"/>
        <c:scaling>
          <c:orientation val="minMax"/>
          <c:max val="14"/>
          <c:min val="0"/>
        </c:scaling>
        <c:delete val="0"/>
        <c:axPos val="l"/>
        <c:title>
          <c:tx>
            <c:rich>
              <a:bodyPr/>
              <a:lstStyle/>
              <a:p>
                <a:pPr>
                  <a:defRPr sz="800" b="1" i="0" u="none" strike="noStrike" baseline="0">
                    <a:solidFill>
                      <a:srgbClr val="000000"/>
                    </a:solidFill>
                    <a:latin typeface="Arial"/>
                    <a:ea typeface="Arial"/>
                    <a:cs typeface="Arial"/>
                  </a:defRPr>
                </a:pPr>
                <a:r>
                  <a:rPr lang="en-US" sz="800" baseline="0"/>
                  <a:t>Disease lesion area/ mm</a:t>
                </a:r>
                <a:r>
                  <a:rPr lang="en-US" sz="1000" baseline="30000"/>
                  <a:t>2</a:t>
                </a:r>
              </a:p>
            </c:rich>
          </c:tx>
          <c:layout>
            <c:manualLayout>
              <c:xMode val="edge"/>
              <c:yMode val="edge"/>
              <c:x val="3.9702169091357167E-2"/>
              <c:y val="0.15247671773348612"/>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41191936"/>
        <c:crosses val="autoZero"/>
        <c:crossBetween val="between"/>
        <c:majorUnit val="2"/>
        <c:minorUnit val="1"/>
      </c:valAx>
      <c:catAx>
        <c:axId val="1941199552"/>
        <c:scaling>
          <c:orientation val="minMax"/>
        </c:scaling>
        <c:delete val="1"/>
        <c:axPos val="b"/>
        <c:numFmt formatCode="General" sourceLinked="1"/>
        <c:majorTickMark val="out"/>
        <c:minorTickMark val="none"/>
        <c:tickLblPos val="nextTo"/>
        <c:crossAx val="1932268608"/>
        <c:crosses val="autoZero"/>
        <c:auto val="0"/>
        <c:lblAlgn val="ctr"/>
        <c:lblOffset val="100"/>
        <c:noMultiLvlLbl val="0"/>
      </c:catAx>
      <c:valAx>
        <c:axId val="1932268608"/>
        <c:scaling>
          <c:orientation val="minMax"/>
          <c:max val="220"/>
          <c:min val="0"/>
        </c:scaling>
        <c:delete val="0"/>
        <c:axPos val="r"/>
        <c:title>
          <c:tx>
            <c:rich>
              <a:bodyPr/>
              <a:lstStyle/>
              <a:p>
                <a:pPr>
                  <a:defRPr sz="800" b="1" i="0" u="none" strike="noStrike" baseline="0">
                    <a:solidFill>
                      <a:srgbClr val="000000"/>
                    </a:solidFill>
                    <a:latin typeface="Arial"/>
                    <a:ea typeface="Arial"/>
                    <a:cs typeface="Arial"/>
                  </a:defRPr>
                </a:pPr>
                <a:r>
                  <a:rPr lang="en-US" sz="800" baseline="0"/>
                  <a:t>Inhibition area on TLC/ mm</a:t>
                </a:r>
                <a:r>
                  <a:rPr lang="en-US" sz="1000" baseline="30000"/>
                  <a:t>2</a:t>
                </a:r>
              </a:p>
            </c:rich>
          </c:tx>
          <c:layout>
            <c:manualLayout>
              <c:xMode val="edge"/>
              <c:yMode val="edge"/>
              <c:x val="0.84407859740980296"/>
              <c:y val="0.1492700466795829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41199552"/>
        <c:crosses val="max"/>
        <c:crossBetween val="between"/>
        <c:majorUnit val="20"/>
        <c:minorUnit val="5"/>
      </c:valAx>
      <c:spPr>
        <a:noFill/>
        <a:ln w="25400">
          <a:noFill/>
        </a:ln>
      </c:spPr>
    </c:plotArea>
    <c:legend>
      <c:legendPos val="b"/>
      <c:layout>
        <c:manualLayout>
          <c:xMode val="edge"/>
          <c:yMode val="edge"/>
          <c:x val="0.10387290608684174"/>
          <c:y val="0.92045019796254279"/>
          <c:w val="0.74457538626040143"/>
          <c:h val="5.5555681142580707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kokar@ou.ac.lk</dc:creator>
  <cp:keywords/>
  <dc:description/>
  <cp:lastModifiedBy>Editor-22</cp:lastModifiedBy>
  <cp:revision>7</cp:revision>
  <dcterms:created xsi:type="dcterms:W3CDTF">2025-04-23T02:55:00Z</dcterms:created>
  <dcterms:modified xsi:type="dcterms:W3CDTF">2025-04-23T11:48:00Z</dcterms:modified>
</cp:coreProperties>
</file>