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101E9" w14:textId="0076B02F" w:rsidR="0075142F" w:rsidRDefault="0075142F" w:rsidP="00E74D77">
      <w:pPr>
        <w:jc w:val="center"/>
        <w:rPr>
          <w:rFonts w:ascii="Times New Roman" w:hAnsi="Times New Roman" w:cs="Times New Roman"/>
          <w:b/>
          <w:bCs/>
          <w:i/>
          <w:iCs/>
          <w:color w:val="000000" w:themeColor="text1"/>
          <w:sz w:val="28"/>
          <w:szCs w:val="28"/>
          <w:u w:val="single"/>
        </w:rPr>
      </w:pPr>
      <w:r w:rsidRPr="0075142F">
        <w:rPr>
          <w:rFonts w:ascii="Times New Roman" w:hAnsi="Times New Roman" w:cs="Times New Roman"/>
          <w:b/>
          <w:bCs/>
          <w:i/>
          <w:iCs/>
          <w:color w:val="000000" w:themeColor="text1"/>
          <w:sz w:val="28"/>
          <w:szCs w:val="28"/>
          <w:u w:val="single"/>
        </w:rPr>
        <w:t>Original Research Article</w:t>
      </w:r>
    </w:p>
    <w:p w14:paraId="11EC651A" w14:textId="77777777" w:rsidR="0075142F" w:rsidRDefault="0075142F" w:rsidP="00E74D77">
      <w:pPr>
        <w:jc w:val="center"/>
        <w:rPr>
          <w:rFonts w:ascii="Times New Roman" w:hAnsi="Times New Roman" w:cs="Times New Roman"/>
          <w:b/>
          <w:bCs/>
          <w:color w:val="000000" w:themeColor="text1"/>
          <w:sz w:val="28"/>
          <w:szCs w:val="28"/>
        </w:rPr>
      </w:pPr>
    </w:p>
    <w:p w14:paraId="54574460" w14:textId="14476E59" w:rsidR="00915EE3" w:rsidRPr="002B5EB2" w:rsidRDefault="00AF69EC" w:rsidP="00E74D77">
      <w:pPr>
        <w:jc w:val="center"/>
        <w:rPr>
          <w:rFonts w:ascii="Times New Roman" w:hAnsi="Times New Roman" w:cs="Times New Roman"/>
          <w:b/>
          <w:bCs/>
          <w:color w:val="000000" w:themeColor="text1"/>
          <w:sz w:val="28"/>
          <w:szCs w:val="28"/>
        </w:rPr>
      </w:pPr>
      <w:r w:rsidRPr="002B5EB2">
        <w:rPr>
          <w:rFonts w:ascii="Times New Roman" w:hAnsi="Times New Roman" w:cs="Times New Roman"/>
          <w:b/>
          <w:bCs/>
          <w:color w:val="000000" w:themeColor="text1"/>
          <w:sz w:val="28"/>
          <w:szCs w:val="28"/>
        </w:rPr>
        <w:t xml:space="preserve">Isolation </w:t>
      </w:r>
      <w:r w:rsidR="00C8636D">
        <w:rPr>
          <w:rFonts w:ascii="Times New Roman" w:hAnsi="Times New Roman" w:cs="Times New Roman"/>
          <w:b/>
          <w:bCs/>
          <w:color w:val="000000" w:themeColor="text1"/>
          <w:sz w:val="28"/>
          <w:szCs w:val="28"/>
        </w:rPr>
        <w:t>a</w:t>
      </w:r>
      <w:r w:rsidR="00E74D77" w:rsidRPr="002B5EB2">
        <w:rPr>
          <w:rFonts w:ascii="Times New Roman" w:hAnsi="Times New Roman" w:cs="Times New Roman"/>
          <w:b/>
          <w:bCs/>
          <w:color w:val="000000" w:themeColor="text1"/>
          <w:sz w:val="28"/>
          <w:szCs w:val="28"/>
        </w:rPr>
        <w:t xml:space="preserve">nd Morphological Characteristics of </w:t>
      </w:r>
      <w:r w:rsidRPr="002B5EB2">
        <w:rPr>
          <w:rFonts w:ascii="Times New Roman" w:hAnsi="Times New Roman" w:cs="Times New Roman"/>
          <w:b/>
          <w:bCs/>
          <w:i/>
          <w:iCs/>
          <w:color w:val="000000" w:themeColor="text1"/>
          <w:sz w:val="28"/>
          <w:szCs w:val="28"/>
        </w:rPr>
        <w:t xml:space="preserve">Sclerotium </w:t>
      </w:r>
      <w:proofErr w:type="spellStart"/>
      <w:r w:rsidR="00E74D77" w:rsidRPr="002B5EB2">
        <w:rPr>
          <w:rFonts w:ascii="Times New Roman" w:hAnsi="Times New Roman" w:cs="Times New Roman"/>
          <w:b/>
          <w:bCs/>
          <w:i/>
          <w:iCs/>
          <w:color w:val="000000" w:themeColor="text1"/>
          <w:sz w:val="28"/>
          <w:szCs w:val="28"/>
        </w:rPr>
        <w:t>rolfsii</w:t>
      </w:r>
      <w:proofErr w:type="spellEnd"/>
      <w:r w:rsidR="00E74D77" w:rsidRPr="002B5EB2">
        <w:rPr>
          <w:rFonts w:ascii="Times New Roman" w:hAnsi="Times New Roman" w:cs="Times New Roman"/>
          <w:b/>
          <w:bCs/>
          <w:color w:val="000000" w:themeColor="text1"/>
          <w:sz w:val="28"/>
          <w:szCs w:val="28"/>
        </w:rPr>
        <w:t xml:space="preserve"> </w:t>
      </w:r>
      <w:r w:rsidR="00C8636D">
        <w:rPr>
          <w:rFonts w:ascii="Times New Roman" w:hAnsi="Times New Roman" w:cs="Times New Roman"/>
          <w:b/>
          <w:bCs/>
          <w:color w:val="000000" w:themeColor="text1"/>
          <w:sz w:val="28"/>
          <w:szCs w:val="28"/>
        </w:rPr>
        <w:t>i</w:t>
      </w:r>
      <w:r w:rsidR="00E74D77" w:rsidRPr="002B5EB2">
        <w:rPr>
          <w:rFonts w:ascii="Times New Roman" w:hAnsi="Times New Roman" w:cs="Times New Roman"/>
          <w:b/>
          <w:bCs/>
          <w:color w:val="000000" w:themeColor="text1"/>
          <w:sz w:val="28"/>
          <w:szCs w:val="28"/>
        </w:rPr>
        <w:t xml:space="preserve">nciting Collar Rot </w:t>
      </w:r>
      <w:r w:rsidR="002B5EB2">
        <w:rPr>
          <w:rFonts w:ascii="Times New Roman" w:hAnsi="Times New Roman" w:cs="Times New Roman"/>
          <w:b/>
          <w:bCs/>
          <w:color w:val="000000" w:themeColor="text1"/>
          <w:sz w:val="28"/>
          <w:szCs w:val="28"/>
        </w:rPr>
        <w:t>i</w:t>
      </w:r>
      <w:r w:rsidR="00E74D77" w:rsidRPr="002B5EB2">
        <w:rPr>
          <w:rFonts w:ascii="Times New Roman" w:hAnsi="Times New Roman" w:cs="Times New Roman"/>
          <w:b/>
          <w:bCs/>
          <w:color w:val="000000" w:themeColor="text1"/>
          <w:sz w:val="28"/>
          <w:szCs w:val="28"/>
        </w:rPr>
        <w:t>n Brinjal</w:t>
      </w:r>
    </w:p>
    <w:p w14:paraId="5B557002" w14:textId="77777777" w:rsidR="0075142F" w:rsidRDefault="0075142F" w:rsidP="0075142F">
      <w:pPr>
        <w:spacing w:after="0" w:line="360" w:lineRule="auto"/>
        <w:jc w:val="both"/>
        <w:rPr>
          <w:rFonts w:ascii="Times New Roman" w:hAnsi="Times New Roman" w:cs="Times New Roman"/>
          <w:color w:val="000000" w:themeColor="text1"/>
        </w:rPr>
      </w:pPr>
    </w:p>
    <w:p w14:paraId="28D6EFEA" w14:textId="77777777" w:rsidR="00DD4F55" w:rsidRDefault="00DD4F55" w:rsidP="0075142F">
      <w:pPr>
        <w:spacing w:after="0" w:line="360" w:lineRule="auto"/>
        <w:jc w:val="both"/>
        <w:rPr>
          <w:rFonts w:ascii="Times New Roman" w:hAnsi="Times New Roman" w:cs="Times New Roman"/>
          <w:color w:val="000000" w:themeColor="text1"/>
        </w:rPr>
      </w:pPr>
    </w:p>
    <w:p w14:paraId="3E40B41B" w14:textId="77777777" w:rsidR="0075142F" w:rsidRPr="0075142F" w:rsidRDefault="0075142F" w:rsidP="0075142F">
      <w:pPr>
        <w:spacing w:after="0" w:line="360" w:lineRule="auto"/>
        <w:jc w:val="both"/>
        <w:rPr>
          <w:rFonts w:ascii="Times New Roman" w:hAnsi="Times New Roman" w:cs="Times New Roman"/>
          <w:color w:val="000000" w:themeColor="text1"/>
        </w:rPr>
      </w:pPr>
    </w:p>
    <w:p w14:paraId="4BC52E51" w14:textId="77777777" w:rsidR="0075142F" w:rsidRPr="0075142F" w:rsidRDefault="0075142F" w:rsidP="0075142F">
      <w:pPr>
        <w:spacing w:after="0" w:line="360" w:lineRule="auto"/>
        <w:jc w:val="both"/>
        <w:rPr>
          <w:rFonts w:ascii="Times New Roman" w:hAnsi="Times New Roman" w:cs="Times New Roman"/>
          <w:color w:val="000000" w:themeColor="text1"/>
        </w:rPr>
      </w:pPr>
    </w:p>
    <w:p w14:paraId="46D6B948" w14:textId="7F3837F9" w:rsidR="009668A2" w:rsidRDefault="009F4895" w:rsidP="009668A2">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ABSTRACT</w:t>
      </w:r>
    </w:p>
    <w:p w14:paraId="648CD911" w14:textId="240AA132" w:rsidR="00333DFC" w:rsidRPr="00CB05B8" w:rsidRDefault="00333DFC" w:rsidP="009668A2">
      <w:pPr>
        <w:ind w:firstLine="720"/>
        <w:jc w:val="both"/>
        <w:rPr>
          <w:rFonts w:ascii="Times New Roman" w:hAnsi="Times New Roman" w:cs="Times New Roman"/>
          <w:color w:val="000000" w:themeColor="text1"/>
        </w:rPr>
      </w:pPr>
      <w:r w:rsidRPr="00AE29F2">
        <w:rPr>
          <w:rFonts w:ascii="Times New Roman" w:hAnsi="Times New Roman" w:cs="Times New Roman"/>
          <w:i/>
          <w:iCs/>
          <w:color w:val="000000" w:themeColor="text1"/>
        </w:rPr>
        <w:t xml:space="preserve">Sclerotium </w:t>
      </w:r>
      <w:proofErr w:type="spellStart"/>
      <w:r w:rsidRPr="00AE29F2">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a soil-borne </w:t>
      </w:r>
      <w:proofErr w:type="spellStart"/>
      <w:r w:rsidRPr="00333DFC">
        <w:rPr>
          <w:rFonts w:ascii="Times New Roman" w:hAnsi="Times New Roman" w:cs="Times New Roman"/>
          <w:color w:val="000000" w:themeColor="text1"/>
        </w:rPr>
        <w:t>omnipathogenic</w:t>
      </w:r>
      <w:proofErr w:type="spellEnd"/>
      <w:r w:rsidRPr="00333DFC">
        <w:rPr>
          <w:rFonts w:ascii="Times New Roman" w:hAnsi="Times New Roman" w:cs="Times New Roman"/>
          <w:color w:val="000000" w:themeColor="text1"/>
        </w:rPr>
        <w:t xml:space="preserve"> fungus, is a major threat to crop production due to its wide host range and aggressive pathogenicity. This study aimed to isolate and characterize twenty S.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isolates from infected brinjal plants using standard tissue segment methods on PDA medium. Cultural and morphological assessments revealed significant variability among isolates in colony morphology, mycelial growth, and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traits. Radial growth ranged from 59</w:t>
      </w:r>
      <w:r w:rsidR="00B549CA">
        <w:rPr>
          <w:rFonts w:ascii="Times New Roman" w:hAnsi="Times New Roman" w:cs="Times New Roman"/>
          <w:color w:val="000000" w:themeColor="text1"/>
        </w:rPr>
        <w:t>-</w:t>
      </w:r>
      <w:r w:rsidRPr="00333DFC">
        <w:rPr>
          <w:rFonts w:ascii="Times New Roman" w:hAnsi="Times New Roman" w:cs="Times New Roman"/>
          <w:color w:val="000000" w:themeColor="text1"/>
        </w:rPr>
        <w:t xml:space="preserve">90 mm at 72 hours, while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formation varied from 9</w:t>
      </w:r>
      <w:r w:rsidR="002D7775">
        <w:rPr>
          <w:rFonts w:ascii="Times New Roman" w:hAnsi="Times New Roman" w:cs="Times New Roman"/>
          <w:color w:val="000000" w:themeColor="text1"/>
        </w:rPr>
        <w:t>-</w:t>
      </w:r>
      <w:r w:rsidRPr="00333DFC">
        <w:rPr>
          <w:rFonts w:ascii="Times New Roman" w:hAnsi="Times New Roman" w:cs="Times New Roman"/>
          <w:color w:val="000000" w:themeColor="text1"/>
        </w:rPr>
        <w:t>34 days. The number of sclerotia per plate ranged between 75 and</w:t>
      </w:r>
      <w:r w:rsidR="00413C03">
        <w:rPr>
          <w:rFonts w:ascii="Times New Roman" w:hAnsi="Times New Roman" w:cs="Times New Roman"/>
          <w:color w:val="000000" w:themeColor="text1"/>
        </w:rPr>
        <w:t xml:space="preserve"> </w:t>
      </w:r>
      <w:r w:rsidRPr="00333DFC">
        <w:rPr>
          <w:rFonts w:ascii="Times New Roman" w:hAnsi="Times New Roman" w:cs="Times New Roman"/>
          <w:color w:val="000000" w:themeColor="text1"/>
        </w:rPr>
        <w:t xml:space="preserve">1,338, with differences in color, shape, and arrangement. Microscopic and SEM examinations confirmed the presence of diagnostic features such as septate hyphae with clamp connections. Isolate identity was further verified through deposition at NFCCI with accession number NFCCI 5791. The findings highlight the morphological diversity among S.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isolates, which may influence their pathogenic behavior and epidemiology.</w:t>
      </w:r>
    </w:p>
    <w:p w14:paraId="46C0896E" w14:textId="7851E213" w:rsidR="00AF69EC"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 xml:space="preserve">KEYWORDS: </w:t>
      </w:r>
      <w:proofErr w:type="spellStart"/>
      <w:r w:rsidR="00333DFC" w:rsidRPr="00333DFC">
        <w:rPr>
          <w:rFonts w:ascii="Times New Roman" w:hAnsi="Times New Roman" w:cs="Times New Roman"/>
          <w:i/>
          <w:iCs/>
          <w:color w:val="000000" w:themeColor="text1"/>
        </w:rPr>
        <w:t>Scleroitum</w:t>
      </w:r>
      <w:proofErr w:type="spellEnd"/>
      <w:r w:rsidR="00333DFC" w:rsidRPr="00333DFC">
        <w:rPr>
          <w:rFonts w:ascii="Times New Roman" w:hAnsi="Times New Roman" w:cs="Times New Roman"/>
          <w:i/>
          <w:iCs/>
          <w:color w:val="000000" w:themeColor="text1"/>
        </w:rPr>
        <w:t xml:space="preserve"> </w:t>
      </w:r>
      <w:proofErr w:type="spellStart"/>
      <w:r w:rsidR="00333DFC" w:rsidRPr="00333DFC">
        <w:rPr>
          <w:rFonts w:ascii="Times New Roman" w:hAnsi="Times New Roman" w:cs="Times New Roman"/>
          <w:i/>
          <w:iCs/>
          <w:color w:val="000000" w:themeColor="text1"/>
        </w:rPr>
        <w:t>rolfsii</w:t>
      </w:r>
      <w:proofErr w:type="spellEnd"/>
      <w:r w:rsidR="00333DFC" w:rsidRPr="00333DFC">
        <w:rPr>
          <w:rFonts w:ascii="Times New Roman" w:hAnsi="Times New Roman" w:cs="Times New Roman"/>
          <w:color w:val="000000" w:themeColor="text1"/>
        </w:rPr>
        <w:t xml:space="preserve">, mycelial growth, </w:t>
      </w:r>
      <w:proofErr w:type="spellStart"/>
      <w:r w:rsidR="00333DFC" w:rsidRPr="00333DFC">
        <w:rPr>
          <w:rFonts w:ascii="Times New Roman" w:hAnsi="Times New Roman" w:cs="Times New Roman"/>
          <w:color w:val="000000" w:themeColor="text1"/>
        </w:rPr>
        <w:t>sclerotial</w:t>
      </w:r>
      <w:proofErr w:type="spellEnd"/>
      <w:r w:rsidR="00333DFC" w:rsidRPr="00333DFC">
        <w:rPr>
          <w:rFonts w:ascii="Times New Roman" w:hAnsi="Times New Roman" w:cs="Times New Roman"/>
          <w:color w:val="000000" w:themeColor="text1"/>
        </w:rPr>
        <w:t xml:space="preserve"> formation</w:t>
      </w:r>
    </w:p>
    <w:p w14:paraId="3D5F3465" w14:textId="146DB5F9" w:rsidR="00AF69EC"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INTRODUCTION</w:t>
      </w:r>
    </w:p>
    <w:p w14:paraId="79A3F49C" w14:textId="63503E51" w:rsidR="00405B53" w:rsidRPr="00333DFC" w:rsidRDefault="00405B53" w:rsidP="00405B53">
      <w:pPr>
        <w:jc w:val="both"/>
        <w:rPr>
          <w:rFonts w:ascii="Times New Roman" w:hAnsi="Times New Roman" w:cs="Times New Roman"/>
          <w:color w:val="000000" w:themeColor="text1"/>
        </w:rPr>
      </w:pP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is a soil-borne, saprophytic, and </w:t>
      </w:r>
      <w:proofErr w:type="spellStart"/>
      <w:r w:rsidRPr="00333DFC">
        <w:rPr>
          <w:rFonts w:ascii="Times New Roman" w:hAnsi="Times New Roman" w:cs="Times New Roman"/>
          <w:color w:val="000000" w:themeColor="text1"/>
        </w:rPr>
        <w:t>omnipathogenic</w:t>
      </w:r>
      <w:proofErr w:type="spellEnd"/>
      <w:r w:rsidRPr="00333DFC">
        <w:rPr>
          <w:rFonts w:ascii="Times New Roman" w:hAnsi="Times New Roman" w:cs="Times New Roman"/>
          <w:color w:val="000000" w:themeColor="text1"/>
        </w:rPr>
        <w:t xml:space="preserve"> fungus associated with a wide array of plant diseases, including collar rot, stem rot, crown rot, foot </w:t>
      </w:r>
      <w:proofErr w:type="spellStart"/>
      <w:r w:rsidRPr="00333DFC">
        <w:rPr>
          <w:rFonts w:ascii="Times New Roman" w:hAnsi="Times New Roman" w:cs="Times New Roman"/>
          <w:color w:val="000000" w:themeColor="text1"/>
        </w:rPr>
        <w:t>rot</w:t>
      </w:r>
      <w:proofErr w:type="spellEnd"/>
      <w:r w:rsidRPr="00333DFC">
        <w:rPr>
          <w:rFonts w:ascii="Times New Roman" w:hAnsi="Times New Roman" w:cs="Times New Roman"/>
          <w:color w:val="000000" w:themeColor="text1"/>
        </w:rPr>
        <w:t xml:space="preserve">, root rot, charcoal rot, seedling blight, Sclerotium wilt, damping-off, stem blight, and stem canker (Punja, 1985; Kumar and Thakur, 2021; Adhikari et al., 2022; Mullen, 2001; </w:t>
      </w:r>
      <w:proofErr w:type="spellStart"/>
      <w:r w:rsidRPr="00333DFC">
        <w:rPr>
          <w:rFonts w:ascii="Times New Roman" w:hAnsi="Times New Roman" w:cs="Times New Roman"/>
          <w:color w:val="000000" w:themeColor="text1"/>
        </w:rPr>
        <w:t>Arunasri</w:t>
      </w:r>
      <w:proofErr w:type="spellEnd"/>
      <w:r w:rsidRPr="00333DFC">
        <w:rPr>
          <w:rFonts w:ascii="Times New Roman" w:hAnsi="Times New Roman" w:cs="Times New Roman"/>
          <w:color w:val="000000" w:themeColor="text1"/>
        </w:rPr>
        <w:t>, 2011; Khadka, 2024). This basidiomycetous pathogen is facultatively parasitic, polyphagous, non-host specific, and exhibits strong dependency on environmental moisture. It is capable of persisting under diverse agroecological conditions and is widely distributed across tropical and subtropical regions (Chen et al., 2020). The fungus has been documented to infect more than 600 plant species spanning approximately 100 families, with a substantial impact on economically important agricultural and horticultural crops (Yan et al., 2021). Its pathogenic activity poses a major threat to crop production both in India and globally (Tabing and Tiwari, 2018). High incidences of collar rot, ranging from 60</w:t>
      </w:r>
      <w:r w:rsidR="00860AAA">
        <w:rPr>
          <w:rFonts w:ascii="Times New Roman" w:hAnsi="Times New Roman" w:cs="Times New Roman"/>
          <w:color w:val="000000" w:themeColor="text1"/>
        </w:rPr>
        <w:t>-</w:t>
      </w:r>
      <w:r w:rsidRPr="00333DFC">
        <w:rPr>
          <w:rFonts w:ascii="Times New Roman" w:hAnsi="Times New Roman" w:cs="Times New Roman"/>
          <w:color w:val="000000" w:themeColor="text1"/>
        </w:rPr>
        <w:t xml:space="preserve">100%, have been reported in brinjal cultivation (Hasan and Meah, 2019). On Potato Dextrose Agar (PDA), </w:t>
      </w:r>
      <w:r w:rsidRPr="00333DFC">
        <w:rPr>
          <w:rFonts w:ascii="Times New Roman" w:hAnsi="Times New Roman" w:cs="Times New Roman"/>
          <w:i/>
          <w:iCs/>
          <w:color w:val="000000" w:themeColor="text1"/>
        </w:rPr>
        <w:t xml:space="preserve">S.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develops a cottony white mycelial growth that spreads radially. Microscopic </w:t>
      </w:r>
      <w:r w:rsidRPr="00333DFC">
        <w:rPr>
          <w:rFonts w:ascii="Times New Roman" w:hAnsi="Times New Roman" w:cs="Times New Roman"/>
          <w:color w:val="000000" w:themeColor="text1"/>
        </w:rPr>
        <w:lastRenderedPageBreak/>
        <w:t>examination reveals well-separated, septate, and branched hyphae, frequently exhibiting clamp connections. Sclerotia typically begin to form around the tenth day of culture, transitioning from white to yellow, and eventually becoming dark brown in color (Zheng et al., 2021). Pathogenesis is initiated through the secretion of oxalic acid, polygalacturonase, and cellulase</w:t>
      </w:r>
      <w:r w:rsidR="00DE26E7">
        <w:rPr>
          <w:rFonts w:ascii="Times New Roman" w:hAnsi="Times New Roman" w:cs="Times New Roman"/>
          <w:color w:val="000000" w:themeColor="text1"/>
        </w:rPr>
        <w:t xml:space="preserve"> </w:t>
      </w:r>
      <w:r w:rsidRPr="00333DFC">
        <w:rPr>
          <w:rFonts w:ascii="Times New Roman" w:hAnsi="Times New Roman" w:cs="Times New Roman"/>
          <w:color w:val="000000" w:themeColor="text1"/>
        </w:rPr>
        <w:t>enzymes that degrade host tissues and facilitate colonization (Chen et al., 2020). Symptoms commonly include dark brown lesions at the collar region, leading to plant wilting. As infection progresses, a characteristic mycelial girdle forms above the soil surface, often accompanied by the development of cream to dark brown sclerotia. Affected stem and root tissues exhibit pronounced soft rotting and maceration (Murmu et al., 2021).</w:t>
      </w:r>
    </w:p>
    <w:p w14:paraId="676C09C4" w14:textId="2CADD378" w:rsidR="00AF69EC"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MATERIALS AND METHODS</w:t>
      </w:r>
    </w:p>
    <w:p w14:paraId="776A48EA" w14:textId="5CC39BEE" w:rsidR="00AF69EC"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ISOLATION</w:t>
      </w:r>
    </w:p>
    <w:p w14:paraId="12B3E6FA" w14:textId="745C0D67" w:rsidR="00405B53" w:rsidRDefault="00405B53" w:rsidP="0001532A">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Isolation of the pathogen was carried out using the tissue segment method on Potato Dextrose Agar (PDA) medium, as described by Agrios (2005). Infected plant specimens (Fig. 1) were initially washed under running tap water and then blotted dry. Small sections were excised from symptomatic tissues, surface-sterilized with 1% sodium hypochlorite for 30 seconds, rinsed three times with sterile distilled water, and dried on sterile tissue paper. Approximately 3–4 segments were aseptically placed onto Petri dishes containing 15 ml of PDA medium supplemented with streptomycin to inhibit bacterial growth. The plates were incubated at 25°C for three days. Emerging fungal colonies were purified via the hyphal tip method (Rangaswami, 1972), followed by incubation at 28 ± 2°C for 5–7 days to promote mycelial development and sclerotia formation (Fig. 2). Developed sclerotia were transferred to PDA slants and stored at 4°C for subsequent studies. Subculturing was performed at regular intervals to maintain the viability of the cultures. A total of 20 fungal isolates were obtained and designated as Sr1 to Sr20. </w:t>
      </w:r>
    </w:p>
    <w:p w14:paraId="543E64C1" w14:textId="77777777" w:rsidR="00D1512D" w:rsidRPr="00333DFC" w:rsidRDefault="00D1512D" w:rsidP="00D1512D">
      <w:pPr>
        <w:jc w:val="center"/>
        <w:rPr>
          <w:rFonts w:ascii="Times New Roman" w:hAnsi="Times New Roman" w:cs="Times New Roman"/>
          <w:color w:val="000000" w:themeColor="text1"/>
        </w:rPr>
      </w:pPr>
      <w:r w:rsidRPr="00333DFC">
        <w:rPr>
          <w:rFonts w:ascii="Times New Roman" w:hAnsi="Times New Roman" w:cs="Times New Roman"/>
          <w:noProof/>
          <w:color w:val="000000" w:themeColor="text1"/>
        </w:rPr>
        <w:drawing>
          <wp:inline distT="0" distB="0" distL="0" distR="0" wp14:anchorId="78AC2A22" wp14:editId="7FD95B60">
            <wp:extent cx="1621013" cy="1982081"/>
            <wp:effectExtent l="0" t="0" r="0" b="0"/>
            <wp:docPr id="765899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8873"/>
                    <a:stretch/>
                  </pic:blipFill>
                  <pic:spPr bwMode="auto">
                    <a:xfrm flipH="1">
                      <a:off x="0" y="0"/>
                      <a:ext cx="1636461" cy="20009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rPr>
        <w:t xml:space="preserve"> </w:t>
      </w:r>
      <w:r w:rsidRPr="00333DFC">
        <w:rPr>
          <w:rFonts w:ascii="Times New Roman" w:hAnsi="Times New Roman" w:cs="Times New Roman"/>
          <w:noProof/>
          <w:color w:val="000000" w:themeColor="text1"/>
        </w:rPr>
        <w:drawing>
          <wp:inline distT="0" distB="0" distL="0" distR="0" wp14:anchorId="509369FC" wp14:editId="4255C8FB">
            <wp:extent cx="1684904" cy="1982400"/>
            <wp:effectExtent l="0" t="0" r="0" b="0"/>
            <wp:docPr id="730015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408" b="5411"/>
                    <a:stretch/>
                  </pic:blipFill>
                  <pic:spPr bwMode="auto">
                    <a:xfrm>
                      <a:off x="0" y="0"/>
                      <a:ext cx="1704706" cy="2005699"/>
                    </a:xfrm>
                    <a:prstGeom prst="rect">
                      <a:avLst/>
                    </a:prstGeom>
                    <a:noFill/>
                    <a:ln>
                      <a:noFill/>
                    </a:ln>
                    <a:extLst>
                      <a:ext uri="{53640926-AAD7-44D8-BBD7-CCE9431645EC}">
                        <a14:shadowObscured xmlns:a14="http://schemas.microsoft.com/office/drawing/2010/main"/>
                      </a:ext>
                    </a:extLst>
                  </pic:spPr>
                </pic:pic>
              </a:graphicData>
            </a:graphic>
          </wp:inline>
        </w:drawing>
      </w:r>
    </w:p>
    <w:p w14:paraId="66C6EA3C" w14:textId="619C1DA4" w:rsidR="00D1512D" w:rsidRDefault="00D1512D" w:rsidP="00D1512D">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Fig.1: </w:t>
      </w:r>
      <w:r w:rsidRPr="00333DFC">
        <w:rPr>
          <w:rFonts w:ascii="Times New Roman" w:hAnsi="Times New Roman" w:cs="Times New Roman"/>
          <w:color w:val="000000" w:themeColor="text1"/>
        </w:rPr>
        <w:t>Symptom</w:t>
      </w:r>
      <w:r>
        <w:rPr>
          <w:rFonts w:ascii="Times New Roman" w:hAnsi="Times New Roman" w:cs="Times New Roman"/>
          <w:color w:val="000000" w:themeColor="text1"/>
        </w:rPr>
        <w:t>s of Brinjal collar rot</w:t>
      </w:r>
    </w:p>
    <w:p w14:paraId="0DA897FE" w14:textId="77777777" w:rsidR="00D1512D" w:rsidRDefault="00D1512D" w:rsidP="00D1512D">
      <w:pPr>
        <w:jc w:val="center"/>
        <w:rPr>
          <w:rFonts w:ascii="Times New Roman" w:hAnsi="Times New Roman" w:cs="Times New Roman"/>
          <w:noProof/>
          <w:color w:val="000000" w:themeColor="text1"/>
        </w:rPr>
      </w:pPr>
      <w:r w:rsidRPr="00333DFC">
        <w:rPr>
          <w:rFonts w:ascii="Times New Roman" w:hAnsi="Times New Roman" w:cs="Times New Roman"/>
          <w:noProof/>
          <w:color w:val="000000" w:themeColor="text1"/>
        </w:rPr>
        <w:lastRenderedPageBreak/>
        <w:drawing>
          <wp:inline distT="0" distB="0" distL="0" distR="0" wp14:anchorId="17DB9204" wp14:editId="5D7D5368">
            <wp:extent cx="2130425" cy="1860605"/>
            <wp:effectExtent l="0" t="0" r="3175" b="6350"/>
            <wp:docPr id="1830115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18" t="21877" r="10070" b="20334"/>
                    <a:stretch/>
                  </pic:blipFill>
                  <pic:spPr bwMode="auto">
                    <a:xfrm>
                      <a:off x="0" y="0"/>
                      <a:ext cx="2163344" cy="18893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rPr>
        <w:t xml:space="preserve"> </w:t>
      </w:r>
      <w:r w:rsidRPr="00333DFC">
        <w:rPr>
          <w:rFonts w:ascii="Times New Roman" w:hAnsi="Times New Roman" w:cs="Times New Roman"/>
          <w:noProof/>
          <w:color w:val="000000" w:themeColor="text1"/>
        </w:rPr>
        <w:drawing>
          <wp:inline distT="0" distB="0" distL="0" distR="0" wp14:anchorId="2BF5A036" wp14:editId="091012E2">
            <wp:extent cx="1701579" cy="1866265"/>
            <wp:effectExtent l="0" t="0" r="0" b="635"/>
            <wp:docPr id="1566707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6" t="15149" r="7413" b="14617"/>
                    <a:stretch/>
                  </pic:blipFill>
                  <pic:spPr bwMode="auto">
                    <a:xfrm>
                      <a:off x="0" y="0"/>
                      <a:ext cx="1721398" cy="1888002"/>
                    </a:xfrm>
                    <a:prstGeom prst="rect">
                      <a:avLst/>
                    </a:prstGeom>
                    <a:noFill/>
                    <a:ln>
                      <a:noFill/>
                    </a:ln>
                    <a:extLst>
                      <a:ext uri="{53640926-AAD7-44D8-BBD7-CCE9431645EC}">
                        <a14:shadowObscured xmlns:a14="http://schemas.microsoft.com/office/drawing/2010/main"/>
                      </a:ext>
                    </a:extLst>
                  </pic:spPr>
                </pic:pic>
              </a:graphicData>
            </a:graphic>
          </wp:inline>
        </w:drawing>
      </w:r>
    </w:p>
    <w:p w14:paraId="1B94B2C8" w14:textId="002B018C" w:rsidR="00D1512D" w:rsidRPr="00333DFC" w:rsidRDefault="00D1512D" w:rsidP="00D1512D">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Fig.2: </w:t>
      </w:r>
      <w:r w:rsidRPr="00333DFC">
        <w:rPr>
          <w:rFonts w:ascii="Times New Roman" w:hAnsi="Times New Roman" w:cs="Times New Roman"/>
          <w:color w:val="000000" w:themeColor="text1"/>
        </w:rPr>
        <w:t>Pure culture</w:t>
      </w:r>
      <w:r>
        <w:rPr>
          <w:rFonts w:ascii="Times New Roman" w:hAnsi="Times New Roman" w:cs="Times New Roman"/>
          <w:color w:val="000000" w:themeColor="text1"/>
        </w:rPr>
        <w:t xml:space="preserve"> of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p>
    <w:p w14:paraId="152F6EB3" w14:textId="5D7DC8AB" w:rsidR="00405B53"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CULTURAL AND MORPHOLOGICAL CHARACTERISTICS</w:t>
      </w:r>
    </w:p>
    <w:p w14:paraId="0BD36222" w14:textId="446F91F6" w:rsidR="00405B53" w:rsidRPr="00333DFC" w:rsidRDefault="00405B53" w:rsidP="00BD5849">
      <w:pPr>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The identification of the fungal isolates as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was performed based on morphological characteristics as described by Butler and Hunter (1972). The isolates (S</w:t>
      </w:r>
      <w:r w:rsidR="00623DB9" w:rsidRPr="00333DFC">
        <w:rPr>
          <w:rFonts w:ascii="Times New Roman" w:hAnsi="Times New Roman" w:cs="Times New Roman"/>
          <w:color w:val="000000" w:themeColor="text1"/>
        </w:rPr>
        <w:t>r1</w:t>
      </w:r>
      <w:r w:rsidRPr="00333DFC">
        <w:rPr>
          <w:rFonts w:ascii="Times New Roman" w:hAnsi="Times New Roman" w:cs="Times New Roman"/>
          <w:color w:val="000000" w:themeColor="text1"/>
        </w:rPr>
        <w:t>–S</w:t>
      </w:r>
      <w:r w:rsidR="00623DB9" w:rsidRPr="00333DFC">
        <w:rPr>
          <w:rFonts w:ascii="Times New Roman" w:hAnsi="Times New Roman" w:cs="Times New Roman"/>
          <w:color w:val="000000" w:themeColor="text1"/>
        </w:rPr>
        <w:t>r20</w:t>
      </w:r>
      <w:r w:rsidRPr="00333DFC">
        <w:rPr>
          <w:rFonts w:ascii="Times New Roman" w:hAnsi="Times New Roman" w:cs="Times New Roman"/>
          <w:color w:val="000000" w:themeColor="text1"/>
        </w:rPr>
        <w:t xml:space="preserve">) were evaluated by assessing their mycelial growth and morphological traits. Radial growth measurements were taken at </w:t>
      </w:r>
      <w:proofErr w:type="gramStart"/>
      <w:r w:rsidRPr="00333DFC">
        <w:rPr>
          <w:rFonts w:ascii="Times New Roman" w:hAnsi="Times New Roman" w:cs="Times New Roman"/>
          <w:color w:val="000000" w:themeColor="text1"/>
        </w:rPr>
        <w:t>24, 48 and 72 hours</w:t>
      </w:r>
      <w:proofErr w:type="gramEnd"/>
      <w:r w:rsidRPr="00333DFC">
        <w:rPr>
          <w:rFonts w:ascii="Times New Roman" w:hAnsi="Times New Roman" w:cs="Times New Roman"/>
          <w:color w:val="000000" w:themeColor="text1"/>
        </w:rPr>
        <w:t xml:space="preserve"> post-incubation. Observations included colony morphology and color, along with the color, shape, and arrangement of sclerotia. Additionally, the number of sclerotia formed per Petri plate and the number of days required for complete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development were recorded. Confirmation of the pathogen was further supported through microscopic examination and scanning electron microscopy (SEM) to validate characteristic structural features.</w:t>
      </w:r>
    </w:p>
    <w:p w14:paraId="2887FE66" w14:textId="53C7FE4E" w:rsidR="00AF69EC" w:rsidRPr="00333DFC" w:rsidRDefault="009F4895" w:rsidP="00BD5849">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RESULTS</w:t>
      </w:r>
      <w:r w:rsidR="0075142F">
        <w:rPr>
          <w:rFonts w:ascii="Times New Roman" w:hAnsi="Times New Roman" w:cs="Times New Roman"/>
          <w:b/>
          <w:bCs/>
          <w:color w:val="000000" w:themeColor="text1"/>
        </w:rPr>
        <w:t xml:space="preserve"> AND DISCUSSION</w:t>
      </w:r>
    </w:p>
    <w:p w14:paraId="3345BCCD" w14:textId="7D7E543E" w:rsidR="00405B53" w:rsidRPr="00333DFC" w:rsidRDefault="009F4895" w:rsidP="00405B53">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CULTURAL AND MORPHOLOGICAL CHARACTERISTICS</w:t>
      </w:r>
    </w:p>
    <w:p w14:paraId="7B2083E6" w14:textId="36D9851E" w:rsidR="00405B53" w:rsidRPr="00333DFC" w:rsidRDefault="009F4895" w:rsidP="00405B53">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ASSESSMENT OF MYCELIAL GROWTH AND COLONY MORPHOLOGY</w:t>
      </w:r>
    </w:p>
    <w:p w14:paraId="36E31312" w14:textId="1CE6CE1E" w:rsidR="00405B53" w:rsidRPr="00333DFC" w:rsidRDefault="00405B53" w:rsidP="00405B53">
      <w:pPr>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Morphological characterization of twenty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isolates revealed considerable variation in colony appearance on Potato Dextrose Agar (PDA) medium. The isolates exhibited diverse mycelial growth forms, including fluffy white cottony growth, thin white mycelial mats, aerial cottony structures, and dull white thin mycelium, as presented in Table </w:t>
      </w:r>
      <w:r w:rsidR="0005226E" w:rsidRPr="00333DFC">
        <w:rPr>
          <w:rFonts w:ascii="Times New Roman" w:hAnsi="Times New Roman" w:cs="Times New Roman"/>
          <w:color w:val="000000" w:themeColor="text1"/>
        </w:rPr>
        <w:t>1</w:t>
      </w:r>
      <w:r w:rsidRPr="00333DFC">
        <w:rPr>
          <w:rFonts w:ascii="Times New Roman" w:hAnsi="Times New Roman" w:cs="Times New Roman"/>
          <w:color w:val="000000" w:themeColor="text1"/>
        </w:rPr>
        <w:t>. By the third day after inoculation, several isolates (Sr1, Sr2, Sr3, Sr10, Sr11, and Sr14) demonstrated rapid radial growth, reaching the full diameter of 90 mm. Isolates such as Sr4, Sr9, Sr12, Sr13, Sr15, Sr16, Sr18, Sr19, and Sr20 exhibited moderate radial growth ranging from 84 to 89 mm. Slower growth was recorded for isolates Sr5 and Sr7, with radial growth of 79 mm and 73 mm, respectively. The lowest radial expansion was observed in isolate Sr17 (59 mm), followed by Sr8 (61 mm).</w:t>
      </w:r>
    </w:p>
    <w:p w14:paraId="405F5C3A" w14:textId="77777777" w:rsidR="00405B53" w:rsidRDefault="00405B53" w:rsidP="006021F6">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These findings align with those of Sekhar et al. (2017), who reported considerable variability in cultural characteristics among </w:t>
      </w:r>
      <w:r w:rsidRPr="00333DFC">
        <w:rPr>
          <w:rFonts w:ascii="Times New Roman" w:hAnsi="Times New Roman" w:cs="Times New Roman"/>
          <w:i/>
          <w:iCs/>
          <w:color w:val="000000" w:themeColor="text1"/>
        </w:rPr>
        <w:t xml:space="preserve">S.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isolates. Praveen and Kannan (2021) also observed morphological diversity in twenty isolates, including colony types such as fluffy white, profuse cottony white, dense cottony white, and dull white mycelium. </w:t>
      </w:r>
      <w:proofErr w:type="spellStart"/>
      <w:r w:rsidRPr="00333DFC">
        <w:rPr>
          <w:rFonts w:ascii="Times New Roman" w:hAnsi="Times New Roman" w:cs="Times New Roman"/>
          <w:color w:val="000000" w:themeColor="text1"/>
        </w:rPr>
        <w:t>Ayyandurai</w:t>
      </w:r>
      <w:proofErr w:type="spellEnd"/>
      <w:r w:rsidRPr="00333DFC">
        <w:rPr>
          <w:rFonts w:ascii="Times New Roman" w:hAnsi="Times New Roman" w:cs="Times New Roman"/>
          <w:color w:val="000000" w:themeColor="text1"/>
        </w:rPr>
        <w:t xml:space="preserve"> et al. (2022) </w:t>
      </w:r>
      <w:r w:rsidRPr="00333DFC">
        <w:rPr>
          <w:rFonts w:ascii="Times New Roman" w:hAnsi="Times New Roman" w:cs="Times New Roman"/>
          <w:color w:val="000000" w:themeColor="text1"/>
        </w:rPr>
        <w:lastRenderedPageBreak/>
        <w:t>further supported these findings by reporting that a virulent isolate (SR-8) exhibited rapid growth with pure white thin mycelium, whereas a less virulent isolate (SR-10) showed slower growth with dull white thin mycelium. These previous reports are consistent with the current observations.</w:t>
      </w:r>
    </w:p>
    <w:p w14:paraId="612F570C" w14:textId="77777777" w:rsidR="0075142F" w:rsidRDefault="0075142F" w:rsidP="006021F6">
      <w:pPr>
        <w:ind w:firstLine="720"/>
        <w:jc w:val="both"/>
        <w:rPr>
          <w:rFonts w:ascii="Times New Roman" w:hAnsi="Times New Roman" w:cs="Times New Roman"/>
          <w:color w:val="000000" w:themeColor="text1"/>
        </w:rPr>
      </w:pPr>
    </w:p>
    <w:p w14:paraId="4A0EA98E" w14:textId="77777777" w:rsidR="0075142F" w:rsidRDefault="0075142F" w:rsidP="006021F6">
      <w:pPr>
        <w:ind w:firstLine="720"/>
        <w:jc w:val="both"/>
        <w:rPr>
          <w:rFonts w:ascii="Times New Roman" w:hAnsi="Times New Roman" w:cs="Times New Roman"/>
          <w:color w:val="000000" w:themeColor="text1"/>
        </w:rPr>
      </w:pPr>
    </w:p>
    <w:p w14:paraId="18FB3AE4" w14:textId="77777777" w:rsidR="0075142F" w:rsidRDefault="0075142F" w:rsidP="006021F6">
      <w:pPr>
        <w:ind w:firstLine="720"/>
        <w:jc w:val="both"/>
        <w:rPr>
          <w:rFonts w:ascii="Times New Roman" w:hAnsi="Times New Roman" w:cs="Times New Roman"/>
          <w:color w:val="000000" w:themeColor="text1"/>
        </w:rPr>
      </w:pPr>
    </w:p>
    <w:p w14:paraId="7A1B5B31" w14:textId="77777777" w:rsidR="00D1512D" w:rsidRPr="00333DFC" w:rsidRDefault="00D1512D" w:rsidP="00D1512D">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 xml:space="preserve">Table1: Colony Morphology and Mycelial Growth of </w:t>
      </w:r>
      <w:r w:rsidRPr="00333DFC">
        <w:rPr>
          <w:rFonts w:ascii="Times New Roman" w:hAnsi="Times New Roman" w:cs="Times New Roman"/>
          <w:b/>
          <w:bCs/>
          <w:i/>
          <w:iCs/>
          <w:color w:val="000000" w:themeColor="text1"/>
        </w:rPr>
        <w:t xml:space="preserve">Sclerotium </w:t>
      </w:r>
      <w:proofErr w:type="spellStart"/>
      <w:r w:rsidRPr="00333DFC">
        <w:rPr>
          <w:rFonts w:ascii="Times New Roman" w:hAnsi="Times New Roman" w:cs="Times New Roman"/>
          <w:b/>
          <w:bCs/>
          <w:i/>
          <w:iCs/>
          <w:color w:val="000000" w:themeColor="text1"/>
        </w:rPr>
        <w:t>rolfsii</w:t>
      </w:r>
      <w:proofErr w:type="spellEnd"/>
    </w:p>
    <w:p w14:paraId="068659D2" w14:textId="77777777" w:rsidR="00D1512D" w:rsidRPr="00333DFC" w:rsidRDefault="00D1512D" w:rsidP="00D1512D">
      <w:pPr>
        <w:jc w:val="both"/>
        <w:rPr>
          <w:rFonts w:ascii="Times New Roman" w:hAnsi="Times New Roman" w:cs="Times New Roman"/>
          <w:color w:val="000000" w:themeColor="text1"/>
        </w:rPr>
      </w:pPr>
    </w:p>
    <w:tbl>
      <w:tblPr>
        <w:tblStyle w:val="TableGrid"/>
        <w:tblW w:w="7555" w:type="dxa"/>
        <w:jc w:val="center"/>
        <w:tblLook w:val="01E0" w:firstRow="1" w:lastRow="1" w:firstColumn="1" w:lastColumn="1" w:noHBand="0" w:noVBand="0"/>
      </w:tblPr>
      <w:tblGrid>
        <w:gridCol w:w="1417"/>
        <w:gridCol w:w="3420"/>
        <w:gridCol w:w="1080"/>
        <w:gridCol w:w="810"/>
        <w:gridCol w:w="900"/>
      </w:tblGrid>
      <w:tr w:rsidR="00D1512D" w:rsidRPr="00333DFC" w14:paraId="74DDCC83" w14:textId="77777777" w:rsidTr="0075142F">
        <w:trPr>
          <w:trHeight w:val="315"/>
          <w:jc w:val="center"/>
        </w:trPr>
        <w:tc>
          <w:tcPr>
            <w:tcW w:w="1345" w:type="dxa"/>
            <w:vMerge w:val="restart"/>
            <w:noWrap/>
            <w:hideMark/>
          </w:tcPr>
          <w:p w14:paraId="6B3079DE"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ISOLATES</w:t>
            </w:r>
          </w:p>
        </w:tc>
        <w:tc>
          <w:tcPr>
            <w:tcW w:w="3420" w:type="dxa"/>
            <w:vMerge w:val="restart"/>
            <w:noWrap/>
            <w:hideMark/>
          </w:tcPr>
          <w:p w14:paraId="3DC03CC6"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COLONY MORPHOLOGY</w:t>
            </w:r>
          </w:p>
        </w:tc>
        <w:tc>
          <w:tcPr>
            <w:tcW w:w="2790" w:type="dxa"/>
            <w:gridSpan w:val="3"/>
            <w:noWrap/>
            <w:hideMark/>
          </w:tcPr>
          <w:p w14:paraId="12E84CFA"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MYCELIAL GROWTH (mm)</w:t>
            </w:r>
          </w:p>
        </w:tc>
      </w:tr>
      <w:tr w:rsidR="00D1512D" w:rsidRPr="00333DFC" w14:paraId="5131F23A" w14:textId="77777777" w:rsidTr="0075142F">
        <w:trPr>
          <w:trHeight w:val="315"/>
          <w:jc w:val="center"/>
        </w:trPr>
        <w:tc>
          <w:tcPr>
            <w:tcW w:w="1345" w:type="dxa"/>
            <w:vMerge/>
            <w:hideMark/>
          </w:tcPr>
          <w:p w14:paraId="7BFBB88B"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p>
        </w:tc>
        <w:tc>
          <w:tcPr>
            <w:tcW w:w="3420" w:type="dxa"/>
            <w:vMerge/>
            <w:hideMark/>
          </w:tcPr>
          <w:p w14:paraId="02E3AF8D"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p>
        </w:tc>
        <w:tc>
          <w:tcPr>
            <w:tcW w:w="1080" w:type="dxa"/>
            <w:noWrap/>
            <w:hideMark/>
          </w:tcPr>
          <w:p w14:paraId="73D25BDB"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24 hrs</w:t>
            </w:r>
          </w:p>
        </w:tc>
        <w:tc>
          <w:tcPr>
            <w:tcW w:w="810" w:type="dxa"/>
            <w:noWrap/>
            <w:hideMark/>
          </w:tcPr>
          <w:p w14:paraId="681AE422"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48 hrs</w:t>
            </w:r>
          </w:p>
        </w:tc>
        <w:tc>
          <w:tcPr>
            <w:tcW w:w="900" w:type="dxa"/>
            <w:noWrap/>
            <w:hideMark/>
          </w:tcPr>
          <w:p w14:paraId="6AAEDBC5" w14:textId="77777777" w:rsidR="00D1512D" w:rsidRPr="00333DFC" w:rsidRDefault="00D1512D" w:rsidP="0075142F">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72 hrs</w:t>
            </w:r>
          </w:p>
        </w:tc>
      </w:tr>
      <w:tr w:rsidR="00D1512D" w:rsidRPr="00333DFC" w14:paraId="6C97D805" w14:textId="77777777" w:rsidTr="0075142F">
        <w:trPr>
          <w:trHeight w:val="315"/>
          <w:jc w:val="center"/>
        </w:trPr>
        <w:tc>
          <w:tcPr>
            <w:tcW w:w="1345" w:type="dxa"/>
            <w:noWrap/>
            <w:hideMark/>
          </w:tcPr>
          <w:p w14:paraId="042676D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w:t>
            </w:r>
          </w:p>
        </w:tc>
        <w:tc>
          <w:tcPr>
            <w:tcW w:w="3420" w:type="dxa"/>
            <w:noWrap/>
            <w:hideMark/>
          </w:tcPr>
          <w:p w14:paraId="52AA9CF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fluffy cottony growth</w:t>
            </w:r>
          </w:p>
        </w:tc>
        <w:tc>
          <w:tcPr>
            <w:tcW w:w="1080" w:type="dxa"/>
            <w:noWrap/>
            <w:hideMark/>
          </w:tcPr>
          <w:p w14:paraId="76541DF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34</w:t>
            </w:r>
          </w:p>
        </w:tc>
        <w:tc>
          <w:tcPr>
            <w:tcW w:w="810" w:type="dxa"/>
            <w:noWrap/>
            <w:hideMark/>
          </w:tcPr>
          <w:p w14:paraId="140EB16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76</w:t>
            </w:r>
          </w:p>
        </w:tc>
        <w:tc>
          <w:tcPr>
            <w:tcW w:w="900" w:type="dxa"/>
            <w:noWrap/>
            <w:hideMark/>
          </w:tcPr>
          <w:p w14:paraId="12B95FAB"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37AB677E" w14:textId="77777777" w:rsidTr="0075142F">
        <w:trPr>
          <w:trHeight w:val="315"/>
          <w:jc w:val="center"/>
        </w:trPr>
        <w:tc>
          <w:tcPr>
            <w:tcW w:w="1345" w:type="dxa"/>
            <w:noWrap/>
            <w:hideMark/>
          </w:tcPr>
          <w:p w14:paraId="18471AC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Sr2</w:t>
            </w:r>
          </w:p>
        </w:tc>
        <w:tc>
          <w:tcPr>
            <w:tcW w:w="3420" w:type="dxa"/>
            <w:noWrap/>
            <w:hideMark/>
          </w:tcPr>
          <w:p w14:paraId="7ADBDBF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fluffy cottony growth</w:t>
            </w:r>
          </w:p>
        </w:tc>
        <w:tc>
          <w:tcPr>
            <w:tcW w:w="1080" w:type="dxa"/>
            <w:noWrap/>
            <w:hideMark/>
          </w:tcPr>
          <w:p w14:paraId="5F93C84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35</w:t>
            </w:r>
          </w:p>
        </w:tc>
        <w:tc>
          <w:tcPr>
            <w:tcW w:w="810" w:type="dxa"/>
            <w:noWrap/>
            <w:hideMark/>
          </w:tcPr>
          <w:p w14:paraId="4378768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63</w:t>
            </w:r>
          </w:p>
        </w:tc>
        <w:tc>
          <w:tcPr>
            <w:tcW w:w="900" w:type="dxa"/>
            <w:noWrap/>
            <w:hideMark/>
          </w:tcPr>
          <w:p w14:paraId="7F67441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yellow"/>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3EFBF4FE" w14:textId="77777777" w:rsidTr="0075142F">
        <w:trPr>
          <w:trHeight w:val="315"/>
          <w:jc w:val="center"/>
        </w:trPr>
        <w:tc>
          <w:tcPr>
            <w:tcW w:w="1345" w:type="dxa"/>
            <w:noWrap/>
            <w:hideMark/>
          </w:tcPr>
          <w:p w14:paraId="45AE177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Sr3</w:t>
            </w:r>
          </w:p>
        </w:tc>
        <w:tc>
          <w:tcPr>
            <w:tcW w:w="3420" w:type="dxa"/>
            <w:noWrap/>
            <w:hideMark/>
          </w:tcPr>
          <w:p w14:paraId="42C780D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Fluffy aerial white mycelial growth</w:t>
            </w:r>
          </w:p>
        </w:tc>
        <w:tc>
          <w:tcPr>
            <w:tcW w:w="1080" w:type="dxa"/>
            <w:noWrap/>
          </w:tcPr>
          <w:p w14:paraId="7AA6393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40</w:t>
            </w:r>
          </w:p>
        </w:tc>
        <w:tc>
          <w:tcPr>
            <w:tcW w:w="810" w:type="dxa"/>
            <w:noWrap/>
          </w:tcPr>
          <w:p w14:paraId="55EE5BB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75</w:t>
            </w:r>
          </w:p>
        </w:tc>
        <w:tc>
          <w:tcPr>
            <w:tcW w:w="900" w:type="dxa"/>
            <w:noWrap/>
          </w:tcPr>
          <w:p w14:paraId="34410F7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5294AE9E" w14:textId="77777777" w:rsidTr="0075142F">
        <w:trPr>
          <w:trHeight w:val="315"/>
          <w:jc w:val="center"/>
        </w:trPr>
        <w:tc>
          <w:tcPr>
            <w:tcW w:w="1345" w:type="dxa"/>
            <w:noWrap/>
            <w:hideMark/>
          </w:tcPr>
          <w:p w14:paraId="62F2922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Sr4</w:t>
            </w:r>
          </w:p>
        </w:tc>
        <w:tc>
          <w:tcPr>
            <w:tcW w:w="3420" w:type="dxa"/>
            <w:noWrap/>
            <w:hideMark/>
          </w:tcPr>
          <w:p w14:paraId="0EDDF93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Cottony white mycelial growth</w:t>
            </w:r>
          </w:p>
        </w:tc>
        <w:tc>
          <w:tcPr>
            <w:tcW w:w="1080" w:type="dxa"/>
            <w:noWrap/>
          </w:tcPr>
          <w:p w14:paraId="74AEE0BC"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35</w:t>
            </w:r>
          </w:p>
        </w:tc>
        <w:tc>
          <w:tcPr>
            <w:tcW w:w="810" w:type="dxa"/>
            <w:noWrap/>
          </w:tcPr>
          <w:p w14:paraId="73F0951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62</w:t>
            </w:r>
          </w:p>
        </w:tc>
        <w:tc>
          <w:tcPr>
            <w:tcW w:w="900" w:type="dxa"/>
            <w:noWrap/>
          </w:tcPr>
          <w:p w14:paraId="6F956D7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89</w:t>
            </w:r>
          </w:p>
        </w:tc>
      </w:tr>
      <w:tr w:rsidR="00D1512D" w:rsidRPr="00333DFC" w14:paraId="72B4B894" w14:textId="77777777" w:rsidTr="0075142F">
        <w:trPr>
          <w:trHeight w:val="315"/>
          <w:jc w:val="center"/>
        </w:trPr>
        <w:tc>
          <w:tcPr>
            <w:tcW w:w="1345" w:type="dxa"/>
            <w:noWrap/>
            <w:hideMark/>
          </w:tcPr>
          <w:p w14:paraId="2CFBB52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Sr5</w:t>
            </w:r>
          </w:p>
        </w:tc>
        <w:tc>
          <w:tcPr>
            <w:tcW w:w="3420" w:type="dxa"/>
            <w:noWrap/>
            <w:hideMark/>
          </w:tcPr>
          <w:p w14:paraId="4F612CCC"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5E007E93"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16</w:t>
            </w:r>
          </w:p>
        </w:tc>
        <w:tc>
          <w:tcPr>
            <w:tcW w:w="810" w:type="dxa"/>
            <w:noWrap/>
            <w:hideMark/>
          </w:tcPr>
          <w:p w14:paraId="5404BFE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49</w:t>
            </w:r>
          </w:p>
        </w:tc>
        <w:tc>
          <w:tcPr>
            <w:tcW w:w="900" w:type="dxa"/>
            <w:noWrap/>
            <w:hideMark/>
          </w:tcPr>
          <w:p w14:paraId="55427CA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79</w:t>
            </w:r>
          </w:p>
        </w:tc>
      </w:tr>
      <w:tr w:rsidR="00D1512D" w:rsidRPr="00333DFC" w14:paraId="2EA66D46" w14:textId="77777777" w:rsidTr="0075142F">
        <w:trPr>
          <w:trHeight w:val="315"/>
          <w:jc w:val="center"/>
        </w:trPr>
        <w:tc>
          <w:tcPr>
            <w:tcW w:w="1345" w:type="dxa"/>
            <w:noWrap/>
            <w:hideMark/>
          </w:tcPr>
          <w:p w14:paraId="1A1A028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Sr6</w:t>
            </w:r>
          </w:p>
        </w:tc>
        <w:tc>
          <w:tcPr>
            <w:tcW w:w="3420" w:type="dxa"/>
            <w:noWrap/>
            <w:hideMark/>
          </w:tcPr>
          <w:p w14:paraId="72DF92C9" w14:textId="77777777" w:rsidR="00D1512D" w:rsidRPr="00333DFC" w:rsidRDefault="00D1512D" w:rsidP="0075142F">
            <w:pPr>
              <w:tabs>
                <w:tab w:val="left" w:pos="275"/>
                <w:tab w:val="center" w:pos="1602"/>
              </w:tabs>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ab/>
            </w:r>
            <w:r w:rsidRPr="00333DFC">
              <w:rPr>
                <w:rFonts w:ascii="Times New Roman" w:eastAsia="Times New Roman" w:hAnsi="Times New Roman" w:cs="Times New Roman"/>
                <w:color w:val="000000" w:themeColor="text1"/>
                <w:kern w:val="0"/>
                <w:sz w:val="24"/>
                <w:szCs w:val="24"/>
                <w:lang w:eastAsia="en-IN"/>
                <w14:ligatures w14:val="none"/>
              </w:rPr>
              <w:tab/>
              <w:t>Aerial cottony mycelial growth</w:t>
            </w:r>
          </w:p>
        </w:tc>
        <w:tc>
          <w:tcPr>
            <w:tcW w:w="1080" w:type="dxa"/>
            <w:noWrap/>
            <w:hideMark/>
          </w:tcPr>
          <w:p w14:paraId="060F2D7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17</w:t>
            </w:r>
          </w:p>
        </w:tc>
        <w:tc>
          <w:tcPr>
            <w:tcW w:w="810" w:type="dxa"/>
            <w:noWrap/>
            <w:hideMark/>
          </w:tcPr>
          <w:p w14:paraId="0F511A03"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38</w:t>
            </w:r>
          </w:p>
        </w:tc>
        <w:tc>
          <w:tcPr>
            <w:tcW w:w="900" w:type="dxa"/>
            <w:noWrap/>
            <w:hideMark/>
          </w:tcPr>
          <w:p w14:paraId="355F936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red"/>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63</w:t>
            </w:r>
          </w:p>
        </w:tc>
      </w:tr>
      <w:tr w:rsidR="00D1512D" w:rsidRPr="00333DFC" w14:paraId="0122D49C" w14:textId="77777777" w:rsidTr="0075142F">
        <w:trPr>
          <w:trHeight w:val="315"/>
          <w:jc w:val="center"/>
        </w:trPr>
        <w:tc>
          <w:tcPr>
            <w:tcW w:w="1345" w:type="dxa"/>
            <w:noWrap/>
            <w:hideMark/>
          </w:tcPr>
          <w:p w14:paraId="41BAD94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Sr7</w:t>
            </w:r>
          </w:p>
        </w:tc>
        <w:tc>
          <w:tcPr>
            <w:tcW w:w="3420" w:type="dxa"/>
            <w:noWrap/>
            <w:hideMark/>
          </w:tcPr>
          <w:p w14:paraId="382DE07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aerial cottony mycelial growth</w:t>
            </w:r>
          </w:p>
        </w:tc>
        <w:tc>
          <w:tcPr>
            <w:tcW w:w="1080" w:type="dxa"/>
            <w:noWrap/>
            <w:hideMark/>
          </w:tcPr>
          <w:p w14:paraId="5308279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23</w:t>
            </w:r>
          </w:p>
        </w:tc>
        <w:tc>
          <w:tcPr>
            <w:tcW w:w="810" w:type="dxa"/>
            <w:noWrap/>
            <w:hideMark/>
          </w:tcPr>
          <w:p w14:paraId="7AE4A6B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50</w:t>
            </w:r>
          </w:p>
        </w:tc>
        <w:tc>
          <w:tcPr>
            <w:tcW w:w="900" w:type="dxa"/>
            <w:noWrap/>
            <w:hideMark/>
          </w:tcPr>
          <w:p w14:paraId="30DBF3C0"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red"/>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73</w:t>
            </w:r>
          </w:p>
        </w:tc>
      </w:tr>
      <w:tr w:rsidR="00D1512D" w:rsidRPr="00333DFC" w14:paraId="1AD72F0D" w14:textId="77777777" w:rsidTr="0075142F">
        <w:trPr>
          <w:trHeight w:val="315"/>
          <w:jc w:val="center"/>
        </w:trPr>
        <w:tc>
          <w:tcPr>
            <w:tcW w:w="1345" w:type="dxa"/>
            <w:noWrap/>
            <w:hideMark/>
          </w:tcPr>
          <w:p w14:paraId="30431F9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Sr8</w:t>
            </w:r>
          </w:p>
        </w:tc>
        <w:tc>
          <w:tcPr>
            <w:tcW w:w="3420" w:type="dxa"/>
            <w:noWrap/>
            <w:hideMark/>
          </w:tcPr>
          <w:p w14:paraId="1A1ECEA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2AEB8F63"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25</w:t>
            </w:r>
          </w:p>
        </w:tc>
        <w:tc>
          <w:tcPr>
            <w:tcW w:w="810" w:type="dxa"/>
            <w:noWrap/>
            <w:hideMark/>
          </w:tcPr>
          <w:p w14:paraId="29E8A49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45</w:t>
            </w:r>
          </w:p>
        </w:tc>
        <w:tc>
          <w:tcPr>
            <w:tcW w:w="900" w:type="dxa"/>
            <w:noWrap/>
            <w:hideMark/>
          </w:tcPr>
          <w:p w14:paraId="5CFE177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red"/>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61</w:t>
            </w:r>
          </w:p>
        </w:tc>
      </w:tr>
      <w:tr w:rsidR="00D1512D" w:rsidRPr="00333DFC" w14:paraId="7F0F31AD" w14:textId="77777777" w:rsidTr="0075142F">
        <w:trPr>
          <w:trHeight w:val="154"/>
          <w:jc w:val="center"/>
        </w:trPr>
        <w:tc>
          <w:tcPr>
            <w:tcW w:w="1345" w:type="dxa"/>
            <w:noWrap/>
            <w:hideMark/>
          </w:tcPr>
          <w:p w14:paraId="4C34B66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Sr9</w:t>
            </w:r>
          </w:p>
        </w:tc>
        <w:tc>
          <w:tcPr>
            <w:tcW w:w="3420" w:type="dxa"/>
            <w:noWrap/>
            <w:hideMark/>
          </w:tcPr>
          <w:p w14:paraId="1D474FF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Cottony white mycelial growth</w:t>
            </w:r>
          </w:p>
        </w:tc>
        <w:tc>
          <w:tcPr>
            <w:tcW w:w="1080" w:type="dxa"/>
            <w:noWrap/>
          </w:tcPr>
          <w:p w14:paraId="53D44EF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28</w:t>
            </w:r>
          </w:p>
        </w:tc>
        <w:tc>
          <w:tcPr>
            <w:tcW w:w="810" w:type="dxa"/>
            <w:noWrap/>
          </w:tcPr>
          <w:p w14:paraId="12E61A1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57</w:t>
            </w:r>
          </w:p>
        </w:tc>
        <w:tc>
          <w:tcPr>
            <w:tcW w:w="900" w:type="dxa"/>
            <w:noWrap/>
          </w:tcPr>
          <w:p w14:paraId="2083E5A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red"/>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86</w:t>
            </w:r>
          </w:p>
        </w:tc>
      </w:tr>
      <w:tr w:rsidR="00D1512D" w:rsidRPr="00333DFC" w14:paraId="4CB52FFB" w14:textId="77777777" w:rsidTr="0075142F">
        <w:trPr>
          <w:trHeight w:val="315"/>
          <w:jc w:val="center"/>
        </w:trPr>
        <w:tc>
          <w:tcPr>
            <w:tcW w:w="1345" w:type="dxa"/>
            <w:noWrap/>
            <w:hideMark/>
          </w:tcPr>
          <w:p w14:paraId="04F1C88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Sr10</w:t>
            </w:r>
          </w:p>
        </w:tc>
        <w:tc>
          <w:tcPr>
            <w:tcW w:w="3420" w:type="dxa"/>
            <w:noWrap/>
            <w:hideMark/>
          </w:tcPr>
          <w:p w14:paraId="4AA61D6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61C40EF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31</w:t>
            </w:r>
          </w:p>
        </w:tc>
        <w:tc>
          <w:tcPr>
            <w:tcW w:w="810" w:type="dxa"/>
            <w:noWrap/>
            <w:hideMark/>
          </w:tcPr>
          <w:p w14:paraId="397F7CF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73</w:t>
            </w:r>
          </w:p>
        </w:tc>
        <w:tc>
          <w:tcPr>
            <w:tcW w:w="900" w:type="dxa"/>
            <w:noWrap/>
            <w:hideMark/>
          </w:tcPr>
          <w:p w14:paraId="6AEACC8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highlight w:val="yellow"/>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6213AF5E" w14:textId="77777777" w:rsidTr="0075142F">
        <w:trPr>
          <w:trHeight w:val="315"/>
          <w:jc w:val="center"/>
        </w:trPr>
        <w:tc>
          <w:tcPr>
            <w:tcW w:w="1345" w:type="dxa"/>
            <w:noWrap/>
            <w:hideMark/>
          </w:tcPr>
          <w:p w14:paraId="5DFEA16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Sr11</w:t>
            </w:r>
          </w:p>
        </w:tc>
        <w:tc>
          <w:tcPr>
            <w:tcW w:w="3420" w:type="dxa"/>
            <w:noWrap/>
            <w:hideMark/>
          </w:tcPr>
          <w:p w14:paraId="0C82B18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Fluffy aerial white mycelial growth</w:t>
            </w:r>
          </w:p>
        </w:tc>
        <w:tc>
          <w:tcPr>
            <w:tcW w:w="1080" w:type="dxa"/>
            <w:noWrap/>
            <w:hideMark/>
          </w:tcPr>
          <w:p w14:paraId="0CE0677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36</w:t>
            </w:r>
          </w:p>
        </w:tc>
        <w:tc>
          <w:tcPr>
            <w:tcW w:w="810" w:type="dxa"/>
            <w:noWrap/>
            <w:hideMark/>
          </w:tcPr>
          <w:p w14:paraId="17EE5CFC"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76</w:t>
            </w:r>
          </w:p>
        </w:tc>
        <w:tc>
          <w:tcPr>
            <w:tcW w:w="900" w:type="dxa"/>
            <w:noWrap/>
            <w:hideMark/>
          </w:tcPr>
          <w:p w14:paraId="2E71E2B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1B17F335" w14:textId="77777777" w:rsidTr="0075142F">
        <w:trPr>
          <w:trHeight w:val="315"/>
          <w:jc w:val="center"/>
        </w:trPr>
        <w:tc>
          <w:tcPr>
            <w:tcW w:w="1345" w:type="dxa"/>
            <w:noWrap/>
            <w:hideMark/>
          </w:tcPr>
          <w:p w14:paraId="283B930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Sr12</w:t>
            </w:r>
          </w:p>
        </w:tc>
        <w:tc>
          <w:tcPr>
            <w:tcW w:w="3420" w:type="dxa"/>
            <w:noWrap/>
            <w:hideMark/>
          </w:tcPr>
          <w:p w14:paraId="108419E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Cottony white mycelial growth</w:t>
            </w:r>
          </w:p>
        </w:tc>
        <w:tc>
          <w:tcPr>
            <w:tcW w:w="1080" w:type="dxa"/>
            <w:noWrap/>
            <w:hideMark/>
          </w:tcPr>
          <w:p w14:paraId="36E2B31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25</w:t>
            </w:r>
          </w:p>
        </w:tc>
        <w:tc>
          <w:tcPr>
            <w:tcW w:w="810" w:type="dxa"/>
            <w:noWrap/>
            <w:hideMark/>
          </w:tcPr>
          <w:p w14:paraId="31FE7DEF"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59</w:t>
            </w:r>
          </w:p>
        </w:tc>
        <w:tc>
          <w:tcPr>
            <w:tcW w:w="900" w:type="dxa"/>
            <w:noWrap/>
            <w:hideMark/>
          </w:tcPr>
          <w:p w14:paraId="0B32133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88</w:t>
            </w:r>
          </w:p>
        </w:tc>
      </w:tr>
      <w:tr w:rsidR="00D1512D" w:rsidRPr="00333DFC" w14:paraId="6DD75BF4" w14:textId="77777777" w:rsidTr="0075142F">
        <w:trPr>
          <w:trHeight w:val="315"/>
          <w:jc w:val="center"/>
        </w:trPr>
        <w:tc>
          <w:tcPr>
            <w:tcW w:w="1345" w:type="dxa"/>
            <w:noWrap/>
            <w:hideMark/>
          </w:tcPr>
          <w:p w14:paraId="00DA0403"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Sr13</w:t>
            </w:r>
          </w:p>
        </w:tc>
        <w:tc>
          <w:tcPr>
            <w:tcW w:w="3420" w:type="dxa"/>
            <w:noWrap/>
            <w:hideMark/>
          </w:tcPr>
          <w:p w14:paraId="46D88CB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Cottony white mycelial growth</w:t>
            </w:r>
          </w:p>
        </w:tc>
        <w:tc>
          <w:tcPr>
            <w:tcW w:w="1080" w:type="dxa"/>
            <w:noWrap/>
            <w:hideMark/>
          </w:tcPr>
          <w:p w14:paraId="7C9AB64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23</w:t>
            </w:r>
          </w:p>
        </w:tc>
        <w:tc>
          <w:tcPr>
            <w:tcW w:w="810" w:type="dxa"/>
            <w:noWrap/>
            <w:hideMark/>
          </w:tcPr>
          <w:p w14:paraId="564F7B6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55</w:t>
            </w:r>
          </w:p>
        </w:tc>
        <w:tc>
          <w:tcPr>
            <w:tcW w:w="900" w:type="dxa"/>
            <w:noWrap/>
            <w:hideMark/>
          </w:tcPr>
          <w:p w14:paraId="423E5F3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86</w:t>
            </w:r>
          </w:p>
        </w:tc>
      </w:tr>
      <w:tr w:rsidR="00D1512D" w:rsidRPr="00333DFC" w14:paraId="71F796A0" w14:textId="77777777" w:rsidTr="0075142F">
        <w:trPr>
          <w:trHeight w:val="315"/>
          <w:jc w:val="center"/>
        </w:trPr>
        <w:tc>
          <w:tcPr>
            <w:tcW w:w="1345" w:type="dxa"/>
            <w:noWrap/>
            <w:hideMark/>
          </w:tcPr>
          <w:p w14:paraId="79EF8876"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Sr14</w:t>
            </w:r>
          </w:p>
        </w:tc>
        <w:tc>
          <w:tcPr>
            <w:tcW w:w="3420" w:type="dxa"/>
            <w:noWrap/>
            <w:hideMark/>
          </w:tcPr>
          <w:p w14:paraId="75531B90"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1055578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26</w:t>
            </w:r>
          </w:p>
        </w:tc>
        <w:tc>
          <w:tcPr>
            <w:tcW w:w="810" w:type="dxa"/>
            <w:noWrap/>
            <w:hideMark/>
          </w:tcPr>
          <w:p w14:paraId="350BA56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67</w:t>
            </w:r>
          </w:p>
        </w:tc>
        <w:tc>
          <w:tcPr>
            <w:tcW w:w="900" w:type="dxa"/>
            <w:noWrap/>
            <w:hideMark/>
          </w:tcPr>
          <w:p w14:paraId="1AD4D4E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90</w:t>
            </w:r>
          </w:p>
        </w:tc>
      </w:tr>
      <w:tr w:rsidR="00D1512D" w:rsidRPr="00333DFC" w14:paraId="578F65DD" w14:textId="77777777" w:rsidTr="0075142F">
        <w:trPr>
          <w:trHeight w:val="315"/>
          <w:jc w:val="center"/>
        </w:trPr>
        <w:tc>
          <w:tcPr>
            <w:tcW w:w="1345" w:type="dxa"/>
            <w:noWrap/>
            <w:hideMark/>
          </w:tcPr>
          <w:p w14:paraId="425A5EA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Sr15</w:t>
            </w:r>
          </w:p>
        </w:tc>
        <w:tc>
          <w:tcPr>
            <w:tcW w:w="3420" w:type="dxa"/>
            <w:noWrap/>
            <w:hideMark/>
          </w:tcPr>
          <w:p w14:paraId="1FED0C8C"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Aerial cottony mycelial growth</w:t>
            </w:r>
          </w:p>
        </w:tc>
        <w:tc>
          <w:tcPr>
            <w:tcW w:w="1080" w:type="dxa"/>
            <w:noWrap/>
          </w:tcPr>
          <w:p w14:paraId="64072A5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29</w:t>
            </w:r>
          </w:p>
        </w:tc>
        <w:tc>
          <w:tcPr>
            <w:tcW w:w="810" w:type="dxa"/>
            <w:noWrap/>
          </w:tcPr>
          <w:p w14:paraId="01EFBFB2"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54</w:t>
            </w:r>
          </w:p>
        </w:tc>
        <w:tc>
          <w:tcPr>
            <w:tcW w:w="900" w:type="dxa"/>
            <w:noWrap/>
            <w:hideMark/>
          </w:tcPr>
          <w:p w14:paraId="6599C7B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87</w:t>
            </w:r>
          </w:p>
        </w:tc>
      </w:tr>
      <w:tr w:rsidR="00D1512D" w:rsidRPr="00333DFC" w14:paraId="2E23BBF2" w14:textId="77777777" w:rsidTr="0075142F">
        <w:trPr>
          <w:trHeight w:val="315"/>
          <w:jc w:val="center"/>
        </w:trPr>
        <w:tc>
          <w:tcPr>
            <w:tcW w:w="1345" w:type="dxa"/>
            <w:noWrap/>
            <w:hideMark/>
          </w:tcPr>
          <w:p w14:paraId="3343AA7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Sr16</w:t>
            </w:r>
          </w:p>
        </w:tc>
        <w:tc>
          <w:tcPr>
            <w:tcW w:w="3420" w:type="dxa"/>
            <w:noWrap/>
            <w:hideMark/>
          </w:tcPr>
          <w:p w14:paraId="45EFBFF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19A4690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23</w:t>
            </w:r>
          </w:p>
        </w:tc>
        <w:tc>
          <w:tcPr>
            <w:tcW w:w="810" w:type="dxa"/>
            <w:noWrap/>
            <w:hideMark/>
          </w:tcPr>
          <w:p w14:paraId="535E2CE0"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50</w:t>
            </w:r>
          </w:p>
        </w:tc>
        <w:tc>
          <w:tcPr>
            <w:tcW w:w="900" w:type="dxa"/>
            <w:noWrap/>
            <w:hideMark/>
          </w:tcPr>
          <w:p w14:paraId="5EEC6677"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86</w:t>
            </w:r>
          </w:p>
        </w:tc>
      </w:tr>
      <w:tr w:rsidR="00D1512D" w:rsidRPr="00333DFC" w14:paraId="1311DCB1" w14:textId="77777777" w:rsidTr="0075142F">
        <w:trPr>
          <w:trHeight w:val="315"/>
          <w:jc w:val="center"/>
        </w:trPr>
        <w:tc>
          <w:tcPr>
            <w:tcW w:w="1345" w:type="dxa"/>
            <w:noWrap/>
            <w:hideMark/>
          </w:tcPr>
          <w:p w14:paraId="2BEE0F27"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Sr17</w:t>
            </w:r>
          </w:p>
        </w:tc>
        <w:tc>
          <w:tcPr>
            <w:tcW w:w="3420" w:type="dxa"/>
            <w:noWrap/>
            <w:hideMark/>
          </w:tcPr>
          <w:p w14:paraId="66C815A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fluffy cottony growth</w:t>
            </w:r>
          </w:p>
        </w:tc>
        <w:tc>
          <w:tcPr>
            <w:tcW w:w="1080" w:type="dxa"/>
            <w:noWrap/>
          </w:tcPr>
          <w:p w14:paraId="24F349E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18</w:t>
            </w:r>
          </w:p>
        </w:tc>
        <w:tc>
          <w:tcPr>
            <w:tcW w:w="810" w:type="dxa"/>
            <w:noWrap/>
          </w:tcPr>
          <w:p w14:paraId="246749DC"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38</w:t>
            </w:r>
          </w:p>
        </w:tc>
        <w:tc>
          <w:tcPr>
            <w:tcW w:w="900" w:type="dxa"/>
            <w:noWrap/>
          </w:tcPr>
          <w:p w14:paraId="29894B13"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59</w:t>
            </w:r>
          </w:p>
        </w:tc>
      </w:tr>
      <w:tr w:rsidR="00D1512D" w:rsidRPr="00333DFC" w14:paraId="02ED1867" w14:textId="77777777" w:rsidTr="0075142F">
        <w:trPr>
          <w:trHeight w:val="315"/>
          <w:jc w:val="center"/>
        </w:trPr>
        <w:tc>
          <w:tcPr>
            <w:tcW w:w="1345" w:type="dxa"/>
            <w:noWrap/>
            <w:hideMark/>
          </w:tcPr>
          <w:p w14:paraId="2F4C1C0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Sr18</w:t>
            </w:r>
          </w:p>
        </w:tc>
        <w:tc>
          <w:tcPr>
            <w:tcW w:w="3420" w:type="dxa"/>
            <w:noWrap/>
            <w:hideMark/>
          </w:tcPr>
          <w:p w14:paraId="15DC65C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Dull white with thin mycelial growth</w:t>
            </w:r>
          </w:p>
        </w:tc>
        <w:tc>
          <w:tcPr>
            <w:tcW w:w="1080" w:type="dxa"/>
            <w:noWrap/>
            <w:hideMark/>
          </w:tcPr>
          <w:p w14:paraId="43395B55"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22</w:t>
            </w:r>
          </w:p>
        </w:tc>
        <w:tc>
          <w:tcPr>
            <w:tcW w:w="810" w:type="dxa"/>
            <w:noWrap/>
            <w:hideMark/>
          </w:tcPr>
          <w:p w14:paraId="0A71B62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54</w:t>
            </w:r>
          </w:p>
        </w:tc>
        <w:tc>
          <w:tcPr>
            <w:tcW w:w="900" w:type="dxa"/>
            <w:noWrap/>
            <w:hideMark/>
          </w:tcPr>
          <w:p w14:paraId="4764D93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84</w:t>
            </w:r>
          </w:p>
        </w:tc>
      </w:tr>
      <w:tr w:rsidR="00D1512D" w:rsidRPr="00333DFC" w14:paraId="144C011F" w14:textId="77777777" w:rsidTr="0075142F">
        <w:trPr>
          <w:trHeight w:val="315"/>
          <w:jc w:val="center"/>
        </w:trPr>
        <w:tc>
          <w:tcPr>
            <w:tcW w:w="1345" w:type="dxa"/>
            <w:noWrap/>
            <w:hideMark/>
          </w:tcPr>
          <w:p w14:paraId="5CCDD49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Sr19</w:t>
            </w:r>
          </w:p>
        </w:tc>
        <w:tc>
          <w:tcPr>
            <w:tcW w:w="3420" w:type="dxa"/>
            <w:noWrap/>
            <w:hideMark/>
          </w:tcPr>
          <w:p w14:paraId="5F61DFBA"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Aerial cottony mycelial growth</w:t>
            </w:r>
          </w:p>
        </w:tc>
        <w:tc>
          <w:tcPr>
            <w:tcW w:w="1080" w:type="dxa"/>
            <w:noWrap/>
            <w:hideMark/>
          </w:tcPr>
          <w:p w14:paraId="48D0D3D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23</w:t>
            </w:r>
          </w:p>
        </w:tc>
        <w:tc>
          <w:tcPr>
            <w:tcW w:w="810" w:type="dxa"/>
            <w:noWrap/>
            <w:hideMark/>
          </w:tcPr>
          <w:p w14:paraId="0E5C9157"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59</w:t>
            </w:r>
          </w:p>
        </w:tc>
        <w:tc>
          <w:tcPr>
            <w:tcW w:w="900" w:type="dxa"/>
            <w:noWrap/>
            <w:hideMark/>
          </w:tcPr>
          <w:p w14:paraId="10407819"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88</w:t>
            </w:r>
          </w:p>
        </w:tc>
      </w:tr>
      <w:tr w:rsidR="00D1512D" w:rsidRPr="00333DFC" w14:paraId="4BEB8C9E" w14:textId="77777777" w:rsidTr="0075142F">
        <w:trPr>
          <w:trHeight w:val="315"/>
          <w:jc w:val="center"/>
        </w:trPr>
        <w:tc>
          <w:tcPr>
            <w:tcW w:w="1345" w:type="dxa"/>
            <w:noWrap/>
            <w:hideMark/>
          </w:tcPr>
          <w:p w14:paraId="42D3B1EB"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Sr20</w:t>
            </w:r>
          </w:p>
        </w:tc>
        <w:tc>
          <w:tcPr>
            <w:tcW w:w="3420" w:type="dxa"/>
            <w:noWrap/>
            <w:hideMark/>
          </w:tcPr>
          <w:p w14:paraId="4E5D4BED"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White with thin mycelial growth</w:t>
            </w:r>
          </w:p>
        </w:tc>
        <w:tc>
          <w:tcPr>
            <w:tcW w:w="1080" w:type="dxa"/>
            <w:noWrap/>
            <w:hideMark/>
          </w:tcPr>
          <w:p w14:paraId="6C36AED8"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19</w:t>
            </w:r>
          </w:p>
        </w:tc>
        <w:tc>
          <w:tcPr>
            <w:tcW w:w="810" w:type="dxa"/>
            <w:noWrap/>
            <w:hideMark/>
          </w:tcPr>
          <w:p w14:paraId="08DE75F4"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51</w:t>
            </w:r>
          </w:p>
        </w:tc>
        <w:tc>
          <w:tcPr>
            <w:tcW w:w="900" w:type="dxa"/>
            <w:noWrap/>
            <w:hideMark/>
          </w:tcPr>
          <w:p w14:paraId="595FD141" w14:textId="77777777" w:rsidR="00D1512D" w:rsidRPr="00333DFC" w:rsidRDefault="00D1512D" w:rsidP="0075142F">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87</w:t>
            </w:r>
          </w:p>
        </w:tc>
      </w:tr>
    </w:tbl>
    <w:p w14:paraId="7C8E4C8B" w14:textId="77777777" w:rsidR="00D1512D" w:rsidRPr="00333DFC" w:rsidRDefault="00D1512D" w:rsidP="006021F6">
      <w:pPr>
        <w:ind w:firstLine="720"/>
        <w:jc w:val="both"/>
        <w:rPr>
          <w:rFonts w:ascii="Times New Roman" w:hAnsi="Times New Roman" w:cs="Times New Roman"/>
          <w:color w:val="000000" w:themeColor="text1"/>
        </w:rPr>
      </w:pPr>
    </w:p>
    <w:p w14:paraId="2561E9E0" w14:textId="406AEE9E" w:rsidR="00405B53" w:rsidRPr="00333DFC" w:rsidRDefault="009F4895" w:rsidP="00405B53">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lastRenderedPageBreak/>
        <w:t>SCLEROTIAL CHARACTERISTICS</w:t>
      </w:r>
    </w:p>
    <w:p w14:paraId="3855F0D2" w14:textId="77777777" w:rsidR="00405B53" w:rsidRPr="00333DFC" w:rsidRDefault="00405B53" w:rsidP="00E16308">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The onset of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formation among the twenty isolates varied significantly, ranging from 9 to 34 days post-inoculation, as shown in Table 2. Isolates Sr1, Sr2, and Sr3 exhibited early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initiation within 9 days of incubation, whereas isolate Sr17 required the longest duration (34 days) for complete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development. The observed variability in the timing of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formation may reflect underlying physiological differences among the isolates, potentially associated with their survival strategies and pathogenic potential.</w:t>
      </w:r>
    </w:p>
    <w:p w14:paraId="540475D7" w14:textId="77777777" w:rsidR="00405B53" w:rsidRPr="00333DFC" w:rsidRDefault="00405B53" w:rsidP="00405B53">
      <w:pPr>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These observations are in agreement with Sekhar et al. (2017), who reported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production occurring between 8 to 14 days. Similarly, Praveen and Kannan (2021) documented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formation ranging from 9 to 14 days, corroborating the present results.</w:t>
      </w:r>
    </w:p>
    <w:p w14:paraId="4A2992DF" w14:textId="0B42083D" w:rsidR="00405B53" w:rsidRPr="00333DFC" w:rsidRDefault="009F4895" w:rsidP="00405B53">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SCLEROTIAL NUMBER, COLOR, SHAPE, AND ARRANGEMENT</w:t>
      </w:r>
    </w:p>
    <w:p w14:paraId="37F43FB7" w14:textId="77777777" w:rsidR="00405B53" w:rsidRPr="00333DFC" w:rsidRDefault="00405B53" w:rsidP="00DE2810">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The number of sclerotia produced per Petri plate varied substantially among the isolates, ranging from 75 to 1,338 (Table 2). Isolate Sr3 produced the highest number of sclerotia (1,338), whereas isolate Sr17 yielded the lowest (75). The sclerotia also varied in shape, including oval, spherical, irregular, and round forms. Coloration ranged from light brown to dark brown, including shades such as brown and chocolate brown. Sclerotial distribution patterns differed among isolates, being either centrally clustered, scattered, or located peripherally on the medium.</w:t>
      </w:r>
    </w:p>
    <w:p w14:paraId="303D2CFE" w14:textId="7B62FD84" w:rsidR="00405B53" w:rsidRDefault="00405B53" w:rsidP="00C458BD">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These findings are consistent with those reported by Le et al. (2012), who observed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counts ranging from 79 to 1,080 per plate. </w:t>
      </w:r>
      <w:proofErr w:type="spellStart"/>
      <w:r w:rsidRPr="00333DFC">
        <w:rPr>
          <w:rFonts w:ascii="Times New Roman" w:hAnsi="Times New Roman" w:cs="Times New Roman"/>
          <w:color w:val="000000" w:themeColor="text1"/>
        </w:rPr>
        <w:t>Ayyandurai</w:t>
      </w:r>
      <w:proofErr w:type="spellEnd"/>
      <w:r w:rsidRPr="00333DFC">
        <w:rPr>
          <w:rFonts w:ascii="Times New Roman" w:hAnsi="Times New Roman" w:cs="Times New Roman"/>
          <w:color w:val="000000" w:themeColor="text1"/>
        </w:rPr>
        <w:t xml:space="preserve"> et al. (2022) reported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production ranging from 60 (S</w:t>
      </w:r>
      <w:r w:rsidR="00D402B7">
        <w:rPr>
          <w:rFonts w:ascii="Times New Roman" w:hAnsi="Times New Roman" w:cs="Times New Roman"/>
          <w:color w:val="000000" w:themeColor="text1"/>
        </w:rPr>
        <w:t>r</w:t>
      </w:r>
      <w:r w:rsidRPr="00333DFC">
        <w:rPr>
          <w:rFonts w:ascii="Times New Roman" w:hAnsi="Times New Roman" w:cs="Times New Roman"/>
          <w:color w:val="000000" w:themeColor="text1"/>
        </w:rPr>
        <w:t>10) to 538 (S</w:t>
      </w:r>
      <w:r w:rsidR="00D402B7">
        <w:rPr>
          <w:rFonts w:ascii="Times New Roman" w:hAnsi="Times New Roman" w:cs="Times New Roman"/>
          <w:color w:val="000000" w:themeColor="text1"/>
        </w:rPr>
        <w:t>r</w:t>
      </w:r>
      <w:r w:rsidRPr="00333DFC">
        <w:rPr>
          <w:rFonts w:ascii="Times New Roman" w:hAnsi="Times New Roman" w:cs="Times New Roman"/>
          <w:color w:val="000000" w:themeColor="text1"/>
        </w:rPr>
        <w:t xml:space="preserve">8) per plate. Praveen and Kannan (2021) recorded maximum and minimum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production by isolates Sr6 (330) and Sr13 (78), respectively, with variation in shape, color, and arrangement. Adhikari et al. (2022) also noted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numbers ranging from 340 to 890 per plate. Manu et al. (2018) highlighted morphological diversity in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shape and distribution, supporting the present findings.</w:t>
      </w:r>
    </w:p>
    <w:p w14:paraId="086E3400" w14:textId="77777777" w:rsidR="00D1512D" w:rsidRPr="00333DFC" w:rsidRDefault="00D1512D" w:rsidP="00D1512D">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Table 2:</w:t>
      </w:r>
      <w:r w:rsidRPr="00333DFC">
        <w:rPr>
          <w:rFonts w:ascii="Times New Roman" w:hAnsi="Times New Roman" w:cs="Times New Roman"/>
          <w:color w:val="000000" w:themeColor="text1"/>
        </w:rPr>
        <w:t xml:space="preserve"> </w:t>
      </w:r>
      <w:r w:rsidRPr="00333DFC">
        <w:rPr>
          <w:rFonts w:ascii="Times New Roman" w:hAnsi="Times New Roman" w:cs="Times New Roman"/>
          <w:b/>
          <w:bCs/>
          <w:color w:val="000000" w:themeColor="text1"/>
        </w:rPr>
        <w:t xml:space="preserve">Sclerotial Characteristics of </w:t>
      </w:r>
      <w:r w:rsidRPr="00333DFC">
        <w:rPr>
          <w:rFonts w:ascii="Times New Roman" w:hAnsi="Times New Roman" w:cs="Times New Roman"/>
          <w:b/>
          <w:bCs/>
          <w:i/>
          <w:iCs/>
          <w:color w:val="000000" w:themeColor="text1"/>
        </w:rPr>
        <w:t xml:space="preserve">Sclerotium </w:t>
      </w:r>
      <w:proofErr w:type="spellStart"/>
      <w:r w:rsidRPr="00333DFC">
        <w:rPr>
          <w:rFonts w:ascii="Times New Roman" w:hAnsi="Times New Roman" w:cs="Times New Roman"/>
          <w:b/>
          <w:bCs/>
          <w:i/>
          <w:iCs/>
          <w:color w:val="000000" w:themeColor="text1"/>
        </w:rPr>
        <w:t>rolfsii</w:t>
      </w:r>
      <w:proofErr w:type="spellEnd"/>
    </w:p>
    <w:p w14:paraId="06CD8AAB" w14:textId="77777777" w:rsidR="00D1512D" w:rsidRPr="00333DFC" w:rsidRDefault="00D1512D" w:rsidP="00D1512D">
      <w:pPr>
        <w:jc w:val="both"/>
        <w:rPr>
          <w:rFonts w:ascii="Times New Roman" w:hAnsi="Times New Roman" w:cs="Times New Roman"/>
          <w:color w:val="000000" w:themeColor="text1"/>
        </w:rPr>
      </w:pPr>
    </w:p>
    <w:tbl>
      <w:tblPr>
        <w:tblStyle w:val="TableGrid"/>
        <w:tblpPr w:leftFromText="180" w:rightFromText="180" w:vertAnchor="text" w:horzAnchor="margin" w:tblpY="-537"/>
        <w:tblW w:w="10153" w:type="dxa"/>
        <w:tblLook w:val="01E0" w:firstRow="1" w:lastRow="1" w:firstColumn="1" w:lastColumn="1" w:noHBand="0" w:noVBand="0"/>
      </w:tblPr>
      <w:tblGrid>
        <w:gridCol w:w="1417"/>
        <w:gridCol w:w="1736"/>
        <w:gridCol w:w="1630"/>
        <w:gridCol w:w="1630"/>
        <w:gridCol w:w="1457"/>
        <w:gridCol w:w="2283"/>
      </w:tblGrid>
      <w:tr w:rsidR="00D1512D" w:rsidRPr="00333DFC" w14:paraId="14EF3334" w14:textId="77777777" w:rsidTr="00FE06FA">
        <w:trPr>
          <w:trHeight w:val="315"/>
        </w:trPr>
        <w:tc>
          <w:tcPr>
            <w:tcW w:w="1417" w:type="dxa"/>
            <w:vMerge w:val="restart"/>
          </w:tcPr>
          <w:p w14:paraId="164D6B1C" w14:textId="77777777" w:rsidR="00D1512D" w:rsidRPr="00333DFC" w:rsidRDefault="00D1512D" w:rsidP="00FE06FA">
            <w:pPr>
              <w:jc w:val="center"/>
              <w:rPr>
                <w:rFonts w:ascii="Times New Roman" w:hAnsi="Times New Roman" w:cs="Times New Roman"/>
                <w:b/>
                <w:bCs/>
                <w:color w:val="000000" w:themeColor="text1"/>
                <w:sz w:val="24"/>
                <w:szCs w:val="24"/>
              </w:rPr>
            </w:pPr>
            <w:r w:rsidRPr="00333DFC">
              <w:rPr>
                <w:rFonts w:ascii="Times New Roman" w:eastAsia="Times New Roman" w:hAnsi="Times New Roman" w:cs="Times New Roman"/>
                <w:b/>
                <w:bCs/>
                <w:color w:val="000000" w:themeColor="text1"/>
                <w:kern w:val="0"/>
                <w:sz w:val="24"/>
                <w:szCs w:val="24"/>
                <w:lang w:eastAsia="en-IN"/>
                <w14:ligatures w14:val="none"/>
              </w:rPr>
              <w:lastRenderedPageBreak/>
              <w:t>ISOLATES</w:t>
            </w:r>
          </w:p>
        </w:tc>
        <w:tc>
          <w:tcPr>
            <w:tcW w:w="8736" w:type="dxa"/>
            <w:gridSpan w:val="5"/>
          </w:tcPr>
          <w:p w14:paraId="3312D25C" w14:textId="77777777" w:rsidR="00D1512D" w:rsidRPr="00333DFC" w:rsidRDefault="00D1512D" w:rsidP="00FE06FA">
            <w:pPr>
              <w:jc w:val="center"/>
              <w:rPr>
                <w:rFonts w:ascii="Times New Roman" w:hAnsi="Times New Roman" w:cs="Times New Roman"/>
                <w:b/>
                <w:bCs/>
                <w:color w:val="000000" w:themeColor="text1"/>
                <w:sz w:val="24"/>
                <w:szCs w:val="24"/>
              </w:rPr>
            </w:pPr>
            <w:r w:rsidRPr="00333DFC">
              <w:rPr>
                <w:rFonts w:ascii="Times New Roman" w:hAnsi="Times New Roman" w:cs="Times New Roman"/>
                <w:b/>
                <w:bCs/>
                <w:color w:val="000000" w:themeColor="text1"/>
                <w:sz w:val="24"/>
                <w:szCs w:val="24"/>
              </w:rPr>
              <w:t>SCLEROTIAL CHARACTERS</w:t>
            </w:r>
          </w:p>
          <w:p w14:paraId="741CEE4F"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p>
        </w:tc>
      </w:tr>
      <w:tr w:rsidR="00D1512D" w:rsidRPr="00333DFC" w14:paraId="4ACC14BB" w14:textId="77777777" w:rsidTr="00FE06FA">
        <w:trPr>
          <w:trHeight w:val="315"/>
        </w:trPr>
        <w:tc>
          <w:tcPr>
            <w:tcW w:w="1417" w:type="dxa"/>
            <w:vMerge/>
          </w:tcPr>
          <w:p w14:paraId="378C17F3"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p>
        </w:tc>
        <w:tc>
          <w:tcPr>
            <w:tcW w:w="1736" w:type="dxa"/>
            <w:noWrap/>
            <w:hideMark/>
          </w:tcPr>
          <w:p w14:paraId="147F98C0"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DAYS TAKEN FOR COMPLETE FORMATION</w:t>
            </w:r>
          </w:p>
        </w:tc>
        <w:tc>
          <w:tcPr>
            <w:tcW w:w="1630" w:type="dxa"/>
            <w:noWrap/>
            <w:hideMark/>
          </w:tcPr>
          <w:p w14:paraId="7E13BE8F"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No. OF SCLEROTIA PER PLATE</w:t>
            </w:r>
          </w:p>
        </w:tc>
        <w:tc>
          <w:tcPr>
            <w:tcW w:w="1630" w:type="dxa"/>
          </w:tcPr>
          <w:p w14:paraId="568278B9"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hAnsi="Times New Roman" w:cs="Times New Roman"/>
                <w:b/>
                <w:bCs/>
                <w:color w:val="000000" w:themeColor="text1"/>
                <w:sz w:val="24"/>
                <w:szCs w:val="24"/>
              </w:rPr>
              <w:t>COLOR OF SCLEROTIA</w:t>
            </w:r>
          </w:p>
        </w:tc>
        <w:tc>
          <w:tcPr>
            <w:tcW w:w="1457" w:type="dxa"/>
            <w:noWrap/>
            <w:hideMark/>
          </w:tcPr>
          <w:p w14:paraId="665E25F3"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eastAsia="Times New Roman" w:hAnsi="Times New Roman" w:cs="Times New Roman"/>
                <w:b/>
                <w:bCs/>
                <w:color w:val="000000" w:themeColor="text1"/>
                <w:kern w:val="0"/>
                <w:sz w:val="24"/>
                <w:szCs w:val="24"/>
                <w:lang w:eastAsia="en-IN"/>
                <w14:ligatures w14:val="none"/>
              </w:rPr>
              <w:t>SHAPE OF SCLEOTIA</w:t>
            </w:r>
          </w:p>
        </w:tc>
        <w:tc>
          <w:tcPr>
            <w:tcW w:w="2283" w:type="dxa"/>
          </w:tcPr>
          <w:p w14:paraId="44E2C5D3" w14:textId="77777777" w:rsidR="00D1512D" w:rsidRPr="00333DFC" w:rsidRDefault="00D1512D" w:rsidP="00FE06FA">
            <w:pPr>
              <w:jc w:val="center"/>
              <w:rPr>
                <w:rFonts w:ascii="Times New Roman" w:eastAsia="Times New Roman" w:hAnsi="Times New Roman" w:cs="Times New Roman"/>
                <w:b/>
                <w:bCs/>
                <w:color w:val="000000" w:themeColor="text1"/>
                <w:kern w:val="0"/>
                <w:sz w:val="24"/>
                <w:szCs w:val="24"/>
                <w:lang w:eastAsia="en-IN"/>
                <w14:ligatures w14:val="none"/>
              </w:rPr>
            </w:pPr>
            <w:r w:rsidRPr="00333DFC">
              <w:rPr>
                <w:rFonts w:ascii="Times New Roman" w:hAnsi="Times New Roman" w:cs="Times New Roman"/>
                <w:b/>
                <w:bCs/>
                <w:color w:val="000000" w:themeColor="text1"/>
                <w:sz w:val="24"/>
                <w:szCs w:val="24"/>
              </w:rPr>
              <w:t>ARRANGEMENTS OF SCLEROTIA</w:t>
            </w:r>
          </w:p>
        </w:tc>
      </w:tr>
      <w:tr w:rsidR="00D1512D" w:rsidRPr="00333DFC" w14:paraId="5BCA2935" w14:textId="77777777" w:rsidTr="00FE06FA">
        <w:trPr>
          <w:trHeight w:val="315"/>
        </w:trPr>
        <w:tc>
          <w:tcPr>
            <w:tcW w:w="1417" w:type="dxa"/>
          </w:tcPr>
          <w:p w14:paraId="1244250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w:t>
            </w:r>
          </w:p>
        </w:tc>
        <w:tc>
          <w:tcPr>
            <w:tcW w:w="1736" w:type="dxa"/>
            <w:noWrap/>
            <w:hideMark/>
          </w:tcPr>
          <w:p w14:paraId="5B4E126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w:t>
            </w:r>
          </w:p>
        </w:tc>
        <w:tc>
          <w:tcPr>
            <w:tcW w:w="1630" w:type="dxa"/>
            <w:noWrap/>
            <w:hideMark/>
          </w:tcPr>
          <w:p w14:paraId="5D24D97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537</w:t>
            </w:r>
          </w:p>
        </w:tc>
        <w:tc>
          <w:tcPr>
            <w:tcW w:w="1630" w:type="dxa"/>
            <w:vAlign w:val="bottom"/>
          </w:tcPr>
          <w:p w14:paraId="69B7F1EA"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50C87A9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oval</w:t>
            </w:r>
          </w:p>
        </w:tc>
        <w:tc>
          <w:tcPr>
            <w:tcW w:w="2283" w:type="dxa"/>
            <w:vAlign w:val="bottom"/>
          </w:tcPr>
          <w:p w14:paraId="3614ECB8"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Central</w:t>
            </w:r>
          </w:p>
        </w:tc>
      </w:tr>
      <w:tr w:rsidR="00D1512D" w:rsidRPr="00333DFC" w14:paraId="334D8F6D" w14:textId="77777777" w:rsidTr="00FE06FA">
        <w:trPr>
          <w:trHeight w:val="315"/>
        </w:trPr>
        <w:tc>
          <w:tcPr>
            <w:tcW w:w="1417" w:type="dxa"/>
          </w:tcPr>
          <w:p w14:paraId="759BB25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Sr2</w:t>
            </w:r>
          </w:p>
        </w:tc>
        <w:tc>
          <w:tcPr>
            <w:tcW w:w="1736" w:type="dxa"/>
            <w:noWrap/>
            <w:hideMark/>
          </w:tcPr>
          <w:p w14:paraId="7115968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w:t>
            </w:r>
          </w:p>
        </w:tc>
        <w:tc>
          <w:tcPr>
            <w:tcW w:w="1630" w:type="dxa"/>
            <w:noWrap/>
            <w:hideMark/>
          </w:tcPr>
          <w:p w14:paraId="643BF07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540</w:t>
            </w:r>
          </w:p>
        </w:tc>
        <w:tc>
          <w:tcPr>
            <w:tcW w:w="1630" w:type="dxa"/>
            <w:vAlign w:val="bottom"/>
          </w:tcPr>
          <w:p w14:paraId="6A83D23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5E24D73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4661DC4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11E8450F" w14:textId="77777777" w:rsidTr="00FE06FA">
        <w:trPr>
          <w:trHeight w:val="315"/>
        </w:trPr>
        <w:tc>
          <w:tcPr>
            <w:tcW w:w="1417" w:type="dxa"/>
          </w:tcPr>
          <w:p w14:paraId="4184227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Sr3</w:t>
            </w:r>
          </w:p>
        </w:tc>
        <w:tc>
          <w:tcPr>
            <w:tcW w:w="1736" w:type="dxa"/>
            <w:noWrap/>
            <w:hideMark/>
          </w:tcPr>
          <w:p w14:paraId="0529F45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9</w:t>
            </w:r>
          </w:p>
        </w:tc>
        <w:tc>
          <w:tcPr>
            <w:tcW w:w="1630" w:type="dxa"/>
            <w:noWrap/>
            <w:hideMark/>
          </w:tcPr>
          <w:p w14:paraId="359046D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1338</w:t>
            </w:r>
          </w:p>
        </w:tc>
        <w:tc>
          <w:tcPr>
            <w:tcW w:w="1630" w:type="dxa"/>
            <w:vAlign w:val="bottom"/>
          </w:tcPr>
          <w:p w14:paraId="7AF967C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4D0F7C23"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661A16C4"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Central</w:t>
            </w:r>
          </w:p>
        </w:tc>
      </w:tr>
      <w:tr w:rsidR="00D1512D" w:rsidRPr="00333DFC" w14:paraId="17EF46CD" w14:textId="77777777" w:rsidTr="00FE06FA">
        <w:trPr>
          <w:trHeight w:val="315"/>
        </w:trPr>
        <w:tc>
          <w:tcPr>
            <w:tcW w:w="1417" w:type="dxa"/>
          </w:tcPr>
          <w:p w14:paraId="16ADFA7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Sr4</w:t>
            </w:r>
          </w:p>
        </w:tc>
        <w:tc>
          <w:tcPr>
            <w:tcW w:w="1736" w:type="dxa"/>
            <w:noWrap/>
            <w:hideMark/>
          </w:tcPr>
          <w:p w14:paraId="2B6F3D11"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19</w:t>
            </w:r>
          </w:p>
        </w:tc>
        <w:tc>
          <w:tcPr>
            <w:tcW w:w="1630" w:type="dxa"/>
            <w:noWrap/>
            <w:hideMark/>
          </w:tcPr>
          <w:p w14:paraId="65867CB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214</w:t>
            </w:r>
          </w:p>
        </w:tc>
        <w:tc>
          <w:tcPr>
            <w:tcW w:w="1630" w:type="dxa"/>
            <w:vAlign w:val="bottom"/>
          </w:tcPr>
          <w:p w14:paraId="736BFDA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Light brown</w:t>
            </w:r>
          </w:p>
        </w:tc>
        <w:tc>
          <w:tcPr>
            <w:tcW w:w="1457" w:type="dxa"/>
            <w:noWrap/>
            <w:hideMark/>
          </w:tcPr>
          <w:p w14:paraId="10EFDDB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5D18B54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5D90EF50" w14:textId="77777777" w:rsidTr="00FE06FA">
        <w:trPr>
          <w:trHeight w:val="315"/>
        </w:trPr>
        <w:tc>
          <w:tcPr>
            <w:tcW w:w="1417" w:type="dxa"/>
          </w:tcPr>
          <w:p w14:paraId="517BF06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Sr5</w:t>
            </w:r>
          </w:p>
        </w:tc>
        <w:tc>
          <w:tcPr>
            <w:tcW w:w="1736" w:type="dxa"/>
            <w:noWrap/>
            <w:hideMark/>
          </w:tcPr>
          <w:p w14:paraId="1AC36A2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31</w:t>
            </w:r>
          </w:p>
        </w:tc>
        <w:tc>
          <w:tcPr>
            <w:tcW w:w="1630" w:type="dxa"/>
            <w:noWrap/>
            <w:hideMark/>
          </w:tcPr>
          <w:p w14:paraId="55CC2AD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125</w:t>
            </w:r>
          </w:p>
        </w:tc>
        <w:tc>
          <w:tcPr>
            <w:tcW w:w="1630" w:type="dxa"/>
            <w:vAlign w:val="bottom"/>
          </w:tcPr>
          <w:p w14:paraId="1495522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Brown</w:t>
            </w:r>
          </w:p>
        </w:tc>
        <w:tc>
          <w:tcPr>
            <w:tcW w:w="1457" w:type="dxa"/>
            <w:noWrap/>
            <w:hideMark/>
          </w:tcPr>
          <w:p w14:paraId="3F7E65C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6F1396E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7CC82D5D" w14:textId="77777777" w:rsidTr="00FE06FA">
        <w:trPr>
          <w:trHeight w:val="315"/>
        </w:trPr>
        <w:tc>
          <w:tcPr>
            <w:tcW w:w="1417" w:type="dxa"/>
          </w:tcPr>
          <w:p w14:paraId="1C39B05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Sr6</w:t>
            </w:r>
          </w:p>
        </w:tc>
        <w:tc>
          <w:tcPr>
            <w:tcW w:w="1736" w:type="dxa"/>
            <w:noWrap/>
            <w:hideMark/>
          </w:tcPr>
          <w:p w14:paraId="6C2F097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14</w:t>
            </w:r>
          </w:p>
        </w:tc>
        <w:tc>
          <w:tcPr>
            <w:tcW w:w="1630" w:type="dxa"/>
            <w:noWrap/>
            <w:hideMark/>
          </w:tcPr>
          <w:p w14:paraId="638B10D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610</w:t>
            </w:r>
          </w:p>
        </w:tc>
        <w:tc>
          <w:tcPr>
            <w:tcW w:w="1630" w:type="dxa"/>
            <w:vAlign w:val="bottom"/>
          </w:tcPr>
          <w:p w14:paraId="6911F69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712F2EE4"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3A26C7B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Central</w:t>
            </w:r>
          </w:p>
        </w:tc>
      </w:tr>
      <w:tr w:rsidR="00D1512D" w:rsidRPr="00333DFC" w14:paraId="228D4FB7" w14:textId="77777777" w:rsidTr="00FE06FA">
        <w:trPr>
          <w:trHeight w:val="315"/>
        </w:trPr>
        <w:tc>
          <w:tcPr>
            <w:tcW w:w="1417" w:type="dxa"/>
          </w:tcPr>
          <w:p w14:paraId="268134F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Sr7</w:t>
            </w:r>
          </w:p>
        </w:tc>
        <w:tc>
          <w:tcPr>
            <w:tcW w:w="1736" w:type="dxa"/>
            <w:noWrap/>
            <w:hideMark/>
          </w:tcPr>
          <w:p w14:paraId="45DA661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27</w:t>
            </w:r>
          </w:p>
        </w:tc>
        <w:tc>
          <w:tcPr>
            <w:tcW w:w="1630" w:type="dxa"/>
            <w:noWrap/>
            <w:hideMark/>
          </w:tcPr>
          <w:p w14:paraId="668C33B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211</w:t>
            </w:r>
          </w:p>
        </w:tc>
        <w:tc>
          <w:tcPr>
            <w:tcW w:w="1630" w:type="dxa"/>
            <w:vAlign w:val="bottom"/>
          </w:tcPr>
          <w:p w14:paraId="2BA8AA68"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009E10B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4AF48B3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28A99422" w14:textId="77777777" w:rsidTr="00FE06FA">
        <w:trPr>
          <w:trHeight w:val="315"/>
        </w:trPr>
        <w:tc>
          <w:tcPr>
            <w:tcW w:w="1417" w:type="dxa"/>
          </w:tcPr>
          <w:p w14:paraId="2237EE28"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Sr8</w:t>
            </w:r>
          </w:p>
        </w:tc>
        <w:tc>
          <w:tcPr>
            <w:tcW w:w="1736" w:type="dxa"/>
            <w:noWrap/>
            <w:hideMark/>
          </w:tcPr>
          <w:p w14:paraId="56B843B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15</w:t>
            </w:r>
          </w:p>
        </w:tc>
        <w:tc>
          <w:tcPr>
            <w:tcW w:w="1630" w:type="dxa"/>
            <w:noWrap/>
            <w:hideMark/>
          </w:tcPr>
          <w:p w14:paraId="760B368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530</w:t>
            </w:r>
          </w:p>
        </w:tc>
        <w:tc>
          <w:tcPr>
            <w:tcW w:w="1630" w:type="dxa"/>
            <w:vAlign w:val="bottom"/>
          </w:tcPr>
          <w:p w14:paraId="27387BF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3CF97EB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4A7FECB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25F39262" w14:textId="77777777" w:rsidTr="00FE06FA">
        <w:trPr>
          <w:trHeight w:val="154"/>
        </w:trPr>
        <w:tc>
          <w:tcPr>
            <w:tcW w:w="1417" w:type="dxa"/>
          </w:tcPr>
          <w:p w14:paraId="0CA499C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Sr9</w:t>
            </w:r>
          </w:p>
        </w:tc>
        <w:tc>
          <w:tcPr>
            <w:tcW w:w="1736" w:type="dxa"/>
            <w:noWrap/>
            <w:hideMark/>
          </w:tcPr>
          <w:p w14:paraId="21ACD87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17</w:t>
            </w:r>
          </w:p>
        </w:tc>
        <w:tc>
          <w:tcPr>
            <w:tcW w:w="1630" w:type="dxa"/>
            <w:noWrap/>
            <w:hideMark/>
          </w:tcPr>
          <w:p w14:paraId="7EFA01C8"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180</w:t>
            </w:r>
          </w:p>
        </w:tc>
        <w:tc>
          <w:tcPr>
            <w:tcW w:w="1630" w:type="dxa"/>
            <w:vAlign w:val="bottom"/>
          </w:tcPr>
          <w:p w14:paraId="582355B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5E9BEAE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Irregular</w:t>
            </w:r>
          </w:p>
        </w:tc>
        <w:tc>
          <w:tcPr>
            <w:tcW w:w="2283" w:type="dxa"/>
            <w:vAlign w:val="bottom"/>
          </w:tcPr>
          <w:p w14:paraId="1E906EB3"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21B67089" w14:textId="77777777" w:rsidTr="00FE06FA">
        <w:trPr>
          <w:trHeight w:val="315"/>
        </w:trPr>
        <w:tc>
          <w:tcPr>
            <w:tcW w:w="1417" w:type="dxa"/>
          </w:tcPr>
          <w:p w14:paraId="0C438CC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Sr10</w:t>
            </w:r>
          </w:p>
        </w:tc>
        <w:tc>
          <w:tcPr>
            <w:tcW w:w="1736" w:type="dxa"/>
            <w:noWrap/>
            <w:hideMark/>
          </w:tcPr>
          <w:p w14:paraId="167C533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15</w:t>
            </w:r>
          </w:p>
        </w:tc>
        <w:tc>
          <w:tcPr>
            <w:tcW w:w="1630" w:type="dxa"/>
            <w:noWrap/>
            <w:hideMark/>
          </w:tcPr>
          <w:p w14:paraId="3A91ED54"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455</w:t>
            </w:r>
          </w:p>
        </w:tc>
        <w:tc>
          <w:tcPr>
            <w:tcW w:w="1630" w:type="dxa"/>
            <w:vAlign w:val="bottom"/>
          </w:tcPr>
          <w:p w14:paraId="0B4A82C4"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4487451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Irregular</w:t>
            </w:r>
          </w:p>
        </w:tc>
        <w:tc>
          <w:tcPr>
            <w:tcW w:w="2283" w:type="dxa"/>
            <w:vAlign w:val="bottom"/>
          </w:tcPr>
          <w:p w14:paraId="14732DF3"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6D3A185B" w14:textId="77777777" w:rsidTr="00FE06FA">
        <w:trPr>
          <w:trHeight w:val="315"/>
        </w:trPr>
        <w:tc>
          <w:tcPr>
            <w:tcW w:w="1417" w:type="dxa"/>
          </w:tcPr>
          <w:p w14:paraId="6F080684"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Sr11</w:t>
            </w:r>
          </w:p>
        </w:tc>
        <w:tc>
          <w:tcPr>
            <w:tcW w:w="1736" w:type="dxa"/>
            <w:noWrap/>
            <w:hideMark/>
          </w:tcPr>
          <w:p w14:paraId="21EEF27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20</w:t>
            </w:r>
          </w:p>
        </w:tc>
        <w:tc>
          <w:tcPr>
            <w:tcW w:w="1630" w:type="dxa"/>
            <w:noWrap/>
            <w:hideMark/>
          </w:tcPr>
          <w:p w14:paraId="66D954B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356</w:t>
            </w:r>
          </w:p>
        </w:tc>
        <w:tc>
          <w:tcPr>
            <w:tcW w:w="1630" w:type="dxa"/>
            <w:vAlign w:val="bottom"/>
          </w:tcPr>
          <w:p w14:paraId="3A92D561"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Chocolate brown</w:t>
            </w:r>
          </w:p>
        </w:tc>
        <w:tc>
          <w:tcPr>
            <w:tcW w:w="1457" w:type="dxa"/>
            <w:noWrap/>
            <w:hideMark/>
          </w:tcPr>
          <w:p w14:paraId="2E10C43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5444C4A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6FB87159" w14:textId="77777777" w:rsidTr="00FE06FA">
        <w:trPr>
          <w:trHeight w:val="315"/>
        </w:trPr>
        <w:tc>
          <w:tcPr>
            <w:tcW w:w="1417" w:type="dxa"/>
          </w:tcPr>
          <w:p w14:paraId="68C5506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Sr12</w:t>
            </w:r>
          </w:p>
        </w:tc>
        <w:tc>
          <w:tcPr>
            <w:tcW w:w="1736" w:type="dxa"/>
            <w:noWrap/>
            <w:hideMark/>
          </w:tcPr>
          <w:p w14:paraId="74AA1DE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25</w:t>
            </w:r>
          </w:p>
        </w:tc>
        <w:tc>
          <w:tcPr>
            <w:tcW w:w="1630" w:type="dxa"/>
            <w:noWrap/>
            <w:hideMark/>
          </w:tcPr>
          <w:p w14:paraId="3D4A7113"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255</w:t>
            </w:r>
          </w:p>
        </w:tc>
        <w:tc>
          <w:tcPr>
            <w:tcW w:w="1630" w:type="dxa"/>
            <w:vAlign w:val="bottom"/>
          </w:tcPr>
          <w:p w14:paraId="6BE0C27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Brown</w:t>
            </w:r>
          </w:p>
        </w:tc>
        <w:tc>
          <w:tcPr>
            <w:tcW w:w="1457" w:type="dxa"/>
            <w:noWrap/>
            <w:hideMark/>
          </w:tcPr>
          <w:p w14:paraId="2890290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3D83434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18FBDC91" w14:textId="77777777" w:rsidTr="00FE06FA">
        <w:trPr>
          <w:trHeight w:val="315"/>
        </w:trPr>
        <w:tc>
          <w:tcPr>
            <w:tcW w:w="1417" w:type="dxa"/>
          </w:tcPr>
          <w:p w14:paraId="11E167E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Sr13</w:t>
            </w:r>
          </w:p>
        </w:tc>
        <w:tc>
          <w:tcPr>
            <w:tcW w:w="1736" w:type="dxa"/>
            <w:noWrap/>
            <w:hideMark/>
          </w:tcPr>
          <w:p w14:paraId="0F5B090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31</w:t>
            </w:r>
          </w:p>
        </w:tc>
        <w:tc>
          <w:tcPr>
            <w:tcW w:w="1630" w:type="dxa"/>
            <w:noWrap/>
            <w:hideMark/>
          </w:tcPr>
          <w:p w14:paraId="3275B5F8"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118</w:t>
            </w:r>
          </w:p>
        </w:tc>
        <w:tc>
          <w:tcPr>
            <w:tcW w:w="1630" w:type="dxa"/>
            <w:vAlign w:val="bottom"/>
          </w:tcPr>
          <w:p w14:paraId="68D2CAE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Chocolate brown</w:t>
            </w:r>
          </w:p>
        </w:tc>
        <w:tc>
          <w:tcPr>
            <w:tcW w:w="1457" w:type="dxa"/>
            <w:noWrap/>
            <w:hideMark/>
          </w:tcPr>
          <w:p w14:paraId="79BFCC2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4E07B6C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3E086B5B" w14:textId="77777777" w:rsidTr="00FE06FA">
        <w:trPr>
          <w:trHeight w:val="315"/>
        </w:trPr>
        <w:tc>
          <w:tcPr>
            <w:tcW w:w="1417" w:type="dxa"/>
          </w:tcPr>
          <w:p w14:paraId="11496C3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Sr14</w:t>
            </w:r>
          </w:p>
        </w:tc>
        <w:tc>
          <w:tcPr>
            <w:tcW w:w="1736" w:type="dxa"/>
            <w:noWrap/>
            <w:hideMark/>
          </w:tcPr>
          <w:p w14:paraId="48C91CA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25</w:t>
            </w:r>
          </w:p>
        </w:tc>
        <w:tc>
          <w:tcPr>
            <w:tcW w:w="1630" w:type="dxa"/>
            <w:noWrap/>
            <w:hideMark/>
          </w:tcPr>
          <w:p w14:paraId="665DD02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316</w:t>
            </w:r>
          </w:p>
        </w:tc>
        <w:tc>
          <w:tcPr>
            <w:tcW w:w="1630" w:type="dxa"/>
            <w:vAlign w:val="bottom"/>
          </w:tcPr>
          <w:p w14:paraId="3806F73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Chocolate brown</w:t>
            </w:r>
          </w:p>
        </w:tc>
        <w:tc>
          <w:tcPr>
            <w:tcW w:w="1457" w:type="dxa"/>
            <w:noWrap/>
            <w:hideMark/>
          </w:tcPr>
          <w:p w14:paraId="7E47597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12400B91"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5357F473" w14:textId="77777777" w:rsidTr="00FE06FA">
        <w:trPr>
          <w:trHeight w:val="315"/>
        </w:trPr>
        <w:tc>
          <w:tcPr>
            <w:tcW w:w="1417" w:type="dxa"/>
          </w:tcPr>
          <w:p w14:paraId="640B45F1"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Sr15</w:t>
            </w:r>
          </w:p>
        </w:tc>
        <w:tc>
          <w:tcPr>
            <w:tcW w:w="1736" w:type="dxa"/>
            <w:noWrap/>
            <w:hideMark/>
          </w:tcPr>
          <w:p w14:paraId="1F871E1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26</w:t>
            </w:r>
          </w:p>
        </w:tc>
        <w:tc>
          <w:tcPr>
            <w:tcW w:w="1630" w:type="dxa"/>
            <w:noWrap/>
            <w:hideMark/>
          </w:tcPr>
          <w:p w14:paraId="1D9B507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115</w:t>
            </w:r>
          </w:p>
        </w:tc>
        <w:tc>
          <w:tcPr>
            <w:tcW w:w="1630" w:type="dxa"/>
            <w:vAlign w:val="bottom"/>
          </w:tcPr>
          <w:p w14:paraId="6A6BEBA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493D605B"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52A65D5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0C72529A" w14:textId="77777777" w:rsidTr="00FE06FA">
        <w:trPr>
          <w:trHeight w:val="315"/>
        </w:trPr>
        <w:tc>
          <w:tcPr>
            <w:tcW w:w="1417" w:type="dxa"/>
          </w:tcPr>
          <w:p w14:paraId="7049C6C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Sr16</w:t>
            </w:r>
          </w:p>
        </w:tc>
        <w:tc>
          <w:tcPr>
            <w:tcW w:w="1736" w:type="dxa"/>
            <w:noWrap/>
            <w:hideMark/>
          </w:tcPr>
          <w:p w14:paraId="595C9D4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21</w:t>
            </w:r>
          </w:p>
        </w:tc>
        <w:tc>
          <w:tcPr>
            <w:tcW w:w="1630" w:type="dxa"/>
            <w:noWrap/>
            <w:hideMark/>
          </w:tcPr>
          <w:p w14:paraId="510BBCD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114</w:t>
            </w:r>
          </w:p>
        </w:tc>
        <w:tc>
          <w:tcPr>
            <w:tcW w:w="1630" w:type="dxa"/>
            <w:vAlign w:val="bottom"/>
          </w:tcPr>
          <w:p w14:paraId="4A582F1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Light brown</w:t>
            </w:r>
          </w:p>
        </w:tc>
        <w:tc>
          <w:tcPr>
            <w:tcW w:w="1457" w:type="dxa"/>
            <w:noWrap/>
            <w:hideMark/>
          </w:tcPr>
          <w:p w14:paraId="34144F6A"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Irregular</w:t>
            </w:r>
          </w:p>
        </w:tc>
        <w:tc>
          <w:tcPr>
            <w:tcW w:w="2283" w:type="dxa"/>
            <w:vAlign w:val="bottom"/>
          </w:tcPr>
          <w:p w14:paraId="0A37743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4D623C41" w14:textId="77777777" w:rsidTr="00FE06FA">
        <w:trPr>
          <w:trHeight w:val="315"/>
        </w:trPr>
        <w:tc>
          <w:tcPr>
            <w:tcW w:w="1417" w:type="dxa"/>
          </w:tcPr>
          <w:p w14:paraId="18D791A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Sr17</w:t>
            </w:r>
          </w:p>
        </w:tc>
        <w:tc>
          <w:tcPr>
            <w:tcW w:w="1736" w:type="dxa"/>
            <w:noWrap/>
            <w:hideMark/>
          </w:tcPr>
          <w:p w14:paraId="20FB4D8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34</w:t>
            </w:r>
          </w:p>
        </w:tc>
        <w:tc>
          <w:tcPr>
            <w:tcW w:w="1630" w:type="dxa"/>
            <w:noWrap/>
            <w:hideMark/>
          </w:tcPr>
          <w:p w14:paraId="63D9B45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75</w:t>
            </w:r>
          </w:p>
        </w:tc>
        <w:tc>
          <w:tcPr>
            <w:tcW w:w="1630" w:type="dxa"/>
            <w:vAlign w:val="bottom"/>
          </w:tcPr>
          <w:p w14:paraId="31E8635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Brown</w:t>
            </w:r>
          </w:p>
        </w:tc>
        <w:tc>
          <w:tcPr>
            <w:tcW w:w="1457" w:type="dxa"/>
            <w:noWrap/>
            <w:hideMark/>
          </w:tcPr>
          <w:p w14:paraId="3B3701FA"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oval</w:t>
            </w:r>
          </w:p>
        </w:tc>
        <w:tc>
          <w:tcPr>
            <w:tcW w:w="2283" w:type="dxa"/>
            <w:vAlign w:val="bottom"/>
          </w:tcPr>
          <w:p w14:paraId="4853AEB5"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310724E1" w14:textId="77777777" w:rsidTr="00FE06FA">
        <w:trPr>
          <w:trHeight w:val="315"/>
        </w:trPr>
        <w:tc>
          <w:tcPr>
            <w:tcW w:w="1417" w:type="dxa"/>
          </w:tcPr>
          <w:p w14:paraId="4CAE760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Sr18</w:t>
            </w:r>
          </w:p>
        </w:tc>
        <w:tc>
          <w:tcPr>
            <w:tcW w:w="1736" w:type="dxa"/>
            <w:noWrap/>
            <w:hideMark/>
          </w:tcPr>
          <w:p w14:paraId="5BF30ABD"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15</w:t>
            </w:r>
          </w:p>
        </w:tc>
        <w:tc>
          <w:tcPr>
            <w:tcW w:w="1630" w:type="dxa"/>
            <w:noWrap/>
            <w:hideMark/>
          </w:tcPr>
          <w:p w14:paraId="15EFDBD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736</w:t>
            </w:r>
          </w:p>
        </w:tc>
        <w:tc>
          <w:tcPr>
            <w:tcW w:w="1630" w:type="dxa"/>
            <w:vAlign w:val="bottom"/>
          </w:tcPr>
          <w:p w14:paraId="2DD17F27"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5907CFE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Spherical</w:t>
            </w:r>
          </w:p>
        </w:tc>
        <w:tc>
          <w:tcPr>
            <w:tcW w:w="2283" w:type="dxa"/>
            <w:vAlign w:val="bottom"/>
          </w:tcPr>
          <w:p w14:paraId="1BC0083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Peripheral</w:t>
            </w:r>
          </w:p>
        </w:tc>
      </w:tr>
      <w:tr w:rsidR="00D1512D" w:rsidRPr="00333DFC" w14:paraId="283F0DB2" w14:textId="77777777" w:rsidTr="00FE06FA">
        <w:trPr>
          <w:trHeight w:val="315"/>
        </w:trPr>
        <w:tc>
          <w:tcPr>
            <w:tcW w:w="1417" w:type="dxa"/>
          </w:tcPr>
          <w:p w14:paraId="7A1EA6D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Sr19</w:t>
            </w:r>
          </w:p>
        </w:tc>
        <w:tc>
          <w:tcPr>
            <w:tcW w:w="1736" w:type="dxa"/>
            <w:noWrap/>
            <w:hideMark/>
          </w:tcPr>
          <w:p w14:paraId="04F3CE3E"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22</w:t>
            </w:r>
          </w:p>
        </w:tc>
        <w:tc>
          <w:tcPr>
            <w:tcW w:w="1630" w:type="dxa"/>
            <w:noWrap/>
            <w:hideMark/>
          </w:tcPr>
          <w:p w14:paraId="183BDA4C"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478</w:t>
            </w:r>
          </w:p>
        </w:tc>
        <w:tc>
          <w:tcPr>
            <w:tcW w:w="1630" w:type="dxa"/>
            <w:vAlign w:val="bottom"/>
          </w:tcPr>
          <w:p w14:paraId="4B324AC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Dark brown</w:t>
            </w:r>
          </w:p>
        </w:tc>
        <w:tc>
          <w:tcPr>
            <w:tcW w:w="1457" w:type="dxa"/>
            <w:noWrap/>
            <w:hideMark/>
          </w:tcPr>
          <w:p w14:paraId="636CBFB0"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5E02B0A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r w:rsidR="00D1512D" w:rsidRPr="00333DFC" w14:paraId="02968FE5" w14:textId="77777777" w:rsidTr="00FE06FA">
        <w:trPr>
          <w:trHeight w:val="315"/>
        </w:trPr>
        <w:tc>
          <w:tcPr>
            <w:tcW w:w="1417" w:type="dxa"/>
          </w:tcPr>
          <w:p w14:paraId="15FD2D26"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Sr20</w:t>
            </w:r>
          </w:p>
        </w:tc>
        <w:tc>
          <w:tcPr>
            <w:tcW w:w="1736" w:type="dxa"/>
            <w:noWrap/>
            <w:hideMark/>
          </w:tcPr>
          <w:p w14:paraId="2CB9C93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31</w:t>
            </w:r>
          </w:p>
        </w:tc>
        <w:tc>
          <w:tcPr>
            <w:tcW w:w="1630" w:type="dxa"/>
            <w:noWrap/>
            <w:hideMark/>
          </w:tcPr>
          <w:p w14:paraId="6E694EF2"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126</w:t>
            </w:r>
          </w:p>
        </w:tc>
        <w:tc>
          <w:tcPr>
            <w:tcW w:w="1630" w:type="dxa"/>
            <w:vAlign w:val="bottom"/>
          </w:tcPr>
          <w:p w14:paraId="59067F71"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Brown</w:t>
            </w:r>
          </w:p>
        </w:tc>
        <w:tc>
          <w:tcPr>
            <w:tcW w:w="1457" w:type="dxa"/>
            <w:noWrap/>
            <w:hideMark/>
          </w:tcPr>
          <w:p w14:paraId="6953F0AF"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eastAsia="Times New Roman" w:hAnsi="Times New Roman" w:cs="Times New Roman"/>
                <w:color w:val="000000" w:themeColor="text1"/>
                <w:kern w:val="0"/>
                <w:sz w:val="24"/>
                <w:szCs w:val="24"/>
                <w:lang w:eastAsia="en-IN"/>
                <w14:ligatures w14:val="none"/>
              </w:rPr>
              <w:t>Round</w:t>
            </w:r>
          </w:p>
        </w:tc>
        <w:tc>
          <w:tcPr>
            <w:tcW w:w="2283" w:type="dxa"/>
            <w:vAlign w:val="bottom"/>
          </w:tcPr>
          <w:p w14:paraId="54455339" w14:textId="77777777" w:rsidR="00D1512D" w:rsidRPr="00333DFC" w:rsidRDefault="00D1512D" w:rsidP="00FE06FA">
            <w:pPr>
              <w:jc w:val="center"/>
              <w:rPr>
                <w:rFonts w:ascii="Times New Roman" w:eastAsia="Times New Roman" w:hAnsi="Times New Roman" w:cs="Times New Roman"/>
                <w:color w:val="000000" w:themeColor="text1"/>
                <w:kern w:val="0"/>
                <w:sz w:val="24"/>
                <w:szCs w:val="24"/>
                <w:lang w:eastAsia="en-IN"/>
                <w14:ligatures w14:val="none"/>
              </w:rPr>
            </w:pPr>
            <w:r w:rsidRPr="00333DFC">
              <w:rPr>
                <w:rFonts w:ascii="Times New Roman" w:hAnsi="Times New Roman" w:cs="Times New Roman"/>
                <w:color w:val="000000" w:themeColor="text1"/>
                <w:sz w:val="24"/>
                <w:szCs w:val="24"/>
              </w:rPr>
              <w:t>Scattered</w:t>
            </w:r>
          </w:p>
        </w:tc>
      </w:tr>
    </w:tbl>
    <w:p w14:paraId="69FF7667" w14:textId="77777777" w:rsidR="00D1512D" w:rsidRPr="00333DFC" w:rsidRDefault="00D1512D" w:rsidP="00C458BD">
      <w:pPr>
        <w:ind w:firstLine="720"/>
        <w:jc w:val="both"/>
        <w:rPr>
          <w:rFonts w:ascii="Times New Roman" w:hAnsi="Times New Roman" w:cs="Times New Roman"/>
          <w:color w:val="000000" w:themeColor="text1"/>
        </w:rPr>
      </w:pPr>
    </w:p>
    <w:p w14:paraId="35F3DA20" w14:textId="30081AE4" w:rsidR="00405B53" w:rsidRPr="00333DFC" w:rsidRDefault="009F4895" w:rsidP="00405B53">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MICROSCOPIC IDENTIFICATION</w:t>
      </w:r>
    </w:p>
    <w:p w14:paraId="6703CCE6" w14:textId="17B86E2D" w:rsidR="00405B53" w:rsidRDefault="00405B53" w:rsidP="00C2216B">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Microscopic examination of all isolates confirmed the presence of hyaline, septate, and branched mycelium with characteristic clamp connections, consistent with the diagnostic features of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w:t>
      </w:r>
      <w:r w:rsidR="0005226E" w:rsidRPr="00333DFC">
        <w:rPr>
          <w:rFonts w:ascii="Times New Roman" w:hAnsi="Times New Roman" w:cs="Times New Roman"/>
          <w:color w:val="000000" w:themeColor="text1"/>
        </w:rPr>
        <w:t xml:space="preserve"> We confirmed through SEM observation (Fig.</w:t>
      </w:r>
      <w:r w:rsidR="00827D3B">
        <w:rPr>
          <w:rFonts w:ascii="Times New Roman" w:hAnsi="Times New Roman" w:cs="Times New Roman"/>
          <w:color w:val="000000" w:themeColor="text1"/>
        </w:rPr>
        <w:t xml:space="preserve"> </w:t>
      </w:r>
      <w:r w:rsidR="0005226E" w:rsidRPr="00333DFC">
        <w:rPr>
          <w:rFonts w:ascii="Times New Roman" w:hAnsi="Times New Roman" w:cs="Times New Roman"/>
          <w:color w:val="000000" w:themeColor="text1"/>
        </w:rPr>
        <w:t>3) and also</w:t>
      </w:r>
      <w:r w:rsidR="006D3571" w:rsidRPr="00333DFC">
        <w:rPr>
          <w:rFonts w:ascii="Times New Roman" w:hAnsi="Times New Roman" w:cs="Times New Roman"/>
          <w:color w:val="000000" w:themeColor="text1"/>
        </w:rPr>
        <w:t xml:space="preserve"> Further confirmed by NFCCI at </w:t>
      </w:r>
      <w:proofErr w:type="spellStart"/>
      <w:r w:rsidR="006D3571" w:rsidRPr="00333DFC">
        <w:rPr>
          <w:rFonts w:ascii="Times New Roman" w:hAnsi="Times New Roman" w:cs="Times New Roman"/>
          <w:color w:val="000000" w:themeColor="text1"/>
        </w:rPr>
        <w:t>Agharkar</w:t>
      </w:r>
      <w:proofErr w:type="spellEnd"/>
      <w:r w:rsidR="006D3571" w:rsidRPr="00333DFC">
        <w:rPr>
          <w:rFonts w:ascii="Times New Roman" w:hAnsi="Times New Roman" w:cs="Times New Roman"/>
          <w:color w:val="000000" w:themeColor="text1"/>
        </w:rPr>
        <w:t xml:space="preserve"> research institute and got a NFCCI accession number (NFCCI  5791)</w:t>
      </w:r>
      <w:r w:rsidR="0005226E" w:rsidRPr="00333DFC">
        <w:rPr>
          <w:rFonts w:ascii="Times New Roman" w:hAnsi="Times New Roman" w:cs="Times New Roman"/>
          <w:color w:val="000000" w:themeColor="text1"/>
        </w:rPr>
        <w:t xml:space="preserve"> (Fig.4)</w:t>
      </w:r>
      <w:r w:rsidR="006D3571" w:rsidRPr="00333DFC">
        <w:rPr>
          <w:rFonts w:ascii="Times New Roman" w:hAnsi="Times New Roman" w:cs="Times New Roman"/>
          <w:color w:val="000000" w:themeColor="text1"/>
        </w:rPr>
        <w:t>.</w:t>
      </w:r>
    </w:p>
    <w:p w14:paraId="24660793" w14:textId="77777777" w:rsidR="00D1512D" w:rsidRPr="00A64492" w:rsidRDefault="00D1512D" w:rsidP="00D1512D">
      <w:pPr>
        <w:jc w:val="center"/>
        <w:rPr>
          <w:color w:val="000000" w:themeColor="text1"/>
        </w:rPr>
      </w:pPr>
      <w:r w:rsidRPr="00931B40">
        <w:rPr>
          <w:rFonts w:ascii="Times New Roman" w:hAnsi="Times New Roman" w:cs="Times New Roman"/>
          <w:noProof/>
          <w:color w:val="000000" w:themeColor="text1"/>
        </w:rPr>
        <w:lastRenderedPageBreak/>
        <w:drawing>
          <wp:inline distT="0" distB="0" distL="0" distR="0" wp14:anchorId="7BB9623F" wp14:editId="11FB1402">
            <wp:extent cx="2209800" cy="1767839"/>
            <wp:effectExtent l="0" t="0" r="0" b="4445"/>
            <wp:docPr id="1091061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72" cy="1794777"/>
                    </a:xfrm>
                    <a:prstGeom prst="rect">
                      <a:avLst/>
                    </a:prstGeom>
                    <a:noFill/>
                    <a:ln>
                      <a:noFill/>
                    </a:ln>
                  </pic:spPr>
                </pic:pic>
              </a:graphicData>
            </a:graphic>
          </wp:inline>
        </w:drawing>
      </w:r>
      <w:r w:rsidRPr="00A64492">
        <w:rPr>
          <w:noProof/>
          <w:color w:val="000000" w:themeColor="text1"/>
        </w:rPr>
        <w:drawing>
          <wp:inline distT="0" distB="0" distL="0" distR="0" wp14:anchorId="683B53C9" wp14:editId="470A35AA">
            <wp:extent cx="2225040" cy="1780032"/>
            <wp:effectExtent l="0" t="0" r="3810" b="0"/>
            <wp:docPr id="1326901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340" cy="1784272"/>
                    </a:xfrm>
                    <a:prstGeom prst="rect">
                      <a:avLst/>
                    </a:prstGeom>
                    <a:noFill/>
                    <a:ln>
                      <a:noFill/>
                    </a:ln>
                  </pic:spPr>
                </pic:pic>
              </a:graphicData>
            </a:graphic>
          </wp:inline>
        </w:drawing>
      </w:r>
    </w:p>
    <w:p w14:paraId="5B897A6E" w14:textId="678A9C73" w:rsidR="00D1512D" w:rsidRPr="00D1512D" w:rsidRDefault="00D1512D" w:rsidP="00D1512D">
      <w:pPr>
        <w:jc w:val="center"/>
        <w:rPr>
          <w:rFonts w:ascii="Times New Roman" w:hAnsi="Times New Roman" w:cs="Times New Roman"/>
          <w:i/>
          <w:iCs/>
          <w:color w:val="000000" w:themeColor="text1"/>
        </w:rPr>
      </w:pPr>
      <w:r>
        <w:rPr>
          <w:rFonts w:ascii="Times New Roman" w:hAnsi="Times New Roman" w:cs="Times New Roman"/>
          <w:color w:val="000000" w:themeColor="text1"/>
        </w:rPr>
        <w:t xml:space="preserve">Fig.3: </w:t>
      </w:r>
      <w:r w:rsidRPr="00333DFC">
        <w:rPr>
          <w:rFonts w:ascii="Times New Roman" w:hAnsi="Times New Roman" w:cs="Times New Roman"/>
          <w:color w:val="000000" w:themeColor="text1"/>
        </w:rPr>
        <w:t xml:space="preserve">SEM </w:t>
      </w:r>
      <w:r>
        <w:rPr>
          <w:rFonts w:ascii="Times New Roman" w:hAnsi="Times New Roman" w:cs="Times New Roman"/>
          <w:color w:val="000000" w:themeColor="text1"/>
        </w:rPr>
        <w:t xml:space="preserve">observation of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p>
    <w:p w14:paraId="3784C654" w14:textId="77777777" w:rsidR="00D1512D" w:rsidRDefault="00D1512D" w:rsidP="00D1512D">
      <w:pPr>
        <w:jc w:val="center"/>
        <w:rPr>
          <w:rFonts w:ascii="Times New Roman" w:hAnsi="Times New Roman" w:cs="Times New Roman"/>
          <w:color w:val="000000" w:themeColor="text1"/>
        </w:rPr>
      </w:pPr>
      <w:r w:rsidRPr="00333DFC">
        <w:rPr>
          <w:rFonts w:ascii="Times New Roman" w:hAnsi="Times New Roman" w:cs="Times New Roman"/>
          <w:noProof/>
          <w:color w:val="000000" w:themeColor="text1"/>
        </w:rPr>
        <w:drawing>
          <wp:inline distT="0" distB="0" distL="0" distR="0" wp14:anchorId="6DB986F5" wp14:editId="017B5ACC">
            <wp:extent cx="2971800" cy="1857375"/>
            <wp:effectExtent l="0" t="0" r="0" b="9525"/>
            <wp:docPr id="5763720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672" cy="1892920"/>
                    </a:xfrm>
                    <a:prstGeom prst="rect">
                      <a:avLst/>
                    </a:prstGeom>
                    <a:noFill/>
                    <a:ln>
                      <a:noFill/>
                    </a:ln>
                  </pic:spPr>
                </pic:pic>
              </a:graphicData>
            </a:graphic>
          </wp:inline>
        </w:drawing>
      </w:r>
    </w:p>
    <w:p w14:paraId="60098044" w14:textId="77777777" w:rsidR="00D1512D" w:rsidRPr="00333DFC" w:rsidRDefault="00D1512D" w:rsidP="00D1512D">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Fig.4: </w:t>
      </w:r>
      <w:r w:rsidRPr="00333DFC">
        <w:rPr>
          <w:rFonts w:ascii="Times New Roman" w:hAnsi="Times New Roman" w:cs="Times New Roman"/>
          <w:color w:val="000000" w:themeColor="text1"/>
        </w:rPr>
        <w:t>Microscopic observation</w:t>
      </w:r>
      <w:r>
        <w:rPr>
          <w:rFonts w:ascii="Times New Roman" w:hAnsi="Times New Roman" w:cs="Times New Roman"/>
          <w:color w:val="000000" w:themeColor="text1"/>
        </w:rPr>
        <w:t xml:space="preserve"> of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p>
    <w:p w14:paraId="2A9A5148" w14:textId="7479062F" w:rsidR="00C2216B" w:rsidRDefault="009F4895" w:rsidP="00333DFC">
      <w:pPr>
        <w:jc w:val="both"/>
        <w:rPr>
          <w:rFonts w:ascii="Times New Roman" w:hAnsi="Times New Roman" w:cs="Times New Roman"/>
          <w:color w:val="000000" w:themeColor="text1"/>
        </w:rPr>
      </w:pPr>
      <w:r w:rsidRPr="00333DFC">
        <w:rPr>
          <w:rFonts w:ascii="Times New Roman" w:hAnsi="Times New Roman" w:cs="Times New Roman"/>
          <w:b/>
          <w:bCs/>
          <w:color w:val="000000" w:themeColor="text1"/>
        </w:rPr>
        <w:t>CONCLUSION</w:t>
      </w:r>
    </w:p>
    <w:p w14:paraId="7BAEDB8D" w14:textId="1E9FD7ED" w:rsidR="006204A1" w:rsidRDefault="00333DFC" w:rsidP="006A0374">
      <w:pPr>
        <w:ind w:firstLine="720"/>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This study demonstrated considerable cultural and morphological variation among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xml:space="preserve"> isolates from brinjal. Differences were observed in mycelial growth, colony type, and </w:t>
      </w:r>
      <w:proofErr w:type="spellStart"/>
      <w:r w:rsidRPr="00333DFC">
        <w:rPr>
          <w:rFonts w:ascii="Times New Roman" w:hAnsi="Times New Roman" w:cs="Times New Roman"/>
          <w:color w:val="000000" w:themeColor="text1"/>
        </w:rPr>
        <w:t>sclerotial</w:t>
      </w:r>
      <w:proofErr w:type="spellEnd"/>
      <w:r w:rsidRPr="00333DFC">
        <w:rPr>
          <w:rFonts w:ascii="Times New Roman" w:hAnsi="Times New Roman" w:cs="Times New Roman"/>
          <w:color w:val="000000" w:themeColor="text1"/>
        </w:rPr>
        <w:t xml:space="preserve"> characteristics. Such diversity may influence pathogenicity and adaptability. Microscopic and SEM analyses confirmed the identity of the pathogen. These findings are valuable for future disease management and resistance screening efforts.</w:t>
      </w:r>
    </w:p>
    <w:p w14:paraId="4B373AE6" w14:textId="77777777" w:rsidR="00D1512D" w:rsidRPr="00D1512D" w:rsidRDefault="00D1512D" w:rsidP="00D1512D">
      <w:pPr>
        <w:jc w:val="both"/>
        <w:rPr>
          <w:rFonts w:ascii="Times New Roman" w:hAnsi="Times New Roman" w:cs="Times New Roman"/>
          <w:b/>
          <w:bCs/>
          <w:color w:val="000000" w:themeColor="text1"/>
        </w:rPr>
      </w:pPr>
      <w:r w:rsidRPr="00D1512D">
        <w:rPr>
          <w:rFonts w:ascii="Times New Roman" w:hAnsi="Times New Roman" w:cs="Times New Roman"/>
          <w:b/>
          <w:bCs/>
          <w:color w:val="000000" w:themeColor="text1"/>
        </w:rPr>
        <w:t>DISCLAIMER (ARTIFICIAL INTELLIGENCE)</w:t>
      </w:r>
    </w:p>
    <w:p w14:paraId="1B52ED6F" w14:textId="479EF204" w:rsidR="00D1512D" w:rsidRDefault="00D1512D" w:rsidP="006A0374">
      <w:pPr>
        <w:ind w:firstLine="720"/>
        <w:jc w:val="both"/>
        <w:rPr>
          <w:rFonts w:ascii="Times New Roman" w:hAnsi="Times New Roman" w:cs="Times New Roman"/>
          <w:color w:val="000000" w:themeColor="text1"/>
        </w:rPr>
      </w:pPr>
      <w:r w:rsidRPr="00D1512D">
        <w:rPr>
          <w:rFonts w:ascii="Times New Roman" w:hAnsi="Times New Roman" w:cs="Times New Roman"/>
          <w:color w:val="000000" w:themeColor="text1"/>
        </w:rPr>
        <w:t xml:space="preserve">Author(s) hereby </w:t>
      </w:r>
      <w:proofErr w:type="gramStart"/>
      <w:r w:rsidRPr="00D1512D">
        <w:rPr>
          <w:rFonts w:ascii="Times New Roman" w:hAnsi="Times New Roman" w:cs="Times New Roman"/>
          <w:color w:val="000000" w:themeColor="text1"/>
        </w:rPr>
        <w:t>declare</w:t>
      </w:r>
      <w:proofErr w:type="gramEnd"/>
      <w:r w:rsidRPr="00D1512D">
        <w:rPr>
          <w:rFonts w:ascii="Times New Roman" w:hAnsi="Times New Roman" w:cs="Times New Roman"/>
          <w:color w:val="000000" w:themeColor="text1"/>
        </w:rPr>
        <w:t xml:space="preserve"> that NO generative</w:t>
      </w:r>
      <w:r>
        <w:rPr>
          <w:rFonts w:ascii="Times New Roman" w:hAnsi="Times New Roman" w:cs="Times New Roman"/>
          <w:color w:val="000000" w:themeColor="text1"/>
        </w:rPr>
        <w:t xml:space="preserve"> </w:t>
      </w:r>
      <w:r w:rsidRPr="00D1512D">
        <w:rPr>
          <w:rFonts w:ascii="Times New Roman" w:hAnsi="Times New Roman" w:cs="Times New Roman"/>
          <w:color w:val="000000" w:themeColor="text1"/>
        </w:rPr>
        <w:t>AI technologies</w:t>
      </w:r>
      <w:r w:rsidR="00CC4816">
        <w:rPr>
          <w:rFonts w:ascii="Times New Roman" w:hAnsi="Times New Roman" w:cs="Times New Roman"/>
          <w:color w:val="000000" w:themeColor="text1"/>
        </w:rPr>
        <w:t xml:space="preserve"> </w:t>
      </w:r>
      <w:r w:rsidRPr="00D1512D">
        <w:rPr>
          <w:rFonts w:ascii="Times New Roman" w:hAnsi="Times New Roman" w:cs="Times New Roman"/>
          <w:color w:val="000000" w:themeColor="text1"/>
        </w:rPr>
        <w:t xml:space="preserve">such as Large </w:t>
      </w:r>
      <w:proofErr w:type="gramStart"/>
      <w:r w:rsidRPr="00D1512D">
        <w:rPr>
          <w:rFonts w:ascii="Times New Roman" w:hAnsi="Times New Roman" w:cs="Times New Roman"/>
          <w:color w:val="000000" w:themeColor="text1"/>
        </w:rPr>
        <w:t>Language  Models</w:t>
      </w:r>
      <w:proofErr w:type="gramEnd"/>
      <w:r w:rsidR="00CC4816">
        <w:rPr>
          <w:rFonts w:ascii="Times New Roman" w:hAnsi="Times New Roman" w:cs="Times New Roman"/>
          <w:color w:val="000000" w:themeColor="text1"/>
        </w:rPr>
        <w:t xml:space="preserve"> </w:t>
      </w:r>
      <w:r w:rsidRPr="00D1512D">
        <w:rPr>
          <w:rFonts w:ascii="Times New Roman" w:hAnsi="Times New Roman" w:cs="Times New Roman"/>
          <w:color w:val="000000" w:themeColor="text1"/>
        </w:rPr>
        <w:t xml:space="preserve">(ChatGPT, </w:t>
      </w:r>
      <w:proofErr w:type="gramStart"/>
      <w:r w:rsidRPr="00D1512D">
        <w:rPr>
          <w:rFonts w:ascii="Times New Roman" w:hAnsi="Times New Roman" w:cs="Times New Roman"/>
          <w:color w:val="000000" w:themeColor="text1"/>
        </w:rPr>
        <w:t xml:space="preserve">COPILOT,  </w:t>
      </w:r>
      <w:proofErr w:type="spellStart"/>
      <w:r w:rsidRPr="00D1512D">
        <w:rPr>
          <w:rFonts w:ascii="Times New Roman" w:hAnsi="Times New Roman" w:cs="Times New Roman"/>
          <w:color w:val="000000" w:themeColor="text1"/>
        </w:rPr>
        <w:t>etc</w:t>
      </w:r>
      <w:proofErr w:type="spellEnd"/>
      <w:proofErr w:type="gramEnd"/>
      <w:r w:rsidRPr="00D1512D">
        <w:rPr>
          <w:rFonts w:ascii="Times New Roman" w:hAnsi="Times New Roman" w:cs="Times New Roman"/>
          <w:color w:val="000000" w:themeColor="text1"/>
        </w:rPr>
        <w:t xml:space="preserve">) </w:t>
      </w:r>
      <w:proofErr w:type="gramStart"/>
      <w:r w:rsidRPr="00D1512D">
        <w:rPr>
          <w:rFonts w:ascii="Times New Roman" w:hAnsi="Times New Roman" w:cs="Times New Roman"/>
          <w:color w:val="000000" w:themeColor="text1"/>
        </w:rPr>
        <w:t>and  text</w:t>
      </w:r>
      <w:proofErr w:type="gramEnd"/>
      <w:r w:rsidRPr="00D1512D">
        <w:rPr>
          <w:rFonts w:ascii="Times New Roman" w:hAnsi="Times New Roman" w:cs="Times New Roman"/>
          <w:color w:val="000000" w:themeColor="text1"/>
        </w:rPr>
        <w:t xml:space="preserve">-to-image </w:t>
      </w:r>
      <w:proofErr w:type="gramStart"/>
      <w:r w:rsidRPr="00D1512D">
        <w:rPr>
          <w:rFonts w:ascii="Times New Roman" w:hAnsi="Times New Roman" w:cs="Times New Roman"/>
          <w:color w:val="000000" w:themeColor="text1"/>
        </w:rPr>
        <w:t>generators  have</w:t>
      </w:r>
      <w:proofErr w:type="gramEnd"/>
      <w:r w:rsidRPr="00D1512D">
        <w:rPr>
          <w:rFonts w:ascii="Times New Roman" w:hAnsi="Times New Roman" w:cs="Times New Roman"/>
          <w:color w:val="000000" w:themeColor="text1"/>
        </w:rPr>
        <w:t xml:space="preserve">  </w:t>
      </w:r>
      <w:proofErr w:type="gramStart"/>
      <w:r w:rsidRPr="00D1512D">
        <w:rPr>
          <w:rFonts w:ascii="Times New Roman" w:hAnsi="Times New Roman" w:cs="Times New Roman"/>
          <w:color w:val="000000" w:themeColor="text1"/>
        </w:rPr>
        <w:t>been  used</w:t>
      </w:r>
      <w:proofErr w:type="gramEnd"/>
      <w:r w:rsidRPr="00D1512D">
        <w:rPr>
          <w:rFonts w:ascii="Times New Roman" w:hAnsi="Times New Roman" w:cs="Times New Roman"/>
          <w:color w:val="000000" w:themeColor="text1"/>
        </w:rPr>
        <w:t xml:space="preserve">  </w:t>
      </w:r>
      <w:proofErr w:type="gramStart"/>
      <w:r w:rsidRPr="00D1512D">
        <w:rPr>
          <w:rFonts w:ascii="Times New Roman" w:hAnsi="Times New Roman" w:cs="Times New Roman"/>
          <w:color w:val="000000" w:themeColor="text1"/>
        </w:rPr>
        <w:t>during  writing</w:t>
      </w:r>
      <w:proofErr w:type="gramEnd"/>
      <w:r w:rsidRPr="00D1512D">
        <w:rPr>
          <w:rFonts w:ascii="Times New Roman" w:hAnsi="Times New Roman" w:cs="Times New Roman"/>
          <w:color w:val="000000" w:themeColor="text1"/>
        </w:rPr>
        <w:t xml:space="preserve">  or editing of this manuscript.</w:t>
      </w:r>
    </w:p>
    <w:p w14:paraId="237E3972" w14:textId="77777777" w:rsidR="00DD4F55" w:rsidRDefault="00DD4F55" w:rsidP="006A0374">
      <w:pPr>
        <w:jc w:val="both"/>
        <w:rPr>
          <w:rFonts w:ascii="Times New Roman" w:hAnsi="Times New Roman" w:cs="Times New Roman"/>
          <w:b/>
          <w:bCs/>
          <w:color w:val="000000" w:themeColor="text1"/>
        </w:rPr>
      </w:pPr>
    </w:p>
    <w:p w14:paraId="752B654D" w14:textId="58BE9C47" w:rsidR="006A0374" w:rsidRPr="00333DFC" w:rsidRDefault="006A0374" w:rsidP="006A0374">
      <w:pPr>
        <w:jc w:val="both"/>
        <w:rPr>
          <w:rFonts w:ascii="Times New Roman" w:hAnsi="Times New Roman" w:cs="Times New Roman"/>
          <w:b/>
          <w:bCs/>
          <w:color w:val="000000" w:themeColor="text1"/>
        </w:rPr>
      </w:pPr>
      <w:r w:rsidRPr="00333DFC">
        <w:rPr>
          <w:rFonts w:ascii="Times New Roman" w:hAnsi="Times New Roman" w:cs="Times New Roman"/>
          <w:b/>
          <w:bCs/>
          <w:color w:val="000000" w:themeColor="text1"/>
        </w:rPr>
        <w:t>References</w:t>
      </w:r>
    </w:p>
    <w:p w14:paraId="1CDA42BF" w14:textId="77777777" w:rsidR="006A0374" w:rsidRPr="00333DF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Agrios, G.N., (2005) Elsevier Academic Press.</w:t>
      </w:r>
    </w:p>
    <w:p w14:paraId="7C3F51F4" w14:textId="77777777" w:rsidR="006A0374" w:rsidRPr="00333DF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Rangaswami, G., (1972) Prentice Hall of India Pvt. Ltd, 520.</w:t>
      </w:r>
    </w:p>
    <w:p w14:paraId="2438032A" w14:textId="77777777" w:rsidR="006A0374" w:rsidRPr="00333DF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lastRenderedPageBreak/>
        <w:t xml:space="preserve">Buttler, H.L., and B.H. Hunter (1972) 3rd </w:t>
      </w:r>
      <w:proofErr w:type="spellStart"/>
      <w:proofErr w:type="gramStart"/>
      <w:r w:rsidRPr="00333DFC">
        <w:rPr>
          <w:rFonts w:ascii="Times New Roman" w:hAnsi="Times New Roman" w:cs="Times New Roman"/>
          <w:color w:val="000000" w:themeColor="text1"/>
        </w:rPr>
        <w:t>Ed.Burgess</w:t>
      </w:r>
      <w:proofErr w:type="spellEnd"/>
      <w:proofErr w:type="gramEnd"/>
      <w:r w:rsidRPr="00333DFC">
        <w:rPr>
          <w:rFonts w:ascii="Times New Roman" w:hAnsi="Times New Roman" w:cs="Times New Roman"/>
          <w:color w:val="000000" w:themeColor="text1"/>
        </w:rPr>
        <w:t xml:space="preserve"> Publishing Co., </w:t>
      </w:r>
      <w:proofErr w:type="spellStart"/>
      <w:r w:rsidRPr="00333DFC">
        <w:rPr>
          <w:rFonts w:ascii="Times New Roman" w:hAnsi="Times New Roman" w:cs="Times New Roman"/>
          <w:color w:val="000000" w:themeColor="text1"/>
        </w:rPr>
        <w:t>Minneapolls</w:t>
      </w:r>
      <w:proofErr w:type="spellEnd"/>
      <w:r w:rsidRPr="00333DFC">
        <w:rPr>
          <w:rFonts w:ascii="Times New Roman" w:hAnsi="Times New Roman" w:cs="Times New Roman"/>
          <w:color w:val="000000" w:themeColor="text1"/>
        </w:rPr>
        <w:t>, 1972, pp. 208-209.</w:t>
      </w:r>
    </w:p>
    <w:p w14:paraId="13DE301D"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Punja ZK. The biology, ecology and control of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Annu. Rev. </w:t>
      </w:r>
      <w:proofErr w:type="spellStart"/>
      <w:r w:rsidRPr="00333DFC">
        <w:rPr>
          <w:rFonts w:ascii="Times New Roman" w:hAnsi="Times New Roman" w:cs="Times New Roman"/>
          <w:color w:val="000000" w:themeColor="text1"/>
        </w:rPr>
        <w:t>Phytopathol</w:t>
      </w:r>
      <w:proofErr w:type="spellEnd"/>
      <w:r w:rsidRPr="00333DFC">
        <w:rPr>
          <w:rFonts w:ascii="Times New Roman" w:hAnsi="Times New Roman" w:cs="Times New Roman"/>
          <w:color w:val="000000" w:themeColor="text1"/>
        </w:rPr>
        <w:t>., 1985,23(1): 97-127.</w:t>
      </w:r>
    </w:p>
    <w:p w14:paraId="4DE87172" w14:textId="77777777" w:rsidR="006A0374" w:rsidRPr="00333DFC" w:rsidRDefault="006A0374" w:rsidP="006A0374">
      <w:pPr>
        <w:pStyle w:val="ListParagraph"/>
        <w:numPr>
          <w:ilvl w:val="0"/>
          <w:numId w:val="1"/>
        </w:numPr>
        <w:spacing w:line="240"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Kumar, R., &amp; Thakur, N. B. </w:t>
      </w:r>
      <w:r>
        <w:rPr>
          <w:rFonts w:ascii="Times New Roman" w:hAnsi="Times New Roman" w:cs="Times New Roman"/>
          <w:color w:val="000000" w:themeColor="text1"/>
        </w:rPr>
        <w:t xml:space="preserve">(2021) </w:t>
      </w:r>
      <w:r w:rsidRPr="00333DFC">
        <w:rPr>
          <w:rFonts w:ascii="Times New Roman" w:hAnsi="Times New Roman" w:cs="Times New Roman"/>
          <w:color w:val="000000" w:themeColor="text1"/>
        </w:rPr>
        <w:t xml:space="preserve">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A soil-borne fungal menace to crop production.</w:t>
      </w:r>
      <w:r w:rsidRPr="009B5A5B">
        <w:t xml:space="preserve"> </w:t>
      </w:r>
      <w:r w:rsidRPr="009B5A5B">
        <w:rPr>
          <w:rFonts w:ascii="Times New Roman" w:hAnsi="Times New Roman" w:cs="Times New Roman"/>
          <w:color w:val="000000" w:themeColor="text1"/>
        </w:rPr>
        <w:t>International Journal of Botany Studies</w:t>
      </w:r>
      <w:r>
        <w:rPr>
          <w:rFonts w:ascii="Times New Roman" w:hAnsi="Times New Roman" w:cs="Times New Roman"/>
          <w:color w:val="000000" w:themeColor="text1"/>
        </w:rPr>
        <w:t>. 6(6):1471-1475</w:t>
      </w:r>
    </w:p>
    <w:p w14:paraId="695502FF" w14:textId="77777777" w:rsidR="006A0374" w:rsidRPr="00333DFC" w:rsidRDefault="006A0374" w:rsidP="006A0374">
      <w:pPr>
        <w:pStyle w:val="ListParagraph"/>
        <w:numPr>
          <w:ilvl w:val="0"/>
          <w:numId w:val="1"/>
        </w:numPr>
        <w:spacing w:line="240"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Adhikari, P., Shrestha, S. M., Manandhar, H. K., &amp; </w:t>
      </w:r>
      <w:proofErr w:type="spellStart"/>
      <w:r w:rsidRPr="00333DFC">
        <w:rPr>
          <w:rFonts w:ascii="Times New Roman" w:hAnsi="Times New Roman" w:cs="Times New Roman"/>
          <w:color w:val="000000" w:themeColor="text1"/>
        </w:rPr>
        <w:t>Marahatta</w:t>
      </w:r>
      <w:proofErr w:type="spellEnd"/>
      <w:r w:rsidRPr="00333DFC">
        <w:rPr>
          <w:rFonts w:ascii="Times New Roman" w:hAnsi="Times New Roman" w:cs="Times New Roman"/>
          <w:color w:val="000000" w:themeColor="text1"/>
        </w:rPr>
        <w:t xml:space="preserve">, S. (2022). Morphology and cross infectivity of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w:t>
      </w:r>
      <w:proofErr w:type="spellStart"/>
      <w:r w:rsidRPr="00333DFC">
        <w:rPr>
          <w:rFonts w:ascii="Times New Roman" w:hAnsi="Times New Roman" w:cs="Times New Roman"/>
          <w:color w:val="000000" w:themeColor="text1"/>
        </w:rPr>
        <w:t>Sacc</w:t>
      </w:r>
      <w:proofErr w:type="spellEnd"/>
      <w:r w:rsidRPr="00333DFC">
        <w:rPr>
          <w:rFonts w:ascii="Times New Roman" w:hAnsi="Times New Roman" w:cs="Times New Roman"/>
          <w:color w:val="000000" w:themeColor="text1"/>
        </w:rPr>
        <w:t>. Isolated from different host plants in Nepal. </w:t>
      </w:r>
      <w:r w:rsidRPr="00333DFC">
        <w:rPr>
          <w:rFonts w:ascii="Times New Roman" w:hAnsi="Times New Roman" w:cs="Times New Roman"/>
          <w:i/>
          <w:iCs/>
          <w:color w:val="000000" w:themeColor="text1"/>
        </w:rPr>
        <w:t>Journal of Agriculture and Environment</w:t>
      </w:r>
      <w:r w:rsidRPr="00333DFC">
        <w:rPr>
          <w:rFonts w:ascii="Times New Roman" w:hAnsi="Times New Roman" w:cs="Times New Roman"/>
          <w:color w:val="000000" w:themeColor="text1"/>
        </w:rPr>
        <w:t>, 177-187.</w:t>
      </w:r>
    </w:p>
    <w:p w14:paraId="7D60CFA4"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Mullen, J. (2001). </w:t>
      </w:r>
      <w:r w:rsidRPr="00333DFC">
        <w:rPr>
          <w:rFonts w:ascii="Times New Roman" w:hAnsi="Times New Roman" w:cs="Times New Roman"/>
          <w:i/>
          <w:iCs/>
          <w:color w:val="000000" w:themeColor="text1"/>
        </w:rPr>
        <w:t>Southern blight, southern stem blight, white mold. The plant health instructor. DOI: 10.1094</w:t>
      </w:r>
      <w:r w:rsidRPr="00333DFC">
        <w:rPr>
          <w:rFonts w:ascii="Times New Roman" w:hAnsi="Times New Roman" w:cs="Times New Roman"/>
          <w:color w:val="000000" w:themeColor="text1"/>
        </w:rPr>
        <w:t>. PHI-I-2001-0104-01.</w:t>
      </w:r>
    </w:p>
    <w:p w14:paraId="060AD313"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Khadka, B. (2024). Evaluation of Botanical Extracts for their efficacy against In-vitro growth of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International Socioeconomic Review, 2(1), 33–50.</w:t>
      </w:r>
      <w:bookmarkStart w:id="0" w:name="_Hlk193305677"/>
    </w:p>
    <w:p w14:paraId="68502331"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 </w:t>
      </w:r>
      <w:proofErr w:type="spellStart"/>
      <w:r w:rsidRPr="00333DFC">
        <w:rPr>
          <w:rFonts w:ascii="Times New Roman" w:hAnsi="Times New Roman" w:cs="Times New Roman"/>
          <w:color w:val="000000" w:themeColor="text1"/>
        </w:rPr>
        <w:t>Arunasri</w:t>
      </w:r>
      <w:bookmarkEnd w:id="0"/>
      <w:proofErr w:type="spellEnd"/>
      <w:r w:rsidRPr="00333DFC">
        <w:rPr>
          <w:rFonts w:ascii="Times New Roman" w:hAnsi="Times New Roman" w:cs="Times New Roman"/>
          <w:color w:val="000000" w:themeColor="text1"/>
        </w:rPr>
        <w:t xml:space="preserve">, P., </w:t>
      </w:r>
      <w:proofErr w:type="spellStart"/>
      <w:r w:rsidRPr="00333DFC">
        <w:rPr>
          <w:rFonts w:ascii="Times New Roman" w:hAnsi="Times New Roman" w:cs="Times New Roman"/>
          <w:color w:val="000000" w:themeColor="text1"/>
        </w:rPr>
        <w:t>Padmodaya</w:t>
      </w:r>
      <w:proofErr w:type="spellEnd"/>
      <w:r w:rsidRPr="00333DFC">
        <w:rPr>
          <w:rFonts w:ascii="Times New Roman" w:hAnsi="Times New Roman" w:cs="Times New Roman"/>
          <w:color w:val="000000" w:themeColor="text1"/>
        </w:rPr>
        <w:t xml:space="preserve">, B., Kumar, M. R., Rao, S. K., Reddy, B. R., &amp; Reddy, S. T. (2021). EVALUATION OF INTEGRATED MANAGEMENT STRATEGIES AGAINST STEM ROT OF GROUNDNUT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UNDER POT CULTURE. </w:t>
      </w:r>
      <w:r w:rsidRPr="00333DFC">
        <w:rPr>
          <w:rFonts w:ascii="Times New Roman" w:hAnsi="Times New Roman" w:cs="Times New Roman"/>
          <w:i/>
          <w:iCs/>
          <w:color w:val="000000" w:themeColor="text1"/>
        </w:rPr>
        <w:t>The Journal of Research ANGRAU</w:t>
      </w:r>
      <w:r w:rsidRPr="00333DFC">
        <w:rPr>
          <w:rFonts w:ascii="Times New Roman" w:hAnsi="Times New Roman" w:cs="Times New Roman"/>
          <w:color w:val="000000" w:themeColor="text1"/>
        </w:rPr>
        <w:t>, </w:t>
      </w:r>
      <w:r w:rsidRPr="00333DFC">
        <w:rPr>
          <w:rFonts w:ascii="Times New Roman" w:hAnsi="Times New Roman" w:cs="Times New Roman"/>
          <w:i/>
          <w:iCs/>
          <w:color w:val="000000" w:themeColor="text1"/>
        </w:rPr>
        <w:t>49</w:t>
      </w:r>
      <w:r w:rsidRPr="00333DFC">
        <w:rPr>
          <w:rFonts w:ascii="Times New Roman" w:hAnsi="Times New Roman" w:cs="Times New Roman"/>
          <w:color w:val="000000" w:themeColor="text1"/>
        </w:rPr>
        <w:t>(2), 43-54.</w:t>
      </w:r>
    </w:p>
    <w:p w14:paraId="6562FDD8"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Chen, L., Wu, Y. D., Chong, X. Y., Xin, Q. H., Wang, D. X., &amp; Bian, K. (2020). Seed-borne endophytic Bacillus </w:t>
      </w:r>
      <w:proofErr w:type="spellStart"/>
      <w:r w:rsidRPr="00333DFC">
        <w:rPr>
          <w:rFonts w:ascii="Times New Roman" w:hAnsi="Times New Roman" w:cs="Times New Roman"/>
          <w:color w:val="000000" w:themeColor="text1"/>
        </w:rPr>
        <w:t>velezensis</w:t>
      </w:r>
      <w:proofErr w:type="spellEnd"/>
      <w:r w:rsidRPr="00333DFC">
        <w:rPr>
          <w:rFonts w:ascii="Times New Roman" w:hAnsi="Times New Roman" w:cs="Times New Roman"/>
          <w:color w:val="000000" w:themeColor="text1"/>
        </w:rPr>
        <w:t xml:space="preserve"> LHSB1 mediate the biocontrol of peanut stem rot caused by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Journal of Applied Microbiology, 128(3), 803–813. </w:t>
      </w:r>
      <w:hyperlink r:id="rId15" w:history="1">
        <w:r w:rsidRPr="00333DFC">
          <w:rPr>
            <w:rStyle w:val="Hyperlink"/>
            <w:rFonts w:ascii="Times New Roman" w:hAnsi="Times New Roman" w:cs="Times New Roman"/>
            <w:color w:val="000000" w:themeColor="text1"/>
          </w:rPr>
          <w:t>https://doi.org/10.1111/jam.14508</w:t>
        </w:r>
      </w:hyperlink>
    </w:p>
    <w:p w14:paraId="21B128A7"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Yan, L., Wang, Z., Song, W. </w:t>
      </w:r>
      <w:r w:rsidRPr="00333DFC">
        <w:rPr>
          <w:rFonts w:ascii="Times New Roman" w:hAnsi="Times New Roman" w:cs="Times New Roman"/>
          <w:i/>
          <w:iCs/>
          <w:color w:val="000000" w:themeColor="text1"/>
        </w:rPr>
        <w:t>et al.</w:t>
      </w:r>
      <w:r w:rsidRPr="00333DFC">
        <w:rPr>
          <w:rFonts w:ascii="Times New Roman" w:hAnsi="Times New Roman" w:cs="Times New Roman"/>
          <w:color w:val="000000" w:themeColor="text1"/>
        </w:rPr>
        <w:t> Genome sequencing and comparative genomic analysis of highly and weakly aggressive strains of </w:t>
      </w:r>
      <w:r w:rsidRPr="00333DFC">
        <w:rPr>
          <w:rFonts w:ascii="Times New Roman" w:hAnsi="Times New Roman" w:cs="Times New Roman"/>
          <w:i/>
          <w:iCs/>
          <w:color w:val="000000" w:themeColor="text1"/>
        </w:rPr>
        <w:t xml:space="preserve">Sclerotium </w:t>
      </w:r>
      <w:proofErr w:type="spellStart"/>
      <w:r w:rsidRPr="00333DFC">
        <w:rPr>
          <w:rFonts w:ascii="Times New Roman" w:hAnsi="Times New Roman" w:cs="Times New Roman"/>
          <w:i/>
          <w:iCs/>
          <w:color w:val="000000" w:themeColor="text1"/>
        </w:rPr>
        <w:t>rolfsii</w:t>
      </w:r>
      <w:proofErr w:type="spellEnd"/>
      <w:r w:rsidRPr="00333DFC">
        <w:rPr>
          <w:rFonts w:ascii="Times New Roman" w:hAnsi="Times New Roman" w:cs="Times New Roman"/>
          <w:color w:val="000000" w:themeColor="text1"/>
        </w:rPr>
        <w:t>, the causal agent of peanut stem rot. </w:t>
      </w:r>
      <w:r w:rsidRPr="00333DFC">
        <w:rPr>
          <w:rFonts w:ascii="Times New Roman" w:hAnsi="Times New Roman" w:cs="Times New Roman"/>
          <w:i/>
          <w:iCs/>
          <w:color w:val="000000" w:themeColor="text1"/>
        </w:rPr>
        <w:t>BMC Genomics</w:t>
      </w:r>
      <w:r w:rsidRPr="00333DFC">
        <w:rPr>
          <w:rFonts w:ascii="Times New Roman" w:hAnsi="Times New Roman" w:cs="Times New Roman"/>
          <w:color w:val="000000" w:themeColor="text1"/>
        </w:rPr>
        <w:t> </w:t>
      </w:r>
      <w:r w:rsidRPr="00333DFC">
        <w:rPr>
          <w:rFonts w:ascii="Times New Roman" w:hAnsi="Times New Roman" w:cs="Times New Roman"/>
          <w:b/>
          <w:bCs/>
          <w:color w:val="000000" w:themeColor="text1"/>
        </w:rPr>
        <w:t>22</w:t>
      </w:r>
      <w:r w:rsidRPr="00333DFC">
        <w:rPr>
          <w:rFonts w:ascii="Times New Roman" w:hAnsi="Times New Roman" w:cs="Times New Roman"/>
          <w:color w:val="000000" w:themeColor="text1"/>
        </w:rPr>
        <w:t>, 276 (2021). https://doi.org/10.1186/s12864-021-07534-0</w:t>
      </w:r>
    </w:p>
    <w:p w14:paraId="247158B3"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Tabing, R., &amp; </w:t>
      </w:r>
      <w:bookmarkStart w:id="1" w:name="_Hlk193302291"/>
      <w:r w:rsidRPr="00333DFC">
        <w:rPr>
          <w:rFonts w:ascii="Times New Roman" w:hAnsi="Times New Roman" w:cs="Times New Roman"/>
          <w:color w:val="000000" w:themeColor="text1"/>
        </w:rPr>
        <w:t>Tiwari</w:t>
      </w:r>
      <w:bookmarkEnd w:id="1"/>
      <w:r w:rsidRPr="00333DFC">
        <w:rPr>
          <w:rFonts w:ascii="Times New Roman" w:hAnsi="Times New Roman" w:cs="Times New Roman"/>
          <w:color w:val="000000" w:themeColor="text1"/>
        </w:rPr>
        <w:t xml:space="preserve">, S. (2018). An eco-friendly approach for the management of collar rot of brinjal caused by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SACC. </w:t>
      </w:r>
      <w:r w:rsidRPr="00333DFC">
        <w:rPr>
          <w:rFonts w:ascii="Times New Roman" w:hAnsi="Times New Roman" w:cs="Times New Roman"/>
          <w:i/>
          <w:iCs/>
          <w:color w:val="000000" w:themeColor="text1"/>
        </w:rPr>
        <w:t>International Journal of Current Microbiology and Applied Sciences</w:t>
      </w:r>
      <w:r w:rsidRPr="00333DFC">
        <w:rPr>
          <w:rFonts w:ascii="Times New Roman" w:hAnsi="Times New Roman" w:cs="Times New Roman"/>
          <w:color w:val="000000" w:themeColor="text1"/>
        </w:rPr>
        <w:t>, </w:t>
      </w:r>
      <w:r w:rsidRPr="00333DFC">
        <w:rPr>
          <w:rFonts w:ascii="Times New Roman" w:hAnsi="Times New Roman" w:cs="Times New Roman"/>
          <w:i/>
          <w:iCs/>
          <w:color w:val="000000" w:themeColor="text1"/>
        </w:rPr>
        <w:t>7</w:t>
      </w:r>
      <w:r w:rsidRPr="00333DFC">
        <w:rPr>
          <w:rFonts w:ascii="Times New Roman" w:hAnsi="Times New Roman" w:cs="Times New Roman"/>
          <w:color w:val="000000" w:themeColor="text1"/>
        </w:rPr>
        <w:t>(12), 929-936.</w:t>
      </w:r>
    </w:p>
    <w:p w14:paraId="2B649030"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Hasan, M. M. and Meah, M. B. (2019). Anatomy and biochemical study of collar rot resistance in eggplant. International Journal of Pathogen Research,2(2): 1-13.</w:t>
      </w:r>
    </w:p>
    <w:p w14:paraId="4BFC4E04"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Zheng B, He D, Liu P, Wang R, Li B, Chen Q (2020) Occurrence of collar rot caused by Athelia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on soybean in China. Can J Plant </w:t>
      </w:r>
      <w:proofErr w:type="spellStart"/>
      <w:r w:rsidRPr="00333DFC">
        <w:rPr>
          <w:rFonts w:ascii="Times New Roman" w:hAnsi="Times New Roman" w:cs="Times New Roman"/>
          <w:color w:val="000000" w:themeColor="text1"/>
        </w:rPr>
        <w:t>Pathol</w:t>
      </w:r>
      <w:proofErr w:type="spellEnd"/>
      <w:r w:rsidRPr="00333DFC">
        <w:rPr>
          <w:rFonts w:ascii="Times New Roman" w:hAnsi="Times New Roman" w:cs="Times New Roman"/>
          <w:color w:val="000000" w:themeColor="text1"/>
        </w:rPr>
        <w:t xml:space="preserve"> 43:43-47. </w:t>
      </w:r>
      <w:hyperlink r:id="rId16" w:history="1">
        <w:r w:rsidRPr="00333DFC">
          <w:rPr>
            <w:rStyle w:val="Hyperlink"/>
            <w:rFonts w:ascii="Times New Roman" w:hAnsi="Times New Roman" w:cs="Times New Roman"/>
            <w:color w:val="000000" w:themeColor="text1"/>
          </w:rPr>
          <w:t>https://doi.org/10.1080/07060661.2019.1703819</w:t>
        </w:r>
      </w:hyperlink>
    </w:p>
    <w:p w14:paraId="2949BB5B" w14:textId="77777777" w:rsidR="006A0374" w:rsidRPr="00333DFC" w:rsidRDefault="006A0374" w:rsidP="006A0374">
      <w:pPr>
        <w:pStyle w:val="ListParagraph"/>
        <w:numPr>
          <w:ilvl w:val="0"/>
          <w:numId w:val="1"/>
        </w:numPr>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Murmu, J. J., Tiwari, S., Jennifer, G. M. J., &amp; Singh, S. (2021). Eco-Friendly Management of Sclerotium </w:t>
      </w:r>
      <w:proofErr w:type="spellStart"/>
      <w:r w:rsidRPr="00333DFC">
        <w:rPr>
          <w:rFonts w:ascii="Times New Roman" w:hAnsi="Times New Roman" w:cs="Times New Roman"/>
          <w:color w:val="000000" w:themeColor="text1"/>
        </w:rPr>
        <w:t>rolfsii</w:t>
      </w:r>
      <w:proofErr w:type="spellEnd"/>
      <w:r w:rsidRPr="00333DFC">
        <w:rPr>
          <w:rFonts w:ascii="Times New Roman" w:hAnsi="Times New Roman" w:cs="Times New Roman"/>
          <w:color w:val="000000" w:themeColor="text1"/>
        </w:rPr>
        <w:t xml:space="preserve"> Causing Collar Rot of Brinjal (Solanum melongena L.). </w:t>
      </w:r>
      <w:r w:rsidRPr="00333DFC">
        <w:rPr>
          <w:rFonts w:ascii="Times New Roman" w:hAnsi="Times New Roman" w:cs="Times New Roman"/>
          <w:i/>
          <w:iCs/>
          <w:color w:val="000000" w:themeColor="text1"/>
        </w:rPr>
        <w:t xml:space="preserve">Int. J. Curr. </w:t>
      </w:r>
      <w:proofErr w:type="spellStart"/>
      <w:r w:rsidRPr="00333DFC">
        <w:rPr>
          <w:rFonts w:ascii="Times New Roman" w:hAnsi="Times New Roman" w:cs="Times New Roman"/>
          <w:i/>
          <w:iCs/>
          <w:color w:val="000000" w:themeColor="text1"/>
        </w:rPr>
        <w:t>Microbiol</w:t>
      </w:r>
      <w:proofErr w:type="spellEnd"/>
      <w:r w:rsidRPr="00333DFC">
        <w:rPr>
          <w:rFonts w:ascii="Times New Roman" w:hAnsi="Times New Roman" w:cs="Times New Roman"/>
          <w:i/>
          <w:iCs/>
          <w:color w:val="000000" w:themeColor="text1"/>
        </w:rPr>
        <w:t>. App. Sci</w:t>
      </w:r>
      <w:r w:rsidRPr="00333DFC">
        <w:rPr>
          <w:rFonts w:ascii="Times New Roman" w:hAnsi="Times New Roman" w:cs="Times New Roman"/>
          <w:color w:val="000000" w:themeColor="text1"/>
        </w:rPr>
        <w:t>, </w:t>
      </w:r>
      <w:r w:rsidRPr="00333DFC">
        <w:rPr>
          <w:rFonts w:ascii="Times New Roman" w:hAnsi="Times New Roman" w:cs="Times New Roman"/>
          <w:i/>
          <w:iCs/>
          <w:color w:val="000000" w:themeColor="text1"/>
        </w:rPr>
        <w:t>10</w:t>
      </w:r>
      <w:r w:rsidRPr="00333DFC">
        <w:rPr>
          <w:rFonts w:ascii="Times New Roman" w:hAnsi="Times New Roman" w:cs="Times New Roman"/>
          <w:color w:val="000000" w:themeColor="text1"/>
        </w:rPr>
        <w:t>(03), 373-381.</w:t>
      </w:r>
    </w:p>
    <w:p w14:paraId="0CA56BFA" w14:textId="77777777" w:rsidR="006A0374" w:rsidRPr="00333DF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Sekhar, Y.C., S.K. Ahammed, and T.N.V.K.V.  Prasad, R.S.J. Devi (2017) </w:t>
      </w:r>
      <w:r w:rsidRPr="009B5A5B">
        <w:rPr>
          <w:rFonts w:ascii="Times New Roman" w:hAnsi="Times New Roman" w:cs="Times New Roman"/>
          <w:color w:val="000000" w:themeColor="text1"/>
        </w:rPr>
        <w:t xml:space="preserve">Morphological and pathogenic variability of Sclerotium </w:t>
      </w:r>
      <w:proofErr w:type="spellStart"/>
      <w:r w:rsidRPr="009B5A5B">
        <w:rPr>
          <w:rFonts w:ascii="Times New Roman" w:hAnsi="Times New Roman" w:cs="Times New Roman"/>
          <w:color w:val="000000" w:themeColor="text1"/>
        </w:rPr>
        <w:t>rolfsii</w:t>
      </w:r>
      <w:proofErr w:type="spellEnd"/>
      <w:r w:rsidRPr="009B5A5B">
        <w:rPr>
          <w:rFonts w:ascii="Times New Roman" w:hAnsi="Times New Roman" w:cs="Times New Roman"/>
          <w:color w:val="000000" w:themeColor="text1"/>
        </w:rPr>
        <w:t xml:space="preserve"> isolates causing stem rot in groundnut.</w:t>
      </w:r>
      <w:r>
        <w:rPr>
          <w:rFonts w:ascii="Times New Roman" w:hAnsi="Times New Roman" w:cs="Times New Roman"/>
          <w:color w:val="000000" w:themeColor="text1"/>
        </w:rPr>
        <w:t xml:space="preserve"> </w:t>
      </w:r>
      <w:r w:rsidRPr="00333DFC">
        <w:rPr>
          <w:rFonts w:ascii="Times New Roman" w:hAnsi="Times New Roman" w:cs="Times New Roman"/>
          <w:i/>
          <w:iCs/>
          <w:color w:val="000000" w:themeColor="text1"/>
        </w:rPr>
        <w:t xml:space="preserve">Int J Pure App </w:t>
      </w:r>
      <w:proofErr w:type="spellStart"/>
      <w:r w:rsidRPr="00333DFC">
        <w:rPr>
          <w:rFonts w:ascii="Times New Roman" w:hAnsi="Times New Roman" w:cs="Times New Roman"/>
          <w:i/>
          <w:iCs/>
          <w:color w:val="000000" w:themeColor="text1"/>
        </w:rPr>
        <w:t>Biosci</w:t>
      </w:r>
      <w:proofErr w:type="spellEnd"/>
      <w:r w:rsidRPr="00333DFC">
        <w:rPr>
          <w:rFonts w:ascii="Times New Roman" w:hAnsi="Times New Roman" w:cs="Times New Roman"/>
          <w:color w:val="000000" w:themeColor="text1"/>
        </w:rPr>
        <w:t>. 5(5):478-487.</w:t>
      </w:r>
    </w:p>
    <w:p w14:paraId="412C0819" w14:textId="77777777" w:rsidR="006A0374" w:rsidRPr="00333DF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333DFC">
        <w:rPr>
          <w:rFonts w:ascii="Times New Roman" w:hAnsi="Times New Roman" w:cs="Times New Roman"/>
          <w:color w:val="000000" w:themeColor="text1"/>
        </w:rPr>
        <w:t xml:space="preserve">Praveen, A., and C. Kannan (2021) </w:t>
      </w:r>
      <w:r w:rsidRPr="00E3585E">
        <w:rPr>
          <w:rFonts w:ascii="Times New Roman" w:hAnsi="Times New Roman" w:cs="Times New Roman"/>
          <w:color w:val="000000" w:themeColor="text1"/>
        </w:rPr>
        <w:t xml:space="preserve">"Disease incidence and severity of Sclerotium </w:t>
      </w:r>
      <w:proofErr w:type="spellStart"/>
      <w:r w:rsidRPr="00E3585E">
        <w:rPr>
          <w:rFonts w:ascii="Times New Roman" w:hAnsi="Times New Roman" w:cs="Times New Roman"/>
          <w:color w:val="000000" w:themeColor="text1"/>
        </w:rPr>
        <w:t>rolfsii</w:t>
      </w:r>
      <w:proofErr w:type="spellEnd"/>
      <w:r w:rsidRPr="00E3585E">
        <w:rPr>
          <w:rFonts w:ascii="Times New Roman" w:hAnsi="Times New Roman" w:cs="Times New Roman"/>
          <w:color w:val="000000" w:themeColor="text1"/>
        </w:rPr>
        <w:t xml:space="preserve"> on Arachis hypogea </w:t>
      </w:r>
      <w:proofErr w:type="spellStart"/>
      <w:r w:rsidRPr="00E3585E">
        <w:rPr>
          <w:rFonts w:ascii="Times New Roman" w:hAnsi="Times New Roman" w:cs="Times New Roman"/>
          <w:color w:val="000000" w:themeColor="text1"/>
        </w:rPr>
        <w:t>l."</w:t>
      </w:r>
      <w:r w:rsidRPr="00333DFC">
        <w:rPr>
          <w:rFonts w:ascii="Times New Roman" w:hAnsi="Times New Roman" w:cs="Times New Roman"/>
          <w:i/>
          <w:iCs/>
          <w:color w:val="000000" w:themeColor="text1"/>
        </w:rPr>
        <w:t>Plant</w:t>
      </w:r>
      <w:proofErr w:type="spellEnd"/>
      <w:r w:rsidRPr="00333DFC">
        <w:rPr>
          <w:rFonts w:ascii="Times New Roman" w:hAnsi="Times New Roman" w:cs="Times New Roman"/>
          <w:i/>
          <w:iCs/>
          <w:color w:val="000000" w:themeColor="text1"/>
        </w:rPr>
        <w:t xml:space="preserve"> Archives</w:t>
      </w:r>
      <w:r w:rsidRPr="00333DFC">
        <w:rPr>
          <w:rFonts w:ascii="Times New Roman" w:hAnsi="Times New Roman" w:cs="Times New Roman"/>
          <w:color w:val="000000" w:themeColor="text1"/>
        </w:rPr>
        <w:t>. 21(1): 344-349.</w:t>
      </w:r>
    </w:p>
    <w:p w14:paraId="513F7C5A" w14:textId="77777777" w:rsidR="006A0374"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proofErr w:type="spellStart"/>
      <w:r w:rsidRPr="00C4220C">
        <w:rPr>
          <w:rFonts w:ascii="Times New Roman" w:hAnsi="Times New Roman" w:cs="Times New Roman"/>
          <w:color w:val="000000" w:themeColor="text1"/>
        </w:rPr>
        <w:lastRenderedPageBreak/>
        <w:t>Ayyandurai</w:t>
      </w:r>
      <w:proofErr w:type="spellEnd"/>
      <w:r w:rsidRPr="00C4220C">
        <w:rPr>
          <w:rFonts w:ascii="Times New Roman" w:hAnsi="Times New Roman" w:cs="Times New Roman"/>
          <w:color w:val="000000" w:themeColor="text1"/>
        </w:rPr>
        <w:t xml:space="preserve">, M., Akila, R., Manonmani, K., &amp; Mini, M. L. (2022). Isolation and morphological characterization of Sclerotium </w:t>
      </w:r>
      <w:proofErr w:type="spellStart"/>
      <w:r w:rsidRPr="00C4220C">
        <w:rPr>
          <w:rFonts w:ascii="Times New Roman" w:hAnsi="Times New Roman" w:cs="Times New Roman"/>
          <w:color w:val="000000" w:themeColor="text1"/>
        </w:rPr>
        <w:t>rolfsii</w:t>
      </w:r>
      <w:proofErr w:type="spellEnd"/>
      <w:r w:rsidRPr="00C4220C">
        <w:rPr>
          <w:rFonts w:ascii="Times New Roman" w:hAnsi="Times New Roman" w:cs="Times New Roman"/>
          <w:color w:val="000000" w:themeColor="text1"/>
        </w:rPr>
        <w:t xml:space="preserve"> inciting stem rot disease in groundnut (Arachis hypogaea L.). </w:t>
      </w:r>
      <w:r w:rsidRPr="00C4220C">
        <w:rPr>
          <w:rFonts w:ascii="Times New Roman" w:hAnsi="Times New Roman" w:cs="Times New Roman"/>
          <w:i/>
          <w:iCs/>
          <w:color w:val="000000" w:themeColor="text1"/>
        </w:rPr>
        <w:t>Madras Agricultural Journal</w:t>
      </w:r>
      <w:r w:rsidRPr="00C4220C">
        <w:rPr>
          <w:rFonts w:ascii="Times New Roman" w:hAnsi="Times New Roman" w:cs="Times New Roman"/>
          <w:color w:val="000000" w:themeColor="text1"/>
        </w:rPr>
        <w:t>, </w:t>
      </w:r>
      <w:r w:rsidRPr="00C4220C">
        <w:rPr>
          <w:rFonts w:ascii="Times New Roman" w:hAnsi="Times New Roman" w:cs="Times New Roman"/>
          <w:i/>
          <w:iCs/>
          <w:color w:val="000000" w:themeColor="text1"/>
        </w:rPr>
        <w:t>109</w:t>
      </w:r>
      <w:r w:rsidRPr="00C4220C">
        <w:rPr>
          <w:rFonts w:ascii="Times New Roman" w:hAnsi="Times New Roman" w:cs="Times New Roman"/>
          <w:color w:val="000000" w:themeColor="text1"/>
        </w:rPr>
        <w:t xml:space="preserve">(special), </w:t>
      </w:r>
      <w:proofErr w:type="gramStart"/>
      <w:r w:rsidRPr="00C4220C">
        <w:rPr>
          <w:rFonts w:ascii="Times New Roman" w:hAnsi="Times New Roman" w:cs="Times New Roman"/>
          <w:color w:val="000000" w:themeColor="text1"/>
        </w:rPr>
        <w:t>1.Le</w:t>
      </w:r>
      <w:proofErr w:type="gramEnd"/>
      <w:r w:rsidRPr="00C4220C">
        <w:rPr>
          <w:rFonts w:ascii="Times New Roman" w:hAnsi="Times New Roman" w:cs="Times New Roman"/>
          <w:color w:val="000000" w:themeColor="text1"/>
        </w:rPr>
        <w:t xml:space="preserve">, C. N., Mendes, R., </w:t>
      </w:r>
      <w:proofErr w:type="spellStart"/>
      <w:r w:rsidRPr="00C4220C">
        <w:rPr>
          <w:rFonts w:ascii="Times New Roman" w:hAnsi="Times New Roman" w:cs="Times New Roman"/>
          <w:color w:val="000000" w:themeColor="text1"/>
        </w:rPr>
        <w:t>Kruijt</w:t>
      </w:r>
      <w:proofErr w:type="spellEnd"/>
      <w:r w:rsidRPr="00C4220C">
        <w:rPr>
          <w:rFonts w:ascii="Times New Roman" w:hAnsi="Times New Roman" w:cs="Times New Roman"/>
          <w:color w:val="000000" w:themeColor="text1"/>
        </w:rPr>
        <w:t xml:space="preserve">, M., &amp; Raaijmakers, J. M. (2012). Genetic and phenotypic diversity of Sclerotium </w:t>
      </w:r>
      <w:proofErr w:type="spellStart"/>
      <w:r w:rsidRPr="00C4220C">
        <w:rPr>
          <w:rFonts w:ascii="Times New Roman" w:hAnsi="Times New Roman" w:cs="Times New Roman"/>
          <w:color w:val="000000" w:themeColor="text1"/>
        </w:rPr>
        <w:t>rolfsii</w:t>
      </w:r>
      <w:proofErr w:type="spellEnd"/>
      <w:r w:rsidRPr="00C4220C">
        <w:rPr>
          <w:rFonts w:ascii="Times New Roman" w:hAnsi="Times New Roman" w:cs="Times New Roman"/>
          <w:color w:val="000000" w:themeColor="text1"/>
        </w:rPr>
        <w:t xml:space="preserve"> in groundnut fields in central Vietnam. </w:t>
      </w:r>
      <w:r w:rsidRPr="00C4220C">
        <w:rPr>
          <w:rFonts w:ascii="Times New Roman" w:hAnsi="Times New Roman" w:cs="Times New Roman"/>
          <w:i/>
          <w:iCs/>
          <w:color w:val="000000" w:themeColor="text1"/>
        </w:rPr>
        <w:t>Plant Disease</w:t>
      </w:r>
      <w:r w:rsidRPr="00C4220C">
        <w:rPr>
          <w:rFonts w:ascii="Times New Roman" w:hAnsi="Times New Roman" w:cs="Times New Roman"/>
          <w:color w:val="000000" w:themeColor="text1"/>
        </w:rPr>
        <w:t>, </w:t>
      </w:r>
      <w:r w:rsidRPr="00C4220C">
        <w:rPr>
          <w:rFonts w:ascii="Times New Roman" w:hAnsi="Times New Roman" w:cs="Times New Roman"/>
          <w:i/>
          <w:iCs/>
          <w:color w:val="000000" w:themeColor="text1"/>
        </w:rPr>
        <w:t>96</w:t>
      </w:r>
      <w:r w:rsidRPr="00C4220C">
        <w:rPr>
          <w:rFonts w:ascii="Times New Roman" w:hAnsi="Times New Roman" w:cs="Times New Roman"/>
          <w:color w:val="000000" w:themeColor="text1"/>
        </w:rPr>
        <w:t>(3), 389-397.</w:t>
      </w:r>
    </w:p>
    <w:p w14:paraId="0B92574C" w14:textId="77777777" w:rsidR="006A0374"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C4220C">
        <w:rPr>
          <w:rFonts w:ascii="Times New Roman" w:hAnsi="Times New Roman" w:cs="Times New Roman"/>
          <w:color w:val="000000" w:themeColor="text1"/>
        </w:rPr>
        <w:t xml:space="preserve">Adhikari, P., Shrestha, S. M., Manandhar, H. K., &amp; </w:t>
      </w:r>
      <w:proofErr w:type="spellStart"/>
      <w:r w:rsidRPr="00C4220C">
        <w:rPr>
          <w:rFonts w:ascii="Times New Roman" w:hAnsi="Times New Roman" w:cs="Times New Roman"/>
          <w:color w:val="000000" w:themeColor="text1"/>
        </w:rPr>
        <w:t>Marahatta</w:t>
      </w:r>
      <w:proofErr w:type="spellEnd"/>
      <w:r w:rsidRPr="00C4220C">
        <w:rPr>
          <w:rFonts w:ascii="Times New Roman" w:hAnsi="Times New Roman" w:cs="Times New Roman"/>
          <w:color w:val="000000" w:themeColor="text1"/>
        </w:rPr>
        <w:t xml:space="preserve">, S. (2022). Morphology and cross infectivity of Sclerotium </w:t>
      </w:r>
      <w:proofErr w:type="spellStart"/>
      <w:r w:rsidRPr="00C4220C">
        <w:rPr>
          <w:rFonts w:ascii="Times New Roman" w:hAnsi="Times New Roman" w:cs="Times New Roman"/>
          <w:color w:val="000000" w:themeColor="text1"/>
        </w:rPr>
        <w:t>rolfsii</w:t>
      </w:r>
      <w:proofErr w:type="spellEnd"/>
      <w:r w:rsidRPr="00C4220C">
        <w:rPr>
          <w:rFonts w:ascii="Times New Roman" w:hAnsi="Times New Roman" w:cs="Times New Roman"/>
          <w:color w:val="000000" w:themeColor="text1"/>
        </w:rPr>
        <w:t xml:space="preserve"> </w:t>
      </w:r>
      <w:proofErr w:type="spellStart"/>
      <w:r w:rsidRPr="00C4220C">
        <w:rPr>
          <w:rFonts w:ascii="Times New Roman" w:hAnsi="Times New Roman" w:cs="Times New Roman"/>
          <w:color w:val="000000" w:themeColor="text1"/>
        </w:rPr>
        <w:t>Sacc</w:t>
      </w:r>
      <w:proofErr w:type="spellEnd"/>
      <w:r w:rsidRPr="00C4220C">
        <w:rPr>
          <w:rFonts w:ascii="Times New Roman" w:hAnsi="Times New Roman" w:cs="Times New Roman"/>
          <w:color w:val="000000" w:themeColor="text1"/>
        </w:rPr>
        <w:t>. Isolated from different host plants in Nepal. </w:t>
      </w:r>
      <w:r w:rsidRPr="00C4220C">
        <w:rPr>
          <w:rFonts w:ascii="Times New Roman" w:hAnsi="Times New Roman" w:cs="Times New Roman"/>
          <w:i/>
          <w:iCs/>
          <w:color w:val="000000" w:themeColor="text1"/>
        </w:rPr>
        <w:t>Journal of Agriculture and Environment</w:t>
      </w:r>
      <w:r w:rsidRPr="00C4220C">
        <w:rPr>
          <w:rFonts w:ascii="Times New Roman" w:hAnsi="Times New Roman" w:cs="Times New Roman"/>
          <w:color w:val="000000" w:themeColor="text1"/>
        </w:rPr>
        <w:t>, 177-187.</w:t>
      </w:r>
    </w:p>
    <w:p w14:paraId="082BC6D8" w14:textId="77777777" w:rsidR="006A0374" w:rsidRPr="00C4220C" w:rsidRDefault="006A0374" w:rsidP="006A0374">
      <w:pPr>
        <w:pStyle w:val="ListParagraph"/>
        <w:numPr>
          <w:ilvl w:val="0"/>
          <w:numId w:val="1"/>
        </w:numPr>
        <w:spacing w:line="276" w:lineRule="auto"/>
        <w:ind w:left="426"/>
        <w:jc w:val="both"/>
        <w:rPr>
          <w:rFonts w:ascii="Times New Roman" w:hAnsi="Times New Roman" w:cs="Times New Roman"/>
          <w:color w:val="000000" w:themeColor="text1"/>
        </w:rPr>
      </w:pPr>
      <w:r w:rsidRPr="00C4220C">
        <w:rPr>
          <w:rFonts w:ascii="Times New Roman" w:hAnsi="Times New Roman" w:cs="Times New Roman"/>
          <w:color w:val="000000" w:themeColor="text1"/>
        </w:rPr>
        <w:t xml:space="preserve">Manu, T. G., Nagaraja, A., &amp; Manjunatha, S. V. (2018). Morphological and cultural variability among the Sclerotium </w:t>
      </w:r>
      <w:proofErr w:type="spellStart"/>
      <w:r w:rsidRPr="00C4220C">
        <w:rPr>
          <w:rFonts w:ascii="Times New Roman" w:hAnsi="Times New Roman" w:cs="Times New Roman"/>
          <w:color w:val="000000" w:themeColor="text1"/>
        </w:rPr>
        <w:t>rolfsii</w:t>
      </w:r>
      <w:proofErr w:type="spellEnd"/>
      <w:r w:rsidRPr="00C4220C">
        <w:rPr>
          <w:rFonts w:ascii="Times New Roman" w:hAnsi="Times New Roman" w:cs="Times New Roman"/>
          <w:color w:val="000000" w:themeColor="text1"/>
        </w:rPr>
        <w:t xml:space="preserve"> isolates. </w:t>
      </w:r>
      <w:r w:rsidRPr="00C4220C">
        <w:rPr>
          <w:rFonts w:ascii="Times New Roman" w:hAnsi="Times New Roman" w:cs="Times New Roman"/>
          <w:i/>
          <w:iCs/>
          <w:color w:val="000000" w:themeColor="text1"/>
        </w:rPr>
        <w:t>Journal of Pharmacognosy and Phytochemistry7</w:t>
      </w:r>
      <w:r w:rsidRPr="00C4220C">
        <w:rPr>
          <w:rFonts w:ascii="Times New Roman" w:hAnsi="Times New Roman" w:cs="Times New Roman"/>
          <w:color w:val="000000" w:themeColor="text1"/>
        </w:rPr>
        <w:t>, 904-907.</w:t>
      </w:r>
    </w:p>
    <w:p w14:paraId="5943BFC7" w14:textId="35E2C4FF" w:rsidR="00CB44F3" w:rsidRPr="00333DFC" w:rsidRDefault="00CB44F3" w:rsidP="00BD5849">
      <w:pPr>
        <w:jc w:val="both"/>
        <w:rPr>
          <w:rFonts w:ascii="Times New Roman" w:hAnsi="Times New Roman" w:cs="Times New Roman"/>
          <w:b/>
          <w:bCs/>
          <w:color w:val="000000" w:themeColor="text1"/>
        </w:rPr>
      </w:pPr>
    </w:p>
    <w:sectPr w:rsidR="00CB44F3" w:rsidRPr="00333DFC">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BA952" w14:textId="77777777" w:rsidR="004E632A" w:rsidRDefault="004E632A" w:rsidP="00DD4F55">
      <w:pPr>
        <w:spacing w:after="0" w:line="240" w:lineRule="auto"/>
      </w:pPr>
      <w:r>
        <w:separator/>
      </w:r>
    </w:p>
  </w:endnote>
  <w:endnote w:type="continuationSeparator" w:id="0">
    <w:p w14:paraId="6ABA931E" w14:textId="77777777" w:rsidR="004E632A" w:rsidRDefault="004E632A" w:rsidP="00DD4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285AA" w14:textId="77777777" w:rsidR="00DD4F55" w:rsidRDefault="00DD4F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FC1F" w14:textId="77777777" w:rsidR="00DD4F55" w:rsidRDefault="00DD4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E1C38" w14:textId="77777777" w:rsidR="00DD4F55" w:rsidRDefault="00DD4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F7949" w14:textId="77777777" w:rsidR="004E632A" w:rsidRDefault="004E632A" w:rsidP="00DD4F55">
      <w:pPr>
        <w:spacing w:after="0" w:line="240" w:lineRule="auto"/>
      </w:pPr>
      <w:r>
        <w:separator/>
      </w:r>
    </w:p>
  </w:footnote>
  <w:footnote w:type="continuationSeparator" w:id="0">
    <w:p w14:paraId="7C689965" w14:textId="77777777" w:rsidR="004E632A" w:rsidRDefault="004E632A" w:rsidP="00DD4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F5302" w14:textId="7048D2A3" w:rsidR="00DD4F55" w:rsidRDefault="00DD4F55">
    <w:pPr>
      <w:pStyle w:val="Header"/>
    </w:pPr>
    <w:r>
      <w:rPr>
        <w:noProof/>
      </w:rPr>
      <w:pict w14:anchorId="71DE17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4612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D81E" w14:textId="72AADFFC" w:rsidR="00DD4F55" w:rsidRDefault="00DD4F55">
    <w:pPr>
      <w:pStyle w:val="Header"/>
    </w:pPr>
    <w:r>
      <w:rPr>
        <w:noProof/>
      </w:rPr>
      <w:pict w14:anchorId="0E371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4612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FA84" w14:textId="31E480F8" w:rsidR="00DD4F55" w:rsidRDefault="00DD4F55">
    <w:pPr>
      <w:pStyle w:val="Header"/>
    </w:pPr>
    <w:r>
      <w:rPr>
        <w:noProof/>
      </w:rPr>
      <w:pict w14:anchorId="4A3D6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4612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7E0228"/>
    <w:multiLevelType w:val="hybridMultilevel"/>
    <w:tmpl w:val="96641C62"/>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B064C85"/>
    <w:multiLevelType w:val="hybridMultilevel"/>
    <w:tmpl w:val="07860212"/>
    <w:lvl w:ilvl="0" w:tplc="9AC4EB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3111062">
    <w:abstractNumId w:val="0"/>
  </w:num>
  <w:num w:numId="2" w16cid:durableId="768308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9EC"/>
    <w:rsid w:val="0001532A"/>
    <w:rsid w:val="0005226E"/>
    <w:rsid w:val="000E430C"/>
    <w:rsid w:val="00115965"/>
    <w:rsid w:val="00121349"/>
    <w:rsid w:val="00204CA4"/>
    <w:rsid w:val="00206119"/>
    <w:rsid w:val="002741D0"/>
    <w:rsid w:val="002B5EB2"/>
    <w:rsid w:val="002D2F09"/>
    <w:rsid w:val="002D7775"/>
    <w:rsid w:val="00333DFC"/>
    <w:rsid w:val="00394390"/>
    <w:rsid w:val="003D0901"/>
    <w:rsid w:val="003D78AA"/>
    <w:rsid w:val="003F2838"/>
    <w:rsid w:val="00405B53"/>
    <w:rsid w:val="00413C03"/>
    <w:rsid w:val="00415EA8"/>
    <w:rsid w:val="0043747D"/>
    <w:rsid w:val="004875E4"/>
    <w:rsid w:val="004C76FA"/>
    <w:rsid w:val="004E632A"/>
    <w:rsid w:val="00510E8A"/>
    <w:rsid w:val="006021F6"/>
    <w:rsid w:val="006204A1"/>
    <w:rsid w:val="00623DB9"/>
    <w:rsid w:val="00657FAF"/>
    <w:rsid w:val="006670E5"/>
    <w:rsid w:val="0069402C"/>
    <w:rsid w:val="006A0374"/>
    <w:rsid w:val="006D3571"/>
    <w:rsid w:val="00716442"/>
    <w:rsid w:val="0075142F"/>
    <w:rsid w:val="00796C83"/>
    <w:rsid w:val="00822C58"/>
    <w:rsid w:val="00827D3B"/>
    <w:rsid w:val="008455A5"/>
    <w:rsid w:val="00860AAA"/>
    <w:rsid w:val="0086116A"/>
    <w:rsid w:val="00915EE3"/>
    <w:rsid w:val="00931B40"/>
    <w:rsid w:val="00933200"/>
    <w:rsid w:val="00946A17"/>
    <w:rsid w:val="009668A2"/>
    <w:rsid w:val="009B5A5B"/>
    <w:rsid w:val="009C350F"/>
    <w:rsid w:val="009F4895"/>
    <w:rsid w:val="00A15743"/>
    <w:rsid w:val="00A64492"/>
    <w:rsid w:val="00AB5D1F"/>
    <w:rsid w:val="00AE29F2"/>
    <w:rsid w:val="00AF69EC"/>
    <w:rsid w:val="00B549CA"/>
    <w:rsid w:val="00BA1EB6"/>
    <w:rsid w:val="00BD5849"/>
    <w:rsid w:val="00BE361C"/>
    <w:rsid w:val="00C2216B"/>
    <w:rsid w:val="00C4220C"/>
    <w:rsid w:val="00C458BD"/>
    <w:rsid w:val="00C530D1"/>
    <w:rsid w:val="00C8636D"/>
    <w:rsid w:val="00CB05B8"/>
    <w:rsid w:val="00CB44F3"/>
    <w:rsid w:val="00CC4816"/>
    <w:rsid w:val="00CF660C"/>
    <w:rsid w:val="00D1512D"/>
    <w:rsid w:val="00D230A7"/>
    <w:rsid w:val="00D249E0"/>
    <w:rsid w:val="00D402B7"/>
    <w:rsid w:val="00DD4F55"/>
    <w:rsid w:val="00DE26E7"/>
    <w:rsid w:val="00DE2810"/>
    <w:rsid w:val="00E16308"/>
    <w:rsid w:val="00E22FCB"/>
    <w:rsid w:val="00E3585E"/>
    <w:rsid w:val="00E60FE7"/>
    <w:rsid w:val="00E74D77"/>
    <w:rsid w:val="00EA7FB7"/>
    <w:rsid w:val="00F43482"/>
    <w:rsid w:val="00F767AF"/>
    <w:rsid w:val="00FB612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BE1AB"/>
  <w15:chartTrackingRefBased/>
  <w15:docId w15:val="{10067736-EB5C-403C-80EA-06A2B424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9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69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69E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69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69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6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6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6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6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9E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69E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69E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69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69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6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6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6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69EC"/>
    <w:rPr>
      <w:rFonts w:eastAsiaTheme="majorEastAsia" w:cstheme="majorBidi"/>
      <w:color w:val="272727" w:themeColor="text1" w:themeTint="D8"/>
    </w:rPr>
  </w:style>
  <w:style w:type="paragraph" w:styleId="Title">
    <w:name w:val="Title"/>
    <w:basedOn w:val="Normal"/>
    <w:next w:val="Normal"/>
    <w:link w:val="TitleChar"/>
    <w:uiPriority w:val="10"/>
    <w:qFormat/>
    <w:rsid w:val="00AF6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6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6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6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69EC"/>
    <w:pPr>
      <w:spacing w:before="160"/>
      <w:jc w:val="center"/>
    </w:pPr>
    <w:rPr>
      <w:i/>
      <w:iCs/>
      <w:color w:val="404040" w:themeColor="text1" w:themeTint="BF"/>
    </w:rPr>
  </w:style>
  <w:style w:type="character" w:customStyle="1" w:styleId="QuoteChar">
    <w:name w:val="Quote Char"/>
    <w:basedOn w:val="DefaultParagraphFont"/>
    <w:link w:val="Quote"/>
    <w:uiPriority w:val="29"/>
    <w:rsid w:val="00AF69EC"/>
    <w:rPr>
      <w:i/>
      <w:iCs/>
      <w:color w:val="404040" w:themeColor="text1" w:themeTint="BF"/>
    </w:rPr>
  </w:style>
  <w:style w:type="paragraph" w:styleId="ListParagraph">
    <w:name w:val="List Paragraph"/>
    <w:basedOn w:val="Normal"/>
    <w:uiPriority w:val="34"/>
    <w:qFormat/>
    <w:rsid w:val="00AF69EC"/>
    <w:pPr>
      <w:ind w:left="720"/>
      <w:contextualSpacing/>
    </w:pPr>
  </w:style>
  <w:style w:type="character" w:styleId="IntenseEmphasis">
    <w:name w:val="Intense Emphasis"/>
    <w:basedOn w:val="DefaultParagraphFont"/>
    <w:uiPriority w:val="21"/>
    <w:qFormat/>
    <w:rsid w:val="00AF69EC"/>
    <w:rPr>
      <w:i/>
      <w:iCs/>
      <w:color w:val="2F5496" w:themeColor="accent1" w:themeShade="BF"/>
    </w:rPr>
  </w:style>
  <w:style w:type="paragraph" w:styleId="IntenseQuote">
    <w:name w:val="Intense Quote"/>
    <w:basedOn w:val="Normal"/>
    <w:next w:val="Normal"/>
    <w:link w:val="IntenseQuoteChar"/>
    <w:uiPriority w:val="30"/>
    <w:qFormat/>
    <w:rsid w:val="00AF69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69EC"/>
    <w:rPr>
      <w:i/>
      <w:iCs/>
      <w:color w:val="2F5496" w:themeColor="accent1" w:themeShade="BF"/>
    </w:rPr>
  </w:style>
  <w:style w:type="character" w:styleId="IntenseReference">
    <w:name w:val="Intense Reference"/>
    <w:basedOn w:val="DefaultParagraphFont"/>
    <w:uiPriority w:val="32"/>
    <w:qFormat/>
    <w:rsid w:val="00AF69EC"/>
    <w:rPr>
      <w:b/>
      <w:bCs/>
      <w:smallCaps/>
      <w:color w:val="2F5496" w:themeColor="accent1" w:themeShade="BF"/>
      <w:spacing w:val="5"/>
    </w:rPr>
  </w:style>
  <w:style w:type="character" w:styleId="Hyperlink">
    <w:name w:val="Hyperlink"/>
    <w:basedOn w:val="DefaultParagraphFont"/>
    <w:uiPriority w:val="99"/>
    <w:unhideWhenUsed/>
    <w:rsid w:val="00AF69EC"/>
    <w:rPr>
      <w:color w:val="0563C1" w:themeColor="hyperlink"/>
      <w:u w:val="single"/>
    </w:rPr>
  </w:style>
  <w:style w:type="table" w:styleId="TableGrid">
    <w:name w:val="Table Grid"/>
    <w:basedOn w:val="TableNormal"/>
    <w:uiPriority w:val="39"/>
    <w:rsid w:val="006D3571"/>
    <w:pPr>
      <w:spacing w:after="0" w:line="240" w:lineRule="auto"/>
    </w:pPr>
    <w:rPr>
      <w:sz w:val="22"/>
      <w:szCs w:val="22"/>
      <w:lang w:val="en-IN"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5EA8"/>
    <w:rPr>
      <w:rFonts w:ascii="Times New Roman" w:hAnsi="Times New Roman" w:cs="Times New Roman"/>
    </w:rPr>
  </w:style>
  <w:style w:type="character" w:styleId="UnresolvedMention">
    <w:name w:val="Unresolved Mention"/>
    <w:basedOn w:val="DefaultParagraphFont"/>
    <w:uiPriority w:val="99"/>
    <w:semiHidden/>
    <w:unhideWhenUsed/>
    <w:rsid w:val="0075142F"/>
    <w:rPr>
      <w:color w:val="605E5C"/>
      <w:shd w:val="clear" w:color="auto" w:fill="E1DFDD"/>
    </w:rPr>
  </w:style>
  <w:style w:type="paragraph" w:styleId="Header">
    <w:name w:val="header"/>
    <w:basedOn w:val="Normal"/>
    <w:link w:val="HeaderChar"/>
    <w:uiPriority w:val="99"/>
    <w:unhideWhenUsed/>
    <w:rsid w:val="00DD4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F55"/>
  </w:style>
  <w:style w:type="paragraph" w:styleId="Footer">
    <w:name w:val="footer"/>
    <w:basedOn w:val="Normal"/>
    <w:link w:val="FooterChar"/>
    <w:uiPriority w:val="99"/>
    <w:unhideWhenUsed/>
    <w:rsid w:val="00DD4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770">
      <w:bodyDiv w:val="1"/>
      <w:marLeft w:val="0"/>
      <w:marRight w:val="0"/>
      <w:marTop w:val="0"/>
      <w:marBottom w:val="0"/>
      <w:divBdr>
        <w:top w:val="none" w:sz="0" w:space="0" w:color="auto"/>
        <w:left w:val="none" w:sz="0" w:space="0" w:color="auto"/>
        <w:bottom w:val="none" w:sz="0" w:space="0" w:color="auto"/>
        <w:right w:val="none" w:sz="0" w:space="0" w:color="auto"/>
      </w:divBdr>
    </w:div>
    <w:div w:id="287589458">
      <w:bodyDiv w:val="1"/>
      <w:marLeft w:val="0"/>
      <w:marRight w:val="0"/>
      <w:marTop w:val="0"/>
      <w:marBottom w:val="0"/>
      <w:divBdr>
        <w:top w:val="none" w:sz="0" w:space="0" w:color="auto"/>
        <w:left w:val="none" w:sz="0" w:space="0" w:color="auto"/>
        <w:bottom w:val="none" w:sz="0" w:space="0" w:color="auto"/>
        <w:right w:val="none" w:sz="0" w:space="0" w:color="auto"/>
      </w:divBdr>
    </w:div>
    <w:div w:id="763189055">
      <w:bodyDiv w:val="1"/>
      <w:marLeft w:val="0"/>
      <w:marRight w:val="0"/>
      <w:marTop w:val="0"/>
      <w:marBottom w:val="0"/>
      <w:divBdr>
        <w:top w:val="none" w:sz="0" w:space="0" w:color="auto"/>
        <w:left w:val="none" w:sz="0" w:space="0" w:color="auto"/>
        <w:bottom w:val="none" w:sz="0" w:space="0" w:color="auto"/>
        <w:right w:val="none" w:sz="0" w:space="0" w:color="auto"/>
      </w:divBdr>
    </w:div>
    <w:div w:id="840777082">
      <w:bodyDiv w:val="1"/>
      <w:marLeft w:val="0"/>
      <w:marRight w:val="0"/>
      <w:marTop w:val="0"/>
      <w:marBottom w:val="0"/>
      <w:divBdr>
        <w:top w:val="none" w:sz="0" w:space="0" w:color="auto"/>
        <w:left w:val="none" w:sz="0" w:space="0" w:color="auto"/>
        <w:bottom w:val="none" w:sz="0" w:space="0" w:color="auto"/>
        <w:right w:val="none" w:sz="0" w:space="0" w:color="auto"/>
      </w:divBdr>
    </w:div>
    <w:div w:id="1027296446">
      <w:bodyDiv w:val="1"/>
      <w:marLeft w:val="0"/>
      <w:marRight w:val="0"/>
      <w:marTop w:val="0"/>
      <w:marBottom w:val="0"/>
      <w:divBdr>
        <w:top w:val="none" w:sz="0" w:space="0" w:color="auto"/>
        <w:left w:val="none" w:sz="0" w:space="0" w:color="auto"/>
        <w:bottom w:val="none" w:sz="0" w:space="0" w:color="auto"/>
        <w:right w:val="none" w:sz="0" w:space="0" w:color="auto"/>
      </w:divBdr>
    </w:div>
    <w:div w:id="1140683852">
      <w:bodyDiv w:val="1"/>
      <w:marLeft w:val="0"/>
      <w:marRight w:val="0"/>
      <w:marTop w:val="0"/>
      <w:marBottom w:val="0"/>
      <w:divBdr>
        <w:top w:val="none" w:sz="0" w:space="0" w:color="auto"/>
        <w:left w:val="none" w:sz="0" w:space="0" w:color="auto"/>
        <w:bottom w:val="none" w:sz="0" w:space="0" w:color="auto"/>
        <w:right w:val="none" w:sz="0" w:space="0" w:color="auto"/>
      </w:divBdr>
    </w:div>
    <w:div w:id="1175223498">
      <w:bodyDiv w:val="1"/>
      <w:marLeft w:val="0"/>
      <w:marRight w:val="0"/>
      <w:marTop w:val="0"/>
      <w:marBottom w:val="0"/>
      <w:divBdr>
        <w:top w:val="none" w:sz="0" w:space="0" w:color="auto"/>
        <w:left w:val="none" w:sz="0" w:space="0" w:color="auto"/>
        <w:bottom w:val="none" w:sz="0" w:space="0" w:color="auto"/>
        <w:right w:val="none" w:sz="0" w:space="0" w:color="auto"/>
      </w:divBdr>
    </w:div>
    <w:div w:id="1180896094">
      <w:bodyDiv w:val="1"/>
      <w:marLeft w:val="0"/>
      <w:marRight w:val="0"/>
      <w:marTop w:val="0"/>
      <w:marBottom w:val="0"/>
      <w:divBdr>
        <w:top w:val="none" w:sz="0" w:space="0" w:color="auto"/>
        <w:left w:val="none" w:sz="0" w:space="0" w:color="auto"/>
        <w:bottom w:val="none" w:sz="0" w:space="0" w:color="auto"/>
        <w:right w:val="none" w:sz="0" w:space="0" w:color="auto"/>
      </w:divBdr>
    </w:div>
    <w:div w:id="1228802781">
      <w:bodyDiv w:val="1"/>
      <w:marLeft w:val="0"/>
      <w:marRight w:val="0"/>
      <w:marTop w:val="0"/>
      <w:marBottom w:val="0"/>
      <w:divBdr>
        <w:top w:val="none" w:sz="0" w:space="0" w:color="auto"/>
        <w:left w:val="none" w:sz="0" w:space="0" w:color="auto"/>
        <w:bottom w:val="none" w:sz="0" w:space="0" w:color="auto"/>
        <w:right w:val="none" w:sz="0" w:space="0" w:color="auto"/>
      </w:divBdr>
    </w:div>
    <w:div w:id="1270895312">
      <w:bodyDiv w:val="1"/>
      <w:marLeft w:val="0"/>
      <w:marRight w:val="0"/>
      <w:marTop w:val="0"/>
      <w:marBottom w:val="0"/>
      <w:divBdr>
        <w:top w:val="none" w:sz="0" w:space="0" w:color="auto"/>
        <w:left w:val="none" w:sz="0" w:space="0" w:color="auto"/>
        <w:bottom w:val="none" w:sz="0" w:space="0" w:color="auto"/>
        <w:right w:val="none" w:sz="0" w:space="0" w:color="auto"/>
      </w:divBdr>
    </w:div>
    <w:div w:id="1329477153">
      <w:bodyDiv w:val="1"/>
      <w:marLeft w:val="0"/>
      <w:marRight w:val="0"/>
      <w:marTop w:val="0"/>
      <w:marBottom w:val="0"/>
      <w:divBdr>
        <w:top w:val="none" w:sz="0" w:space="0" w:color="auto"/>
        <w:left w:val="none" w:sz="0" w:space="0" w:color="auto"/>
        <w:bottom w:val="none" w:sz="0" w:space="0" w:color="auto"/>
        <w:right w:val="none" w:sz="0" w:space="0" w:color="auto"/>
      </w:divBdr>
    </w:div>
    <w:div w:id="1357658441">
      <w:bodyDiv w:val="1"/>
      <w:marLeft w:val="0"/>
      <w:marRight w:val="0"/>
      <w:marTop w:val="0"/>
      <w:marBottom w:val="0"/>
      <w:divBdr>
        <w:top w:val="none" w:sz="0" w:space="0" w:color="auto"/>
        <w:left w:val="none" w:sz="0" w:space="0" w:color="auto"/>
        <w:bottom w:val="none" w:sz="0" w:space="0" w:color="auto"/>
        <w:right w:val="none" w:sz="0" w:space="0" w:color="auto"/>
      </w:divBdr>
    </w:div>
    <w:div w:id="1478380995">
      <w:bodyDiv w:val="1"/>
      <w:marLeft w:val="0"/>
      <w:marRight w:val="0"/>
      <w:marTop w:val="0"/>
      <w:marBottom w:val="0"/>
      <w:divBdr>
        <w:top w:val="none" w:sz="0" w:space="0" w:color="auto"/>
        <w:left w:val="none" w:sz="0" w:space="0" w:color="auto"/>
        <w:bottom w:val="none" w:sz="0" w:space="0" w:color="auto"/>
        <w:right w:val="none" w:sz="0" w:space="0" w:color="auto"/>
      </w:divBdr>
    </w:div>
    <w:div w:id="1651862859">
      <w:bodyDiv w:val="1"/>
      <w:marLeft w:val="0"/>
      <w:marRight w:val="0"/>
      <w:marTop w:val="0"/>
      <w:marBottom w:val="0"/>
      <w:divBdr>
        <w:top w:val="none" w:sz="0" w:space="0" w:color="auto"/>
        <w:left w:val="none" w:sz="0" w:space="0" w:color="auto"/>
        <w:bottom w:val="none" w:sz="0" w:space="0" w:color="auto"/>
        <w:right w:val="none" w:sz="0" w:space="0" w:color="auto"/>
      </w:divBdr>
    </w:div>
    <w:div w:id="1748267568">
      <w:bodyDiv w:val="1"/>
      <w:marLeft w:val="0"/>
      <w:marRight w:val="0"/>
      <w:marTop w:val="0"/>
      <w:marBottom w:val="0"/>
      <w:divBdr>
        <w:top w:val="none" w:sz="0" w:space="0" w:color="auto"/>
        <w:left w:val="none" w:sz="0" w:space="0" w:color="auto"/>
        <w:bottom w:val="none" w:sz="0" w:space="0" w:color="auto"/>
        <w:right w:val="none" w:sz="0" w:space="0" w:color="auto"/>
      </w:divBdr>
    </w:div>
    <w:div w:id="1771319096">
      <w:bodyDiv w:val="1"/>
      <w:marLeft w:val="0"/>
      <w:marRight w:val="0"/>
      <w:marTop w:val="0"/>
      <w:marBottom w:val="0"/>
      <w:divBdr>
        <w:top w:val="none" w:sz="0" w:space="0" w:color="auto"/>
        <w:left w:val="none" w:sz="0" w:space="0" w:color="auto"/>
        <w:bottom w:val="none" w:sz="0" w:space="0" w:color="auto"/>
        <w:right w:val="none" w:sz="0" w:space="0" w:color="auto"/>
      </w:divBdr>
    </w:div>
    <w:div w:id="1812676968">
      <w:bodyDiv w:val="1"/>
      <w:marLeft w:val="0"/>
      <w:marRight w:val="0"/>
      <w:marTop w:val="0"/>
      <w:marBottom w:val="0"/>
      <w:divBdr>
        <w:top w:val="none" w:sz="0" w:space="0" w:color="auto"/>
        <w:left w:val="none" w:sz="0" w:space="0" w:color="auto"/>
        <w:bottom w:val="none" w:sz="0" w:space="0" w:color="auto"/>
        <w:right w:val="none" w:sz="0" w:space="0" w:color="auto"/>
      </w:divBdr>
    </w:div>
    <w:div w:id="1990598497">
      <w:bodyDiv w:val="1"/>
      <w:marLeft w:val="0"/>
      <w:marRight w:val="0"/>
      <w:marTop w:val="0"/>
      <w:marBottom w:val="0"/>
      <w:divBdr>
        <w:top w:val="none" w:sz="0" w:space="0" w:color="auto"/>
        <w:left w:val="none" w:sz="0" w:space="0" w:color="auto"/>
        <w:bottom w:val="none" w:sz="0" w:space="0" w:color="auto"/>
        <w:right w:val="none" w:sz="0" w:space="0" w:color="auto"/>
      </w:divBdr>
    </w:div>
    <w:div w:id="2017145542">
      <w:bodyDiv w:val="1"/>
      <w:marLeft w:val="0"/>
      <w:marRight w:val="0"/>
      <w:marTop w:val="0"/>
      <w:marBottom w:val="0"/>
      <w:divBdr>
        <w:top w:val="none" w:sz="0" w:space="0" w:color="auto"/>
        <w:left w:val="none" w:sz="0" w:space="0" w:color="auto"/>
        <w:bottom w:val="none" w:sz="0" w:space="0" w:color="auto"/>
        <w:right w:val="none" w:sz="0" w:space="0" w:color="auto"/>
      </w:divBdr>
    </w:div>
    <w:div w:id="2125072615">
      <w:bodyDiv w:val="1"/>
      <w:marLeft w:val="0"/>
      <w:marRight w:val="0"/>
      <w:marTop w:val="0"/>
      <w:marBottom w:val="0"/>
      <w:divBdr>
        <w:top w:val="none" w:sz="0" w:space="0" w:color="auto"/>
        <w:left w:val="none" w:sz="0" w:space="0" w:color="auto"/>
        <w:bottom w:val="none" w:sz="0" w:space="0" w:color="auto"/>
        <w:right w:val="none" w:sz="0" w:space="0" w:color="auto"/>
      </w:divBdr>
    </w:div>
    <w:div w:id="2125998256">
      <w:bodyDiv w:val="1"/>
      <w:marLeft w:val="0"/>
      <w:marRight w:val="0"/>
      <w:marTop w:val="0"/>
      <w:marBottom w:val="0"/>
      <w:divBdr>
        <w:top w:val="none" w:sz="0" w:space="0" w:color="auto"/>
        <w:left w:val="none" w:sz="0" w:space="0" w:color="auto"/>
        <w:bottom w:val="none" w:sz="0" w:space="0" w:color="auto"/>
        <w:right w:val="none" w:sz="0" w:space="0" w:color="auto"/>
      </w:divBdr>
    </w:div>
    <w:div w:id="213077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80/07060661.2019.170381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11/jam.14508"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F0CE6-949D-4DC2-965D-9786757F6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2435</Words>
  <Characters>13884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 C</dc:creator>
  <cp:keywords/>
  <dc:description/>
  <cp:lastModifiedBy>Editor-22</cp:lastModifiedBy>
  <cp:revision>4</cp:revision>
  <dcterms:created xsi:type="dcterms:W3CDTF">2025-05-12T06:55:00Z</dcterms:created>
  <dcterms:modified xsi:type="dcterms:W3CDTF">2025-05-12T12:46:00Z</dcterms:modified>
</cp:coreProperties>
</file>