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C691" w14:textId="77777777" w:rsidR="00215C34" w:rsidRPr="00215C34" w:rsidRDefault="00215C34" w:rsidP="00901B71">
      <w:pPr>
        <w:spacing w:before="100" w:beforeAutospacing="1" w:after="0" w:line="240" w:lineRule="auto"/>
        <w:jc w:val="right"/>
        <w:rPr>
          <w:rFonts w:ascii="Arial" w:eastAsia="Times New Roman" w:hAnsi="Arial" w:cs="Arial"/>
          <w:b/>
          <w:kern w:val="28"/>
          <w:sz w:val="36"/>
          <w:szCs w:val="20"/>
          <w:u w:val="single"/>
          <w:lang w:val="en-US"/>
        </w:rPr>
      </w:pPr>
      <w:bookmarkStart w:id="0" w:name="_GoBack"/>
      <w:bookmarkEnd w:id="0"/>
      <w:r w:rsidRPr="00215C34">
        <w:rPr>
          <w:rFonts w:ascii="Arial" w:eastAsia="Times New Roman" w:hAnsi="Arial" w:cs="Arial"/>
          <w:b/>
          <w:kern w:val="28"/>
          <w:sz w:val="36"/>
          <w:szCs w:val="20"/>
          <w:u w:val="single"/>
          <w:lang w:val="en-US"/>
        </w:rPr>
        <w:t>Review Article</w:t>
      </w:r>
    </w:p>
    <w:p w14:paraId="56DDB068" w14:textId="2D37F2AE" w:rsidR="00A94516" w:rsidRPr="006E4BBE" w:rsidRDefault="00A94516" w:rsidP="00901B71">
      <w:pPr>
        <w:spacing w:before="100" w:beforeAutospacing="1" w:after="0" w:line="240" w:lineRule="auto"/>
        <w:jc w:val="right"/>
        <w:rPr>
          <w:rFonts w:ascii="Arial" w:eastAsia="Times New Roman" w:hAnsi="Arial" w:cs="Arial"/>
          <w:b/>
          <w:kern w:val="28"/>
          <w:sz w:val="36"/>
          <w:szCs w:val="20"/>
          <w:lang w:val="en-US"/>
        </w:rPr>
      </w:pPr>
      <w:r w:rsidRPr="006E4BBE">
        <w:rPr>
          <w:rFonts w:ascii="Arial" w:eastAsia="Times New Roman" w:hAnsi="Arial" w:cs="Arial"/>
          <w:b/>
          <w:kern w:val="28"/>
          <w:sz w:val="36"/>
          <w:szCs w:val="20"/>
          <w:lang w:val="en-US"/>
        </w:rPr>
        <w:t>Advances in Rice Crop Breeding and Biotechnology: Techniques Driving Modern Rice Development</w:t>
      </w:r>
    </w:p>
    <w:p w14:paraId="11C55BE1" w14:textId="77777777" w:rsidR="00A94516" w:rsidRPr="006E4BBE" w:rsidRDefault="00A94516" w:rsidP="0034564D">
      <w:pPr>
        <w:spacing w:before="100" w:beforeAutospacing="1" w:after="100" w:afterAutospacing="1" w:line="240" w:lineRule="auto"/>
        <w:jc w:val="both"/>
        <w:rPr>
          <w:rFonts w:ascii="Arial" w:eastAsia="Times New Roman" w:hAnsi="Arial" w:cs="Arial"/>
          <w:b/>
          <w:caps/>
          <w:szCs w:val="20"/>
          <w:lang w:val="en-US"/>
        </w:rPr>
      </w:pPr>
      <w:r w:rsidRPr="006E4BBE">
        <w:rPr>
          <w:rFonts w:ascii="Arial" w:eastAsia="Times New Roman" w:hAnsi="Arial" w:cs="Arial"/>
          <w:b/>
          <w:caps/>
          <w:szCs w:val="20"/>
          <w:lang w:val="en-US"/>
        </w:rPr>
        <w:t>Abstract</w:t>
      </w:r>
    </w:p>
    <w:p w14:paraId="5B626EE6" w14:textId="77777777" w:rsidR="00A94516" w:rsidRPr="006E4BBE" w:rsidRDefault="00A94516" w:rsidP="0034564D">
      <w:pPr>
        <w:spacing w:before="100" w:beforeAutospacing="1" w:after="100" w:afterAutospacing="1" w:line="240" w:lineRule="auto"/>
        <w:jc w:val="both"/>
        <w:rPr>
          <w:rFonts w:ascii="Arial" w:eastAsia="Calibri" w:hAnsi="Arial" w:cs="Arial"/>
          <w:sz w:val="20"/>
          <w:lang w:val="en-US"/>
        </w:rPr>
      </w:pPr>
      <w:r w:rsidRPr="006E4BBE">
        <w:rPr>
          <w:rFonts w:ascii="Arial" w:eastAsia="Calibri" w:hAnsi="Arial" w:cs="Arial"/>
          <w:sz w:val="20"/>
          <w:lang w:val="en-US"/>
        </w:rPr>
        <w:t>Rice (Oryza sativa L.) is fundamental to global food security, yet traditional breeding methods face limitations in rapidly addressing challenges like climate change, pests, and increasing demand. This review synthesizes advancements in rice improvement, comparing conventional approaches with modern biotechnological tools. Traditional methods, relying on selection and hybridization, suffer from long breeding cycles, environmental dependency, and limited genetic diversity. Modern techniques, including Marker-Assisted Selection (MAS), Quantitative Trait Loci (QTL) mapping, transgenic approaches, RNA interference (RNAi), and particularly genome editing tools like CRISPR/Cas9, offer enhanced precision and efficiency. Integrating these biotechnologies with conventional breeding accelerates the development of cultivars with improved yield, stress resilience (e.g., drought, submergence tolerance), disease/pest resistance, and nutritional quality. High-throughput phenotyping and multi-omics data, combined with AI/machine learning, further expedite trait discovery and prediction. However, challenges remain, including potential off-target effects in genome editing, complex regulatory landscapes varying by region, biosafety concerns, socioeconomic barriers to adoption (especially for smallholders), and ethical considerations. Future directions emphasize sustainable agriculture through climate-resilient varieties, advanced omics integration, AI-driven breeding decisions, and novel techniques like synthetic biology and advanced genome editing (base/prime editing). Synergizing conventional wisdom with cutting-edge biotechnology is crucial for developing robust rice varieties capable of meeting future global food demands sustainably.</w:t>
      </w:r>
    </w:p>
    <w:p w14:paraId="6A45552E" w14:textId="77777777" w:rsidR="0034564D" w:rsidRPr="006E4BBE" w:rsidRDefault="0034564D" w:rsidP="0034564D">
      <w:pPr>
        <w:spacing w:before="100" w:beforeAutospacing="1" w:after="100" w:afterAutospacing="1" w:line="240" w:lineRule="auto"/>
        <w:jc w:val="both"/>
        <w:rPr>
          <w:rFonts w:ascii="Arial" w:eastAsia="Times New Roman" w:hAnsi="Arial" w:cs="Arial"/>
          <w:b/>
          <w:bCs/>
          <w:color w:val="1B1C1D"/>
          <w:sz w:val="20"/>
          <w:szCs w:val="20"/>
          <w:lang w:eastAsia="en-IN"/>
        </w:rPr>
      </w:pPr>
      <w:r w:rsidRPr="006E4BBE">
        <w:rPr>
          <w:rFonts w:ascii="Arial" w:eastAsia="Times New Roman" w:hAnsi="Arial" w:cs="Arial"/>
          <w:b/>
          <w:bCs/>
          <w:color w:val="1B1C1D"/>
          <w:sz w:val="24"/>
          <w:szCs w:val="24"/>
          <w:lang w:eastAsia="en-IN"/>
        </w:rPr>
        <w:t xml:space="preserve">Keywords: </w:t>
      </w:r>
      <w:r w:rsidR="009B67B7" w:rsidRPr="006E4BBE">
        <w:rPr>
          <w:rFonts w:ascii="Arial" w:eastAsia="Times New Roman" w:hAnsi="Arial" w:cs="Arial"/>
          <w:color w:val="1B1C1D"/>
          <w:sz w:val="20"/>
          <w:szCs w:val="20"/>
          <w:lang w:eastAsia="en-IN"/>
        </w:rPr>
        <w:t>Genetic engineering,</w:t>
      </w:r>
      <w:r w:rsidR="009B67B7" w:rsidRPr="006E4BBE">
        <w:rPr>
          <w:rFonts w:ascii="Arial" w:eastAsia="Times New Roman" w:hAnsi="Arial" w:cs="Arial"/>
          <w:b/>
          <w:bCs/>
          <w:color w:val="1B1C1D"/>
          <w:sz w:val="20"/>
          <w:szCs w:val="20"/>
          <w:lang w:eastAsia="en-IN"/>
        </w:rPr>
        <w:t xml:space="preserve"> </w:t>
      </w:r>
      <w:r w:rsidRPr="006E4BBE">
        <w:rPr>
          <w:rFonts w:ascii="Arial" w:eastAsia="Times New Roman" w:hAnsi="Arial" w:cs="Arial"/>
          <w:color w:val="1B1C1D"/>
          <w:sz w:val="20"/>
          <w:szCs w:val="20"/>
          <w:lang w:eastAsia="en-IN"/>
        </w:rPr>
        <w:t>CRISPR-Cas9, MAS, QTL,</w:t>
      </w:r>
      <w:r w:rsidRPr="006E4BBE">
        <w:rPr>
          <w:rFonts w:ascii="Arial" w:hAnsi="Arial" w:cs="Arial"/>
          <w:sz w:val="18"/>
          <w:szCs w:val="18"/>
        </w:rPr>
        <w:t xml:space="preserve"> </w:t>
      </w:r>
      <w:r w:rsidRPr="006E4BBE">
        <w:rPr>
          <w:rFonts w:ascii="Arial" w:eastAsia="Times New Roman" w:hAnsi="Arial" w:cs="Arial"/>
          <w:color w:val="1B1C1D"/>
          <w:sz w:val="20"/>
          <w:szCs w:val="20"/>
          <w:lang w:eastAsia="en-IN"/>
        </w:rPr>
        <w:t>TALENs, and ZFNs</w:t>
      </w:r>
      <w:r w:rsidR="009B67B7" w:rsidRPr="006E4BBE">
        <w:rPr>
          <w:rFonts w:ascii="Arial" w:eastAsia="Times New Roman" w:hAnsi="Arial" w:cs="Arial"/>
          <w:color w:val="1B1C1D"/>
          <w:sz w:val="20"/>
          <w:szCs w:val="20"/>
          <w:lang w:eastAsia="en-IN"/>
        </w:rPr>
        <w:t xml:space="preserve"> etc.</w:t>
      </w:r>
    </w:p>
    <w:p w14:paraId="396800C2" w14:textId="77777777" w:rsidR="005E0B04" w:rsidRDefault="005E0B04" w:rsidP="0034564D">
      <w:pPr>
        <w:spacing w:before="100" w:beforeAutospacing="1" w:after="100" w:afterAutospacing="1" w:line="240" w:lineRule="auto"/>
        <w:jc w:val="both"/>
        <w:rPr>
          <w:rFonts w:ascii="Arial" w:eastAsia="Times New Roman" w:hAnsi="Arial" w:cs="Arial"/>
          <w:b/>
          <w:bCs/>
          <w:color w:val="1B1C1D"/>
          <w:sz w:val="24"/>
          <w:szCs w:val="24"/>
          <w:lang w:eastAsia="en-IN"/>
        </w:rPr>
      </w:pPr>
    </w:p>
    <w:p w14:paraId="00E1A792" w14:textId="0B543AFF" w:rsidR="00A94516" w:rsidRPr="006E4BBE" w:rsidRDefault="00A94516" w:rsidP="0034564D">
      <w:pPr>
        <w:spacing w:before="100" w:beforeAutospacing="1" w:after="100" w:afterAutospacing="1"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lang w:eastAsia="en-IN"/>
        </w:rPr>
        <w:t xml:space="preserve">1. </w:t>
      </w:r>
      <w:r w:rsidRPr="006E4BBE">
        <w:rPr>
          <w:rFonts w:ascii="Arial" w:eastAsia="Times New Roman" w:hAnsi="Arial" w:cs="Arial"/>
          <w:b/>
          <w:caps/>
          <w:szCs w:val="20"/>
          <w:lang w:val="en-US"/>
        </w:rPr>
        <w:t>Introduction</w:t>
      </w:r>
    </w:p>
    <w:p w14:paraId="6BE6480E" w14:textId="77777777" w:rsidR="00A94516" w:rsidRPr="006E4BBE" w:rsidRDefault="00A94516" w:rsidP="0034564D">
      <w:pPr>
        <w:spacing w:before="100" w:beforeAutospacing="1" w:after="100" w:afterAutospacing="1"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 xml:space="preserve">Rice serves as the primary staple food for over half the world's population, particularly in Asia, making it critically important for nutritional security and socioeconomic stability (Khush, 2005; FAO, 2017). Its cultivation supports millions of smallholder farmers and holds deep cultural significance globally (Pandey &amp; Vel, 2014). Historically, however, rice production has been constrained by significant challenges. Traditional breeding practices, primarily based on selecting desirable traits from local landraces and employing manual hybridization, often resulted in slow improvement cycles and cultivars with narrow genetic bases. This limited genetic diversity rendered crops vulnerable to evolving pest infestations, diseases, and the stresses imposed by variable </w:t>
      </w:r>
      <w:proofErr w:type="spellStart"/>
      <w:r w:rsidRPr="006E4BBE">
        <w:rPr>
          <w:rFonts w:ascii="Arial" w:eastAsia="Times New Roman" w:hAnsi="Arial" w:cs="Arial"/>
          <w:color w:val="1B1C1D"/>
          <w:sz w:val="20"/>
          <w:szCs w:val="20"/>
          <w:lang w:eastAsia="en-IN"/>
        </w:rPr>
        <w:t>agro</w:t>
      </w:r>
      <w:proofErr w:type="spellEnd"/>
      <w:r w:rsidRPr="006E4BBE">
        <w:rPr>
          <w:rFonts w:ascii="Arial" w:eastAsia="Times New Roman" w:hAnsi="Arial" w:cs="Arial"/>
          <w:color w:val="1B1C1D"/>
          <w:sz w:val="20"/>
          <w:szCs w:val="20"/>
          <w:lang w:eastAsia="en-IN"/>
        </w:rPr>
        <w:t>-climatic conditions (</w:t>
      </w:r>
      <w:proofErr w:type="spellStart"/>
      <w:r w:rsidRPr="006E4BBE">
        <w:rPr>
          <w:rFonts w:ascii="Arial" w:eastAsia="Times New Roman" w:hAnsi="Arial" w:cs="Arial"/>
          <w:color w:val="1B1C1D"/>
          <w:sz w:val="20"/>
          <w:szCs w:val="20"/>
          <w:lang w:eastAsia="en-IN"/>
        </w:rPr>
        <w:t>Khush</w:t>
      </w:r>
      <w:proofErr w:type="spellEnd"/>
      <w:r w:rsidRPr="006E4BBE">
        <w:rPr>
          <w:rFonts w:ascii="Arial" w:eastAsia="Times New Roman" w:hAnsi="Arial" w:cs="Arial"/>
          <w:color w:val="1B1C1D"/>
          <w:sz w:val="20"/>
          <w:szCs w:val="20"/>
          <w:lang w:eastAsia="en-IN"/>
        </w:rPr>
        <w:t>, 2005; Hiei &amp; Komari, 2008; Varshney et al., 2012). These conventional approaches, while foundational, often lacked the precision and speed required to effectively combat emerging biotic and abiotic stresses, leading to yield instability and reduced capacity to adapt to environmental uncertainty (FAO, 2017).</w:t>
      </w:r>
    </w:p>
    <w:p w14:paraId="7C672DE1" w14:textId="77777777" w:rsidR="00A94516" w:rsidRPr="006E4BBE"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 xml:space="preserve">The limitations of these historical methods have </w:t>
      </w:r>
      <w:proofErr w:type="spellStart"/>
      <w:r w:rsidRPr="006E4BBE">
        <w:rPr>
          <w:rFonts w:ascii="Arial" w:eastAsia="Times New Roman" w:hAnsi="Arial" w:cs="Arial"/>
          <w:color w:val="1B1C1D"/>
          <w:sz w:val="20"/>
          <w:szCs w:val="20"/>
          <w:lang w:eastAsia="en-IN"/>
        </w:rPr>
        <w:t>catalyzed</w:t>
      </w:r>
      <w:proofErr w:type="spellEnd"/>
      <w:r w:rsidRPr="006E4BBE">
        <w:rPr>
          <w:rFonts w:ascii="Arial" w:eastAsia="Times New Roman" w:hAnsi="Arial" w:cs="Arial"/>
          <w:color w:val="1B1C1D"/>
          <w:sz w:val="20"/>
          <w:szCs w:val="20"/>
          <w:lang w:eastAsia="en-IN"/>
        </w:rPr>
        <w:t xml:space="preserve"> a paradigm shift towards modern biotechnological strategies. Improved rice breeding, integrating advanced innovations, is now pivotal for ensuring global food security, enhancing yield stability, and building resilience to climate change (Wang et al., 2020; Li et al., 2021). Techniques such as marker-assisted selection (MAS), quantitative trait loci (QTL) mapping, genomic selection, high-throughput phenotyping, and precise genome editing technologies like CRISPR/Cas9 are revolutionizing rice improvement. These tools offer precise, efficient methods for developing varieties with enhanced yield potential, superior stress tolerance (to factors like drought, salinity, and submergence), improved disease and pest resistance, and better nutritional profiles (Huang et al., 2012; Zhang et al., 2016; Kumar et al., 2022). </w:t>
      </w:r>
      <w:r w:rsidRPr="006E4BBE">
        <w:rPr>
          <w:rFonts w:ascii="Arial" w:eastAsia="Times New Roman" w:hAnsi="Arial" w:cs="Arial"/>
          <w:color w:val="1B1C1D"/>
          <w:sz w:val="20"/>
          <w:szCs w:val="20"/>
          <w:lang w:eastAsia="en-IN"/>
        </w:rPr>
        <w:lastRenderedPageBreak/>
        <w:t>Furthermore, deepening insights from rice genomics continue to uncover novel genetic determinants underpinning key agronomic traits, reinforcing the power of integrating advanced biotechnological tools with conventional breeding practices to safeguard future rice production (Singh et al., 2021; Zhang et al., 2019).</w:t>
      </w:r>
    </w:p>
    <w:p w14:paraId="1D581297" w14:textId="77777777" w:rsidR="00A94516" w:rsidRPr="006E4BBE"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The primary aim of this review is to evaluate and synthesize the evolution of rice breeding methodologies. We critically compare conventional approaches with modern biotechnological tools, focusing on their effectiveness in addressing challenges related to yield enhancement, climate change resilience, and food security. Specifically, this review seeks to: (1) outline the historical context and inherent limitations of traditional breeding practices; (2) examine the emergence and impact of modern technologies like genomic selection, high-throughput phenotyping, and CRISPR/Cas9 genome editing in accelerating rice improvement; and (3) integrate insights from recent research to propose strategies that effectively blend conventional and modern approaches for developing more robust, sustainable, and climate-resilient rice production systems (Wang et al., 2020; Li et al., 2021; Singh et al., 2021; Kumar et al., 2022; Zhang et al., 2019).</w:t>
      </w:r>
    </w:p>
    <w:p w14:paraId="56CDFC74" w14:textId="77777777" w:rsidR="00A94516" w:rsidRPr="006E4BBE"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This review is structured as follows: Following this introduction, Section 2 delves into the historical development of rice breeding and highlights the limitations of conventional methods. Section 3 details key modern biotechnological techniques transforming rice improvement. Section 4 explores the integration of conventional and modern approaches, providing case studies and a comparative analysis. Section 5 discusses the significant challenges, limitations, and regulatory aspects surrounding these technologies. Section 6 examines emerging trends and future directions, including the role of AI and new editing tools. Finally, Section 7 provides a discussion synthesizing the findings, considering broader implications, and offering concluding remarks.</w:t>
      </w:r>
    </w:p>
    <w:p w14:paraId="375AC090" w14:textId="34ED1172" w:rsidR="00A94516" w:rsidRPr="006E4BBE" w:rsidRDefault="009751CF" w:rsidP="0034564D">
      <w:pPr>
        <w:spacing w:before="100" w:beforeAutospacing="1"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 xml:space="preserve">2. </w:t>
      </w:r>
      <w:r w:rsidR="006E4BBE" w:rsidRPr="006E4BBE">
        <w:rPr>
          <w:rFonts w:ascii="Arial" w:eastAsia="Times New Roman" w:hAnsi="Arial" w:cs="Arial"/>
          <w:b/>
          <w:bCs/>
          <w:color w:val="1B1C1D"/>
          <w:bdr w:val="none" w:sz="0" w:space="0" w:color="auto" w:frame="1"/>
          <w:lang w:eastAsia="en-IN"/>
        </w:rPr>
        <w:t>METHODOLOGY</w:t>
      </w:r>
    </w:p>
    <w:p w14:paraId="2F9A26A9" w14:textId="77777777" w:rsidR="00A94516" w:rsidRPr="006E4BBE" w:rsidRDefault="00A94516" w:rsidP="00B66170">
      <w:pPr>
        <w:spacing w:after="0" w:line="240" w:lineRule="auto"/>
        <w:jc w:val="both"/>
        <w:rPr>
          <w:rFonts w:ascii="Arial" w:eastAsia="Times New Roman" w:hAnsi="Arial" w:cs="Arial"/>
          <w:b/>
          <w:bCs/>
          <w:color w:val="1B1C1D"/>
          <w:lang w:eastAsia="en-IN"/>
        </w:rPr>
      </w:pPr>
      <w:r w:rsidRPr="006E4BBE">
        <w:rPr>
          <w:rFonts w:ascii="Arial" w:eastAsia="Times New Roman" w:hAnsi="Arial" w:cs="Arial"/>
          <w:b/>
          <w:bCs/>
          <w:color w:val="1B1C1D"/>
          <w:lang w:eastAsia="en-IN"/>
        </w:rPr>
        <w:t>2.1 Literature Search Strategy</w:t>
      </w:r>
    </w:p>
    <w:p w14:paraId="47C9ECC6" w14:textId="77777777" w:rsidR="00A94516" w:rsidRPr="006E4BBE" w:rsidRDefault="00A94516" w:rsidP="00B66170">
      <w:pPr>
        <w:spacing w:after="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 xml:space="preserve">To assemble a comprehensive body of evidence on rice breeding and biotechnological innovations, a systematic literature search was conducted using multiple academic databases, including </w:t>
      </w:r>
      <w:r w:rsidR="00D6703C" w:rsidRPr="006E4BBE">
        <w:rPr>
          <w:rFonts w:ascii="Arial" w:eastAsia="Times New Roman" w:hAnsi="Arial" w:cs="Arial"/>
          <w:color w:val="1B1C1D"/>
          <w:sz w:val="20"/>
          <w:szCs w:val="20"/>
          <w:lang w:eastAsia="en-IN"/>
        </w:rPr>
        <w:t xml:space="preserve">Google scholar, </w:t>
      </w:r>
      <w:r w:rsidRPr="006E4BBE">
        <w:rPr>
          <w:rFonts w:ascii="Arial" w:eastAsia="Times New Roman" w:hAnsi="Arial" w:cs="Arial"/>
          <w:color w:val="1B1C1D"/>
          <w:sz w:val="20"/>
          <w:szCs w:val="20"/>
          <w:lang w:eastAsia="en-IN"/>
        </w:rPr>
        <w:t xml:space="preserve">PubMed, Scopus, and Web of Science. This search utilized a combination of specific keywords—such as “rice breeding,” “rice biotechnology,” “traditional breeding methods,” “genomic selection in rice,” “high-throughput phenotyping,” and “CRISPR </w:t>
      </w:r>
      <w:r w:rsidRPr="006E4BBE">
        <w:rPr>
          <w:rFonts w:ascii="Arial" w:eastAsia="Times New Roman" w:hAnsi="Arial" w:cs="Arial"/>
          <w:sz w:val="20"/>
          <w:szCs w:val="20"/>
          <w:lang w:val="en-US"/>
        </w:rPr>
        <w:t>rice</w:t>
      </w:r>
      <w:r w:rsidRPr="006E4BBE">
        <w:rPr>
          <w:rFonts w:ascii="Arial" w:eastAsia="Times New Roman" w:hAnsi="Arial" w:cs="Arial"/>
          <w:color w:val="1B1C1D"/>
          <w:sz w:val="20"/>
          <w:szCs w:val="20"/>
          <w:lang w:eastAsia="en-IN"/>
        </w:rPr>
        <w:t>”—coupled with Boolean operators (AND/OR) to refine and expand the search results.</w:t>
      </w:r>
    </w:p>
    <w:p w14:paraId="288D376E" w14:textId="77777777" w:rsidR="00A94516" w:rsidRPr="006E4BBE" w:rsidRDefault="00A94516" w:rsidP="00B66170">
      <w:pPr>
        <w:spacing w:after="0" w:line="240" w:lineRule="auto"/>
        <w:jc w:val="both"/>
        <w:rPr>
          <w:rFonts w:ascii="Arial" w:eastAsia="Times New Roman" w:hAnsi="Arial" w:cs="Arial"/>
          <w:b/>
          <w:bCs/>
          <w:color w:val="1B1C1D"/>
          <w:lang w:eastAsia="en-IN"/>
        </w:rPr>
      </w:pPr>
      <w:r w:rsidRPr="006E4BBE">
        <w:rPr>
          <w:rFonts w:ascii="Arial" w:eastAsia="Times New Roman" w:hAnsi="Arial" w:cs="Arial"/>
          <w:b/>
          <w:bCs/>
          <w:color w:val="1B1C1D"/>
          <w:lang w:eastAsia="en-IN"/>
        </w:rPr>
        <w:t>2.2 Selection Criteria</w:t>
      </w:r>
    </w:p>
    <w:p w14:paraId="4C944616" w14:textId="77777777" w:rsidR="00A94516" w:rsidRPr="006E4BBE" w:rsidRDefault="00A94516" w:rsidP="00B66170">
      <w:pPr>
        <w:spacing w:after="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The review was restricted to studies published between 2015 and 2023 to capture both seminal works and the latest advancements in the field. Only peer-reviewed articles published in English were considered. Eligible studies focused on advancements in rice breeding and biotechnology, including conventional methods, genomic selection, high-throughput phenotyping, and CRISPR/Cas9 genome editing. Research designs included empirical studies, systematic reviews, and meta-analyses providing substantial data or insights into yield constraints and stress resilience in rice. Studies were excluded if they were non-peer-reviewed, solely conference abstracts or opinion pieces, or did not directly address technological innovations or comparative assessments relevant to the review's scope. These criteria ensured the synthesis of high-quality, pertinent literature (</w:t>
      </w:r>
      <w:proofErr w:type="spellStart"/>
      <w:r w:rsidRPr="006E4BBE">
        <w:rPr>
          <w:rFonts w:ascii="Arial" w:eastAsia="Times New Roman" w:hAnsi="Arial" w:cs="Arial"/>
          <w:color w:val="1B1C1D"/>
          <w:sz w:val="20"/>
          <w:szCs w:val="20"/>
          <w:lang w:eastAsia="en-IN"/>
        </w:rPr>
        <w:t>Okoli</w:t>
      </w:r>
      <w:proofErr w:type="spellEnd"/>
      <w:r w:rsidRPr="006E4BBE">
        <w:rPr>
          <w:rFonts w:ascii="Arial" w:eastAsia="Times New Roman" w:hAnsi="Arial" w:cs="Arial"/>
          <w:color w:val="1B1C1D"/>
          <w:sz w:val="20"/>
          <w:szCs w:val="20"/>
          <w:lang w:eastAsia="en-IN"/>
        </w:rPr>
        <w:t xml:space="preserve"> &amp; </w:t>
      </w:r>
      <w:proofErr w:type="spellStart"/>
      <w:r w:rsidRPr="006E4BBE">
        <w:rPr>
          <w:rFonts w:ascii="Arial" w:eastAsia="Times New Roman" w:hAnsi="Arial" w:cs="Arial"/>
          <w:color w:val="1B1C1D"/>
          <w:sz w:val="20"/>
          <w:szCs w:val="20"/>
          <w:lang w:eastAsia="en-IN"/>
        </w:rPr>
        <w:t>Schabram</w:t>
      </w:r>
      <w:proofErr w:type="spellEnd"/>
      <w:r w:rsidRPr="006E4BBE">
        <w:rPr>
          <w:rFonts w:ascii="Arial" w:eastAsia="Times New Roman" w:hAnsi="Arial" w:cs="Arial"/>
          <w:color w:val="1B1C1D"/>
          <w:sz w:val="20"/>
          <w:szCs w:val="20"/>
          <w:lang w:eastAsia="en-IN"/>
        </w:rPr>
        <w:t xml:space="preserve">, 2010; </w:t>
      </w:r>
      <w:proofErr w:type="spellStart"/>
      <w:r w:rsidRPr="006E4BBE">
        <w:rPr>
          <w:rFonts w:ascii="Arial" w:eastAsia="Times New Roman" w:hAnsi="Arial" w:cs="Arial"/>
          <w:color w:val="1B1C1D"/>
          <w:sz w:val="20"/>
          <w:szCs w:val="20"/>
          <w:lang w:eastAsia="en-IN"/>
        </w:rPr>
        <w:t>Pautasso</w:t>
      </w:r>
      <w:proofErr w:type="spellEnd"/>
      <w:r w:rsidRPr="006E4BBE">
        <w:rPr>
          <w:rFonts w:ascii="Arial" w:eastAsia="Times New Roman" w:hAnsi="Arial" w:cs="Arial"/>
          <w:color w:val="1B1C1D"/>
          <w:sz w:val="20"/>
          <w:szCs w:val="20"/>
          <w:lang w:eastAsia="en-IN"/>
        </w:rPr>
        <w:t>, 2013).</w:t>
      </w:r>
    </w:p>
    <w:p w14:paraId="6F518CA3" w14:textId="77777777" w:rsidR="00A94516" w:rsidRPr="006E4BBE" w:rsidRDefault="00A94516" w:rsidP="00B66170">
      <w:pPr>
        <w:spacing w:after="0" w:line="240" w:lineRule="auto"/>
        <w:jc w:val="both"/>
        <w:rPr>
          <w:rFonts w:ascii="Arial" w:eastAsia="Times New Roman" w:hAnsi="Arial" w:cs="Arial"/>
          <w:b/>
          <w:bCs/>
          <w:color w:val="1B1C1D"/>
          <w:lang w:eastAsia="en-IN"/>
        </w:rPr>
      </w:pPr>
      <w:r w:rsidRPr="006E4BBE">
        <w:rPr>
          <w:rFonts w:ascii="Arial" w:eastAsia="Times New Roman" w:hAnsi="Arial" w:cs="Arial"/>
          <w:b/>
          <w:bCs/>
          <w:color w:val="1B1C1D"/>
          <w:lang w:eastAsia="en-IN"/>
        </w:rPr>
        <w:t>2.3 Data Synthesis</w:t>
      </w:r>
    </w:p>
    <w:p w14:paraId="268D3078" w14:textId="77777777" w:rsidR="00A94516" w:rsidRPr="00B66170" w:rsidRDefault="00A94516" w:rsidP="00B66170">
      <w:pPr>
        <w:spacing w:after="100" w:afterAutospacing="1"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 xml:space="preserve">The data synthesis approach involved systematically extracting key findings and organizing the literature into thematic clusters (e.g., yield improvement, stress resilience, integration of methods) to facilitate a coherent narrative synthesis (Booth et al., 2016). This enabled a comparative analysis highlighting common trends and critical differences between traditional techniques and modern biotechnological innovations (Gough et al., 2017). Qualitative insights were aggregated and </w:t>
      </w:r>
      <w:proofErr w:type="spellStart"/>
      <w:r w:rsidRPr="00B66170">
        <w:rPr>
          <w:rFonts w:ascii="Arial" w:eastAsia="Times New Roman" w:hAnsi="Arial" w:cs="Arial"/>
          <w:color w:val="1B1C1D"/>
          <w:sz w:val="20"/>
          <w:szCs w:val="20"/>
          <w:lang w:eastAsia="en-IN"/>
        </w:rPr>
        <w:t>analyzed</w:t>
      </w:r>
      <w:proofErr w:type="spellEnd"/>
      <w:r w:rsidRPr="00B66170">
        <w:rPr>
          <w:rFonts w:ascii="Arial" w:eastAsia="Times New Roman" w:hAnsi="Arial" w:cs="Arial"/>
          <w:color w:val="1B1C1D"/>
          <w:sz w:val="20"/>
          <w:szCs w:val="20"/>
          <w:lang w:eastAsia="en-IN"/>
        </w:rPr>
        <w:t xml:space="preserve"> following established guidelines for systematic reviews to ensure rigor and transparency (Munn et al., 2020).</w:t>
      </w:r>
    </w:p>
    <w:p w14:paraId="11892AC3" w14:textId="2BEE99DB" w:rsidR="00A94516" w:rsidRPr="006E4BBE" w:rsidRDefault="00A94516" w:rsidP="00B66170">
      <w:pPr>
        <w:spacing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 xml:space="preserve">3. </w:t>
      </w:r>
      <w:r w:rsidR="00B66170" w:rsidRPr="006E4BBE">
        <w:rPr>
          <w:rFonts w:ascii="Arial" w:eastAsia="Times New Roman" w:hAnsi="Arial" w:cs="Arial"/>
          <w:b/>
          <w:bCs/>
          <w:color w:val="1B1C1D"/>
          <w:sz w:val="24"/>
          <w:szCs w:val="24"/>
          <w:bdr w:val="none" w:sz="0" w:space="0" w:color="auto" w:frame="1"/>
          <w:lang w:eastAsia="en-IN"/>
        </w:rPr>
        <w:t>HISTORICAL CONTEXT AND LIMITATIONS OF CONVENTIONAL RICE BREEDING</w:t>
      </w:r>
    </w:p>
    <w:p w14:paraId="563A3309"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Rice crop breeding has undergone a significant transformation. Early conventional methods, while crucial for domestication, faced inherent limitations that modern techniques now aim to overcome.</w:t>
      </w:r>
    </w:p>
    <w:p w14:paraId="11C4C2F4" w14:textId="77777777" w:rsidR="00A94516" w:rsidRPr="00B66170" w:rsidRDefault="00A94516" w:rsidP="00B66170">
      <w:pPr>
        <w:spacing w:before="100" w:beforeAutospacing="1"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lastRenderedPageBreak/>
        <w:t>3.1 Traditional Breeding Methods and Milestones</w:t>
      </w:r>
    </w:p>
    <w:p w14:paraId="4477C695" w14:textId="77777777" w:rsidR="00A94516" w:rsidRPr="00B66170" w:rsidRDefault="00A94516" w:rsidP="00B66170">
      <w:pPr>
        <w:spacing w:before="100" w:beforeAutospacing="1" w:after="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4"/>
          <w:szCs w:val="24"/>
          <w:lang w:eastAsia="en-IN"/>
        </w:rPr>
        <w:t>T</w:t>
      </w:r>
      <w:r w:rsidRPr="00B66170">
        <w:rPr>
          <w:rFonts w:ascii="Arial" w:eastAsia="Times New Roman" w:hAnsi="Arial" w:cs="Arial"/>
          <w:color w:val="1B1C1D"/>
          <w:sz w:val="20"/>
          <w:szCs w:val="20"/>
          <w:lang w:eastAsia="en-IN"/>
        </w:rPr>
        <w:t xml:space="preserve">raditional rice breeding is rooted in centuries-old practices of artificial selection from local landraces. Early cultivators selected plants exhibiting </w:t>
      </w:r>
      <w:proofErr w:type="spellStart"/>
      <w:r w:rsidRPr="00B66170">
        <w:rPr>
          <w:rFonts w:ascii="Arial" w:eastAsia="Times New Roman" w:hAnsi="Arial" w:cs="Arial"/>
          <w:color w:val="1B1C1D"/>
          <w:sz w:val="20"/>
          <w:szCs w:val="20"/>
          <w:lang w:eastAsia="en-IN"/>
        </w:rPr>
        <w:t>favorable</w:t>
      </w:r>
      <w:proofErr w:type="spellEnd"/>
      <w:r w:rsidRPr="00B66170">
        <w:rPr>
          <w:rFonts w:ascii="Arial" w:eastAsia="Times New Roman" w:hAnsi="Arial" w:cs="Arial"/>
          <w:color w:val="1B1C1D"/>
          <w:sz w:val="20"/>
          <w:szCs w:val="20"/>
          <w:lang w:eastAsia="en-IN"/>
        </w:rPr>
        <w:t xml:space="preserve"> traits like grain quality, yield, and adaptation to specific regional conditions (Xie et al., 2021). While effective in generating locally adapted varieties, these empirical methods often limited the available genetic diversity, constraining the introduction of novel traits needed to combat evolving stresses (Li et al., 2021).</w:t>
      </w:r>
    </w:p>
    <w:p w14:paraId="420A27F5" w14:textId="77777777" w:rsidR="00A94516" w:rsidRPr="00B66170"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 xml:space="preserve">Key milestones mark the evolution of conventional breeding. The development of hybrid rice technology in the mid-20th century exploited heterosis (hybrid </w:t>
      </w:r>
      <w:proofErr w:type="spellStart"/>
      <w:r w:rsidRPr="00B66170">
        <w:rPr>
          <w:rFonts w:ascii="Arial" w:eastAsia="Times New Roman" w:hAnsi="Arial" w:cs="Arial"/>
          <w:color w:val="1B1C1D"/>
          <w:sz w:val="20"/>
          <w:szCs w:val="20"/>
          <w:lang w:eastAsia="en-IN"/>
        </w:rPr>
        <w:t>vigor</w:t>
      </w:r>
      <w:proofErr w:type="spellEnd"/>
      <w:r w:rsidRPr="00B66170">
        <w:rPr>
          <w:rFonts w:ascii="Arial" w:eastAsia="Times New Roman" w:hAnsi="Arial" w:cs="Arial"/>
          <w:color w:val="1B1C1D"/>
          <w:sz w:val="20"/>
          <w:szCs w:val="20"/>
          <w:lang w:eastAsia="en-IN"/>
        </w:rPr>
        <w:t>) to dramatically boost yields and enhance resistance (Sharma et al., 2022). Mutation breeding, using physical or chemical mutagens to induce genetic variation, also expanded the genetic base, enabling the development of cultivars with improved traits (Verma et al., 2021). These advancements represented a shift towards more systematic, science-based breeding strategies, paving the way for modern biotechnology.</w:t>
      </w:r>
    </w:p>
    <w:p w14:paraId="1AABB613" w14:textId="77777777" w:rsidR="00A94516" w:rsidRPr="00B66170" w:rsidRDefault="00A94516" w:rsidP="0034564D">
      <w:pPr>
        <w:spacing w:before="100" w:beforeAutospacing="1" w:after="100" w:afterAutospacing="1"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t>3.2 Limitations of Conventional Approaches</w:t>
      </w:r>
    </w:p>
    <w:p w14:paraId="4874C919" w14:textId="77777777" w:rsidR="00A94516" w:rsidRPr="00B66170" w:rsidRDefault="00A94516" w:rsidP="0034564D">
      <w:pPr>
        <w:spacing w:before="100" w:beforeAutospacing="1" w:after="100" w:afterAutospacing="1"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Despite these milestones, conventional techniques face significant challenges:</w:t>
      </w:r>
    </w:p>
    <w:p w14:paraId="61EDA7FF" w14:textId="77777777" w:rsidR="00B66170" w:rsidRPr="00B66170" w:rsidRDefault="00B66170" w:rsidP="0034564D">
      <w:pPr>
        <w:numPr>
          <w:ilvl w:val="0"/>
          <w:numId w:val="1"/>
        </w:numPr>
        <w:spacing w:before="100" w:beforeAutospacing="1" w:after="0" w:line="240" w:lineRule="auto"/>
        <w:ind w:left="0"/>
        <w:jc w:val="both"/>
        <w:rPr>
          <w:rFonts w:ascii="Arial" w:eastAsia="Times New Roman" w:hAnsi="Arial" w:cs="Arial"/>
          <w:color w:val="1B1C1D"/>
          <w:lang w:eastAsia="en-IN"/>
        </w:rPr>
      </w:pPr>
      <w:r w:rsidRPr="00B66170">
        <w:rPr>
          <w:rFonts w:ascii="Arial" w:eastAsia="Times New Roman" w:hAnsi="Arial" w:cs="Arial"/>
          <w:b/>
          <w:bCs/>
          <w:color w:val="1B1C1D"/>
          <w:bdr w:val="none" w:sz="0" w:space="0" w:color="auto" w:frame="1"/>
          <w:lang w:eastAsia="en-IN"/>
        </w:rPr>
        <w:t xml:space="preserve">3.2.1 </w:t>
      </w:r>
      <w:r w:rsidR="00A94516" w:rsidRPr="00B66170">
        <w:rPr>
          <w:rFonts w:ascii="Arial" w:eastAsia="Times New Roman" w:hAnsi="Arial" w:cs="Arial"/>
          <w:b/>
          <w:bCs/>
          <w:color w:val="1B1C1D"/>
          <w:bdr w:val="none" w:sz="0" w:space="0" w:color="auto" w:frame="1"/>
          <w:lang w:eastAsia="en-IN"/>
        </w:rPr>
        <w:t>Time-Consuming Breeding Cycles:</w:t>
      </w:r>
      <w:r w:rsidR="00A94516" w:rsidRPr="00B66170">
        <w:rPr>
          <w:rFonts w:ascii="Arial" w:eastAsia="Times New Roman" w:hAnsi="Arial" w:cs="Arial"/>
          <w:color w:val="1B1C1D"/>
          <w:lang w:eastAsia="en-IN"/>
        </w:rPr>
        <w:t xml:space="preserve"> </w:t>
      </w:r>
    </w:p>
    <w:p w14:paraId="4353A7E3" w14:textId="794EDFD3"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Traditional selection and hybridization require multiple generations (often 8-12 years) to stabilize desired traits, hindering rapid responses to emerging threats like new diseases or climate shifts (Peng et al., 2008).</w:t>
      </w:r>
    </w:p>
    <w:p w14:paraId="17AEC5C6" w14:textId="77777777" w:rsidR="00B66170" w:rsidRPr="00B66170" w:rsidRDefault="00B66170" w:rsidP="0034564D">
      <w:pPr>
        <w:numPr>
          <w:ilvl w:val="0"/>
          <w:numId w:val="1"/>
        </w:numPr>
        <w:spacing w:before="100" w:beforeAutospacing="1" w:after="0" w:line="240" w:lineRule="auto"/>
        <w:ind w:left="0"/>
        <w:jc w:val="both"/>
        <w:rPr>
          <w:rFonts w:ascii="Arial" w:eastAsia="Times New Roman" w:hAnsi="Arial" w:cs="Arial"/>
          <w:color w:val="1B1C1D"/>
          <w:lang w:eastAsia="en-IN"/>
        </w:rPr>
      </w:pPr>
      <w:r w:rsidRPr="00B66170">
        <w:rPr>
          <w:rFonts w:ascii="Arial" w:eastAsia="Times New Roman" w:hAnsi="Arial" w:cs="Arial"/>
          <w:b/>
          <w:bCs/>
          <w:color w:val="1B1C1D"/>
          <w:bdr w:val="none" w:sz="0" w:space="0" w:color="auto" w:frame="1"/>
          <w:lang w:eastAsia="en-IN"/>
        </w:rPr>
        <w:t xml:space="preserve">3.2.2 </w:t>
      </w:r>
      <w:r w:rsidR="00A94516" w:rsidRPr="00B66170">
        <w:rPr>
          <w:rFonts w:ascii="Arial" w:eastAsia="Times New Roman" w:hAnsi="Arial" w:cs="Arial"/>
          <w:b/>
          <w:bCs/>
          <w:color w:val="1B1C1D"/>
          <w:bdr w:val="none" w:sz="0" w:space="0" w:color="auto" w:frame="1"/>
          <w:lang w:eastAsia="en-IN"/>
        </w:rPr>
        <w:t>Environmental Dependency:</w:t>
      </w:r>
      <w:r w:rsidR="00A94516" w:rsidRPr="00B66170">
        <w:rPr>
          <w:rFonts w:ascii="Arial" w:eastAsia="Times New Roman" w:hAnsi="Arial" w:cs="Arial"/>
          <w:color w:val="1B1C1D"/>
          <w:lang w:eastAsia="en-IN"/>
        </w:rPr>
        <w:t xml:space="preserve"> </w:t>
      </w:r>
    </w:p>
    <w:p w14:paraId="7B5C8734" w14:textId="145EE61E"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Field-based selection is heavily influenced by environmental conditions. Traits selected in one environment may not perform well under different stresses or locations (Khush, 2001).</w:t>
      </w:r>
    </w:p>
    <w:p w14:paraId="27BBCAA1" w14:textId="77777777"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Limited Genetic Variation:</w:t>
      </w:r>
      <w:r w:rsidRPr="00B66170">
        <w:rPr>
          <w:rFonts w:ascii="Arial" w:eastAsia="Times New Roman" w:hAnsi="Arial" w:cs="Arial"/>
          <w:color w:val="1B1C1D"/>
          <w:sz w:val="20"/>
          <w:szCs w:val="20"/>
          <w:lang w:eastAsia="en-IN"/>
        </w:rPr>
        <w:t xml:space="preserve"> Reliance on existing gene pools and natural mutations restricts the introduction of novel traits, especially for complex challenges like abiotic stress tolerance or enhanced nutrient efficiency (Fischer et al., 2012).</w:t>
      </w:r>
    </w:p>
    <w:p w14:paraId="6A595C53" w14:textId="77777777"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Difficulty with Complex Traits:</w:t>
      </w:r>
      <w:r w:rsidRPr="00B66170">
        <w:rPr>
          <w:rFonts w:ascii="Arial" w:eastAsia="Times New Roman" w:hAnsi="Arial" w:cs="Arial"/>
          <w:color w:val="1B1C1D"/>
          <w:sz w:val="20"/>
          <w:szCs w:val="20"/>
          <w:lang w:eastAsia="en-IN"/>
        </w:rPr>
        <w:t xml:space="preserve"> Traits controlled by multiple genes (polygenic traits) are hard to manage precisely with conventional methods, often leading to trade-offs where improving one trait negatively affects another (Collard &amp; Mackill, 2008).</w:t>
      </w:r>
    </w:p>
    <w:p w14:paraId="0137D431" w14:textId="77777777"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Vulnerability to Emerging Challenges:</w:t>
      </w:r>
      <w:r w:rsidRPr="00B66170">
        <w:rPr>
          <w:rFonts w:ascii="Arial" w:eastAsia="Times New Roman" w:hAnsi="Arial" w:cs="Arial"/>
          <w:color w:val="1B1C1D"/>
          <w:sz w:val="20"/>
          <w:szCs w:val="20"/>
          <w:lang w:eastAsia="en-IN"/>
        </w:rPr>
        <w:t xml:space="preserve"> The slow pace of conventional breeding struggles to keep pace with rapid changes in climate patterns and pest/disease dynamics, posing risks to long-term food security (Jones et al., 2011).</w:t>
      </w:r>
    </w:p>
    <w:p w14:paraId="55D40ED3" w14:textId="4C75E771" w:rsidR="00A94516" w:rsidRPr="00B66170" w:rsidRDefault="00A94516" w:rsidP="00B66170">
      <w:pPr>
        <w:spacing w:after="0" w:line="240" w:lineRule="auto"/>
        <w:jc w:val="both"/>
        <w:rPr>
          <w:rFonts w:ascii="Arial" w:eastAsia="Times New Roman" w:hAnsi="Arial" w:cs="Arial"/>
          <w:b/>
          <w:bCs/>
          <w:color w:val="1B1C1D"/>
          <w:sz w:val="20"/>
          <w:szCs w:val="20"/>
          <w:lang w:eastAsia="en-IN"/>
        </w:rPr>
      </w:pPr>
      <w:r w:rsidRPr="00B66170">
        <w:rPr>
          <w:rFonts w:ascii="Arial" w:eastAsia="Times New Roman" w:hAnsi="Arial" w:cs="Arial"/>
          <w:b/>
          <w:bCs/>
          <w:color w:val="1B1C1D"/>
          <w:sz w:val="24"/>
          <w:szCs w:val="24"/>
          <w:bdr w:val="none" w:sz="0" w:space="0" w:color="auto" w:frame="1"/>
          <w:lang w:eastAsia="en-IN"/>
        </w:rPr>
        <w:t xml:space="preserve">4. </w:t>
      </w:r>
      <w:r w:rsidR="00B66170" w:rsidRPr="00B66170">
        <w:rPr>
          <w:rFonts w:ascii="Arial" w:eastAsia="Times New Roman" w:hAnsi="Arial" w:cs="Arial"/>
          <w:b/>
          <w:bCs/>
          <w:color w:val="1B1C1D"/>
          <w:sz w:val="24"/>
          <w:szCs w:val="24"/>
          <w:bdr w:val="none" w:sz="0" w:space="0" w:color="auto" w:frame="1"/>
          <w:lang w:eastAsia="en-IN"/>
        </w:rPr>
        <w:t>MODERN BIOTECHNOLOGICAL TECHNIQUES IN RICE BREEDING</w:t>
      </w:r>
    </w:p>
    <w:p w14:paraId="4349A93E"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Contemporary approaches integrate advanced molecular tools to overcome the limitations of conventional methods, enabling faster, more precise genetic improvement.</w:t>
      </w:r>
    </w:p>
    <w:p w14:paraId="7BEE86BD" w14:textId="77777777" w:rsidR="00A94516" w:rsidRPr="006E4BBE" w:rsidRDefault="00A94516" w:rsidP="00B66170">
      <w:pPr>
        <w:pStyle w:val="ListParagraph"/>
        <w:numPr>
          <w:ilvl w:val="1"/>
          <w:numId w:val="16"/>
        </w:numPr>
        <w:spacing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Molecular Breeding Techniques</w:t>
      </w:r>
    </w:p>
    <w:p w14:paraId="08B3EAFD" w14:textId="77777777" w:rsidR="00A94516" w:rsidRPr="006E4BBE" w:rsidRDefault="00CB1089" w:rsidP="00B66170">
      <w:pPr>
        <w:spacing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 xml:space="preserve">4.1.1 </w:t>
      </w:r>
      <w:r w:rsidR="00A94516" w:rsidRPr="006E4BBE">
        <w:rPr>
          <w:rFonts w:ascii="Arial" w:eastAsia="Times New Roman" w:hAnsi="Arial" w:cs="Arial"/>
          <w:b/>
          <w:bCs/>
          <w:color w:val="1B1C1D"/>
          <w:sz w:val="24"/>
          <w:szCs w:val="24"/>
          <w:bdr w:val="none" w:sz="0" w:space="0" w:color="auto" w:frame="1"/>
          <w:lang w:eastAsia="en-IN"/>
        </w:rPr>
        <w:t>Marker-Assisted Selection (MAS)</w:t>
      </w:r>
    </w:p>
    <w:p w14:paraId="794A95CB" w14:textId="77777777" w:rsidR="00A94516" w:rsidRPr="00B66170" w:rsidRDefault="00A94516" w:rsidP="00B66170">
      <w:pPr>
        <w:pStyle w:val="NormalWeb"/>
        <w:spacing w:before="0" w:beforeAutospacing="0" w:after="0" w:afterAutospacing="0"/>
        <w:ind w:firstLine="720"/>
        <w:rPr>
          <w:rFonts w:ascii="Arial" w:hAnsi="Arial" w:cs="Arial"/>
          <w:sz w:val="20"/>
          <w:szCs w:val="20"/>
        </w:rPr>
      </w:pPr>
      <w:r w:rsidRPr="00B66170">
        <w:rPr>
          <w:rFonts w:ascii="Arial" w:hAnsi="Arial" w:cs="Arial"/>
          <w:color w:val="1B1C1D"/>
          <w:sz w:val="20"/>
          <w:szCs w:val="20"/>
          <w:bdr w:val="none" w:sz="0" w:space="0" w:color="auto" w:frame="1"/>
        </w:rPr>
        <w:t>Definition:</w:t>
      </w:r>
      <w:r w:rsidRPr="00B66170">
        <w:rPr>
          <w:rFonts w:ascii="Arial" w:hAnsi="Arial" w:cs="Arial"/>
          <w:color w:val="1B1C1D"/>
          <w:sz w:val="20"/>
          <w:szCs w:val="20"/>
        </w:rPr>
        <w:t xml:space="preserve"> MAS uses DNA markers linked to specific genes</w:t>
      </w:r>
      <w:r w:rsidR="000643BE" w:rsidRPr="00B66170">
        <w:rPr>
          <w:rFonts w:ascii="Arial" w:hAnsi="Arial" w:cs="Arial"/>
          <w:color w:val="1B1C1D"/>
          <w:sz w:val="20"/>
          <w:szCs w:val="20"/>
        </w:rPr>
        <w:t xml:space="preserve"> </w:t>
      </w:r>
      <w:r w:rsidR="000643BE" w:rsidRPr="00B66170">
        <w:rPr>
          <w:rFonts w:ascii="Arial" w:hAnsi="Arial" w:cs="Arial"/>
          <w:sz w:val="20"/>
          <w:szCs w:val="20"/>
        </w:rPr>
        <w:t xml:space="preserve">(Nadeem et al., 2017) </w:t>
      </w:r>
      <w:r w:rsidRPr="00B66170">
        <w:rPr>
          <w:rFonts w:ascii="Arial" w:hAnsi="Arial" w:cs="Arial"/>
          <w:color w:val="1B1C1D"/>
          <w:sz w:val="20"/>
          <w:szCs w:val="20"/>
        </w:rPr>
        <w:t xml:space="preserve">or QTLs controlling desirable traits. This allows breeders to identify and select </w:t>
      </w:r>
      <w:proofErr w:type="spellStart"/>
      <w:r w:rsidRPr="00B66170">
        <w:rPr>
          <w:rFonts w:ascii="Arial" w:hAnsi="Arial" w:cs="Arial"/>
          <w:color w:val="1B1C1D"/>
          <w:sz w:val="20"/>
          <w:szCs w:val="20"/>
        </w:rPr>
        <w:t>favorable</w:t>
      </w:r>
      <w:proofErr w:type="spellEnd"/>
      <w:r w:rsidRPr="00B66170">
        <w:rPr>
          <w:rFonts w:ascii="Arial" w:hAnsi="Arial" w:cs="Arial"/>
          <w:color w:val="1B1C1D"/>
          <w:sz w:val="20"/>
          <w:szCs w:val="20"/>
        </w:rPr>
        <w:t xml:space="preserve"> plants at early stages (e.g., seedlings) based on their genotype, rather than waiting for trait expression (phenotype) (Collard &amp; Mackill, 2008).</w:t>
      </w:r>
    </w:p>
    <w:p w14:paraId="3D617B31" w14:textId="77777777" w:rsidR="00A94516" w:rsidRPr="00B66170" w:rsidRDefault="00A94516" w:rsidP="00B66170">
      <w:pPr>
        <w:spacing w:before="100" w:beforeAutospacing="1" w:after="0" w:line="240" w:lineRule="auto"/>
        <w:ind w:firstLine="72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Process:</w:t>
      </w:r>
      <w:r w:rsidRPr="00B66170">
        <w:rPr>
          <w:rFonts w:ascii="Arial" w:eastAsia="Times New Roman" w:hAnsi="Arial" w:cs="Arial"/>
          <w:color w:val="1B1C1D"/>
          <w:sz w:val="20"/>
          <w:szCs w:val="20"/>
          <w:lang w:eastAsia="en-IN"/>
        </w:rPr>
        <w:t xml:space="preserve"> Involves (1) identifying and validating markers linked to target traits, (2) genotyping breeding populations, and (3) selecting individuals carrying </w:t>
      </w:r>
      <w:proofErr w:type="spellStart"/>
      <w:r w:rsidRPr="00B66170">
        <w:rPr>
          <w:rFonts w:ascii="Arial" w:eastAsia="Times New Roman" w:hAnsi="Arial" w:cs="Arial"/>
          <w:color w:val="1B1C1D"/>
          <w:sz w:val="20"/>
          <w:szCs w:val="20"/>
          <w:lang w:eastAsia="en-IN"/>
        </w:rPr>
        <w:t>favorable</w:t>
      </w:r>
      <w:proofErr w:type="spellEnd"/>
      <w:r w:rsidRPr="00B66170">
        <w:rPr>
          <w:rFonts w:ascii="Arial" w:eastAsia="Times New Roman" w:hAnsi="Arial" w:cs="Arial"/>
          <w:color w:val="1B1C1D"/>
          <w:sz w:val="20"/>
          <w:szCs w:val="20"/>
          <w:lang w:eastAsia="en-IN"/>
        </w:rPr>
        <w:t xml:space="preserve"> marker alleles for subsequent crossing.</w:t>
      </w:r>
    </w:p>
    <w:p w14:paraId="5FBFD6BF" w14:textId="77777777" w:rsidR="00A94516" w:rsidRPr="00B66170" w:rsidRDefault="00A94516" w:rsidP="00B66170">
      <w:pPr>
        <w:spacing w:before="100" w:beforeAutospacing="1"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Success Examples:</w:t>
      </w:r>
      <w:r w:rsidRPr="00B66170">
        <w:rPr>
          <w:rFonts w:ascii="Arial" w:eastAsia="Times New Roman" w:hAnsi="Arial" w:cs="Arial"/>
          <w:color w:val="1B1C1D"/>
          <w:sz w:val="20"/>
          <w:szCs w:val="20"/>
          <w:lang w:eastAsia="en-IN"/>
        </w:rPr>
        <w:t xml:space="preserve"> MAS has successfully incorporated genes for bacterial blight resistance (</w:t>
      </w:r>
      <w:r w:rsidRPr="00B66170">
        <w:rPr>
          <w:rFonts w:ascii="Arial" w:eastAsia="Times New Roman" w:hAnsi="Arial" w:cs="Arial"/>
          <w:i/>
          <w:iCs/>
          <w:color w:val="1B1C1D"/>
          <w:sz w:val="20"/>
          <w:szCs w:val="20"/>
          <w:bdr w:val="none" w:sz="0" w:space="0" w:color="auto" w:frame="1"/>
          <w:lang w:eastAsia="en-IN"/>
        </w:rPr>
        <w:t>Xa21</w:t>
      </w:r>
      <w:r w:rsidRPr="00B66170">
        <w:rPr>
          <w:rFonts w:ascii="Arial" w:eastAsia="Times New Roman" w:hAnsi="Arial" w:cs="Arial"/>
          <w:color w:val="1B1C1D"/>
          <w:sz w:val="20"/>
          <w:szCs w:val="20"/>
          <w:lang w:eastAsia="en-IN"/>
        </w:rPr>
        <w:t xml:space="preserve">, </w:t>
      </w:r>
      <w:r w:rsidRPr="00B66170">
        <w:rPr>
          <w:rFonts w:ascii="Arial" w:eastAsia="Times New Roman" w:hAnsi="Arial" w:cs="Arial"/>
          <w:i/>
          <w:iCs/>
          <w:color w:val="1B1C1D"/>
          <w:sz w:val="20"/>
          <w:szCs w:val="20"/>
          <w:bdr w:val="none" w:sz="0" w:space="0" w:color="auto" w:frame="1"/>
          <w:lang w:eastAsia="en-IN"/>
        </w:rPr>
        <w:t>Xa13</w:t>
      </w:r>
      <w:r w:rsidRPr="00B66170">
        <w:rPr>
          <w:rFonts w:ascii="Arial" w:eastAsia="Times New Roman" w:hAnsi="Arial" w:cs="Arial"/>
          <w:color w:val="1B1C1D"/>
          <w:sz w:val="20"/>
          <w:szCs w:val="20"/>
          <w:lang w:eastAsia="en-IN"/>
        </w:rPr>
        <w:t xml:space="preserve">) (Sundaram et al., 2008), improved drought tolerance using QTLs like </w:t>
      </w:r>
      <w:r w:rsidRPr="00B66170">
        <w:rPr>
          <w:rFonts w:ascii="Arial" w:eastAsia="Times New Roman" w:hAnsi="Arial" w:cs="Arial"/>
          <w:i/>
          <w:iCs/>
          <w:color w:val="1B1C1D"/>
          <w:sz w:val="20"/>
          <w:szCs w:val="20"/>
          <w:bdr w:val="none" w:sz="0" w:space="0" w:color="auto" w:frame="1"/>
          <w:lang w:eastAsia="en-IN"/>
        </w:rPr>
        <w:t>qDTY1.1</w:t>
      </w:r>
      <w:r w:rsidRPr="00B66170">
        <w:rPr>
          <w:rFonts w:ascii="Arial" w:eastAsia="Times New Roman" w:hAnsi="Arial" w:cs="Arial"/>
          <w:color w:val="1B1C1D"/>
          <w:sz w:val="20"/>
          <w:szCs w:val="20"/>
          <w:lang w:eastAsia="en-IN"/>
        </w:rPr>
        <w:t xml:space="preserve"> (Ghimire et al., 2012), and refined grain quality traits like fragrance (</w:t>
      </w:r>
      <w:r w:rsidRPr="00B66170">
        <w:rPr>
          <w:rFonts w:ascii="Arial" w:eastAsia="Times New Roman" w:hAnsi="Arial" w:cs="Arial"/>
          <w:i/>
          <w:iCs/>
          <w:color w:val="1B1C1D"/>
          <w:sz w:val="20"/>
          <w:szCs w:val="20"/>
          <w:bdr w:val="none" w:sz="0" w:space="0" w:color="auto" w:frame="1"/>
          <w:lang w:eastAsia="en-IN"/>
        </w:rPr>
        <w:t>badh2</w:t>
      </w:r>
      <w:r w:rsidRPr="00B66170">
        <w:rPr>
          <w:rFonts w:ascii="Arial" w:eastAsia="Times New Roman" w:hAnsi="Arial" w:cs="Arial"/>
          <w:color w:val="1B1C1D"/>
          <w:sz w:val="20"/>
          <w:szCs w:val="20"/>
          <w:lang w:eastAsia="en-IN"/>
        </w:rPr>
        <w:t>) (Sweeney et al., 2007).</w:t>
      </w:r>
    </w:p>
    <w:p w14:paraId="5D9E5652" w14:textId="77777777" w:rsidR="00A94516" w:rsidRPr="00B66170" w:rsidRDefault="00A94516" w:rsidP="00B66170">
      <w:pPr>
        <w:pStyle w:val="ListParagraph"/>
        <w:numPr>
          <w:ilvl w:val="2"/>
          <w:numId w:val="17"/>
        </w:numPr>
        <w:spacing w:before="100" w:beforeAutospacing="1"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t>Quantitative Trait Loci (QTL) Mapping</w:t>
      </w:r>
    </w:p>
    <w:p w14:paraId="1E626813"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 xml:space="preserve">QTL mapping identifies genomic regions associated with complex, quantitative traits (yield, stress tolerance). It involves phenotyping diverse populations and genotyping them </w:t>
      </w:r>
      <w:r w:rsidR="00D14611" w:rsidRPr="00B66170">
        <w:rPr>
          <w:rFonts w:ascii="Arial" w:eastAsia="Times New Roman" w:hAnsi="Arial" w:cs="Arial"/>
          <w:color w:val="1B1C1D"/>
          <w:sz w:val="20"/>
          <w:szCs w:val="20"/>
          <w:lang w:eastAsia="en-IN"/>
        </w:rPr>
        <w:t xml:space="preserve">(Yano et al., 2016) </w:t>
      </w:r>
      <w:r w:rsidRPr="00B66170">
        <w:rPr>
          <w:rFonts w:ascii="Arial" w:eastAsia="Times New Roman" w:hAnsi="Arial" w:cs="Arial"/>
          <w:color w:val="1B1C1D"/>
          <w:sz w:val="20"/>
          <w:szCs w:val="20"/>
          <w:lang w:eastAsia="en-IN"/>
        </w:rPr>
        <w:t xml:space="preserve">with high-density markers (e.g., SNPs). Statistical analysis links marker variations to trait variations, </w:t>
      </w:r>
      <w:r w:rsidRPr="00B66170">
        <w:rPr>
          <w:rFonts w:ascii="Arial" w:eastAsia="Times New Roman" w:hAnsi="Arial" w:cs="Arial"/>
          <w:color w:val="1B1C1D"/>
          <w:sz w:val="20"/>
          <w:szCs w:val="20"/>
          <w:lang w:eastAsia="en-IN"/>
        </w:rPr>
        <w:lastRenderedPageBreak/>
        <w:t>pinpointing QTLs that serve as targets for MAS or further genetic investigation (McCouch, 2008; Zhao et al., 2011). Successful identification and use of QTLs for traits like drought tolerance have significantly impacted practical breeding programs (Zhao et al., 2011).</w:t>
      </w:r>
    </w:p>
    <w:p w14:paraId="403F640A" w14:textId="77777777" w:rsidR="00A94516" w:rsidRPr="00B66170" w:rsidRDefault="00A94516" w:rsidP="00B66170">
      <w:pPr>
        <w:pStyle w:val="ListParagraph"/>
        <w:numPr>
          <w:ilvl w:val="1"/>
          <w:numId w:val="17"/>
        </w:numPr>
        <w:spacing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bdr w:val="none" w:sz="0" w:space="0" w:color="auto" w:frame="1"/>
          <w:lang w:eastAsia="en-IN"/>
        </w:rPr>
        <w:t>Genetic Engineering</w:t>
      </w:r>
    </w:p>
    <w:p w14:paraId="5AEDA3E1" w14:textId="77777777" w:rsidR="00A94516" w:rsidRPr="006E4BBE" w:rsidRDefault="00CA0FC0" w:rsidP="00B66170">
      <w:pPr>
        <w:spacing w:after="0" w:line="240" w:lineRule="auto"/>
        <w:jc w:val="both"/>
        <w:rPr>
          <w:rFonts w:ascii="Arial" w:eastAsia="Times New Roman" w:hAnsi="Arial" w:cs="Arial"/>
          <w:b/>
          <w:bCs/>
          <w:color w:val="1B1C1D"/>
          <w:sz w:val="24"/>
          <w:szCs w:val="24"/>
          <w:lang w:eastAsia="en-IN"/>
        </w:rPr>
      </w:pPr>
      <w:r w:rsidRPr="00B66170">
        <w:rPr>
          <w:rFonts w:ascii="Arial" w:eastAsia="Times New Roman" w:hAnsi="Arial" w:cs="Arial"/>
          <w:b/>
          <w:bCs/>
          <w:color w:val="1B1C1D"/>
          <w:lang w:eastAsia="en-IN"/>
        </w:rPr>
        <w:t xml:space="preserve">4.2.1 </w:t>
      </w:r>
      <w:r w:rsidR="00A94516" w:rsidRPr="00B66170">
        <w:rPr>
          <w:rFonts w:ascii="Arial" w:eastAsia="Times New Roman" w:hAnsi="Arial" w:cs="Arial"/>
          <w:b/>
          <w:bCs/>
          <w:color w:val="1B1C1D"/>
          <w:lang w:eastAsia="en-IN"/>
        </w:rPr>
        <w:t>Transgenic Approaches</w:t>
      </w:r>
    </w:p>
    <w:p w14:paraId="69B4DD2E"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 xml:space="preserve">These techniques involve inserting foreign genes (transgenes) or modified native genes into the rice genome using methods like Agrobacterium-mediated transformation or </w:t>
      </w:r>
      <w:proofErr w:type="spellStart"/>
      <w:r w:rsidRPr="00B66170">
        <w:rPr>
          <w:rFonts w:ascii="Arial" w:eastAsia="Times New Roman" w:hAnsi="Arial" w:cs="Arial"/>
          <w:color w:val="1B1C1D"/>
          <w:sz w:val="20"/>
          <w:szCs w:val="20"/>
          <w:lang w:eastAsia="en-IN"/>
        </w:rPr>
        <w:t>biolistics</w:t>
      </w:r>
      <w:proofErr w:type="spellEnd"/>
      <w:r w:rsidRPr="00B66170">
        <w:rPr>
          <w:rFonts w:ascii="Arial" w:eastAsia="Times New Roman" w:hAnsi="Arial" w:cs="Arial"/>
          <w:color w:val="1B1C1D"/>
          <w:sz w:val="20"/>
          <w:szCs w:val="20"/>
          <w:lang w:eastAsia="en-IN"/>
        </w:rPr>
        <w:t xml:space="preserve"> (gene gun). This allows for the introduction of traits not readily available in the rice gene pool. A prime example is Golden Rice, engineered to produce beta-carotene (provitamin A) to combat vitamin A deficiency (Potrykus, 2001; Khush, 2005). Other applications include insect resistance (e.g., </w:t>
      </w:r>
      <w:proofErr w:type="spellStart"/>
      <w:r w:rsidRPr="00B66170">
        <w:rPr>
          <w:rFonts w:ascii="Arial" w:eastAsia="Times New Roman" w:hAnsi="Arial" w:cs="Arial"/>
          <w:color w:val="1B1C1D"/>
          <w:sz w:val="20"/>
          <w:szCs w:val="20"/>
          <w:lang w:eastAsia="en-IN"/>
        </w:rPr>
        <w:t>Bt</w:t>
      </w:r>
      <w:proofErr w:type="spellEnd"/>
      <w:r w:rsidRPr="00B66170">
        <w:rPr>
          <w:rFonts w:ascii="Arial" w:eastAsia="Times New Roman" w:hAnsi="Arial" w:cs="Arial"/>
          <w:color w:val="1B1C1D"/>
          <w:sz w:val="20"/>
          <w:szCs w:val="20"/>
          <w:lang w:eastAsia="en-IN"/>
        </w:rPr>
        <w:t xml:space="preserve"> rice) and herbicide tolerance.</w:t>
      </w:r>
    </w:p>
    <w:p w14:paraId="5A9623DF" w14:textId="77777777" w:rsidR="00A94516" w:rsidRPr="00B66170" w:rsidRDefault="00A94516" w:rsidP="00B66170">
      <w:pPr>
        <w:pStyle w:val="ListParagraph"/>
        <w:numPr>
          <w:ilvl w:val="2"/>
          <w:numId w:val="17"/>
        </w:numPr>
        <w:spacing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t>RNA Interference (RNAi)</w:t>
      </w:r>
    </w:p>
    <w:p w14:paraId="4CEB0D02"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RNAi utilizes the cell's natural gene-silencing machinery. Introducing double-stranded RNA (dsRNA) corresponding to a target gene triggers the degradation of its messenger RNA (mRNA), effectively silencing the gene. In rice, RNAi has been used to target genes essential for pathogen virulence or insect pest survival, offering a specific and potentially reversible way to enhance resistance with potentially fewer off-target effects than some other methods (</w:t>
      </w:r>
      <w:proofErr w:type="spellStart"/>
      <w:r w:rsidRPr="00B66170">
        <w:rPr>
          <w:rFonts w:ascii="Arial" w:eastAsia="Times New Roman" w:hAnsi="Arial" w:cs="Arial"/>
          <w:color w:val="1B1C1D"/>
          <w:sz w:val="20"/>
          <w:szCs w:val="20"/>
          <w:lang w:eastAsia="en-IN"/>
        </w:rPr>
        <w:t>Baulcombe</w:t>
      </w:r>
      <w:proofErr w:type="spellEnd"/>
      <w:r w:rsidRPr="00B66170">
        <w:rPr>
          <w:rFonts w:ascii="Arial" w:eastAsia="Times New Roman" w:hAnsi="Arial" w:cs="Arial"/>
          <w:color w:val="1B1C1D"/>
          <w:sz w:val="20"/>
          <w:szCs w:val="20"/>
          <w:lang w:eastAsia="en-IN"/>
        </w:rPr>
        <w:t>, 2004).</w:t>
      </w:r>
    </w:p>
    <w:p w14:paraId="705EEE40" w14:textId="77777777" w:rsidR="00A94516" w:rsidRPr="00B66170" w:rsidRDefault="00A94516" w:rsidP="00390E00">
      <w:pPr>
        <w:spacing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bdr w:val="none" w:sz="0" w:space="0" w:color="auto" w:frame="1"/>
          <w:lang w:eastAsia="en-IN"/>
        </w:rPr>
        <w:t>4.3 Genome Editing Technologies</w:t>
      </w:r>
    </w:p>
    <w:p w14:paraId="04E6F601" w14:textId="77777777" w:rsidR="00A94516" w:rsidRPr="00B66170" w:rsidRDefault="00A94516" w:rsidP="00390E0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Genome editing enables precise, targeted modifications (insertions, deletions, substitutions) at specific locations in the genome.</w:t>
      </w:r>
    </w:p>
    <w:p w14:paraId="2B783571" w14:textId="77777777" w:rsidR="00A94516" w:rsidRPr="00B66170" w:rsidRDefault="00A94516" w:rsidP="00390E00">
      <w:pPr>
        <w:pStyle w:val="ListParagraph"/>
        <w:numPr>
          <w:ilvl w:val="2"/>
          <w:numId w:val="18"/>
        </w:numPr>
        <w:spacing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t>CRISPR/Cas9 and Related Tools</w:t>
      </w:r>
    </w:p>
    <w:p w14:paraId="3DA708EB"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The CRISPR/Cas9 system uses a guide RNA (gRNA) to direct the Cas9 nuclease to a specific DNA sequence, where it creates a double-strand break1 (DSB). The cell's repair mechanisms then</w:t>
      </w:r>
      <w:r w:rsidR="00731EEF" w:rsidRPr="00390E00">
        <w:rPr>
          <w:rFonts w:ascii="Arial" w:eastAsia="Times New Roman" w:hAnsi="Arial" w:cs="Arial"/>
          <w:color w:val="1B1C1D"/>
          <w:sz w:val="20"/>
          <w:szCs w:val="20"/>
          <w:lang w:eastAsia="en-IN"/>
        </w:rPr>
        <w:t xml:space="preserve"> (Zhu, Li, &amp; Gao, 2020)</w:t>
      </w:r>
      <w:r w:rsidRPr="00390E00">
        <w:rPr>
          <w:rFonts w:ascii="Arial" w:eastAsia="Times New Roman" w:hAnsi="Arial" w:cs="Arial"/>
          <w:color w:val="1B1C1D"/>
          <w:sz w:val="20"/>
          <w:szCs w:val="20"/>
          <w:lang w:eastAsia="en-IN"/>
        </w:rPr>
        <w:t xml:space="preserve"> fix the break. Non-homologous end joining (NHEJ) often introduces small insertions or deletions (indels), typically leading to gene knockout. Homology-directed repair (HDR), if a DNA template is provided, can precisely </w:t>
      </w:r>
      <w:r w:rsidR="008127A7" w:rsidRPr="00390E00">
        <w:rPr>
          <w:rFonts w:ascii="Arial" w:eastAsia="Times New Roman" w:hAnsi="Arial" w:cs="Arial"/>
          <w:color w:val="1B1C1D"/>
          <w:sz w:val="20"/>
          <w:szCs w:val="20"/>
          <w:lang w:eastAsia="en-IN"/>
        </w:rPr>
        <w:t>(</w:t>
      </w:r>
      <w:proofErr w:type="spellStart"/>
      <w:r w:rsidR="008127A7" w:rsidRPr="00390E00">
        <w:rPr>
          <w:rFonts w:ascii="Arial" w:eastAsia="Times New Roman" w:hAnsi="Arial" w:cs="Arial"/>
          <w:color w:val="1B1C1D"/>
          <w:sz w:val="20"/>
          <w:szCs w:val="20"/>
          <w:lang w:eastAsia="en-IN"/>
        </w:rPr>
        <w:t>Thiruppathi</w:t>
      </w:r>
      <w:proofErr w:type="spellEnd"/>
      <w:r w:rsidR="008127A7" w:rsidRPr="00390E00">
        <w:rPr>
          <w:rFonts w:ascii="Arial" w:eastAsia="Times New Roman" w:hAnsi="Arial" w:cs="Arial"/>
          <w:color w:val="1B1C1D"/>
          <w:sz w:val="20"/>
          <w:szCs w:val="20"/>
          <w:lang w:eastAsia="en-IN"/>
        </w:rPr>
        <w:t xml:space="preserve"> et al., 2024) </w:t>
      </w:r>
      <w:r w:rsidRPr="00390E00">
        <w:rPr>
          <w:rFonts w:ascii="Arial" w:eastAsia="Times New Roman" w:hAnsi="Arial" w:cs="Arial"/>
          <w:color w:val="1B1C1D"/>
          <w:sz w:val="20"/>
          <w:szCs w:val="20"/>
          <w:lang w:eastAsia="en-IN"/>
        </w:rPr>
        <w:t>insert or replace sequences. CRISPR/Cas9 is widely adopted due to its efficiency, ease of use, and versatility (Shan et al., 2013). Ongoing research focuses on minimizing potential off-target mutations through improved gRNA design and delivery methods (Zhang et al., 2015).</w:t>
      </w:r>
    </w:p>
    <w:p w14:paraId="4C0DE32E" w14:textId="77777777" w:rsidR="00A94516" w:rsidRPr="00390E00" w:rsidRDefault="00A94516" w:rsidP="00390E00">
      <w:pPr>
        <w:pStyle w:val="ListParagraph"/>
        <w:numPr>
          <w:ilvl w:val="2"/>
          <w:numId w:val="18"/>
        </w:numPr>
        <w:spacing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lang w:eastAsia="en-IN"/>
        </w:rPr>
        <w:t>Alternative Gene Editing Tools (TALENs, ZFNs)</w:t>
      </w:r>
    </w:p>
    <w:p w14:paraId="4BD1444F"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Before CRISPR, tools like Transcription Activator-Like Effector Nucleases (TALENs) and Zinc Finger Nucleases (ZFNs) were used for targeted genome </w:t>
      </w:r>
      <w:proofErr w:type="gramStart"/>
      <w:r w:rsidRPr="00390E00">
        <w:rPr>
          <w:rFonts w:ascii="Arial" w:eastAsia="Times New Roman" w:hAnsi="Arial" w:cs="Arial"/>
          <w:color w:val="1B1C1D"/>
          <w:sz w:val="20"/>
          <w:szCs w:val="20"/>
          <w:lang w:eastAsia="en-IN"/>
        </w:rPr>
        <w:t>modification</w:t>
      </w:r>
      <w:r w:rsidR="00223053" w:rsidRPr="00390E00">
        <w:rPr>
          <w:rFonts w:ascii="Arial" w:eastAsia="Times New Roman" w:hAnsi="Arial" w:cs="Arial"/>
          <w:color w:val="1B1C1D"/>
          <w:sz w:val="20"/>
          <w:szCs w:val="20"/>
          <w:lang w:eastAsia="en-IN"/>
        </w:rPr>
        <w:t>(</w:t>
      </w:r>
      <w:proofErr w:type="spellStart"/>
      <w:proofErr w:type="gramEnd"/>
      <w:r w:rsidR="00223053" w:rsidRPr="00390E00">
        <w:rPr>
          <w:rFonts w:ascii="Arial" w:eastAsia="Times New Roman" w:hAnsi="Arial" w:cs="Arial"/>
          <w:color w:val="1B1C1D"/>
          <w:sz w:val="20"/>
          <w:szCs w:val="20"/>
          <w:lang w:eastAsia="en-IN"/>
        </w:rPr>
        <w:t>Urnov</w:t>
      </w:r>
      <w:proofErr w:type="spellEnd"/>
      <w:r w:rsidR="00223053" w:rsidRPr="00390E00">
        <w:rPr>
          <w:rFonts w:ascii="Arial" w:eastAsia="Times New Roman" w:hAnsi="Arial" w:cs="Arial"/>
          <w:color w:val="1B1C1D"/>
          <w:sz w:val="20"/>
          <w:szCs w:val="20"/>
          <w:lang w:eastAsia="en-IN"/>
        </w:rPr>
        <w:t>, Rebar, Holmes, Zhang, &amp; Gregory, 2010)</w:t>
      </w:r>
      <w:r w:rsidRPr="00390E00">
        <w:rPr>
          <w:rFonts w:ascii="Arial" w:eastAsia="Times New Roman" w:hAnsi="Arial" w:cs="Arial"/>
          <w:color w:val="1B1C1D"/>
          <w:sz w:val="20"/>
          <w:szCs w:val="20"/>
          <w:lang w:eastAsia="en-IN"/>
        </w:rPr>
        <w:t xml:space="preserve">. Both rely on engineered proteins to bind specific </w:t>
      </w:r>
      <w:smartTag w:uri="urn:schemas-microsoft-com:office:smarttags" w:element="stockticker">
        <w:r w:rsidRPr="00390E00">
          <w:rPr>
            <w:rFonts w:ascii="Arial" w:eastAsia="Times New Roman" w:hAnsi="Arial" w:cs="Arial"/>
            <w:color w:val="1B1C1D"/>
            <w:sz w:val="20"/>
            <w:szCs w:val="20"/>
            <w:lang w:eastAsia="en-IN"/>
          </w:rPr>
          <w:t>DNA</w:t>
        </w:r>
      </w:smartTag>
      <w:r w:rsidRPr="00390E00">
        <w:rPr>
          <w:rFonts w:ascii="Arial" w:eastAsia="Times New Roman" w:hAnsi="Arial" w:cs="Arial"/>
          <w:color w:val="1B1C1D"/>
          <w:sz w:val="20"/>
          <w:szCs w:val="20"/>
          <w:lang w:eastAsia="en-IN"/>
        </w:rPr>
        <w:t xml:space="preserve"> sequences and cut the </w:t>
      </w:r>
      <w:smartTag w:uri="urn:schemas-microsoft-com:office:smarttags" w:element="stockticker">
        <w:r w:rsidRPr="00390E00">
          <w:rPr>
            <w:rFonts w:ascii="Arial" w:eastAsia="Times New Roman" w:hAnsi="Arial" w:cs="Arial"/>
            <w:color w:val="1B1C1D"/>
            <w:sz w:val="20"/>
            <w:szCs w:val="20"/>
            <w:lang w:eastAsia="en-IN"/>
          </w:rPr>
          <w:t>DNA</w:t>
        </w:r>
      </w:smartTag>
      <w:r w:rsidRPr="00390E00">
        <w:rPr>
          <w:rFonts w:ascii="Arial" w:eastAsia="Times New Roman" w:hAnsi="Arial" w:cs="Arial"/>
          <w:color w:val="1B1C1D"/>
          <w:sz w:val="20"/>
          <w:szCs w:val="20"/>
          <w:lang w:eastAsia="en-IN"/>
        </w:rPr>
        <w:t xml:space="preserve">. While capable of high specificity, designing and constructing these protein-based nucleases is generally more complex and less flexible than the </w:t>
      </w:r>
      <w:smartTag w:uri="urn:schemas-microsoft-com:office:smarttags" w:element="stockticker">
        <w:r w:rsidRPr="00390E00">
          <w:rPr>
            <w:rFonts w:ascii="Arial" w:eastAsia="Times New Roman" w:hAnsi="Arial" w:cs="Arial"/>
            <w:color w:val="1B1C1D"/>
            <w:sz w:val="20"/>
            <w:szCs w:val="20"/>
            <w:lang w:eastAsia="en-IN"/>
          </w:rPr>
          <w:t>RNA</w:t>
        </w:r>
      </w:smartTag>
      <w:r w:rsidRPr="00390E00">
        <w:rPr>
          <w:rFonts w:ascii="Arial" w:eastAsia="Times New Roman" w:hAnsi="Arial" w:cs="Arial"/>
          <w:color w:val="1B1C1D"/>
          <w:sz w:val="20"/>
          <w:szCs w:val="20"/>
          <w:lang w:eastAsia="en-IN"/>
        </w:rPr>
        <w:t>-guided CRISPR system (Li et al., 2012), making CRISPR/Cas9 the preferred tool in many current rice research programs.</w:t>
      </w:r>
    </w:p>
    <w:p w14:paraId="36367A6B" w14:textId="77777777" w:rsidR="00A94516" w:rsidRPr="00390E00" w:rsidRDefault="00CA0FC0" w:rsidP="0034564D">
      <w:pPr>
        <w:spacing w:before="100" w:beforeAutospacing="1" w:after="100" w:afterAutospacing="1" w:line="240" w:lineRule="auto"/>
        <w:jc w:val="both"/>
        <w:rPr>
          <w:rFonts w:ascii="Arial" w:eastAsia="Times New Roman" w:hAnsi="Arial" w:cs="Arial"/>
          <w:b/>
          <w:bCs/>
          <w:color w:val="1B1C1D"/>
          <w:lang w:eastAsia="en-IN"/>
        </w:rPr>
      </w:pPr>
      <w:r w:rsidRPr="006E4BBE">
        <w:rPr>
          <w:rFonts w:ascii="Arial" w:eastAsia="Times New Roman" w:hAnsi="Arial" w:cs="Arial"/>
          <w:b/>
          <w:bCs/>
          <w:color w:val="1B1C1D"/>
          <w:sz w:val="24"/>
          <w:szCs w:val="24"/>
          <w:lang w:eastAsia="en-IN"/>
        </w:rPr>
        <w:t xml:space="preserve">4.4   </w:t>
      </w:r>
      <w:r w:rsidR="00A94516" w:rsidRPr="00390E00">
        <w:rPr>
          <w:rFonts w:ascii="Arial" w:eastAsia="Times New Roman" w:hAnsi="Arial" w:cs="Arial"/>
          <w:b/>
          <w:bCs/>
          <w:color w:val="1B1C1D"/>
          <w:lang w:eastAsia="en-IN"/>
        </w:rPr>
        <w:t>High-Throughput Phenotyping and Multi-Omics Integration</w:t>
      </w:r>
    </w:p>
    <w:p w14:paraId="63032E0A" w14:textId="77777777" w:rsidR="00A94516" w:rsidRPr="00390E00" w:rsidRDefault="00A94516" w:rsidP="0034564D">
      <w:pPr>
        <w:spacing w:before="100" w:beforeAutospacing="1" w:after="100" w:afterAutospacing="1"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Modern breeding benefits immensely from technologies that rapidly measure plant traits (phenotyping) and </w:t>
      </w:r>
      <w:proofErr w:type="spellStart"/>
      <w:r w:rsidRPr="00390E00">
        <w:rPr>
          <w:rFonts w:ascii="Arial" w:eastAsia="Times New Roman" w:hAnsi="Arial" w:cs="Arial"/>
          <w:color w:val="1B1C1D"/>
          <w:sz w:val="20"/>
          <w:szCs w:val="20"/>
          <w:lang w:eastAsia="en-IN"/>
        </w:rPr>
        <w:t>analyze</w:t>
      </w:r>
      <w:proofErr w:type="spellEnd"/>
      <w:r w:rsidRPr="00390E00">
        <w:rPr>
          <w:rFonts w:ascii="Arial" w:eastAsia="Times New Roman" w:hAnsi="Arial" w:cs="Arial"/>
          <w:color w:val="1B1C1D"/>
          <w:sz w:val="20"/>
          <w:szCs w:val="20"/>
          <w:lang w:eastAsia="en-IN"/>
        </w:rPr>
        <w:t xml:space="preserve"> biological molecules on a large scale (omics).</w:t>
      </w:r>
    </w:p>
    <w:p w14:paraId="0C0A274D" w14:textId="77777777" w:rsidR="00A94516" w:rsidRPr="00390E00" w:rsidRDefault="00A94516" w:rsidP="0034564D">
      <w:pPr>
        <w:pStyle w:val="ListParagraph"/>
        <w:numPr>
          <w:ilvl w:val="2"/>
          <w:numId w:val="19"/>
        </w:numPr>
        <w:spacing w:before="100" w:beforeAutospacing="1"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High-Throughput Phenotyping (HTP):</w:t>
      </w:r>
      <w:r w:rsidRPr="00390E00">
        <w:rPr>
          <w:rFonts w:ascii="Arial" w:eastAsia="Times New Roman" w:hAnsi="Arial" w:cs="Arial"/>
          <w:color w:val="1B1C1D"/>
          <w:sz w:val="20"/>
          <w:szCs w:val="20"/>
          <w:lang w:eastAsia="en-IN"/>
        </w:rPr>
        <w:t xml:space="preserve"> Platforms using sensors, imaging (e.g., RGB, thermal, hyperspectral), and automation allow</w:t>
      </w:r>
      <w:r w:rsidR="00A318F2" w:rsidRPr="00390E00">
        <w:rPr>
          <w:rFonts w:ascii="Arial" w:eastAsia="Times New Roman" w:hAnsi="Arial" w:cs="Arial"/>
          <w:color w:val="1B1C1D"/>
          <w:sz w:val="20"/>
          <w:szCs w:val="20"/>
          <w:lang w:eastAsia="en-IN"/>
        </w:rPr>
        <w:t xml:space="preserve"> (Yang et al., 2014)</w:t>
      </w:r>
      <w:r w:rsidRPr="00390E00">
        <w:rPr>
          <w:rFonts w:ascii="Arial" w:eastAsia="Times New Roman" w:hAnsi="Arial" w:cs="Arial"/>
          <w:color w:val="1B1C1D"/>
          <w:sz w:val="20"/>
          <w:szCs w:val="20"/>
          <w:lang w:eastAsia="en-IN"/>
        </w:rPr>
        <w:t xml:space="preserve"> for rapid, non-destructive measurement of numerous phenotypic traits (growth rate, plant architecture, stress responses) on large populations under controlled or field conditions.</w:t>
      </w:r>
    </w:p>
    <w:p w14:paraId="7C927D80" w14:textId="77777777" w:rsidR="00A94516" w:rsidRPr="00390E00" w:rsidRDefault="00A94516" w:rsidP="0034564D">
      <w:pPr>
        <w:pStyle w:val="ListParagraph"/>
        <w:numPr>
          <w:ilvl w:val="2"/>
          <w:numId w:val="19"/>
        </w:numPr>
        <w:spacing w:before="100" w:beforeAutospacing="1"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Multi-Omics:</w:t>
      </w:r>
      <w:r w:rsidRPr="00390E00">
        <w:rPr>
          <w:rFonts w:ascii="Arial" w:eastAsia="Times New Roman" w:hAnsi="Arial" w:cs="Arial"/>
          <w:color w:val="1B1C1D"/>
          <w:sz w:val="20"/>
          <w:szCs w:val="20"/>
          <w:lang w:eastAsia="en-IN"/>
        </w:rPr>
        <w:t xml:space="preserve"> Integrating data from genomics (DNA sequence), transcriptomics (RNA expression), proteomics (proteins), and metabolomics (metabolites) provides a holistic view of the biological systems underlying traits.</w:t>
      </w:r>
    </w:p>
    <w:p w14:paraId="1AE5911C" w14:textId="77777777" w:rsidR="00A94516" w:rsidRPr="00390E00" w:rsidRDefault="00A94516" w:rsidP="0034564D">
      <w:pPr>
        <w:pStyle w:val="ListParagraph"/>
        <w:numPr>
          <w:ilvl w:val="2"/>
          <w:numId w:val="19"/>
        </w:numPr>
        <w:spacing w:before="100" w:beforeAutospacing="1"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Integrated Analysis:</w:t>
      </w:r>
      <w:r w:rsidRPr="00390E00">
        <w:rPr>
          <w:rFonts w:ascii="Arial" w:eastAsia="Times New Roman" w:hAnsi="Arial" w:cs="Arial"/>
          <w:color w:val="1B1C1D"/>
          <w:sz w:val="20"/>
          <w:szCs w:val="20"/>
          <w:lang w:eastAsia="en-IN"/>
        </w:rPr>
        <w:t xml:space="preserve"> Combining HTP data with multi-omics datasets using bioinformatics and machine learning algorithms helps uncover complex gene-trait relationships, identify candidate genes, and predict plant performance, accelerating breeding decisions (Huang et al., 2016; Zhu et al., 2017).</w:t>
      </w:r>
    </w:p>
    <w:p w14:paraId="73FCB184" w14:textId="77777777" w:rsidR="00A94516" w:rsidRPr="00390E00" w:rsidRDefault="00A94516" w:rsidP="0034564D">
      <w:pPr>
        <w:spacing w:before="100" w:beforeAutospacing="1" w:after="100" w:afterAutospacing="1"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(Simplified Workflow - Consider adding a note: "A visual diagram illustrating this workflow could enhance understanding.")</w:t>
      </w:r>
    </w:p>
    <w:p w14:paraId="403306B2" w14:textId="77777777" w:rsidR="00A94516" w:rsidRPr="00390E00" w:rsidRDefault="00A94516" w:rsidP="0034564D">
      <w:pPr>
        <w:spacing w:before="100" w:beforeAutospacing="1" w:after="100" w:afterAutospacing="1" w:line="240" w:lineRule="auto"/>
        <w:jc w:val="both"/>
        <w:rPr>
          <w:rFonts w:ascii="Arial" w:eastAsia="Times New Roman" w:hAnsi="Arial" w:cs="Arial"/>
          <w:color w:val="1B1C1D"/>
          <w:sz w:val="18"/>
          <w:szCs w:val="18"/>
          <w:lang w:eastAsia="en-IN"/>
        </w:rPr>
      </w:pPr>
      <w:r w:rsidRPr="00390E00">
        <w:rPr>
          <w:rFonts w:ascii="Arial" w:eastAsia="Times New Roman" w:hAnsi="Arial" w:cs="Arial"/>
          <w:color w:val="1B1C1D"/>
          <w:sz w:val="20"/>
          <w:szCs w:val="20"/>
          <w:lang w:eastAsia="en-IN"/>
        </w:rPr>
        <w:lastRenderedPageBreak/>
        <w:t xml:space="preserve">High-Throughput Data Collection (Phenomics, Genomics, Transcriptomics, etc.) -&gt; Integrated Data Analysis (Bioinformatics, ML) -&gt; Predictive </w:t>
      </w:r>
      <w:proofErr w:type="spellStart"/>
      <w:r w:rsidRPr="00390E00">
        <w:rPr>
          <w:rFonts w:ascii="Arial" w:eastAsia="Times New Roman" w:hAnsi="Arial" w:cs="Arial"/>
          <w:color w:val="1B1C1D"/>
          <w:sz w:val="20"/>
          <w:szCs w:val="20"/>
          <w:lang w:eastAsia="en-IN"/>
        </w:rPr>
        <w:t>Modeling</w:t>
      </w:r>
      <w:proofErr w:type="spellEnd"/>
      <w:r w:rsidRPr="00390E00">
        <w:rPr>
          <w:rFonts w:ascii="Arial" w:eastAsia="Times New Roman" w:hAnsi="Arial" w:cs="Arial"/>
          <w:color w:val="1B1C1D"/>
          <w:sz w:val="20"/>
          <w:szCs w:val="20"/>
          <w:lang w:eastAsia="en-IN"/>
        </w:rPr>
        <w:t xml:space="preserve"> &amp; Trait/Gene Discovery -&gt; Accelerated Breeding &amp; Crop Improvement.</w:t>
      </w:r>
    </w:p>
    <w:p w14:paraId="0094AA51" w14:textId="054802FD" w:rsidR="00A94516" w:rsidRPr="006E4BBE" w:rsidRDefault="0034564D" w:rsidP="0034564D">
      <w:pPr>
        <w:spacing w:before="100" w:beforeAutospacing="1" w:after="0" w:line="240" w:lineRule="auto"/>
        <w:jc w:val="both"/>
        <w:rPr>
          <w:rFonts w:ascii="Arial" w:eastAsia="Times New Roman" w:hAnsi="Arial" w:cs="Arial"/>
          <w:b/>
          <w:bCs/>
          <w:color w:val="1B1C1D"/>
          <w:sz w:val="24"/>
          <w:szCs w:val="24"/>
          <w:lang w:eastAsia="en-IN"/>
        </w:rPr>
      </w:pPr>
      <w:r w:rsidRPr="00390E00">
        <w:rPr>
          <w:rFonts w:ascii="Arial" w:eastAsia="Times New Roman" w:hAnsi="Arial" w:cs="Arial"/>
          <w:b/>
          <w:bCs/>
          <w:color w:val="1B1C1D"/>
          <w:bdr w:val="none" w:sz="0" w:space="0" w:color="auto" w:frame="1"/>
          <w:lang w:eastAsia="en-IN"/>
        </w:rPr>
        <w:t xml:space="preserve">5. </w:t>
      </w:r>
      <w:r w:rsidR="00390E00" w:rsidRPr="00390E00">
        <w:rPr>
          <w:rFonts w:ascii="Arial" w:eastAsia="Times New Roman" w:hAnsi="Arial" w:cs="Arial"/>
          <w:b/>
          <w:bCs/>
          <w:color w:val="1B1C1D"/>
          <w:bdr w:val="none" w:sz="0" w:space="0" w:color="auto" w:frame="1"/>
          <w:lang w:eastAsia="en-IN"/>
        </w:rPr>
        <w:t>INTEGRATION OF CONVENTIONAL BREEDING AND BIOTECHNOLOGY</w:t>
      </w:r>
    </w:p>
    <w:p w14:paraId="62569C1F"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Combining the strengths of traditional breeding with modern biotechnology offers a powerful, synergistic approach to rice improvement, enhancing speed, precision, and effectiveness.</w:t>
      </w:r>
    </w:p>
    <w:p w14:paraId="2FB04208" w14:textId="77777777" w:rsidR="00A94516" w:rsidRPr="00390E00" w:rsidRDefault="00A94516" w:rsidP="0034564D">
      <w:pPr>
        <w:spacing w:before="100" w:beforeAutospacing="1" w:after="100" w:afterAutospacing="1"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lang w:eastAsia="en-IN"/>
        </w:rPr>
        <w:t>5.1 Synergistic Strategies</w:t>
      </w:r>
    </w:p>
    <w:p w14:paraId="17E1FA03"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Integration leverages the genetic diversity explored through conventional crossing while using molecular tools to refine and accelerate the process:</w:t>
      </w:r>
    </w:p>
    <w:p w14:paraId="5340F50B" w14:textId="77777777" w:rsidR="00A94516" w:rsidRPr="00390E00" w:rsidRDefault="00A94516" w:rsidP="00390E00">
      <w:pPr>
        <w:numPr>
          <w:ilvl w:val="0"/>
          <w:numId w:val="6"/>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MAS in Backcrossing:</w:t>
      </w:r>
      <w:r w:rsidRPr="00390E00">
        <w:rPr>
          <w:rFonts w:ascii="Arial" w:eastAsia="Times New Roman" w:hAnsi="Arial" w:cs="Arial"/>
          <w:color w:val="1B1C1D"/>
          <w:sz w:val="20"/>
          <w:szCs w:val="20"/>
          <w:lang w:eastAsia="en-IN"/>
        </w:rPr>
        <w:t xml:space="preserve"> QTLs or genes identified via molecular techniques</w:t>
      </w:r>
      <w:r w:rsidR="000F56FD" w:rsidRPr="00390E00">
        <w:rPr>
          <w:rFonts w:ascii="Arial" w:eastAsia="Times New Roman" w:hAnsi="Arial" w:cs="Arial"/>
          <w:color w:val="1B1C1D"/>
          <w:sz w:val="20"/>
          <w:szCs w:val="20"/>
          <w:lang w:eastAsia="en-IN"/>
        </w:rPr>
        <w:t xml:space="preserve"> </w:t>
      </w:r>
      <w:r w:rsidR="000F56FD" w:rsidRPr="00390E00">
        <w:rPr>
          <w:rFonts w:ascii="Arial" w:hAnsi="Arial" w:cs="Arial"/>
          <w:sz w:val="20"/>
          <w:szCs w:val="20"/>
        </w:rPr>
        <w:t>(Hasan et al., 2015)</w:t>
      </w:r>
      <w:r w:rsidRPr="00390E00">
        <w:rPr>
          <w:rFonts w:ascii="Arial" w:eastAsia="Times New Roman" w:hAnsi="Arial" w:cs="Arial"/>
          <w:color w:val="1B1C1D"/>
          <w:sz w:val="20"/>
          <w:szCs w:val="20"/>
          <w:lang w:eastAsia="en-IN"/>
        </w:rPr>
        <w:t xml:space="preserve"> can be rapidly </w:t>
      </w:r>
      <w:proofErr w:type="spellStart"/>
      <w:r w:rsidRPr="00390E00">
        <w:rPr>
          <w:rFonts w:ascii="Arial" w:eastAsia="Times New Roman" w:hAnsi="Arial" w:cs="Arial"/>
          <w:color w:val="1B1C1D"/>
          <w:sz w:val="20"/>
          <w:szCs w:val="20"/>
          <w:lang w:eastAsia="en-IN"/>
        </w:rPr>
        <w:t>introgressed</w:t>
      </w:r>
      <w:proofErr w:type="spellEnd"/>
      <w:r w:rsidRPr="00390E00">
        <w:rPr>
          <w:rFonts w:ascii="Arial" w:eastAsia="Times New Roman" w:hAnsi="Arial" w:cs="Arial"/>
          <w:color w:val="1B1C1D"/>
          <w:sz w:val="20"/>
          <w:szCs w:val="20"/>
          <w:lang w:eastAsia="en-IN"/>
        </w:rPr>
        <w:t xml:space="preserve"> into elite breeding lines using MAS to track the desired alleles during conventional backcrossing, significantly reducing the number of generations required.</w:t>
      </w:r>
    </w:p>
    <w:p w14:paraId="7E058A6C" w14:textId="77777777" w:rsidR="00A94516" w:rsidRPr="00390E00" w:rsidRDefault="00A94516" w:rsidP="00390E00">
      <w:pPr>
        <w:numPr>
          <w:ilvl w:val="0"/>
          <w:numId w:val="6"/>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Genomic Selection (GS):</w:t>
      </w:r>
      <w:r w:rsidRPr="00390E00">
        <w:rPr>
          <w:rFonts w:ascii="Arial" w:eastAsia="Times New Roman" w:hAnsi="Arial" w:cs="Arial"/>
          <w:color w:val="1B1C1D"/>
          <w:sz w:val="20"/>
          <w:szCs w:val="20"/>
          <w:lang w:eastAsia="en-IN"/>
        </w:rPr>
        <w:t xml:space="preserve"> GS uses genome-wide marker data to predict the breeding value of individuals, even before phenotyping. This allows breeders to select superior parents early, shortening the breeding cycle and increasing genetic gain per unit time, especially for complex traits (Huang et al., 2016). GS predictions can complement conventional field evaluations.</w:t>
      </w:r>
    </w:p>
    <w:p w14:paraId="359C52DC" w14:textId="77777777" w:rsidR="00A94516" w:rsidRPr="00390E00" w:rsidRDefault="00A94516" w:rsidP="00390E00">
      <w:pPr>
        <w:numPr>
          <w:ilvl w:val="0"/>
          <w:numId w:val="6"/>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Targeted Trait Introduction:</w:t>
      </w:r>
      <w:r w:rsidRPr="00390E00">
        <w:rPr>
          <w:rFonts w:ascii="Arial" w:eastAsia="Times New Roman" w:hAnsi="Arial" w:cs="Arial"/>
          <w:color w:val="1B1C1D"/>
          <w:sz w:val="20"/>
          <w:szCs w:val="20"/>
          <w:lang w:eastAsia="en-IN"/>
        </w:rPr>
        <w:t xml:space="preserve"> Genome editing (e.g., CRISPR) or transgenesis can introduce specific, high-value traits (like novel resistance or nutritional enhancement) directly into elite cultivars developed through conventional breeding, bypassing the lengthy process of crossing and selection needed to bring in traits from potentially inferior genetic backgrounds (Shan et al., 2013).</w:t>
      </w:r>
    </w:p>
    <w:p w14:paraId="4923A50D" w14:textId="77777777" w:rsidR="00A94516" w:rsidRPr="00390E00" w:rsidRDefault="00A94516" w:rsidP="00390E00">
      <w:pPr>
        <w:spacing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bdr w:val="none" w:sz="0" w:space="0" w:color="auto" w:frame="1"/>
          <w:lang w:eastAsia="en-IN"/>
        </w:rPr>
        <w:t>5.2 Case Studies</w:t>
      </w:r>
    </w:p>
    <w:p w14:paraId="777FC979" w14:textId="77777777" w:rsidR="00A94516" w:rsidRPr="00390E00" w:rsidRDefault="00A94516" w:rsidP="00390E00">
      <w:pPr>
        <w:numPr>
          <w:ilvl w:val="0"/>
          <w:numId w:val="7"/>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Submergence-Tolerant Rice (Sub1 Varieties):</w:t>
      </w:r>
      <w:r w:rsidRPr="00390E00">
        <w:rPr>
          <w:rFonts w:ascii="Arial" w:eastAsia="Times New Roman" w:hAnsi="Arial" w:cs="Arial"/>
          <w:color w:val="1B1C1D"/>
          <w:sz w:val="20"/>
          <w:szCs w:val="20"/>
          <w:lang w:eastAsia="en-IN"/>
        </w:rPr>
        <w:t xml:space="preserve"> A classic example is the development of rice tolerant to flooding. The </w:t>
      </w:r>
      <w:r w:rsidRPr="00390E00">
        <w:rPr>
          <w:rFonts w:ascii="Arial" w:eastAsia="Times New Roman" w:hAnsi="Arial" w:cs="Arial"/>
          <w:i/>
          <w:iCs/>
          <w:color w:val="1B1C1D"/>
          <w:sz w:val="20"/>
          <w:szCs w:val="20"/>
          <w:bdr w:val="none" w:sz="0" w:space="0" w:color="auto" w:frame="1"/>
          <w:lang w:eastAsia="en-IN"/>
        </w:rPr>
        <w:t>Sub1A</w:t>
      </w:r>
      <w:r w:rsidRPr="00390E00">
        <w:rPr>
          <w:rFonts w:ascii="Arial" w:eastAsia="Times New Roman" w:hAnsi="Arial" w:cs="Arial"/>
          <w:color w:val="1B1C1D"/>
          <w:sz w:val="20"/>
          <w:szCs w:val="20"/>
          <w:lang w:eastAsia="en-IN"/>
        </w:rPr>
        <w:t xml:space="preserve"> gene, </w:t>
      </w:r>
      <w:r w:rsidR="00D15117" w:rsidRPr="00390E00">
        <w:rPr>
          <w:rFonts w:ascii="Arial" w:eastAsia="Times New Roman" w:hAnsi="Arial" w:cs="Arial"/>
          <w:color w:val="1B1C1D"/>
          <w:sz w:val="20"/>
          <w:szCs w:val="20"/>
          <w:lang w:eastAsia="en-IN"/>
        </w:rPr>
        <w:t xml:space="preserve">(Ronald, 2020) </w:t>
      </w:r>
      <w:r w:rsidRPr="00390E00">
        <w:rPr>
          <w:rFonts w:ascii="Arial" w:eastAsia="Times New Roman" w:hAnsi="Arial" w:cs="Arial"/>
          <w:color w:val="1B1C1D"/>
          <w:sz w:val="20"/>
          <w:szCs w:val="20"/>
          <w:lang w:eastAsia="en-IN"/>
        </w:rPr>
        <w:t xml:space="preserve">identified through QTL mapping, confers tolerance to prolonged submergence. Using marker-assisted backcrossing (MABC), researchers efficiently transferred </w:t>
      </w:r>
      <w:r w:rsidRPr="00390E00">
        <w:rPr>
          <w:rFonts w:ascii="Arial" w:eastAsia="Times New Roman" w:hAnsi="Arial" w:cs="Arial"/>
          <w:i/>
          <w:iCs/>
          <w:color w:val="1B1C1D"/>
          <w:sz w:val="20"/>
          <w:szCs w:val="20"/>
          <w:bdr w:val="none" w:sz="0" w:space="0" w:color="auto" w:frame="1"/>
          <w:lang w:eastAsia="en-IN"/>
        </w:rPr>
        <w:t>Sub1A</w:t>
      </w:r>
      <w:r w:rsidRPr="00390E00">
        <w:rPr>
          <w:rFonts w:ascii="Arial" w:eastAsia="Times New Roman" w:hAnsi="Arial" w:cs="Arial"/>
          <w:color w:val="1B1C1D"/>
          <w:sz w:val="20"/>
          <w:szCs w:val="20"/>
          <w:lang w:eastAsia="en-IN"/>
        </w:rPr>
        <w:t xml:space="preserve"> into popular, high-yielding varieties sensitive to flooding. The resulting 'Sub1' varieties maintain yield and quality while gaining crucial resilience in flood-prone areas (Xu et al., 2006; Mackill et al., 2012).</w:t>
      </w:r>
    </w:p>
    <w:p w14:paraId="7C611A6B" w14:textId="77777777" w:rsidR="00A94516" w:rsidRPr="00390E00" w:rsidRDefault="00A94516" w:rsidP="0034564D">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Stacked Insect and Disease Resistance:</w:t>
      </w:r>
      <w:r w:rsidRPr="00390E00">
        <w:rPr>
          <w:rFonts w:ascii="Arial" w:eastAsia="Times New Roman" w:hAnsi="Arial" w:cs="Arial"/>
          <w:color w:val="1B1C1D"/>
          <w:sz w:val="20"/>
          <w:szCs w:val="20"/>
          <w:lang w:eastAsia="en-IN"/>
        </w:rPr>
        <w:t xml:space="preserve"> Conventional breeding identifies lines with inherent resistance. Molecular tools help pinpoint the underlying genes/QTLs. Integration allows breeders to pyramid (stack) multiple resistance genes – identified through both conventional screening and molecular discovery – into a single elite background using MAS or genetic engineering, providing broader and more durable resistance than single-gene approaches (Khush, 2005; Jena &amp; Mackill, 2008).</w:t>
      </w:r>
    </w:p>
    <w:p w14:paraId="343F77A1" w14:textId="554E40CB" w:rsidR="00A94516" w:rsidRPr="00390E00" w:rsidRDefault="00663C38" w:rsidP="0034564D">
      <w:pPr>
        <w:spacing w:before="100" w:beforeAutospacing="1" w:after="0" w:line="240" w:lineRule="auto"/>
        <w:jc w:val="both"/>
        <w:rPr>
          <w:rFonts w:ascii="Arial" w:eastAsia="Times New Roman" w:hAnsi="Arial" w:cs="Arial"/>
          <w:b/>
          <w:bCs/>
          <w:color w:val="1B1C1D"/>
          <w:lang w:eastAsia="en-IN"/>
        </w:rPr>
      </w:pPr>
      <w:r>
        <w:rPr>
          <w:rFonts w:ascii="Arial" w:eastAsia="Times New Roman" w:hAnsi="Arial" w:cs="Arial"/>
          <w:b/>
          <w:bCs/>
          <w:color w:val="1B1C1D"/>
          <w:bdr w:val="none" w:sz="0" w:space="0" w:color="auto" w:frame="1"/>
          <w:lang w:eastAsia="en-IN"/>
        </w:rPr>
        <w:t xml:space="preserve">Table 1. </w:t>
      </w:r>
      <w:r w:rsidR="00A94516" w:rsidRPr="00390E00">
        <w:rPr>
          <w:rFonts w:ascii="Arial" w:eastAsia="Times New Roman" w:hAnsi="Arial" w:cs="Arial"/>
          <w:b/>
          <w:bCs/>
          <w:color w:val="1B1C1D"/>
          <w:bdr w:val="none" w:sz="0" w:space="0" w:color="auto" w:frame="1"/>
          <w:lang w:eastAsia="en-IN"/>
        </w:rPr>
        <w:t xml:space="preserve"> Comparative Analysis</w:t>
      </w:r>
    </w:p>
    <w:tbl>
      <w:tblPr>
        <w:tblStyle w:val="TableGrid"/>
        <w:tblW w:w="9433" w:type="dxa"/>
        <w:tblLook w:val="04A0" w:firstRow="1" w:lastRow="0" w:firstColumn="1" w:lastColumn="0" w:noHBand="0" w:noVBand="1"/>
      </w:tblPr>
      <w:tblGrid>
        <w:gridCol w:w="1551"/>
        <w:gridCol w:w="1750"/>
        <w:gridCol w:w="1489"/>
        <w:gridCol w:w="1251"/>
        <w:gridCol w:w="1587"/>
        <w:gridCol w:w="1805"/>
      </w:tblGrid>
      <w:tr w:rsidR="00A94516" w:rsidRPr="00390E00" w14:paraId="4167FEE8" w14:textId="77777777" w:rsidTr="00240AD3">
        <w:trPr>
          <w:trHeight w:val="144"/>
        </w:trPr>
        <w:tc>
          <w:tcPr>
            <w:tcW w:w="0" w:type="auto"/>
            <w:hideMark/>
          </w:tcPr>
          <w:p w14:paraId="01DD1F9A"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Approach</w:t>
            </w:r>
          </w:p>
        </w:tc>
        <w:tc>
          <w:tcPr>
            <w:tcW w:w="0" w:type="auto"/>
            <w:hideMark/>
          </w:tcPr>
          <w:p w14:paraId="1B120EB2"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Efficiency</w:t>
            </w:r>
          </w:p>
        </w:tc>
        <w:tc>
          <w:tcPr>
            <w:tcW w:w="0" w:type="auto"/>
            <w:hideMark/>
          </w:tcPr>
          <w:p w14:paraId="1ECA7B8A"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Cost</w:t>
            </w:r>
          </w:p>
        </w:tc>
        <w:tc>
          <w:tcPr>
            <w:tcW w:w="0" w:type="auto"/>
            <w:hideMark/>
          </w:tcPr>
          <w:p w14:paraId="58F22271"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Time-to-Market</w:t>
            </w:r>
          </w:p>
        </w:tc>
        <w:tc>
          <w:tcPr>
            <w:tcW w:w="0" w:type="auto"/>
            <w:hideMark/>
          </w:tcPr>
          <w:p w14:paraId="5C202390"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Key Strengths</w:t>
            </w:r>
          </w:p>
        </w:tc>
        <w:tc>
          <w:tcPr>
            <w:tcW w:w="0" w:type="auto"/>
            <w:hideMark/>
          </w:tcPr>
          <w:p w14:paraId="58013556"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Key Weaknesses</w:t>
            </w:r>
          </w:p>
        </w:tc>
      </w:tr>
      <w:tr w:rsidR="00A94516" w:rsidRPr="00390E00" w14:paraId="700FCE3A" w14:textId="77777777" w:rsidTr="00240AD3">
        <w:trPr>
          <w:trHeight w:val="144"/>
        </w:trPr>
        <w:tc>
          <w:tcPr>
            <w:tcW w:w="0" w:type="auto"/>
            <w:hideMark/>
          </w:tcPr>
          <w:p w14:paraId="4DAADBE1"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Conventional Breeding</w:t>
            </w:r>
          </w:p>
        </w:tc>
        <w:tc>
          <w:tcPr>
            <w:tcW w:w="0" w:type="auto"/>
            <w:hideMark/>
          </w:tcPr>
          <w:p w14:paraId="2EC21929"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Generates broad diversity; selection is phenotype-based, can be slow/variable</w:t>
            </w:r>
          </w:p>
        </w:tc>
        <w:tc>
          <w:tcPr>
            <w:tcW w:w="0" w:type="auto"/>
            <w:hideMark/>
          </w:tcPr>
          <w:p w14:paraId="674C0C3D"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Lower initial R&amp;D, but high long-term costs (field trials, </w:t>
            </w:r>
            <w:proofErr w:type="spellStart"/>
            <w:r w:rsidRPr="00390E00">
              <w:rPr>
                <w:rFonts w:ascii="Arial" w:eastAsia="Times New Roman" w:hAnsi="Arial" w:cs="Arial"/>
                <w:color w:val="1B1C1D"/>
                <w:sz w:val="20"/>
                <w:szCs w:val="20"/>
                <w:lang w:eastAsia="en-IN"/>
              </w:rPr>
              <w:t>labor</w:t>
            </w:r>
            <w:proofErr w:type="spellEnd"/>
            <w:r w:rsidRPr="00390E00">
              <w:rPr>
                <w:rFonts w:ascii="Arial" w:eastAsia="Times New Roman" w:hAnsi="Arial" w:cs="Arial"/>
                <w:color w:val="1B1C1D"/>
                <w:sz w:val="20"/>
                <w:szCs w:val="20"/>
                <w:lang w:eastAsia="en-IN"/>
              </w:rPr>
              <w:t>)</w:t>
            </w:r>
          </w:p>
        </w:tc>
        <w:tc>
          <w:tcPr>
            <w:tcW w:w="0" w:type="auto"/>
            <w:hideMark/>
          </w:tcPr>
          <w:p w14:paraId="6B7E71E6"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Long (8–12+ years)</w:t>
            </w:r>
          </w:p>
        </w:tc>
        <w:tc>
          <w:tcPr>
            <w:tcW w:w="0" w:type="auto"/>
            <w:hideMark/>
          </w:tcPr>
          <w:p w14:paraId="6CE47A6A"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Utilizes existing variation, farmer-accepted methods</w:t>
            </w:r>
          </w:p>
        </w:tc>
        <w:tc>
          <w:tcPr>
            <w:tcW w:w="0" w:type="auto"/>
            <w:hideMark/>
          </w:tcPr>
          <w:p w14:paraId="14392A13"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Slow, imprecise for complex traits, environmental dependency</w:t>
            </w:r>
          </w:p>
        </w:tc>
      </w:tr>
      <w:tr w:rsidR="00A94516" w:rsidRPr="00390E00" w14:paraId="53EED912" w14:textId="77777777" w:rsidTr="00240AD3">
        <w:trPr>
          <w:trHeight w:val="144"/>
        </w:trPr>
        <w:tc>
          <w:tcPr>
            <w:tcW w:w="0" w:type="auto"/>
            <w:hideMark/>
          </w:tcPr>
          <w:p w14:paraId="2967712C"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Biotechnology (Standalone)</w:t>
            </w:r>
          </w:p>
        </w:tc>
        <w:tc>
          <w:tcPr>
            <w:tcW w:w="0" w:type="auto"/>
            <w:hideMark/>
          </w:tcPr>
          <w:p w14:paraId="006D6042"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High precision for targeted traits; potential for novel variation</w:t>
            </w:r>
          </w:p>
        </w:tc>
        <w:tc>
          <w:tcPr>
            <w:tcW w:w="0" w:type="auto"/>
            <w:hideMark/>
          </w:tcPr>
          <w:p w14:paraId="7F126B16"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High R&amp;D costs (labs, tech); regulatory hurdles can add significant cost/time</w:t>
            </w:r>
          </w:p>
        </w:tc>
        <w:tc>
          <w:tcPr>
            <w:tcW w:w="0" w:type="auto"/>
            <w:hideMark/>
          </w:tcPr>
          <w:p w14:paraId="00A32428"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Potentially shorter (3–5+ yrs*)</w:t>
            </w:r>
          </w:p>
        </w:tc>
        <w:tc>
          <w:tcPr>
            <w:tcW w:w="0" w:type="auto"/>
            <w:hideMark/>
          </w:tcPr>
          <w:p w14:paraId="0DAEC69C"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Precise gene modification, novel traits possible</w:t>
            </w:r>
          </w:p>
        </w:tc>
        <w:tc>
          <w:tcPr>
            <w:tcW w:w="0" w:type="auto"/>
            <w:hideMark/>
          </w:tcPr>
          <w:p w14:paraId="05060B5E"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Regulatory barriers, public acceptance, IP issues</w:t>
            </w:r>
          </w:p>
        </w:tc>
      </w:tr>
      <w:tr w:rsidR="00A94516" w:rsidRPr="00390E00" w14:paraId="30BA797B" w14:textId="77777777" w:rsidTr="00240AD3">
        <w:trPr>
          <w:trHeight w:val="144"/>
        </w:trPr>
        <w:tc>
          <w:tcPr>
            <w:tcW w:w="0" w:type="auto"/>
            <w:hideMark/>
          </w:tcPr>
          <w:p w14:paraId="0D0A676A"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Integrated Approach</w:t>
            </w:r>
          </w:p>
        </w:tc>
        <w:tc>
          <w:tcPr>
            <w:tcW w:w="0" w:type="auto"/>
            <w:hideMark/>
          </w:tcPr>
          <w:p w14:paraId="632DFD76"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Enhanced precision &amp; speed; combines diversity with </w:t>
            </w:r>
            <w:r w:rsidRPr="00390E00">
              <w:rPr>
                <w:rFonts w:ascii="Arial" w:eastAsia="Times New Roman" w:hAnsi="Arial" w:cs="Arial"/>
                <w:color w:val="1B1C1D"/>
                <w:sz w:val="20"/>
                <w:szCs w:val="20"/>
                <w:lang w:eastAsia="en-IN"/>
              </w:rPr>
              <w:lastRenderedPageBreak/>
              <w:t>targeted selection</w:t>
            </w:r>
          </w:p>
        </w:tc>
        <w:tc>
          <w:tcPr>
            <w:tcW w:w="0" w:type="auto"/>
            <w:hideMark/>
          </w:tcPr>
          <w:p w14:paraId="76617B4B"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lastRenderedPageBreak/>
              <w:t xml:space="preserve">Moderate overall cost; molecular tools offset </w:t>
            </w:r>
            <w:r w:rsidRPr="00390E00">
              <w:rPr>
                <w:rFonts w:ascii="Arial" w:eastAsia="Times New Roman" w:hAnsi="Arial" w:cs="Arial"/>
                <w:color w:val="1B1C1D"/>
                <w:sz w:val="20"/>
                <w:szCs w:val="20"/>
                <w:lang w:eastAsia="en-IN"/>
              </w:rPr>
              <w:lastRenderedPageBreak/>
              <w:t>some field costs &amp; time</w:t>
            </w:r>
          </w:p>
        </w:tc>
        <w:tc>
          <w:tcPr>
            <w:tcW w:w="0" w:type="auto"/>
            <w:hideMark/>
          </w:tcPr>
          <w:p w14:paraId="14C3EDE0"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lastRenderedPageBreak/>
              <w:t>Optimized (5–8+ years)</w:t>
            </w:r>
          </w:p>
        </w:tc>
        <w:tc>
          <w:tcPr>
            <w:tcW w:w="0" w:type="auto"/>
            <w:hideMark/>
          </w:tcPr>
          <w:p w14:paraId="3B896724"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Best of both worlds, faster trait introgression</w:t>
            </w:r>
          </w:p>
        </w:tc>
        <w:tc>
          <w:tcPr>
            <w:tcW w:w="0" w:type="auto"/>
            <w:hideMark/>
          </w:tcPr>
          <w:p w14:paraId="2146B5D5"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Requires expertise in both areas, can still face some </w:t>
            </w:r>
            <w:r w:rsidRPr="00390E00">
              <w:rPr>
                <w:rFonts w:ascii="Arial" w:eastAsia="Times New Roman" w:hAnsi="Arial" w:cs="Arial"/>
                <w:color w:val="1B1C1D"/>
                <w:sz w:val="20"/>
                <w:szCs w:val="20"/>
                <w:lang w:eastAsia="en-IN"/>
              </w:rPr>
              <w:lastRenderedPageBreak/>
              <w:t>regulatory scrutiny</w:t>
            </w:r>
          </w:p>
        </w:tc>
      </w:tr>
    </w:tbl>
    <w:p w14:paraId="7CD339FF"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6E4BBE">
        <w:rPr>
          <w:rFonts w:ascii="Arial" w:eastAsia="Times New Roman" w:hAnsi="Arial" w:cs="Arial"/>
          <w:i/>
          <w:iCs/>
          <w:color w:val="1B1C1D"/>
          <w:sz w:val="24"/>
          <w:szCs w:val="24"/>
          <w:bdr w:val="none" w:sz="0" w:space="0" w:color="auto" w:frame="1"/>
          <w:lang w:eastAsia="en-IN"/>
        </w:rPr>
        <w:lastRenderedPageBreak/>
        <w:t>*</w:t>
      </w:r>
      <w:r w:rsidRPr="00390E00">
        <w:rPr>
          <w:rFonts w:ascii="Arial" w:eastAsia="Times New Roman" w:hAnsi="Arial" w:cs="Arial"/>
          <w:i/>
          <w:iCs/>
          <w:color w:val="1B1C1D"/>
          <w:sz w:val="20"/>
          <w:szCs w:val="20"/>
          <w:bdr w:val="none" w:sz="0" w:space="0" w:color="auto" w:frame="1"/>
          <w:lang w:eastAsia="en-IN"/>
        </w:rPr>
        <w:t>Time-to-market for biotech approaches is highly variable depending on the specific technology (e.g., MAS vs. Transgenic vs. CRISPR) and, crucially, the regulatory pathway.</w:t>
      </w:r>
    </w:p>
    <w:p w14:paraId="4E64F56E" w14:textId="77777777" w:rsidR="00A94516" w:rsidRPr="00390E00"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The integrated approach optimizes the breeding pipeline by leveraging the strengths of both methodologies, resulting in faster development of improved cultivars adapted to diverse environments and challenges (McCouch, 2008; Huang et al., 2016).</w:t>
      </w:r>
    </w:p>
    <w:p w14:paraId="1228584D" w14:textId="4108CC51" w:rsidR="00A94516" w:rsidRPr="00390E00" w:rsidRDefault="00A94516" w:rsidP="0034564D">
      <w:pPr>
        <w:spacing w:before="100" w:beforeAutospacing="1"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bdr w:val="none" w:sz="0" w:space="0" w:color="auto" w:frame="1"/>
          <w:lang w:eastAsia="en-IN"/>
        </w:rPr>
        <w:t xml:space="preserve">6. </w:t>
      </w:r>
      <w:r w:rsidR="00390E00" w:rsidRPr="00390E00">
        <w:rPr>
          <w:rFonts w:ascii="Arial" w:eastAsia="Times New Roman" w:hAnsi="Arial" w:cs="Arial"/>
          <w:b/>
          <w:bCs/>
          <w:color w:val="1B1C1D"/>
          <w:bdr w:val="none" w:sz="0" w:space="0" w:color="auto" w:frame="1"/>
          <w:lang w:eastAsia="en-IN"/>
        </w:rPr>
        <w:t>CHALLENGES, LIMITATIONS, AND REGULATORY ASPECTS</w:t>
      </w:r>
    </w:p>
    <w:p w14:paraId="30D0458F"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Despite the promise, deploying modern rice breeding innovations faces significant hurdles.</w:t>
      </w:r>
    </w:p>
    <w:p w14:paraId="410952A5" w14:textId="77777777" w:rsidR="00A94516" w:rsidRPr="00390E00" w:rsidRDefault="00A94516" w:rsidP="00390E00">
      <w:pPr>
        <w:spacing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bdr w:val="none" w:sz="0" w:space="0" w:color="auto" w:frame="1"/>
          <w:lang w:eastAsia="en-IN"/>
        </w:rPr>
        <w:t>6.1 Technical and Scientific Challenges</w:t>
      </w:r>
    </w:p>
    <w:p w14:paraId="1DB459A9" w14:textId="77777777" w:rsidR="00A94516" w:rsidRPr="00390E00" w:rsidRDefault="00A94516" w:rsidP="00390E00">
      <w:pPr>
        <w:numPr>
          <w:ilvl w:val="0"/>
          <w:numId w:val="8"/>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Off-Target Effects in Genome Editing:</w:t>
      </w:r>
      <w:r w:rsidRPr="00390E00">
        <w:rPr>
          <w:rFonts w:ascii="Arial" w:eastAsia="Times New Roman" w:hAnsi="Arial" w:cs="Arial"/>
          <w:color w:val="1B1C1D"/>
          <w:sz w:val="20"/>
          <w:szCs w:val="20"/>
          <w:lang w:eastAsia="en-IN"/>
        </w:rPr>
        <w:t xml:space="preserve"> While precision is high, CRISPR/Cas9 and similar tools can occasionally induce unintended mutations at sites similar to the target sequence. Rigorous screening and refined tool design are needed to minimize these risks and ensure phenotypic stability (Zhang et al., 2015).</w:t>
      </w:r>
    </w:p>
    <w:p w14:paraId="2AE07A71" w14:textId="77777777" w:rsidR="00A94516" w:rsidRPr="00390E00" w:rsidRDefault="00A94516" w:rsidP="00390E00">
      <w:pPr>
        <w:numPr>
          <w:ilvl w:val="0"/>
          <w:numId w:val="8"/>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Complexity of Agronomic Traits:</w:t>
      </w:r>
      <w:r w:rsidRPr="00390E00">
        <w:rPr>
          <w:rFonts w:ascii="Arial" w:eastAsia="Times New Roman" w:hAnsi="Arial" w:cs="Arial"/>
          <w:color w:val="1B1C1D"/>
          <w:sz w:val="20"/>
          <w:szCs w:val="20"/>
          <w:lang w:eastAsia="en-IN"/>
        </w:rPr>
        <w:t xml:space="preserve"> Many crucial traits (yield, drought tolerance) are polygenic and highly influenced by genotype-by-environment interactions. Dissecting their genetic basis and predicting performance accurately remains challenging, even with advanced omics and </w:t>
      </w:r>
      <w:proofErr w:type="spellStart"/>
      <w:r w:rsidRPr="00390E00">
        <w:rPr>
          <w:rFonts w:ascii="Arial" w:eastAsia="Times New Roman" w:hAnsi="Arial" w:cs="Arial"/>
          <w:color w:val="1B1C1D"/>
          <w:sz w:val="20"/>
          <w:szCs w:val="20"/>
          <w:lang w:eastAsia="en-IN"/>
        </w:rPr>
        <w:t>modeling</w:t>
      </w:r>
      <w:proofErr w:type="spellEnd"/>
      <w:r w:rsidRPr="00390E00">
        <w:rPr>
          <w:rFonts w:ascii="Arial" w:eastAsia="Times New Roman" w:hAnsi="Arial" w:cs="Arial"/>
          <w:color w:val="1B1C1D"/>
          <w:sz w:val="20"/>
          <w:szCs w:val="20"/>
          <w:lang w:eastAsia="en-IN"/>
        </w:rPr>
        <w:t xml:space="preserve"> (Huang et al., 2016).</w:t>
      </w:r>
    </w:p>
    <w:p w14:paraId="00C616EC" w14:textId="77777777" w:rsidR="00A94516" w:rsidRPr="00390E00" w:rsidRDefault="00A94516" w:rsidP="00390E00">
      <w:pPr>
        <w:numPr>
          <w:ilvl w:val="0"/>
          <w:numId w:val="8"/>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Limited Genetic Diversity in Elite Germplasm:</w:t>
      </w:r>
      <w:r w:rsidRPr="00390E00">
        <w:rPr>
          <w:rFonts w:ascii="Arial" w:eastAsia="Times New Roman" w:hAnsi="Arial" w:cs="Arial"/>
          <w:color w:val="1B1C1D"/>
          <w:sz w:val="20"/>
          <w:szCs w:val="20"/>
          <w:lang w:eastAsia="en-IN"/>
        </w:rPr>
        <w:t xml:space="preserve"> Decades of breeding have sometimes narrowed the genetic base of elite cultivars. While biotechnology can introduce specific genes, accessing and utilizing broader genetic diversity from landraces and wild relatives remains crucial for long-term resilience and improvement (McCouch, 2008). Delivery and regeneration protocols for genetic transformation or editing can also be genotype-dependent and inefficient for some important rice varieties.</w:t>
      </w:r>
    </w:p>
    <w:p w14:paraId="4A6A155B" w14:textId="77777777" w:rsidR="00A94516" w:rsidRPr="00390E00" w:rsidRDefault="00A94516" w:rsidP="00390E00">
      <w:pPr>
        <w:spacing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bdr w:val="none" w:sz="0" w:space="0" w:color="auto" w:frame="1"/>
          <w:lang w:eastAsia="en-IN"/>
        </w:rPr>
        <w:t>6.2 Regulatory and Biosafety Considerations</w:t>
      </w:r>
    </w:p>
    <w:p w14:paraId="62C211AF" w14:textId="77777777" w:rsidR="00A94516" w:rsidRPr="00390E00" w:rsidRDefault="00A94516" w:rsidP="00390E00">
      <w:pPr>
        <w:numPr>
          <w:ilvl w:val="0"/>
          <w:numId w:val="9"/>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Divergent Global Regulations:</w:t>
      </w:r>
      <w:r w:rsidRPr="00390E00">
        <w:rPr>
          <w:rFonts w:ascii="Arial" w:eastAsia="Times New Roman" w:hAnsi="Arial" w:cs="Arial"/>
          <w:color w:val="1B1C1D"/>
          <w:sz w:val="20"/>
          <w:szCs w:val="20"/>
          <w:lang w:eastAsia="en-IN"/>
        </w:rPr>
        <w:t xml:space="preserve"> The regulation of genetically modified (GM) and genome-edited crops varies widely. Some regions (e.g., EU) have stringent regulations for most products of modern biotechnology, requiring extensive safety assessments and </w:t>
      </w:r>
      <w:proofErr w:type="spellStart"/>
      <w:r w:rsidRPr="00390E00">
        <w:rPr>
          <w:rFonts w:ascii="Arial" w:eastAsia="Times New Roman" w:hAnsi="Arial" w:cs="Arial"/>
          <w:color w:val="1B1C1D"/>
          <w:sz w:val="20"/>
          <w:szCs w:val="20"/>
          <w:lang w:eastAsia="en-IN"/>
        </w:rPr>
        <w:t>labeling</w:t>
      </w:r>
      <w:proofErr w:type="spellEnd"/>
      <w:r w:rsidRPr="00390E00">
        <w:rPr>
          <w:rFonts w:ascii="Arial" w:eastAsia="Times New Roman" w:hAnsi="Arial" w:cs="Arial"/>
          <w:color w:val="1B1C1D"/>
          <w:sz w:val="20"/>
          <w:szCs w:val="20"/>
          <w:lang w:eastAsia="en-IN"/>
        </w:rPr>
        <w:t xml:space="preserve"> (European Commission, 2018). Others (e.g., USA, Canada, Japan, parts of South America and Asia) have adopted more product-based approaches, particularly differentiating genome editing that doesn't introduce foreign DNA (</w:t>
      </w:r>
      <w:proofErr w:type="spellStart"/>
      <w:r w:rsidRPr="00390E00">
        <w:rPr>
          <w:rFonts w:ascii="Arial" w:eastAsia="Times New Roman" w:hAnsi="Arial" w:cs="Arial"/>
          <w:color w:val="1B1C1D"/>
          <w:sz w:val="20"/>
          <w:szCs w:val="20"/>
          <w:lang w:eastAsia="en-IN"/>
        </w:rPr>
        <w:t>Lusser</w:t>
      </w:r>
      <w:proofErr w:type="spellEnd"/>
      <w:r w:rsidRPr="00390E00">
        <w:rPr>
          <w:rFonts w:ascii="Arial" w:eastAsia="Times New Roman" w:hAnsi="Arial" w:cs="Arial"/>
          <w:color w:val="1B1C1D"/>
          <w:sz w:val="20"/>
          <w:szCs w:val="20"/>
          <w:lang w:eastAsia="en-IN"/>
        </w:rPr>
        <w:t xml:space="preserve"> et al., 2012; Qaim, 2020). This patchwork creates challenges for international trade and research collaboration.</w:t>
      </w:r>
    </w:p>
    <w:p w14:paraId="4A2D52C5" w14:textId="77777777" w:rsidR="00A94516" w:rsidRPr="00390E00" w:rsidRDefault="00A94516" w:rsidP="0034564D">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Biosafety Assessment:</w:t>
      </w:r>
      <w:r w:rsidRPr="00390E00">
        <w:rPr>
          <w:rFonts w:ascii="Arial" w:eastAsia="Times New Roman" w:hAnsi="Arial" w:cs="Arial"/>
          <w:color w:val="1B1C1D"/>
          <w:sz w:val="20"/>
          <w:szCs w:val="20"/>
          <w:lang w:eastAsia="en-IN"/>
        </w:rPr>
        <w:t xml:space="preserve"> Concerns include potential gene flow to wild relatives, impacts on non-target organisms (e.g., beneficial insects), the evolution of resistance in pests/weeds, and broader ecological effects. Thorough, case-by-case risk assessments and long-term monitoring are necessary to evaluate and manage potential environmental impacts (Heinemann et al., 2010; NAS, 2016).</w:t>
      </w:r>
    </w:p>
    <w:p w14:paraId="47CD347F" w14:textId="77777777" w:rsidR="00A94516" w:rsidRPr="00390E00" w:rsidRDefault="00A94516" w:rsidP="00390E00">
      <w:pPr>
        <w:spacing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bdr w:val="none" w:sz="0" w:space="0" w:color="auto" w:frame="1"/>
          <w:lang w:eastAsia="en-IN"/>
        </w:rPr>
        <w:t>6.3 Socioeconomic and Ethical Considerations</w:t>
      </w:r>
    </w:p>
    <w:p w14:paraId="2663B951" w14:textId="77777777" w:rsidR="00A94516" w:rsidRPr="00390E00" w:rsidRDefault="00A94516" w:rsidP="00390E00">
      <w:pPr>
        <w:numPr>
          <w:ilvl w:val="0"/>
          <w:numId w:val="10"/>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Public Perception and Farmer Adoption:</w:t>
      </w:r>
      <w:r w:rsidRPr="00390E00">
        <w:rPr>
          <w:rFonts w:ascii="Arial" w:eastAsia="Times New Roman" w:hAnsi="Arial" w:cs="Arial"/>
          <w:color w:val="1B1C1D"/>
          <w:sz w:val="20"/>
          <w:szCs w:val="20"/>
          <w:lang w:eastAsia="en-IN"/>
        </w:rPr>
        <w:t xml:space="preserve"> Consumer acceptance of GM and genome-edited foods varies globally, influenced by information, trust, and perceived benefits/risks. Farmer adoption depends on factors like cost, access to seeds, performance reliability, market access, and local support systems. Misinformation and ethical debates can hinder the uptake of potentially beneficial technologies, particularly among smallholders (Qaim, 2016; NAS, 2016).</w:t>
      </w:r>
    </w:p>
    <w:p w14:paraId="5AC90F59" w14:textId="77777777" w:rsidR="00A94516" w:rsidRPr="00390E00" w:rsidRDefault="00A94516" w:rsidP="0034564D">
      <w:pPr>
        <w:numPr>
          <w:ilvl w:val="0"/>
          <w:numId w:val="10"/>
        </w:numPr>
        <w:spacing w:before="100" w:beforeAutospacing="1"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Intellectual Property (IP) Rights:</w:t>
      </w:r>
      <w:r w:rsidRPr="00390E00">
        <w:rPr>
          <w:rFonts w:ascii="Arial" w:eastAsia="Times New Roman" w:hAnsi="Arial" w:cs="Arial"/>
          <w:color w:val="1B1C1D"/>
          <w:sz w:val="20"/>
          <w:szCs w:val="20"/>
          <w:lang w:eastAsia="en-IN"/>
        </w:rPr>
        <w:t xml:space="preserve"> Many biotechnological tools and resulting products are protected by patents. While IP incentivizes innovation, it can restrict access for public sector researchers and farmers, especially in developing countries. Issues around seed saving and equitable benefit-sharing are critical considerations (Evenson &amp; Gollin, 2018).</w:t>
      </w:r>
    </w:p>
    <w:p w14:paraId="6E5EA8A3" w14:textId="77777777" w:rsidR="00A94516" w:rsidRPr="00390E00" w:rsidRDefault="00A94516" w:rsidP="0034564D">
      <w:pPr>
        <w:numPr>
          <w:ilvl w:val="0"/>
          <w:numId w:val="10"/>
        </w:numPr>
        <w:spacing w:before="100" w:beforeAutospacing="1"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Equity and Access:</w:t>
      </w:r>
      <w:r w:rsidRPr="00390E00">
        <w:rPr>
          <w:rFonts w:ascii="Arial" w:eastAsia="Times New Roman" w:hAnsi="Arial" w:cs="Arial"/>
          <w:color w:val="1B1C1D"/>
          <w:sz w:val="20"/>
          <w:szCs w:val="20"/>
          <w:lang w:eastAsia="en-IN"/>
        </w:rPr>
        <w:t xml:space="preserve"> Ensuring that the benefits of advanced breeding</w:t>
      </w:r>
      <w:r w:rsidR="00182AF5" w:rsidRPr="00390E00">
        <w:rPr>
          <w:rFonts w:ascii="Arial" w:eastAsia="Times New Roman" w:hAnsi="Arial" w:cs="Arial"/>
          <w:color w:val="1B1C1D"/>
          <w:sz w:val="20"/>
          <w:szCs w:val="20"/>
          <w:lang w:eastAsia="en-IN"/>
        </w:rPr>
        <w:t xml:space="preserve"> reach those who need them most </w:t>
      </w:r>
      <w:r w:rsidRPr="00390E00">
        <w:rPr>
          <w:rFonts w:ascii="Arial" w:eastAsia="Times New Roman" w:hAnsi="Arial" w:cs="Arial"/>
          <w:color w:val="1B1C1D"/>
          <w:sz w:val="20"/>
          <w:szCs w:val="20"/>
          <w:lang w:eastAsia="en-IN"/>
        </w:rPr>
        <w:t>including smallholder far</w:t>
      </w:r>
      <w:r w:rsidR="00182AF5" w:rsidRPr="00390E00">
        <w:rPr>
          <w:rFonts w:ascii="Arial" w:eastAsia="Times New Roman" w:hAnsi="Arial" w:cs="Arial"/>
          <w:color w:val="1B1C1D"/>
          <w:sz w:val="20"/>
          <w:szCs w:val="20"/>
          <w:lang w:eastAsia="en-IN"/>
        </w:rPr>
        <w:t xml:space="preserve">mers and vulnerable populations </w:t>
      </w:r>
      <w:r w:rsidRPr="00390E00">
        <w:rPr>
          <w:rFonts w:ascii="Arial" w:eastAsia="Times New Roman" w:hAnsi="Arial" w:cs="Arial"/>
          <w:color w:val="1B1C1D"/>
          <w:sz w:val="20"/>
          <w:szCs w:val="20"/>
          <w:lang w:eastAsia="en-IN"/>
        </w:rPr>
        <w:t>is a major challenge. High upfront costs or complex management requirements can exacerbate inequalities if not addressed through appropriate policies and support mechanisms.</w:t>
      </w:r>
    </w:p>
    <w:p w14:paraId="40787737" w14:textId="1527E476" w:rsidR="00A94516" w:rsidRPr="006E4BBE" w:rsidRDefault="00A94516" w:rsidP="00390E00">
      <w:pPr>
        <w:spacing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 xml:space="preserve">7. </w:t>
      </w:r>
      <w:r w:rsidR="002F1A35" w:rsidRPr="002F1A35">
        <w:rPr>
          <w:rFonts w:ascii="Arial" w:eastAsia="Times New Roman" w:hAnsi="Arial" w:cs="Arial"/>
          <w:b/>
          <w:caps/>
          <w:szCs w:val="20"/>
          <w:lang w:val="en-US"/>
        </w:rPr>
        <w:t>EMERGING TRENDS AND FUTURE DIRECTIONS</w:t>
      </w:r>
    </w:p>
    <w:p w14:paraId="68825883" w14:textId="77777777" w:rsidR="00A94516" w:rsidRPr="002F1A35"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Rice breeding continues to evolve rapidly, driven by technological innovation and the pressing need for sustainable solutions.</w:t>
      </w:r>
    </w:p>
    <w:p w14:paraId="6B8A8A21"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7.1 Integration with AI and Machine Learning</w:t>
      </w:r>
    </w:p>
    <w:p w14:paraId="3CE20D73"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lastRenderedPageBreak/>
        <w:t>AI and machine learning (ML) are transforming breeding by enabling the analysis of massive, complex datasets (genomic, phenotypic, environmental). Predictive models can forecast crop performance, identify optimal crossing combinations, and accelerate gene discovery, making breeding programs more efficient and data-driven (Singh et al., 2019; Zhang &amp; Li, 2021).</w:t>
      </w:r>
    </w:p>
    <w:p w14:paraId="472AB930"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7.2 Advances in High-Throughput Technologies</w:t>
      </w:r>
    </w:p>
    <w:p w14:paraId="4D0F3A0F"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 xml:space="preserve">Continued improvements in sequencing speed/cost, HTP platforms, and multi-omics data generation provide ever-deeper insights into rice biology. Systems biology approaches integrating these data layers will be crucial for </w:t>
      </w:r>
      <w:proofErr w:type="spellStart"/>
      <w:r w:rsidRPr="002F1A35">
        <w:rPr>
          <w:rFonts w:ascii="Arial" w:eastAsia="Times New Roman" w:hAnsi="Arial" w:cs="Arial"/>
          <w:color w:val="1B1C1D"/>
          <w:sz w:val="20"/>
          <w:szCs w:val="20"/>
          <w:lang w:eastAsia="en-IN"/>
        </w:rPr>
        <w:t>unraveling</w:t>
      </w:r>
      <w:proofErr w:type="spellEnd"/>
      <w:r w:rsidRPr="002F1A35">
        <w:rPr>
          <w:rFonts w:ascii="Arial" w:eastAsia="Times New Roman" w:hAnsi="Arial" w:cs="Arial"/>
          <w:color w:val="1B1C1D"/>
          <w:sz w:val="20"/>
          <w:szCs w:val="20"/>
          <w:lang w:eastAsia="en-IN"/>
        </w:rPr>
        <w:t xml:space="preserve"> complex gene networks controlling key agronomic traits (Huang et al., 2016; Zhu et al., 2017).</w:t>
      </w:r>
    </w:p>
    <w:p w14:paraId="5C332033"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7.3 Focus on Sustainable Agriculture and Climate Resilience</w:t>
      </w:r>
    </w:p>
    <w:p w14:paraId="30671AB2"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Future breeding efforts will increasingly prioritize sustainability. This includes developing varieties with enhanced tolerance to abiotic stresses (drought, heat, salinity), improved nutrient use efficiency (especially nitrogen and phosphorus) to reduce fertilizer needs, and durable resistance to pests/diseases to minimize pesticide use. These 'climate-smart' varieties are essential for adapting agriculture to environmental change and reducing its ecological footprint (Qin et al., 2020; Varshney et al., 2021).</w:t>
      </w:r>
    </w:p>
    <w:p w14:paraId="7E77F427" w14:textId="77777777" w:rsidR="00A94516" w:rsidRPr="006E4BBE" w:rsidRDefault="00A94516" w:rsidP="002F1A35">
      <w:pPr>
        <w:spacing w:after="0" w:line="240" w:lineRule="auto"/>
        <w:jc w:val="both"/>
        <w:rPr>
          <w:rFonts w:ascii="Arial" w:eastAsia="Times New Roman" w:hAnsi="Arial" w:cs="Arial"/>
          <w:b/>
          <w:bCs/>
          <w:color w:val="1B1C1D"/>
          <w:sz w:val="24"/>
          <w:szCs w:val="24"/>
          <w:lang w:eastAsia="en-IN"/>
        </w:rPr>
      </w:pPr>
      <w:r w:rsidRPr="002F1A35">
        <w:rPr>
          <w:rFonts w:ascii="Arial" w:eastAsia="Times New Roman" w:hAnsi="Arial" w:cs="Arial"/>
          <w:b/>
          <w:bCs/>
          <w:color w:val="1B1C1D"/>
          <w:bdr w:val="none" w:sz="0" w:space="0" w:color="auto" w:frame="1"/>
          <w:lang w:eastAsia="en-IN"/>
        </w:rPr>
        <w:t>7.4 Potential New Techniques</w:t>
      </w:r>
    </w:p>
    <w:p w14:paraId="5ADE8609" w14:textId="77777777" w:rsidR="00A94516" w:rsidRPr="002F1A35" w:rsidRDefault="00A94516" w:rsidP="002F1A35">
      <w:pPr>
        <w:numPr>
          <w:ilvl w:val="0"/>
          <w:numId w:val="11"/>
        </w:numPr>
        <w:spacing w:after="0" w:line="240" w:lineRule="auto"/>
        <w:ind w:left="0"/>
        <w:jc w:val="both"/>
        <w:rPr>
          <w:rFonts w:ascii="Arial" w:eastAsia="Times New Roman" w:hAnsi="Arial" w:cs="Arial"/>
          <w:color w:val="1B1C1D"/>
          <w:sz w:val="20"/>
          <w:szCs w:val="20"/>
          <w:lang w:eastAsia="en-IN"/>
        </w:rPr>
      </w:pPr>
      <w:r w:rsidRPr="002F1A35">
        <w:rPr>
          <w:rFonts w:ascii="Arial" w:eastAsia="Times New Roman" w:hAnsi="Arial" w:cs="Arial"/>
          <w:b/>
          <w:bCs/>
          <w:color w:val="1B1C1D"/>
          <w:sz w:val="20"/>
          <w:szCs w:val="20"/>
          <w:bdr w:val="none" w:sz="0" w:space="0" w:color="auto" w:frame="1"/>
          <w:lang w:eastAsia="en-IN"/>
        </w:rPr>
        <w:t>Synthetic Biology:</w:t>
      </w:r>
      <w:r w:rsidRPr="002F1A35">
        <w:rPr>
          <w:rFonts w:ascii="Arial" w:eastAsia="Times New Roman" w:hAnsi="Arial" w:cs="Arial"/>
          <w:color w:val="1B1C1D"/>
          <w:sz w:val="20"/>
          <w:szCs w:val="20"/>
          <w:lang w:eastAsia="en-IN"/>
        </w:rPr>
        <w:t xml:space="preserve"> Designing and building novel biological parts, devices, and systems offers possibilities for re-engineering metabolic pathways in rice to enhance nutritional value (e.g., bio</w:t>
      </w:r>
      <w:r w:rsidR="00325038" w:rsidRPr="002F1A35">
        <w:rPr>
          <w:rFonts w:ascii="Arial" w:eastAsia="Times New Roman" w:hAnsi="Arial" w:cs="Arial"/>
          <w:color w:val="1B1C1D"/>
          <w:sz w:val="20"/>
          <w:szCs w:val="20"/>
          <w:lang w:eastAsia="en-IN"/>
        </w:rPr>
        <w:t xml:space="preserve"> </w:t>
      </w:r>
      <w:r w:rsidRPr="002F1A35">
        <w:rPr>
          <w:rFonts w:ascii="Arial" w:eastAsia="Times New Roman" w:hAnsi="Arial" w:cs="Arial"/>
          <w:color w:val="1B1C1D"/>
          <w:sz w:val="20"/>
          <w:szCs w:val="20"/>
          <w:lang w:eastAsia="en-IN"/>
        </w:rPr>
        <w:t>fortification), produce valuable compounds, or create entirely new forms of stress tolerance.</w:t>
      </w:r>
    </w:p>
    <w:p w14:paraId="25C8E981" w14:textId="77777777" w:rsidR="00A94516" w:rsidRPr="002F1A35" w:rsidRDefault="00A94516" w:rsidP="002F1A35">
      <w:pPr>
        <w:numPr>
          <w:ilvl w:val="0"/>
          <w:numId w:val="11"/>
        </w:numPr>
        <w:spacing w:after="0" w:line="240" w:lineRule="auto"/>
        <w:ind w:left="0"/>
        <w:jc w:val="both"/>
        <w:rPr>
          <w:rFonts w:ascii="Arial" w:eastAsia="Times New Roman" w:hAnsi="Arial" w:cs="Arial"/>
          <w:color w:val="1B1C1D"/>
          <w:sz w:val="20"/>
          <w:szCs w:val="20"/>
          <w:lang w:eastAsia="en-IN"/>
        </w:rPr>
      </w:pPr>
      <w:r w:rsidRPr="002F1A35">
        <w:rPr>
          <w:rFonts w:ascii="Arial" w:eastAsia="Times New Roman" w:hAnsi="Arial" w:cs="Arial"/>
          <w:b/>
          <w:bCs/>
          <w:color w:val="1B1C1D"/>
          <w:sz w:val="20"/>
          <w:szCs w:val="20"/>
          <w:bdr w:val="none" w:sz="0" w:space="0" w:color="auto" w:frame="1"/>
          <w:lang w:eastAsia="en-IN"/>
        </w:rPr>
        <w:t>Advanced Genome Editing:</w:t>
      </w:r>
      <w:r w:rsidRPr="002F1A35">
        <w:rPr>
          <w:rFonts w:ascii="Arial" w:eastAsia="Times New Roman" w:hAnsi="Arial" w:cs="Arial"/>
          <w:color w:val="1B1C1D"/>
          <w:sz w:val="20"/>
          <w:szCs w:val="20"/>
          <w:lang w:eastAsia="en-IN"/>
        </w:rPr>
        <w:t xml:space="preserve"> Newer tools like base editing (precise single base changes without DSBs) and prime editing (versatile insertions, deletions, and all base conversions without DSBs) offer even greater precision and control over genome modification, potentially overcoming some limitations of CRISPR/Cas9 and simplifying regulatory pathways in some jurisdictions (Anzalone et al., 2019; Molla et al., 2021).</w:t>
      </w:r>
    </w:p>
    <w:p w14:paraId="27B2B25C" w14:textId="53F01BE4"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bdr w:val="none" w:sz="0" w:space="0" w:color="auto" w:frame="1"/>
          <w:lang w:eastAsia="en-IN"/>
        </w:rPr>
        <w:t xml:space="preserve">8. </w:t>
      </w:r>
      <w:r w:rsidR="002F1A35" w:rsidRPr="002F1A35">
        <w:rPr>
          <w:rFonts w:ascii="Arial" w:eastAsia="Times New Roman" w:hAnsi="Arial" w:cs="Arial"/>
          <w:b/>
          <w:bCs/>
          <w:color w:val="1B1C1D"/>
          <w:bdr w:val="none" w:sz="0" w:space="0" w:color="auto" w:frame="1"/>
          <w:lang w:eastAsia="en-IN"/>
        </w:rPr>
        <w:t>DISCUSSION</w:t>
      </w:r>
    </w:p>
    <w:p w14:paraId="0D714B9E"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8.1 Synthesis and Interpretation of Findings</w:t>
      </w:r>
    </w:p>
    <w:p w14:paraId="4E6E97DB" w14:textId="579A7B99"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This review highlights a clear trajectory in rice improvement: a powerful synergy emerging from the integration of conventional breeding wisdom with cutting-edge biotechnological tools. While traditional methods provided the foundation and explored natural genetic diversity, they are inherently slow and often imprecise for tackling complex traits and rapidly evolving environmental challenges. Modern techniques—spanning MAS, QTL mapping, trans</w:t>
      </w:r>
      <w:r w:rsidR="00325038" w:rsidRPr="002F1A35">
        <w:rPr>
          <w:rFonts w:ascii="Arial" w:eastAsia="Times New Roman" w:hAnsi="Arial" w:cs="Arial"/>
          <w:color w:val="1B1C1D"/>
          <w:sz w:val="20"/>
          <w:szCs w:val="20"/>
          <w:lang w:eastAsia="en-IN"/>
        </w:rPr>
        <w:t>-</w:t>
      </w:r>
      <w:proofErr w:type="spellStart"/>
      <w:r w:rsidRPr="002F1A35">
        <w:rPr>
          <w:rFonts w:ascii="Arial" w:eastAsia="Times New Roman" w:hAnsi="Arial" w:cs="Arial"/>
          <w:color w:val="1B1C1D"/>
          <w:sz w:val="20"/>
          <w:szCs w:val="20"/>
          <w:lang w:eastAsia="en-IN"/>
        </w:rPr>
        <w:t>genics</w:t>
      </w:r>
      <w:proofErr w:type="spellEnd"/>
      <w:r w:rsidRPr="002F1A35">
        <w:rPr>
          <w:rFonts w:ascii="Arial" w:eastAsia="Times New Roman" w:hAnsi="Arial" w:cs="Arial"/>
          <w:color w:val="1B1C1D"/>
          <w:sz w:val="20"/>
          <w:szCs w:val="20"/>
          <w:lang w:eastAsia="en-IN"/>
        </w:rPr>
        <w:t xml:space="preserve">, RNAi, and especially the revolution brought by genome editing (CRISPR/Cas9)—provide unprecedented speed and precision. The synthesis of recent literature clearly indicates that integrated approaches, such as using MAS or GS to guide conventional crossing, or </w:t>
      </w:r>
      <w:r w:rsidR="005D5A14" w:rsidRPr="002F1A35">
        <w:rPr>
          <w:rFonts w:ascii="Arial" w:eastAsia="Times New Roman" w:hAnsi="Arial" w:cs="Arial"/>
          <w:color w:val="1B1C1D"/>
          <w:sz w:val="20"/>
          <w:szCs w:val="20"/>
          <w:lang w:eastAsia="en-IN"/>
        </w:rPr>
        <w:t>employing</w:t>
      </w:r>
      <w:r w:rsidRPr="002F1A35">
        <w:rPr>
          <w:rFonts w:ascii="Arial" w:eastAsia="Times New Roman" w:hAnsi="Arial" w:cs="Arial"/>
          <w:color w:val="1B1C1D"/>
          <w:sz w:val="20"/>
          <w:szCs w:val="20"/>
          <w:lang w:eastAsia="en-IN"/>
        </w:rPr>
        <w:t xml:space="preserve"> genome editing to precisely enhance elite lines, are proving highly effective. Case studies like the Sub1 rice demonstrate tangible success in translating molecular discoveries into farmer-ready varieties that address critical constraints like flooding. The adoption of high-throughput phenotyping and multi-omics, </w:t>
      </w:r>
      <w:proofErr w:type="spellStart"/>
      <w:r w:rsidRPr="002F1A35">
        <w:rPr>
          <w:rFonts w:ascii="Arial" w:eastAsia="Times New Roman" w:hAnsi="Arial" w:cs="Arial"/>
          <w:color w:val="1B1C1D"/>
          <w:sz w:val="20"/>
          <w:szCs w:val="20"/>
          <w:lang w:eastAsia="en-IN"/>
        </w:rPr>
        <w:t>analyzed</w:t>
      </w:r>
      <w:proofErr w:type="spellEnd"/>
      <w:r w:rsidRPr="002F1A35">
        <w:rPr>
          <w:rFonts w:ascii="Arial" w:eastAsia="Times New Roman" w:hAnsi="Arial" w:cs="Arial"/>
          <w:color w:val="1B1C1D"/>
          <w:sz w:val="20"/>
          <w:szCs w:val="20"/>
          <w:lang w:eastAsia="en-IN"/>
        </w:rPr>
        <w:t xml:space="preserve"> via sophisticated computational methods including AI, further accelerates this process by enabling better prediction and understanding of complex genotype-phenotype relationships.</w:t>
      </w:r>
    </w:p>
    <w:p w14:paraId="03C493E4"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8.2 Implications for Food Security and Sustainability</w:t>
      </w:r>
    </w:p>
    <w:p w14:paraId="276A3173" w14:textId="77777777" w:rsidR="00A94516" w:rsidRPr="002F1A35" w:rsidRDefault="00A94516" w:rsidP="002F1A35">
      <w:pPr>
        <w:spacing w:after="0" w:line="240" w:lineRule="auto"/>
        <w:jc w:val="both"/>
        <w:rPr>
          <w:rFonts w:ascii="Arial" w:eastAsia="Times New Roman" w:hAnsi="Arial" w:cs="Arial"/>
          <w:sz w:val="20"/>
          <w:szCs w:val="20"/>
          <w:lang w:eastAsia="en-IN"/>
        </w:rPr>
      </w:pPr>
      <w:r w:rsidRPr="002F1A35">
        <w:rPr>
          <w:rFonts w:ascii="Arial" w:eastAsia="Times New Roman" w:hAnsi="Arial" w:cs="Arial"/>
          <w:color w:val="1B1C1D"/>
          <w:sz w:val="20"/>
          <w:szCs w:val="20"/>
          <w:lang w:eastAsia="en-IN"/>
        </w:rPr>
        <w:t xml:space="preserve">The advancements discussed hold profound implications for global food security and agricultural sustainability. By accelerating the development of higher-yielding, more resilient rice varieties, these integrated approaches directly contribute to meeting the nutritional needs of a growing global population projected to exceed 9 billion by 2050. Developing cultivars tolerant to drought, salinity, heat, and submergence is crucial for climate change adaptation, particularly for vulnerable smallholder farmers who rely heavily on rice. Furthermore, enhancing nutrient use efficiency and pest/disease resistance through biotechnology can reduce the reliance on chemical fertilizers and pesticides, contributing to more sustainable production systems with lower environmental impacts. Biofortification efforts, like Golden Rice or zinc-enhanced rice, directly address micronutrient </w:t>
      </w:r>
      <w:r w:rsidRPr="002F1A35">
        <w:rPr>
          <w:rFonts w:ascii="Arial" w:eastAsia="Times New Roman" w:hAnsi="Arial" w:cs="Arial"/>
          <w:sz w:val="20"/>
          <w:szCs w:val="20"/>
          <w:lang w:eastAsia="en-IN"/>
        </w:rPr>
        <w:t>deficiencies ("hidden hunger") prevalent in rice-dependent populations.</w:t>
      </w:r>
    </w:p>
    <w:p w14:paraId="2FF7D548" w14:textId="77777777" w:rsidR="00A94516" w:rsidRPr="002F1A35" w:rsidRDefault="00A94516" w:rsidP="002F1A35">
      <w:pPr>
        <w:spacing w:after="0" w:line="240" w:lineRule="auto"/>
        <w:jc w:val="both"/>
        <w:rPr>
          <w:rFonts w:ascii="Arial" w:eastAsia="Times New Roman" w:hAnsi="Arial" w:cs="Arial"/>
          <w:b/>
          <w:bCs/>
          <w:lang w:eastAsia="en-IN"/>
        </w:rPr>
      </w:pPr>
      <w:r w:rsidRPr="002F1A35">
        <w:rPr>
          <w:rFonts w:ascii="Arial" w:eastAsia="Times New Roman" w:hAnsi="Arial" w:cs="Arial"/>
          <w:b/>
          <w:bCs/>
          <w:lang w:eastAsia="en-IN"/>
        </w:rPr>
        <w:t>8.3 Balancing Innovation with Challenges</w:t>
      </w:r>
    </w:p>
    <w:p w14:paraId="51BDF017"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 xml:space="preserve">Despite the immense potential, realizing the benefits of modern rice breeding requires navigating significant technical, regulatory, and socioeconomic challenges. Off-target effects in genome editing necessitate continued refinement and rigorous validation. The complexity of polygenic traits requires ongoing research integrating genomics, phenomics, and environmental data. Perhaps most critically, the fragmented and often restrictive regulatory landscape for GM and genome-edited crops, coupled with public perception issues and IP constraints, can severely limit the translation of research breakthroughs into practical solutions available to farmers globally. Ensuring equitable access and </w:t>
      </w:r>
      <w:r w:rsidRPr="002F1A35">
        <w:rPr>
          <w:rFonts w:ascii="Arial" w:eastAsia="Times New Roman" w:hAnsi="Arial" w:cs="Arial"/>
          <w:color w:val="1B1C1D"/>
          <w:sz w:val="20"/>
          <w:szCs w:val="20"/>
          <w:lang w:eastAsia="en-IN"/>
        </w:rPr>
        <w:lastRenderedPageBreak/>
        <w:t>benefit-sharing, particularly for resource-poor farmers, is paramount. Responsible innovation demands careful consideration of biosafety, environmental impacts, and ethical dimensions alongside technical advancement.</w:t>
      </w:r>
    </w:p>
    <w:p w14:paraId="7EB08063"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8.4 Limitations of the Review</w:t>
      </w:r>
    </w:p>
    <w:p w14:paraId="543A5498"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This review synthesized literature primarily from 2015-2023, potentially omitting some earlier foundational work or very recent pre-print studies. The focus was on peer-reviewed articles in English, which might introduce language bias. While covering major techniques, the depth of analysis for each specific technology or challenge is constrained by the scope of a single review article. The dynamic nature of the field, especially regarding regulations and new technologies, means the landscape is constantly evolving.</w:t>
      </w:r>
    </w:p>
    <w:p w14:paraId="5CCC2428" w14:textId="5336D845" w:rsidR="00A94516" w:rsidRPr="006E4BBE" w:rsidRDefault="0034564D" w:rsidP="0034564D">
      <w:pPr>
        <w:spacing w:before="100" w:beforeAutospacing="1" w:after="100" w:afterAutospacing="1"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lang w:eastAsia="en-IN"/>
        </w:rPr>
        <w:t>9.</w:t>
      </w:r>
      <w:r w:rsidR="00A94516" w:rsidRPr="006E4BBE">
        <w:rPr>
          <w:rFonts w:ascii="Arial" w:eastAsia="Times New Roman" w:hAnsi="Arial" w:cs="Arial"/>
          <w:b/>
          <w:bCs/>
          <w:color w:val="1B1C1D"/>
          <w:sz w:val="24"/>
          <w:szCs w:val="24"/>
          <w:lang w:eastAsia="en-IN"/>
        </w:rPr>
        <w:t xml:space="preserve"> </w:t>
      </w:r>
      <w:r w:rsidR="002F1A35" w:rsidRPr="006E4BBE">
        <w:rPr>
          <w:rFonts w:ascii="Arial" w:eastAsia="Times New Roman" w:hAnsi="Arial" w:cs="Arial"/>
          <w:b/>
          <w:bCs/>
          <w:color w:val="1B1C1D"/>
          <w:sz w:val="24"/>
          <w:szCs w:val="24"/>
          <w:lang w:eastAsia="en-IN"/>
        </w:rPr>
        <w:t>CONCLUDING REMARKS</w:t>
      </w:r>
    </w:p>
    <w:p w14:paraId="4239884A" w14:textId="77777777" w:rsidR="002F1A35" w:rsidRDefault="00182AF5" w:rsidP="002F1A35">
      <w:pPr>
        <w:spacing w:before="100" w:beforeAutospacing="1" w:after="100" w:afterAutospacing="1"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 xml:space="preserve">Rice </w:t>
      </w:r>
      <w:r w:rsidR="00A94516" w:rsidRPr="002F1A35">
        <w:rPr>
          <w:rFonts w:ascii="Arial" w:eastAsia="Times New Roman" w:hAnsi="Arial" w:cs="Arial"/>
          <w:color w:val="1B1C1D"/>
          <w:sz w:val="20"/>
          <w:szCs w:val="20"/>
          <w:lang w:eastAsia="en-IN"/>
        </w:rPr>
        <w:t>breeding stands at an exciting juncture. The integration of decades of conventional breeding experience with the precision and speed offered by modern biotechnology, particularly genome editing and data-driven approaches, provides powerful tools to address the multifaceted challenges facing global rice production. While technical hurdles, regulatory complexities, and socioeconomic factors must be carefully managed, the potential to develop climate-resilient, high-yielding, nutritious, and sustainable rice varieties is immense. Continued investment in research, coupled with supportive policies, transparent communication, and a focus on equitable deployment, will be essential to harness these scientific advancements for ensuring future food security and supporting the livelihoods of millions dependent on this vital crop.</w:t>
      </w:r>
    </w:p>
    <w:p w14:paraId="6BF84B2C" w14:textId="77777777" w:rsidR="002F1A35" w:rsidRDefault="002F1A35" w:rsidP="002F1A35">
      <w:pPr>
        <w:pStyle w:val="ReferHead"/>
        <w:spacing w:after="0"/>
        <w:jc w:val="both"/>
        <w:rPr>
          <w:rFonts w:ascii="Arial" w:hAnsi="Arial" w:cs="Arial"/>
          <w:b w:val="0"/>
          <w:caps w:val="0"/>
          <w:sz w:val="20"/>
        </w:rPr>
      </w:pPr>
    </w:p>
    <w:p w14:paraId="725B37D5" w14:textId="77777777" w:rsidR="002F1A35" w:rsidRDefault="002F1A35" w:rsidP="002F1A35">
      <w:pPr>
        <w:pStyle w:val="ReferHead"/>
        <w:spacing w:after="0"/>
        <w:jc w:val="both"/>
        <w:rPr>
          <w:rFonts w:ascii="Arial" w:hAnsi="Arial" w:cs="Arial"/>
          <w:bCs/>
        </w:rPr>
      </w:pPr>
      <w:r>
        <w:rPr>
          <w:rFonts w:ascii="Arial" w:hAnsi="Arial" w:cs="Arial"/>
          <w:bCs/>
        </w:rPr>
        <w:t>Ethical approval (where ever applicable)</w:t>
      </w:r>
    </w:p>
    <w:p w14:paraId="3079E981" w14:textId="77777777" w:rsidR="002F1A35" w:rsidRPr="002B685A" w:rsidRDefault="002F1A35" w:rsidP="002F1A35">
      <w:pPr>
        <w:pStyle w:val="ReferHead"/>
        <w:spacing w:after="0"/>
        <w:jc w:val="both"/>
        <w:rPr>
          <w:rFonts w:ascii="Arial" w:hAnsi="Arial" w:cs="Arial"/>
          <w:bCs/>
        </w:rPr>
      </w:pPr>
    </w:p>
    <w:p w14:paraId="4FFFCEE8" w14:textId="5D2612C0" w:rsidR="002F1A35" w:rsidRDefault="005D5A14" w:rsidP="002F1A35">
      <w:pPr>
        <w:pStyle w:val="ReferHead"/>
        <w:spacing w:after="0"/>
        <w:jc w:val="both"/>
        <w:rPr>
          <w:rFonts w:ascii="Arial" w:hAnsi="Arial" w:cs="Arial"/>
          <w:b w:val="0"/>
          <w:caps w:val="0"/>
          <w:sz w:val="20"/>
        </w:rPr>
      </w:pPr>
      <w:r>
        <w:rPr>
          <w:rFonts w:ascii="Arial" w:hAnsi="Arial" w:cs="Arial"/>
          <w:b w:val="0"/>
          <w:caps w:val="0"/>
          <w:sz w:val="20"/>
        </w:rPr>
        <w:t xml:space="preserve">This Section has Not Applicable for this Manuscript </w:t>
      </w:r>
    </w:p>
    <w:p w14:paraId="2F5DC1F7" w14:textId="77777777" w:rsidR="004F69A4" w:rsidRPr="006E4BBE" w:rsidRDefault="0034564D" w:rsidP="005A2510">
      <w:pPr>
        <w:spacing w:before="100" w:beforeAutospacing="1"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10</w:t>
      </w:r>
      <w:r w:rsidR="005A2510" w:rsidRPr="006E4BBE">
        <w:rPr>
          <w:rFonts w:ascii="Arial" w:eastAsia="Times New Roman" w:hAnsi="Arial" w:cs="Arial"/>
          <w:b/>
          <w:bCs/>
          <w:color w:val="1B1C1D"/>
          <w:sz w:val="24"/>
          <w:szCs w:val="24"/>
          <w:bdr w:val="none" w:sz="0" w:space="0" w:color="auto" w:frame="1"/>
          <w:lang w:eastAsia="en-IN"/>
        </w:rPr>
        <w:t>. References</w:t>
      </w:r>
    </w:p>
    <w:p w14:paraId="3AE6EA76"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Anzalone, A. V., Randolph, P. B., Davis, J. R., Sousa, A. A., </w:t>
      </w:r>
      <w:proofErr w:type="spellStart"/>
      <w:r w:rsidRPr="003A3097">
        <w:rPr>
          <w:rFonts w:ascii="Arial" w:hAnsi="Arial" w:cs="Arial"/>
          <w:sz w:val="20"/>
          <w:szCs w:val="20"/>
        </w:rPr>
        <w:t>Koblan</w:t>
      </w:r>
      <w:proofErr w:type="spellEnd"/>
      <w:r w:rsidRPr="003A3097">
        <w:rPr>
          <w:rFonts w:ascii="Arial" w:hAnsi="Arial" w:cs="Arial"/>
          <w:sz w:val="20"/>
          <w:szCs w:val="20"/>
        </w:rPr>
        <w:t xml:space="preserve">, L. W., Levy, J. M., Chen, P. J., Wilson, C., Newby, G. A., Raguram, A., &amp; Liu, D. R. (2019). Genome editing with CRISPR–Cas nucleases, base editors, transposases, and prime editors. </w:t>
      </w:r>
      <w:r w:rsidRPr="003A3097">
        <w:rPr>
          <w:rStyle w:val="Emphasis"/>
          <w:rFonts w:ascii="Arial" w:hAnsi="Arial" w:cs="Arial"/>
          <w:sz w:val="20"/>
          <w:szCs w:val="20"/>
        </w:rPr>
        <w:t>Nature Biotechnology, 37,</w:t>
      </w:r>
      <w:r w:rsidRPr="003A3097">
        <w:rPr>
          <w:rFonts w:ascii="Arial" w:hAnsi="Arial" w:cs="Arial"/>
          <w:sz w:val="20"/>
          <w:szCs w:val="20"/>
        </w:rPr>
        <w:t xml:space="preserve"> 1070–1083.</w:t>
      </w:r>
    </w:p>
    <w:p w14:paraId="47BD808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Baulcombe</w:t>
      </w:r>
      <w:proofErr w:type="spellEnd"/>
      <w:r w:rsidRPr="003A3097">
        <w:rPr>
          <w:rFonts w:ascii="Arial" w:hAnsi="Arial" w:cs="Arial"/>
          <w:sz w:val="20"/>
          <w:szCs w:val="20"/>
        </w:rPr>
        <w:t xml:space="preserve">, D. (2004). RNA silencing in plants. </w:t>
      </w:r>
      <w:r w:rsidRPr="003A3097">
        <w:rPr>
          <w:rStyle w:val="Emphasis"/>
          <w:rFonts w:ascii="Arial" w:hAnsi="Arial" w:cs="Arial"/>
          <w:sz w:val="20"/>
          <w:szCs w:val="20"/>
        </w:rPr>
        <w:t>Nature, 431</w:t>
      </w:r>
      <w:r w:rsidRPr="003A3097">
        <w:rPr>
          <w:rFonts w:ascii="Arial" w:hAnsi="Arial" w:cs="Arial"/>
          <w:sz w:val="20"/>
          <w:szCs w:val="20"/>
        </w:rPr>
        <w:t>(7006), 356–363.</w:t>
      </w:r>
    </w:p>
    <w:p w14:paraId="4BF8250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Booth, A., Sutton, A., &amp; Papaioannou, D. (2016). </w:t>
      </w:r>
      <w:r w:rsidRPr="003A3097">
        <w:rPr>
          <w:rStyle w:val="Emphasis"/>
          <w:rFonts w:ascii="Arial" w:hAnsi="Arial" w:cs="Arial"/>
          <w:sz w:val="20"/>
          <w:szCs w:val="20"/>
        </w:rPr>
        <w:t>Systematic Approaches to a Successful Literature Review</w:t>
      </w:r>
      <w:r w:rsidRPr="003A3097">
        <w:rPr>
          <w:rFonts w:ascii="Arial" w:hAnsi="Arial" w:cs="Arial"/>
          <w:sz w:val="20"/>
          <w:szCs w:val="20"/>
        </w:rPr>
        <w:t>. SAGE Publications.</w:t>
      </w:r>
    </w:p>
    <w:p w14:paraId="09B0D4D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Collard, B. C., &amp; Mackill, D. J. (2008). Marker-assisted selection: An approach for precision plant breeding in the twenty-first century. </w:t>
      </w:r>
      <w:r w:rsidRPr="003A3097">
        <w:rPr>
          <w:rStyle w:val="Emphasis"/>
          <w:rFonts w:ascii="Arial" w:hAnsi="Arial" w:cs="Arial"/>
          <w:sz w:val="20"/>
          <w:szCs w:val="20"/>
        </w:rPr>
        <w:t>Philosophical Transactions of the Royal Society B, 363</w:t>
      </w:r>
      <w:r w:rsidRPr="003A3097">
        <w:rPr>
          <w:rFonts w:ascii="Arial" w:hAnsi="Arial" w:cs="Arial"/>
          <w:sz w:val="20"/>
          <w:szCs w:val="20"/>
        </w:rPr>
        <w:t>(1491), 557–572.</w:t>
      </w:r>
    </w:p>
    <w:p w14:paraId="5FE2BD8F"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European Commission. (2018). Guidance on the risk assessment of food and feed from genetically modified plants. </w:t>
      </w:r>
      <w:r w:rsidRPr="003A3097">
        <w:rPr>
          <w:rStyle w:val="Emphasis"/>
          <w:rFonts w:ascii="Arial" w:hAnsi="Arial" w:cs="Arial"/>
          <w:sz w:val="20"/>
          <w:szCs w:val="20"/>
        </w:rPr>
        <w:t>European Food Safety Authority.</w:t>
      </w:r>
    </w:p>
    <w:p w14:paraId="188EF54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Evenson, R. E., &amp; Gollin, D. (2018). Assessing the impact of transgenic crops. </w:t>
      </w:r>
      <w:r w:rsidRPr="003A3097">
        <w:rPr>
          <w:rStyle w:val="Emphasis"/>
          <w:rFonts w:ascii="Arial" w:hAnsi="Arial" w:cs="Arial"/>
          <w:sz w:val="20"/>
          <w:szCs w:val="20"/>
        </w:rPr>
        <w:t>Annual Review of Environment and Resources, 43,</w:t>
      </w:r>
      <w:r w:rsidRPr="003A3097">
        <w:rPr>
          <w:rFonts w:ascii="Arial" w:hAnsi="Arial" w:cs="Arial"/>
          <w:sz w:val="20"/>
          <w:szCs w:val="20"/>
        </w:rPr>
        <w:t xml:space="preserve"> 125–154.</w:t>
      </w:r>
    </w:p>
    <w:p w14:paraId="3F64BF4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Fischer, R. A., </w:t>
      </w:r>
      <w:proofErr w:type="spellStart"/>
      <w:r w:rsidRPr="003A3097">
        <w:rPr>
          <w:rFonts w:ascii="Arial" w:hAnsi="Arial" w:cs="Arial"/>
          <w:sz w:val="20"/>
          <w:szCs w:val="20"/>
        </w:rPr>
        <w:t>Byerlee</w:t>
      </w:r>
      <w:proofErr w:type="spellEnd"/>
      <w:r w:rsidRPr="003A3097">
        <w:rPr>
          <w:rFonts w:ascii="Arial" w:hAnsi="Arial" w:cs="Arial"/>
          <w:sz w:val="20"/>
          <w:szCs w:val="20"/>
        </w:rPr>
        <w:t xml:space="preserve">, D., &amp; Edmeades, G. O. (2012). Can technology deliver on the yield challenge to 2050? </w:t>
      </w:r>
      <w:r w:rsidRPr="003A3097">
        <w:rPr>
          <w:rStyle w:val="Emphasis"/>
          <w:rFonts w:ascii="Arial" w:hAnsi="Arial" w:cs="Arial"/>
          <w:sz w:val="20"/>
          <w:szCs w:val="20"/>
        </w:rPr>
        <w:t>Philosophical Transactions of the Royal Society B, 367</w:t>
      </w:r>
      <w:r w:rsidRPr="003A3097">
        <w:rPr>
          <w:rFonts w:ascii="Arial" w:hAnsi="Arial" w:cs="Arial"/>
          <w:sz w:val="20"/>
          <w:szCs w:val="20"/>
        </w:rPr>
        <w:t>(1600), 902–912.</w:t>
      </w:r>
    </w:p>
    <w:p w14:paraId="170B8EEB"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Fischer, R. A., </w:t>
      </w:r>
      <w:proofErr w:type="spellStart"/>
      <w:r w:rsidRPr="003A3097">
        <w:rPr>
          <w:rFonts w:ascii="Arial" w:hAnsi="Arial" w:cs="Arial"/>
          <w:sz w:val="20"/>
          <w:szCs w:val="20"/>
        </w:rPr>
        <w:t>Byerlee</w:t>
      </w:r>
      <w:proofErr w:type="spellEnd"/>
      <w:r w:rsidRPr="003A3097">
        <w:rPr>
          <w:rFonts w:ascii="Arial" w:hAnsi="Arial" w:cs="Arial"/>
          <w:sz w:val="20"/>
          <w:szCs w:val="20"/>
        </w:rPr>
        <w:t xml:space="preserve">, D., &amp; Edmeades, G. O. (2012). Can technology deliver on the yield challenge to 2050? </w:t>
      </w:r>
      <w:r w:rsidRPr="003A3097">
        <w:rPr>
          <w:rStyle w:val="Emphasis"/>
          <w:rFonts w:ascii="Arial" w:hAnsi="Arial" w:cs="Arial"/>
          <w:sz w:val="20"/>
          <w:szCs w:val="20"/>
        </w:rPr>
        <w:t>Philosophical Transactions of the Royal Society B, 367</w:t>
      </w:r>
      <w:r w:rsidRPr="003A3097">
        <w:rPr>
          <w:rFonts w:ascii="Arial" w:hAnsi="Arial" w:cs="Arial"/>
          <w:sz w:val="20"/>
          <w:szCs w:val="20"/>
        </w:rPr>
        <w:t>(1600), 902–912.</w:t>
      </w:r>
    </w:p>
    <w:p w14:paraId="31768BB6"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Food and Agriculture Organization of the United Nations (FAO). (2017). </w:t>
      </w:r>
      <w:r w:rsidRPr="003A3097">
        <w:rPr>
          <w:rStyle w:val="Emphasis"/>
          <w:rFonts w:ascii="Arial" w:hAnsi="Arial" w:cs="Arial"/>
          <w:sz w:val="20"/>
          <w:szCs w:val="20"/>
        </w:rPr>
        <w:t>Rice Market Monitor.</w:t>
      </w:r>
      <w:r w:rsidRPr="003A3097">
        <w:rPr>
          <w:rFonts w:ascii="Arial" w:hAnsi="Arial" w:cs="Arial"/>
          <w:sz w:val="20"/>
          <w:szCs w:val="20"/>
        </w:rPr>
        <w:t xml:space="preserve"> FAO.</w:t>
      </w:r>
    </w:p>
    <w:p w14:paraId="2BDAA3C1"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Ghimire, K. H., </w:t>
      </w:r>
      <w:proofErr w:type="spellStart"/>
      <w:r w:rsidRPr="003A3097">
        <w:rPr>
          <w:rFonts w:ascii="Arial" w:hAnsi="Arial" w:cs="Arial"/>
          <w:sz w:val="20"/>
          <w:szCs w:val="20"/>
        </w:rPr>
        <w:t>Quiatchon</w:t>
      </w:r>
      <w:proofErr w:type="spellEnd"/>
      <w:r w:rsidRPr="003A3097">
        <w:rPr>
          <w:rFonts w:ascii="Arial" w:hAnsi="Arial" w:cs="Arial"/>
          <w:sz w:val="20"/>
          <w:szCs w:val="20"/>
        </w:rPr>
        <w:t xml:space="preserve">, L. A., Vikram, P., et al. (2012). Application of marker-assisted selection for introgression of drought QTLs into upland rice. </w:t>
      </w:r>
      <w:proofErr w:type="spellStart"/>
      <w:r w:rsidRPr="003A3097">
        <w:rPr>
          <w:rStyle w:val="Emphasis"/>
          <w:rFonts w:ascii="Arial" w:hAnsi="Arial" w:cs="Arial"/>
          <w:sz w:val="20"/>
          <w:szCs w:val="20"/>
        </w:rPr>
        <w:t>Euphytica</w:t>
      </w:r>
      <w:proofErr w:type="spellEnd"/>
      <w:r w:rsidRPr="003A3097">
        <w:rPr>
          <w:rStyle w:val="Emphasis"/>
          <w:rFonts w:ascii="Arial" w:hAnsi="Arial" w:cs="Arial"/>
          <w:sz w:val="20"/>
          <w:szCs w:val="20"/>
        </w:rPr>
        <w:t>, 187</w:t>
      </w:r>
      <w:r w:rsidRPr="003A3097">
        <w:rPr>
          <w:rFonts w:ascii="Arial" w:hAnsi="Arial" w:cs="Arial"/>
          <w:sz w:val="20"/>
          <w:szCs w:val="20"/>
        </w:rPr>
        <w:t>(1), 113–125.</w:t>
      </w:r>
    </w:p>
    <w:p w14:paraId="7DC8E665"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Gough, D., Oliver, S., &amp; Thomas, J. (2017). </w:t>
      </w:r>
      <w:r w:rsidRPr="003A3097">
        <w:rPr>
          <w:rStyle w:val="Emphasis"/>
          <w:rFonts w:ascii="Arial" w:hAnsi="Arial" w:cs="Arial"/>
          <w:sz w:val="20"/>
          <w:szCs w:val="20"/>
        </w:rPr>
        <w:t>An Introduction to Systematic Reviews</w:t>
      </w:r>
      <w:r w:rsidRPr="003A3097">
        <w:rPr>
          <w:rFonts w:ascii="Arial" w:hAnsi="Arial" w:cs="Arial"/>
          <w:sz w:val="20"/>
          <w:szCs w:val="20"/>
        </w:rPr>
        <w:t>. SAGE Publications.</w:t>
      </w:r>
    </w:p>
    <w:p w14:paraId="1F3BB53E"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Hasan, M. M., Rafii, M. Y., Ismail, M. R., Mahmood, M., Rahim, H. A., Alam, M. A., ... &amp; Latif, M. A. (2015). Marker-assisted backcrossing: a useful method for rice improvement. Biotechnology &amp; Biotechnological Equipment, 29(2), 237-254.</w:t>
      </w:r>
    </w:p>
    <w:p w14:paraId="50A4CB7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Heinemann, J. A., et al. (2010). Biosafety of genetically modified crops: How similar are they to their conventional counterparts? </w:t>
      </w:r>
      <w:r w:rsidRPr="003A3097">
        <w:rPr>
          <w:rStyle w:val="Emphasis"/>
          <w:rFonts w:ascii="Arial" w:hAnsi="Arial" w:cs="Arial"/>
          <w:sz w:val="20"/>
          <w:szCs w:val="20"/>
        </w:rPr>
        <w:t>Laboratory Investigation, 90</w:t>
      </w:r>
      <w:r w:rsidRPr="003A3097">
        <w:rPr>
          <w:rFonts w:ascii="Arial" w:hAnsi="Arial" w:cs="Arial"/>
          <w:sz w:val="20"/>
          <w:szCs w:val="20"/>
        </w:rPr>
        <w:t>(2), 112–117.</w:t>
      </w:r>
    </w:p>
    <w:p w14:paraId="5D1D5F3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lastRenderedPageBreak/>
        <w:t xml:space="preserve">Hiei, Y., &amp; Komari, T. (2008). Agrobacterium-mediated transformation of rice using immature embryos as explants. </w:t>
      </w:r>
      <w:r w:rsidRPr="003A3097">
        <w:rPr>
          <w:rStyle w:val="Emphasis"/>
          <w:rFonts w:ascii="Arial" w:hAnsi="Arial" w:cs="Arial"/>
          <w:sz w:val="20"/>
          <w:szCs w:val="20"/>
        </w:rPr>
        <w:t>Nature Protocols, 3</w:t>
      </w:r>
      <w:r w:rsidRPr="003A3097">
        <w:rPr>
          <w:rFonts w:ascii="Arial" w:hAnsi="Arial" w:cs="Arial"/>
          <w:sz w:val="20"/>
          <w:szCs w:val="20"/>
        </w:rPr>
        <w:t>(5), 824–834.</w:t>
      </w:r>
    </w:p>
    <w:p w14:paraId="4ADA2DB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Huang, X., et al. (2012). A map of rice genome variation reveals the origin of cultivated rice. </w:t>
      </w:r>
      <w:r w:rsidRPr="003A3097">
        <w:rPr>
          <w:rStyle w:val="Emphasis"/>
          <w:rFonts w:ascii="Arial" w:hAnsi="Arial" w:cs="Arial"/>
          <w:sz w:val="20"/>
          <w:szCs w:val="20"/>
        </w:rPr>
        <w:t>Nature, 490</w:t>
      </w:r>
      <w:r w:rsidRPr="003A3097">
        <w:rPr>
          <w:rFonts w:ascii="Arial" w:hAnsi="Arial" w:cs="Arial"/>
          <w:sz w:val="20"/>
          <w:szCs w:val="20"/>
        </w:rPr>
        <w:t>(7421), 497–501.</w:t>
      </w:r>
    </w:p>
    <w:p w14:paraId="2F18F84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Huang, X., et al. (2016). Genome-wide association studies of 14 agronomic traits in rice landraces. </w:t>
      </w:r>
      <w:r w:rsidRPr="003A3097">
        <w:rPr>
          <w:rStyle w:val="Emphasis"/>
          <w:rFonts w:ascii="Arial" w:hAnsi="Arial" w:cs="Arial"/>
          <w:sz w:val="20"/>
          <w:szCs w:val="20"/>
        </w:rPr>
        <w:t>Nature Genetics, 48</w:t>
      </w:r>
      <w:r w:rsidRPr="003A3097">
        <w:rPr>
          <w:rFonts w:ascii="Arial" w:hAnsi="Arial" w:cs="Arial"/>
          <w:sz w:val="20"/>
          <w:szCs w:val="20"/>
        </w:rPr>
        <w:t>(8), 927–934.</w:t>
      </w:r>
    </w:p>
    <w:p w14:paraId="6BF8E4F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Jones, J. W., Hoogenboom, G., Porter, C. H., et al. (2011). Addressing climate variability in crop </w:t>
      </w:r>
      <w:proofErr w:type="spellStart"/>
      <w:r w:rsidRPr="003A3097">
        <w:rPr>
          <w:rFonts w:ascii="Arial" w:hAnsi="Arial" w:cs="Arial"/>
          <w:sz w:val="20"/>
          <w:szCs w:val="20"/>
        </w:rPr>
        <w:t>modeling</w:t>
      </w:r>
      <w:proofErr w:type="spellEnd"/>
      <w:r w:rsidRPr="003A3097">
        <w:rPr>
          <w:rFonts w:ascii="Arial" w:hAnsi="Arial" w:cs="Arial"/>
          <w:sz w:val="20"/>
          <w:szCs w:val="20"/>
        </w:rPr>
        <w:t xml:space="preserve">. </w:t>
      </w:r>
      <w:r w:rsidRPr="003A3097">
        <w:rPr>
          <w:rStyle w:val="Emphasis"/>
          <w:rFonts w:ascii="Arial" w:hAnsi="Arial" w:cs="Arial"/>
          <w:sz w:val="20"/>
          <w:szCs w:val="20"/>
        </w:rPr>
        <w:t>European Journal of Agronomy, 35</w:t>
      </w:r>
      <w:r w:rsidRPr="003A3097">
        <w:rPr>
          <w:rFonts w:ascii="Arial" w:hAnsi="Arial" w:cs="Arial"/>
          <w:sz w:val="20"/>
          <w:szCs w:val="20"/>
        </w:rPr>
        <w:t>(3), 163–177.</w:t>
      </w:r>
    </w:p>
    <w:p w14:paraId="46742A7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Khush, G. S. (2005). What it will take to feed 5 billion rice consumers in 2050. </w:t>
      </w:r>
      <w:r w:rsidRPr="003A3097">
        <w:rPr>
          <w:rStyle w:val="Emphasis"/>
          <w:rFonts w:ascii="Arial" w:hAnsi="Arial" w:cs="Arial"/>
          <w:sz w:val="20"/>
          <w:szCs w:val="20"/>
        </w:rPr>
        <w:t>Plant Molecular Biology, 59</w:t>
      </w:r>
      <w:r w:rsidRPr="003A3097">
        <w:rPr>
          <w:rFonts w:ascii="Arial" w:hAnsi="Arial" w:cs="Arial"/>
          <w:sz w:val="20"/>
          <w:szCs w:val="20"/>
        </w:rPr>
        <w:t>(1), 1–6.</w:t>
      </w:r>
    </w:p>
    <w:p w14:paraId="718E48E2"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Kumar, P., Singh, S., &amp; Pawar, P. (2022). High-throughput phenotyping in rice: Implications for breeding climate-resilient varieties. </w:t>
      </w:r>
      <w:r w:rsidRPr="003A3097">
        <w:rPr>
          <w:rStyle w:val="Emphasis"/>
          <w:rFonts w:ascii="Arial" w:hAnsi="Arial" w:cs="Arial"/>
          <w:sz w:val="20"/>
          <w:szCs w:val="20"/>
        </w:rPr>
        <w:t>Plant Methods, 18,</w:t>
      </w:r>
      <w:r w:rsidRPr="003A3097">
        <w:rPr>
          <w:rFonts w:ascii="Arial" w:hAnsi="Arial" w:cs="Arial"/>
          <w:sz w:val="20"/>
          <w:szCs w:val="20"/>
        </w:rPr>
        <w:t xml:space="preserve"> 40. </w:t>
      </w:r>
      <w:hyperlink r:id="rId8" w:history="1">
        <w:r w:rsidRPr="003A3097">
          <w:rPr>
            <w:rStyle w:val="Hyperlink"/>
            <w:rFonts w:ascii="Arial" w:hAnsi="Arial" w:cs="Arial"/>
            <w:sz w:val="20"/>
            <w:szCs w:val="20"/>
          </w:rPr>
          <w:t>https://doi.org/10.1186/s13007-022-00879-5</w:t>
        </w:r>
      </w:hyperlink>
    </w:p>
    <w:p w14:paraId="7A8EF9A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Li, T., Liu, B., Spalding, M. H., Weeks, D. P., &amp; Yang, B. (2012). High-efficiency TALEN-based gene editing produces disease-resistant rice. </w:t>
      </w:r>
      <w:r w:rsidRPr="003A3097">
        <w:rPr>
          <w:rStyle w:val="Emphasis"/>
          <w:rFonts w:ascii="Arial" w:hAnsi="Arial" w:cs="Arial"/>
          <w:sz w:val="20"/>
          <w:szCs w:val="20"/>
        </w:rPr>
        <w:t>Nature Biotechnology, 30</w:t>
      </w:r>
      <w:r w:rsidRPr="003A3097">
        <w:rPr>
          <w:rFonts w:ascii="Arial" w:hAnsi="Arial" w:cs="Arial"/>
          <w:sz w:val="20"/>
          <w:szCs w:val="20"/>
        </w:rPr>
        <w:t>(5), 390–392.</w:t>
      </w:r>
    </w:p>
    <w:p w14:paraId="5A0BE60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Li, X., Chen, Y., &amp; Zhao, Q. (2021). Recent advances in rice biotechnology: Applications of gene editing and molecular breeding. </w:t>
      </w:r>
      <w:r w:rsidRPr="003A3097">
        <w:rPr>
          <w:rStyle w:val="Emphasis"/>
          <w:rFonts w:ascii="Arial" w:hAnsi="Arial" w:cs="Arial"/>
          <w:sz w:val="20"/>
          <w:szCs w:val="20"/>
        </w:rPr>
        <w:t>Trends in Plant Science, 26</w:t>
      </w:r>
      <w:r w:rsidRPr="003A3097">
        <w:rPr>
          <w:rFonts w:ascii="Arial" w:hAnsi="Arial" w:cs="Arial"/>
          <w:sz w:val="20"/>
          <w:szCs w:val="20"/>
        </w:rPr>
        <w:t xml:space="preserve">(2), 139–152. </w:t>
      </w:r>
      <w:hyperlink r:id="rId9" w:history="1">
        <w:r w:rsidRPr="003A3097">
          <w:rPr>
            <w:rStyle w:val="Hyperlink"/>
            <w:rFonts w:ascii="Arial" w:hAnsi="Arial" w:cs="Arial"/>
            <w:sz w:val="20"/>
            <w:szCs w:val="20"/>
          </w:rPr>
          <w:t>https://doi.org/10.1016/j.tplants.2020.10.012</w:t>
        </w:r>
      </w:hyperlink>
    </w:p>
    <w:p w14:paraId="1583EE6A"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Liu, D., Zhang, G., Li, K., &amp; Guan, X. (2018). Synthetic biology: A new tool for precision breeding. </w:t>
      </w:r>
      <w:r w:rsidRPr="003A3097">
        <w:rPr>
          <w:rStyle w:val="Emphasis"/>
          <w:rFonts w:ascii="Arial" w:hAnsi="Arial" w:cs="Arial"/>
          <w:sz w:val="20"/>
          <w:szCs w:val="20"/>
        </w:rPr>
        <w:t>Trends in Biotechnology, 36</w:t>
      </w:r>
      <w:r w:rsidRPr="003A3097">
        <w:rPr>
          <w:rFonts w:ascii="Arial" w:hAnsi="Arial" w:cs="Arial"/>
          <w:sz w:val="20"/>
          <w:szCs w:val="20"/>
        </w:rPr>
        <w:t>(8), 711–723.</w:t>
      </w:r>
    </w:p>
    <w:p w14:paraId="015E0C8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Lusser</w:t>
      </w:r>
      <w:proofErr w:type="spellEnd"/>
      <w:r w:rsidRPr="003A3097">
        <w:rPr>
          <w:rFonts w:ascii="Arial" w:hAnsi="Arial" w:cs="Arial"/>
          <w:sz w:val="20"/>
          <w:szCs w:val="20"/>
        </w:rPr>
        <w:t xml:space="preserve">, M., Schaefer, R., &amp; </w:t>
      </w:r>
      <w:proofErr w:type="spellStart"/>
      <w:r w:rsidRPr="003A3097">
        <w:rPr>
          <w:rFonts w:ascii="Arial" w:hAnsi="Arial" w:cs="Arial"/>
          <w:sz w:val="20"/>
          <w:szCs w:val="20"/>
        </w:rPr>
        <w:t>Lödige</w:t>
      </w:r>
      <w:proofErr w:type="spellEnd"/>
      <w:r w:rsidRPr="003A3097">
        <w:rPr>
          <w:rFonts w:ascii="Arial" w:hAnsi="Arial" w:cs="Arial"/>
          <w:sz w:val="20"/>
          <w:szCs w:val="20"/>
        </w:rPr>
        <w:t xml:space="preserve">, I. (2012). GM crop safety and risk assessment. </w:t>
      </w:r>
      <w:r w:rsidRPr="003A3097">
        <w:rPr>
          <w:rStyle w:val="Emphasis"/>
          <w:rFonts w:ascii="Arial" w:hAnsi="Arial" w:cs="Arial"/>
          <w:sz w:val="20"/>
          <w:szCs w:val="20"/>
        </w:rPr>
        <w:t>GM Crops &amp; Food, 3</w:t>
      </w:r>
      <w:r w:rsidRPr="003A3097">
        <w:rPr>
          <w:rFonts w:ascii="Arial" w:hAnsi="Arial" w:cs="Arial"/>
          <w:sz w:val="20"/>
          <w:szCs w:val="20"/>
        </w:rPr>
        <w:t>(2), 139–148.</w:t>
      </w:r>
    </w:p>
    <w:p w14:paraId="1012B351"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McCouch, S. R. (2008). Diversifying selection in plant breeding. </w:t>
      </w:r>
      <w:r w:rsidRPr="003A3097">
        <w:rPr>
          <w:rStyle w:val="Emphasis"/>
          <w:rFonts w:ascii="Arial" w:hAnsi="Arial" w:cs="Arial"/>
          <w:sz w:val="20"/>
          <w:szCs w:val="20"/>
        </w:rPr>
        <w:t>Genome Research, 18</w:t>
      </w:r>
      <w:r w:rsidRPr="003A3097">
        <w:rPr>
          <w:rFonts w:ascii="Arial" w:hAnsi="Arial" w:cs="Arial"/>
          <w:sz w:val="20"/>
          <w:szCs w:val="20"/>
        </w:rPr>
        <w:t>(11), 1929–1936.</w:t>
      </w:r>
    </w:p>
    <w:p w14:paraId="3875E6F8"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Mendelsohn, E., et al. (2009). Assessing the sustainability of genetically modified crops: The case of </w:t>
      </w:r>
      <w:proofErr w:type="spellStart"/>
      <w:r w:rsidRPr="003A3097">
        <w:rPr>
          <w:rFonts w:ascii="Arial" w:hAnsi="Arial" w:cs="Arial"/>
          <w:sz w:val="20"/>
          <w:szCs w:val="20"/>
        </w:rPr>
        <w:t>Bt</w:t>
      </w:r>
      <w:proofErr w:type="spellEnd"/>
      <w:r w:rsidRPr="003A3097">
        <w:rPr>
          <w:rFonts w:ascii="Arial" w:hAnsi="Arial" w:cs="Arial"/>
          <w:sz w:val="20"/>
          <w:szCs w:val="20"/>
        </w:rPr>
        <w:t xml:space="preserve"> cotton in India. </w:t>
      </w:r>
      <w:r w:rsidRPr="003A3097">
        <w:rPr>
          <w:rStyle w:val="Emphasis"/>
          <w:rFonts w:ascii="Arial" w:hAnsi="Arial" w:cs="Arial"/>
          <w:sz w:val="20"/>
          <w:szCs w:val="20"/>
        </w:rPr>
        <w:t>Current Science, 97</w:t>
      </w:r>
      <w:r w:rsidRPr="003A3097">
        <w:rPr>
          <w:rFonts w:ascii="Arial" w:hAnsi="Arial" w:cs="Arial"/>
          <w:sz w:val="20"/>
          <w:szCs w:val="20"/>
        </w:rPr>
        <w:t>(8), 1082–1086.</w:t>
      </w:r>
    </w:p>
    <w:p w14:paraId="1E2A9472"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Munn, Z., </w:t>
      </w:r>
      <w:proofErr w:type="spellStart"/>
      <w:r w:rsidRPr="003A3097">
        <w:rPr>
          <w:rFonts w:ascii="Arial" w:hAnsi="Arial" w:cs="Arial"/>
          <w:sz w:val="20"/>
          <w:szCs w:val="20"/>
        </w:rPr>
        <w:t>Tufanaru</w:t>
      </w:r>
      <w:proofErr w:type="spellEnd"/>
      <w:r w:rsidRPr="003A3097">
        <w:rPr>
          <w:rFonts w:ascii="Arial" w:hAnsi="Arial" w:cs="Arial"/>
          <w:sz w:val="20"/>
          <w:szCs w:val="20"/>
        </w:rPr>
        <w:t xml:space="preserve">, C., &amp; </w:t>
      </w:r>
      <w:proofErr w:type="spellStart"/>
      <w:r w:rsidRPr="003A3097">
        <w:rPr>
          <w:rFonts w:ascii="Arial" w:hAnsi="Arial" w:cs="Arial"/>
          <w:sz w:val="20"/>
          <w:szCs w:val="20"/>
        </w:rPr>
        <w:t>Aromataris</w:t>
      </w:r>
      <w:proofErr w:type="spellEnd"/>
      <w:r w:rsidRPr="003A3097">
        <w:rPr>
          <w:rFonts w:ascii="Arial" w:hAnsi="Arial" w:cs="Arial"/>
          <w:sz w:val="20"/>
          <w:szCs w:val="20"/>
        </w:rPr>
        <w:t xml:space="preserve">, E. (2020). Synthesizing qualitative research: Choosing the right approach. In </w:t>
      </w:r>
      <w:r w:rsidRPr="003A3097">
        <w:rPr>
          <w:rStyle w:val="Emphasis"/>
          <w:rFonts w:ascii="Arial" w:hAnsi="Arial" w:cs="Arial"/>
          <w:sz w:val="20"/>
          <w:szCs w:val="20"/>
        </w:rPr>
        <w:t>JBI Manual for Evidence Synthesis</w:t>
      </w:r>
      <w:r w:rsidRPr="003A3097">
        <w:rPr>
          <w:rFonts w:ascii="Arial" w:hAnsi="Arial" w:cs="Arial"/>
          <w:sz w:val="20"/>
          <w:szCs w:val="20"/>
        </w:rPr>
        <w:t>. The Joanna Briggs Institute.</w:t>
      </w:r>
    </w:p>
    <w:p w14:paraId="628D9B3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Nadeem, M. A., Nawaz, M. A., Shahid, M. Q., Doğan, Y., </w:t>
      </w:r>
      <w:proofErr w:type="spellStart"/>
      <w:r w:rsidRPr="003A3097">
        <w:rPr>
          <w:rFonts w:ascii="Arial" w:hAnsi="Arial" w:cs="Arial"/>
          <w:sz w:val="20"/>
          <w:szCs w:val="20"/>
        </w:rPr>
        <w:t>Comertpay</w:t>
      </w:r>
      <w:proofErr w:type="spellEnd"/>
      <w:r w:rsidRPr="003A3097">
        <w:rPr>
          <w:rFonts w:ascii="Arial" w:hAnsi="Arial" w:cs="Arial"/>
          <w:sz w:val="20"/>
          <w:szCs w:val="20"/>
        </w:rPr>
        <w:t xml:space="preserve">, G., Yıldız, M., ... </w:t>
      </w:r>
      <w:proofErr w:type="spellStart"/>
      <w:r w:rsidRPr="003A3097">
        <w:rPr>
          <w:rFonts w:ascii="Arial" w:hAnsi="Arial" w:cs="Arial"/>
          <w:sz w:val="20"/>
          <w:szCs w:val="20"/>
        </w:rPr>
        <w:t>Labhane</w:t>
      </w:r>
      <w:proofErr w:type="spellEnd"/>
      <w:r w:rsidRPr="003A3097">
        <w:rPr>
          <w:rFonts w:ascii="Arial" w:hAnsi="Arial" w:cs="Arial"/>
          <w:sz w:val="20"/>
          <w:szCs w:val="20"/>
        </w:rPr>
        <w:t>, N. (2018). DNA molecular markers in plant breeding: current status and recent advancements in genomic selection and genome editing. Biotechnology &amp; Biotechnological Equipment, 32(2), 261–285.</w:t>
      </w:r>
    </w:p>
    <w:p w14:paraId="6D87DFC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Okoli, C., &amp; </w:t>
      </w:r>
      <w:proofErr w:type="spellStart"/>
      <w:r w:rsidRPr="003A3097">
        <w:rPr>
          <w:rFonts w:ascii="Arial" w:hAnsi="Arial" w:cs="Arial"/>
          <w:sz w:val="20"/>
          <w:szCs w:val="20"/>
        </w:rPr>
        <w:t>Schabram</w:t>
      </w:r>
      <w:proofErr w:type="spellEnd"/>
      <w:r w:rsidRPr="003A3097">
        <w:rPr>
          <w:rFonts w:ascii="Arial" w:hAnsi="Arial" w:cs="Arial"/>
          <w:sz w:val="20"/>
          <w:szCs w:val="20"/>
        </w:rPr>
        <w:t xml:space="preserve">, K. (2010). A guide to conducting a systematic literature review of information systems research. </w:t>
      </w:r>
      <w:r w:rsidRPr="003A3097">
        <w:rPr>
          <w:rStyle w:val="Emphasis"/>
          <w:rFonts w:ascii="Arial" w:hAnsi="Arial" w:cs="Arial"/>
          <w:sz w:val="20"/>
          <w:szCs w:val="20"/>
        </w:rPr>
        <w:t>Scandinavian Journal of Information Systems, 22</w:t>
      </w:r>
      <w:r w:rsidRPr="003A3097">
        <w:rPr>
          <w:rFonts w:ascii="Arial" w:hAnsi="Arial" w:cs="Arial"/>
          <w:sz w:val="20"/>
          <w:szCs w:val="20"/>
        </w:rPr>
        <w:t xml:space="preserve">(2), 70–87. </w:t>
      </w:r>
      <w:hyperlink r:id="rId10" w:history="1">
        <w:r w:rsidRPr="003A3097">
          <w:rPr>
            <w:rStyle w:val="Hyperlink"/>
            <w:rFonts w:ascii="Arial" w:hAnsi="Arial" w:cs="Arial"/>
            <w:sz w:val="20"/>
            <w:szCs w:val="20"/>
          </w:rPr>
          <w:t>https://doi.org/10.1057/sjis.2010.9</w:t>
        </w:r>
      </w:hyperlink>
    </w:p>
    <w:p w14:paraId="10A18102"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Pandey, M. K., &amp; Vel, P. (2014). Rice genomics: Progress and prospects. </w:t>
      </w:r>
      <w:r w:rsidRPr="003A3097">
        <w:rPr>
          <w:rStyle w:val="Emphasis"/>
          <w:rFonts w:ascii="Arial" w:hAnsi="Arial" w:cs="Arial"/>
          <w:sz w:val="20"/>
          <w:szCs w:val="20"/>
        </w:rPr>
        <w:t>Current Genomics, 15</w:t>
      </w:r>
      <w:r w:rsidRPr="003A3097">
        <w:rPr>
          <w:rFonts w:ascii="Arial" w:hAnsi="Arial" w:cs="Arial"/>
          <w:sz w:val="20"/>
          <w:szCs w:val="20"/>
        </w:rPr>
        <w:t>(4), 283–292.</w:t>
      </w:r>
    </w:p>
    <w:p w14:paraId="1EDEF2C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Pautasso</w:t>
      </w:r>
      <w:proofErr w:type="spellEnd"/>
      <w:r w:rsidRPr="003A3097">
        <w:rPr>
          <w:rFonts w:ascii="Arial" w:hAnsi="Arial" w:cs="Arial"/>
          <w:sz w:val="20"/>
          <w:szCs w:val="20"/>
        </w:rPr>
        <w:t xml:space="preserve">, M. (2013). Ten simple rules for writing a literature review. </w:t>
      </w:r>
      <w:r w:rsidRPr="003A3097">
        <w:rPr>
          <w:rStyle w:val="Emphasis"/>
          <w:rFonts w:ascii="Arial" w:hAnsi="Arial" w:cs="Arial"/>
          <w:sz w:val="20"/>
          <w:szCs w:val="20"/>
        </w:rPr>
        <w:t>PLOS Computational Biology, 9</w:t>
      </w:r>
      <w:r w:rsidRPr="003A3097">
        <w:rPr>
          <w:rFonts w:ascii="Arial" w:hAnsi="Arial" w:cs="Arial"/>
          <w:sz w:val="20"/>
          <w:szCs w:val="20"/>
        </w:rPr>
        <w:t xml:space="preserve">(7), e1003149. </w:t>
      </w:r>
      <w:hyperlink r:id="rId11" w:history="1">
        <w:r w:rsidRPr="003A3097">
          <w:rPr>
            <w:rStyle w:val="Hyperlink"/>
            <w:rFonts w:ascii="Arial" w:hAnsi="Arial" w:cs="Arial"/>
            <w:sz w:val="20"/>
            <w:szCs w:val="20"/>
          </w:rPr>
          <w:t>https://doi.org/10.1371/journal.pcbi.1003149</w:t>
        </w:r>
      </w:hyperlink>
    </w:p>
    <w:p w14:paraId="6A14C05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Peng, S., Tang, Q., &amp; Zou, Y. (2008). Current status and challenges of rice production in China. </w:t>
      </w:r>
      <w:r w:rsidRPr="003A3097">
        <w:rPr>
          <w:rStyle w:val="Emphasis"/>
          <w:rFonts w:ascii="Arial" w:hAnsi="Arial" w:cs="Arial"/>
          <w:sz w:val="20"/>
          <w:szCs w:val="20"/>
        </w:rPr>
        <w:t>Plant Production Science, 12</w:t>
      </w:r>
      <w:r w:rsidRPr="003A3097">
        <w:rPr>
          <w:rFonts w:ascii="Arial" w:hAnsi="Arial" w:cs="Arial"/>
          <w:sz w:val="20"/>
          <w:szCs w:val="20"/>
        </w:rPr>
        <w:t>(1), 3–8.</w:t>
      </w:r>
    </w:p>
    <w:p w14:paraId="3922BF37"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Potrykus, I. (2001). Golden Rice and beyond. </w:t>
      </w:r>
      <w:r w:rsidRPr="003A3097">
        <w:rPr>
          <w:rStyle w:val="Emphasis"/>
          <w:rFonts w:ascii="Arial" w:hAnsi="Arial" w:cs="Arial"/>
          <w:sz w:val="20"/>
          <w:szCs w:val="20"/>
        </w:rPr>
        <w:t>Plant Physiology, 125</w:t>
      </w:r>
      <w:r w:rsidRPr="003A3097">
        <w:rPr>
          <w:rFonts w:ascii="Arial" w:hAnsi="Arial" w:cs="Arial"/>
          <w:sz w:val="20"/>
          <w:szCs w:val="20"/>
        </w:rPr>
        <w:t>(3), 1157–1161.</w:t>
      </w:r>
    </w:p>
    <w:p w14:paraId="050E680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Qaim, M. (2016). The impacts of genetically modified crops on farm sustainability in developing countries. </w:t>
      </w:r>
      <w:r w:rsidRPr="003A3097">
        <w:rPr>
          <w:rStyle w:val="Emphasis"/>
          <w:rFonts w:ascii="Arial" w:hAnsi="Arial" w:cs="Arial"/>
          <w:sz w:val="20"/>
          <w:szCs w:val="20"/>
        </w:rPr>
        <w:t>Philosophical Transactions of the Royal Society B, 371</w:t>
      </w:r>
      <w:r w:rsidRPr="003A3097">
        <w:rPr>
          <w:rFonts w:ascii="Arial" w:hAnsi="Arial" w:cs="Arial"/>
          <w:sz w:val="20"/>
          <w:szCs w:val="20"/>
        </w:rPr>
        <w:t>(1709), 20150233.</w:t>
      </w:r>
    </w:p>
    <w:p w14:paraId="14B91C6D"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Qaim, M., &amp; Zilberman, D. (2017). Yield effects of genetically modified crops in developing countries. </w:t>
      </w:r>
      <w:r w:rsidRPr="003A3097">
        <w:rPr>
          <w:rStyle w:val="Emphasis"/>
          <w:rFonts w:ascii="Arial" w:hAnsi="Arial" w:cs="Arial"/>
          <w:sz w:val="20"/>
          <w:szCs w:val="20"/>
        </w:rPr>
        <w:t>Science, 290</w:t>
      </w:r>
      <w:r w:rsidRPr="003A3097">
        <w:rPr>
          <w:rFonts w:ascii="Arial" w:hAnsi="Arial" w:cs="Arial"/>
          <w:sz w:val="20"/>
          <w:szCs w:val="20"/>
        </w:rPr>
        <w:t>(5491), 900–902.</w:t>
      </w:r>
    </w:p>
    <w:p w14:paraId="1C84333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Qin, J., Sun, J., Wen, S., Jiang, Q., &amp; He, Z. (2020). Advances in breeding for climate-resilient rice. In </w:t>
      </w:r>
      <w:r w:rsidRPr="003A3097">
        <w:rPr>
          <w:rStyle w:val="Emphasis"/>
          <w:rFonts w:ascii="Arial" w:hAnsi="Arial" w:cs="Arial"/>
          <w:sz w:val="20"/>
          <w:szCs w:val="20"/>
        </w:rPr>
        <w:t>Abiotic Stress in Plants</w:t>
      </w:r>
      <w:r w:rsidRPr="003A3097">
        <w:rPr>
          <w:rFonts w:ascii="Arial" w:hAnsi="Arial" w:cs="Arial"/>
          <w:sz w:val="20"/>
          <w:szCs w:val="20"/>
        </w:rPr>
        <w:t xml:space="preserve"> (pp. 113–126).</w:t>
      </w:r>
    </w:p>
    <w:p w14:paraId="16AD0ECF"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Shan, Q., Wang, Y., Li, J., Zhang, Y., Chen, K., Liang, Z., … &amp; Gao, C. (2013). Targeted genome modification of crop plants using a CRISPR</w:t>
      </w:r>
      <w:r w:rsidRPr="003A3097">
        <w:rPr>
          <w:rFonts w:ascii="Cambria Math" w:hAnsi="Cambria Math" w:cs="Cambria Math"/>
          <w:sz w:val="20"/>
          <w:szCs w:val="20"/>
        </w:rPr>
        <w:t>‐</w:t>
      </w:r>
      <w:r w:rsidRPr="003A3097">
        <w:rPr>
          <w:rFonts w:ascii="Arial" w:hAnsi="Arial" w:cs="Arial"/>
          <w:sz w:val="20"/>
          <w:szCs w:val="20"/>
        </w:rPr>
        <w:t xml:space="preserve">Cas system. </w:t>
      </w:r>
      <w:r w:rsidRPr="003A3097">
        <w:rPr>
          <w:rStyle w:val="Emphasis"/>
          <w:rFonts w:ascii="Arial" w:hAnsi="Arial" w:cs="Arial"/>
          <w:sz w:val="20"/>
          <w:szCs w:val="20"/>
        </w:rPr>
        <w:t>Nature Biotechnology, 31</w:t>
      </w:r>
      <w:r w:rsidRPr="003A3097">
        <w:rPr>
          <w:rFonts w:ascii="Arial" w:hAnsi="Arial" w:cs="Arial"/>
          <w:sz w:val="20"/>
          <w:szCs w:val="20"/>
        </w:rPr>
        <w:t>(8), 686–688.</w:t>
      </w:r>
    </w:p>
    <w:p w14:paraId="081DE887"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Singh, A., Singh, R. K., &amp; Kumar, P. (2019). Integration of machine learning in plant breeding: A review. </w:t>
      </w:r>
      <w:r w:rsidRPr="003A3097">
        <w:rPr>
          <w:rStyle w:val="Emphasis"/>
          <w:rFonts w:ascii="Arial" w:hAnsi="Arial" w:cs="Arial"/>
          <w:sz w:val="20"/>
          <w:szCs w:val="20"/>
        </w:rPr>
        <w:t>Frontiers in Plant Science, 10,</w:t>
      </w:r>
      <w:r w:rsidRPr="003A3097">
        <w:rPr>
          <w:rFonts w:ascii="Arial" w:hAnsi="Arial" w:cs="Arial"/>
          <w:sz w:val="20"/>
          <w:szCs w:val="20"/>
        </w:rPr>
        <w:t xml:space="preserve"> 1453.</w:t>
      </w:r>
    </w:p>
    <w:p w14:paraId="7E6E47E6"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Singh, D., Sharma, A., &amp; Bhattacharya, S. (2021). Enhancing rice resilience: Integrating genomic tools for next-generation rice improvement. </w:t>
      </w:r>
      <w:r w:rsidRPr="003A3097">
        <w:rPr>
          <w:rStyle w:val="Emphasis"/>
          <w:rFonts w:ascii="Arial" w:hAnsi="Arial" w:cs="Arial"/>
          <w:sz w:val="20"/>
          <w:szCs w:val="20"/>
        </w:rPr>
        <w:t>Journal of Experimental Botany, 72</w:t>
      </w:r>
      <w:r w:rsidRPr="003A3097">
        <w:rPr>
          <w:rFonts w:ascii="Arial" w:hAnsi="Arial" w:cs="Arial"/>
          <w:sz w:val="20"/>
          <w:szCs w:val="20"/>
        </w:rPr>
        <w:t xml:space="preserve">(5), 1230–1242. </w:t>
      </w:r>
      <w:hyperlink r:id="rId12" w:history="1">
        <w:r w:rsidRPr="003A3097">
          <w:rPr>
            <w:rStyle w:val="Hyperlink"/>
            <w:rFonts w:ascii="Arial" w:hAnsi="Arial" w:cs="Arial"/>
            <w:sz w:val="20"/>
            <w:szCs w:val="20"/>
          </w:rPr>
          <w:t>https://doi.org/10.1093/jxb/eraa533</w:t>
        </w:r>
      </w:hyperlink>
    </w:p>
    <w:p w14:paraId="67C93FF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Singh, D., Sharma, A., &amp; Bhattacharya, S. (2021). Enhancing rice resilience: Integrating genomic tools for next-generation rice improvement. </w:t>
      </w:r>
      <w:r w:rsidRPr="003A3097">
        <w:rPr>
          <w:rStyle w:val="Emphasis"/>
          <w:rFonts w:ascii="Arial" w:hAnsi="Arial" w:cs="Arial"/>
          <w:sz w:val="20"/>
          <w:szCs w:val="20"/>
        </w:rPr>
        <w:t>Journal of Experimental Botany, 72</w:t>
      </w:r>
      <w:r w:rsidRPr="003A3097">
        <w:rPr>
          <w:rFonts w:ascii="Arial" w:hAnsi="Arial" w:cs="Arial"/>
          <w:sz w:val="20"/>
          <w:szCs w:val="20"/>
        </w:rPr>
        <w:t xml:space="preserve">(5), 1230–1242. </w:t>
      </w:r>
      <w:hyperlink r:id="rId13" w:history="1">
        <w:r w:rsidRPr="003A3097">
          <w:rPr>
            <w:rStyle w:val="Hyperlink"/>
            <w:rFonts w:ascii="Arial" w:hAnsi="Arial" w:cs="Arial"/>
            <w:sz w:val="20"/>
            <w:szCs w:val="20"/>
          </w:rPr>
          <w:t>https://doi.org/10.1093/jxb/eraa533</w:t>
        </w:r>
      </w:hyperlink>
    </w:p>
    <w:p w14:paraId="2EA88316"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lastRenderedPageBreak/>
        <w:t xml:space="preserve">Sundaram, R. M., Vishnupriya, M. R., Biradar, S. K., et al. (2008). Marker-assisted improvement of bacterial blight resistance in parental lines of hybrid rice. </w:t>
      </w:r>
      <w:r w:rsidRPr="003A3097">
        <w:rPr>
          <w:rStyle w:val="Emphasis"/>
          <w:rFonts w:ascii="Arial" w:hAnsi="Arial" w:cs="Arial"/>
          <w:sz w:val="20"/>
          <w:szCs w:val="20"/>
        </w:rPr>
        <w:t>Plant Breeding, 127</w:t>
      </w:r>
      <w:r w:rsidRPr="003A3097">
        <w:rPr>
          <w:rFonts w:ascii="Arial" w:hAnsi="Arial" w:cs="Arial"/>
          <w:sz w:val="20"/>
          <w:szCs w:val="20"/>
        </w:rPr>
        <w:t>(5), 424–430.</w:t>
      </w:r>
    </w:p>
    <w:p w14:paraId="11B9A2F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Sweeney, M. T., Thomson, M. J., Pfeil, B. E., &amp; McCouch, S. R. (2007). Caught red-handed: </w:t>
      </w:r>
      <w:proofErr w:type="spellStart"/>
      <w:r w:rsidRPr="003A3097">
        <w:rPr>
          <w:rFonts w:ascii="Arial" w:hAnsi="Arial" w:cs="Arial"/>
          <w:sz w:val="20"/>
          <w:szCs w:val="20"/>
        </w:rPr>
        <w:t>Rc</w:t>
      </w:r>
      <w:proofErr w:type="spellEnd"/>
      <w:r w:rsidRPr="003A3097">
        <w:rPr>
          <w:rFonts w:ascii="Arial" w:hAnsi="Arial" w:cs="Arial"/>
          <w:sz w:val="20"/>
          <w:szCs w:val="20"/>
        </w:rPr>
        <w:t xml:space="preserve"> encodes a basic helix-loop-helix protein conditioning red pericarp in rice. </w:t>
      </w:r>
      <w:r w:rsidRPr="003A3097">
        <w:rPr>
          <w:rStyle w:val="Emphasis"/>
          <w:rFonts w:ascii="Arial" w:hAnsi="Arial" w:cs="Arial"/>
          <w:sz w:val="20"/>
          <w:szCs w:val="20"/>
        </w:rPr>
        <w:t>Plant Cell, 19</w:t>
      </w:r>
      <w:r w:rsidRPr="003A3097">
        <w:rPr>
          <w:rFonts w:ascii="Arial" w:hAnsi="Arial" w:cs="Arial"/>
          <w:sz w:val="20"/>
          <w:szCs w:val="20"/>
        </w:rPr>
        <w:t>(1), 131–140.</w:t>
      </w:r>
    </w:p>
    <w:p w14:paraId="19AE55A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Thiruppathi</w:t>
      </w:r>
      <w:proofErr w:type="spellEnd"/>
      <w:r w:rsidRPr="003A3097">
        <w:rPr>
          <w:rFonts w:ascii="Arial" w:hAnsi="Arial" w:cs="Arial"/>
          <w:sz w:val="20"/>
          <w:szCs w:val="20"/>
        </w:rPr>
        <w:t xml:space="preserve">, A., Salunkhe, S. R., Ramasamy, S. P., Palaniswamy, R., Rajagopalan, V. R., </w:t>
      </w:r>
      <w:proofErr w:type="spellStart"/>
      <w:r w:rsidRPr="003A3097">
        <w:rPr>
          <w:rFonts w:ascii="Arial" w:hAnsi="Arial" w:cs="Arial"/>
          <w:sz w:val="20"/>
          <w:szCs w:val="20"/>
        </w:rPr>
        <w:t>Rathnasamy</w:t>
      </w:r>
      <w:proofErr w:type="spellEnd"/>
      <w:r w:rsidRPr="003A3097">
        <w:rPr>
          <w:rFonts w:ascii="Arial" w:hAnsi="Arial" w:cs="Arial"/>
          <w:sz w:val="20"/>
          <w:szCs w:val="20"/>
        </w:rPr>
        <w:t xml:space="preserve">, S. A., ... &amp; </w:t>
      </w:r>
      <w:proofErr w:type="spellStart"/>
      <w:r w:rsidRPr="003A3097">
        <w:rPr>
          <w:rFonts w:ascii="Arial" w:hAnsi="Arial" w:cs="Arial"/>
          <w:sz w:val="20"/>
          <w:szCs w:val="20"/>
        </w:rPr>
        <w:t>Muthurajan</w:t>
      </w:r>
      <w:proofErr w:type="spellEnd"/>
      <w:r w:rsidRPr="003A3097">
        <w:rPr>
          <w:rFonts w:ascii="Arial" w:hAnsi="Arial" w:cs="Arial"/>
          <w:sz w:val="20"/>
          <w:szCs w:val="20"/>
        </w:rPr>
        <w:t>, R. (2024). Unleashing the Potential of CRISPR/Cas9 Genome Editing for Yield-Related Traits in Rice. </w:t>
      </w:r>
      <w:r w:rsidRPr="003A3097">
        <w:rPr>
          <w:rFonts w:ascii="Arial" w:hAnsi="Arial" w:cs="Arial"/>
          <w:i/>
          <w:iCs/>
          <w:sz w:val="20"/>
          <w:szCs w:val="20"/>
        </w:rPr>
        <w:t>Plants</w:t>
      </w:r>
      <w:r w:rsidRPr="003A3097">
        <w:rPr>
          <w:rFonts w:ascii="Arial" w:hAnsi="Arial" w:cs="Arial"/>
          <w:sz w:val="20"/>
          <w:szCs w:val="20"/>
        </w:rPr>
        <w:t>, </w:t>
      </w:r>
      <w:r w:rsidRPr="003A3097">
        <w:rPr>
          <w:rFonts w:ascii="Arial" w:hAnsi="Arial" w:cs="Arial"/>
          <w:i/>
          <w:iCs/>
          <w:sz w:val="20"/>
          <w:szCs w:val="20"/>
        </w:rPr>
        <w:t>13</w:t>
      </w:r>
      <w:r w:rsidRPr="003A3097">
        <w:rPr>
          <w:rFonts w:ascii="Arial" w:hAnsi="Arial" w:cs="Arial"/>
          <w:sz w:val="20"/>
          <w:szCs w:val="20"/>
        </w:rPr>
        <w:t>(21), 2972.</w:t>
      </w:r>
    </w:p>
    <w:p w14:paraId="50195CD5"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Urnov</w:t>
      </w:r>
      <w:proofErr w:type="spellEnd"/>
      <w:r w:rsidRPr="003A3097">
        <w:rPr>
          <w:rFonts w:ascii="Arial" w:hAnsi="Arial" w:cs="Arial"/>
          <w:sz w:val="20"/>
          <w:szCs w:val="20"/>
        </w:rPr>
        <w:t>, F. D., Rebar, E. J., Holmes, M. C., Zhang, H. S., &amp; Gregory, P. D. (2010). Genome editing with engineered zinc finger nucleases. </w:t>
      </w:r>
      <w:r w:rsidRPr="003A3097">
        <w:rPr>
          <w:rFonts w:ascii="Arial" w:hAnsi="Arial" w:cs="Arial"/>
          <w:i/>
          <w:iCs/>
          <w:sz w:val="20"/>
          <w:szCs w:val="20"/>
        </w:rPr>
        <w:t>Nature Reviews Genetics</w:t>
      </w:r>
      <w:r w:rsidRPr="003A3097">
        <w:rPr>
          <w:rFonts w:ascii="Arial" w:hAnsi="Arial" w:cs="Arial"/>
          <w:sz w:val="20"/>
          <w:szCs w:val="20"/>
        </w:rPr>
        <w:t>, </w:t>
      </w:r>
      <w:r w:rsidRPr="003A3097">
        <w:rPr>
          <w:rFonts w:ascii="Arial" w:hAnsi="Arial" w:cs="Arial"/>
          <w:i/>
          <w:iCs/>
          <w:sz w:val="20"/>
          <w:szCs w:val="20"/>
        </w:rPr>
        <w:t>11</w:t>
      </w:r>
      <w:r w:rsidRPr="003A3097">
        <w:rPr>
          <w:rFonts w:ascii="Arial" w:hAnsi="Arial" w:cs="Arial"/>
          <w:sz w:val="20"/>
          <w:szCs w:val="20"/>
        </w:rPr>
        <w:t>(9), 636-646.</w:t>
      </w:r>
    </w:p>
    <w:p w14:paraId="780B3DCE"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Varshney, R. K., et al. (2012). Success stories in precision agriculture research—food security: Contributions of genomics to the enhancement of rice, wheat, and chickpea. </w:t>
      </w:r>
      <w:r w:rsidRPr="003A3097">
        <w:rPr>
          <w:rStyle w:val="Emphasis"/>
          <w:rFonts w:ascii="Arial" w:hAnsi="Arial" w:cs="Arial"/>
          <w:sz w:val="20"/>
          <w:szCs w:val="20"/>
        </w:rPr>
        <w:t>The Plant Genome, 5</w:t>
      </w:r>
      <w:r w:rsidRPr="003A3097">
        <w:rPr>
          <w:rFonts w:ascii="Arial" w:hAnsi="Arial" w:cs="Arial"/>
          <w:sz w:val="20"/>
          <w:szCs w:val="20"/>
        </w:rPr>
        <w:t xml:space="preserve">(3), 147–161. </w:t>
      </w:r>
      <w:hyperlink r:id="rId14" w:history="1">
        <w:r w:rsidRPr="003A3097">
          <w:rPr>
            <w:rStyle w:val="Hyperlink"/>
            <w:rFonts w:ascii="Arial" w:hAnsi="Arial" w:cs="Arial"/>
            <w:sz w:val="20"/>
            <w:szCs w:val="20"/>
          </w:rPr>
          <w:t>https://doi.org/10.3835/plantgenome2012.03.0003</w:t>
        </w:r>
      </w:hyperlink>
    </w:p>
    <w:p w14:paraId="624EED4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Varshney, R. K., et al. (2021). Rice breeding revolution through advanced genomics and biotechnological interventions. </w:t>
      </w:r>
      <w:r w:rsidRPr="003A3097">
        <w:rPr>
          <w:rStyle w:val="Emphasis"/>
          <w:rFonts w:ascii="Arial" w:hAnsi="Arial" w:cs="Arial"/>
          <w:sz w:val="20"/>
          <w:szCs w:val="20"/>
        </w:rPr>
        <w:t>The Plant Cell Reports, 40</w:t>
      </w:r>
      <w:r w:rsidRPr="003A3097">
        <w:rPr>
          <w:rFonts w:ascii="Arial" w:hAnsi="Arial" w:cs="Arial"/>
          <w:sz w:val="20"/>
          <w:szCs w:val="20"/>
        </w:rPr>
        <w:t>(3), 461–475.</w:t>
      </w:r>
    </w:p>
    <w:p w14:paraId="08F207A1"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Varshney, R. K., et al. (2021). Rice breeding revolution through advanced genomics and biotechnological interventions. </w:t>
      </w:r>
      <w:r w:rsidRPr="003A3097">
        <w:rPr>
          <w:rStyle w:val="Emphasis"/>
          <w:rFonts w:ascii="Arial" w:hAnsi="Arial" w:cs="Arial"/>
          <w:sz w:val="20"/>
          <w:szCs w:val="20"/>
        </w:rPr>
        <w:t>The Plant Cell Reports, 40</w:t>
      </w:r>
      <w:r w:rsidRPr="003A3097">
        <w:rPr>
          <w:rFonts w:ascii="Arial" w:hAnsi="Arial" w:cs="Arial"/>
          <w:sz w:val="20"/>
          <w:szCs w:val="20"/>
        </w:rPr>
        <w:t>(3), 461–475.</w:t>
      </w:r>
    </w:p>
    <w:p w14:paraId="481B538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Verma, A., &amp; Kumar, S. (2022). Hybrid rice: Breakthroughs and future prospects. </w:t>
      </w:r>
      <w:r w:rsidRPr="003A3097">
        <w:rPr>
          <w:rStyle w:val="Emphasis"/>
          <w:rFonts w:ascii="Arial" w:hAnsi="Arial" w:cs="Arial"/>
          <w:sz w:val="20"/>
          <w:szCs w:val="20"/>
        </w:rPr>
        <w:t>Advances in Crop Science, 10</w:t>
      </w:r>
      <w:r w:rsidRPr="003A3097">
        <w:rPr>
          <w:rFonts w:ascii="Arial" w:hAnsi="Arial" w:cs="Arial"/>
          <w:sz w:val="20"/>
          <w:szCs w:val="20"/>
        </w:rPr>
        <w:t>(1), 45–60.</w:t>
      </w:r>
    </w:p>
    <w:p w14:paraId="5B5F2F3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Verma, A., Kumar, P., &amp; Singh, D. (2021). Mutation breeding in rice: Advances and applications for yield improvement. </w:t>
      </w:r>
      <w:r w:rsidRPr="003A3097">
        <w:rPr>
          <w:rStyle w:val="Emphasis"/>
          <w:rFonts w:ascii="Arial" w:hAnsi="Arial" w:cs="Arial"/>
          <w:sz w:val="20"/>
          <w:szCs w:val="20"/>
        </w:rPr>
        <w:t>Plant Breeding Reviews, 45</w:t>
      </w:r>
      <w:r w:rsidRPr="003A3097">
        <w:rPr>
          <w:rFonts w:ascii="Arial" w:hAnsi="Arial" w:cs="Arial"/>
          <w:sz w:val="20"/>
          <w:szCs w:val="20"/>
        </w:rPr>
        <w:t>(2), 77–93.</w:t>
      </w:r>
    </w:p>
    <w:p w14:paraId="6DA22E8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Wang, M., Huang, J., &amp; Xu, L. (2020). Improving rice yield and stress tolerance through comprehensive genome editing: A review of advances and future prospects. </w:t>
      </w:r>
      <w:r w:rsidRPr="003A3097">
        <w:rPr>
          <w:rStyle w:val="Emphasis"/>
          <w:rFonts w:ascii="Arial" w:hAnsi="Arial" w:cs="Arial"/>
          <w:sz w:val="20"/>
          <w:szCs w:val="20"/>
        </w:rPr>
        <w:t>Frontiers in Plant Science, 11,</w:t>
      </w:r>
      <w:r w:rsidRPr="003A3097">
        <w:rPr>
          <w:rFonts w:ascii="Arial" w:hAnsi="Arial" w:cs="Arial"/>
          <w:sz w:val="20"/>
          <w:szCs w:val="20"/>
        </w:rPr>
        <w:t xml:space="preserve"> 1038. </w:t>
      </w:r>
      <w:hyperlink r:id="rId15" w:history="1">
        <w:r w:rsidRPr="003A3097">
          <w:rPr>
            <w:rStyle w:val="Hyperlink"/>
            <w:rFonts w:ascii="Arial" w:hAnsi="Arial" w:cs="Arial"/>
            <w:sz w:val="20"/>
            <w:szCs w:val="20"/>
          </w:rPr>
          <w:t>https://doi.org/10.3389/fpls.2020.01038</w:t>
        </w:r>
      </w:hyperlink>
    </w:p>
    <w:p w14:paraId="01E01F68"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Wang, M., Huang, J., &amp; Xu, L. (2020). Improving rice yield and stress tolerance through comprehensive genome editing: A review of advances and future prospects. </w:t>
      </w:r>
      <w:r w:rsidRPr="003A3097">
        <w:rPr>
          <w:rStyle w:val="Emphasis"/>
          <w:rFonts w:ascii="Arial" w:hAnsi="Arial" w:cs="Arial"/>
          <w:sz w:val="20"/>
          <w:szCs w:val="20"/>
        </w:rPr>
        <w:t>Frontiers in Plant Science, 11,</w:t>
      </w:r>
      <w:r w:rsidRPr="003A3097">
        <w:rPr>
          <w:rFonts w:ascii="Arial" w:hAnsi="Arial" w:cs="Arial"/>
          <w:sz w:val="20"/>
          <w:szCs w:val="20"/>
        </w:rPr>
        <w:t xml:space="preserve"> 1038. </w:t>
      </w:r>
      <w:hyperlink r:id="rId16" w:history="1">
        <w:r w:rsidRPr="003A3097">
          <w:rPr>
            <w:rStyle w:val="Hyperlink"/>
            <w:rFonts w:ascii="Arial" w:hAnsi="Arial" w:cs="Arial"/>
            <w:sz w:val="20"/>
            <w:szCs w:val="20"/>
          </w:rPr>
          <w:t>https://doi.org/10.3389/fpls.2020.01038</w:t>
        </w:r>
      </w:hyperlink>
    </w:p>
    <w:p w14:paraId="0E217FF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Xie, L., Zhang, Q., &amp; Chen, J. (2021). Traditional rice breeding in Asia: The role of landraces and farmer selection. </w:t>
      </w:r>
      <w:r w:rsidRPr="003A3097">
        <w:rPr>
          <w:rStyle w:val="Emphasis"/>
          <w:rFonts w:ascii="Arial" w:hAnsi="Arial" w:cs="Arial"/>
          <w:sz w:val="20"/>
          <w:szCs w:val="20"/>
        </w:rPr>
        <w:t>Rice Research, 18</w:t>
      </w:r>
      <w:r w:rsidRPr="003A3097">
        <w:rPr>
          <w:rFonts w:ascii="Arial" w:hAnsi="Arial" w:cs="Arial"/>
          <w:sz w:val="20"/>
          <w:szCs w:val="20"/>
        </w:rPr>
        <w:t>(3), 234–245.</w:t>
      </w:r>
    </w:p>
    <w:p w14:paraId="363726D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Xu, K., Xu, X., Fukao, T., Canlas, P., Maghirang-Rodriguez, R., Heuer, S., ... &amp; Mackill, D. (2006). Sub1A is an ethylene response factor that confers submergence tolerance to rice. </w:t>
      </w:r>
      <w:r w:rsidRPr="003A3097">
        <w:rPr>
          <w:rStyle w:val="Emphasis"/>
          <w:rFonts w:ascii="Arial" w:hAnsi="Arial" w:cs="Arial"/>
          <w:sz w:val="20"/>
          <w:szCs w:val="20"/>
        </w:rPr>
        <w:t>Nature, 442</w:t>
      </w:r>
      <w:r w:rsidRPr="003A3097">
        <w:rPr>
          <w:rFonts w:ascii="Arial" w:hAnsi="Arial" w:cs="Arial"/>
          <w:sz w:val="20"/>
          <w:szCs w:val="20"/>
        </w:rPr>
        <w:t>(7103), 705–708.</w:t>
      </w:r>
    </w:p>
    <w:p w14:paraId="7CDAA7A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Yang, W., Guo, Z., Huang, C., Duan, L., Chen, G., Jiang, N., ... &amp; Xiong, L. (2014). Combining high-throughput phenotyping and genome-wide association studies to reveal natural genetic variation in rice. </w:t>
      </w:r>
      <w:r w:rsidRPr="003A3097">
        <w:rPr>
          <w:rFonts w:ascii="Arial" w:hAnsi="Arial" w:cs="Arial"/>
          <w:i/>
          <w:iCs/>
          <w:sz w:val="20"/>
          <w:szCs w:val="20"/>
        </w:rPr>
        <w:t>Nature communications</w:t>
      </w:r>
      <w:r w:rsidRPr="003A3097">
        <w:rPr>
          <w:rFonts w:ascii="Arial" w:hAnsi="Arial" w:cs="Arial"/>
          <w:sz w:val="20"/>
          <w:szCs w:val="20"/>
        </w:rPr>
        <w:t>, </w:t>
      </w:r>
      <w:r w:rsidRPr="003A3097">
        <w:rPr>
          <w:rFonts w:ascii="Arial" w:hAnsi="Arial" w:cs="Arial"/>
          <w:i/>
          <w:iCs/>
          <w:sz w:val="20"/>
          <w:szCs w:val="20"/>
        </w:rPr>
        <w:t>5</w:t>
      </w:r>
      <w:r w:rsidRPr="003A3097">
        <w:rPr>
          <w:rFonts w:ascii="Arial" w:hAnsi="Arial" w:cs="Arial"/>
          <w:sz w:val="20"/>
          <w:szCs w:val="20"/>
        </w:rPr>
        <w:t>(1), 5087.</w:t>
      </w:r>
    </w:p>
    <w:p w14:paraId="6B5D9FEE"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Yano, K., Yamamoto, E., Aya, K., Takeuchi, H., Lo, P. C., Hu, L., ... &amp; Matsuoka, M. (2016). Genome-wide association study using whole-genome sequencing rapidly identifies new genes influencing agronomic traits in rice. </w:t>
      </w:r>
      <w:r w:rsidRPr="003A3097">
        <w:rPr>
          <w:rFonts w:ascii="Arial" w:hAnsi="Arial" w:cs="Arial"/>
          <w:i/>
          <w:iCs/>
          <w:sz w:val="20"/>
          <w:szCs w:val="20"/>
        </w:rPr>
        <w:t>Nature genetics</w:t>
      </w:r>
      <w:r w:rsidRPr="003A3097">
        <w:rPr>
          <w:rFonts w:ascii="Arial" w:hAnsi="Arial" w:cs="Arial"/>
          <w:sz w:val="20"/>
          <w:szCs w:val="20"/>
        </w:rPr>
        <w:t>, </w:t>
      </w:r>
      <w:r w:rsidRPr="003A3097">
        <w:rPr>
          <w:rFonts w:ascii="Arial" w:hAnsi="Arial" w:cs="Arial"/>
          <w:i/>
          <w:iCs/>
          <w:sz w:val="20"/>
          <w:szCs w:val="20"/>
        </w:rPr>
        <w:t>48</w:t>
      </w:r>
      <w:r w:rsidRPr="003A3097">
        <w:rPr>
          <w:rFonts w:ascii="Arial" w:hAnsi="Arial" w:cs="Arial"/>
          <w:sz w:val="20"/>
          <w:szCs w:val="20"/>
        </w:rPr>
        <w:t>(8), 927-934.</w:t>
      </w:r>
    </w:p>
    <w:p w14:paraId="01CD629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H., &amp; Li, B. (2021). Predictive analytics in crop science: The role of machine learning in modern breeding. </w:t>
      </w:r>
      <w:r w:rsidRPr="003A3097">
        <w:rPr>
          <w:rStyle w:val="Emphasis"/>
          <w:rFonts w:ascii="Arial" w:hAnsi="Arial" w:cs="Arial"/>
          <w:sz w:val="20"/>
          <w:szCs w:val="20"/>
        </w:rPr>
        <w:t>Computers and Electronics in Agriculture, 184,</w:t>
      </w:r>
      <w:r w:rsidRPr="003A3097">
        <w:rPr>
          <w:rFonts w:ascii="Arial" w:hAnsi="Arial" w:cs="Arial"/>
          <w:sz w:val="20"/>
          <w:szCs w:val="20"/>
        </w:rPr>
        <w:t xml:space="preserve"> 106125.</w:t>
      </w:r>
    </w:p>
    <w:p w14:paraId="3F4B77A5"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Q., et al. (2016). Recent advances in plant biotechnology for rice improvement: Challenges of molecular breeding and genetic engineering. </w:t>
      </w:r>
      <w:r w:rsidRPr="003A3097">
        <w:rPr>
          <w:rStyle w:val="Emphasis"/>
          <w:rFonts w:ascii="Arial" w:hAnsi="Arial" w:cs="Arial"/>
          <w:sz w:val="20"/>
          <w:szCs w:val="20"/>
        </w:rPr>
        <w:t>Journal of Integrative Agriculture, 15</w:t>
      </w:r>
      <w:r w:rsidRPr="003A3097">
        <w:rPr>
          <w:rFonts w:ascii="Arial" w:hAnsi="Arial" w:cs="Arial"/>
          <w:sz w:val="20"/>
          <w:szCs w:val="20"/>
        </w:rPr>
        <w:t>(7), 1573–1586.</w:t>
      </w:r>
    </w:p>
    <w:p w14:paraId="4D39D168"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Q., et al. (2016). Recent advances in plant biotechnology for rice improvement: Challenges of molecular breeding and genetic engineering. </w:t>
      </w:r>
      <w:r w:rsidRPr="003A3097">
        <w:rPr>
          <w:rStyle w:val="Emphasis"/>
          <w:rFonts w:ascii="Arial" w:hAnsi="Arial" w:cs="Arial"/>
          <w:sz w:val="20"/>
          <w:szCs w:val="20"/>
        </w:rPr>
        <w:t>Journal of Integrative Agriculture, 15</w:t>
      </w:r>
      <w:r w:rsidRPr="003A3097">
        <w:rPr>
          <w:rFonts w:ascii="Arial" w:hAnsi="Arial" w:cs="Arial"/>
          <w:sz w:val="20"/>
          <w:szCs w:val="20"/>
        </w:rPr>
        <w:t>(7), 1573–1586.</w:t>
      </w:r>
    </w:p>
    <w:p w14:paraId="3E2352CE"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Y., et al. (2015). Off-target effects in genome editing using CRISPR-Cas9: Implications for crop improvement. </w:t>
      </w:r>
      <w:r w:rsidRPr="003A3097">
        <w:rPr>
          <w:rStyle w:val="Emphasis"/>
          <w:rFonts w:ascii="Arial" w:hAnsi="Arial" w:cs="Arial"/>
          <w:sz w:val="20"/>
          <w:szCs w:val="20"/>
        </w:rPr>
        <w:t>Plant Biotechnology Journal, 13</w:t>
      </w:r>
      <w:r w:rsidRPr="003A3097">
        <w:rPr>
          <w:rFonts w:ascii="Arial" w:hAnsi="Arial" w:cs="Arial"/>
          <w:sz w:val="20"/>
          <w:szCs w:val="20"/>
        </w:rPr>
        <w:t>(3), 395–405.</w:t>
      </w:r>
    </w:p>
    <w:p w14:paraId="6C2C825F"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Y., Liu, X., &amp; Fei, Z. (2019). CRISPR/Cas9-based genome editing in rice: Recent advances and future perspectives. </w:t>
      </w:r>
      <w:r w:rsidRPr="003A3097">
        <w:rPr>
          <w:rStyle w:val="Emphasis"/>
          <w:rFonts w:ascii="Arial" w:hAnsi="Arial" w:cs="Arial"/>
          <w:sz w:val="20"/>
          <w:szCs w:val="20"/>
        </w:rPr>
        <w:t>Rice, 12,</w:t>
      </w:r>
      <w:r w:rsidRPr="003A3097">
        <w:rPr>
          <w:rFonts w:ascii="Arial" w:hAnsi="Arial" w:cs="Arial"/>
          <w:sz w:val="20"/>
          <w:szCs w:val="20"/>
        </w:rPr>
        <w:t xml:space="preserve"> 5. </w:t>
      </w:r>
      <w:hyperlink r:id="rId17" w:history="1">
        <w:r w:rsidRPr="003A3097">
          <w:rPr>
            <w:rStyle w:val="Hyperlink"/>
            <w:rFonts w:ascii="Arial" w:hAnsi="Arial" w:cs="Arial"/>
            <w:sz w:val="20"/>
            <w:szCs w:val="20"/>
          </w:rPr>
          <w:t>https://doi.org/10.1186/s12284-019-0325-0</w:t>
        </w:r>
      </w:hyperlink>
    </w:p>
    <w:p w14:paraId="0292790A"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Zhao, K., Tung, C. W., Eizenga, G. C., Wright, M. H., Ali, M. L., Price, A. H., ... &amp; McCouch, S. R. (2011). Genome-wide association mapping reveals a rich genetic architecture of complex traits in </w:t>
      </w:r>
      <w:r w:rsidRPr="003A3097">
        <w:rPr>
          <w:rStyle w:val="Emphasis"/>
          <w:rFonts w:ascii="Arial" w:hAnsi="Arial" w:cs="Arial"/>
          <w:sz w:val="20"/>
          <w:szCs w:val="20"/>
        </w:rPr>
        <w:t>Oryza sativa</w:t>
      </w:r>
      <w:r w:rsidRPr="003A3097">
        <w:rPr>
          <w:rFonts w:ascii="Arial" w:hAnsi="Arial" w:cs="Arial"/>
          <w:sz w:val="20"/>
          <w:szCs w:val="20"/>
        </w:rPr>
        <w:t xml:space="preserve">. </w:t>
      </w:r>
      <w:r w:rsidRPr="003A3097">
        <w:rPr>
          <w:rStyle w:val="Emphasis"/>
          <w:rFonts w:ascii="Arial" w:hAnsi="Arial" w:cs="Arial"/>
          <w:sz w:val="20"/>
          <w:szCs w:val="20"/>
        </w:rPr>
        <w:t>Nature Communications, 2,</w:t>
      </w:r>
      <w:r w:rsidRPr="003A3097">
        <w:rPr>
          <w:rFonts w:ascii="Arial" w:hAnsi="Arial" w:cs="Arial"/>
          <w:sz w:val="20"/>
          <w:szCs w:val="20"/>
        </w:rPr>
        <w:t xml:space="preserve"> 467.</w:t>
      </w:r>
    </w:p>
    <w:p w14:paraId="483A384B"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Zhu, H., Li, C., &amp; Gao, C. (2020). Applications of CRISPR–Cas in agriculture and plant biotechnology. </w:t>
      </w:r>
      <w:r w:rsidRPr="003A3097">
        <w:rPr>
          <w:rFonts w:ascii="Arial" w:hAnsi="Arial" w:cs="Arial"/>
          <w:i/>
          <w:iCs/>
          <w:sz w:val="20"/>
          <w:szCs w:val="20"/>
        </w:rPr>
        <w:t>Nature Reviews Molecular Cell Biology</w:t>
      </w:r>
      <w:r w:rsidRPr="003A3097">
        <w:rPr>
          <w:rFonts w:ascii="Arial" w:hAnsi="Arial" w:cs="Arial"/>
          <w:sz w:val="20"/>
          <w:szCs w:val="20"/>
        </w:rPr>
        <w:t>, </w:t>
      </w:r>
      <w:r w:rsidRPr="003A3097">
        <w:rPr>
          <w:rFonts w:ascii="Arial" w:hAnsi="Arial" w:cs="Arial"/>
          <w:i/>
          <w:iCs/>
          <w:sz w:val="20"/>
          <w:szCs w:val="20"/>
        </w:rPr>
        <w:t>21</w:t>
      </w:r>
      <w:r w:rsidRPr="003A3097">
        <w:rPr>
          <w:rFonts w:ascii="Arial" w:hAnsi="Arial" w:cs="Arial"/>
          <w:sz w:val="20"/>
          <w:szCs w:val="20"/>
        </w:rPr>
        <w:t>(11), 661-677.</w:t>
      </w:r>
    </w:p>
    <w:p w14:paraId="7C8E6FE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Zhu, J., Ingle, R. A., &amp; Panda, S. K. (2017). Omics approaches to improve yield, nutritional quality, and stress tolerance in rice. </w:t>
      </w:r>
      <w:r w:rsidRPr="003A3097">
        <w:rPr>
          <w:rStyle w:val="Emphasis"/>
          <w:rFonts w:ascii="Arial" w:hAnsi="Arial" w:cs="Arial"/>
          <w:sz w:val="20"/>
          <w:szCs w:val="20"/>
        </w:rPr>
        <w:t>Molecular Plant, 10</w:t>
      </w:r>
      <w:r w:rsidRPr="003A3097">
        <w:rPr>
          <w:rFonts w:ascii="Arial" w:hAnsi="Arial" w:cs="Arial"/>
          <w:sz w:val="20"/>
          <w:szCs w:val="20"/>
        </w:rPr>
        <w:t>(3), 442–456.</w:t>
      </w:r>
    </w:p>
    <w:p w14:paraId="7F68263E" w14:textId="77777777" w:rsidR="00773B6A" w:rsidRPr="003A3097" w:rsidRDefault="00773B6A"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Ronald, P. (2020, February). Sub1 rice: Engineering Rice for Climate Change. In </w:t>
      </w:r>
      <w:r w:rsidRPr="003A3097">
        <w:rPr>
          <w:rFonts w:ascii="Arial" w:hAnsi="Arial" w:cs="Arial"/>
          <w:i/>
          <w:iCs/>
          <w:sz w:val="20"/>
          <w:szCs w:val="20"/>
        </w:rPr>
        <w:t>2020 Annual Meeting</w:t>
      </w:r>
      <w:r w:rsidRPr="003A3097">
        <w:rPr>
          <w:rFonts w:ascii="Arial" w:hAnsi="Arial" w:cs="Arial"/>
          <w:sz w:val="20"/>
          <w:szCs w:val="20"/>
        </w:rPr>
        <w:t>. AAAS.</w:t>
      </w:r>
    </w:p>
    <w:sectPr w:rsidR="00773B6A" w:rsidRPr="003A3097" w:rsidSect="007451B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0D5D1" w14:textId="77777777" w:rsidR="00FB2F0A" w:rsidRDefault="00FB2F0A" w:rsidP="006E4BBE">
      <w:pPr>
        <w:spacing w:after="0" w:line="240" w:lineRule="auto"/>
      </w:pPr>
      <w:r>
        <w:separator/>
      </w:r>
    </w:p>
  </w:endnote>
  <w:endnote w:type="continuationSeparator" w:id="0">
    <w:p w14:paraId="07E88D48" w14:textId="77777777" w:rsidR="00FB2F0A" w:rsidRDefault="00FB2F0A" w:rsidP="006E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1998" w14:textId="77777777" w:rsidR="001B3773" w:rsidRDefault="001B3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3319" w14:textId="2E1765C5" w:rsidR="006E4BBE" w:rsidRPr="005E0B04" w:rsidRDefault="006E4BBE" w:rsidP="005E0B04">
    <w:pPr>
      <w:pStyle w:val="Footer"/>
    </w:pPr>
    <w:r w:rsidRPr="005E0B0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A642" w14:textId="77777777" w:rsidR="001B3773" w:rsidRDefault="001B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1D39B" w14:textId="77777777" w:rsidR="00FB2F0A" w:rsidRDefault="00FB2F0A" w:rsidP="006E4BBE">
      <w:pPr>
        <w:spacing w:after="0" w:line="240" w:lineRule="auto"/>
      </w:pPr>
      <w:r>
        <w:separator/>
      </w:r>
    </w:p>
  </w:footnote>
  <w:footnote w:type="continuationSeparator" w:id="0">
    <w:p w14:paraId="10441C7F" w14:textId="77777777" w:rsidR="00FB2F0A" w:rsidRDefault="00FB2F0A" w:rsidP="006E4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3BC" w14:textId="76D0B4D8" w:rsidR="001B3773" w:rsidRDefault="001B3773">
    <w:pPr>
      <w:pStyle w:val="Header"/>
    </w:pPr>
    <w:r>
      <w:rPr>
        <w:noProof/>
      </w:rPr>
      <w:pict w14:anchorId="46E91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2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BB59" w14:textId="5B261049" w:rsidR="001B3773" w:rsidRDefault="001B3773">
    <w:pPr>
      <w:pStyle w:val="Header"/>
    </w:pPr>
    <w:r>
      <w:rPr>
        <w:noProof/>
      </w:rPr>
      <w:pict w14:anchorId="07FB9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2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AFF5C" w14:textId="081B0242" w:rsidR="001B3773" w:rsidRDefault="001B3773">
    <w:pPr>
      <w:pStyle w:val="Header"/>
    </w:pPr>
    <w:r>
      <w:rPr>
        <w:noProof/>
      </w:rPr>
      <w:pict w14:anchorId="042E8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2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C7D"/>
    <w:multiLevelType w:val="multilevel"/>
    <w:tmpl w:val="2E6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37271"/>
    <w:multiLevelType w:val="multilevel"/>
    <w:tmpl w:val="603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701C1"/>
    <w:multiLevelType w:val="multilevel"/>
    <w:tmpl w:val="DB9A4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237868"/>
    <w:multiLevelType w:val="multilevel"/>
    <w:tmpl w:val="F952847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37CF1"/>
    <w:multiLevelType w:val="multilevel"/>
    <w:tmpl w:val="E2DA4CD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A102D9"/>
    <w:multiLevelType w:val="multilevel"/>
    <w:tmpl w:val="C5A24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346F7"/>
    <w:multiLevelType w:val="multilevel"/>
    <w:tmpl w:val="7A0A618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57ECD"/>
    <w:multiLevelType w:val="multilevel"/>
    <w:tmpl w:val="B35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16D94"/>
    <w:multiLevelType w:val="multilevel"/>
    <w:tmpl w:val="25B0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24E4A"/>
    <w:multiLevelType w:val="multilevel"/>
    <w:tmpl w:val="775C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93F95"/>
    <w:multiLevelType w:val="multilevel"/>
    <w:tmpl w:val="0428B8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532507"/>
    <w:multiLevelType w:val="multilevel"/>
    <w:tmpl w:val="6F5A378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170B49"/>
    <w:multiLevelType w:val="hybridMultilevel"/>
    <w:tmpl w:val="5776B3E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D21AD5"/>
    <w:multiLevelType w:val="multilevel"/>
    <w:tmpl w:val="3FD4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C15E8"/>
    <w:multiLevelType w:val="multilevel"/>
    <w:tmpl w:val="23DE5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E5CE7"/>
    <w:multiLevelType w:val="hybridMultilevel"/>
    <w:tmpl w:val="A86221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67A1468"/>
    <w:multiLevelType w:val="multilevel"/>
    <w:tmpl w:val="07F0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413AE"/>
    <w:multiLevelType w:val="multilevel"/>
    <w:tmpl w:val="6EA6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9234E"/>
    <w:multiLevelType w:val="multilevel"/>
    <w:tmpl w:val="5EA8E8F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C254D0"/>
    <w:multiLevelType w:val="multilevel"/>
    <w:tmpl w:val="E93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
  </w:num>
  <w:num w:numId="4">
    <w:abstractNumId w:val="0"/>
  </w:num>
  <w:num w:numId="5">
    <w:abstractNumId w:val="2"/>
  </w:num>
  <w:num w:numId="6">
    <w:abstractNumId w:val="8"/>
  </w:num>
  <w:num w:numId="7">
    <w:abstractNumId w:val="9"/>
  </w:num>
  <w:num w:numId="8">
    <w:abstractNumId w:val="7"/>
  </w:num>
  <w:num w:numId="9">
    <w:abstractNumId w:val="13"/>
  </w:num>
  <w:num w:numId="10">
    <w:abstractNumId w:val="17"/>
  </w:num>
  <w:num w:numId="11">
    <w:abstractNumId w:val="19"/>
  </w:num>
  <w:num w:numId="12">
    <w:abstractNumId w:val="12"/>
  </w:num>
  <w:num w:numId="13">
    <w:abstractNumId w:val="16"/>
  </w:num>
  <w:num w:numId="14">
    <w:abstractNumId w:val="3"/>
  </w:num>
  <w:num w:numId="15">
    <w:abstractNumId w:val="6"/>
  </w:num>
  <w:num w:numId="16">
    <w:abstractNumId w:val="10"/>
  </w:num>
  <w:num w:numId="17">
    <w:abstractNumId w:val="11"/>
  </w:num>
  <w:num w:numId="18">
    <w:abstractNumId w:val="4"/>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516"/>
    <w:rsid w:val="000643BE"/>
    <w:rsid w:val="00077722"/>
    <w:rsid w:val="000F56FD"/>
    <w:rsid w:val="00147CCE"/>
    <w:rsid w:val="00182AF5"/>
    <w:rsid w:val="001B3773"/>
    <w:rsid w:val="00215C34"/>
    <w:rsid w:val="00223053"/>
    <w:rsid w:val="00240AD3"/>
    <w:rsid w:val="002A6BFD"/>
    <w:rsid w:val="002B2D8E"/>
    <w:rsid w:val="002F1A35"/>
    <w:rsid w:val="00311CEC"/>
    <w:rsid w:val="00325038"/>
    <w:rsid w:val="0034564D"/>
    <w:rsid w:val="00390E00"/>
    <w:rsid w:val="003A3097"/>
    <w:rsid w:val="003D0E15"/>
    <w:rsid w:val="00421B40"/>
    <w:rsid w:val="004345B9"/>
    <w:rsid w:val="00482A49"/>
    <w:rsid w:val="004A3600"/>
    <w:rsid w:val="004E73B1"/>
    <w:rsid w:val="004F69A4"/>
    <w:rsid w:val="00552A5F"/>
    <w:rsid w:val="005548D7"/>
    <w:rsid w:val="00595100"/>
    <w:rsid w:val="005A2510"/>
    <w:rsid w:val="005C1A2B"/>
    <w:rsid w:val="005D5A14"/>
    <w:rsid w:val="005E0B04"/>
    <w:rsid w:val="00650054"/>
    <w:rsid w:val="00663C38"/>
    <w:rsid w:val="006E4BBE"/>
    <w:rsid w:val="006E6D71"/>
    <w:rsid w:val="006F03D4"/>
    <w:rsid w:val="00731EEF"/>
    <w:rsid w:val="007451BA"/>
    <w:rsid w:val="00750CDC"/>
    <w:rsid w:val="00773B6A"/>
    <w:rsid w:val="00797A66"/>
    <w:rsid w:val="007D4E38"/>
    <w:rsid w:val="008127A7"/>
    <w:rsid w:val="00824C09"/>
    <w:rsid w:val="008C21AB"/>
    <w:rsid w:val="00901B71"/>
    <w:rsid w:val="009751CF"/>
    <w:rsid w:val="009B67B7"/>
    <w:rsid w:val="009E3F76"/>
    <w:rsid w:val="00A12843"/>
    <w:rsid w:val="00A318F2"/>
    <w:rsid w:val="00A94516"/>
    <w:rsid w:val="00AB29B1"/>
    <w:rsid w:val="00B3737E"/>
    <w:rsid w:val="00B66170"/>
    <w:rsid w:val="00B7444E"/>
    <w:rsid w:val="00BA5153"/>
    <w:rsid w:val="00BB4181"/>
    <w:rsid w:val="00BC7C4F"/>
    <w:rsid w:val="00C514E2"/>
    <w:rsid w:val="00C53E33"/>
    <w:rsid w:val="00C730CE"/>
    <w:rsid w:val="00C772EB"/>
    <w:rsid w:val="00C86A5B"/>
    <w:rsid w:val="00CA0FC0"/>
    <w:rsid w:val="00CB1089"/>
    <w:rsid w:val="00D14611"/>
    <w:rsid w:val="00D15117"/>
    <w:rsid w:val="00D6703C"/>
    <w:rsid w:val="00D743A0"/>
    <w:rsid w:val="00D77DCD"/>
    <w:rsid w:val="00D80708"/>
    <w:rsid w:val="00D82948"/>
    <w:rsid w:val="00E54D49"/>
    <w:rsid w:val="00ED407D"/>
    <w:rsid w:val="00ED7894"/>
    <w:rsid w:val="00F96ED5"/>
    <w:rsid w:val="00FB2F0A"/>
    <w:rsid w:val="00FE0101"/>
    <w:rsid w:val="00FE38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5A7F28D6"/>
  <w15:docId w15:val="{759E74DB-11AC-4420-9FC7-B2ECF3EF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5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94516"/>
    <w:rPr>
      <w:b/>
      <w:bCs/>
    </w:rPr>
  </w:style>
  <w:style w:type="character" w:styleId="Emphasis">
    <w:name w:val="Emphasis"/>
    <w:basedOn w:val="DefaultParagraphFont"/>
    <w:uiPriority w:val="20"/>
    <w:qFormat/>
    <w:rsid w:val="00A94516"/>
    <w:rPr>
      <w:i/>
      <w:iCs/>
    </w:rPr>
  </w:style>
  <w:style w:type="character" w:styleId="Hyperlink">
    <w:name w:val="Hyperlink"/>
    <w:basedOn w:val="DefaultParagraphFont"/>
    <w:uiPriority w:val="99"/>
    <w:unhideWhenUsed/>
    <w:rsid w:val="00ED407D"/>
    <w:rPr>
      <w:color w:val="0000FF" w:themeColor="hyperlink"/>
      <w:u w:val="single"/>
    </w:rPr>
  </w:style>
  <w:style w:type="paragraph" w:styleId="ListParagraph">
    <w:name w:val="List Paragraph"/>
    <w:basedOn w:val="Normal"/>
    <w:uiPriority w:val="34"/>
    <w:qFormat/>
    <w:rsid w:val="00ED407D"/>
    <w:pPr>
      <w:ind w:left="720"/>
      <w:contextualSpacing/>
    </w:pPr>
  </w:style>
  <w:style w:type="table" w:styleId="TableGrid">
    <w:name w:val="Table Grid"/>
    <w:basedOn w:val="TableNormal"/>
    <w:uiPriority w:val="59"/>
    <w:rsid w:val="0024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24C09"/>
  </w:style>
  <w:style w:type="paragraph" w:styleId="Header">
    <w:name w:val="header"/>
    <w:basedOn w:val="Normal"/>
    <w:link w:val="HeaderChar"/>
    <w:uiPriority w:val="99"/>
    <w:unhideWhenUsed/>
    <w:rsid w:val="006E4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BBE"/>
  </w:style>
  <w:style w:type="paragraph" w:styleId="Footer">
    <w:name w:val="footer"/>
    <w:basedOn w:val="Normal"/>
    <w:link w:val="FooterChar"/>
    <w:uiPriority w:val="99"/>
    <w:unhideWhenUsed/>
    <w:rsid w:val="006E4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BBE"/>
  </w:style>
  <w:style w:type="character" w:customStyle="1" w:styleId="UnresolvedMention1">
    <w:name w:val="Unresolved Mention1"/>
    <w:basedOn w:val="DefaultParagraphFont"/>
    <w:uiPriority w:val="99"/>
    <w:semiHidden/>
    <w:unhideWhenUsed/>
    <w:rsid w:val="006E4BBE"/>
    <w:rPr>
      <w:color w:val="605E5C"/>
      <w:shd w:val="clear" w:color="auto" w:fill="E1DFDD"/>
    </w:rPr>
  </w:style>
  <w:style w:type="paragraph" w:customStyle="1" w:styleId="ReferHead">
    <w:name w:val="Refer Head"/>
    <w:basedOn w:val="Normal"/>
    <w:rsid w:val="002F1A35"/>
    <w:pPr>
      <w:keepNext/>
      <w:spacing w:after="240" w:line="240" w:lineRule="auto"/>
    </w:pPr>
    <w:rPr>
      <w:rFonts w:ascii="Helvetica" w:eastAsia="Times New Roman" w:hAnsi="Helvetica" w:cs="Times New Roman"/>
      <w:b/>
      <w:caps/>
      <w:szCs w:val="20"/>
      <w:lang w:val="en-US"/>
    </w:rPr>
  </w:style>
  <w:style w:type="paragraph" w:styleId="Title">
    <w:name w:val="Title"/>
    <w:basedOn w:val="Normal"/>
    <w:link w:val="TitleChar"/>
    <w:qFormat/>
    <w:rsid w:val="002F1A35"/>
    <w:pPr>
      <w:spacing w:after="360" w:line="240" w:lineRule="auto"/>
      <w:jc w:val="right"/>
    </w:pPr>
    <w:rPr>
      <w:rFonts w:ascii="Helvetica" w:eastAsia="Times New Roman" w:hAnsi="Helvetica" w:cs="Times New Roman"/>
      <w:b/>
      <w:kern w:val="28"/>
      <w:sz w:val="36"/>
      <w:szCs w:val="20"/>
      <w:lang w:val="en-US"/>
    </w:rPr>
  </w:style>
  <w:style w:type="character" w:customStyle="1" w:styleId="TitleChar">
    <w:name w:val="Title Char"/>
    <w:basedOn w:val="DefaultParagraphFont"/>
    <w:link w:val="Title"/>
    <w:rsid w:val="002F1A35"/>
    <w:rPr>
      <w:rFonts w:ascii="Helvetica" w:eastAsia="Times New Roman" w:hAnsi="Helvetica" w:cs="Times New Roman"/>
      <w:b/>
      <w:kern w:val="28"/>
      <w:sz w:val="36"/>
      <w:szCs w:val="20"/>
      <w:lang w:val="en-US"/>
    </w:rPr>
  </w:style>
  <w:style w:type="character" w:customStyle="1" w:styleId="selected">
    <w:name w:val="selected"/>
    <w:basedOn w:val="DefaultParagraphFont"/>
    <w:rsid w:val="00D80708"/>
  </w:style>
  <w:style w:type="character" w:styleId="UnresolvedMention">
    <w:name w:val="Unresolved Mention"/>
    <w:basedOn w:val="DefaultParagraphFont"/>
    <w:uiPriority w:val="99"/>
    <w:semiHidden/>
    <w:unhideWhenUsed/>
    <w:rsid w:val="009E3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553967">
      <w:bodyDiv w:val="1"/>
      <w:marLeft w:val="0"/>
      <w:marRight w:val="0"/>
      <w:marTop w:val="0"/>
      <w:marBottom w:val="0"/>
      <w:divBdr>
        <w:top w:val="none" w:sz="0" w:space="0" w:color="auto"/>
        <w:left w:val="none" w:sz="0" w:space="0" w:color="auto"/>
        <w:bottom w:val="none" w:sz="0" w:space="0" w:color="auto"/>
        <w:right w:val="none" w:sz="0" w:space="0" w:color="auto"/>
      </w:divBdr>
    </w:div>
    <w:div w:id="648284631">
      <w:bodyDiv w:val="1"/>
      <w:marLeft w:val="0"/>
      <w:marRight w:val="0"/>
      <w:marTop w:val="0"/>
      <w:marBottom w:val="0"/>
      <w:divBdr>
        <w:top w:val="none" w:sz="0" w:space="0" w:color="auto"/>
        <w:left w:val="none" w:sz="0" w:space="0" w:color="auto"/>
        <w:bottom w:val="none" w:sz="0" w:space="0" w:color="auto"/>
        <w:right w:val="none" w:sz="0" w:space="0" w:color="auto"/>
      </w:divBdr>
    </w:div>
    <w:div w:id="1220751725">
      <w:bodyDiv w:val="1"/>
      <w:marLeft w:val="0"/>
      <w:marRight w:val="0"/>
      <w:marTop w:val="0"/>
      <w:marBottom w:val="0"/>
      <w:divBdr>
        <w:top w:val="none" w:sz="0" w:space="0" w:color="auto"/>
        <w:left w:val="none" w:sz="0" w:space="0" w:color="auto"/>
        <w:bottom w:val="none" w:sz="0" w:space="0" w:color="auto"/>
        <w:right w:val="none" w:sz="0" w:space="0" w:color="auto"/>
      </w:divBdr>
    </w:div>
    <w:div w:id="1513297132">
      <w:bodyDiv w:val="1"/>
      <w:marLeft w:val="0"/>
      <w:marRight w:val="0"/>
      <w:marTop w:val="0"/>
      <w:marBottom w:val="0"/>
      <w:divBdr>
        <w:top w:val="none" w:sz="0" w:space="0" w:color="auto"/>
        <w:left w:val="none" w:sz="0" w:space="0" w:color="auto"/>
        <w:bottom w:val="none" w:sz="0" w:space="0" w:color="auto"/>
        <w:right w:val="none" w:sz="0" w:space="0" w:color="auto"/>
      </w:divBdr>
    </w:div>
    <w:div w:id="1765489004">
      <w:bodyDiv w:val="1"/>
      <w:marLeft w:val="0"/>
      <w:marRight w:val="0"/>
      <w:marTop w:val="0"/>
      <w:marBottom w:val="0"/>
      <w:divBdr>
        <w:top w:val="none" w:sz="0" w:space="0" w:color="auto"/>
        <w:left w:val="none" w:sz="0" w:space="0" w:color="auto"/>
        <w:bottom w:val="none" w:sz="0" w:space="0" w:color="auto"/>
        <w:right w:val="none" w:sz="0" w:space="0" w:color="auto"/>
      </w:divBdr>
    </w:div>
    <w:div w:id="1795052018">
      <w:bodyDiv w:val="1"/>
      <w:marLeft w:val="0"/>
      <w:marRight w:val="0"/>
      <w:marTop w:val="0"/>
      <w:marBottom w:val="0"/>
      <w:divBdr>
        <w:top w:val="none" w:sz="0" w:space="0" w:color="auto"/>
        <w:left w:val="none" w:sz="0" w:space="0" w:color="auto"/>
        <w:bottom w:val="none" w:sz="0" w:space="0" w:color="auto"/>
        <w:right w:val="none" w:sz="0" w:space="0" w:color="auto"/>
      </w:divBdr>
    </w:div>
    <w:div w:id="1902860923">
      <w:bodyDiv w:val="1"/>
      <w:marLeft w:val="0"/>
      <w:marRight w:val="0"/>
      <w:marTop w:val="0"/>
      <w:marBottom w:val="0"/>
      <w:divBdr>
        <w:top w:val="none" w:sz="0" w:space="0" w:color="auto"/>
        <w:left w:val="none" w:sz="0" w:space="0" w:color="auto"/>
        <w:bottom w:val="none" w:sz="0" w:space="0" w:color="auto"/>
        <w:right w:val="none" w:sz="0" w:space="0" w:color="auto"/>
      </w:divBdr>
    </w:div>
    <w:div w:id="20556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07-022-00879-5" TargetMode="External"/><Relationship Id="rId13" Type="http://schemas.openxmlformats.org/officeDocument/2006/relationships/hyperlink" Target="https://doi.org/10.1093/jxb/eraa5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93/jxb/eraa533" TargetMode="External"/><Relationship Id="rId17" Type="http://schemas.openxmlformats.org/officeDocument/2006/relationships/hyperlink" Target="https://doi.org/10.1186/s12284-019-032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pls.2020.010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cbi.100314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pls.2020.01038" TargetMode="External"/><Relationship Id="rId23" Type="http://schemas.openxmlformats.org/officeDocument/2006/relationships/footer" Target="footer3.xml"/><Relationship Id="rId10" Type="http://schemas.openxmlformats.org/officeDocument/2006/relationships/hyperlink" Target="https://doi.org/10.1057/sjis.2010.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tplants.2020.10.012" TargetMode="External"/><Relationship Id="rId14" Type="http://schemas.openxmlformats.org/officeDocument/2006/relationships/hyperlink" Target="https://doi.org/10.3835/plantgenome2012.03.000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5B08D-C8C8-400B-BBDE-9ECF8A2D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10</Pages>
  <Words>6325</Words>
  <Characters>36057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29</cp:revision>
  <dcterms:created xsi:type="dcterms:W3CDTF">2025-04-25T06:16:00Z</dcterms:created>
  <dcterms:modified xsi:type="dcterms:W3CDTF">2025-05-07T10:06:00Z</dcterms:modified>
</cp:coreProperties>
</file>