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2E03" w14:textId="25952361" w:rsidR="00440AFD" w:rsidRPr="00074E47" w:rsidRDefault="00074E47" w:rsidP="00074E47">
      <w:pPr>
        <w:tabs>
          <w:tab w:val="left" w:pos="142"/>
        </w:tabs>
        <w:spacing w:line="360" w:lineRule="auto"/>
        <w:rPr>
          <w:rFonts w:ascii="Times New Roman" w:hAnsi="Times New Roman" w:cs="Times New Roman"/>
          <w:b/>
          <w:sz w:val="24"/>
          <w:szCs w:val="24"/>
          <w:u w:val="single"/>
        </w:rPr>
      </w:pPr>
      <w:r w:rsidRPr="00074E47">
        <w:rPr>
          <w:rFonts w:ascii="Times New Roman" w:hAnsi="Times New Roman" w:cs="Times New Roman"/>
          <w:b/>
          <w:sz w:val="24"/>
          <w:szCs w:val="24"/>
          <w:u w:val="single"/>
        </w:rPr>
        <w:t>Original Research Article</w:t>
      </w:r>
    </w:p>
    <w:p w14:paraId="0C36142A" w14:textId="77777777" w:rsidR="00440AFD" w:rsidRDefault="00440AFD" w:rsidP="006B2B42">
      <w:pPr>
        <w:tabs>
          <w:tab w:val="left" w:pos="142"/>
        </w:tabs>
        <w:spacing w:line="360" w:lineRule="auto"/>
        <w:jc w:val="center"/>
        <w:rPr>
          <w:rFonts w:ascii="Times New Roman" w:hAnsi="Times New Roman" w:cs="Times New Roman"/>
          <w:b/>
          <w:sz w:val="24"/>
          <w:szCs w:val="24"/>
        </w:rPr>
      </w:pPr>
    </w:p>
    <w:p w14:paraId="11B05864" w14:textId="77777777" w:rsidR="000E319D" w:rsidRPr="00B71ECE" w:rsidRDefault="003665E4" w:rsidP="006B2B42">
      <w:pPr>
        <w:tabs>
          <w:tab w:val="left" w:pos="142"/>
        </w:tabs>
        <w:spacing w:line="360" w:lineRule="auto"/>
        <w:jc w:val="center"/>
        <w:rPr>
          <w:rFonts w:ascii="Times New Roman" w:hAnsi="Times New Roman" w:cs="Times New Roman"/>
          <w:b/>
          <w:bCs/>
          <w:sz w:val="24"/>
          <w:szCs w:val="24"/>
        </w:rPr>
      </w:pPr>
      <w:r>
        <w:rPr>
          <w:rFonts w:ascii="Times New Roman" w:hAnsi="Times New Roman" w:cs="Times New Roman"/>
          <w:b/>
          <w:sz w:val="24"/>
          <w:szCs w:val="24"/>
        </w:rPr>
        <w:t>Effect</w:t>
      </w:r>
      <w:r w:rsidR="0066128A">
        <w:rPr>
          <w:rFonts w:ascii="Times New Roman" w:hAnsi="Times New Roman" w:cs="Times New Roman"/>
          <w:b/>
          <w:sz w:val="24"/>
          <w:szCs w:val="24"/>
        </w:rPr>
        <w:t xml:space="preserve"> of Intercropping</w:t>
      </w:r>
      <w:r w:rsidR="0066128A" w:rsidRPr="00B71ECE">
        <w:rPr>
          <w:rFonts w:ascii="Times New Roman" w:hAnsi="Times New Roman" w:cs="Times New Roman"/>
          <w:b/>
          <w:sz w:val="24"/>
          <w:szCs w:val="24"/>
        </w:rPr>
        <w:t xml:space="preserve"> </w:t>
      </w:r>
      <w:r>
        <w:rPr>
          <w:rFonts w:ascii="Times New Roman" w:hAnsi="Times New Roman" w:cs="Times New Roman"/>
          <w:b/>
          <w:sz w:val="24"/>
          <w:szCs w:val="24"/>
        </w:rPr>
        <w:t xml:space="preserve">Systems </w:t>
      </w:r>
      <w:r w:rsidR="0066128A">
        <w:rPr>
          <w:rFonts w:ascii="Times New Roman" w:hAnsi="Times New Roman" w:cs="Times New Roman"/>
          <w:b/>
          <w:sz w:val="24"/>
          <w:szCs w:val="24"/>
        </w:rPr>
        <w:t xml:space="preserve">and </w:t>
      </w:r>
      <w:r w:rsidR="000E319D" w:rsidRPr="00B71ECE">
        <w:rPr>
          <w:rFonts w:ascii="Times New Roman" w:hAnsi="Times New Roman" w:cs="Times New Roman"/>
          <w:b/>
          <w:sz w:val="24"/>
          <w:szCs w:val="24"/>
        </w:rPr>
        <w:t>Weed Management Strategies</w:t>
      </w:r>
      <w:r w:rsidR="0066128A">
        <w:rPr>
          <w:rFonts w:ascii="Times New Roman" w:hAnsi="Times New Roman" w:cs="Times New Roman"/>
          <w:b/>
          <w:sz w:val="24"/>
          <w:szCs w:val="24"/>
        </w:rPr>
        <w:t xml:space="preserve"> on growth,</w:t>
      </w:r>
      <w:r w:rsidR="000E319D" w:rsidRPr="00B71ECE">
        <w:rPr>
          <w:rFonts w:ascii="Times New Roman" w:hAnsi="Times New Roman" w:cs="Times New Roman"/>
          <w:b/>
          <w:sz w:val="24"/>
          <w:szCs w:val="24"/>
        </w:rPr>
        <w:t xml:space="preserve"> </w:t>
      </w:r>
      <w:r w:rsidR="006E4E91">
        <w:rPr>
          <w:rFonts w:ascii="Times New Roman" w:hAnsi="Times New Roman" w:cs="Times New Roman"/>
          <w:b/>
          <w:sz w:val="24"/>
          <w:szCs w:val="24"/>
        </w:rPr>
        <w:t>Nutrient uptake, Productivity and Profitability of</w:t>
      </w:r>
      <w:r w:rsidR="000E319D" w:rsidRPr="00B71ECE">
        <w:rPr>
          <w:rFonts w:ascii="Times New Roman" w:hAnsi="Times New Roman" w:cs="Times New Roman"/>
          <w:b/>
          <w:sz w:val="24"/>
          <w:szCs w:val="24"/>
        </w:rPr>
        <w:t xml:space="preserve"> Fodder Sorghum (</w:t>
      </w:r>
      <w:r w:rsidR="000E319D" w:rsidRPr="00B71ECE">
        <w:rPr>
          <w:rFonts w:ascii="Times New Roman" w:hAnsi="Times New Roman" w:cs="Times New Roman"/>
          <w:b/>
          <w:i/>
          <w:sz w:val="24"/>
          <w:szCs w:val="24"/>
        </w:rPr>
        <w:t xml:space="preserve">Sorghum </w:t>
      </w:r>
      <w:proofErr w:type="spellStart"/>
      <w:r w:rsidR="000E319D" w:rsidRPr="00B71ECE">
        <w:rPr>
          <w:rFonts w:ascii="Times New Roman" w:hAnsi="Times New Roman" w:cs="Times New Roman"/>
          <w:b/>
          <w:i/>
          <w:sz w:val="24"/>
          <w:szCs w:val="24"/>
        </w:rPr>
        <w:t>bicolor</w:t>
      </w:r>
      <w:proofErr w:type="spellEnd"/>
      <w:r w:rsidR="000E319D" w:rsidRPr="00B71ECE">
        <w:rPr>
          <w:rFonts w:ascii="Times New Roman" w:hAnsi="Times New Roman" w:cs="Times New Roman"/>
          <w:b/>
          <w:i/>
          <w:sz w:val="24"/>
          <w:szCs w:val="24"/>
        </w:rPr>
        <w:t xml:space="preserve"> </w:t>
      </w:r>
      <w:r w:rsidR="006E4E91">
        <w:rPr>
          <w:rFonts w:ascii="Times New Roman" w:hAnsi="Times New Roman" w:cs="Times New Roman"/>
          <w:b/>
          <w:sz w:val="24"/>
          <w:szCs w:val="24"/>
        </w:rPr>
        <w:t>L. Moench)</w:t>
      </w:r>
    </w:p>
    <w:p w14:paraId="6F259633" w14:textId="77777777" w:rsidR="00E3484E" w:rsidRDefault="00E3484E" w:rsidP="006B2B42">
      <w:pPr>
        <w:tabs>
          <w:tab w:val="left" w:pos="142"/>
        </w:tabs>
        <w:spacing w:line="360" w:lineRule="auto"/>
        <w:rPr>
          <w:rFonts w:ascii="Times New Roman" w:hAnsi="Times New Roman" w:cs="Times New Roman"/>
          <w:bCs/>
          <w:sz w:val="24"/>
          <w:szCs w:val="24"/>
        </w:rPr>
      </w:pPr>
    </w:p>
    <w:p w14:paraId="70F80851" w14:textId="77777777" w:rsidR="00A014F8" w:rsidRPr="006B2B42" w:rsidRDefault="00A014F8" w:rsidP="006B2B42">
      <w:pPr>
        <w:tabs>
          <w:tab w:val="left" w:pos="142"/>
        </w:tabs>
        <w:spacing w:line="360" w:lineRule="auto"/>
        <w:rPr>
          <w:rFonts w:ascii="Times New Roman" w:hAnsi="Times New Roman" w:cs="Times New Roman"/>
          <w:bCs/>
          <w:sz w:val="24"/>
          <w:szCs w:val="24"/>
        </w:rPr>
      </w:pPr>
    </w:p>
    <w:p w14:paraId="68AFE19B" w14:textId="77777777" w:rsidR="00FE7C4F" w:rsidRPr="00B71ECE" w:rsidRDefault="00FE7C4F" w:rsidP="006B2B42">
      <w:pPr>
        <w:tabs>
          <w:tab w:val="left" w:pos="142"/>
        </w:tabs>
        <w:spacing w:line="360" w:lineRule="auto"/>
        <w:jc w:val="both"/>
        <w:rPr>
          <w:rFonts w:ascii="Times New Roman" w:hAnsi="Times New Roman" w:cs="Times New Roman"/>
          <w:b/>
          <w:bCs/>
          <w:sz w:val="24"/>
          <w:szCs w:val="24"/>
        </w:rPr>
      </w:pPr>
      <w:r w:rsidRPr="00B71ECE">
        <w:rPr>
          <w:rFonts w:ascii="Times New Roman" w:hAnsi="Times New Roman" w:cs="Times New Roman"/>
          <w:b/>
          <w:bCs/>
          <w:sz w:val="24"/>
          <w:szCs w:val="24"/>
        </w:rPr>
        <w:t>Abstract</w:t>
      </w:r>
    </w:p>
    <w:p w14:paraId="3E6EDF3A" w14:textId="77777777" w:rsidR="00526FDA" w:rsidRPr="00526FDA" w:rsidRDefault="00526FDA" w:rsidP="00B24DF0">
      <w:pPr>
        <w:spacing w:before="100" w:beforeAutospacing="1" w:after="100" w:afterAutospacing="1" w:line="360" w:lineRule="auto"/>
        <w:ind w:firstLine="720"/>
        <w:jc w:val="both"/>
        <w:rPr>
          <w:rFonts w:ascii="Times New Roman" w:eastAsia="Times New Roman" w:hAnsi="Times New Roman" w:cs="Times New Roman"/>
          <w:sz w:val="24"/>
          <w:szCs w:val="24"/>
          <w:lang w:val="en-US" w:eastAsia="en-US"/>
        </w:rPr>
      </w:pPr>
      <w:r w:rsidRPr="00526FDA">
        <w:rPr>
          <w:rFonts w:ascii="Times New Roman" w:eastAsia="Times New Roman" w:hAnsi="Times New Roman" w:cs="Times New Roman"/>
          <w:sz w:val="24"/>
          <w:szCs w:val="24"/>
          <w:lang w:val="en-US" w:eastAsia="en-US"/>
        </w:rPr>
        <w:t xml:space="preserve">Sorghum is a highly climate-resilient crop with strong potential as a fodder source, but its productivity is severely affected by weed infestation. To study this, a field experiment was conducted during the Kharif season of 2021–2022 at the Instructional Farm, Rajasthan College of Agriculture, Udaipur. The experiment used a randomized block design with twelve treatments, each replicated three times. Treatments included pre- and post-emergence applications of various herbicides (atrazine, metolachlor, </w:t>
      </w:r>
      <w:proofErr w:type="spellStart"/>
      <w:r w:rsidRPr="00526FDA">
        <w:rPr>
          <w:rFonts w:ascii="Times New Roman" w:eastAsia="Times New Roman" w:hAnsi="Times New Roman" w:cs="Times New Roman"/>
          <w:sz w:val="24"/>
          <w:szCs w:val="24"/>
          <w:lang w:val="en-US" w:eastAsia="en-US"/>
        </w:rPr>
        <w:t>pyroxasulfone</w:t>
      </w:r>
      <w:proofErr w:type="spellEnd"/>
      <w:r w:rsidRPr="00526FDA">
        <w:rPr>
          <w:rFonts w:ascii="Times New Roman" w:eastAsia="Times New Roman" w:hAnsi="Times New Roman" w:cs="Times New Roman"/>
          <w:sz w:val="24"/>
          <w:szCs w:val="24"/>
          <w:lang w:val="en-US" w:eastAsia="en-US"/>
        </w:rPr>
        <w:t xml:space="preserve">, 2,4-D), intercropping with cowpea or </w:t>
      </w:r>
      <w:proofErr w:type="spellStart"/>
      <w:r w:rsidRPr="00526FDA">
        <w:rPr>
          <w:rFonts w:ascii="Times New Roman" w:eastAsia="Times New Roman" w:hAnsi="Times New Roman" w:cs="Times New Roman"/>
          <w:sz w:val="24"/>
          <w:szCs w:val="24"/>
          <w:lang w:val="en-US" w:eastAsia="en-US"/>
        </w:rPr>
        <w:t>blackgram</w:t>
      </w:r>
      <w:proofErr w:type="spellEnd"/>
      <w:r w:rsidRPr="00526FDA">
        <w:rPr>
          <w:rFonts w:ascii="Times New Roman" w:eastAsia="Times New Roman" w:hAnsi="Times New Roman" w:cs="Times New Roman"/>
          <w:sz w:val="24"/>
          <w:szCs w:val="24"/>
          <w:lang w:val="en-US" w:eastAsia="en-US"/>
        </w:rPr>
        <w:t>, and manual weeding.</w:t>
      </w:r>
      <w:r>
        <w:rPr>
          <w:rFonts w:ascii="Times New Roman" w:eastAsia="Times New Roman" w:hAnsi="Times New Roman" w:cs="Times New Roman"/>
          <w:sz w:val="24"/>
          <w:szCs w:val="24"/>
          <w:lang w:val="en-US" w:eastAsia="en-US"/>
        </w:rPr>
        <w:t xml:space="preserve"> </w:t>
      </w:r>
      <w:r w:rsidRPr="00526FDA">
        <w:rPr>
          <w:rFonts w:ascii="Times New Roman" w:eastAsia="Times New Roman" w:hAnsi="Times New Roman" w:cs="Times New Roman"/>
          <w:sz w:val="24"/>
          <w:szCs w:val="24"/>
          <w:lang w:val="en-US" w:eastAsia="en-US"/>
        </w:rPr>
        <w:t>Results showed that the combined application of atrazine (T5) as both pre- and post-emergence was the most effective, yielding the highest green (66.49 t/ha) and dry fodder (14.84 t/ha). HCN content, an indicator of fodder quality, remained consistent across treatments. The weed-free treatment (T11), maintained by hand weeding at 15 and 35 days after sowing, resulted in the highest nutrient uptake (N: 96.97 kg/ha, P: 28.24 kg/ha, K: 179.89 kg/ha), surpassing the weedy check.</w:t>
      </w:r>
      <w:r>
        <w:rPr>
          <w:rFonts w:ascii="Times New Roman" w:eastAsia="Times New Roman" w:hAnsi="Times New Roman" w:cs="Times New Roman"/>
          <w:sz w:val="24"/>
          <w:szCs w:val="24"/>
          <w:lang w:val="en-US" w:eastAsia="en-US"/>
        </w:rPr>
        <w:t xml:space="preserve"> </w:t>
      </w:r>
      <w:r w:rsidRPr="00526FDA">
        <w:rPr>
          <w:rFonts w:ascii="Times New Roman" w:eastAsia="Times New Roman" w:hAnsi="Times New Roman" w:cs="Times New Roman"/>
          <w:sz w:val="24"/>
          <w:szCs w:val="24"/>
          <w:lang w:val="en-US" w:eastAsia="en-US"/>
        </w:rPr>
        <w:t>Economically, T11 recorded the highest net return (₹103,356/ha), followed closely by T5 (₹103,271/ha). T5 also recorded the highest benefit-cost ratio (3.48), making it the most profitable herbicide-based treatment. These findings highlight T5 as an effective and economically viable weed management strategy for improving sorghum fodder yield.</w:t>
      </w:r>
    </w:p>
    <w:p w14:paraId="3E767C27" w14:textId="77777777" w:rsidR="004A7A3A" w:rsidRDefault="00FE7C4F" w:rsidP="00526FDA">
      <w:pPr>
        <w:tabs>
          <w:tab w:val="left" w:pos="142"/>
          <w:tab w:val="left" w:pos="1481"/>
        </w:tabs>
        <w:spacing w:line="360" w:lineRule="auto"/>
        <w:jc w:val="both"/>
        <w:rPr>
          <w:rFonts w:ascii="Times New Roman" w:hAnsi="Times New Roman" w:cs="Times New Roman"/>
          <w:i/>
          <w:color w:val="000000" w:themeColor="text1"/>
          <w:sz w:val="24"/>
          <w:szCs w:val="24"/>
        </w:rPr>
      </w:pPr>
      <w:r w:rsidRPr="00B71ECE">
        <w:rPr>
          <w:rFonts w:ascii="Times New Roman" w:hAnsi="Times New Roman" w:cs="Times New Roman"/>
          <w:b/>
          <w:bCs/>
          <w:color w:val="000000" w:themeColor="text1"/>
          <w:sz w:val="24"/>
          <w:szCs w:val="24"/>
        </w:rPr>
        <w:t>Keywords:</w:t>
      </w:r>
      <w:r w:rsidR="00526FDA">
        <w:rPr>
          <w:rFonts w:ascii="Times New Roman" w:hAnsi="Times New Roman" w:cs="Times New Roman"/>
          <w:b/>
          <w:bCs/>
          <w:color w:val="000000" w:themeColor="text1"/>
          <w:sz w:val="24"/>
          <w:szCs w:val="24"/>
        </w:rPr>
        <w:t xml:space="preserve"> </w:t>
      </w:r>
      <w:r w:rsidR="00526FDA" w:rsidRPr="002E4CDA">
        <w:rPr>
          <w:rFonts w:ascii="Times New Roman" w:hAnsi="Times New Roman" w:cs="Times New Roman"/>
          <w:bCs/>
          <w:i/>
          <w:color w:val="000000" w:themeColor="text1"/>
          <w:sz w:val="24"/>
          <w:szCs w:val="24"/>
        </w:rPr>
        <w:t>Climate- resilient, Fodder</w:t>
      </w:r>
      <w:r w:rsidR="00526FDA" w:rsidRPr="002E4CDA">
        <w:rPr>
          <w:rFonts w:ascii="Times New Roman" w:hAnsi="Times New Roman" w:cs="Times New Roman"/>
          <w:i/>
          <w:color w:val="000000" w:themeColor="text1"/>
          <w:sz w:val="24"/>
          <w:szCs w:val="24"/>
        </w:rPr>
        <w:t xml:space="preserve"> </w:t>
      </w:r>
      <w:r w:rsidR="002E4CDA" w:rsidRPr="002E4CDA">
        <w:rPr>
          <w:rFonts w:ascii="Times New Roman" w:hAnsi="Times New Roman" w:cs="Times New Roman"/>
          <w:i/>
          <w:color w:val="000000" w:themeColor="text1"/>
          <w:sz w:val="24"/>
          <w:szCs w:val="24"/>
        </w:rPr>
        <w:t>quality,</w:t>
      </w:r>
      <w:r w:rsidR="00526FDA" w:rsidRPr="002E4CDA">
        <w:rPr>
          <w:rFonts w:ascii="Times New Roman" w:hAnsi="Times New Roman" w:cs="Times New Roman"/>
          <w:i/>
          <w:color w:val="000000" w:themeColor="text1"/>
          <w:sz w:val="24"/>
          <w:szCs w:val="24"/>
        </w:rPr>
        <w:t xml:space="preserve"> </w:t>
      </w:r>
      <w:r w:rsidR="007B7947" w:rsidRPr="002E4CDA">
        <w:rPr>
          <w:rFonts w:ascii="Times New Roman" w:hAnsi="Times New Roman" w:cs="Times New Roman"/>
          <w:i/>
          <w:color w:val="000000" w:themeColor="text1"/>
          <w:sz w:val="24"/>
          <w:szCs w:val="24"/>
        </w:rPr>
        <w:t xml:space="preserve">HCN, </w:t>
      </w:r>
      <w:r w:rsidR="00030CE2" w:rsidRPr="002E4CDA">
        <w:rPr>
          <w:rFonts w:ascii="Times New Roman" w:hAnsi="Times New Roman" w:cs="Times New Roman"/>
          <w:i/>
          <w:color w:val="000000" w:themeColor="text1"/>
          <w:sz w:val="24"/>
          <w:szCs w:val="24"/>
        </w:rPr>
        <w:t xml:space="preserve">Nutrient uptake, </w:t>
      </w:r>
      <w:r w:rsidR="007B7947" w:rsidRPr="002E4CDA">
        <w:rPr>
          <w:rFonts w:ascii="Times New Roman" w:hAnsi="Times New Roman" w:cs="Times New Roman"/>
          <w:i/>
          <w:color w:val="000000" w:themeColor="text1"/>
          <w:sz w:val="24"/>
          <w:szCs w:val="24"/>
        </w:rPr>
        <w:t>Weed management</w:t>
      </w:r>
    </w:p>
    <w:p w14:paraId="77EB0820" w14:textId="77777777" w:rsidR="00A014F8" w:rsidRDefault="00A014F8" w:rsidP="00526FDA">
      <w:pPr>
        <w:tabs>
          <w:tab w:val="left" w:pos="142"/>
          <w:tab w:val="left" w:pos="1481"/>
        </w:tabs>
        <w:spacing w:line="360" w:lineRule="auto"/>
        <w:jc w:val="both"/>
        <w:rPr>
          <w:rFonts w:ascii="Times New Roman" w:hAnsi="Times New Roman" w:cs="Times New Roman"/>
          <w:i/>
          <w:color w:val="000000" w:themeColor="text1"/>
          <w:sz w:val="24"/>
          <w:szCs w:val="24"/>
        </w:rPr>
      </w:pPr>
    </w:p>
    <w:p w14:paraId="37A42FDE" w14:textId="77777777" w:rsidR="00A014F8" w:rsidRPr="00526FDA" w:rsidRDefault="00A014F8" w:rsidP="00526FDA">
      <w:pPr>
        <w:tabs>
          <w:tab w:val="left" w:pos="142"/>
          <w:tab w:val="left" w:pos="1481"/>
        </w:tabs>
        <w:spacing w:line="360" w:lineRule="auto"/>
        <w:jc w:val="both"/>
        <w:rPr>
          <w:rFonts w:ascii="Times New Roman" w:hAnsi="Times New Roman" w:cs="Times New Roman"/>
          <w:bCs/>
          <w:sz w:val="24"/>
          <w:szCs w:val="24"/>
        </w:rPr>
      </w:pPr>
    </w:p>
    <w:p w14:paraId="6285B3F7" w14:textId="77777777" w:rsidR="00FE7C4F" w:rsidRPr="00B71ECE" w:rsidRDefault="00CA5AD3" w:rsidP="006B2B42">
      <w:pPr>
        <w:tabs>
          <w:tab w:val="left" w:pos="142"/>
        </w:tabs>
        <w:spacing w:line="360" w:lineRule="auto"/>
        <w:jc w:val="both"/>
        <w:rPr>
          <w:rFonts w:ascii="Times New Roman" w:hAnsi="Times New Roman" w:cs="Times New Roman"/>
          <w:b/>
          <w:bCs/>
          <w:sz w:val="24"/>
          <w:szCs w:val="24"/>
        </w:rPr>
      </w:pPr>
      <w:r w:rsidRPr="00B71ECE">
        <w:rPr>
          <w:rFonts w:ascii="Times New Roman" w:hAnsi="Times New Roman" w:cs="Times New Roman"/>
          <w:b/>
          <w:bCs/>
          <w:sz w:val="24"/>
          <w:szCs w:val="24"/>
        </w:rPr>
        <w:lastRenderedPageBreak/>
        <w:t>1</w:t>
      </w:r>
      <w:r w:rsidR="002E4CDA">
        <w:rPr>
          <w:rFonts w:ascii="Times New Roman" w:hAnsi="Times New Roman" w:cs="Times New Roman"/>
          <w:b/>
          <w:bCs/>
          <w:sz w:val="24"/>
          <w:szCs w:val="24"/>
        </w:rPr>
        <w:t>.</w:t>
      </w:r>
      <w:r w:rsidRPr="00B71ECE">
        <w:rPr>
          <w:rFonts w:ascii="Times New Roman" w:hAnsi="Times New Roman" w:cs="Times New Roman"/>
          <w:b/>
          <w:bCs/>
          <w:sz w:val="24"/>
          <w:szCs w:val="24"/>
        </w:rPr>
        <w:t xml:space="preserve"> </w:t>
      </w:r>
      <w:r w:rsidR="006B2B42" w:rsidRPr="00B71ECE">
        <w:rPr>
          <w:rFonts w:ascii="Times New Roman" w:hAnsi="Times New Roman" w:cs="Times New Roman"/>
          <w:b/>
          <w:bCs/>
          <w:sz w:val="24"/>
          <w:szCs w:val="24"/>
        </w:rPr>
        <w:t>INTRODUCTION</w:t>
      </w:r>
    </w:p>
    <w:p w14:paraId="3E55F5BA" w14:textId="77777777" w:rsidR="004C1799" w:rsidRPr="00B71ECE" w:rsidRDefault="006B2B42" w:rsidP="006B2B42">
      <w:pPr>
        <w:tabs>
          <w:tab w:val="left" w:pos="142"/>
        </w:tabs>
        <w:spacing w:line="36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270A23" w:rsidRPr="006B2B42">
        <w:rPr>
          <w:rFonts w:ascii="Times New Roman" w:hAnsi="Times New Roman" w:cs="Times New Roman"/>
          <w:iCs/>
          <w:sz w:val="24"/>
          <w:szCs w:val="24"/>
        </w:rPr>
        <w:t>Sorghum</w:t>
      </w:r>
      <w:r w:rsidR="00270A23" w:rsidRPr="00063D41">
        <w:rPr>
          <w:rFonts w:ascii="Times New Roman" w:hAnsi="Times New Roman" w:cs="Times New Roman"/>
          <w:sz w:val="24"/>
          <w:szCs w:val="24"/>
        </w:rPr>
        <w:t xml:space="preserve"> (</w:t>
      </w:r>
      <w:r w:rsidR="00270A23" w:rsidRPr="00063D41">
        <w:rPr>
          <w:rFonts w:ascii="Times New Roman" w:hAnsi="Times New Roman" w:cs="Times New Roman"/>
          <w:i/>
          <w:iCs/>
          <w:sz w:val="24"/>
          <w:szCs w:val="24"/>
        </w:rPr>
        <w:t xml:space="preserve">Sorghum </w:t>
      </w:r>
      <w:proofErr w:type="spellStart"/>
      <w:r w:rsidR="00270A23" w:rsidRPr="00063D41">
        <w:rPr>
          <w:rFonts w:ascii="Times New Roman" w:hAnsi="Times New Roman" w:cs="Times New Roman"/>
          <w:i/>
          <w:iCs/>
          <w:sz w:val="24"/>
          <w:szCs w:val="24"/>
        </w:rPr>
        <w:t>bicolor</w:t>
      </w:r>
      <w:proofErr w:type="spellEnd"/>
      <w:r w:rsidR="00270A23" w:rsidRPr="00063D41">
        <w:rPr>
          <w:rFonts w:ascii="Times New Roman" w:hAnsi="Times New Roman" w:cs="Times New Roman"/>
          <w:sz w:val="24"/>
          <w:szCs w:val="24"/>
        </w:rPr>
        <w:t xml:space="preserve"> L. Moench), a member of the </w:t>
      </w:r>
      <w:proofErr w:type="spellStart"/>
      <w:r w:rsidR="00270A23" w:rsidRPr="00063D41">
        <w:rPr>
          <w:rFonts w:ascii="Times New Roman" w:hAnsi="Times New Roman" w:cs="Times New Roman"/>
          <w:sz w:val="24"/>
          <w:szCs w:val="24"/>
        </w:rPr>
        <w:t>Poaceae</w:t>
      </w:r>
      <w:proofErr w:type="spellEnd"/>
      <w:r w:rsidR="00270A23" w:rsidRPr="00063D41">
        <w:rPr>
          <w:rFonts w:ascii="Times New Roman" w:hAnsi="Times New Roman" w:cs="Times New Roman"/>
          <w:sz w:val="24"/>
          <w:szCs w:val="24"/>
        </w:rPr>
        <w:t xml:space="preserve"> family, is a highly</w:t>
      </w:r>
      <w:r w:rsidR="005D2B44" w:rsidRPr="00063D41">
        <w:rPr>
          <w:rFonts w:ascii="Times New Roman" w:hAnsi="Times New Roman" w:cs="Times New Roman"/>
          <w:sz w:val="24"/>
          <w:szCs w:val="24"/>
        </w:rPr>
        <w:t xml:space="preserve"> resilient and climate-adaptive</w:t>
      </w:r>
      <w:r w:rsidR="00270A23" w:rsidRPr="00063D41">
        <w:rPr>
          <w:rFonts w:ascii="Times New Roman" w:hAnsi="Times New Roman" w:cs="Times New Roman"/>
          <w:sz w:val="24"/>
          <w:szCs w:val="24"/>
        </w:rPr>
        <w:t xml:space="preserve"> cereal crop cultivated extensively across tropical and subtropical </w:t>
      </w:r>
      <w:proofErr w:type="spellStart"/>
      <w:r w:rsidR="00270A23" w:rsidRPr="00063D41">
        <w:rPr>
          <w:rFonts w:ascii="Times New Roman" w:hAnsi="Times New Roman" w:cs="Times New Roman"/>
          <w:sz w:val="24"/>
          <w:szCs w:val="24"/>
        </w:rPr>
        <w:t>agro</w:t>
      </w:r>
      <w:proofErr w:type="spellEnd"/>
      <w:r w:rsidR="00270A23" w:rsidRPr="00063D41">
        <w:rPr>
          <w:rFonts w:ascii="Times New Roman" w:hAnsi="Times New Roman" w:cs="Times New Roman"/>
          <w:sz w:val="24"/>
          <w:szCs w:val="24"/>
        </w:rPr>
        <w:t xml:space="preserve">-ecological zones. </w:t>
      </w:r>
      <w:r w:rsidR="00C334EA" w:rsidRPr="00063D41">
        <w:rPr>
          <w:rFonts w:ascii="Times New Roman" w:hAnsi="Times New Roman" w:cs="Times New Roman"/>
          <w:sz w:val="24"/>
          <w:szCs w:val="24"/>
        </w:rPr>
        <w:t>Once primarily cultivated for its grain, sorghum has increasingly gained recognition as a versatile crop with significant promise in forage and fodder production systems.</w:t>
      </w:r>
      <w:r w:rsidR="00270A23" w:rsidRPr="00063D41">
        <w:rPr>
          <w:rFonts w:ascii="Times New Roman" w:hAnsi="Times New Roman" w:cs="Times New Roman"/>
          <w:sz w:val="24"/>
          <w:szCs w:val="24"/>
        </w:rPr>
        <w:t xml:space="preserve"> Its inherent tolerance </w:t>
      </w:r>
      <w:r w:rsidR="009461B7" w:rsidRPr="00063D41">
        <w:rPr>
          <w:rFonts w:ascii="Times New Roman" w:hAnsi="Times New Roman" w:cs="Times New Roman"/>
          <w:sz w:val="24"/>
          <w:szCs w:val="24"/>
        </w:rPr>
        <w:t xml:space="preserve">to various </w:t>
      </w:r>
      <w:r w:rsidR="00270A23" w:rsidRPr="00063D41">
        <w:rPr>
          <w:rFonts w:ascii="Times New Roman" w:hAnsi="Times New Roman" w:cs="Times New Roman"/>
          <w:sz w:val="24"/>
          <w:szCs w:val="24"/>
        </w:rPr>
        <w:t xml:space="preserve">abiotic stresses such as low precipitation, elevated temperatures, and nutrient-poor soils renders it particularly suitable for cultivation in arid and semi-arid </w:t>
      </w:r>
      <w:r w:rsidR="00FE5440" w:rsidRPr="00063D41">
        <w:rPr>
          <w:rFonts w:ascii="Times New Roman" w:hAnsi="Times New Roman" w:cs="Times New Roman"/>
          <w:sz w:val="24"/>
          <w:szCs w:val="24"/>
        </w:rPr>
        <w:t xml:space="preserve">environments. </w:t>
      </w:r>
      <w:r w:rsidR="00AB392A" w:rsidRPr="00063D41">
        <w:rPr>
          <w:rFonts w:ascii="Times New Roman" w:hAnsi="Times New Roman" w:cs="Times New Roman"/>
          <w:sz w:val="24"/>
          <w:szCs w:val="24"/>
        </w:rPr>
        <w:t>A</w:t>
      </w:r>
      <w:r w:rsidR="00270A23" w:rsidRPr="00063D41">
        <w:rPr>
          <w:rFonts w:ascii="Times New Roman" w:hAnsi="Times New Roman" w:cs="Times New Roman"/>
          <w:sz w:val="24"/>
          <w:szCs w:val="24"/>
        </w:rPr>
        <w:t>gronomic flexibility</w:t>
      </w:r>
      <w:r w:rsidR="00AB392A" w:rsidRPr="00063D41">
        <w:rPr>
          <w:rFonts w:ascii="Times New Roman" w:hAnsi="Times New Roman" w:cs="Times New Roman"/>
          <w:sz w:val="24"/>
          <w:szCs w:val="24"/>
        </w:rPr>
        <w:t xml:space="preserve"> and robust</w:t>
      </w:r>
      <w:r w:rsidR="00DD7C8E" w:rsidRPr="00063D41">
        <w:rPr>
          <w:rFonts w:ascii="Times New Roman" w:hAnsi="Times New Roman" w:cs="Times New Roman"/>
          <w:sz w:val="24"/>
          <w:szCs w:val="24"/>
        </w:rPr>
        <w:t>ness</w:t>
      </w:r>
      <w:r w:rsidR="00AB392A" w:rsidRPr="00063D41">
        <w:rPr>
          <w:rFonts w:ascii="Times New Roman" w:hAnsi="Times New Roman" w:cs="Times New Roman"/>
          <w:sz w:val="24"/>
          <w:szCs w:val="24"/>
        </w:rPr>
        <w:t xml:space="preserve"> of </w:t>
      </w:r>
      <w:r w:rsidR="00D01686" w:rsidRPr="00063D41">
        <w:rPr>
          <w:rFonts w:ascii="Times New Roman" w:hAnsi="Times New Roman" w:cs="Times New Roman"/>
          <w:sz w:val="24"/>
          <w:szCs w:val="24"/>
        </w:rPr>
        <w:t>sorghum in</w:t>
      </w:r>
      <w:r w:rsidR="00DD7C8E" w:rsidRPr="00063D41">
        <w:rPr>
          <w:rFonts w:ascii="Times New Roman" w:hAnsi="Times New Roman" w:cs="Times New Roman"/>
          <w:sz w:val="24"/>
          <w:szCs w:val="24"/>
        </w:rPr>
        <w:t xml:space="preserve"> </w:t>
      </w:r>
      <w:r w:rsidR="00270A23" w:rsidRPr="00063D41">
        <w:rPr>
          <w:rFonts w:ascii="Times New Roman" w:hAnsi="Times New Roman" w:cs="Times New Roman"/>
          <w:sz w:val="24"/>
          <w:szCs w:val="24"/>
        </w:rPr>
        <w:t xml:space="preserve">biomass production under sub-optimal conditions have made it increasingly relevant in mixed crop-livestock farming systems, especially in regions where livestock contributes substantially to rural livelihoods. The growing significance of sorghum as a forage resource is further </w:t>
      </w:r>
      <w:r w:rsidR="003C6476" w:rsidRPr="00063D41">
        <w:rPr>
          <w:rFonts w:ascii="Times New Roman" w:hAnsi="Times New Roman" w:cs="Times New Roman"/>
          <w:sz w:val="24"/>
          <w:szCs w:val="24"/>
        </w:rPr>
        <w:t xml:space="preserve">pointed out by global climatic challenges </w:t>
      </w:r>
      <w:r w:rsidR="00270A23" w:rsidRPr="00063D41">
        <w:rPr>
          <w:rFonts w:ascii="Times New Roman" w:hAnsi="Times New Roman" w:cs="Times New Roman"/>
          <w:sz w:val="24"/>
          <w:szCs w:val="24"/>
        </w:rPr>
        <w:t>most notably, rising ambient temperatures, increasing frequency of drought</w:t>
      </w:r>
      <w:r w:rsidR="003C6476" w:rsidRPr="00063D41">
        <w:rPr>
          <w:rFonts w:ascii="Times New Roman" w:hAnsi="Times New Roman" w:cs="Times New Roman"/>
          <w:sz w:val="24"/>
          <w:szCs w:val="24"/>
        </w:rPr>
        <w:t>s</w:t>
      </w:r>
      <w:r w:rsidR="00270A23" w:rsidRPr="00063D41">
        <w:rPr>
          <w:rFonts w:ascii="Times New Roman" w:hAnsi="Times New Roman" w:cs="Times New Roman"/>
          <w:sz w:val="24"/>
          <w:szCs w:val="24"/>
        </w:rPr>
        <w:t xml:space="preserve">, and declining freshwater availability. </w:t>
      </w:r>
      <w:r w:rsidR="003C6476" w:rsidRPr="00063D41">
        <w:rPr>
          <w:rFonts w:ascii="Times New Roman" w:hAnsi="Times New Roman" w:cs="Times New Roman"/>
          <w:sz w:val="24"/>
          <w:szCs w:val="24"/>
        </w:rPr>
        <w:t>Contemporaneously</w:t>
      </w:r>
      <w:r w:rsidR="00270A23" w:rsidRPr="00063D41">
        <w:rPr>
          <w:rFonts w:ascii="Times New Roman" w:hAnsi="Times New Roman" w:cs="Times New Roman"/>
          <w:sz w:val="24"/>
          <w:szCs w:val="24"/>
        </w:rPr>
        <w:t xml:space="preserve">, the escalating global demand for high-quality, stress-tolerant forage species to support sustainable livestock productivity has </w:t>
      </w:r>
      <w:r w:rsidR="003C6476" w:rsidRPr="00063D41">
        <w:rPr>
          <w:rFonts w:ascii="Times New Roman" w:hAnsi="Times New Roman" w:cs="Times New Roman"/>
          <w:sz w:val="24"/>
          <w:szCs w:val="24"/>
        </w:rPr>
        <w:t xml:space="preserve">made </w:t>
      </w:r>
      <w:r w:rsidR="00270A23" w:rsidRPr="00063D41">
        <w:rPr>
          <w:rFonts w:ascii="Times New Roman" w:hAnsi="Times New Roman" w:cs="Times New Roman"/>
          <w:sz w:val="24"/>
          <w:szCs w:val="24"/>
        </w:rPr>
        <w:t xml:space="preserve">sorghum as a </w:t>
      </w:r>
      <w:r w:rsidR="00BF78EA" w:rsidRPr="00063D41">
        <w:rPr>
          <w:rFonts w:ascii="Times New Roman" w:hAnsi="Times New Roman" w:cs="Times New Roman"/>
          <w:sz w:val="24"/>
          <w:szCs w:val="24"/>
        </w:rPr>
        <w:t>pivotal asset</w:t>
      </w:r>
      <w:r w:rsidR="00270A23" w:rsidRPr="00063D41">
        <w:rPr>
          <w:rFonts w:ascii="Times New Roman" w:hAnsi="Times New Roman" w:cs="Times New Roman"/>
          <w:sz w:val="24"/>
          <w:szCs w:val="24"/>
        </w:rPr>
        <w:t xml:space="preserve"> in climate-smart agricultural practices.</w:t>
      </w:r>
      <w:r w:rsidR="003C6476" w:rsidRPr="00063D41">
        <w:rPr>
          <w:rFonts w:ascii="Times New Roman" w:hAnsi="Times New Roman" w:cs="Times New Roman"/>
          <w:sz w:val="24"/>
          <w:szCs w:val="24"/>
        </w:rPr>
        <w:t xml:space="preserve"> </w:t>
      </w:r>
      <w:r w:rsidR="006776E8" w:rsidRPr="00063D41">
        <w:rPr>
          <w:rFonts w:ascii="Times New Roman" w:hAnsi="Times New Roman" w:cs="Times New Roman"/>
          <w:sz w:val="24"/>
          <w:szCs w:val="24"/>
        </w:rPr>
        <w:t>Sorghum demonstrates exceptional photosynthetic efficiency, translating into accelerated vegetative growth and impressive biomass accumulation over a relatively short cultivation period.</w:t>
      </w:r>
      <w:r w:rsidR="004C1799" w:rsidRPr="00063D41">
        <w:rPr>
          <w:rFonts w:ascii="Times New Roman" w:hAnsi="Times New Roman" w:cs="Times New Roman"/>
          <w:sz w:val="24"/>
          <w:szCs w:val="24"/>
        </w:rPr>
        <w:t xml:space="preserve"> These traits make it particularly suitable for use as green fodder in mixed farming and integrated livestock systems. </w:t>
      </w:r>
      <w:r w:rsidR="00C40505" w:rsidRPr="00063D41">
        <w:rPr>
          <w:rFonts w:ascii="Times New Roman" w:hAnsi="Times New Roman" w:cs="Times New Roman"/>
          <w:sz w:val="24"/>
          <w:szCs w:val="24"/>
        </w:rPr>
        <w:t xml:space="preserve">Sorghum is extensively utilized as silage, hay, and for direct grazing, largely due to its high palatability and rich nutritional profile, which has been reported to be on par with maize (Nicholas </w:t>
      </w:r>
      <w:r w:rsidR="00C40505" w:rsidRPr="00063D41">
        <w:rPr>
          <w:rFonts w:ascii="Times New Roman" w:hAnsi="Times New Roman" w:cs="Times New Roman"/>
          <w:i/>
          <w:sz w:val="24"/>
          <w:szCs w:val="24"/>
        </w:rPr>
        <w:t>et al</w:t>
      </w:r>
      <w:r w:rsidR="00C40505" w:rsidRPr="00063D41">
        <w:rPr>
          <w:rFonts w:ascii="Times New Roman" w:hAnsi="Times New Roman" w:cs="Times New Roman"/>
          <w:sz w:val="24"/>
          <w:szCs w:val="24"/>
        </w:rPr>
        <w:t xml:space="preserve">., 1998). Moreover, its incorporation into the diets of lactating dairy cattle has shown promising results in strategic feed management, supporting milk production and overall herd performance (Aydin </w:t>
      </w:r>
      <w:r w:rsidR="00C40505" w:rsidRPr="00063D41">
        <w:rPr>
          <w:rFonts w:ascii="Times New Roman" w:hAnsi="Times New Roman" w:cs="Times New Roman"/>
          <w:i/>
          <w:sz w:val="24"/>
          <w:szCs w:val="24"/>
        </w:rPr>
        <w:t>et al</w:t>
      </w:r>
      <w:r w:rsidR="00C40505" w:rsidRPr="00063D41">
        <w:rPr>
          <w:rFonts w:ascii="Times New Roman" w:hAnsi="Times New Roman" w:cs="Times New Roman"/>
          <w:sz w:val="24"/>
          <w:szCs w:val="24"/>
        </w:rPr>
        <w:t xml:space="preserve">., 1999). </w:t>
      </w:r>
      <w:r w:rsidR="004C1799" w:rsidRPr="00063D41">
        <w:rPr>
          <w:rFonts w:ascii="Times New Roman" w:hAnsi="Times New Roman" w:cs="Times New Roman"/>
          <w:sz w:val="24"/>
          <w:szCs w:val="24"/>
        </w:rPr>
        <w:t>In comparison to other forage crops, sorghum demonstrates superior water-use efficiency and resilience under biotic and abiotic stresses. Its deep root system and ability to remain productive under water-limited conditions make it a strategic crop in climate-resilient agriculture. Additionally, sorghum is less susceptible to lodging and pest infestations, reducing the risk of biomass loss and ensuring reliable forage availability.</w:t>
      </w:r>
      <w:r w:rsidR="00C82074" w:rsidRPr="00063D41">
        <w:rPr>
          <w:rFonts w:ascii="Times New Roman" w:hAnsi="Times New Roman" w:cs="Times New Roman"/>
          <w:sz w:val="24"/>
          <w:szCs w:val="24"/>
        </w:rPr>
        <w:t xml:space="preserve"> On a dry matter basis, forage sorghum harvested at the 50% flowering stage typically contains 9 to 10% crude protein, 65% neutral detergent </w:t>
      </w:r>
      <w:proofErr w:type="spellStart"/>
      <w:r w:rsidR="00C82074" w:rsidRPr="00063D41">
        <w:rPr>
          <w:rFonts w:ascii="Times New Roman" w:hAnsi="Times New Roman" w:cs="Times New Roman"/>
          <w:sz w:val="24"/>
          <w:szCs w:val="24"/>
        </w:rPr>
        <w:t>fiber</w:t>
      </w:r>
      <w:proofErr w:type="spellEnd"/>
      <w:r w:rsidR="00C82074" w:rsidRPr="00063D41">
        <w:rPr>
          <w:rFonts w:ascii="Times New Roman" w:hAnsi="Times New Roman" w:cs="Times New Roman"/>
          <w:sz w:val="24"/>
          <w:szCs w:val="24"/>
        </w:rPr>
        <w:t xml:space="preserve">, 7 to 42% acid detergent </w:t>
      </w:r>
      <w:proofErr w:type="spellStart"/>
      <w:r w:rsidR="00C82074" w:rsidRPr="00063D41">
        <w:rPr>
          <w:rFonts w:ascii="Times New Roman" w:hAnsi="Times New Roman" w:cs="Times New Roman"/>
          <w:sz w:val="24"/>
          <w:szCs w:val="24"/>
        </w:rPr>
        <w:t>fiber</w:t>
      </w:r>
      <w:proofErr w:type="spellEnd"/>
      <w:r w:rsidR="00C82074" w:rsidRPr="00063D41">
        <w:rPr>
          <w:rFonts w:ascii="Times New Roman" w:hAnsi="Times New Roman" w:cs="Times New Roman"/>
          <w:sz w:val="24"/>
          <w:szCs w:val="24"/>
        </w:rPr>
        <w:t xml:space="preserve">, 32% cellulose, and 21 to 23% hemicellulose (Kumar </w:t>
      </w:r>
      <w:r w:rsidR="00C82074" w:rsidRPr="00063D41">
        <w:rPr>
          <w:rFonts w:ascii="Times New Roman" w:hAnsi="Times New Roman" w:cs="Times New Roman"/>
          <w:i/>
          <w:sz w:val="24"/>
          <w:szCs w:val="24"/>
        </w:rPr>
        <w:t>et al</w:t>
      </w:r>
      <w:r w:rsidR="00C82074" w:rsidRPr="00063D41">
        <w:rPr>
          <w:rFonts w:ascii="Times New Roman" w:hAnsi="Times New Roman" w:cs="Times New Roman"/>
          <w:sz w:val="24"/>
          <w:szCs w:val="24"/>
        </w:rPr>
        <w:t xml:space="preserve">., 2012). A notable anti-nutritional compound present in sorghum is the cyanogenic glycoside, dhurrin, </w:t>
      </w:r>
      <w:r w:rsidR="00C82074" w:rsidRPr="00063D41">
        <w:rPr>
          <w:rFonts w:ascii="Times New Roman" w:hAnsi="Times New Roman" w:cs="Times New Roman"/>
          <w:sz w:val="24"/>
          <w:szCs w:val="24"/>
        </w:rPr>
        <w:lastRenderedPageBreak/>
        <w:t>which can be toxic to cattle when ingested, particularly during the early vegetative phase of growth.</w:t>
      </w:r>
      <w:r w:rsidR="00F07A69" w:rsidRPr="00063D41">
        <w:rPr>
          <w:rFonts w:ascii="Times New Roman" w:hAnsi="Times New Roman" w:cs="Times New Roman"/>
          <w:sz w:val="24"/>
          <w:szCs w:val="24"/>
        </w:rPr>
        <w:t xml:space="preserve"> Sorghum is grown extensively across the globe, with more than 90% of its cultivation taking place in developing regions, particularly in Africa and Asia. For the 2023–2024 agricultural years, global sorghum production was estimated at around 62.09 million metric tonnes. India ranks as the fourth-largest producer, contributing 8% to the world’s total sorghum supply, amounting to approximately 5.27 million metric tonnes (USDA, 2024).</w:t>
      </w:r>
      <w:r w:rsidR="002F64CA" w:rsidRPr="00063D41">
        <w:rPr>
          <w:rFonts w:ascii="Times New Roman" w:hAnsi="Times New Roman" w:cs="Times New Roman"/>
          <w:sz w:val="24"/>
          <w:szCs w:val="24"/>
        </w:rPr>
        <w:t xml:space="preserve"> </w:t>
      </w:r>
      <w:r w:rsidR="00A92085" w:rsidRPr="00063D41">
        <w:rPr>
          <w:rFonts w:ascii="Times New Roman" w:hAnsi="Times New Roman" w:cs="Times New Roman"/>
          <w:sz w:val="24"/>
          <w:szCs w:val="24"/>
        </w:rPr>
        <w:t>Weeds present a formidable challenge to Kharif forage sorghum cultivation, significantly hindering productivity and causing yield losses ranging from 15% to 97% acros</w:t>
      </w:r>
      <w:r w:rsidR="004A7F41">
        <w:rPr>
          <w:rFonts w:ascii="Times New Roman" w:hAnsi="Times New Roman" w:cs="Times New Roman"/>
          <w:sz w:val="24"/>
          <w:szCs w:val="24"/>
        </w:rPr>
        <w:t>s varying climatic conditions (</w:t>
      </w:r>
      <w:r w:rsidR="00A92085" w:rsidRPr="00063D41">
        <w:rPr>
          <w:rFonts w:ascii="Times New Roman" w:hAnsi="Times New Roman" w:cs="Times New Roman"/>
          <w:sz w:val="24"/>
          <w:szCs w:val="24"/>
        </w:rPr>
        <w:t xml:space="preserve">Peerzada </w:t>
      </w:r>
      <w:r w:rsidR="00A92085" w:rsidRPr="004A7F41">
        <w:rPr>
          <w:rFonts w:ascii="Times New Roman" w:hAnsi="Times New Roman" w:cs="Times New Roman"/>
          <w:i/>
          <w:sz w:val="24"/>
          <w:szCs w:val="24"/>
        </w:rPr>
        <w:t>et al</w:t>
      </w:r>
      <w:r w:rsidR="00A92085" w:rsidRPr="00063D41">
        <w:rPr>
          <w:rFonts w:ascii="Times New Roman" w:hAnsi="Times New Roman" w:cs="Times New Roman"/>
          <w:sz w:val="24"/>
          <w:szCs w:val="24"/>
        </w:rPr>
        <w:t xml:space="preserve">., 2017). </w:t>
      </w:r>
      <w:r w:rsidR="004C1799" w:rsidRPr="00063D41">
        <w:rPr>
          <w:rFonts w:ascii="Times New Roman" w:hAnsi="Times New Roman" w:cs="Times New Roman"/>
          <w:sz w:val="24"/>
          <w:szCs w:val="24"/>
        </w:rPr>
        <w:t>The incorporation of sorghum into fodder systems not only supports livestock nutrition and productivity but also contributes to the sustainability of farming systems through soil conservation and crop rotation benefits. Given the rising demand for livestock products and the increasing pressure on land and water resources, the role of sorghum as a fodder crop is expected to expand further in both smallholder and commercial agricultural settings.</w:t>
      </w:r>
    </w:p>
    <w:p w14:paraId="02C0C919" w14:textId="77777777" w:rsidR="00C4535F" w:rsidRPr="00B71ECE" w:rsidRDefault="002E4CDA" w:rsidP="006B2B42">
      <w:p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F7B04" w:rsidRPr="00B71ECE">
        <w:rPr>
          <w:rFonts w:ascii="Times New Roman" w:hAnsi="Times New Roman" w:cs="Times New Roman"/>
          <w:sz w:val="24"/>
          <w:szCs w:val="24"/>
        </w:rPr>
        <w:t xml:space="preserve">On a dry matter basis, forage sorghum harvested at the 50% flowering stage comprises 9 to 10% crude protein, 65% neutral detergent </w:t>
      </w:r>
      <w:proofErr w:type="spellStart"/>
      <w:r w:rsidR="004F7B04" w:rsidRPr="00B71ECE">
        <w:rPr>
          <w:rFonts w:ascii="Times New Roman" w:hAnsi="Times New Roman" w:cs="Times New Roman"/>
          <w:sz w:val="24"/>
          <w:szCs w:val="24"/>
        </w:rPr>
        <w:t>fiber</w:t>
      </w:r>
      <w:proofErr w:type="spellEnd"/>
      <w:r w:rsidR="004F7B04" w:rsidRPr="00B71ECE">
        <w:rPr>
          <w:rFonts w:ascii="Times New Roman" w:hAnsi="Times New Roman" w:cs="Times New Roman"/>
          <w:sz w:val="24"/>
          <w:szCs w:val="24"/>
        </w:rPr>
        <w:t xml:space="preserve">, 7 to 42% acid detergent </w:t>
      </w:r>
      <w:proofErr w:type="spellStart"/>
      <w:r w:rsidR="004F7B04" w:rsidRPr="00B71ECE">
        <w:rPr>
          <w:rFonts w:ascii="Times New Roman" w:hAnsi="Times New Roman" w:cs="Times New Roman"/>
          <w:sz w:val="24"/>
          <w:szCs w:val="24"/>
        </w:rPr>
        <w:t>fiber</w:t>
      </w:r>
      <w:proofErr w:type="spellEnd"/>
      <w:r w:rsidR="004F7B04" w:rsidRPr="00B71ECE">
        <w:rPr>
          <w:rFonts w:ascii="Times New Roman" w:hAnsi="Times New Roman" w:cs="Times New Roman"/>
          <w:sz w:val="24"/>
          <w:szCs w:val="24"/>
        </w:rPr>
        <w:t xml:space="preserve">, 32% cellulose, and 21 to 23% hemicellulose </w:t>
      </w:r>
      <w:r w:rsidR="004F7B04" w:rsidRPr="00F70A2F">
        <w:rPr>
          <w:rFonts w:ascii="Times New Roman" w:hAnsi="Times New Roman" w:cs="Times New Roman"/>
          <w:sz w:val="24"/>
          <w:szCs w:val="24"/>
        </w:rPr>
        <w:t xml:space="preserve">(Kumar </w:t>
      </w:r>
      <w:r w:rsidR="004F7B04" w:rsidRPr="00F70A2F">
        <w:rPr>
          <w:rFonts w:ascii="Times New Roman" w:hAnsi="Times New Roman" w:cs="Times New Roman"/>
          <w:i/>
          <w:sz w:val="24"/>
          <w:szCs w:val="24"/>
        </w:rPr>
        <w:t>et al</w:t>
      </w:r>
      <w:r w:rsidR="004F7B04" w:rsidRPr="00F70A2F">
        <w:rPr>
          <w:rFonts w:ascii="Times New Roman" w:hAnsi="Times New Roman" w:cs="Times New Roman"/>
          <w:sz w:val="24"/>
          <w:szCs w:val="24"/>
        </w:rPr>
        <w:t>., 2012).</w:t>
      </w:r>
      <w:r w:rsidR="00375CB4" w:rsidRPr="00B71ECE">
        <w:rPr>
          <w:rFonts w:ascii="Times New Roman" w:hAnsi="Times New Roman" w:cs="Times New Roman"/>
          <w:sz w:val="24"/>
          <w:szCs w:val="24"/>
        </w:rPr>
        <w:t xml:space="preserve"> A key anti-nutritional factor in sorghum is the cyanogenic HCN glycoside, commonly referred to as dhurrin, which poses a toxic threat to cattle when consumed during the early vegetative stage.</w:t>
      </w:r>
      <w:r w:rsidR="00414821" w:rsidRPr="00B71ECE">
        <w:rPr>
          <w:rFonts w:ascii="Times New Roman" w:hAnsi="Times New Roman" w:cs="Times New Roman"/>
          <w:sz w:val="24"/>
          <w:szCs w:val="24"/>
        </w:rPr>
        <w:t xml:space="preserve"> Hydrocyanic acid (HCN) is a </w:t>
      </w:r>
      <w:proofErr w:type="spellStart"/>
      <w:r w:rsidR="00414821" w:rsidRPr="00B71ECE">
        <w:rPr>
          <w:rFonts w:ascii="Times New Roman" w:hAnsi="Times New Roman" w:cs="Times New Roman"/>
          <w:sz w:val="24"/>
          <w:szCs w:val="24"/>
        </w:rPr>
        <w:t>colorless</w:t>
      </w:r>
      <w:proofErr w:type="spellEnd"/>
      <w:r w:rsidR="00414821" w:rsidRPr="00B71ECE">
        <w:rPr>
          <w:rFonts w:ascii="Times New Roman" w:hAnsi="Times New Roman" w:cs="Times New Roman"/>
          <w:sz w:val="24"/>
          <w:szCs w:val="24"/>
        </w:rPr>
        <w:t xml:space="preserve">, volatile liquid with a distinct bitter almond </w:t>
      </w:r>
      <w:proofErr w:type="spellStart"/>
      <w:r w:rsidR="00414821" w:rsidRPr="00B71ECE">
        <w:rPr>
          <w:rFonts w:ascii="Times New Roman" w:hAnsi="Times New Roman" w:cs="Times New Roman"/>
          <w:sz w:val="24"/>
          <w:szCs w:val="24"/>
        </w:rPr>
        <w:t>odor</w:t>
      </w:r>
      <w:proofErr w:type="spellEnd"/>
      <w:r w:rsidR="00414821" w:rsidRPr="00B71ECE">
        <w:rPr>
          <w:rFonts w:ascii="Times New Roman" w:hAnsi="Times New Roman" w:cs="Times New Roman"/>
          <w:sz w:val="24"/>
          <w:szCs w:val="24"/>
        </w:rPr>
        <w:t>, boiling at 25.6°C and a molecular weight of 27.0253 g/mol</w:t>
      </w:r>
      <w:r w:rsidR="00F70A2F">
        <w:rPr>
          <w:rFonts w:ascii="Times New Roman" w:hAnsi="Times New Roman" w:cs="Times New Roman"/>
          <w:sz w:val="24"/>
          <w:szCs w:val="24"/>
        </w:rPr>
        <w:t xml:space="preserve">. </w:t>
      </w:r>
      <w:r w:rsidR="00414821" w:rsidRPr="00B71ECE">
        <w:rPr>
          <w:rFonts w:ascii="Times New Roman" w:hAnsi="Times New Roman" w:cs="Times New Roman"/>
          <w:sz w:val="24"/>
          <w:szCs w:val="24"/>
        </w:rPr>
        <w:t xml:space="preserve"> It is not naturally found free in plants but exists as a cyanogenic glucoside, which, upon digestion by specific enzymes, converts into toxic HCN </w:t>
      </w:r>
      <w:r w:rsidR="00414821" w:rsidRPr="00F70A2F">
        <w:rPr>
          <w:rFonts w:ascii="Times New Roman" w:hAnsi="Times New Roman" w:cs="Times New Roman"/>
          <w:sz w:val="24"/>
          <w:szCs w:val="24"/>
        </w:rPr>
        <w:t>(</w:t>
      </w:r>
      <w:r w:rsidR="00370FD3" w:rsidRPr="00F70A2F">
        <w:rPr>
          <w:rFonts w:ascii="Times New Roman" w:hAnsi="Times New Roman" w:cs="Times New Roman"/>
          <w:sz w:val="24"/>
          <w:szCs w:val="24"/>
          <w:shd w:val="clear" w:color="auto" w:fill="FFFFFF"/>
        </w:rPr>
        <w:t>AL-</w:t>
      </w:r>
      <w:proofErr w:type="spellStart"/>
      <w:r w:rsidR="00370FD3" w:rsidRPr="00F70A2F">
        <w:rPr>
          <w:rFonts w:ascii="Times New Roman" w:hAnsi="Times New Roman" w:cs="Times New Roman"/>
          <w:sz w:val="24"/>
          <w:szCs w:val="24"/>
          <w:shd w:val="clear" w:color="auto" w:fill="FFFFFF"/>
        </w:rPr>
        <w:t>Dulaimi</w:t>
      </w:r>
      <w:proofErr w:type="spellEnd"/>
      <w:r w:rsidR="00414821" w:rsidRPr="00F70A2F">
        <w:rPr>
          <w:rFonts w:ascii="Times New Roman" w:hAnsi="Times New Roman" w:cs="Times New Roman"/>
          <w:sz w:val="24"/>
          <w:szCs w:val="24"/>
        </w:rPr>
        <w:t>, 2012).</w:t>
      </w:r>
      <w:r w:rsidR="00414821" w:rsidRPr="00B71ECE">
        <w:rPr>
          <w:rFonts w:ascii="Times New Roman" w:hAnsi="Times New Roman" w:cs="Times New Roman"/>
          <w:sz w:val="24"/>
          <w:szCs w:val="24"/>
        </w:rPr>
        <w:t xml:space="preserve"> Alkaloid substances, like glucosides, release HCN when </w:t>
      </w:r>
      <w:proofErr w:type="spellStart"/>
      <w:r w:rsidR="00414821" w:rsidRPr="00B71ECE">
        <w:rPr>
          <w:rFonts w:ascii="Times New Roman" w:hAnsi="Times New Roman" w:cs="Times New Roman"/>
          <w:sz w:val="24"/>
          <w:szCs w:val="24"/>
        </w:rPr>
        <w:t>hydrolyzed</w:t>
      </w:r>
      <w:proofErr w:type="spellEnd"/>
      <w:r w:rsidR="00414821" w:rsidRPr="00B71ECE">
        <w:rPr>
          <w:rFonts w:ascii="Times New Roman" w:hAnsi="Times New Roman" w:cs="Times New Roman"/>
          <w:sz w:val="24"/>
          <w:szCs w:val="24"/>
        </w:rPr>
        <w:t xml:space="preserve">, and when absorbed in sufficient quantities by animals, can be </w:t>
      </w:r>
      <w:r w:rsidR="00414821" w:rsidRPr="002609BA">
        <w:rPr>
          <w:rFonts w:ascii="Times New Roman" w:hAnsi="Times New Roman" w:cs="Times New Roman"/>
          <w:sz w:val="24"/>
          <w:szCs w:val="24"/>
        </w:rPr>
        <w:t>fatal (</w:t>
      </w:r>
      <w:proofErr w:type="spellStart"/>
      <w:r w:rsidR="00414821" w:rsidRPr="002609BA">
        <w:rPr>
          <w:rFonts w:ascii="Times New Roman" w:hAnsi="Times New Roman" w:cs="Times New Roman"/>
          <w:sz w:val="24"/>
          <w:szCs w:val="24"/>
        </w:rPr>
        <w:t>Shafqaf</w:t>
      </w:r>
      <w:proofErr w:type="spellEnd"/>
      <w:r w:rsidR="00414821" w:rsidRPr="002609BA">
        <w:rPr>
          <w:rFonts w:ascii="Times New Roman" w:hAnsi="Times New Roman" w:cs="Times New Roman"/>
          <w:sz w:val="24"/>
          <w:szCs w:val="24"/>
        </w:rPr>
        <w:t xml:space="preserve"> and Al-</w:t>
      </w:r>
      <w:proofErr w:type="spellStart"/>
      <w:r w:rsidR="00414821" w:rsidRPr="002609BA">
        <w:rPr>
          <w:rFonts w:ascii="Times New Roman" w:hAnsi="Times New Roman" w:cs="Times New Roman"/>
          <w:sz w:val="24"/>
          <w:szCs w:val="24"/>
        </w:rPr>
        <w:t>Dabbabi</w:t>
      </w:r>
      <w:proofErr w:type="spellEnd"/>
      <w:r w:rsidR="00414821" w:rsidRPr="002609BA">
        <w:rPr>
          <w:rFonts w:ascii="Times New Roman" w:hAnsi="Times New Roman" w:cs="Times New Roman"/>
          <w:sz w:val="24"/>
          <w:szCs w:val="24"/>
        </w:rPr>
        <w:t>, 2008).</w:t>
      </w:r>
      <w:r w:rsidR="00414821" w:rsidRPr="00B71ECE">
        <w:rPr>
          <w:rFonts w:ascii="Times New Roman" w:hAnsi="Times New Roman" w:cs="Times New Roman"/>
          <w:sz w:val="24"/>
          <w:szCs w:val="24"/>
        </w:rPr>
        <w:t xml:space="preserve"> For livestock, the safe HCN concentration in fresh fodder is 500 ppm and 200 ppm in dry fodder, with concentrations above 600 mg per kg posing significant grazing risks, while levels as low as 200 mg per kg may still be dangerous, particularly for very hungry </w:t>
      </w:r>
      <w:r w:rsidR="00414821" w:rsidRPr="00B71ECE">
        <w:rPr>
          <w:rFonts w:ascii="Times New Roman" w:hAnsi="Times New Roman" w:cs="Times New Roman"/>
          <w:color w:val="000000" w:themeColor="text1"/>
          <w:sz w:val="24"/>
          <w:szCs w:val="24"/>
        </w:rPr>
        <w:t xml:space="preserve">animals </w:t>
      </w:r>
      <w:r w:rsidR="00414821" w:rsidRPr="002609BA">
        <w:rPr>
          <w:rFonts w:ascii="Times New Roman" w:hAnsi="Times New Roman" w:cs="Times New Roman"/>
          <w:color w:val="000000" w:themeColor="text1"/>
          <w:sz w:val="24"/>
          <w:szCs w:val="24"/>
        </w:rPr>
        <w:t>(Karthika and Kalpana, 2017</w:t>
      </w:r>
      <w:r w:rsidR="00A11DE3" w:rsidRPr="002609BA">
        <w:rPr>
          <w:rFonts w:ascii="Times New Roman" w:hAnsi="Times New Roman" w:cs="Times New Roman"/>
          <w:color w:val="000000" w:themeColor="text1"/>
          <w:sz w:val="24"/>
          <w:szCs w:val="24"/>
        </w:rPr>
        <w:t>).</w:t>
      </w:r>
      <w:r w:rsidR="00FE7C4F" w:rsidRPr="00B71ECE">
        <w:rPr>
          <w:rFonts w:ascii="Times New Roman" w:hAnsi="Times New Roman" w:cs="Times New Roman"/>
          <w:color w:val="000000" w:themeColor="text1"/>
          <w:sz w:val="24"/>
          <w:szCs w:val="24"/>
        </w:rPr>
        <w:t xml:space="preserve">Sorghum is extensively cultivated throughout the world. By area, more than 90% of the world’s sorghum can be found in developing countries, mainly in Africa and Asia. </w:t>
      </w:r>
      <w:r w:rsidR="00CC7F32" w:rsidRPr="00B71ECE">
        <w:rPr>
          <w:rFonts w:ascii="Times New Roman" w:hAnsi="Times New Roman" w:cs="Times New Roman"/>
          <w:sz w:val="24"/>
          <w:szCs w:val="24"/>
        </w:rPr>
        <w:t xml:space="preserve">Weeds present a significant obstacle to enhancing sorghum productivity, particularly in the Kharif season, as the crop is planted immediately following the onset of the monsoon, creating optimal environmental conditions for vigorous weed proliferation. The incorporation of herbicides </w:t>
      </w:r>
      <w:r w:rsidR="00CC7F32" w:rsidRPr="00B71ECE">
        <w:rPr>
          <w:rFonts w:ascii="Times New Roman" w:hAnsi="Times New Roman" w:cs="Times New Roman"/>
          <w:sz w:val="24"/>
          <w:szCs w:val="24"/>
        </w:rPr>
        <w:lastRenderedPageBreak/>
        <w:t xml:space="preserve">alongside cultural practices, such as intercropping with leguminous crops, and the combined application of pre-emergence and post-emergence herbicides, supplemented by manual weeding techniques, can efficiently eradicate weeds from sorghum forage fields, thereby promoting enhanced crop growth and yield potential. </w:t>
      </w:r>
      <w:r w:rsidR="000064D0" w:rsidRPr="00B71ECE">
        <w:rPr>
          <w:rFonts w:ascii="Times New Roman" w:hAnsi="Times New Roman" w:cs="Times New Roman"/>
          <w:sz w:val="24"/>
          <w:szCs w:val="24"/>
        </w:rPr>
        <w:t xml:space="preserve">This study aims to explore the production of premium-quality </w:t>
      </w:r>
      <w:r w:rsidR="000064D0" w:rsidRPr="00B71ECE">
        <w:rPr>
          <w:rFonts w:ascii="Times New Roman" w:hAnsi="Times New Roman" w:cs="Times New Roman"/>
          <w:i/>
          <w:sz w:val="24"/>
          <w:szCs w:val="24"/>
        </w:rPr>
        <w:t>Kharif</w:t>
      </w:r>
      <w:r w:rsidR="000064D0" w:rsidRPr="00B71ECE">
        <w:rPr>
          <w:rFonts w:ascii="Times New Roman" w:hAnsi="Times New Roman" w:cs="Times New Roman"/>
          <w:sz w:val="24"/>
          <w:szCs w:val="24"/>
        </w:rPr>
        <w:t xml:space="preserve"> forage sorghum through economically sustainable practices, attainable via the application of environmentally sound herbicide treatments and an intercropping system for effective weed management.</w:t>
      </w:r>
    </w:p>
    <w:p w14:paraId="38EF8678" w14:textId="77777777" w:rsidR="00AC32F3" w:rsidRPr="00B71ECE" w:rsidRDefault="00CA5AD3" w:rsidP="006B2B42">
      <w:pPr>
        <w:tabs>
          <w:tab w:val="left" w:pos="142"/>
        </w:tabs>
        <w:spacing w:line="360" w:lineRule="auto"/>
        <w:jc w:val="both"/>
        <w:rPr>
          <w:rFonts w:ascii="Times New Roman" w:hAnsi="Times New Roman" w:cs="Times New Roman"/>
          <w:b/>
          <w:bCs/>
          <w:sz w:val="24"/>
          <w:szCs w:val="24"/>
        </w:rPr>
      </w:pPr>
      <w:r w:rsidRPr="00B71ECE">
        <w:rPr>
          <w:rFonts w:ascii="Times New Roman" w:hAnsi="Times New Roman" w:cs="Times New Roman"/>
          <w:b/>
          <w:bCs/>
          <w:sz w:val="24"/>
          <w:szCs w:val="24"/>
        </w:rPr>
        <w:t>2</w:t>
      </w:r>
      <w:r w:rsidR="006B2B42">
        <w:rPr>
          <w:rFonts w:ascii="Times New Roman" w:hAnsi="Times New Roman" w:cs="Times New Roman"/>
          <w:b/>
          <w:bCs/>
          <w:sz w:val="24"/>
          <w:szCs w:val="24"/>
        </w:rPr>
        <w:t>.</w:t>
      </w:r>
      <w:r w:rsidRPr="00B71ECE">
        <w:rPr>
          <w:rFonts w:ascii="Times New Roman" w:hAnsi="Times New Roman" w:cs="Times New Roman"/>
          <w:b/>
          <w:bCs/>
          <w:sz w:val="24"/>
          <w:szCs w:val="24"/>
        </w:rPr>
        <w:t xml:space="preserve"> </w:t>
      </w:r>
      <w:r w:rsidR="006B2B42" w:rsidRPr="00B71ECE">
        <w:rPr>
          <w:rFonts w:ascii="Times New Roman" w:hAnsi="Times New Roman" w:cs="Times New Roman"/>
          <w:b/>
          <w:bCs/>
          <w:sz w:val="24"/>
          <w:szCs w:val="24"/>
        </w:rPr>
        <w:t>MATERIALS AND METHOD</w:t>
      </w:r>
    </w:p>
    <w:p w14:paraId="580680E3" w14:textId="77777777" w:rsidR="00CA5AD3" w:rsidRPr="00B71ECE" w:rsidRDefault="00CA5AD3" w:rsidP="006B2B42">
      <w:pPr>
        <w:tabs>
          <w:tab w:val="left" w:pos="142"/>
        </w:tabs>
        <w:spacing w:line="360" w:lineRule="auto"/>
        <w:jc w:val="both"/>
        <w:rPr>
          <w:rFonts w:ascii="Times New Roman" w:hAnsi="Times New Roman" w:cs="Times New Roman"/>
          <w:b/>
          <w:bCs/>
          <w:sz w:val="24"/>
          <w:szCs w:val="24"/>
        </w:rPr>
      </w:pPr>
      <w:r w:rsidRPr="00B71ECE">
        <w:rPr>
          <w:rFonts w:ascii="Times New Roman" w:hAnsi="Times New Roman" w:cs="Times New Roman"/>
          <w:b/>
          <w:bCs/>
          <w:sz w:val="24"/>
          <w:szCs w:val="24"/>
        </w:rPr>
        <w:t>2.1 Experimental Site</w:t>
      </w:r>
      <w:r w:rsidR="002E4CDA">
        <w:rPr>
          <w:rFonts w:ascii="Times New Roman" w:hAnsi="Times New Roman" w:cs="Times New Roman"/>
          <w:b/>
          <w:bCs/>
          <w:sz w:val="24"/>
          <w:szCs w:val="24"/>
        </w:rPr>
        <w:t xml:space="preserve"> and Climate</w:t>
      </w:r>
    </w:p>
    <w:p w14:paraId="0C8B6666" w14:textId="77777777" w:rsidR="00DA50E2" w:rsidRPr="00B71ECE" w:rsidRDefault="005C02BB" w:rsidP="006B2B42">
      <w:p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948B9" w:rsidRPr="00B71ECE">
        <w:rPr>
          <w:rFonts w:ascii="Times New Roman" w:hAnsi="Times New Roman" w:cs="Times New Roman"/>
          <w:sz w:val="24"/>
          <w:szCs w:val="24"/>
        </w:rPr>
        <w:t xml:space="preserve">The investigation was conducted during the Kharif season of 2022 at the Instructional Farm, Department of Agronomy, Rajasthan College of Agriculture, affiliated with Maharana Pratap University of Agriculture and Technology, Udaipur, Rajasthan. Geographically situated in the southeastern quadrant of the state, the experimental site is positioned at an elevation of 581.13 meters above mean sea level, with coordinates at 24°35' N latitude and 74°42' E longitude. This location falls within </w:t>
      </w:r>
      <w:proofErr w:type="spellStart"/>
      <w:r w:rsidR="001948B9" w:rsidRPr="00B71ECE">
        <w:rPr>
          <w:rFonts w:ascii="Times New Roman" w:hAnsi="Times New Roman" w:cs="Times New Roman"/>
          <w:sz w:val="24"/>
          <w:szCs w:val="24"/>
        </w:rPr>
        <w:t>Agro</w:t>
      </w:r>
      <w:proofErr w:type="spellEnd"/>
      <w:r w:rsidR="001948B9" w:rsidRPr="00B71ECE">
        <w:rPr>
          <w:rFonts w:ascii="Times New Roman" w:hAnsi="Times New Roman" w:cs="Times New Roman"/>
          <w:sz w:val="24"/>
          <w:szCs w:val="24"/>
        </w:rPr>
        <w:t xml:space="preserve">-Climatic Zone </w:t>
      </w:r>
      <w:proofErr w:type="spellStart"/>
      <w:r w:rsidR="001948B9" w:rsidRPr="00B71ECE">
        <w:rPr>
          <w:rFonts w:ascii="Times New Roman" w:hAnsi="Times New Roman" w:cs="Times New Roman"/>
          <w:sz w:val="24"/>
          <w:szCs w:val="24"/>
        </w:rPr>
        <w:t>IVa</w:t>
      </w:r>
      <w:proofErr w:type="spellEnd"/>
      <w:r w:rsidR="001948B9" w:rsidRPr="00B71ECE">
        <w:rPr>
          <w:rFonts w:ascii="Times New Roman" w:hAnsi="Times New Roman" w:cs="Times New Roman"/>
          <w:sz w:val="24"/>
          <w:szCs w:val="24"/>
        </w:rPr>
        <w:t>, categorized as the Sub-Humid Southern Plains and Aravalli Hill region of Rajasthan</w:t>
      </w:r>
      <w:r w:rsidR="002E4CDA">
        <w:rPr>
          <w:rFonts w:ascii="Times New Roman" w:hAnsi="Times New Roman" w:cs="Times New Roman"/>
          <w:sz w:val="24"/>
          <w:szCs w:val="24"/>
        </w:rPr>
        <w:t xml:space="preserve">. </w:t>
      </w:r>
      <w:r w:rsidR="00DA50E2" w:rsidRPr="00B71ECE">
        <w:rPr>
          <w:rFonts w:ascii="Times New Roman" w:hAnsi="Times New Roman" w:cs="Times New Roman"/>
          <w:sz w:val="24"/>
          <w:szCs w:val="24"/>
        </w:rPr>
        <w:t xml:space="preserve">The experimental site is situated within the sub-humid </w:t>
      </w:r>
      <w:proofErr w:type="spellStart"/>
      <w:r w:rsidR="00DA50E2" w:rsidRPr="00B71ECE">
        <w:rPr>
          <w:rFonts w:ascii="Times New Roman" w:hAnsi="Times New Roman" w:cs="Times New Roman"/>
          <w:sz w:val="24"/>
          <w:szCs w:val="24"/>
        </w:rPr>
        <w:t>agro</w:t>
      </w:r>
      <w:proofErr w:type="spellEnd"/>
      <w:r w:rsidR="00DA50E2" w:rsidRPr="00B71ECE">
        <w:rPr>
          <w:rFonts w:ascii="Times New Roman" w:hAnsi="Times New Roman" w:cs="Times New Roman"/>
          <w:sz w:val="24"/>
          <w:szCs w:val="24"/>
        </w:rPr>
        <w:t>-ecological zone of the Aravalli Hill region, characterized by moderate climatic variability and a predominantly monsoonal rainfall regime. The region receives an average annual precipitation of approximately 600.8 mm, with the bulk of rainfall (about 432.7 mm during the cropping season) attributed to the southwest monsoon, primarily concentrated between July and September. Climatic conditions are marked by mild winters and moderately warm summers, accompanied by elevated relative humidity during the monsoonal months. During the study period, ambient temperatures ranged between 30.0–34.3 °C (maximum) and 10.3–22.3 °C (minimum), while relative humidity levels varied from 59.9% to 90.4% (maximum) and 25.2% to 79.1% (minimum). Sunshine duration fluctuated between 1.6 and 8.8 hours per day, and mean daily evaporation ranged from 3.7 to 6.3 mm, reflecting moderate atmospheric water demand across the growing period.</w:t>
      </w:r>
    </w:p>
    <w:p w14:paraId="5AE41A0A" w14:textId="77777777" w:rsidR="005955C7" w:rsidRPr="00B71ECE" w:rsidRDefault="002E4CDA" w:rsidP="006B2B42">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5955C7" w:rsidRPr="00B71ECE">
        <w:rPr>
          <w:rFonts w:ascii="Times New Roman" w:hAnsi="Times New Roman" w:cs="Times New Roman"/>
          <w:b/>
          <w:sz w:val="24"/>
          <w:szCs w:val="24"/>
        </w:rPr>
        <w:t xml:space="preserve"> Soil </w:t>
      </w:r>
      <w:r w:rsidR="00B93D8D" w:rsidRPr="00B71ECE">
        <w:rPr>
          <w:rFonts w:ascii="Times New Roman" w:hAnsi="Times New Roman" w:cs="Times New Roman"/>
          <w:b/>
          <w:sz w:val="24"/>
          <w:szCs w:val="24"/>
        </w:rPr>
        <w:t>Characteristics</w:t>
      </w:r>
      <w:r w:rsidR="005955C7" w:rsidRPr="00B71ECE">
        <w:rPr>
          <w:rFonts w:ascii="Times New Roman" w:hAnsi="Times New Roman" w:cs="Times New Roman"/>
          <w:b/>
          <w:sz w:val="24"/>
          <w:szCs w:val="24"/>
        </w:rPr>
        <w:t xml:space="preserve"> </w:t>
      </w:r>
    </w:p>
    <w:p w14:paraId="7BC7DA4E" w14:textId="77777777" w:rsidR="00B93D8D" w:rsidRPr="00B71ECE" w:rsidRDefault="002E4CDA" w:rsidP="006B2B42">
      <w:p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B93D8D" w:rsidRPr="00B71ECE">
        <w:rPr>
          <w:rFonts w:ascii="Times New Roman" w:hAnsi="Times New Roman" w:cs="Times New Roman"/>
          <w:sz w:val="24"/>
          <w:szCs w:val="24"/>
        </w:rPr>
        <w:t xml:space="preserve">The experimental soil was classified as clay loam in texture, exhibiting a slightly alkaline pH of 7.7. The initial nutrient profile revealed sub-optimal fertility, with low organic carbon content (0.32%) and limited available nitrogen (274.14 kg ha⁻¹), while phosphorus availability was moderate (22.00 kg ha⁻¹). Conversely, the soil demonstrated a comparatively elevated level of available potassium (316.00 kg ha⁻¹), indicative of </w:t>
      </w:r>
      <w:r w:rsidRPr="00B71ECE">
        <w:rPr>
          <w:rFonts w:ascii="Times New Roman" w:hAnsi="Times New Roman" w:cs="Times New Roman"/>
          <w:sz w:val="24"/>
          <w:szCs w:val="24"/>
        </w:rPr>
        <w:t>favourable</w:t>
      </w:r>
      <w:r w:rsidR="00B93D8D" w:rsidRPr="00B71ECE">
        <w:rPr>
          <w:rFonts w:ascii="Times New Roman" w:hAnsi="Times New Roman" w:cs="Times New Roman"/>
          <w:sz w:val="24"/>
          <w:szCs w:val="24"/>
        </w:rPr>
        <w:t xml:space="preserve"> potassium reserves conducive to supporting crop development.</w:t>
      </w:r>
      <w:r w:rsidR="00FE5FF2" w:rsidRPr="00B71ECE">
        <w:rPr>
          <w:rFonts w:ascii="Times New Roman" w:hAnsi="Times New Roman" w:cs="Times New Roman"/>
          <w:sz w:val="24"/>
          <w:szCs w:val="24"/>
        </w:rPr>
        <w:t xml:space="preserve"> </w:t>
      </w:r>
    </w:p>
    <w:p w14:paraId="3D0ED906" w14:textId="77777777" w:rsidR="004D762C" w:rsidRPr="00B71ECE" w:rsidRDefault="002E4CDA" w:rsidP="006B2B42">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4D762C" w:rsidRPr="00B71ECE">
        <w:rPr>
          <w:rFonts w:ascii="Times New Roman" w:hAnsi="Times New Roman" w:cs="Times New Roman"/>
          <w:b/>
          <w:sz w:val="24"/>
          <w:szCs w:val="24"/>
        </w:rPr>
        <w:t xml:space="preserve"> Experimental </w:t>
      </w:r>
      <w:r>
        <w:rPr>
          <w:rFonts w:ascii="Times New Roman" w:hAnsi="Times New Roman" w:cs="Times New Roman"/>
          <w:b/>
          <w:sz w:val="24"/>
          <w:szCs w:val="24"/>
        </w:rPr>
        <w:t xml:space="preserve">design and </w:t>
      </w:r>
      <w:r w:rsidR="004D762C" w:rsidRPr="00B71ECE">
        <w:rPr>
          <w:rFonts w:ascii="Times New Roman" w:hAnsi="Times New Roman" w:cs="Times New Roman"/>
          <w:b/>
          <w:sz w:val="24"/>
          <w:szCs w:val="24"/>
        </w:rPr>
        <w:t>Details</w:t>
      </w:r>
    </w:p>
    <w:p w14:paraId="7DA88A3A" w14:textId="77777777" w:rsidR="00CE60D7" w:rsidRPr="00B71ECE" w:rsidRDefault="005C02BB" w:rsidP="006B2B42">
      <w:p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74F6" w:rsidRPr="00B71ECE">
        <w:rPr>
          <w:rFonts w:ascii="Times New Roman" w:hAnsi="Times New Roman" w:cs="Times New Roman"/>
          <w:sz w:val="24"/>
          <w:szCs w:val="24"/>
        </w:rPr>
        <w:t xml:space="preserve">The experimental design was randomized block design </w:t>
      </w:r>
      <w:r>
        <w:rPr>
          <w:rFonts w:ascii="Times New Roman" w:hAnsi="Times New Roman" w:cs="Times New Roman"/>
          <w:sz w:val="24"/>
          <w:szCs w:val="24"/>
        </w:rPr>
        <w:t xml:space="preserve">(RBD) </w:t>
      </w:r>
      <w:r w:rsidR="006F74F6" w:rsidRPr="00B71ECE">
        <w:rPr>
          <w:rFonts w:ascii="Times New Roman" w:hAnsi="Times New Roman" w:cs="Times New Roman"/>
          <w:sz w:val="24"/>
          <w:szCs w:val="24"/>
        </w:rPr>
        <w:t>with three replications. The experiment</w:t>
      </w:r>
      <w:r w:rsidR="004A7A3A" w:rsidRPr="00B71ECE">
        <w:rPr>
          <w:rFonts w:ascii="Times New Roman" w:hAnsi="Times New Roman" w:cs="Times New Roman"/>
          <w:sz w:val="24"/>
          <w:szCs w:val="24"/>
        </w:rPr>
        <w:t xml:space="preserve"> </w:t>
      </w:r>
      <w:r w:rsidR="006F74F6" w:rsidRPr="00B71ECE">
        <w:rPr>
          <w:rFonts w:ascii="Times New Roman" w:hAnsi="Times New Roman" w:cs="Times New Roman"/>
          <w:sz w:val="24"/>
          <w:szCs w:val="24"/>
        </w:rPr>
        <w:t xml:space="preserve">consisting of </w:t>
      </w:r>
      <w:r w:rsidR="004120F8" w:rsidRPr="00B71ECE">
        <w:rPr>
          <w:rFonts w:ascii="Times New Roman" w:hAnsi="Times New Roman" w:cs="Times New Roman"/>
          <w:sz w:val="24"/>
          <w:szCs w:val="24"/>
        </w:rPr>
        <w:t>twelve treatments</w:t>
      </w:r>
      <w:r w:rsidR="00CE60D7" w:rsidRPr="00B71ECE">
        <w:rPr>
          <w:rFonts w:ascii="Times New Roman" w:hAnsi="Times New Roman" w:cs="Times New Roman"/>
          <w:sz w:val="24"/>
          <w:szCs w:val="24"/>
        </w:rPr>
        <w:t xml:space="preserve"> which are mentioned below:</w:t>
      </w:r>
    </w:p>
    <w:p w14:paraId="45CBC51C" w14:textId="4DCFE559" w:rsidR="009403B6" w:rsidRPr="00B71ECE" w:rsidRDefault="004120F8" w:rsidP="006B2B42">
      <w:pPr>
        <w:tabs>
          <w:tab w:val="left" w:pos="142"/>
        </w:tabs>
        <w:spacing w:line="360" w:lineRule="auto"/>
        <w:jc w:val="both"/>
        <w:rPr>
          <w:rFonts w:ascii="Times New Roman" w:hAnsi="Times New Roman" w:cs="Times New Roman"/>
          <w:b/>
          <w:sz w:val="24"/>
          <w:szCs w:val="24"/>
        </w:rPr>
      </w:pPr>
      <w:r w:rsidRPr="00B71ECE">
        <w:rPr>
          <w:rFonts w:ascii="Times New Roman" w:hAnsi="Times New Roman" w:cs="Times New Roman"/>
          <w:b/>
          <w:sz w:val="24"/>
          <w:szCs w:val="24"/>
        </w:rPr>
        <w:t xml:space="preserve"> </w:t>
      </w:r>
      <w:r w:rsidR="009403B6" w:rsidRPr="00B71ECE">
        <w:rPr>
          <w:rFonts w:ascii="Times New Roman" w:hAnsi="Times New Roman" w:cs="Times New Roman"/>
          <w:b/>
          <w:sz w:val="24"/>
          <w:szCs w:val="24"/>
        </w:rPr>
        <w:t>Table1. Treatment details</w:t>
      </w:r>
    </w:p>
    <w:tbl>
      <w:tblPr>
        <w:tblW w:w="8530" w:type="dxa"/>
        <w:tblInd w:w="108" w:type="dxa"/>
        <w:tblBorders>
          <w:insideV w:val="single" w:sz="4" w:space="0" w:color="auto"/>
        </w:tblBorders>
        <w:tblCellMar>
          <w:left w:w="10" w:type="dxa"/>
          <w:right w:w="10" w:type="dxa"/>
        </w:tblCellMar>
        <w:tblLook w:val="0000" w:firstRow="0" w:lastRow="0" w:firstColumn="0" w:lastColumn="0" w:noHBand="0" w:noVBand="0"/>
      </w:tblPr>
      <w:tblGrid>
        <w:gridCol w:w="868"/>
        <w:gridCol w:w="7662"/>
      </w:tblGrid>
      <w:tr w:rsidR="009403B6" w:rsidRPr="00B71ECE" w14:paraId="331BAF3E" w14:textId="77777777" w:rsidTr="00A46CBB">
        <w:trPr>
          <w:trHeight w:val="1"/>
        </w:trPr>
        <w:tc>
          <w:tcPr>
            <w:tcW w:w="8530" w:type="dxa"/>
            <w:gridSpan w:val="2"/>
            <w:tcBorders>
              <w:top w:val="single" w:sz="4" w:space="0" w:color="auto"/>
              <w:bottom w:val="single" w:sz="4" w:space="0" w:color="auto"/>
            </w:tcBorders>
            <w:shd w:val="clear" w:color="000000" w:fill="FFFFFF"/>
            <w:tcMar>
              <w:left w:w="108" w:type="dxa"/>
              <w:right w:w="108" w:type="dxa"/>
            </w:tcMar>
          </w:tcPr>
          <w:p w14:paraId="3555AEB2" w14:textId="77777777" w:rsidR="009403B6" w:rsidRPr="00B71ECE" w:rsidRDefault="009403B6" w:rsidP="006B2B42">
            <w:pPr>
              <w:tabs>
                <w:tab w:val="left" w:pos="142"/>
              </w:tabs>
              <w:spacing w:after="0" w:line="360" w:lineRule="auto"/>
              <w:jc w:val="both"/>
              <w:rPr>
                <w:rFonts w:ascii="Times New Roman" w:eastAsia="Calibri" w:hAnsi="Times New Roman" w:cs="Times New Roman"/>
                <w:sz w:val="24"/>
                <w:szCs w:val="24"/>
              </w:rPr>
            </w:pPr>
            <w:r w:rsidRPr="00B71ECE">
              <w:rPr>
                <w:rFonts w:ascii="Times New Roman" w:hAnsi="Times New Roman" w:cs="Times New Roman"/>
                <w:b/>
                <w:sz w:val="24"/>
                <w:szCs w:val="24"/>
              </w:rPr>
              <w:t xml:space="preserve">Treatments </w:t>
            </w:r>
          </w:p>
        </w:tc>
      </w:tr>
      <w:tr w:rsidR="009403B6" w:rsidRPr="00B71ECE" w14:paraId="238C3E3B" w14:textId="77777777" w:rsidTr="00A46CBB">
        <w:trPr>
          <w:trHeight w:val="1"/>
        </w:trPr>
        <w:tc>
          <w:tcPr>
            <w:tcW w:w="868" w:type="dxa"/>
            <w:tcBorders>
              <w:top w:val="single" w:sz="4" w:space="0" w:color="auto"/>
              <w:right w:val="nil"/>
            </w:tcBorders>
            <w:shd w:val="clear" w:color="000000" w:fill="FFFFFF"/>
            <w:tcMar>
              <w:left w:w="108" w:type="dxa"/>
              <w:right w:w="108" w:type="dxa"/>
            </w:tcMar>
          </w:tcPr>
          <w:p w14:paraId="481EA96D"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1</w:t>
            </w:r>
          </w:p>
        </w:tc>
        <w:tc>
          <w:tcPr>
            <w:tcW w:w="7662" w:type="dxa"/>
            <w:tcBorders>
              <w:top w:val="single" w:sz="4" w:space="0" w:color="auto"/>
              <w:left w:val="nil"/>
            </w:tcBorders>
            <w:shd w:val="clear" w:color="000000" w:fill="FFFFFF"/>
            <w:tcMar>
              <w:left w:w="108" w:type="dxa"/>
              <w:right w:w="108" w:type="dxa"/>
            </w:tcMar>
          </w:tcPr>
          <w:p w14:paraId="5B569483"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 xml:space="preserve">Atrazine 50% WP @ 0.50 kg </w:t>
            </w:r>
            <w:proofErr w:type="spellStart"/>
            <w:r w:rsidRPr="00B71ECE">
              <w:rPr>
                <w:rFonts w:ascii="Times New Roman" w:hAnsi="Times New Roman" w:cs="Times New Roman"/>
                <w:i/>
                <w:sz w:val="24"/>
                <w:szCs w:val="24"/>
              </w:rPr>
              <w:t>a.i</w:t>
            </w:r>
            <w:proofErr w:type="spellEnd"/>
            <w:r w:rsidRPr="00B71ECE">
              <w:rPr>
                <w:rFonts w:ascii="Times New Roman" w:hAnsi="Times New Roman" w:cs="Times New Roman"/>
                <w:sz w:val="24"/>
                <w:szCs w:val="24"/>
              </w:rPr>
              <w:t xml:space="preserve"> ha</w:t>
            </w:r>
            <w:r w:rsidRPr="00B71ECE">
              <w:rPr>
                <w:rFonts w:ascii="Times New Roman" w:hAnsi="Times New Roman" w:cs="Times New Roman"/>
                <w:sz w:val="24"/>
                <w:szCs w:val="24"/>
                <w:vertAlign w:val="superscript"/>
              </w:rPr>
              <w:t>-1</w:t>
            </w:r>
            <w:r w:rsidRPr="00B71ECE">
              <w:rPr>
                <w:rFonts w:ascii="Times New Roman" w:hAnsi="Times New Roman" w:cs="Times New Roman"/>
                <w:sz w:val="24"/>
                <w:szCs w:val="24"/>
              </w:rPr>
              <w:t xml:space="preserve"> as pre- emergence (PE)</w:t>
            </w:r>
          </w:p>
        </w:tc>
      </w:tr>
      <w:tr w:rsidR="009403B6" w:rsidRPr="00B71ECE" w14:paraId="545D6581" w14:textId="77777777" w:rsidTr="00A46CBB">
        <w:trPr>
          <w:trHeight w:val="1"/>
        </w:trPr>
        <w:tc>
          <w:tcPr>
            <w:tcW w:w="868" w:type="dxa"/>
            <w:tcBorders>
              <w:right w:val="nil"/>
            </w:tcBorders>
            <w:shd w:val="clear" w:color="000000" w:fill="FFFFFF"/>
            <w:tcMar>
              <w:left w:w="108" w:type="dxa"/>
              <w:right w:w="108" w:type="dxa"/>
            </w:tcMar>
          </w:tcPr>
          <w:p w14:paraId="563C32B3"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2</w:t>
            </w:r>
          </w:p>
        </w:tc>
        <w:tc>
          <w:tcPr>
            <w:tcW w:w="7662" w:type="dxa"/>
            <w:tcBorders>
              <w:left w:val="nil"/>
            </w:tcBorders>
            <w:shd w:val="clear" w:color="000000" w:fill="FFFFFF"/>
            <w:tcMar>
              <w:left w:w="108" w:type="dxa"/>
              <w:right w:w="108" w:type="dxa"/>
            </w:tcMar>
          </w:tcPr>
          <w:p w14:paraId="5E71F1FD"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 xml:space="preserve">Metolachlor 50% EC @ 1.00 kg </w:t>
            </w:r>
            <w:proofErr w:type="spellStart"/>
            <w:r w:rsidRPr="00B71ECE">
              <w:rPr>
                <w:rFonts w:ascii="Times New Roman" w:hAnsi="Times New Roman" w:cs="Times New Roman"/>
                <w:i/>
                <w:sz w:val="24"/>
                <w:szCs w:val="24"/>
              </w:rPr>
              <w:t>a.i</w:t>
            </w:r>
            <w:proofErr w:type="spellEnd"/>
            <w:r w:rsidRPr="00B71ECE">
              <w:rPr>
                <w:rFonts w:ascii="Times New Roman" w:hAnsi="Times New Roman" w:cs="Times New Roman"/>
                <w:sz w:val="24"/>
                <w:szCs w:val="24"/>
              </w:rPr>
              <w:t xml:space="preserve"> ha</w:t>
            </w:r>
            <w:r w:rsidRPr="00B71ECE">
              <w:rPr>
                <w:rFonts w:ascii="Times New Roman" w:hAnsi="Times New Roman" w:cs="Times New Roman"/>
                <w:sz w:val="24"/>
                <w:szCs w:val="24"/>
                <w:vertAlign w:val="superscript"/>
              </w:rPr>
              <w:t>-1</w:t>
            </w:r>
            <w:r w:rsidRPr="00B71ECE">
              <w:rPr>
                <w:rFonts w:ascii="Times New Roman" w:hAnsi="Times New Roman" w:cs="Times New Roman"/>
                <w:sz w:val="24"/>
                <w:szCs w:val="24"/>
              </w:rPr>
              <w:t xml:space="preserve"> as PE</w:t>
            </w:r>
          </w:p>
        </w:tc>
      </w:tr>
      <w:tr w:rsidR="009403B6" w:rsidRPr="00B71ECE" w14:paraId="02E89785" w14:textId="77777777" w:rsidTr="00A46CBB">
        <w:trPr>
          <w:trHeight w:val="1"/>
        </w:trPr>
        <w:tc>
          <w:tcPr>
            <w:tcW w:w="868" w:type="dxa"/>
            <w:tcBorders>
              <w:right w:val="nil"/>
            </w:tcBorders>
            <w:shd w:val="clear" w:color="000000" w:fill="FFFFFF"/>
            <w:tcMar>
              <w:left w:w="108" w:type="dxa"/>
              <w:right w:w="108" w:type="dxa"/>
            </w:tcMar>
          </w:tcPr>
          <w:p w14:paraId="1E0BE39A"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3</w:t>
            </w:r>
          </w:p>
        </w:tc>
        <w:tc>
          <w:tcPr>
            <w:tcW w:w="7662" w:type="dxa"/>
            <w:tcBorders>
              <w:left w:val="nil"/>
            </w:tcBorders>
            <w:shd w:val="clear" w:color="000000" w:fill="FFFFFF"/>
            <w:tcMar>
              <w:left w:w="108" w:type="dxa"/>
              <w:right w:w="108" w:type="dxa"/>
            </w:tcMar>
          </w:tcPr>
          <w:p w14:paraId="49274756"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proofErr w:type="spellStart"/>
            <w:r w:rsidRPr="00B71ECE">
              <w:rPr>
                <w:rFonts w:ascii="Times New Roman" w:hAnsi="Times New Roman" w:cs="Times New Roman"/>
                <w:sz w:val="24"/>
                <w:szCs w:val="24"/>
              </w:rPr>
              <w:t>Pyroxasulfone</w:t>
            </w:r>
            <w:proofErr w:type="spellEnd"/>
            <w:r w:rsidRPr="00B71ECE">
              <w:rPr>
                <w:rFonts w:ascii="Times New Roman" w:hAnsi="Times New Roman" w:cs="Times New Roman"/>
                <w:sz w:val="24"/>
                <w:szCs w:val="24"/>
              </w:rPr>
              <w:t xml:space="preserve"> 85% w/w WG @ 0.1275 kg </w:t>
            </w:r>
            <w:proofErr w:type="spellStart"/>
            <w:r w:rsidRPr="00B71ECE">
              <w:rPr>
                <w:rFonts w:ascii="Times New Roman" w:hAnsi="Times New Roman" w:cs="Times New Roman"/>
                <w:i/>
                <w:sz w:val="24"/>
                <w:szCs w:val="24"/>
              </w:rPr>
              <w:t>a.i</w:t>
            </w:r>
            <w:proofErr w:type="spellEnd"/>
            <w:r w:rsidRPr="00B71ECE">
              <w:rPr>
                <w:rFonts w:ascii="Times New Roman" w:hAnsi="Times New Roman" w:cs="Times New Roman"/>
                <w:sz w:val="24"/>
                <w:szCs w:val="24"/>
              </w:rPr>
              <w:t xml:space="preserve"> ha</w:t>
            </w:r>
            <w:r w:rsidRPr="00B71ECE">
              <w:rPr>
                <w:rFonts w:ascii="Times New Roman" w:hAnsi="Times New Roman" w:cs="Times New Roman"/>
                <w:sz w:val="24"/>
                <w:szCs w:val="24"/>
                <w:vertAlign w:val="superscript"/>
              </w:rPr>
              <w:t>-1</w:t>
            </w:r>
            <w:r w:rsidRPr="00B71ECE">
              <w:rPr>
                <w:rFonts w:ascii="Times New Roman" w:hAnsi="Times New Roman" w:cs="Times New Roman"/>
                <w:sz w:val="24"/>
                <w:szCs w:val="24"/>
              </w:rPr>
              <w:t xml:space="preserve"> as PE</w:t>
            </w:r>
          </w:p>
        </w:tc>
      </w:tr>
      <w:tr w:rsidR="009403B6" w:rsidRPr="00B71ECE" w14:paraId="5BBFECC8" w14:textId="77777777" w:rsidTr="00A46CBB">
        <w:trPr>
          <w:trHeight w:val="1"/>
        </w:trPr>
        <w:tc>
          <w:tcPr>
            <w:tcW w:w="868" w:type="dxa"/>
            <w:tcBorders>
              <w:right w:val="nil"/>
            </w:tcBorders>
            <w:shd w:val="clear" w:color="000000" w:fill="FFFFFF"/>
            <w:tcMar>
              <w:left w:w="108" w:type="dxa"/>
              <w:right w:w="108" w:type="dxa"/>
            </w:tcMar>
          </w:tcPr>
          <w:p w14:paraId="300984A9"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4</w:t>
            </w:r>
          </w:p>
        </w:tc>
        <w:tc>
          <w:tcPr>
            <w:tcW w:w="7662" w:type="dxa"/>
            <w:tcBorders>
              <w:left w:val="nil"/>
            </w:tcBorders>
            <w:shd w:val="clear" w:color="000000" w:fill="FFFFFF"/>
            <w:tcMar>
              <w:left w:w="108" w:type="dxa"/>
              <w:right w:w="108" w:type="dxa"/>
            </w:tcMar>
          </w:tcPr>
          <w:p w14:paraId="78331BD7"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 xml:space="preserve">2,4-D Na Salt 80% WP @ 0.75 kg </w:t>
            </w:r>
            <w:proofErr w:type="spellStart"/>
            <w:r w:rsidRPr="00B71ECE">
              <w:rPr>
                <w:rFonts w:ascii="Times New Roman" w:hAnsi="Times New Roman" w:cs="Times New Roman"/>
                <w:i/>
                <w:sz w:val="24"/>
                <w:szCs w:val="24"/>
              </w:rPr>
              <w:t>a.i</w:t>
            </w:r>
            <w:r w:rsidRPr="00B71ECE">
              <w:rPr>
                <w:rFonts w:ascii="Times New Roman" w:hAnsi="Times New Roman" w:cs="Times New Roman"/>
                <w:sz w:val="24"/>
                <w:szCs w:val="24"/>
              </w:rPr>
              <w:t>.</w:t>
            </w:r>
            <w:proofErr w:type="spellEnd"/>
            <w:r w:rsidRPr="00B71ECE">
              <w:rPr>
                <w:rFonts w:ascii="Times New Roman" w:hAnsi="Times New Roman" w:cs="Times New Roman"/>
                <w:sz w:val="24"/>
                <w:szCs w:val="24"/>
              </w:rPr>
              <w:t xml:space="preserve"> ha</w:t>
            </w:r>
            <w:r w:rsidRPr="00B71ECE">
              <w:rPr>
                <w:rFonts w:ascii="Times New Roman" w:hAnsi="Times New Roman" w:cs="Times New Roman"/>
                <w:sz w:val="24"/>
                <w:szCs w:val="24"/>
                <w:vertAlign w:val="superscript"/>
              </w:rPr>
              <w:t>-1</w:t>
            </w:r>
            <w:r w:rsidRPr="00B71ECE">
              <w:rPr>
                <w:rFonts w:ascii="Times New Roman" w:hAnsi="Times New Roman" w:cs="Times New Roman"/>
                <w:sz w:val="24"/>
                <w:szCs w:val="24"/>
              </w:rPr>
              <w:t xml:space="preserve"> as post- emergence (PoE) at 20 DAS</w:t>
            </w:r>
          </w:p>
        </w:tc>
      </w:tr>
      <w:tr w:rsidR="009403B6" w:rsidRPr="00B71ECE" w14:paraId="3F7F9A41" w14:textId="77777777" w:rsidTr="00A46CBB">
        <w:trPr>
          <w:trHeight w:val="1"/>
        </w:trPr>
        <w:tc>
          <w:tcPr>
            <w:tcW w:w="868" w:type="dxa"/>
            <w:tcBorders>
              <w:right w:val="nil"/>
            </w:tcBorders>
            <w:shd w:val="clear" w:color="000000" w:fill="FFFFFF"/>
            <w:tcMar>
              <w:left w:w="108" w:type="dxa"/>
              <w:right w:w="108" w:type="dxa"/>
            </w:tcMar>
          </w:tcPr>
          <w:p w14:paraId="6CEBA13A"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5</w:t>
            </w:r>
          </w:p>
        </w:tc>
        <w:tc>
          <w:tcPr>
            <w:tcW w:w="7662" w:type="dxa"/>
            <w:tcBorders>
              <w:left w:val="nil"/>
            </w:tcBorders>
            <w:shd w:val="clear" w:color="000000" w:fill="FFFFFF"/>
            <w:tcMar>
              <w:left w:w="108" w:type="dxa"/>
              <w:right w:w="108" w:type="dxa"/>
            </w:tcMar>
          </w:tcPr>
          <w:p w14:paraId="26950F7B"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1</w:t>
            </w:r>
            <w:r w:rsidRPr="00B71ECE">
              <w:rPr>
                <w:rFonts w:ascii="Times New Roman" w:hAnsi="Times New Roman" w:cs="Times New Roman"/>
                <w:sz w:val="24"/>
                <w:szCs w:val="24"/>
              </w:rPr>
              <w:t xml:space="preserve"> + Atrazine 50% WP @ 0.50 kg </w:t>
            </w:r>
            <w:proofErr w:type="spellStart"/>
            <w:r w:rsidRPr="00B71ECE">
              <w:rPr>
                <w:rFonts w:ascii="Times New Roman" w:hAnsi="Times New Roman" w:cs="Times New Roman"/>
                <w:i/>
                <w:sz w:val="24"/>
                <w:szCs w:val="24"/>
              </w:rPr>
              <w:t>a.i.</w:t>
            </w:r>
            <w:proofErr w:type="spellEnd"/>
            <w:r w:rsidRPr="00B71ECE">
              <w:rPr>
                <w:rFonts w:ascii="Times New Roman" w:hAnsi="Times New Roman" w:cs="Times New Roman"/>
                <w:sz w:val="24"/>
                <w:szCs w:val="24"/>
              </w:rPr>
              <w:t xml:space="preserve"> ha</w:t>
            </w:r>
            <w:r w:rsidRPr="00B71ECE">
              <w:rPr>
                <w:rFonts w:ascii="Times New Roman" w:hAnsi="Times New Roman" w:cs="Times New Roman"/>
                <w:sz w:val="24"/>
                <w:szCs w:val="24"/>
                <w:vertAlign w:val="superscript"/>
              </w:rPr>
              <w:t>-1</w:t>
            </w:r>
            <w:r w:rsidRPr="00B71ECE">
              <w:rPr>
                <w:rFonts w:ascii="Times New Roman" w:hAnsi="Times New Roman" w:cs="Times New Roman"/>
                <w:sz w:val="24"/>
                <w:szCs w:val="24"/>
              </w:rPr>
              <w:t xml:space="preserve"> as (PoE)</w:t>
            </w:r>
          </w:p>
        </w:tc>
      </w:tr>
      <w:tr w:rsidR="009403B6" w:rsidRPr="00B71ECE" w14:paraId="7D437B30" w14:textId="77777777" w:rsidTr="00A46CBB">
        <w:trPr>
          <w:trHeight w:val="1"/>
        </w:trPr>
        <w:tc>
          <w:tcPr>
            <w:tcW w:w="868" w:type="dxa"/>
            <w:tcBorders>
              <w:right w:val="nil"/>
            </w:tcBorders>
            <w:shd w:val="clear" w:color="000000" w:fill="FFFFFF"/>
            <w:tcMar>
              <w:left w:w="108" w:type="dxa"/>
              <w:right w:w="108" w:type="dxa"/>
            </w:tcMar>
          </w:tcPr>
          <w:p w14:paraId="1D4D8EC6"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6</w:t>
            </w:r>
          </w:p>
        </w:tc>
        <w:tc>
          <w:tcPr>
            <w:tcW w:w="7662" w:type="dxa"/>
            <w:tcBorders>
              <w:left w:val="nil"/>
            </w:tcBorders>
            <w:shd w:val="clear" w:color="000000" w:fill="FFFFFF"/>
            <w:tcMar>
              <w:left w:w="108" w:type="dxa"/>
              <w:right w:w="108" w:type="dxa"/>
            </w:tcMar>
          </w:tcPr>
          <w:p w14:paraId="436B0FA1"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1</w:t>
            </w:r>
            <w:r w:rsidRPr="00B71ECE">
              <w:rPr>
                <w:rFonts w:ascii="Times New Roman" w:hAnsi="Times New Roman" w:cs="Times New Roman"/>
                <w:sz w:val="24"/>
                <w:szCs w:val="24"/>
              </w:rPr>
              <w:t xml:space="preserve"> + 2,4-D Na Salt 80% WP @ 0.75 kg </w:t>
            </w:r>
            <w:proofErr w:type="spellStart"/>
            <w:r w:rsidRPr="00B71ECE">
              <w:rPr>
                <w:rFonts w:ascii="Times New Roman" w:hAnsi="Times New Roman" w:cs="Times New Roman"/>
                <w:i/>
                <w:sz w:val="24"/>
                <w:szCs w:val="24"/>
              </w:rPr>
              <w:t>a.i.</w:t>
            </w:r>
            <w:proofErr w:type="spellEnd"/>
            <w:r w:rsidRPr="00B71ECE">
              <w:rPr>
                <w:rFonts w:ascii="Times New Roman" w:hAnsi="Times New Roman" w:cs="Times New Roman"/>
                <w:sz w:val="24"/>
                <w:szCs w:val="24"/>
              </w:rPr>
              <w:t xml:space="preserve"> ha</w:t>
            </w:r>
            <w:r w:rsidRPr="00B71ECE">
              <w:rPr>
                <w:rFonts w:ascii="Times New Roman" w:hAnsi="Times New Roman" w:cs="Times New Roman"/>
                <w:sz w:val="24"/>
                <w:szCs w:val="24"/>
                <w:vertAlign w:val="superscript"/>
              </w:rPr>
              <w:t>-1</w:t>
            </w:r>
            <w:r w:rsidRPr="00B71ECE">
              <w:rPr>
                <w:rFonts w:ascii="Times New Roman" w:hAnsi="Times New Roman" w:cs="Times New Roman"/>
                <w:sz w:val="24"/>
                <w:szCs w:val="24"/>
              </w:rPr>
              <w:t xml:space="preserve"> ha as PoE at 20 DAS</w:t>
            </w:r>
          </w:p>
        </w:tc>
      </w:tr>
      <w:tr w:rsidR="009403B6" w:rsidRPr="00B71ECE" w14:paraId="644CD39F" w14:textId="77777777" w:rsidTr="00A46CBB">
        <w:trPr>
          <w:trHeight w:val="1"/>
        </w:trPr>
        <w:tc>
          <w:tcPr>
            <w:tcW w:w="868" w:type="dxa"/>
            <w:tcBorders>
              <w:right w:val="nil"/>
            </w:tcBorders>
            <w:shd w:val="clear" w:color="000000" w:fill="FFFFFF"/>
            <w:tcMar>
              <w:left w:w="108" w:type="dxa"/>
              <w:right w:w="108" w:type="dxa"/>
            </w:tcMar>
          </w:tcPr>
          <w:p w14:paraId="20D9C944"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7</w:t>
            </w:r>
          </w:p>
        </w:tc>
        <w:tc>
          <w:tcPr>
            <w:tcW w:w="7662" w:type="dxa"/>
            <w:tcBorders>
              <w:left w:val="nil"/>
            </w:tcBorders>
            <w:shd w:val="clear" w:color="000000" w:fill="FFFFFF"/>
            <w:tcMar>
              <w:left w:w="108" w:type="dxa"/>
              <w:right w:w="108" w:type="dxa"/>
            </w:tcMar>
          </w:tcPr>
          <w:p w14:paraId="5E0AEDAC"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Intercropping with cowpea (1:1 additive series) without herbicides</w:t>
            </w:r>
          </w:p>
        </w:tc>
      </w:tr>
      <w:tr w:rsidR="009403B6" w:rsidRPr="00B71ECE" w14:paraId="6580A964" w14:textId="77777777" w:rsidTr="00A46CBB">
        <w:trPr>
          <w:trHeight w:val="912"/>
        </w:trPr>
        <w:tc>
          <w:tcPr>
            <w:tcW w:w="868" w:type="dxa"/>
            <w:tcBorders>
              <w:right w:val="nil"/>
            </w:tcBorders>
            <w:shd w:val="clear" w:color="000000" w:fill="FFFFFF"/>
            <w:tcMar>
              <w:left w:w="108" w:type="dxa"/>
              <w:right w:w="108" w:type="dxa"/>
            </w:tcMar>
          </w:tcPr>
          <w:p w14:paraId="725F696E"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8</w:t>
            </w:r>
          </w:p>
        </w:tc>
        <w:tc>
          <w:tcPr>
            <w:tcW w:w="7662" w:type="dxa"/>
            <w:tcBorders>
              <w:left w:val="nil"/>
            </w:tcBorders>
            <w:shd w:val="clear" w:color="000000" w:fill="FFFFFF"/>
            <w:tcMar>
              <w:left w:w="108" w:type="dxa"/>
              <w:right w:w="108" w:type="dxa"/>
            </w:tcMar>
          </w:tcPr>
          <w:p w14:paraId="515C85AA"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 xml:space="preserve">Intercropping with cowpea (1:1 additive series) + Pendimethalin 30% EC @ 0.75 kg </w:t>
            </w:r>
            <w:proofErr w:type="spellStart"/>
            <w:r w:rsidRPr="00B71ECE">
              <w:rPr>
                <w:rFonts w:ascii="Times New Roman" w:hAnsi="Times New Roman" w:cs="Times New Roman"/>
                <w:i/>
                <w:sz w:val="24"/>
                <w:szCs w:val="24"/>
              </w:rPr>
              <w:t>a.i</w:t>
            </w:r>
            <w:r w:rsidRPr="00B71ECE">
              <w:rPr>
                <w:rFonts w:ascii="Times New Roman" w:hAnsi="Times New Roman" w:cs="Times New Roman"/>
                <w:sz w:val="24"/>
                <w:szCs w:val="24"/>
              </w:rPr>
              <w:t>.</w:t>
            </w:r>
            <w:proofErr w:type="spellEnd"/>
            <w:r w:rsidRPr="00B71ECE">
              <w:rPr>
                <w:rFonts w:ascii="Times New Roman" w:hAnsi="Times New Roman" w:cs="Times New Roman"/>
                <w:sz w:val="24"/>
                <w:szCs w:val="24"/>
              </w:rPr>
              <w:t xml:space="preserve"> ha</w:t>
            </w:r>
            <w:r w:rsidRPr="00B71ECE">
              <w:rPr>
                <w:rFonts w:ascii="Times New Roman" w:hAnsi="Times New Roman" w:cs="Times New Roman"/>
                <w:sz w:val="24"/>
                <w:szCs w:val="24"/>
                <w:vertAlign w:val="superscript"/>
              </w:rPr>
              <w:t xml:space="preserve">-1 </w:t>
            </w:r>
            <w:r w:rsidRPr="00B71ECE">
              <w:rPr>
                <w:rFonts w:ascii="Times New Roman" w:hAnsi="Times New Roman" w:cs="Times New Roman"/>
                <w:sz w:val="24"/>
                <w:szCs w:val="24"/>
              </w:rPr>
              <w:t>as PE</w:t>
            </w:r>
          </w:p>
        </w:tc>
      </w:tr>
      <w:tr w:rsidR="009403B6" w:rsidRPr="00B71ECE" w14:paraId="7B770790" w14:textId="77777777" w:rsidTr="00A46CBB">
        <w:trPr>
          <w:trHeight w:val="1"/>
        </w:trPr>
        <w:tc>
          <w:tcPr>
            <w:tcW w:w="868" w:type="dxa"/>
            <w:tcBorders>
              <w:right w:val="nil"/>
            </w:tcBorders>
            <w:shd w:val="clear" w:color="000000" w:fill="FFFFFF"/>
            <w:tcMar>
              <w:left w:w="108" w:type="dxa"/>
              <w:right w:w="108" w:type="dxa"/>
            </w:tcMar>
          </w:tcPr>
          <w:p w14:paraId="13EF4AFB"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9</w:t>
            </w:r>
          </w:p>
        </w:tc>
        <w:tc>
          <w:tcPr>
            <w:tcW w:w="7662" w:type="dxa"/>
            <w:tcBorders>
              <w:left w:val="nil"/>
            </w:tcBorders>
            <w:shd w:val="clear" w:color="000000" w:fill="FFFFFF"/>
            <w:tcMar>
              <w:left w:w="108" w:type="dxa"/>
              <w:right w:w="108" w:type="dxa"/>
            </w:tcMar>
          </w:tcPr>
          <w:p w14:paraId="5E1C3701"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 xml:space="preserve">Intercropping with </w:t>
            </w:r>
            <w:proofErr w:type="spellStart"/>
            <w:r w:rsidRPr="00B71ECE">
              <w:rPr>
                <w:rFonts w:ascii="Times New Roman" w:hAnsi="Times New Roman" w:cs="Times New Roman"/>
                <w:sz w:val="24"/>
                <w:szCs w:val="24"/>
              </w:rPr>
              <w:t>blackgram</w:t>
            </w:r>
            <w:proofErr w:type="spellEnd"/>
            <w:r w:rsidRPr="00B71ECE">
              <w:rPr>
                <w:rFonts w:ascii="Times New Roman" w:hAnsi="Times New Roman" w:cs="Times New Roman"/>
                <w:sz w:val="24"/>
                <w:szCs w:val="24"/>
              </w:rPr>
              <w:t xml:space="preserve"> (1:1 additive series) without herbicides</w:t>
            </w:r>
          </w:p>
        </w:tc>
      </w:tr>
      <w:tr w:rsidR="009403B6" w:rsidRPr="00B71ECE" w14:paraId="4FCF54F1" w14:textId="77777777" w:rsidTr="00A46CBB">
        <w:trPr>
          <w:trHeight w:val="1"/>
        </w:trPr>
        <w:tc>
          <w:tcPr>
            <w:tcW w:w="868" w:type="dxa"/>
            <w:tcBorders>
              <w:right w:val="nil"/>
            </w:tcBorders>
            <w:shd w:val="clear" w:color="000000" w:fill="FFFFFF"/>
            <w:tcMar>
              <w:left w:w="108" w:type="dxa"/>
              <w:right w:w="108" w:type="dxa"/>
            </w:tcMar>
          </w:tcPr>
          <w:p w14:paraId="206A163A"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10</w:t>
            </w:r>
          </w:p>
        </w:tc>
        <w:tc>
          <w:tcPr>
            <w:tcW w:w="7662" w:type="dxa"/>
            <w:tcBorders>
              <w:left w:val="nil"/>
            </w:tcBorders>
            <w:shd w:val="clear" w:color="000000" w:fill="FFFFFF"/>
            <w:tcMar>
              <w:left w:w="108" w:type="dxa"/>
              <w:right w:w="108" w:type="dxa"/>
            </w:tcMar>
          </w:tcPr>
          <w:p w14:paraId="20E36CBD"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 xml:space="preserve">Intercropping with </w:t>
            </w:r>
            <w:proofErr w:type="spellStart"/>
            <w:r w:rsidRPr="00B71ECE">
              <w:rPr>
                <w:rFonts w:ascii="Times New Roman" w:hAnsi="Times New Roman" w:cs="Times New Roman"/>
                <w:sz w:val="24"/>
                <w:szCs w:val="24"/>
              </w:rPr>
              <w:t>blackgram</w:t>
            </w:r>
            <w:proofErr w:type="spellEnd"/>
            <w:r w:rsidRPr="00B71ECE">
              <w:rPr>
                <w:rFonts w:ascii="Times New Roman" w:hAnsi="Times New Roman" w:cs="Times New Roman"/>
                <w:sz w:val="24"/>
                <w:szCs w:val="24"/>
              </w:rPr>
              <w:t xml:space="preserve"> (1:1 additive series) + Pendimethalin 30% EC @ 0.75 kg </w:t>
            </w:r>
            <w:proofErr w:type="spellStart"/>
            <w:r w:rsidRPr="00B71ECE">
              <w:rPr>
                <w:rFonts w:ascii="Times New Roman" w:hAnsi="Times New Roman" w:cs="Times New Roman"/>
                <w:i/>
                <w:sz w:val="24"/>
                <w:szCs w:val="24"/>
              </w:rPr>
              <w:t>a.i.</w:t>
            </w:r>
            <w:proofErr w:type="spellEnd"/>
            <w:r w:rsidRPr="00B71ECE">
              <w:rPr>
                <w:rFonts w:ascii="Times New Roman" w:hAnsi="Times New Roman" w:cs="Times New Roman"/>
                <w:sz w:val="24"/>
                <w:szCs w:val="24"/>
              </w:rPr>
              <w:t xml:space="preserve"> ha</w:t>
            </w:r>
            <w:r w:rsidRPr="00B71ECE">
              <w:rPr>
                <w:rFonts w:ascii="Times New Roman" w:hAnsi="Times New Roman" w:cs="Times New Roman"/>
                <w:sz w:val="24"/>
                <w:szCs w:val="24"/>
                <w:vertAlign w:val="superscript"/>
              </w:rPr>
              <w:t>-1</w:t>
            </w:r>
            <w:r w:rsidRPr="00B71ECE">
              <w:rPr>
                <w:rFonts w:ascii="Times New Roman" w:hAnsi="Times New Roman" w:cs="Times New Roman"/>
                <w:sz w:val="24"/>
                <w:szCs w:val="24"/>
              </w:rPr>
              <w:t xml:space="preserve"> as PE</w:t>
            </w:r>
          </w:p>
        </w:tc>
      </w:tr>
      <w:tr w:rsidR="009403B6" w:rsidRPr="00B71ECE" w14:paraId="3390812E" w14:textId="77777777" w:rsidTr="00A46CBB">
        <w:trPr>
          <w:trHeight w:val="1"/>
        </w:trPr>
        <w:tc>
          <w:tcPr>
            <w:tcW w:w="868" w:type="dxa"/>
            <w:tcBorders>
              <w:bottom w:val="nil"/>
              <w:right w:val="nil"/>
            </w:tcBorders>
            <w:shd w:val="clear" w:color="000000" w:fill="FFFFFF"/>
            <w:tcMar>
              <w:left w:w="108" w:type="dxa"/>
              <w:right w:w="108" w:type="dxa"/>
            </w:tcMar>
          </w:tcPr>
          <w:p w14:paraId="5FFA89ED"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11</w:t>
            </w:r>
          </w:p>
        </w:tc>
        <w:tc>
          <w:tcPr>
            <w:tcW w:w="7662" w:type="dxa"/>
            <w:tcBorders>
              <w:left w:val="nil"/>
              <w:bottom w:val="nil"/>
            </w:tcBorders>
            <w:shd w:val="clear" w:color="000000" w:fill="FFFFFF"/>
            <w:tcMar>
              <w:left w:w="108" w:type="dxa"/>
              <w:right w:w="108" w:type="dxa"/>
            </w:tcMar>
          </w:tcPr>
          <w:p w14:paraId="298A23EA"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Weed free (Two hand weeding at 15 and 35 DAS)</w:t>
            </w:r>
          </w:p>
        </w:tc>
      </w:tr>
      <w:tr w:rsidR="009403B6" w:rsidRPr="00B71ECE" w14:paraId="4A54546F" w14:textId="77777777" w:rsidTr="00A46CBB">
        <w:trPr>
          <w:trHeight w:val="1"/>
        </w:trPr>
        <w:tc>
          <w:tcPr>
            <w:tcW w:w="868" w:type="dxa"/>
            <w:tcBorders>
              <w:bottom w:val="single" w:sz="4" w:space="0" w:color="auto"/>
              <w:right w:val="nil"/>
            </w:tcBorders>
            <w:shd w:val="clear" w:color="000000" w:fill="FFFFFF"/>
            <w:tcMar>
              <w:left w:w="108" w:type="dxa"/>
              <w:right w:w="108" w:type="dxa"/>
            </w:tcMar>
          </w:tcPr>
          <w:p w14:paraId="49B88BE4"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w:t>
            </w:r>
            <w:r w:rsidRPr="00B71ECE">
              <w:rPr>
                <w:rFonts w:ascii="Times New Roman" w:hAnsi="Times New Roman" w:cs="Times New Roman"/>
                <w:sz w:val="24"/>
                <w:szCs w:val="24"/>
                <w:vertAlign w:val="subscript"/>
              </w:rPr>
              <w:t>12</w:t>
            </w:r>
          </w:p>
        </w:tc>
        <w:tc>
          <w:tcPr>
            <w:tcW w:w="7662" w:type="dxa"/>
            <w:tcBorders>
              <w:left w:val="nil"/>
              <w:bottom w:val="single" w:sz="4" w:space="0" w:color="auto"/>
            </w:tcBorders>
            <w:shd w:val="clear" w:color="000000" w:fill="FFFFFF"/>
            <w:tcMar>
              <w:left w:w="108" w:type="dxa"/>
              <w:right w:w="108" w:type="dxa"/>
            </w:tcMar>
          </w:tcPr>
          <w:p w14:paraId="47DB7CEC" w14:textId="77777777" w:rsidR="009403B6" w:rsidRPr="00B71ECE" w:rsidRDefault="009403B6"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Weedy check</w:t>
            </w:r>
          </w:p>
        </w:tc>
      </w:tr>
    </w:tbl>
    <w:p w14:paraId="2037F2FA" w14:textId="77777777" w:rsidR="006F74F6" w:rsidRPr="00B71ECE" w:rsidRDefault="006F74F6" w:rsidP="006B2B42">
      <w:pPr>
        <w:tabs>
          <w:tab w:val="left" w:pos="142"/>
        </w:tabs>
        <w:spacing w:line="360" w:lineRule="auto"/>
        <w:jc w:val="both"/>
        <w:rPr>
          <w:rFonts w:ascii="Times New Roman" w:hAnsi="Times New Roman" w:cs="Times New Roman"/>
          <w:sz w:val="24"/>
          <w:szCs w:val="24"/>
        </w:rPr>
      </w:pPr>
    </w:p>
    <w:p w14:paraId="1D7133B2" w14:textId="77777777" w:rsidR="00DF7CF1" w:rsidRPr="00B71ECE" w:rsidRDefault="003049A2" w:rsidP="006B2B42">
      <w:pPr>
        <w:tabs>
          <w:tab w:val="left" w:pos="142"/>
        </w:tabs>
        <w:spacing w:line="360" w:lineRule="auto"/>
        <w:jc w:val="both"/>
        <w:rPr>
          <w:rFonts w:ascii="Times New Roman" w:hAnsi="Times New Roman" w:cs="Times New Roman"/>
          <w:b/>
          <w:sz w:val="24"/>
          <w:szCs w:val="24"/>
        </w:rPr>
      </w:pPr>
      <w:r w:rsidRPr="00B71ECE">
        <w:rPr>
          <w:rFonts w:ascii="Times New Roman" w:hAnsi="Times New Roman" w:cs="Times New Roman"/>
          <w:b/>
          <w:sz w:val="24"/>
          <w:szCs w:val="24"/>
        </w:rPr>
        <w:t>2.</w:t>
      </w:r>
      <w:r w:rsidR="00070E0F">
        <w:rPr>
          <w:rFonts w:ascii="Times New Roman" w:hAnsi="Times New Roman" w:cs="Times New Roman"/>
          <w:b/>
          <w:sz w:val="24"/>
          <w:szCs w:val="24"/>
        </w:rPr>
        <w:t>4</w:t>
      </w:r>
      <w:r w:rsidRPr="00B71ECE">
        <w:rPr>
          <w:rFonts w:ascii="Times New Roman" w:hAnsi="Times New Roman" w:cs="Times New Roman"/>
          <w:b/>
          <w:sz w:val="24"/>
          <w:szCs w:val="24"/>
        </w:rPr>
        <w:t xml:space="preserve"> C</w:t>
      </w:r>
      <w:r w:rsidR="00DF7CF1" w:rsidRPr="00B71ECE">
        <w:rPr>
          <w:rFonts w:ascii="Times New Roman" w:hAnsi="Times New Roman" w:cs="Times New Roman"/>
          <w:b/>
          <w:sz w:val="24"/>
          <w:szCs w:val="24"/>
        </w:rPr>
        <w:t xml:space="preserve">rop </w:t>
      </w:r>
      <w:r w:rsidRPr="00B71ECE">
        <w:rPr>
          <w:rFonts w:ascii="Times New Roman" w:hAnsi="Times New Roman" w:cs="Times New Roman"/>
          <w:b/>
          <w:sz w:val="24"/>
          <w:szCs w:val="24"/>
        </w:rPr>
        <w:t>Varieties</w:t>
      </w:r>
    </w:p>
    <w:p w14:paraId="1AD8E319" w14:textId="77777777" w:rsidR="003F3D8B" w:rsidRPr="00B71ECE" w:rsidRDefault="003F3D8B" w:rsidP="006B2B42">
      <w:pPr>
        <w:tabs>
          <w:tab w:val="left" w:pos="142"/>
        </w:tabs>
        <w:spacing w:after="0" w:line="360" w:lineRule="auto"/>
        <w:jc w:val="both"/>
        <w:rPr>
          <w:rFonts w:ascii="Times New Roman" w:hAnsi="Times New Roman" w:cs="Times New Roman"/>
          <w:b/>
          <w:sz w:val="24"/>
          <w:szCs w:val="24"/>
        </w:rPr>
      </w:pPr>
      <w:r w:rsidRPr="00B71ECE">
        <w:rPr>
          <w:rFonts w:ascii="Times New Roman" w:hAnsi="Times New Roman" w:cs="Times New Roman"/>
          <w:b/>
          <w:color w:val="000000"/>
          <w:sz w:val="24"/>
          <w:szCs w:val="24"/>
          <w:lang w:val="en-GB"/>
        </w:rPr>
        <w:lastRenderedPageBreak/>
        <w:t xml:space="preserve">CSV 32F: </w:t>
      </w:r>
      <w:r w:rsidRPr="00B71ECE">
        <w:rPr>
          <w:rFonts w:ascii="Times New Roman" w:hAnsi="Times New Roman" w:cs="Times New Roman"/>
          <w:color w:val="000000"/>
          <w:sz w:val="24"/>
          <w:szCs w:val="24"/>
        </w:rPr>
        <w:t xml:space="preserve">Released in 2016 by the </w:t>
      </w:r>
      <w:proofErr w:type="spellStart"/>
      <w:r w:rsidRPr="00B71ECE">
        <w:rPr>
          <w:rFonts w:ascii="Times New Roman" w:hAnsi="Times New Roman" w:cs="Times New Roman"/>
          <w:color w:val="000000"/>
          <w:sz w:val="24"/>
          <w:szCs w:val="24"/>
        </w:rPr>
        <w:t>Rahuri</w:t>
      </w:r>
      <w:proofErr w:type="spellEnd"/>
      <w:r w:rsidRPr="00B71ECE">
        <w:rPr>
          <w:rFonts w:ascii="Times New Roman" w:hAnsi="Times New Roman" w:cs="Times New Roman"/>
          <w:color w:val="000000"/>
          <w:sz w:val="24"/>
          <w:szCs w:val="24"/>
        </w:rPr>
        <w:t xml:space="preserve"> centre under AICRP on sorghum, this single-cut forage variety has proven to be well-suited for the growing conditions in Rajasthan. It offers impressive productivity, yielding around 350–375 quintals per hectare of green fodder and 120–125 quintals of dry matter. With a crude protein content of about 7.33%, it also ensures good nutritional value for livestock. Additionally, this variety stands out for its resilience, showing strong resistance to common pests and diseases.</w:t>
      </w:r>
    </w:p>
    <w:p w14:paraId="0D8CE8BD" w14:textId="77777777" w:rsidR="000719A0" w:rsidRPr="00B71ECE" w:rsidRDefault="000719A0" w:rsidP="006B2B42">
      <w:pPr>
        <w:tabs>
          <w:tab w:val="left" w:pos="142"/>
        </w:tabs>
        <w:spacing w:after="0" w:line="360" w:lineRule="auto"/>
        <w:jc w:val="both"/>
        <w:rPr>
          <w:rFonts w:ascii="Times New Roman" w:hAnsi="Times New Roman" w:cs="Times New Roman"/>
          <w:color w:val="000000"/>
          <w:sz w:val="24"/>
          <w:szCs w:val="24"/>
          <w:lang w:val="en-GB" w:eastAsia="ja-JP"/>
        </w:rPr>
      </w:pPr>
      <w:r w:rsidRPr="00B71ECE">
        <w:rPr>
          <w:rFonts w:ascii="Times New Roman" w:hAnsi="Times New Roman" w:cs="Times New Roman"/>
          <w:b/>
          <w:sz w:val="24"/>
          <w:szCs w:val="24"/>
        </w:rPr>
        <w:t xml:space="preserve">Dollar </w:t>
      </w:r>
      <w:r w:rsidR="00505F7E" w:rsidRPr="00B71ECE">
        <w:rPr>
          <w:rFonts w:ascii="Times New Roman" w:hAnsi="Times New Roman" w:cs="Times New Roman"/>
          <w:sz w:val="24"/>
          <w:szCs w:val="24"/>
        </w:rPr>
        <w:t xml:space="preserve">and </w:t>
      </w:r>
      <w:r w:rsidR="00505F7E" w:rsidRPr="00B71ECE">
        <w:rPr>
          <w:rFonts w:ascii="Times New Roman" w:hAnsi="Times New Roman" w:cs="Times New Roman"/>
          <w:b/>
          <w:sz w:val="24"/>
          <w:szCs w:val="24"/>
        </w:rPr>
        <w:t>Kota</w:t>
      </w:r>
      <w:r w:rsidRPr="00B71ECE">
        <w:rPr>
          <w:rFonts w:ascii="Times New Roman" w:hAnsi="Times New Roman" w:cs="Times New Roman"/>
          <w:b/>
          <w:sz w:val="24"/>
          <w:szCs w:val="24"/>
        </w:rPr>
        <w:t xml:space="preserve"> Urd-3 </w:t>
      </w:r>
      <w:r w:rsidRPr="00B71ECE">
        <w:rPr>
          <w:rFonts w:ascii="Times New Roman" w:hAnsi="Times New Roman" w:cs="Times New Roman"/>
          <w:color w:val="000000"/>
          <w:sz w:val="24"/>
          <w:szCs w:val="24"/>
          <w:lang w:val="en-GB" w:eastAsia="ja-JP"/>
        </w:rPr>
        <w:t xml:space="preserve">varieties of cowpea and black </w:t>
      </w:r>
      <w:r w:rsidR="009C158D" w:rsidRPr="00B71ECE">
        <w:rPr>
          <w:rFonts w:ascii="Times New Roman" w:hAnsi="Times New Roman" w:cs="Times New Roman"/>
          <w:color w:val="000000"/>
          <w:sz w:val="24"/>
          <w:szCs w:val="24"/>
          <w:lang w:val="en-GB" w:eastAsia="ja-JP"/>
        </w:rPr>
        <w:t>gram were</w:t>
      </w:r>
      <w:r w:rsidR="00D30C05" w:rsidRPr="00B71ECE">
        <w:rPr>
          <w:rFonts w:ascii="Times New Roman" w:hAnsi="Times New Roman" w:cs="Times New Roman"/>
          <w:color w:val="000000"/>
          <w:sz w:val="24"/>
          <w:szCs w:val="24"/>
          <w:lang w:val="en-GB" w:eastAsia="ja-JP"/>
        </w:rPr>
        <w:t xml:space="preserve"> </w:t>
      </w:r>
      <w:r w:rsidRPr="00B71ECE">
        <w:rPr>
          <w:rFonts w:ascii="Times New Roman" w:hAnsi="Times New Roman" w:cs="Times New Roman"/>
          <w:color w:val="000000"/>
          <w:sz w:val="24"/>
          <w:szCs w:val="24"/>
          <w:lang w:val="en-GB" w:eastAsia="ja-JP"/>
        </w:rPr>
        <w:t>used for intercropping</w:t>
      </w:r>
      <w:r w:rsidR="00D30C05" w:rsidRPr="00B71ECE">
        <w:rPr>
          <w:rFonts w:ascii="Times New Roman" w:hAnsi="Times New Roman" w:cs="Times New Roman"/>
          <w:color w:val="000000"/>
          <w:sz w:val="24"/>
          <w:szCs w:val="24"/>
          <w:lang w:val="en-GB" w:eastAsia="ja-JP"/>
        </w:rPr>
        <w:t>.</w:t>
      </w:r>
    </w:p>
    <w:p w14:paraId="71C9460A" w14:textId="77777777" w:rsidR="00AB648B" w:rsidRPr="00B71ECE" w:rsidRDefault="00AB648B" w:rsidP="006B2B42">
      <w:pPr>
        <w:tabs>
          <w:tab w:val="left" w:pos="142"/>
        </w:tabs>
        <w:spacing w:after="0" w:line="360" w:lineRule="auto"/>
        <w:jc w:val="both"/>
        <w:rPr>
          <w:rFonts w:ascii="Times New Roman" w:hAnsi="Times New Roman" w:cs="Times New Roman"/>
          <w:color w:val="000000"/>
          <w:sz w:val="24"/>
          <w:szCs w:val="24"/>
          <w:lang w:val="en-GB" w:eastAsia="ja-JP"/>
        </w:rPr>
      </w:pPr>
    </w:p>
    <w:p w14:paraId="5190F45A" w14:textId="77777777" w:rsidR="00D30C05" w:rsidRPr="00B71ECE" w:rsidRDefault="00070E0F" w:rsidP="006B2B42">
      <w:pPr>
        <w:tabs>
          <w:tab w:val="left" w:pos="142"/>
        </w:tabs>
        <w:spacing w:after="0" w:line="360" w:lineRule="auto"/>
        <w:jc w:val="both"/>
        <w:rPr>
          <w:rFonts w:ascii="Times New Roman" w:hAnsi="Times New Roman" w:cs="Times New Roman"/>
          <w:b/>
          <w:sz w:val="24"/>
          <w:szCs w:val="24"/>
        </w:rPr>
      </w:pPr>
      <w:r>
        <w:rPr>
          <w:rFonts w:ascii="Times New Roman" w:hAnsi="Times New Roman" w:cs="Times New Roman"/>
          <w:b/>
          <w:color w:val="000000"/>
          <w:sz w:val="24"/>
          <w:szCs w:val="24"/>
          <w:lang w:val="en-GB" w:eastAsia="ja-JP"/>
        </w:rPr>
        <w:t>2.5</w:t>
      </w:r>
      <w:r w:rsidR="00AB648B" w:rsidRPr="00B71ECE">
        <w:rPr>
          <w:rFonts w:ascii="Times New Roman" w:hAnsi="Times New Roman" w:cs="Times New Roman"/>
          <w:b/>
          <w:color w:val="000000"/>
          <w:sz w:val="24"/>
          <w:szCs w:val="24"/>
          <w:lang w:val="en-GB" w:eastAsia="ja-JP"/>
        </w:rPr>
        <w:t xml:space="preserve"> Agronomic practices </w:t>
      </w:r>
    </w:p>
    <w:p w14:paraId="40FB1150" w14:textId="77777777" w:rsidR="004A7A3A" w:rsidRDefault="005D0F3F" w:rsidP="006B2B42">
      <w:pPr>
        <w:tabs>
          <w:tab w:val="left" w:pos="142"/>
        </w:tabs>
        <w:spacing w:after="0" w:line="360" w:lineRule="auto"/>
        <w:jc w:val="both"/>
        <w:rPr>
          <w:rFonts w:ascii="Times New Roman" w:hAnsi="Times New Roman" w:cs="Times New Roman"/>
          <w:sz w:val="24"/>
          <w:szCs w:val="24"/>
        </w:rPr>
      </w:pPr>
      <w:r w:rsidRPr="00B71ECE">
        <w:rPr>
          <w:rFonts w:ascii="Times New Roman" w:hAnsi="Times New Roman" w:cs="Times New Roman"/>
          <w:sz w:val="24"/>
          <w:szCs w:val="24"/>
        </w:rPr>
        <w:t>The field was initially prepared using a disc plough attached to a tractor and kept fallow during the summer months to enhance soil aeration and moisture conservation. With the onset of the monsoon, the land was further refined through cross-harrowing followed by planking, ensuring a well-</w:t>
      </w:r>
      <w:proofErr w:type="spellStart"/>
      <w:r w:rsidRPr="00B71ECE">
        <w:rPr>
          <w:rFonts w:ascii="Times New Roman" w:hAnsi="Times New Roman" w:cs="Times New Roman"/>
          <w:sz w:val="24"/>
          <w:szCs w:val="24"/>
        </w:rPr>
        <w:t>leveled</w:t>
      </w:r>
      <w:proofErr w:type="spellEnd"/>
      <w:r w:rsidRPr="00B71ECE">
        <w:rPr>
          <w:rFonts w:ascii="Times New Roman" w:hAnsi="Times New Roman" w:cs="Times New Roman"/>
          <w:sz w:val="24"/>
          <w:szCs w:val="24"/>
        </w:rPr>
        <w:t xml:space="preserve"> and friable seedbed. Fertilization was carried out based on the standard recommendation for sorghum, applying 80 kg nitrogen, 40 kg phosphorus (P₂O₅), and 40 kg potassium (K₂O) per hectare. Additional phosphorus was supplemented to meet the nutritional d</w:t>
      </w:r>
      <w:r w:rsidR="00826A19" w:rsidRPr="00B71ECE">
        <w:rPr>
          <w:rFonts w:ascii="Times New Roman" w:hAnsi="Times New Roman" w:cs="Times New Roman"/>
          <w:sz w:val="24"/>
          <w:szCs w:val="24"/>
        </w:rPr>
        <w:t xml:space="preserve">emands of the legume intercrops. Along with sorghum variety the cowpea variety 'Dollar' and black gram variety 'Kota Urd-3' were intercropped in a 1:1 additive series, maintaining an intra-row spacing of 5 cm to ensure optimal plant density. Herbicide treatments, both pre- and post-emergence, were administered using a manually operated foot sprayer equipped with a flat fan nozzle, delivering spray solutions at a volume rate of 500 </w:t>
      </w:r>
      <w:proofErr w:type="spellStart"/>
      <w:r w:rsidR="00826A19" w:rsidRPr="00B71ECE">
        <w:rPr>
          <w:rFonts w:ascii="Times New Roman" w:hAnsi="Times New Roman" w:cs="Times New Roman"/>
          <w:sz w:val="24"/>
          <w:szCs w:val="24"/>
        </w:rPr>
        <w:t>liters</w:t>
      </w:r>
      <w:proofErr w:type="spellEnd"/>
      <w:r w:rsidR="00826A19" w:rsidRPr="00B71ECE">
        <w:rPr>
          <w:rFonts w:ascii="Times New Roman" w:hAnsi="Times New Roman" w:cs="Times New Roman"/>
          <w:sz w:val="24"/>
          <w:szCs w:val="24"/>
        </w:rPr>
        <w:t xml:space="preserve"> per hectare. In manually weeded plots, weeds were physically removed at 15 and 35 days after sowing (DAS). For insect-pest management, the crop was treated twice with a systemic insecticide—Lambda-cyhalothrin 5% EC. Harvesting was conducted at 107 DAS, with buffer zones accounted for by removing border rows and the initial 0.5 meters from all sides of the plot</w:t>
      </w:r>
    </w:p>
    <w:p w14:paraId="7AD4041F" w14:textId="77777777" w:rsidR="006B2B42" w:rsidRPr="00B71ECE" w:rsidRDefault="006B2B42" w:rsidP="006B2B42">
      <w:pPr>
        <w:tabs>
          <w:tab w:val="left" w:pos="142"/>
        </w:tabs>
        <w:spacing w:after="0" w:line="360" w:lineRule="auto"/>
        <w:jc w:val="both"/>
        <w:rPr>
          <w:rFonts w:ascii="Times New Roman" w:hAnsi="Times New Roman" w:cs="Times New Roman"/>
          <w:b/>
          <w:sz w:val="24"/>
          <w:szCs w:val="24"/>
        </w:rPr>
      </w:pPr>
    </w:p>
    <w:p w14:paraId="32AF2634" w14:textId="77777777" w:rsidR="002E6B59" w:rsidRPr="00B71ECE" w:rsidRDefault="002E6B59" w:rsidP="006B2B42">
      <w:pPr>
        <w:tabs>
          <w:tab w:val="left" w:pos="142"/>
        </w:tabs>
        <w:spacing w:after="0" w:line="360" w:lineRule="auto"/>
        <w:jc w:val="both"/>
        <w:rPr>
          <w:rFonts w:ascii="Times New Roman" w:hAnsi="Times New Roman" w:cs="Times New Roman"/>
          <w:b/>
          <w:sz w:val="24"/>
          <w:szCs w:val="24"/>
        </w:rPr>
      </w:pPr>
      <w:r w:rsidRPr="00B71ECE">
        <w:rPr>
          <w:rFonts w:ascii="Times New Roman" w:hAnsi="Times New Roman" w:cs="Times New Roman"/>
          <w:b/>
          <w:sz w:val="24"/>
          <w:szCs w:val="24"/>
        </w:rPr>
        <w:t>2.</w:t>
      </w:r>
      <w:r w:rsidR="00070E0F">
        <w:rPr>
          <w:rFonts w:ascii="Times New Roman" w:hAnsi="Times New Roman" w:cs="Times New Roman"/>
          <w:b/>
          <w:sz w:val="24"/>
          <w:szCs w:val="24"/>
        </w:rPr>
        <w:t>6</w:t>
      </w:r>
      <w:r w:rsidRPr="00B71ECE">
        <w:rPr>
          <w:rFonts w:ascii="Times New Roman" w:hAnsi="Times New Roman" w:cs="Times New Roman"/>
          <w:b/>
          <w:sz w:val="24"/>
          <w:szCs w:val="24"/>
        </w:rPr>
        <w:t xml:space="preserve"> Observations </w:t>
      </w:r>
      <w:r w:rsidR="00070E0F">
        <w:rPr>
          <w:rFonts w:ascii="Times New Roman" w:hAnsi="Times New Roman" w:cs="Times New Roman"/>
          <w:b/>
          <w:sz w:val="24"/>
          <w:szCs w:val="24"/>
        </w:rPr>
        <w:t>to be r</w:t>
      </w:r>
      <w:r w:rsidRPr="00B71ECE">
        <w:rPr>
          <w:rFonts w:ascii="Times New Roman" w:hAnsi="Times New Roman" w:cs="Times New Roman"/>
          <w:b/>
          <w:sz w:val="24"/>
          <w:szCs w:val="24"/>
        </w:rPr>
        <w:t>ecorded</w:t>
      </w:r>
    </w:p>
    <w:p w14:paraId="045965FF" w14:textId="77777777" w:rsidR="001020BF" w:rsidRPr="00B71ECE" w:rsidRDefault="001020BF" w:rsidP="006B2B42">
      <w:pPr>
        <w:tabs>
          <w:tab w:val="left" w:pos="142"/>
        </w:tabs>
        <w:spacing w:line="360" w:lineRule="auto"/>
        <w:contextualSpacing/>
        <w:jc w:val="both"/>
        <w:rPr>
          <w:rFonts w:ascii="Times New Roman" w:eastAsia="Times New Roman" w:hAnsi="Times New Roman" w:cs="Times New Roman"/>
          <w:b/>
          <w:color w:val="000000"/>
          <w:sz w:val="24"/>
          <w:szCs w:val="24"/>
          <w:lang w:val="en-GB" w:eastAsia="ja-JP"/>
        </w:rPr>
      </w:pPr>
      <w:r w:rsidRPr="00B71ECE">
        <w:rPr>
          <w:rFonts w:ascii="Times New Roman" w:hAnsi="Times New Roman" w:cs="Times New Roman"/>
          <w:color w:val="000000"/>
          <w:sz w:val="24"/>
          <w:szCs w:val="24"/>
          <w:lang w:val="en-GB" w:eastAsia="ja-JP"/>
        </w:rPr>
        <w:t>The number of plants metre</w:t>
      </w:r>
      <w:r w:rsidRPr="00B71ECE">
        <w:rPr>
          <w:rFonts w:ascii="Times New Roman" w:hAnsi="Times New Roman" w:cs="Times New Roman"/>
          <w:color w:val="000000"/>
          <w:sz w:val="24"/>
          <w:szCs w:val="24"/>
          <w:vertAlign w:val="superscript"/>
          <w:lang w:val="en-GB" w:eastAsia="ja-JP"/>
        </w:rPr>
        <w:t>-1</w:t>
      </w:r>
      <w:r w:rsidRPr="00B71ECE">
        <w:rPr>
          <w:rFonts w:ascii="Times New Roman" w:hAnsi="Times New Roman" w:cs="Times New Roman"/>
          <w:color w:val="000000"/>
          <w:sz w:val="24"/>
          <w:szCs w:val="24"/>
          <w:lang w:val="en-GB" w:eastAsia="ja-JP"/>
        </w:rPr>
        <w:t xml:space="preserve"> row length were counted at 15 DAS and at harvest in five different rows of each net plot area, then averaged and was converted into plants m</w:t>
      </w:r>
      <w:r w:rsidRPr="00B71ECE">
        <w:rPr>
          <w:rFonts w:ascii="Times New Roman" w:hAnsi="Times New Roman" w:cs="Times New Roman"/>
          <w:color w:val="000000"/>
          <w:sz w:val="24"/>
          <w:szCs w:val="24"/>
          <w:vertAlign w:val="superscript"/>
          <w:lang w:val="en-GB" w:eastAsia="ja-JP"/>
        </w:rPr>
        <w:t>-2</w:t>
      </w:r>
      <w:r w:rsidRPr="00B71ECE">
        <w:rPr>
          <w:rFonts w:ascii="Times New Roman" w:hAnsi="Times New Roman" w:cs="Times New Roman"/>
          <w:color w:val="000000"/>
          <w:sz w:val="24"/>
          <w:szCs w:val="24"/>
          <w:lang w:val="en-GB" w:eastAsia="ja-JP"/>
        </w:rPr>
        <w:t xml:space="preserve">. Height of five plants were recorded from ground level to the top of the main shoot from each plot at </w:t>
      </w:r>
      <w:r w:rsidRPr="00B71ECE">
        <w:rPr>
          <w:rFonts w:ascii="Times New Roman" w:hAnsi="Times New Roman" w:cs="Times New Roman"/>
          <w:color w:val="000000"/>
          <w:sz w:val="24"/>
          <w:szCs w:val="24"/>
        </w:rPr>
        <w:t xml:space="preserve">25, 50 DAS and at harvest </w:t>
      </w:r>
      <w:r w:rsidRPr="00B71ECE">
        <w:rPr>
          <w:rFonts w:ascii="Times New Roman" w:hAnsi="Times New Roman" w:cs="Times New Roman"/>
          <w:color w:val="000000"/>
          <w:sz w:val="24"/>
          <w:szCs w:val="24"/>
          <w:lang w:val="en-GB" w:eastAsia="ja-JP"/>
        </w:rPr>
        <w:t>of crop. The mean plant height (cm) was worked out for each treatment.</w:t>
      </w:r>
      <w:r w:rsidRPr="00B71ECE">
        <w:rPr>
          <w:rFonts w:ascii="Times New Roman" w:eastAsia="Times New Roman" w:hAnsi="Times New Roman" w:cs="Times New Roman"/>
          <w:b/>
          <w:color w:val="000000"/>
          <w:sz w:val="24"/>
          <w:szCs w:val="24"/>
          <w:lang w:val="en-GB" w:eastAsia="ja-JP"/>
        </w:rPr>
        <w:t xml:space="preserve"> </w:t>
      </w:r>
      <w:r w:rsidRPr="00B71ECE">
        <w:rPr>
          <w:rFonts w:ascii="Times New Roman" w:eastAsia="Times New Roman" w:hAnsi="Times New Roman" w:cs="Times New Roman"/>
          <w:color w:val="000000"/>
          <w:sz w:val="24"/>
          <w:szCs w:val="24"/>
          <w:lang w:val="en-GB" w:eastAsia="ja-JP"/>
        </w:rPr>
        <w:t xml:space="preserve">Leaf </w:t>
      </w:r>
      <w:r w:rsidR="00B71ECE" w:rsidRPr="00B71ECE">
        <w:rPr>
          <w:rFonts w:ascii="Times New Roman" w:eastAsia="Times New Roman" w:hAnsi="Times New Roman" w:cs="Times New Roman"/>
          <w:color w:val="000000"/>
          <w:sz w:val="24"/>
          <w:szCs w:val="24"/>
          <w:lang w:val="en-GB" w:eastAsia="ja-JP"/>
        </w:rPr>
        <w:t>area index</w:t>
      </w:r>
      <w:r w:rsidRPr="00B71ECE">
        <w:rPr>
          <w:rFonts w:ascii="Times New Roman" w:eastAsia="Times New Roman" w:hAnsi="Times New Roman" w:cs="Times New Roman"/>
          <w:color w:val="000000"/>
          <w:sz w:val="24"/>
          <w:szCs w:val="24"/>
          <w:lang w:val="en-GB" w:eastAsia="ja-JP"/>
        </w:rPr>
        <w:t xml:space="preserve"> was</w:t>
      </w:r>
      <w:r w:rsidRPr="00B71ECE">
        <w:rPr>
          <w:rFonts w:ascii="Times New Roman" w:eastAsia="Times New Roman" w:hAnsi="Times New Roman" w:cs="Times New Roman"/>
          <w:b/>
          <w:color w:val="000000"/>
          <w:sz w:val="24"/>
          <w:szCs w:val="24"/>
          <w:lang w:val="en-GB" w:eastAsia="ja-JP"/>
        </w:rPr>
        <w:t xml:space="preserve"> </w:t>
      </w:r>
      <w:proofErr w:type="gramStart"/>
      <w:r w:rsidRPr="00B71ECE">
        <w:rPr>
          <w:rFonts w:ascii="Times New Roman" w:eastAsia="Times New Roman" w:hAnsi="Times New Roman" w:cs="Times New Roman"/>
          <w:color w:val="000000"/>
          <w:sz w:val="24"/>
          <w:szCs w:val="24"/>
          <w:lang w:val="en-GB" w:eastAsia="ja-JP"/>
        </w:rPr>
        <w:t xml:space="preserve">calculated  </w:t>
      </w:r>
      <w:r w:rsidRPr="00B71ECE">
        <w:rPr>
          <w:rFonts w:ascii="Times New Roman" w:hAnsi="Times New Roman" w:cs="Times New Roman"/>
          <w:color w:val="000000"/>
          <w:sz w:val="24"/>
          <w:szCs w:val="24"/>
          <w:lang w:val="en-GB" w:eastAsia="ja-JP"/>
        </w:rPr>
        <w:t>at</w:t>
      </w:r>
      <w:proofErr w:type="gramEnd"/>
      <w:r w:rsidRPr="00B71ECE">
        <w:rPr>
          <w:rFonts w:ascii="Times New Roman" w:hAnsi="Times New Roman" w:cs="Times New Roman"/>
          <w:color w:val="000000"/>
          <w:sz w:val="24"/>
          <w:szCs w:val="24"/>
          <w:lang w:val="en-GB" w:eastAsia="ja-JP"/>
        </w:rPr>
        <w:t xml:space="preserve"> the time of flowering in which leaves from five tagged plants </w:t>
      </w:r>
      <w:r w:rsidRPr="00B71ECE">
        <w:rPr>
          <w:rFonts w:ascii="Times New Roman" w:hAnsi="Times New Roman" w:cs="Times New Roman"/>
          <w:color w:val="000000"/>
          <w:sz w:val="24"/>
          <w:szCs w:val="24"/>
          <w:lang w:val="en-GB" w:eastAsia="ja-JP"/>
        </w:rPr>
        <w:lastRenderedPageBreak/>
        <w:t xml:space="preserve">were detached from the stem and leaf area is measured using </w:t>
      </w:r>
      <w:proofErr w:type="spellStart"/>
      <w:r w:rsidRPr="00B71ECE">
        <w:rPr>
          <w:rFonts w:ascii="Times New Roman" w:hAnsi="Times New Roman" w:cs="Times New Roman"/>
          <w:color w:val="000000"/>
          <w:sz w:val="24"/>
          <w:szCs w:val="24"/>
          <w:lang w:val="en-GB" w:eastAsia="ja-JP"/>
        </w:rPr>
        <w:t>Licour</w:t>
      </w:r>
      <w:proofErr w:type="spellEnd"/>
      <w:r w:rsidRPr="00B71ECE">
        <w:rPr>
          <w:rFonts w:ascii="Times New Roman" w:hAnsi="Times New Roman" w:cs="Times New Roman"/>
          <w:color w:val="000000"/>
          <w:sz w:val="24"/>
          <w:szCs w:val="24"/>
          <w:lang w:val="en-GB" w:eastAsia="ja-JP"/>
        </w:rPr>
        <w:t xml:space="preserve"> leaf area meter using sorghum factor (0.75). </w:t>
      </w:r>
    </w:p>
    <w:p w14:paraId="74AA9797" w14:textId="77777777" w:rsidR="001020BF" w:rsidRPr="00B71ECE" w:rsidRDefault="001020BF" w:rsidP="006B2B42">
      <w:pPr>
        <w:pStyle w:val="ListParagraph"/>
        <w:tabs>
          <w:tab w:val="left" w:pos="142"/>
        </w:tabs>
        <w:spacing w:line="360" w:lineRule="auto"/>
        <w:ind w:left="0"/>
        <w:contextualSpacing/>
        <w:jc w:val="both"/>
        <w:rPr>
          <w:rFonts w:ascii="Times New Roman" w:hAnsi="Times New Roman"/>
          <w:color w:val="000000"/>
          <w:sz w:val="24"/>
          <w:szCs w:val="24"/>
          <w:lang w:eastAsia="ja-JP"/>
        </w:rPr>
      </w:pPr>
      <w:r w:rsidRPr="00B71ECE">
        <w:rPr>
          <w:rFonts w:ascii="Times New Roman" w:hAnsi="Times New Roman"/>
          <w:bCs/>
          <w:color w:val="000000"/>
          <w:sz w:val="24"/>
          <w:szCs w:val="24"/>
          <w:lang w:eastAsia="ja-JP"/>
        </w:rPr>
        <w:t xml:space="preserve">Leaf area = Length </w:t>
      </w:r>
      <w:r w:rsidRPr="00B71ECE">
        <w:rPr>
          <w:rFonts w:ascii="Times New Roman" w:hAnsi="Times New Roman"/>
          <w:color w:val="000000"/>
          <w:sz w:val="24"/>
          <w:szCs w:val="24"/>
          <w:lang w:eastAsia="ja-JP"/>
        </w:rPr>
        <w:t>× Maximum width × 0.75</w:t>
      </w:r>
    </w:p>
    <w:p w14:paraId="4F865F49" w14:textId="77777777" w:rsidR="001020BF" w:rsidRPr="00B71ECE" w:rsidRDefault="001020BF" w:rsidP="006B2B42">
      <w:pPr>
        <w:tabs>
          <w:tab w:val="left" w:pos="142"/>
        </w:tabs>
        <w:spacing w:line="360" w:lineRule="auto"/>
        <w:contextualSpacing/>
        <w:rPr>
          <w:rFonts w:ascii="Times New Roman" w:hAnsi="Times New Roman" w:cs="Times New Roman"/>
          <w:color w:val="000000"/>
          <w:sz w:val="24"/>
          <w:szCs w:val="24"/>
          <w:lang w:eastAsia="ja-JP"/>
        </w:rPr>
      </w:pPr>
      <w:r w:rsidRPr="00B71ECE">
        <w:rPr>
          <w:rFonts w:ascii="Times New Roman" w:hAnsi="Times New Roman" w:cs="Times New Roman"/>
          <w:color w:val="000000"/>
          <w:sz w:val="24"/>
          <w:szCs w:val="24"/>
          <w:lang w:eastAsia="ja-JP"/>
        </w:rPr>
        <w:t>The average was worked out and values of leaf area were expressed in cm</w:t>
      </w:r>
      <w:r w:rsidRPr="00B71ECE">
        <w:rPr>
          <w:rFonts w:ascii="Times New Roman" w:hAnsi="Times New Roman" w:cs="Times New Roman"/>
          <w:color w:val="000000"/>
          <w:sz w:val="24"/>
          <w:szCs w:val="24"/>
          <w:vertAlign w:val="superscript"/>
          <w:lang w:eastAsia="ja-JP"/>
        </w:rPr>
        <w:t xml:space="preserve">2 </w:t>
      </w:r>
      <w:r w:rsidRPr="00B71ECE">
        <w:rPr>
          <w:rFonts w:ascii="Times New Roman" w:hAnsi="Times New Roman" w:cs="Times New Roman"/>
          <w:color w:val="000000"/>
          <w:sz w:val="24"/>
          <w:szCs w:val="24"/>
          <w:lang w:eastAsia="ja-JP"/>
        </w:rPr>
        <w:t>plant. Leaf area index was computed by using formula given by Watson (1947).</w:t>
      </w:r>
    </w:p>
    <w:p w14:paraId="71024EDB" w14:textId="77777777" w:rsidR="001020BF" w:rsidRPr="00B71ECE" w:rsidRDefault="001020BF" w:rsidP="006B2B42">
      <w:pPr>
        <w:pStyle w:val="ListParagraph"/>
        <w:tabs>
          <w:tab w:val="left" w:pos="142"/>
        </w:tabs>
        <w:spacing w:line="360" w:lineRule="auto"/>
        <w:ind w:left="0"/>
        <w:contextualSpacing/>
        <w:jc w:val="both"/>
        <w:rPr>
          <w:rFonts w:ascii="Times New Roman" w:hAnsi="Times New Roman"/>
          <w:color w:val="000000"/>
          <w:sz w:val="24"/>
          <w:szCs w:val="24"/>
          <w:lang w:eastAsia="ja-JP"/>
        </w:rPr>
      </w:pPr>
    </w:p>
    <w:p w14:paraId="00981183" w14:textId="77777777" w:rsidR="001020BF" w:rsidRPr="00B71ECE" w:rsidRDefault="001020BF" w:rsidP="006B2B42">
      <w:pPr>
        <w:pStyle w:val="ListParagraph"/>
        <w:tabs>
          <w:tab w:val="left" w:pos="142"/>
        </w:tabs>
        <w:spacing w:line="360" w:lineRule="auto"/>
        <w:ind w:left="0"/>
        <w:contextualSpacing/>
        <w:jc w:val="both"/>
        <w:rPr>
          <w:rFonts w:ascii="Times New Roman" w:hAnsi="Times New Roman"/>
          <w:color w:val="000000"/>
          <w:sz w:val="24"/>
          <w:szCs w:val="24"/>
          <w:lang w:eastAsia="ja-JP"/>
        </w:rPr>
      </w:pPr>
      <w:r w:rsidRPr="00B71ECE">
        <w:rPr>
          <w:rFonts w:ascii="Times New Roman" w:hAnsi="Times New Roman"/>
          <w:color w:val="000000"/>
          <w:sz w:val="24"/>
          <w:szCs w:val="24"/>
          <w:lang w:eastAsia="ja-JP"/>
        </w:rPr>
        <w:t xml:space="preserve">                                 Leaf area plant</w:t>
      </w:r>
      <w:r w:rsidRPr="00B71ECE">
        <w:rPr>
          <w:rFonts w:ascii="Times New Roman" w:hAnsi="Times New Roman"/>
          <w:color w:val="000000"/>
          <w:sz w:val="24"/>
          <w:szCs w:val="24"/>
          <w:vertAlign w:val="superscript"/>
          <w:lang w:eastAsia="ja-JP"/>
        </w:rPr>
        <w:t>-1</w:t>
      </w:r>
      <w:r w:rsidRPr="00B71ECE">
        <w:rPr>
          <w:rFonts w:ascii="Times New Roman" w:hAnsi="Times New Roman"/>
          <w:color w:val="000000"/>
          <w:sz w:val="24"/>
          <w:szCs w:val="24"/>
          <w:lang w:eastAsia="ja-JP"/>
        </w:rPr>
        <w:t>(cm</w:t>
      </w:r>
      <w:r w:rsidRPr="00B71ECE">
        <w:rPr>
          <w:rFonts w:ascii="Times New Roman" w:hAnsi="Times New Roman"/>
          <w:color w:val="000000"/>
          <w:sz w:val="24"/>
          <w:szCs w:val="24"/>
          <w:vertAlign w:val="superscript"/>
          <w:lang w:eastAsia="ja-JP"/>
        </w:rPr>
        <w:t>2</w:t>
      </w:r>
      <w:r w:rsidRPr="00B71ECE">
        <w:rPr>
          <w:rFonts w:ascii="Times New Roman" w:hAnsi="Times New Roman"/>
          <w:color w:val="000000"/>
          <w:sz w:val="24"/>
          <w:szCs w:val="24"/>
          <w:lang w:eastAsia="ja-JP"/>
        </w:rPr>
        <w:t>)</w:t>
      </w:r>
    </w:p>
    <w:p w14:paraId="64E47C12" w14:textId="77777777" w:rsidR="001020BF" w:rsidRPr="00B71ECE" w:rsidRDefault="001020BF" w:rsidP="006B2B42">
      <w:pPr>
        <w:pStyle w:val="ListParagraph"/>
        <w:tabs>
          <w:tab w:val="left" w:pos="142"/>
        </w:tabs>
        <w:spacing w:line="360" w:lineRule="auto"/>
        <w:ind w:left="0"/>
        <w:contextualSpacing/>
        <w:jc w:val="both"/>
        <w:rPr>
          <w:rFonts w:ascii="Times New Roman" w:hAnsi="Times New Roman"/>
          <w:color w:val="000000"/>
          <w:sz w:val="24"/>
          <w:szCs w:val="24"/>
          <w:lang w:eastAsia="ja-JP"/>
        </w:rPr>
      </w:pPr>
      <w:r w:rsidRPr="00B71ECE">
        <w:rPr>
          <w:rFonts w:ascii="Times New Roman" w:hAnsi="Times New Roman"/>
          <w:bCs/>
          <w:color w:val="000000"/>
          <w:sz w:val="24"/>
          <w:szCs w:val="24"/>
          <w:lang w:eastAsia="ja-JP"/>
        </w:rPr>
        <w:t>Leaf area index =     -----</w:t>
      </w:r>
      <w:r w:rsidRPr="00B71ECE">
        <w:rPr>
          <w:rFonts w:ascii="Times New Roman" w:hAnsi="Times New Roman"/>
          <w:color w:val="000000"/>
          <w:sz w:val="24"/>
          <w:szCs w:val="24"/>
          <w:lang w:eastAsia="ja-JP"/>
        </w:rPr>
        <w:t>---------------------------</w:t>
      </w:r>
    </w:p>
    <w:p w14:paraId="2C78A232" w14:textId="77777777" w:rsidR="001020BF" w:rsidRPr="00B71ECE" w:rsidRDefault="001020BF" w:rsidP="006B2B42">
      <w:pPr>
        <w:pStyle w:val="ListParagraph"/>
        <w:tabs>
          <w:tab w:val="left" w:pos="142"/>
        </w:tabs>
        <w:spacing w:line="360" w:lineRule="auto"/>
        <w:ind w:left="0"/>
        <w:contextualSpacing/>
        <w:jc w:val="both"/>
        <w:rPr>
          <w:rFonts w:ascii="Times New Roman" w:hAnsi="Times New Roman"/>
          <w:color w:val="000000"/>
          <w:sz w:val="24"/>
          <w:szCs w:val="24"/>
          <w:lang w:eastAsia="ja-JP"/>
        </w:rPr>
      </w:pPr>
      <w:r w:rsidRPr="00B71ECE">
        <w:rPr>
          <w:rFonts w:ascii="Times New Roman" w:hAnsi="Times New Roman"/>
          <w:color w:val="000000"/>
          <w:sz w:val="24"/>
          <w:szCs w:val="24"/>
          <w:lang w:eastAsia="ja-JP"/>
        </w:rPr>
        <w:tab/>
        <w:t xml:space="preserve">                      </w:t>
      </w:r>
      <w:r w:rsidRPr="00B71ECE">
        <w:rPr>
          <w:rFonts w:ascii="Times New Roman" w:hAnsi="Times New Roman"/>
          <w:color w:val="000000"/>
          <w:sz w:val="24"/>
          <w:szCs w:val="24"/>
          <w:lang w:eastAsia="ja-JP"/>
        </w:rPr>
        <w:tab/>
        <w:t>Ground area plant</w:t>
      </w:r>
      <w:r w:rsidRPr="00B71ECE">
        <w:rPr>
          <w:rFonts w:ascii="Times New Roman" w:hAnsi="Times New Roman"/>
          <w:color w:val="000000"/>
          <w:sz w:val="24"/>
          <w:szCs w:val="24"/>
          <w:vertAlign w:val="superscript"/>
          <w:lang w:eastAsia="ja-JP"/>
        </w:rPr>
        <w:t>-1</w:t>
      </w:r>
      <w:r w:rsidRPr="00B71ECE">
        <w:rPr>
          <w:rFonts w:ascii="Times New Roman" w:hAnsi="Times New Roman"/>
          <w:color w:val="000000"/>
          <w:sz w:val="24"/>
          <w:szCs w:val="24"/>
          <w:lang w:eastAsia="ja-JP"/>
        </w:rPr>
        <w:t>(cm</w:t>
      </w:r>
      <w:r w:rsidRPr="00B71ECE">
        <w:rPr>
          <w:rFonts w:ascii="Times New Roman" w:hAnsi="Times New Roman"/>
          <w:color w:val="000000"/>
          <w:sz w:val="24"/>
          <w:szCs w:val="24"/>
          <w:vertAlign w:val="superscript"/>
          <w:lang w:eastAsia="ja-JP"/>
        </w:rPr>
        <w:t>2</w:t>
      </w:r>
      <w:r w:rsidRPr="00B71ECE">
        <w:rPr>
          <w:rFonts w:ascii="Times New Roman" w:hAnsi="Times New Roman"/>
          <w:color w:val="000000"/>
          <w:sz w:val="24"/>
          <w:szCs w:val="24"/>
          <w:lang w:eastAsia="ja-JP"/>
        </w:rPr>
        <w:t>)</w:t>
      </w:r>
    </w:p>
    <w:p w14:paraId="2AF32D6F" w14:textId="77777777" w:rsidR="001020BF" w:rsidRPr="00B71ECE" w:rsidRDefault="001020BF" w:rsidP="006B2B42">
      <w:pPr>
        <w:pStyle w:val="ListParagraph"/>
        <w:tabs>
          <w:tab w:val="left" w:pos="142"/>
        </w:tabs>
        <w:spacing w:line="360" w:lineRule="auto"/>
        <w:ind w:left="0"/>
        <w:contextualSpacing/>
        <w:rPr>
          <w:rFonts w:ascii="Times New Roman" w:hAnsi="Times New Roman"/>
          <w:color w:val="000000"/>
          <w:sz w:val="24"/>
          <w:szCs w:val="24"/>
          <w:lang w:val="en-GB" w:eastAsia="ja-JP"/>
        </w:rPr>
      </w:pPr>
    </w:p>
    <w:p w14:paraId="4E22C9EC" w14:textId="77777777" w:rsidR="00BB3B9C" w:rsidRPr="00B71ECE" w:rsidRDefault="005C02BB" w:rsidP="006B2B42">
      <w:pPr>
        <w:tabs>
          <w:tab w:val="left" w:pos="142"/>
        </w:tabs>
        <w:spacing w:line="360" w:lineRule="auto"/>
        <w:contextualSpacing/>
        <w:jc w:val="both"/>
        <w:rPr>
          <w:rFonts w:ascii="Times New Roman" w:hAnsi="Times New Roman" w:cs="Times New Roman"/>
          <w:bCs/>
          <w:color w:val="000000"/>
          <w:sz w:val="24"/>
          <w:szCs w:val="24"/>
          <w:lang w:eastAsia="ja-JP"/>
        </w:rPr>
      </w:pPr>
      <w:r>
        <w:rPr>
          <w:rFonts w:ascii="Times New Roman" w:hAnsi="Times New Roman" w:cs="Times New Roman"/>
          <w:color w:val="000000"/>
          <w:sz w:val="24"/>
          <w:szCs w:val="24"/>
          <w:lang w:eastAsia="ja-JP"/>
        </w:rPr>
        <w:tab/>
      </w:r>
      <w:r>
        <w:rPr>
          <w:rFonts w:ascii="Times New Roman" w:hAnsi="Times New Roman" w:cs="Times New Roman"/>
          <w:color w:val="000000"/>
          <w:sz w:val="24"/>
          <w:szCs w:val="24"/>
          <w:lang w:eastAsia="ja-JP"/>
        </w:rPr>
        <w:tab/>
      </w:r>
      <w:r w:rsidR="001020BF" w:rsidRPr="00B71ECE">
        <w:rPr>
          <w:rFonts w:ascii="Times New Roman" w:hAnsi="Times New Roman" w:cs="Times New Roman"/>
          <w:color w:val="000000"/>
          <w:sz w:val="24"/>
          <w:szCs w:val="24"/>
          <w:lang w:eastAsia="ja-JP"/>
        </w:rPr>
        <w:t xml:space="preserve">The onset of panicle initiation was determined by observing the emergence of the panicle from the flag leaf, while the commencement of flowering was recorded when the first plant within each experimental plot exhibited floral emergence. At the time of harvest, the total number of leaves was counted on five randomly selected and tagged plants within each experimental unit. The average of these counts was then calculated to determine the mean number of leaves per </w:t>
      </w:r>
      <w:proofErr w:type="spellStart"/>
      <w:r w:rsidR="001020BF" w:rsidRPr="00B71ECE">
        <w:rPr>
          <w:rFonts w:ascii="Times New Roman" w:hAnsi="Times New Roman" w:cs="Times New Roman"/>
          <w:color w:val="000000"/>
          <w:sz w:val="24"/>
          <w:szCs w:val="24"/>
          <w:lang w:eastAsia="ja-JP"/>
        </w:rPr>
        <w:t>plant</w:t>
      </w:r>
      <w:r w:rsidR="007D4CF0" w:rsidRPr="00B71ECE">
        <w:rPr>
          <w:rFonts w:ascii="Times New Roman" w:hAnsi="Times New Roman" w:cs="Times New Roman"/>
          <w:color w:val="000000"/>
          <w:sz w:val="24"/>
          <w:szCs w:val="24"/>
          <w:lang w:eastAsia="ja-JP"/>
        </w:rPr>
        <w:t>he</w:t>
      </w:r>
      <w:proofErr w:type="spellEnd"/>
      <w:r w:rsidR="007D4CF0" w:rsidRPr="00B71ECE">
        <w:rPr>
          <w:rFonts w:ascii="Times New Roman" w:hAnsi="Times New Roman" w:cs="Times New Roman"/>
          <w:color w:val="000000"/>
          <w:sz w:val="24"/>
          <w:szCs w:val="24"/>
          <w:lang w:eastAsia="ja-JP"/>
        </w:rPr>
        <w:t xml:space="preserve"> single-cut forage sorghum crop was harvested on November 15, 2022. To minimize border effects, peripheral plants were first removed from each plot. Subsequently, the central net plot area was harvested, with the plants bundled and weighed separately to determine the green fodder yield per plot. These values were then extrapolated to express yield in tonnes per hectare.​ Post-harvest, the green fodder bundles from each plot were subjected to sun drying until a constant weight was achieved, ensuring the elimination of moisture variability. The dried bundles were reweighed to calculate the dry fodder yield, accounting for moisture loss, and the results were expressed in tonnes per hectare.​ This systematic approach to harvesting and yield assessment ensures accurate quantification of both green and dry fodder yields, providing reliable data for evaluating the performance of forage sorghum under the given agronomic conditions. </w:t>
      </w:r>
      <w:r w:rsidR="00BB3B9C" w:rsidRPr="00B71ECE">
        <w:rPr>
          <w:rFonts w:ascii="Times New Roman" w:hAnsi="Times New Roman" w:cs="Times New Roman"/>
          <w:bCs/>
          <w:color w:val="000000"/>
          <w:sz w:val="24"/>
          <w:szCs w:val="24"/>
          <w:lang w:eastAsia="ja-JP"/>
        </w:rPr>
        <w:t xml:space="preserve">The determination of HCN content at flowering in sorghum was conducted using the picric acid method of </w:t>
      </w:r>
      <w:r w:rsidR="00BB3B9C" w:rsidRPr="00F70A2F">
        <w:rPr>
          <w:rFonts w:ascii="Times New Roman" w:hAnsi="Times New Roman" w:cs="Times New Roman"/>
          <w:bCs/>
          <w:color w:val="000000"/>
          <w:sz w:val="24"/>
          <w:szCs w:val="24"/>
          <w:lang w:eastAsia="ja-JP"/>
        </w:rPr>
        <w:t>Hogg and Ahlgreen</w:t>
      </w:r>
      <w:r w:rsidR="00BB3B9C" w:rsidRPr="00B71ECE">
        <w:rPr>
          <w:rFonts w:ascii="Times New Roman" w:hAnsi="Times New Roman" w:cs="Times New Roman"/>
          <w:bCs/>
          <w:color w:val="000000"/>
          <w:sz w:val="24"/>
          <w:szCs w:val="24"/>
          <w:lang w:eastAsia="ja-JP"/>
        </w:rPr>
        <w:t xml:space="preserve"> (1942). To carry out this process, five representative plants from each treatment plot were collected. The root portion was discarded, and the plants were washed thoroughly under tap </w:t>
      </w:r>
      <w:r w:rsidR="00BB3B9C" w:rsidRPr="00B71ECE">
        <w:rPr>
          <w:rFonts w:ascii="Times New Roman" w:hAnsi="Times New Roman" w:cs="Times New Roman"/>
          <w:bCs/>
          <w:color w:val="000000"/>
          <w:sz w:val="24"/>
          <w:szCs w:val="24"/>
          <w:lang w:eastAsia="ja-JP"/>
        </w:rPr>
        <w:lastRenderedPageBreak/>
        <w:t>water to remove any insects, pests, or dust. After washing, the plants were dried using blotting paper. Each plant part, including the leaves and stem (but not the roots), was chopped as finely as possible. The chopped leaves and stems were thoroughly mixed, and a 1g representative sample was taken in duplicate from each plot.</w:t>
      </w:r>
    </w:p>
    <w:p w14:paraId="27A95155" w14:textId="77777777" w:rsidR="00BB3B9C" w:rsidRPr="00B71ECE" w:rsidRDefault="00BB3B9C" w:rsidP="006B2B42">
      <w:pPr>
        <w:tabs>
          <w:tab w:val="left" w:pos="142"/>
        </w:tabs>
        <w:spacing w:line="360" w:lineRule="auto"/>
        <w:contextualSpacing/>
        <w:jc w:val="both"/>
        <w:rPr>
          <w:rFonts w:ascii="Times New Roman" w:hAnsi="Times New Roman" w:cs="Times New Roman"/>
          <w:bCs/>
          <w:color w:val="000000"/>
          <w:sz w:val="24"/>
          <w:szCs w:val="24"/>
          <w:lang w:eastAsia="ja-JP"/>
        </w:rPr>
      </w:pPr>
      <w:r w:rsidRPr="00B71ECE">
        <w:rPr>
          <w:rFonts w:ascii="Times New Roman" w:hAnsi="Times New Roman" w:cs="Times New Roman"/>
          <w:bCs/>
          <w:color w:val="000000"/>
          <w:sz w:val="24"/>
          <w:szCs w:val="24"/>
          <w:lang w:eastAsia="ja-JP"/>
        </w:rPr>
        <w:t xml:space="preserve">This finely chopped 1g sample was placed in separate 15 ml capacity glass test tubes. To each test tube, 0.2 ml of chloroform was added, followed by a filter paper strip (Whatman No. 1, 1 cm wide and 10 cm long) dipped in alkaline picric acid and a cork stopper. The test tubes were kept for 24 hours. After this time, the filter paper strips were removed and placed in another set of 15 ml capacity glass test tubes containing 10 ml of distilled water (measured with a pipette). The strip was fully immersed in the distilled water using a glass rod, and the mixture was vortexed two to three times using a test tube vortex mixer to dissolve the </w:t>
      </w:r>
      <w:proofErr w:type="spellStart"/>
      <w:r w:rsidRPr="00B71ECE">
        <w:rPr>
          <w:rFonts w:ascii="Times New Roman" w:hAnsi="Times New Roman" w:cs="Times New Roman"/>
          <w:bCs/>
          <w:color w:val="000000"/>
          <w:sz w:val="24"/>
          <w:szCs w:val="24"/>
          <w:lang w:eastAsia="ja-JP"/>
        </w:rPr>
        <w:t>color</w:t>
      </w:r>
      <w:proofErr w:type="spellEnd"/>
      <w:r w:rsidRPr="00B71ECE">
        <w:rPr>
          <w:rFonts w:ascii="Times New Roman" w:hAnsi="Times New Roman" w:cs="Times New Roman"/>
          <w:bCs/>
          <w:color w:val="000000"/>
          <w:sz w:val="24"/>
          <w:szCs w:val="24"/>
          <w:lang w:eastAsia="ja-JP"/>
        </w:rPr>
        <w:t xml:space="preserve"> from the strip into the water. The filter paper strip was then removed, and the optical density (OD) of the </w:t>
      </w:r>
      <w:proofErr w:type="spellStart"/>
      <w:r w:rsidRPr="00B71ECE">
        <w:rPr>
          <w:rFonts w:ascii="Times New Roman" w:hAnsi="Times New Roman" w:cs="Times New Roman"/>
          <w:bCs/>
          <w:color w:val="000000"/>
          <w:sz w:val="24"/>
          <w:szCs w:val="24"/>
          <w:lang w:eastAsia="ja-JP"/>
        </w:rPr>
        <w:t>colored</w:t>
      </w:r>
      <w:proofErr w:type="spellEnd"/>
      <w:r w:rsidRPr="00B71ECE">
        <w:rPr>
          <w:rFonts w:ascii="Times New Roman" w:hAnsi="Times New Roman" w:cs="Times New Roman"/>
          <w:bCs/>
          <w:color w:val="000000"/>
          <w:sz w:val="24"/>
          <w:szCs w:val="24"/>
          <w:lang w:eastAsia="ja-JP"/>
        </w:rPr>
        <w:t xml:space="preserve"> solution was measured using a colorimeter at a wavelength of 515 nm.</w:t>
      </w:r>
    </w:p>
    <w:p w14:paraId="25A1E141" w14:textId="77777777" w:rsidR="00BB3B9C" w:rsidRPr="00B71ECE" w:rsidRDefault="00BB3B9C" w:rsidP="006B2B42">
      <w:pPr>
        <w:tabs>
          <w:tab w:val="left" w:pos="142"/>
        </w:tabs>
        <w:spacing w:line="360" w:lineRule="auto"/>
        <w:contextualSpacing/>
        <w:jc w:val="both"/>
        <w:rPr>
          <w:rFonts w:ascii="Times New Roman" w:hAnsi="Times New Roman" w:cs="Times New Roman"/>
          <w:bCs/>
          <w:color w:val="000000"/>
          <w:sz w:val="24"/>
          <w:szCs w:val="24"/>
          <w:lang w:eastAsia="ja-JP"/>
        </w:rPr>
      </w:pPr>
      <w:r w:rsidRPr="00B71ECE">
        <w:rPr>
          <w:rFonts w:ascii="Times New Roman" w:hAnsi="Times New Roman" w:cs="Times New Roman"/>
          <w:bCs/>
          <w:color w:val="000000"/>
          <w:sz w:val="24"/>
          <w:szCs w:val="24"/>
          <w:lang w:eastAsia="ja-JP"/>
        </w:rPr>
        <w:t xml:space="preserve">The remaining 1g plant sample in the test tube was again treated by adding 0.2 ml of chloroform, and a fresh filter paper strip dipped in picric acid was placed with the cork stopper as done before. This was left for another 24 hours. After the second 24-hour period, the procedure was repeated, yielding two optical density readings: one at 24 hours and the other at 48 hours for each sample. A standard curve was simultaneously prepared using standard KCN solutions with optical densities ranging from 5 to 40 ppm, as described by </w:t>
      </w:r>
      <w:proofErr w:type="spellStart"/>
      <w:r w:rsidRPr="006F2D29">
        <w:rPr>
          <w:rFonts w:ascii="Times New Roman" w:hAnsi="Times New Roman" w:cs="Times New Roman"/>
          <w:bCs/>
          <w:color w:val="000000"/>
          <w:sz w:val="24"/>
          <w:szCs w:val="24"/>
          <w:lang w:eastAsia="ja-JP"/>
        </w:rPr>
        <w:t>Gillchrist</w:t>
      </w:r>
      <w:proofErr w:type="spellEnd"/>
      <w:r w:rsidRPr="006F2D29">
        <w:rPr>
          <w:rFonts w:ascii="Times New Roman" w:hAnsi="Times New Roman" w:cs="Times New Roman"/>
          <w:bCs/>
          <w:color w:val="000000"/>
          <w:sz w:val="24"/>
          <w:szCs w:val="24"/>
          <w:lang w:eastAsia="ja-JP"/>
        </w:rPr>
        <w:t xml:space="preserve"> </w:t>
      </w:r>
      <w:r w:rsidRPr="006F2D29">
        <w:rPr>
          <w:rFonts w:ascii="Times New Roman" w:hAnsi="Times New Roman" w:cs="Times New Roman"/>
          <w:bCs/>
          <w:i/>
          <w:color w:val="000000"/>
          <w:sz w:val="24"/>
          <w:szCs w:val="24"/>
          <w:lang w:eastAsia="ja-JP"/>
        </w:rPr>
        <w:t>et al</w:t>
      </w:r>
      <w:r w:rsidRPr="006F2D29">
        <w:rPr>
          <w:rFonts w:ascii="Times New Roman" w:hAnsi="Times New Roman" w:cs="Times New Roman"/>
          <w:bCs/>
          <w:color w:val="000000"/>
          <w:sz w:val="24"/>
          <w:szCs w:val="24"/>
          <w:lang w:eastAsia="ja-JP"/>
        </w:rPr>
        <w:t>. (1967).</w:t>
      </w:r>
      <w:r w:rsidRPr="00B71ECE">
        <w:rPr>
          <w:rFonts w:ascii="Times New Roman" w:hAnsi="Times New Roman" w:cs="Times New Roman"/>
          <w:bCs/>
          <w:color w:val="000000"/>
          <w:sz w:val="24"/>
          <w:szCs w:val="24"/>
          <w:lang w:eastAsia="ja-JP"/>
        </w:rPr>
        <w:t xml:space="preserve"> The amount of HCN in the plant samples was calculated in ppm on a dry weight basis by calibrating the absorbance against the standard KCN curve.</w:t>
      </w:r>
    </w:p>
    <w:p w14:paraId="4E4B3701" w14:textId="77777777" w:rsidR="001020BF" w:rsidRPr="005C02BB" w:rsidRDefault="001020BF" w:rsidP="006B2B42">
      <w:pPr>
        <w:tabs>
          <w:tab w:val="left" w:pos="142"/>
        </w:tabs>
        <w:contextualSpacing/>
        <w:jc w:val="both"/>
        <w:rPr>
          <w:rFonts w:ascii="Times New Roman" w:eastAsia="Times New Roman" w:hAnsi="Times New Roman" w:cs="Times New Roman"/>
          <w:color w:val="000000"/>
          <w:sz w:val="24"/>
          <w:szCs w:val="24"/>
          <w:lang w:eastAsia="ja-JP"/>
        </w:rPr>
      </w:pPr>
      <w:r w:rsidRPr="005C02BB">
        <w:rPr>
          <w:rFonts w:ascii="Times New Roman" w:eastAsia="Times New Roman" w:hAnsi="Times New Roman" w:cs="Times New Roman"/>
          <w:bCs/>
          <w:color w:val="000000"/>
          <w:sz w:val="24"/>
          <w:szCs w:val="24"/>
          <w:lang w:eastAsia="ja-JP"/>
        </w:rPr>
        <w:t>Dry matter factor for estimation of HCN</w:t>
      </w:r>
      <w:r w:rsidRPr="005C02BB">
        <w:rPr>
          <w:rFonts w:ascii="Times New Roman" w:eastAsia="Times New Roman" w:hAnsi="Times New Roman" w:cs="Times New Roman"/>
          <w:color w:val="000000"/>
          <w:sz w:val="24"/>
          <w:szCs w:val="24"/>
          <w:lang w:eastAsia="ja-JP"/>
        </w:rPr>
        <w:t xml:space="preserve"> = </w:t>
      </w:r>
      <w:r w:rsidRPr="005C02BB">
        <w:rPr>
          <w:rFonts w:ascii="Times New Roman" w:eastAsia="Times New Roman" w:hAnsi="Times New Roman" w:cs="Times New Roman"/>
          <w:color w:val="000000"/>
          <w:sz w:val="24"/>
          <w:szCs w:val="24"/>
          <w:lang w:eastAsia="ja-JP"/>
        </w:rPr>
        <w:object w:dxaOrig="660" w:dyaOrig="620" w14:anchorId="4A732A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31.3pt" o:ole="">
            <v:imagedata r:id="rId8" o:title=""/>
          </v:shape>
          <o:OLEObject Type="Embed" ProgID="Equation.3" ShapeID="_x0000_i1025" DrawAspect="Content" ObjectID="_1807968064" r:id="rId9"/>
        </w:object>
      </w:r>
    </w:p>
    <w:p w14:paraId="368A0AA3" w14:textId="77777777" w:rsidR="001020BF" w:rsidRDefault="005C02BB" w:rsidP="006B2B42">
      <w:pPr>
        <w:pStyle w:val="ListParagraph"/>
        <w:tabs>
          <w:tab w:val="left" w:pos="142"/>
        </w:tabs>
        <w:spacing w:line="360" w:lineRule="auto"/>
        <w:ind w:left="0"/>
        <w:contextualSpacing/>
        <w:rPr>
          <w:rFonts w:ascii="Times New Roman" w:hAnsi="Times New Roman"/>
          <w:color w:val="000000"/>
          <w:sz w:val="24"/>
          <w:szCs w:val="24"/>
          <w:lang w:eastAsia="ja-JP"/>
        </w:rPr>
      </w:pPr>
      <w:r>
        <w:rPr>
          <w:rFonts w:ascii="Times New Roman" w:hAnsi="Times New Roman"/>
          <w:color w:val="000000"/>
          <w:sz w:val="24"/>
          <w:szCs w:val="24"/>
          <w:lang w:eastAsia="ja-JP"/>
        </w:rPr>
        <w:t xml:space="preserve">[Where, </w:t>
      </w:r>
      <w:r w:rsidR="001020BF" w:rsidRPr="00B71ECE">
        <w:rPr>
          <w:rFonts w:ascii="Times New Roman" w:hAnsi="Times New Roman"/>
          <w:color w:val="000000"/>
          <w:sz w:val="24"/>
          <w:szCs w:val="24"/>
          <w:lang w:eastAsia="ja-JP"/>
        </w:rPr>
        <w:t>X = Weight of fresh chopped plant sample</w:t>
      </w:r>
      <w:r>
        <w:rPr>
          <w:rFonts w:ascii="Times New Roman" w:hAnsi="Times New Roman"/>
          <w:color w:val="000000"/>
          <w:sz w:val="24"/>
          <w:szCs w:val="24"/>
          <w:lang w:eastAsia="ja-JP"/>
        </w:rPr>
        <w:t xml:space="preserve"> and Y</w:t>
      </w:r>
      <w:r w:rsidR="001020BF" w:rsidRPr="00B71ECE">
        <w:rPr>
          <w:rFonts w:ascii="Times New Roman" w:hAnsi="Times New Roman"/>
          <w:color w:val="000000"/>
          <w:sz w:val="24"/>
          <w:szCs w:val="24"/>
          <w:lang w:eastAsia="ja-JP"/>
        </w:rPr>
        <w:t xml:space="preserve"> = Weight of oven dried plant sample</w:t>
      </w:r>
      <w:r>
        <w:rPr>
          <w:rFonts w:ascii="Times New Roman" w:hAnsi="Times New Roman"/>
          <w:color w:val="000000"/>
          <w:sz w:val="24"/>
          <w:szCs w:val="24"/>
          <w:lang w:eastAsia="ja-JP"/>
        </w:rPr>
        <w:t>]</w:t>
      </w:r>
      <w:r w:rsidR="001020BF" w:rsidRPr="00B71ECE">
        <w:rPr>
          <w:rFonts w:ascii="Times New Roman" w:hAnsi="Times New Roman"/>
          <w:color w:val="000000"/>
          <w:sz w:val="24"/>
          <w:szCs w:val="24"/>
          <w:lang w:eastAsia="ja-JP"/>
        </w:rPr>
        <w:t xml:space="preserve"> </w:t>
      </w:r>
    </w:p>
    <w:p w14:paraId="68C6F0EB" w14:textId="77777777" w:rsidR="005C02BB" w:rsidRPr="00B71ECE" w:rsidRDefault="005C02BB" w:rsidP="006B2B42">
      <w:pPr>
        <w:pStyle w:val="ListParagraph"/>
        <w:tabs>
          <w:tab w:val="left" w:pos="142"/>
        </w:tabs>
        <w:spacing w:line="360" w:lineRule="auto"/>
        <w:ind w:left="0"/>
        <w:contextualSpacing/>
        <w:rPr>
          <w:rFonts w:ascii="Times New Roman" w:hAnsi="Times New Roman"/>
          <w:color w:val="000000"/>
          <w:sz w:val="24"/>
          <w:szCs w:val="24"/>
          <w:lang w:eastAsia="ja-JP"/>
        </w:rPr>
      </w:pPr>
    </w:p>
    <w:p w14:paraId="3315622E" w14:textId="77777777" w:rsidR="001020BF" w:rsidRPr="00B71ECE" w:rsidRDefault="001020BF" w:rsidP="006B2B42">
      <w:pPr>
        <w:pStyle w:val="ListParagraph"/>
        <w:tabs>
          <w:tab w:val="left" w:pos="142"/>
        </w:tabs>
        <w:spacing w:line="360" w:lineRule="auto"/>
        <w:ind w:left="0"/>
        <w:contextualSpacing/>
        <w:rPr>
          <w:rFonts w:ascii="Times New Roman" w:hAnsi="Times New Roman"/>
          <w:color w:val="000000"/>
          <w:sz w:val="24"/>
          <w:szCs w:val="24"/>
          <w:lang w:eastAsia="ja-JP"/>
        </w:rPr>
      </w:pPr>
      <w:r w:rsidRPr="00B71ECE">
        <w:rPr>
          <w:rFonts w:ascii="Times New Roman" w:hAnsi="Times New Roman"/>
          <w:color w:val="000000"/>
          <w:sz w:val="24"/>
          <w:szCs w:val="24"/>
          <w:lang w:eastAsia="ja-JP"/>
        </w:rPr>
        <w:tab/>
        <w:t xml:space="preserve">Therefore, HCN </w:t>
      </w:r>
      <w:r w:rsidRPr="00B71ECE">
        <w:rPr>
          <w:rFonts w:ascii="Times New Roman" w:hAnsi="Times New Roman"/>
          <w:color w:val="000000"/>
          <w:sz w:val="24"/>
          <w:szCs w:val="24"/>
          <w:lang w:eastAsia="ja-JP"/>
        </w:rPr>
        <w:object w:dxaOrig="1900" w:dyaOrig="680" w14:anchorId="3F3CAAEC">
          <v:shape id="_x0000_i1026" type="#_x0000_t75" style="width:103.3pt;height:34.45pt" o:ole="">
            <v:imagedata r:id="rId10" o:title=""/>
          </v:shape>
          <o:OLEObject Type="Embed" ProgID="Equation.3" ShapeID="_x0000_i1026" DrawAspect="Content" ObjectID="_1807968065" r:id="rId11"/>
        </w:object>
      </w:r>
    </w:p>
    <w:p w14:paraId="56644D62" w14:textId="77777777" w:rsidR="001020BF" w:rsidRPr="00B71ECE" w:rsidRDefault="005C02BB" w:rsidP="006B2B42">
      <w:pPr>
        <w:pStyle w:val="ListParagraph"/>
        <w:tabs>
          <w:tab w:val="left" w:pos="142"/>
        </w:tabs>
        <w:spacing w:line="360" w:lineRule="auto"/>
        <w:ind w:left="0"/>
        <w:contextualSpacing/>
        <w:rPr>
          <w:rFonts w:ascii="Times New Roman" w:hAnsi="Times New Roman"/>
          <w:color w:val="000000"/>
          <w:sz w:val="24"/>
          <w:szCs w:val="24"/>
          <w:lang w:eastAsia="ja-JP"/>
        </w:rPr>
      </w:pPr>
      <w:r>
        <w:rPr>
          <w:rFonts w:ascii="Times New Roman" w:hAnsi="Times New Roman"/>
          <w:color w:val="000000"/>
          <w:sz w:val="24"/>
          <w:szCs w:val="24"/>
          <w:lang w:eastAsia="ja-JP"/>
        </w:rPr>
        <w:t xml:space="preserve">[Whereas, </w:t>
      </w:r>
      <w:r w:rsidR="001020BF" w:rsidRPr="00B71ECE">
        <w:rPr>
          <w:rFonts w:ascii="Times New Roman" w:hAnsi="Times New Roman"/>
          <w:color w:val="000000"/>
          <w:sz w:val="24"/>
          <w:szCs w:val="24"/>
          <w:lang w:eastAsia="ja-JP"/>
        </w:rPr>
        <w:t xml:space="preserve">R = Reading taken from automatic HCN </w:t>
      </w:r>
      <w:r>
        <w:rPr>
          <w:rFonts w:ascii="Times New Roman" w:hAnsi="Times New Roman"/>
          <w:color w:val="000000"/>
          <w:sz w:val="24"/>
          <w:szCs w:val="24"/>
          <w:lang w:eastAsia="ja-JP"/>
        </w:rPr>
        <w:t>analyser]</w:t>
      </w:r>
    </w:p>
    <w:p w14:paraId="60F99E2A" w14:textId="77777777" w:rsidR="001020BF" w:rsidRPr="00B71ECE" w:rsidRDefault="00BB3B9C" w:rsidP="006B2B42">
      <w:pPr>
        <w:tabs>
          <w:tab w:val="left" w:pos="142"/>
        </w:tabs>
        <w:spacing w:line="360" w:lineRule="auto"/>
        <w:contextualSpacing/>
        <w:jc w:val="both"/>
        <w:rPr>
          <w:rFonts w:ascii="Times New Roman" w:hAnsi="Times New Roman" w:cs="Times New Roman"/>
          <w:color w:val="000000"/>
          <w:sz w:val="24"/>
          <w:szCs w:val="24"/>
          <w:lang w:val="en-GB" w:eastAsia="ja-JP"/>
        </w:rPr>
      </w:pPr>
      <w:r w:rsidRPr="00B71ECE">
        <w:rPr>
          <w:rFonts w:ascii="Times New Roman" w:eastAsia="Times New Roman" w:hAnsi="Times New Roman" w:cs="Times New Roman"/>
          <w:bCs/>
          <w:color w:val="000000"/>
          <w:sz w:val="24"/>
          <w:szCs w:val="24"/>
          <w:lang w:val="en-GB" w:eastAsia="ja-JP"/>
        </w:rPr>
        <w:t xml:space="preserve">Determination of </w:t>
      </w:r>
      <w:r w:rsidR="001020BF" w:rsidRPr="00B71ECE">
        <w:rPr>
          <w:rFonts w:ascii="Times New Roman" w:hAnsi="Times New Roman" w:cs="Times New Roman"/>
          <w:bCs/>
          <w:color w:val="000000"/>
          <w:sz w:val="24"/>
          <w:szCs w:val="24"/>
          <w:lang w:val="en-GB" w:eastAsia="ja-JP"/>
        </w:rPr>
        <w:t xml:space="preserve">Nutrient uptake </w:t>
      </w:r>
      <w:r w:rsidRPr="00B71ECE">
        <w:rPr>
          <w:rFonts w:ascii="Times New Roman" w:hAnsi="Times New Roman" w:cs="Times New Roman"/>
          <w:bCs/>
          <w:color w:val="000000"/>
          <w:sz w:val="24"/>
          <w:szCs w:val="24"/>
          <w:lang w:val="en-GB" w:eastAsia="ja-JP"/>
        </w:rPr>
        <w:t xml:space="preserve">was done by collecting </w:t>
      </w:r>
      <w:r w:rsidR="001020BF" w:rsidRPr="00B71ECE">
        <w:rPr>
          <w:rFonts w:ascii="Times New Roman" w:hAnsi="Times New Roman" w:cs="Times New Roman"/>
          <w:color w:val="000000"/>
          <w:sz w:val="24"/>
          <w:szCs w:val="24"/>
          <w:lang w:val="en-GB" w:eastAsia="ja-JP"/>
        </w:rPr>
        <w:t xml:space="preserve">plant samples at harvest </w:t>
      </w:r>
      <w:proofErr w:type="gramStart"/>
      <w:r w:rsidR="001020BF" w:rsidRPr="00B71ECE">
        <w:rPr>
          <w:rFonts w:ascii="Times New Roman" w:hAnsi="Times New Roman" w:cs="Times New Roman"/>
          <w:color w:val="000000"/>
          <w:sz w:val="24"/>
          <w:szCs w:val="24"/>
          <w:lang w:val="en-GB" w:eastAsia="ja-JP"/>
        </w:rPr>
        <w:t xml:space="preserve">and </w:t>
      </w:r>
      <w:r w:rsidRPr="00B71ECE">
        <w:rPr>
          <w:rFonts w:ascii="Times New Roman" w:hAnsi="Times New Roman" w:cs="Times New Roman"/>
          <w:color w:val="000000"/>
          <w:sz w:val="24"/>
          <w:szCs w:val="24"/>
          <w:lang w:val="en-GB" w:eastAsia="ja-JP"/>
        </w:rPr>
        <w:t xml:space="preserve"> later</w:t>
      </w:r>
      <w:proofErr w:type="gramEnd"/>
      <w:r w:rsidRPr="00B71ECE">
        <w:rPr>
          <w:rFonts w:ascii="Times New Roman" w:hAnsi="Times New Roman" w:cs="Times New Roman"/>
          <w:color w:val="000000"/>
          <w:sz w:val="24"/>
          <w:szCs w:val="24"/>
          <w:lang w:val="en-GB" w:eastAsia="ja-JP"/>
        </w:rPr>
        <w:t xml:space="preserve"> </w:t>
      </w:r>
      <w:r w:rsidRPr="00B71ECE">
        <w:rPr>
          <w:rFonts w:ascii="Times New Roman" w:hAnsi="Times New Roman" w:cs="Times New Roman"/>
          <w:color w:val="000000"/>
          <w:sz w:val="24"/>
          <w:szCs w:val="24"/>
          <w:lang w:eastAsia="ja-JP"/>
        </w:rPr>
        <w:t xml:space="preserve">oven drying them. </w:t>
      </w:r>
      <w:r w:rsidR="001020BF" w:rsidRPr="00B71ECE">
        <w:rPr>
          <w:rFonts w:ascii="Times New Roman" w:hAnsi="Times New Roman" w:cs="Times New Roman"/>
          <w:color w:val="000000"/>
          <w:sz w:val="24"/>
          <w:szCs w:val="24"/>
          <w:lang w:eastAsia="ja-JP"/>
        </w:rPr>
        <w:t xml:space="preserve"> The dried green fodder were ground to pass through 40 mesh sieve</w:t>
      </w:r>
      <w:r w:rsidR="001020BF" w:rsidRPr="00B71ECE">
        <w:rPr>
          <w:rFonts w:ascii="Times New Roman" w:hAnsi="Times New Roman" w:cs="Times New Roman"/>
          <w:color w:val="000000"/>
          <w:sz w:val="24"/>
          <w:szCs w:val="24"/>
          <w:lang w:val="en-GB" w:eastAsia="ja-JP"/>
        </w:rPr>
        <w:t xml:space="preserve"> </w:t>
      </w:r>
      <w:r w:rsidR="001020BF" w:rsidRPr="00B71ECE">
        <w:rPr>
          <w:rFonts w:ascii="Times New Roman" w:hAnsi="Times New Roman" w:cs="Times New Roman"/>
          <w:color w:val="000000"/>
          <w:sz w:val="24"/>
          <w:szCs w:val="24"/>
          <w:lang w:val="en-GB" w:eastAsia="ja-JP"/>
        </w:rPr>
        <w:lastRenderedPageBreak/>
        <w:t>estimation and estimation of NPK(%) content in sorghum stover was done. Nitrogen, phosphorus and potassium uptake by the crop and weeds were calculated by using the following formula:</w:t>
      </w:r>
    </w:p>
    <w:p w14:paraId="63358ADF" w14:textId="77777777" w:rsidR="001020BF" w:rsidRDefault="001020BF" w:rsidP="0099502F">
      <w:pPr>
        <w:pStyle w:val="ListParagraph"/>
        <w:tabs>
          <w:tab w:val="left" w:pos="142"/>
        </w:tabs>
        <w:spacing w:line="360" w:lineRule="auto"/>
        <w:ind w:left="0"/>
        <w:contextualSpacing/>
        <w:rPr>
          <w:rFonts w:ascii="Times New Roman" w:hAnsi="Times New Roman"/>
          <w:color w:val="000000"/>
          <w:sz w:val="24"/>
          <w:szCs w:val="24"/>
          <w:lang w:val="en-GB" w:eastAsia="ja-JP"/>
        </w:rPr>
      </w:pPr>
      <w:r w:rsidRPr="00B71ECE">
        <w:rPr>
          <w:rFonts w:ascii="Times New Roman" w:hAnsi="Times New Roman"/>
          <w:color w:val="000000"/>
          <w:sz w:val="24"/>
          <w:szCs w:val="24"/>
          <w:lang w:val="en-GB" w:eastAsia="ja-JP"/>
        </w:rPr>
        <w:tab/>
      </w:r>
      <w:r w:rsidRPr="00B71ECE">
        <w:rPr>
          <w:rFonts w:ascii="Times New Roman" w:hAnsi="Times New Roman"/>
          <w:color w:val="000000"/>
          <w:sz w:val="24"/>
          <w:szCs w:val="24"/>
          <w:lang w:val="en-GB" w:eastAsia="ja-JP"/>
        </w:rPr>
        <w:tab/>
      </w:r>
      <w:r w:rsidRPr="00B71ECE">
        <w:rPr>
          <w:rFonts w:ascii="Times New Roman" w:hAnsi="Times New Roman"/>
          <w:color w:val="000000"/>
          <w:sz w:val="24"/>
          <w:szCs w:val="24"/>
          <w:lang w:val="en-GB" w:eastAsia="ja-JP"/>
        </w:rPr>
        <w:tab/>
      </w:r>
    </w:p>
    <w:p w14:paraId="181D7025" w14:textId="77777777" w:rsidR="0099502F" w:rsidRPr="00B71ECE" w:rsidRDefault="0099502F" w:rsidP="006B2B42">
      <w:pPr>
        <w:pStyle w:val="ListParagraph"/>
        <w:tabs>
          <w:tab w:val="left" w:pos="142"/>
        </w:tabs>
        <w:spacing w:line="360" w:lineRule="auto"/>
        <w:ind w:left="0"/>
        <w:contextualSpacing/>
        <w:rPr>
          <w:rFonts w:ascii="Times New Roman" w:hAnsi="Times New Roman"/>
          <w:color w:val="000000"/>
          <w:sz w:val="24"/>
          <w:szCs w:val="24"/>
          <w:lang w:val="en-GB" w:eastAsia="ja-JP"/>
        </w:rPr>
      </w:pPr>
      <m:oMathPara>
        <m:oMath>
          <m:r>
            <m:rPr>
              <m:sty m:val="p"/>
            </m:rPr>
            <w:rPr>
              <w:rFonts w:ascii="Cambria Math" w:hAnsi="Cambria Math"/>
              <w:color w:val="000000"/>
              <w:sz w:val="24"/>
              <w:szCs w:val="24"/>
              <w:lang w:val="sv-SE" w:eastAsia="ja-JP"/>
            </w:rPr>
            <m:t>Nutrient uptake (</m:t>
          </m:r>
          <m:sSup>
            <m:sSupPr>
              <m:ctrlPr>
                <w:rPr>
                  <w:rFonts w:ascii="Cambria Math" w:hAnsi="Cambria Math"/>
                  <w:color w:val="000000"/>
                  <w:sz w:val="24"/>
                  <w:szCs w:val="24"/>
                  <w:vertAlign w:val="superscript"/>
                  <w:lang w:val="sv-SE" w:eastAsia="ja-JP"/>
                </w:rPr>
              </m:ctrlPr>
            </m:sSupPr>
            <m:e>
              <m:r>
                <w:rPr>
                  <w:rFonts w:ascii="Cambria Math" w:hAnsi="Cambria Math"/>
                  <w:color w:val="000000"/>
                  <w:sz w:val="24"/>
                  <w:szCs w:val="24"/>
                  <w:vertAlign w:val="superscript"/>
                  <w:lang w:val="sv-SE" w:eastAsia="ja-JP"/>
                </w:rPr>
                <m:t>kg ha</m:t>
              </m:r>
            </m:e>
            <m:sup>
              <m:r>
                <w:rPr>
                  <w:rFonts w:ascii="Cambria Math" w:hAnsi="Cambria Math"/>
                  <w:color w:val="000000"/>
                  <w:sz w:val="24"/>
                  <w:szCs w:val="24"/>
                  <w:vertAlign w:val="superscript"/>
                  <w:lang w:val="sv-SE" w:eastAsia="ja-JP"/>
                </w:rPr>
                <m:t>-1</m:t>
              </m:r>
            </m:sup>
          </m:sSup>
          <m:r>
            <m:rPr>
              <m:sty m:val="p"/>
            </m:rPr>
            <w:rPr>
              <w:rFonts w:ascii="Cambria Math" w:hAnsi="Cambria Math"/>
              <w:color w:val="000000"/>
              <w:sz w:val="24"/>
              <w:szCs w:val="24"/>
              <w:lang w:val="sv-SE" w:eastAsia="ja-JP"/>
            </w:rPr>
            <m:t xml:space="preserve">)    = </m:t>
          </m:r>
          <m:f>
            <m:fPr>
              <m:ctrlPr>
                <w:rPr>
                  <w:rFonts w:ascii="Cambria Math" w:hAnsi="Cambria Math"/>
                  <w:i/>
                  <w:color w:val="000000"/>
                  <w:sz w:val="24"/>
                  <w:szCs w:val="24"/>
                  <w:lang w:val="en-GB" w:eastAsia="ja-JP"/>
                </w:rPr>
              </m:ctrlPr>
            </m:fPr>
            <m:num>
              <m:r>
                <w:rPr>
                  <w:rFonts w:ascii="Cambria Math" w:hAnsi="Cambria Math"/>
                  <w:color w:val="000000"/>
                  <w:sz w:val="24"/>
                  <w:szCs w:val="24"/>
                  <w:lang w:val="en-GB" w:eastAsia="ja-JP"/>
                </w:rPr>
                <m:t xml:space="preserve">Nutrient content </m:t>
              </m:r>
              <m:d>
                <m:dPr>
                  <m:ctrlPr>
                    <w:rPr>
                      <w:rFonts w:ascii="Cambria Math" w:hAnsi="Cambria Math"/>
                      <w:i/>
                      <w:color w:val="000000"/>
                      <w:sz w:val="24"/>
                      <w:szCs w:val="24"/>
                      <w:lang w:val="en-GB" w:eastAsia="ja-JP"/>
                    </w:rPr>
                  </m:ctrlPr>
                </m:dPr>
                <m:e>
                  <m:r>
                    <w:rPr>
                      <w:rFonts w:ascii="Cambria Math" w:hAnsi="Cambria Math"/>
                      <w:color w:val="000000"/>
                      <w:sz w:val="24"/>
                      <w:szCs w:val="24"/>
                      <w:lang w:val="en-GB" w:eastAsia="ja-JP"/>
                    </w:rPr>
                    <m:t>%</m:t>
                  </m:r>
                </m:e>
              </m:d>
              <m:r>
                <w:rPr>
                  <w:rFonts w:ascii="Cambria Math" w:hAnsi="Cambria Math"/>
                  <w:color w:val="000000"/>
                  <w:sz w:val="24"/>
                  <w:szCs w:val="24"/>
                  <w:lang w:val="en-GB" w:eastAsia="ja-JP"/>
                </w:rPr>
                <m:t>×Dryfodder yield (kg ha-1</m:t>
              </m:r>
            </m:num>
            <m:den>
              <m:r>
                <w:rPr>
                  <w:rFonts w:ascii="Cambria Math" w:hAnsi="Cambria Math"/>
                  <w:color w:val="000000"/>
                  <w:sz w:val="24"/>
                  <w:szCs w:val="24"/>
                  <w:lang w:val="en-GB" w:eastAsia="ja-JP"/>
                </w:rPr>
                <m:t>100</m:t>
              </m:r>
            </m:den>
          </m:f>
        </m:oMath>
      </m:oMathPara>
    </w:p>
    <w:p w14:paraId="3C63FAD5" w14:textId="77777777" w:rsidR="001020BF" w:rsidRPr="00B71ECE" w:rsidRDefault="001020BF" w:rsidP="006B2B42">
      <w:pPr>
        <w:pStyle w:val="ListParagraph"/>
        <w:tabs>
          <w:tab w:val="left" w:pos="142"/>
        </w:tabs>
        <w:spacing w:line="360" w:lineRule="auto"/>
        <w:ind w:left="0"/>
        <w:contextualSpacing/>
        <w:rPr>
          <w:rFonts w:ascii="Times New Roman" w:hAnsi="Times New Roman"/>
          <w:b/>
          <w:bCs/>
          <w:color w:val="000000"/>
          <w:sz w:val="24"/>
          <w:szCs w:val="24"/>
          <w:lang w:val="en-GB" w:eastAsia="ja-JP"/>
        </w:rPr>
      </w:pPr>
    </w:p>
    <w:p w14:paraId="629A8A7A" w14:textId="77777777" w:rsidR="0028205E" w:rsidRPr="00B71ECE" w:rsidRDefault="0028205E" w:rsidP="006B2B42">
      <w:pPr>
        <w:tabs>
          <w:tab w:val="left" w:pos="142"/>
        </w:tabs>
        <w:spacing w:after="0" w:line="240" w:lineRule="auto"/>
        <w:jc w:val="both"/>
        <w:rPr>
          <w:rFonts w:ascii="Times New Roman" w:hAnsi="Times New Roman" w:cs="Times New Roman"/>
          <w:b/>
          <w:bCs/>
          <w:color w:val="000000"/>
          <w:sz w:val="24"/>
          <w:szCs w:val="24"/>
          <w:lang w:val="en-GB" w:eastAsia="ja-JP"/>
        </w:rPr>
      </w:pPr>
      <w:r w:rsidRPr="00B71ECE">
        <w:rPr>
          <w:rFonts w:ascii="Times New Roman" w:hAnsi="Times New Roman" w:cs="Times New Roman"/>
          <w:b/>
          <w:bCs/>
          <w:color w:val="000000"/>
          <w:sz w:val="24"/>
          <w:szCs w:val="24"/>
          <w:lang w:val="en-GB" w:eastAsia="ja-JP"/>
        </w:rPr>
        <w:t>Table 2</w:t>
      </w:r>
      <w:r w:rsidR="005C02BB">
        <w:rPr>
          <w:rFonts w:ascii="Times New Roman" w:hAnsi="Times New Roman" w:cs="Times New Roman"/>
          <w:b/>
          <w:bCs/>
          <w:color w:val="000000"/>
          <w:sz w:val="24"/>
          <w:szCs w:val="24"/>
          <w:lang w:val="en-GB" w:eastAsia="ja-JP"/>
        </w:rPr>
        <w:t>:</w:t>
      </w:r>
      <w:r w:rsidRPr="00B71ECE">
        <w:rPr>
          <w:rFonts w:ascii="Times New Roman" w:hAnsi="Times New Roman" w:cs="Times New Roman"/>
          <w:b/>
          <w:bCs/>
          <w:color w:val="000000"/>
          <w:sz w:val="24"/>
          <w:szCs w:val="24"/>
          <w:lang w:val="en-GB" w:eastAsia="ja-JP"/>
        </w:rPr>
        <w:t xml:space="preserve"> </w:t>
      </w:r>
      <w:r w:rsidRPr="005C02BB">
        <w:rPr>
          <w:rFonts w:ascii="Times New Roman" w:hAnsi="Times New Roman" w:cs="Times New Roman"/>
          <w:bCs/>
          <w:color w:val="000000"/>
          <w:sz w:val="24"/>
          <w:szCs w:val="24"/>
          <w:lang w:val="en-GB" w:eastAsia="ja-JP"/>
        </w:rPr>
        <w:t>Details of analytical method used for nutrient analysis</w:t>
      </w:r>
    </w:p>
    <w:p w14:paraId="5DBF6700" w14:textId="77777777" w:rsidR="0028205E" w:rsidRPr="00B71ECE" w:rsidRDefault="0028205E" w:rsidP="006B2B42">
      <w:pPr>
        <w:tabs>
          <w:tab w:val="left" w:pos="142"/>
        </w:tabs>
        <w:spacing w:after="0" w:line="240" w:lineRule="auto"/>
        <w:jc w:val="both"/>
        <w:rPr>
          <w:rFonts w:ascii="Times New Roman" w:hAnsi="Times New Roman" w:cs="Times New Roman"/>
          <w:b/>
          <w:bCs/>
          <w:color w:val="000000"/>
          <w:sz w:val="24"/>
          <w:szCs w:val="24"/>
          <w:lang w:val="en-GB" w:eastAsia="ja-JP"/>
        </w:rPr>
      </w:pPr>
    </w:p>
    <w:tbl>
      <w:tblPr>
        <w:tblW w:w="0" w:type="auto"/>
        <w:tblLook w:val="00A0" w:firstRow="1" w:lastRow="0" w:firstColumn="1" w:lastColumn="0" w:noHBand="0" w:noVBand="0"/>
      </w:tblPr>
      <w:tblGrid>
        <w:gridCol w:w="936"/>
        <w:gridCol w:w="1337"/>
        <w:gridCol w:w="7102"/>
      </w:tblGrid>
      <w:tr w:rsidR="0028205E" w:rsidRPr="00B71ECE" w14:paraId="19AEA5C2" w14:textId="77777777" w:rsidTr="004F61DE">
        <w:trPr>
          <w:trHeight w:val="557"/>
        </w:trPr>
        <w:tc>
          <w:tcPr>
            <w:tcW w:w="0" w:type="auto"/>
            <w:tcBorders>
              <w:top w:val="single" w:sz="4" w:space="0" w:color="auto"/>
              <w:bottom w:val="single" w:sz="4" w:space="0" w:color="auto"/>
            </w:tcBorders>
          </w:tcPr>
          <w:p w14:paraId="12DF4E6F" w14:textId="77777777" w:rsidR="0028205E" w:rsidRPr="00070E0F" w:rsidRDefault="0028205E" w:rsidP="006B2B42">
            <w:pPr>
              <w:tabs>
                <w:tab w:val="left" w:pos="142"/>
              </w:tabs>
              <w:spacing w:before="120" w:after="120" w:line="240" w:lineRule="auto"/>
              <w:jc w:val="both"/>
              <w:rPr>
                <w:rFonts w:ascii="Times New Roman" w:hAnsi="Times New Roman" w:cs="Times New Roman"/>
                <w:sz w:val="24"/>
                <w:szCs w:val="24"/>
              </w:rPr>
            </w:pPr>
            <w:proofErr w:type="spellStart"/>
            <w:r w:rsidRPr="00070E0F">
              <w:rPr>
                <w:rFonts w:ascii="Times New Roman" w:hAnsi="Times New Roman" w:cs="Times New Roman"/>
                <w:sz w:val="24"/>
                <w:szCs w:val="24"/>
              </w:rPr>
              <w:t>S.No</w:t>
            </w:r>
            <w:proofErr w:type="spellEnd"/>
            <w:r w:rsidRPr="00070E0F">
              <w:rPr>
                <w:rFonts w:ascii="Times New Roman" w:hAnsi="Times New Roman" w:cs="Times New Roman"/>
                <w:sz w:val="24"/>
                <w:szCs w:val="24"/>
              </w:rPr>
              <w:t xml:space="preserve">.    </w:t>
            </w:r>
          </w:p>
        </w:tc>
        <w:tc>
          <w:tcPr>
            <w:tcW w:w="0" w:type="auto"/>
            <w:tcBorders>
              <w:top w:val="single" w:sz="4" w:space="0" w:color="auto"/>
              <w:bottom w:val="single" w:sz="4" w:space="0" w:color="auto"/>
            </w:tcBorders>
          </w:tcPr>
          <w:p w14:paraId="1BD0AD3A" w14:textId="77777777" w:rsidR="0028205E" w:rsidRPr="00070E0F" w:rsidRDefault="0028205E" w:rsidP="006B2B42">
            <w:pPr>
              <w:tabs>
                <w:tab w:val="left" w:pos="142"/>
              </w:tabs>
              <w:spacing w:before="120" w:after="120" w:line="240" w:lineRule="auto"/>
              <w:jc w:val="both"/>
              <w:rPr>
                <w:rFonts w:ascii="Times New Roman" w:hAnsi="Times New Roman" w:cs="Times New Roman"/>
                <w:sz w:val="24"/>
                <w:szCs w:val="24"/>
              </w:rPr>
            </w:pPr>
            <w:r w:rsidRPr="00070E0F">
              <w:rPr>
                <w:rFonts w:ascii="Times New Roman" w:hAnsi="Times New Roman" w:cs="Times New Roman"/>
                <w:sz w:val="24"/>
                <w:szCs w:val="24"/>
              </w:rPr>
              <w:t>Nutrients</w:t>
            </w:r>
          </w:p>
        </w:tc>
        <w:tc>
          <w:tcPr>
            <w:tcW w:w="7102" w:type="dxa"/>
            <w:tcBorders>
              <w:top w:val="single" w:sz="4" w:space="0" w:color="auto"/>
              <w:bottom w:val="single" w:sz="4" w:space="0" w:color="auto"/>
            </w:tcBorders>
          </w:tcPr>
          <w:p w14:paraId="2F9246B0" w14:textId="77777777" w:rsidR="0028205E" w:rsidRPr="00070E0F" w:rsidRDefault="0028205E" w:rsidP="006B2B42">
            <w:pPr>
              <w:tabs>
                <w:tab w:val="left" w:pos="142"/>
              </w:tabs>
              <w:spacing w:before="120" w:after="120" w:line="240" w:lineRule="auto"/>
              <w:jc w:val="both"/>
              <w:rPr>
                <w:rFonts w:ascii="Times New Roman" w:hAnsi="Times New Roman" w:cs="Times New Roman"/>
                <w:sz w:val="24"/>
                <w:szCs w:val="24"/>
                <w:lang w:val="en-GB" w:eastAsia="ja-JP"/>
              </w:rPr>
            </w:pPr>
            <w:r w:rsidRPr="00070E0F">
              <w:rPr>
                <w:rFonts w:ascii="Times New Roman" w:hAnsi="Times New Roman" w:cs="Times New Roman"/>
                <w:sz w:val="24"/>
                <w:szCs w:val="24"/>
                <w:lang w:val="en-GB" w:eastAsia="ja-JP"/>
              </w:rPr>
              <w:t>Methods</w:t>
            </w:r>
          </w:p>
        </w:tc>
      </w:tr>
      <w:tr w:rsidR="0028205E" w:rsidRPr="00B71ECE" w14:paraId="2ED5A233" w14:textId="77777777" w:rsidTr="004F61DE">
        <w:trPr>
          <w:trHeight w:val="70"/>
        </w:trPr>
        <w:tc>
          <w:tcPr>
            <w:tcW w:w="0" w:type="auto"/>
            <w:tcBorders>
              <w:top w:val="single" w:sz="4" w:space="0" w:color="auto"/>
            </w:tcBorders>
          </w:tcPr>
          <w:p w14:paraId="5C19B275" w14:textId="77777777" w:rsidR="0028205E" w:rsidRPr="00B71ECE" w:rsidRDefault="0028205E" w:rsidP="006B2B42">
            <w:pPr>
              <w:numPr>
                <w:ilvl w:val="0"/>
                <w:numId w:val="2"/>
              </w:numPr>
              <w:tabs>
                <w:tab w:val="left" w:pos="142"/>
              </w:tabs>
              <w:spacing w:before="120" w:after="120" w:line="240" w:lineRule="auto"/>
              <w:ind w:left="0" w:firstLine="0"/>
              <w:jc w:val="both"/>
              <w:rPr>
                <w:rFonts w:ascii="Times New Roman" w:hAnsi="Times New Roman" w:cs="Times New Roman"/>
                <w:sz w:val="24"/>
                <w:szCs w:val="24"/>
              </w:rPr>
            </w:pPr>
          </w:p>
        </w:tc>
        <w:tc>
          <w:tcPr>
            <w:tcW w:w="0" w:type="auto"/>
            <w:tcBorders>
              <w:top w:val="single" w:sz="4" w:space="0" w:color="auto"/>
            </w:tcBorders>
          </w:tcPr>
          <w:p w14:paraId="60E00812" w14:textId="77777777" w:rsidR="0028205E" w:rsidRPr="00B71ECE" w:rsidRDefault="0028205E" w:rsidP="006B2B42">
            <w:pPr>
              <w:tabs>
                <w:tab w:val="left" w:pos="142"/>
              </w:tabs>
              <w:spacing w:before="120" w:after="120" w:line="240" w:lineRule="auto"/>
              <w:jc w:val="both"/>
              <w:rPr>
                <w:rFonts w:ascii="Times New Roman" w:hAnsi="Times New Roman" w:cs="Times New Roman"/>
                <w:sz w:val="24"/>
                <w:szCs w:val="24"/>
              </w:rPr>
            </w:pPr>
            <w:r w:rsidRPr="00B71ECE">
              <w:rPr>
                <w:rFonts w:ascii="Times New Roman" w:hAnsi="Times New Roman" w:cs="Times New Roman"/>
                <w:sz w:val="24"/>
                <w:szCs w:val="24"/>
              </w:rPr>
              <w:t>Nitrogen</w:t>
            </w:r>
          </w:p>
        </w:tc>
        <w:tc>
          <w:tcPr>
            <w:tcW w:w="7102" w:type="dxa"/>
            <w:tcBorders>
              <w:top w:val="single" w:sz="4" w:space="0" w:color="auto"/>
            </w:tcBorders>
          </w:tcPr>
          <w:p w14:paraId="0DA28504" w14:textId="77777777" w:rsidR="0028205E" w:rsidRPr="00B71ECE" w:rsidRDefault="0028205E" w:rsidP="006B2B42">
            <w:pPr>
              <w:tabs>
                <w:tab w:val="left" w:pos="142"/>
              </w:tabs>
              <w:spacing w:before="120" w:after="120" w:line="240" w:lineRule="auto"/>
              <w:jc w:val="both"/>
              <w:rPr>
                <w:rFonts w:ascii="Times New Roman" w:hAnsi="Times New Roman" w:cs="Times New Roman"/>
                <w:b/>
                <w:sz w:val="24"/>
                <w:szCs w:val="24"/>
                <w:lang w:val="en-GB" w:eastAsia="ja-JP"/>
              </w:rPr>
            </w:pPr>
            <w:r w:rsidRPr="00B71ECE">
              <w:rPr>
                <w:rFonts w:ascii="Times New Roman" w:hAnsi="Times New Roman" w:cs="Times New Roman"/>
                <w:sz w:val="24"/>
                <w:szCs w:val="24"/>
              </w:rPr>
              <w:t xml:space="preserve">Nessler’s reagent colorimetric method </w:t>
            </w:r>
            <w:r w:rsidRPr="004F61DE">
              <w:rPr>
                <w:rFonts w:ascii="Times New Roman" w:hAnsi="Times New Roman" w:cs="Times New Roman"/>
                <w:sz w:val="24"/>
                <w:szCs w:val="24"/>
              </w:rPr>
              <w:t>(Lindner, 1944)</w:t>
            </w:r>
          </w:p>
        </w:tc>
      </w:tr>
      <w:tr w:rsidR="0028205E" w:rsidRPr="00B71ECE" w14:paraId="4DD4F409" w14:textId="77777777" w:rsidTr="004F61DE">
        <w:trPr>
          <w:trHeight w:val="80"/>
        </w:trPr>
        <w:tc>
          <w:tcPr>
            <w:tcW w:w="0" w:type="auto"/>
          </w:tcPr>
          <w:p w14:paraId="54BC5DC3" w14:textId="77777777" w:rsidR="0028205E" w:rsidRPr="00B71ECE" w:rsidRDefault="0028205E" w:rsidP="006B2B42">
            <w:pPr>
              <w:numPr>
                <w:ilvl w:val="0"/>
                <w:numId w:val="2"/>
              </w:numPr>
              <w:tabs>
                <w:tab w:val="left" w:pos="142"/>
              </w:tabs>
              <w:spacing w:before="120" w:after="120" w:line="240" w:lineRule="auto"/>
              <w:ind w:left="0" w:firstLine="0"/>
              <w:jc w:val="both"/>
              <w:rPr>
                <w:rFonts w:ascii="Times New Roman" w:hAnsi="Times New Roman" w:cs="Times New Roman"/>
                <w:sz w:val="24"/>
                <w:szCs w:val="24"/>
              </w:rPr>
            </w:pPr>
          </w:p>
        </w:tc>
        <w:tc>
          <w:tcPr>
            <w:tcW w:w="0" w:type="auto"/>
          </w:tcPr>
          <w:p w14:paraId="5965D682" w14:textId="77777777" w:rsidR="0028205E" w:rsidRPr="00B71ECE" w:rsidRDefault="0028205E" w:rsidP="006B2B42">
            <w:pPr>
              <w:tabs>
                <w:tab w:val="left" w:pos="142"/>
              </w:tabs>
              <w:spacing w:before="120" w:after="120" w:line="240" w:lineRule="auto"/>
              <w:jc w:val="both"/>
              <w:rPr>
                <w:rFonts w:ascii="Times New Roman" w:hAnsi="Times New Roman" w:cs="Times New Roman"/>
                <w:sz w:val="24"/>
                <w:szCs w:val="24"/>
              </w:rPr>
            </w:pPr>
            <w:r w:rsidRPr="00B71ECE">
              <w:rPr>
                <w:rFonts w:ascii="Times New Roman" w:hAnsi="Times New Roman" w:cs="Times New Roman"/>
                <w:sz w:val="24"/>
                <w:szCs w:val="24"/>
              </w:rPr>
              <w:t>Phosphorus</w:t>
            </w:r>
          </w:p>
        </w:tc>
        <w:tc>
          <w:tcPr>
            <w:tcW w:w="7102" w:type="dxa"/>
          </w:tcPr>
          <w:p w14:paraId="32E31CCF" w14:textId="77777777" w:rsidR="0028205E" w:rsidRPr="00B71ECE" w:rsidRDefault="0028205E" w:rsidP="006B2B42">
            <w:pPr>
              <w:tabs>
                <w:tab w:val="left" w:pos="142"/>
              </w:tabs>
              <w:spacing w:before="120" w:after="120" w:line="240" w:lineRule="auto"/>
              <w:jc w:val="both"/>
              <w:rPr>
                <w:rFonts w:ascii="Times New Roman" w:hAnsi="Times New Roman" w:cs="Times New Roman"/>
                <w:b/>
                <w:sz w:val="24"/>
                <w:szCs w:val="24"/>
                <w:lang w:val="en-GB" w:eastAsia="ja-JP"/>
              </w:rPr>
            </w:pPr>
            <w:r w:rsidRPr="00B71ECE">
              <w:rPr>
                <w:rFonts w:ascii="Times New Roman" w:hAnsi="Times New Roman" w:cs="Times New Roman"/>
                <w:sz w:val="24"/>
                <w:szCs w:val="24"/>
              </w:rPr>
              <w:t xml:space="preserve">Ammonium </w:t>
            </w:r>
            <w:proofErr w:type="spellStart"/>
            <w:r w:rsidRPr="00B71ECE">
              <w:rPr>
                <w:rFonts w:ascii="Times New Roman" w:hAnsi="Times New Roman" w:cs="Times New Roman"/>
                <w:sz w:val="24"/>
                <w:szCs w:val="24"/>
              </w:rPr>
              <w:t>vanadomolybdate</w:t>
            </w:r>
            <w:proofErr w:type="spellEnd"/>
            <w:r w:rsidRPr="00B71ECE">
              <w:rPr>
                <w:rFonts w:ascii="Times New Roman" w:hAnsi="Times New Roman" w:cs="Times New Roman"/>
                <w:sz w:val="24"/>
                <w:szCs w:val="24"/>
              </w:rPr>
              <w:t xml:space="preserve"> yellow colour method </w:t>
            </w:r>
            <w:r w:rsidRPr="004F61DE">
              <w:rPr>
                <w:rFonts w:ascii="Times New Roman" w:hAnsi="Times New Roman" w:cs="Times New Roman"/>
                <w:sz w:val="24"/>
                <w:szCs w:val="24"/>
              </w:rPr>
              <w:t>(Richards,1968)</w:t>
            </w:r>
          </w:p>
        </w:tc>
      </w:tr>
      <w:tr w:rsidR="0028205E" w:rsidRPr="00B71ECE" w14:paraId="4616D165" w14:textId="77777777" w:rsidTr="004F61DE">
        <w:trPr>
          <w:trHeight w:val="80"/>
        </w:trPr>
        <w:tc>
          <w:tcPr>
            <w:tcW w:w="0" w:type="auto"/>
            <w:tcBorders>
              <w:bottom w:val="single" w:sz="4" w:space="0" w:color="auto"/>
            </w:tcBorders>
          </w:tcPr>
          <w:p w14:paraId="7DA2D801" w14:textId="77777777" w:rsidR="0028205E" w:rsidRPr="00B71ECE" w:rsidRDefault="0028205E" w:rsidP="006B2B42">
            <w:pPr>
              <w:pStyle w:val="ListParagraph"/>
              <w:numPr>
                <w:ilvl w:val="0"/>
                <w:numId w:val="2"/>
              </w:numPr>
              <w:tabs>
                <w:tab w:val="left" w:pos="142"/>
              </w:tabs>
              <w:spacing w:before="120" w:after="120" w:line="240" w:lineRule="auto"/>
              <w:ind w:left="0" w:firstLine="0"/>
              <w:jc w:val="both"/>
              <w:rPr>
                <w:rFonts w:ascii="Times New Roman" w:hAnsi="Times New Roman"/>
                <w:sz w:val="24"/>
                <w:szCs w:val="24"/>
              </w:rPr>
            </w:pPr>
            <w:r w:rsidRPr="00B71ECE">
              <w:rPr>
                <w:rFonts w:ascii="Times New Roman" w:hAnsi="Times New Roman"/>
                <w:sz w:val="24"/>
                <w:szCs w:val="24"/>
              </w:rPr>
              <w:t xml:space="preserve">      </w:t>
            </w:r>
          </w:p>
        </w:tc>
        <w:tc>
          <w:tcPr>
            <w:tcW w:w="0" w:type="auto"/>
            <w:tcBorders>
              <w:bottom w:val="single" w:sz="4" w:space="0" w:color="auto"/>
            </w:tcBorders>
          </w:tcPr>
          <w:p w14:paraId="6B459D4A" w14:textId="77777777" w:rsidR="0028205E" w:rsidRPr="00B71ECE" w:rsidRDefault="0028205E" w:rsidP="006B2B42">
            <w:pPr>
              <w:tabs>
                <w:tab w:val="left" w:pos="142"/>
              </w:tabs>
              <w:spacing w:before="120" w:after="120" w:line="240" w:lineRule="auto"/>
              <w:jc w:val="both"/>
              <w:rPr>
                <w:rFonts w:ascii="Times New Roman" w:hAnsi="Times New Roman" w:cs="Times New Roman"/>
                <w:color w:val="000000"/>
                <w:sz w:val="24"/>
                <w:szCs w:val="24"/>
                <w:lang w:val="en-GB"/>
              </w:rPr>
            </w:pPr>
            <w:r w:rsidRPr="00B71ECE">
              <w:rPr>
                <w:rFonts w:ascii="Times New Roman" w:hAnsi="Times New Roman" w:cs="Times New Roman"/>
                <w:sz w:val="24"/>
                <w:szCs w:val="24"/>
              </w:rPr>
              <w:t xml:space="preserve">Potash  </w:t>
            </w:r>
          </w:p>
        </w:tc>
        <w:tc>
          <w:tcPr>
            <w:tcW w:w="7102" w:type="dxa"/>
            <w:tcBorders>
              <w:bottom w:val="single" w:sz="4" w:space="0" w:color="auto"/>
            </w:tcBorders>
          </w:tcPr>
          <w:p w14:paraId="68B014B2" w14:textId="77777777" w:rsidR="0028205E" w:rsidRPr="00B71ECE" w:rsidRDefault="0028205E" w:rsidP="006B2B42">
            <w:pPr>
              <w:tabs>
                <w:tab w:val="left" w:pos="142"/>
              </w:tabs>
              <w:spacing w:before="120" w:after="120" w:line="240" w:lineRule="auto"/>
              <w:jc w:val="both"/>
              <w:rPr>
                <w:rFonts w:ascii="Times New Roman" w:hAnsi="Times New Roman" w:cs="Times New Roman"/>
                <w:sz w:val="24"/>
                <w:szCs w:val="24"/>
              </w:rPr>
            </w:pPr>
            <w:r w:rsidRPr="00B71ECE">
              <w:rPr>
                <w:rFonts w:ascii="Times New Roman" w:hAnsi="Times New Roman" w:cs="Times New Roman"/>
                <w:color w:val="000000"/>
                <w:sz w:val="24"/>
                <w:szCs w:val="24"/>
                <w:lang w:val="en-GB"/>
              </w:rPr>
              <w:t xml:space="preserve">Triple acid digestion method </w:t>
            </w:r>
            <w:r w:rsidRPr="004F61DE">
              <w:rPr>
                <w:rFonts w:ascii="Times New Roman" w:hAnsi="Times New Roman" w:cs="Times New Roman"/>
                <w:color w:val="000000"/>
                <w:sz w:val="24"/>
                <w:szCs w:val="24"/>
                <w:lang w:val="en-GB"/>
              </w:rPr>
              <w:t>(Jackson, 1973)</w:t>
            </w:r>
          </w:p>
        </w:tc>
      </w:tr>
    </w:tbl>
    <w:p w14:paraId="746BFCA2" w14:textId="77777777" w:rsidR="001020BF" w:rsidRPr="00B71ECE" w:rsidRDefault="001020BF" w:rsidP="006B2B42">
      <w:pPr>
        <w:pStyle w:val="ListParagraph"/>
        <w:tabs>
          <w:tab w:val="left" w:pos="142"/>
        </w:tabs>
        <w:spacing w:line="360" w:lineRule="auto"/>
        <w:ind w:left="0"/>
        <w:contextualSpacing/>
        <w:rPr>
          <w:rFonts w:ascii="Times New Roman" w:hAnsi="Times New Roman"/>
          <w:bCs/>
          <w:color w:val="000000"/>
          <w:sz w:val="24"/>
          <w:szCs w:val="24"/>
          <w:lang w:val="en-GB" w:eastAsia="ja-JP"/>
        </w:rPr>
      </w:pPr>
    </w:p>
    <w:p w14:paraId="6DC7D719" w14:textId="77777777" w:rsidR="00D10401" w:rsidRDefault="00D10401" w:rsidP="006B2B42">
      <w:pPr>
        <w:tabs>
          <w:tab w:val="left" w:pos="142"/>
        </w:tabs>
        <w:spacing w:line="360" w:lineRule="auto"/>
        <w:contextualSpacing/>
        <w:jc w:val="both"/>
        <w:rPr>
          <w:rFonts w:ascii="Times New Roman" w:hAnsi="Times New Roman" w:cs="Times New Roman"/>
          <w:bCs/>
          <w:color w:val="000000"/>
          <w:sz w:val="24"/>
          <w:szCs w:val="24"/>
          <w:lang w:eastAsia="ja-JP"/>
        </w:rPr>
      </w:pPr>
      <w:r w:rsidRPr="00B71ECE">
        <w:rPr>
          <w:rFonts w:ascii="Times New Roman" w:hAnsi="Times New Roman" w:cs="Times New Roman"/>
          <w:bCs/>
          <w:color w:val="000000"/>
          <w:sz w:val="24"/>
          <w:szCs w:val="24"/>
          <w:lang w:eastAsia="ja-JP"/>
        </w:rPr>
        <w:t xml:space="preserve">The most profitable treatment was analysed by </w:t>
      </w:r>
      <w:r w:rsidR="005C02BB" w:rsidRPr="00B71ECE">
        <w:rPr>
          <w:rFonts w:ascii="Times New Roman" w:hAnsi="Times New Roman" w:cs="Times New Roman"/>
          <w:bCs/>
          <w:color w:val="000000"/>
          <w:sz w:val="24"/>
          <w:szCs w:val="24"/>
          <w:lang w:eastAsia="ja-JP"/>
        </w:rPr>
        <w:t>calculating,</w:t>
      </w:r>
      <w:r w:rsidRPr="00B71ECE">
        <w:rPr>
          <w:rFonts w:ascii="Times New Roman" w:hAnsi="Times New Roman" w:cs="Times New Roman"/>
          <w:bCs/>
          <w:color w:val="000000"/>
          <w:sz w:val="24"/>
          <w:szCs w:val="24"/>
          <w:lang w:eastAsia="ja-JP"/>
        </w:rPr>
        <w:t xml:space="preserve"> economics of different treatments in terms of net monetary return (₹ ha</w:t>
      </w:r>
      <w:r w:rsidRPr="00B71ECE">
        <w:rPr>
          <w:rFonts w:ascii="Times New Roman" w:hAnsi="Times New Roman" w:cs="Times New Roman"/>
          <w:bCs/>
          <w:color w:val="000000"/>
          <w:sz w:val="24"/>
          <w:szCs w:val="24"/>
          <w:vertAlign w:val="superscript"/>
          <w:lang w:eastAsia="ja-JP"/>
        </w:rPr>
        <w:t>-1</w:t>
      </w:r>
      <w:r w:rsidRPr="00B71ECE">
        <w:rPr>
          <w:rFonts w:ascii="Times New Roman" w:hAnsi="Times New Roman" w:cs="Times New Roman"/>
          <w:bCs/>
          <w:color w:val="000000"/>
          <w:sz w:val="24"/>
          <w:szCs w:val="24"/>
          <w:lang w:eastAsia="ja-JP"/>
        </w:rPr>
        <w:t xml:space="preserve">) by subtracting the cost of treatment and the cost of cultivation from gross income obtained. Cost of cultivation was calculated on the basis of prevailing prices of produce and inputs. </w:t>
      </w:r>
    </w:p>
    <w:p w14:paraId="2693CADA" w14:textId="77777777" w:rsidR="0099502F" w:rsidRPr="00B71ECE" w:rsidRDefault="0099502F" w:rsidP="005C02BB">
      <w:pPr>
        <w:pStyle w:val="ListParagraph"/>
        <w:tabs>
          <w:tab w:val="left" w:pos="142"/>
        </w:tabs>
        <w:spacing w:line="360" w:lineRule="auto"/>
        <w:ind w:left="0"/>
        <w:contextualSpacing/>
        <w:rPr>
          <w:rFonts w:ascii="Times New Roman" w:hAnsi="Times New Roman"/>
          <w:bCs/>
          <w:color w:val="000000"/>
          <w:sz w:val="24"/>
          <w:szCs w:val="24"/>
          <w:lang w:eastAsia="ja-JP"/>
        </w:rPr>
      </w:pPr>
      <m:oMathPara>
        <m:oMath>
          <m:r>
            <m:rPr>
              <m:sty m:val="p"/>
            </m:rPr>
            <w:rPr>
              <w:rFonts w:ascii="Cambria Math" w:hAnsi="Cambria Math"/>
              <w:color w:val="000000"/>
              <w:sz w:val="24"/>
              <w:szCs w:val="24"/>
              <w:lang w:eastAsia="ja-JP"/>
            </w:rPr>
            <m:t>Net return (</m:t>
          </m:r>
          <m:r>
            <m:rPr>
              <m:sty m:val="p"/>
            </m:rPr>
            <w:rPr>
              <w:rFonts w:ascii="Cambria Math" w:hAnsi="Cambria Math"/>
              <w:bCs/>
              <w:noProof/>
              <w:color w:val="000000"/>
              <w:sz w:val="24"/>
              <w:szCs w:val="24"/>
            </w:rPr>
            <w:drawing>
              <wp:inline distT="0" distB="0" distL="0" distR="0" wp14:anchorId="1575F408" wp14:editId="691F97A4">
                <wp:extent cx="69215" cy="94615"/>
                <wp:effectExtent l="19050" t="0" r="6985" b="0"/>
                <wp:docPr id="6" name="Picture 1" descr="Indian Rupee ₹">
                  <a:hlinkClick xmlns:a="http://schemas.openxmlformats.org/drawingml/2006/main" r:id="rId12" tooltip="Indian rupe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
                        <pic:cNvPicPr>
                          <a:picLocks noChangeAspect="1" noChangeArrowheads="1"/>
                        </pic:cNvPicPr>
                      </pic:nvPicPr>
                      <pic:blipFill>
                        <a:blip r:embed="rId13" cstate="print"/>
                        <a:srcRect/>
                        <a:stretch>
                          <a:fillRect/>
                        </a:stretch>
                      </pic:blipFill>
                      <pic:spPr bwMode="auto">
                        <a:xfrm>
                          <a:off x="0" y="0"/>
                          <a:ext cx="69215" cy="94615"/>
                        </a:xfrm>
                        <a:prstGeom prst="rect">
                          <a:avLst/>
                        </a:prstGeom>
                        <a:noFill/>
                        <a:ln w="9525">
                          <a:noFill/>
                          <a:miter lim="800000"/>
                          <a:headEnd/>
                          <a:tailEnd/>
                        </a:ln>
                      </pic:spPr>
                    </pic:pic>
                  </a:graphicData>
                </a:graphic>
              </wp:inline>
            </w:drawing>
          </m:r>
          <m:r>
            <m:rPr>
              <m:sty m:val="p"/>
            </m:rPr>
            <w:rPr>
              <w:rFonts w:ascii="Cambria Math" w:hAnsi="Cambria Math"/>
              <w:color w:val="000000"/>
              <w:sz w:val="24"/>
              <w:szCs w:val="24"/>
              <w:lang w:eastAsia="ja-JP"/>
            </w:rPr>
            <m:t xml:space="preserve"> ha</m:t>
          </m:r>
          <m:r>
            <m:rPr>
              <m:sty m:val="p"/>
            </m:rPr>
            <w:rPr>
              <w:rFonts w:ascii="Cambria Math" w:hAnsi="Cambria Math"/>
              <w:color w:val="000000"/>
              <w:sz w:val="24"/>
              <w:szCs w:val="24"/>
              <w:vertAlign w:val="superscript"/>
              <w:lang w:eastAsia="ja-JP"/>
            </w:rPr>
            <m:t>-1</m:t>
          </m:r>
          <m:r>
            <m:rPr>
              <m:sty m:val="p"/>
            </m:rPr>
            <w:rPr>
              <w:rFonts w:ascii="Cambria Math" w:hAnsi="Cambria Math"/>
              <w:color w:val="000000"/>
              <w:sz w:val="24"/>
              <w:szCs w:val="24"/>
              <w:lang w:eastAsia="ja-JP"/>
            </w:rPr>
            <m:t xml:space="preserve">) Gross return </m:t>
          </m:r>
          <m:sSup>
            <m:sSupPr>
              <m:ctrlPr>
                <w:rPr>
                  <w:rFonts w:ascii="Cambria Math" w:hAnsi="Cambria Math"/>
                  <w:color w:val="000000"/>
                  <w:sz w:val="24"/>
                  <w:szCs w:val="24"/>
                  <w:lang w:eastAsia="ja-JP"/>
                </w:rPr>
              </m:ctrlPr>
            </m:sSupPr>
            <m:e>
              <m:r>
                <w:rPr>
                  <w:rFonts w:ascii="Cambria Math" w:hAnsi="Cambria Math"/>
                  <w:color w:val="000000"/>
                  <w:sz w:val="24"/>
                  <w:szCs w:val="24"/>
                  <w:lang w:eastAsia="ja-JP"/>
                </w:rPr>
                <m:t>ha</m:t>
              </m:r>
            </m:e>
            <m:sup>
              <m:r>
                <w:rPr>
                  <w:rFonts w:ascii="Cambria Math" w:hAnsi="Cambria Math"/>
                  <w:color w:val="000000"/>
                  <w:sz w:val="24"/>
                  <w:szCs w:val="24"/>
                  <w:lang w:eastAsia="ja-JP"/>
                </w:rPr>
                <m:t>-1</m:t>
              </m:r>
            </m:sup>
          </m:sSup>
          <m:r>
            <m:rPr>
              <m:sty m:val="p"/>
            </m:rPr>
            <w:rPr>
              <w:rFonts w:ascii="Cambria Math" w:hAnsi="Cambria Math"/>
              <w:color w:val="000000"/>
              <w:sz w:val="24"/>
              <w:szCs w:val="24"/>
              <w:lang w:eastAsia="ja-JP"/>
            </w:rPr>
            <m:t xml:space="preserve"> – cost of culti</m:t>
          </m:r>
          <m:r>
            <w:rPr>
              <w:rStyle w:val="PlaceholderText"/>
              <w:rFonts w:ascii="Cambria Math" w:hAnsi="Cambria Math"/>
            </w:rPr>
            <m:t>.</m:t>
          </m:r>
          <m:r>
            <m:rPr>
              <m:sty m:val="p"/>
            </m:rPr>
            <w:rPr>
              <w:rFonts w:ascii="Cambria Math" w:hAnsi="Cambria Math"/>
              <w:color w:val="000000"/>
              <w:sz w:val="24"/>
              <w:szCs w:val="24"/>
              <w:lang w:eastAsia="ja-JP"/>
            </w:rPr>
            <m:t xml:space="preserve"> vation </m:t>
          </m:r>
          <m:sSup>
            <m:sSupPr>
              <m:ctrlPr>
                <w:rPr>
                  <w:rFonts w:ascii="Cambria Math" w:hAnsi="Cambria Math"/>
                  <w:color w:val="000000"/>
                  <w:sz w:val="24"/>
                  <w:szCs w:val="24"/>
                  <w:lang w:eastAsia="ja-JP"/>
                </w:rPr>
              </m:ctrlPr>
            </m:sSupPr>
            <m:e>
              <m:r>
                <w:rPr>
                  <w:rFonts w:ascii="Cambria Math" w:hAnsi="Cambria Math"/>
                  <w:color w:val="000000"/>
                  <w:sz w:val="24"/>
                  <w:szCs w:val="24"/>
                  <w:lang w:eastAsia="ja-JP"/>
                </w:rPr>
                <m:t>ha</m:t>
              </m:r>
            </m:e>
            <m:sup>
              <m:r>
                <w:rPr>
                  <w:rFonts w:ascii="Cambria Math" w:hAnsi="Cambria Math"/>
                  <w:color w:val="000000"/>
                  <w:sz w:val="24"/>
                  <w:szCs w:val="24"/>
                  <w:lang w:eastAsia="ja-JP"/>
                </w:rPr>
                <m:t>-1</m:t>
              </m:r>
            </m:sup>
          </m:sSup>
        </m:oMath>
      </m:oMathPara>
    </w:p>
    <w:p w14:paraId="0ED9CEE9" w14:textId="77777777" w:rsidR="00350BD3" w:rsidRDefault="00350BD3" w:rsidP="006B2B42">
      <w:pPr>
        <w:pStyle w:val="ListParagraph"/>
        <w:tabs>
          <w:tab w:val="left" w:pos="142"/>
        </w:tabs>
        <w:spacing w:line="360" w:lineRule="auto"/>
        <w:ind w:left="0"/>
        <w:contextualSpacing/>
        <w:rPr>
          <w:rFonts w:ascii="Times New Roman" w:hAnsi="Times New Roman"/>
          <w:bCs/>
          <w:color w:val="000000"/>
          <w:sz w:val="24"/>
          <w:szCs w:val="24"/>
          <w:lang w:eastAsia="ja-JP"/>
        </w:rPr>
      </w:pPr>
    </w:p>
    <w:p w14:paraId="54E37F95" w14:textId="77777777" w:rsidR="00526FDA" w:rsidRDefault="00526FDA" w:rsidP="006B2B42">
      <w:pPr>
        <w:pStyle w:val="ListParagraph"/>
        <w:tabs>
          <w:tab w:val="left" w:pos="142"/>
        </w:tabs>
        <w:spacing w:line="360" w:lineRule="auto"/>
        <w:ind w:left="0"/>
        <w:contextualSpacing/>
        <w:rPr>
          <w:rFonts w:ascii="Times New Roman" w:hAnsi="Times New Roman"/>
          <w:bCs/>
          <w:color w:val="000000"/>
          <w:sz w:val="24"/>
          <w:szCs w:val="24"/>
          <w:lang w:eastAsia="ja-JP"/>
        </w:rPr>
      </w:pPr>
      <m:oMathPara>
        <m:oMath>
          <m:r>
            <m:rPr>
              <m:sty m:val="p"/>
            </m:rPr>
            <w:rPr>
              <w:rFonts w:ascii="Cambria Math" w:hAnsi="Cambria Math"/>
              <w:color w:val="000000"/>
              <w:sz w:val="24"/>
              <w:szCs w:val="24"/>
              <w:lang w:eastAsia="ja-JP"/>
            </w:rPr>
            <m:t xml:space="preserve">Benefit/ Cost = </m:t>
          </m:r>
          <m:f>
            <m:fPr>
              <m:ctrlPr>
                <w:rPr>
                  <w:rFonts w:ascii="Cambria Math" w:hAnsi="Cambria Math"/>
                  <w:bCs/>
                  <w:i/>
                  <w:color w:val="000000"/>
                  <w:sz w:val="24"/>
                  <w:szCs w:val="24"/>
                  <w:lang w:eastAsia="ja-JP"/>
                </w:rPr>
              </m:ctrlPr>
            </m:fPr>
            <m:num>
              <m:r>
                <m:rPr>
                  <m:sty m:val="p"/>
                </m:rPr>
                <w:rPr>
                  <w:rFonts w:ascii="Cambria Math" w:hAnsi="Cambria Math"/>
                  <w:color w:val="000000"/>
                  <w:sz w:val="24"/>
                  <w:szCs w:val="24"/>
                  <w:lang w:eastAsia="ja-JP"/>
                </w:rPr>
                <m:t>Net return (</m:t>
              </m:r>
              <m:r>
                <m:rPr>
                  <m:sty m:val="p"/>
                </m:rPr>
                <w:rPr>
                  <w:rFonts w:ascii="Cambria Math" w:hAnsi="Cambria Math"/>
                  <w:bCs/>
                  <w:noProof/>
                  <w:color w:val="000000"/>
                  <w:sz w:val="24"/>
                  <w:szCs w:val="24"/>
                </w:rPr>
                <w:drawing>
                  <wp:inline distT="0" distB="0" distL="0" distR="0" wp14:anchorId="7C096C61" wp14:editId="108FC478">
                    <wp:extent cx="69215" cy="94615"/>
                    <wp:effectExtent l="19050" t="0" r="6985" b="0"/>
                    <wp:docPr id="1" name="Picture 1" descr="Indian Rupee ₹">
                      <a:hlinkClick xmlns:a="http://schemas.openxmlformats.org/drawingml/2006/main" r:id="rId12" tooltip="Indian rupe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
                            <pic:cNvPicPr>
                              <a:picLocks noChangeAspect="1" noChangeArrowheads="1"/>
                            </pic:cNvPicPr>
                          </pic:nvPicPr>
                          <pic:blipFill>
                            <a:blip r:embed="rId13" cstate="print"/>
                            <a:srcRect/>
                            <a:stretch>
                              <a:fillRect/>
                            </a:stretch>
                          </pic:blipFill>
                          <pic:spPr bwMode="auto">
                            <a:xfrm>
                              <a:off x="0" y="0"/>
                              <a:ext cx="69215" cy="94615"/>
                            </a:xfrm>
                            <a:prstGeom prst="rect">
                              <a:avLst/>
                            </a:prstGeom>
                            <a:noFill/>
                            <a:ln w="9525">
                              <a:noFill/>
                              <a:miter lim="800000"/>
                              <a:headEnd/>
                              <a:tailEnd/>
                            </a:ln>
                          </pic:spPr>
                        </pic:pic>
                      </a:graphicData>
                    </a:graphic>
                  </wp:inline>
                </w:drawing>
              </m:r>
              <m:r>
                <m:rPr>
                  <m:sty m:val="p"/>
                </m:rPr>
                <w:rPr>
                  <w:rFonts w:ascii="Cambria Math" w:hAnsi="Cambria Math"/>
                  <w:color w:val="000000"/>
                  <w:sz w:val="24"/>
                  <w:szCs w:val="24"/>
                  <w:lang w:eastAsia="ja-JP"/>
                </w:rPr>
                <m:t xml:space="preserve"> </m:t>
              </m:r>
              <m:sSup>
                <m:sSupPr>
                  <m:ctrlPr>
                    <w:rPr>
                      <w:rFonts w:ascii="Cambria Math" w:hAnsi="Cambria Math"/>
                      <w:color w:val="000000"/>
                      <w:sz w:val="24"/>
                      <w:szCs w:val="24"/>
                      <w:lang w:eastAsia="ja-JP"/>
                    </w:rPr>
                  </m:ctrlPr>
                </m:sSupPr>
                <m:e>
                  <m:r>
                    <w:rPr>
                      <w:rFonts w:ascii="Cambria Math" w:hAnsi="Cambria Math"/>
                      <w:color w:val="000000"/>
                      <w:sz w:val="24"/>
                      <w:szCs w:val="24"/>
                      <w:lang w:eastAsia="ja-JP"/>
                    </w:rPr>
                    <m:t>ha</m:t>
                  </m:r>
                </m:e>
                <m:sup>
                  <m:r>
                    <w:rPr>
                      <w:rFonts w:ascii="Cambria Math" w:hAnsi="Cambria Math"/>
                      <w:color w:val="000000"/>
                      <w:sz w:val="24"/>
                      <w:szCs w:val="24"/>
                      <w:lang w:eastAsia="ja-JP"/>
                    </w:rPr>
                    <m:t>-1</m:t>
                  </m:r>
                </m:sup>
              </m:sSup>
              <m:r>
                <m:rPr>
                  <m:sty m:val="p"/>
                </m:rPr>
                <w:rPr>
                  <w:rFonts w:ascii="Cambria Math" w:hAnsi="Cambria Math"/>
                  <w:color w:val="000000"/>
                  <w:sz w:val="24"/>
                  <w:szCs w:val="24"/>
                  <w:lang w:eastAsia="ja-JP"/>
                </w:rPr>
                <m:t>)</m:t>
              </m:r>
            </m:num>
            <m:den>
              <m:r>
                <m:rPr>
                  <m:sty m:val="p"/>
                </m:rPr>
                <w:rPr>
                  <w:rFonts w:ascii="Cambria Math" w:hAnsi="Cambria Math"/>
                  <w:color w:val="000000"/>
                  <w:sz w:val="24"/>
                  <w:szCs w:val="24"/>
                  <w:lang w:eastAsia="ja-JP"/>
                </w:rPr>
                <m:t>Total cost [cost of cultivation + treatment (</m:t>
              </m:r>
              <m:r>
                <m:rPr>
                  <m:sty m:val="p"/>
                </m:rPr>
                <w:rPr>
                  <w:rFonts w:ascii="Cambria Math" w:hAnsi="Cambria Math"/>
                  <w:bCs/>
                  <w:noProof/>
                  <w:color w:val="000000"/>
                  <w:sz w:val="24"/>
                  <w:szCs w:val="24"/>
                </w:rPr>
                <w:drawing>
                  <wp:inline distT="0" distB="0" distL="0" distR="0" wp14:anchorId="7670F38D" wp14:editId="663C5EC2">
                    <wp:extent cx="69215" cy="94615"/>
                    <wp:effectExtent l="19050" t="0" r="6985" b="0"/>
                    <wp:docPr id="2" name="Picture 1" descr="Indian Rupee ₹">
                      <a:hlinkClick xmlns:a="http://schemas.openxmlformats.org/drawingml/2006/main" r:id="rId12" tooltip="Indian rupe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an Rupee ₹"/>
                            <pic:cNvPicPr>
                              <a:picLocks noChangeAspect="1" noChangeArrowheads="1"/>
                            </pic:cNvPicPr>
                          </pic:nvPicPr>
                          <pic:blipFill>
                            <a:blip r:embed="rId13" cstate="print"/>
                            <a:srcRect/>
                            <a:stretch>
                              <a:fillRect/>
                            </a:stretch>
                          </pic:blipFill>
                          <pic:spPr bwMode="auto">
                            <a:xfrm>
                              <a:off x="0" y="0"/>
                              <a:ext cx="69215" cy="94615"/>
                            </a:xfrm>
                            <a:prstGeom prst="rect">
                              <a:avLst/>
                            </a:prstGeom>
                            <a:noFill/>
                            <a:ln w="9525">
                              <a:noFill/>
                              <a:miter lim="800000"/>
                              <a:headEnd/>
                              <a:tailEnd/>
                            </a:ln>
                          </pic:spPr>
                        </pic:pic>
                      </a:graphicData>
                    </a:graphic>
                  </wp:inline>
                </w:drawing>
              </m:r>
              <m:r>
                <m:rPr>
                  <m:sty m:val="p"/>
                </m:rPr>
                <w:rPr>
                  <w:rFonts w:ascii="Cambria Math" w:hAnsi="Cambria Math"/>
                  <w:color w:val="000000"/>
                  <w:sz w:val="24"/>
                  <w:szCs w:val="24"/>
                  <w:lang w:eastAsia="ja-JP"/>
                </w:rPr>
                <m:t xml:space="preserve"> </m:t>
              </m:r>
              <m:sSup>
                <m:sSupPr>
                  <m:ctrlPr>
                    <w:rPr>
                      <w:rFonts w:ascii="Cambria Math" w:hAnsi="Cambria Math"/>
                      <w:color w:val="000000"/>
                      <w:sz w:val="24"/>
                      <w:szCs w:val="24"/>
                      <w:lang w:eastAsia="ja-JP"/>
                    </w:rPr>
                  </m:ctrlPr>
                </m:sSupPr>
                <m:e>
                  <m:r>
                    <w:rPr>
                      <w:rFonts w:ascii="Cambria Math" w:hAnsi="Cambria Math"/>
                      <w:color w:val="000000"/>
                      <w:sz w:val="24"/>
                      <w:szCs w:val="24"/>
                      <w:lang w:eastAsia="ja-JP"/>
                    </w:rPr>
                    <m:t>ha</m:t>
                  </m:r>
                </m:e>
                <m:sup>
                  <m:r>
                    <w:rPr>
                      <w:rFonts w:ascii="Cambria Math" w:hAnsi="Cambria Math"/>
                      <w:color w:val="000000"/>
                      <w:sz w:val="24"/>
                      <w:szCs w:val="24"/>
                      <w:lang w:eastAsia="ja-JP"/>
                    </w:rPr>
                    <m:t>-1</m:t>
                  </m:r>
                </m:sup>
              </m:sSup>
              <m:r>
                <m:rPr>
                  <m:sty m:val="p"/>
                </m:rPr>
                <w:rPr>
                  <w:rFonts w:ascii="Cambria Math" w:hAnsi="Cambria Math"/>
                  <w:color w:val="000000"/>
                  <w:sz w:val="24"/>
                  <w:szCs w:val="24"/>
                  <w:lang w:eastAsia="ja-JP"/>
                </w:rPr>
                <m:t>)</m:t>
              </m:r>
            </m:den>
          </m:f>
        </m:oMath>
      </m:oMathPara>
    </w:p>
    <w:p w14:paraId="36A26726" w14:textId="77777777" w:rsidR="00526FDA" w:rsidRPr="00B71ECE" w:rsidRDefault="00526FDA" w:rsidP="006B2B42">
      <w:pPr>
        <w:pStyle w:val="ListParagraph"/>
        <w:tabs>
          <w:tab w:val="left" w:pos="142"/>
        </w:tabs>
        <w:spacing w:line="360" w:lineRule="auto"/>
        <w:ind w:left="0"/>
        <w:contextualSpacing/>
        <w:rPr>
          <w:rFonts w:ascii="Times New Roman" w:hAnsi="Times New Roman"/>
          <w:bCs/>
          <w:color w:val="000000"/>
          <w:sz w:val="24"/>
          <w:szCs w:val="24"/>
          <w:lang w:eastAsia="ja-JP"/>
        </w:rPr>
      </w:pPr>
    </w:p>
    <w:p w14:paraId="0F5BE57D" w14:textId="77777777" w:rsidR="00350BD3" w:rsidRPr="00B71ECE" w:rsidRDefault="00350BD3" w:rsidP="006B2B42">
      <w:pPr>
        <w:tabs>
          <w:tab w:val="left" w:pos="142"/>
        </w:tabs>
        <w:rPr>
          <w:rFonts w:ascii="Times New Roman" w:hAnsi="Times New Roman" w:cs="Times New Roman"/>
          <w:b/>
          <w:sz w:val="24"/>
          <w:szCs w:val="24"/>
        </w:rPr>
      </w:pPr>
      <w:r w:rsidRPr="00B71ECE">
        <w:rPr>
          <w:rFonts w:ascii="Times New Roman" w:hAnsi="Times New Roman" w:cs="Times New Roman"/>
          <w:b/>
          <w:bCs/>
          <w:color w:val="000000"/>
          <w:sz w:val="24"/>
          <w:szCs w:val="24"/>
          <w:lang w:val="en-GB" w:eastAsia="ja-JP"/>
        </w:rPr>
        <w:t>2.</w:t>
      </w:r>
      <w:r w:rsidR="00070E0F">
        <w:rPr>
          <w:rFonts w:ascii="Times New Roman" w:hAnsi="Times New Roman" w:cs="Times New Roman"/>
          <w:b/>
          <w:bCs/>
          <w:color w:val="000000"/>
          <w:sz w:val="24"/>
          <w:szCs w:val="24"/>
          <w:lang w:val="en-GB" w:eastAsia="ja-JP"/>
        </w:rPr>
        <w:t>7</w:t>
      </w:r>
      <w:r w:rsidRPr="00B71ECE">
        <w:rPr>
          <w:rFonts w:ascii="Times New Roman" w:hAnsi="Times New Roman" w:cs="Times New Roman"/>
          <w:b/>
          <w:bCs/>
          <w:color w:val="000000"/>
          <w:sz w:val="24"/>
          <w:szCs w:val="24"/>
          <w:lang w:val="en-GB" w:eastAsia="ja-JP"/>
        </w:rPr>
        <w:t xml:space="preserve"> </w:t>
      </w:r>
      <w:r w:rsidRPr="00B71ECE">
        <w:rPr>
          <w:rFonts w:ascii="Times New Roman" w:hAnsi="Times New Roman" w:cs="Times New Roman"/>
          <w:b/>
          <w:sz w:val="24"/>
          <w:szCs w:val="24"/>
        </w:rPr>
        <w:t>STATISTICAL ANALYSIS</w:t>
      </w:r>
    </w:p>
    <w:p w14:paraId="537FA73A" w14:textId="77777777" w:rsidR="00350BD3" w:rsidRPr="00B71ECE" w:rsidRDefault="00070E0F" w:rsidP="00070E0F">
      <w:pPr>
        <w:tabs>
          <w:tab w:val="left" w:pos="142"/>
        </w:tabs>
        <w:spacing w:line="360" w:lineRule="auto"/>
        <w:contextualSpacing/>
        <w:jc w:val="both"/>
        <w:rPr>
          <w:rFonts w:ascii="Times New Roman" w:hAnsi="Times New Roman" w:cs="Times New Roman"/>
          <w:bCs/>
          <w:color w:val="000000"/>
          <w:sz w:val="24"/>
          <w:szCs w:val="24"/>
          <w:lang w:eastAsia="ja-JP"/>
        </w:rPr>
      </w:pPr>
      <w:r>
        <w:rPr>
          <w:rFonts w:ascii="Times New Roman" w:hAnsi="Times New Roman" w:cs="Times New Roman"/>
          <w:sz w:val="24"/>
          <w:szCs w:val="24"/>
        </w:rPr>
        <w:tab/>
      </w:r>
      <w:r w:rsidR="00952302" w:rsidRPr="0099502F">
        <w:rPr>
          <w:rFonts w:ascii="Times New Roman" w:hAnsi="Times New Roman" w:cs="Times New Roman"/>
          <w:sz w:val="24"/>
          <w:szCs w:val="24"/>
        </w:rPr>
        <w:t xml:space="preserve">The experimental data were statistically </w:t>
      </w:r>
      <w:proofErr w:type="spellStart"/>
      <w:r w:rsidR="00952302" w:rsidRPr="0099502F">
        <w:rPr>
          <w:rFonts w:ascii="Times New Roman" w:hAnsi="Times New Roman" w:cs="Times New Roman"/>
          <w:sz w:val="24"/>
          <w:szCs w:val="24"/>
        </w:rPr>
        <w:t>analyzed</w:t>
      </w:r>
      <w:proofErr w:type="spellEnd"/>
      <w:r w:rsidR="00952302" w:rsidRPr="0099502F">
        <w:rPr>
          <w:rFonts w:ascii="Times New Roman" w:hAnsi="Times New Roman" w:cs="Times New Roman"/>
          <w:sz w:val="24"/>
          <w:szCs w:val="24"/>
        </w:rPr>
        <w:t xml:space="preserve"> using ANOVA as per Fisher (1950). Significant treatment effects at the 5% level were identified using the "F" test.</w:t>
      </w:r>
      <w:r w:rsidR="00952302" w:rsidRPr="00B71ECE">
        <w:rPr>
          <w:rFonts w:ascii="Times New Roman" w:hAnsi="Times New Roman" w:cs="Times New Roman"/>
          <w:sz w:val="24"/>
          <w:szCs w:val="24"/>
        </w:rPr>
        <w:t xml:space="preserve"> </w:t>
      </w:r>
      <w:r w:rsidRPr="00070E0F">
        <w:rPr>
          <w:rFonts w:ascii="Times New Roman" w:hAnsi="Times New Roman" w:cs="Times New Roman"/>
          <w:sz w:val="24"/>
          <w:szCs w:val="24"/>
        </w:rPr>
        <w:t>The Least Significant Difference (LSD) test was</w:t>
      </w:r>
      <w:r>
        <w:rPr>
          <w:rFonts w:ascii="Times New Roman" w:hAnsi="Times New Roman" w:cs="Times New Roman"/>
          <w:sz w:val="24"/>
          <w:szCs w:val="24"/>
        </w:rPr>
        <w:t xml:space="preserve"> </w:t>
      </w:r>
      <w:r w:rsidRPr="00070E0F">
        <w:rPr>
          <w:rFonts w:ascii="Times New Roman" w:hAnsi="Times New Roman" w:cs="Times New Roman"/>
          <w:sz w:val="24"/>
          <w:szCs w:val="24"/>
        </w:rPr>
        <w:t>then employed to compare treatment means at a</w:t>
      </w:r>
      <w:r>
        <w:rPr>
          <w:rFonts w:ascii="Times New Roman" w:hAnsi="Times New Roman" w:cs="Times New Roman"/>
          <w:sz w:val="24"/>
          <w:szCs w:val="24"/>
        </w:rPr>
        <w:t xml:space="preserve"> </w:t>
      </w:r>
      <w:r w:rsidRPr="00070E0F">
        <w:rPr>
          <w:rFonts w:ascii="Times New Roman" w:hAnsi="Times New Roman" w:cs="Times New Roman"/>
          <w:sz w:val="24"/>
          <w:szCs w:val="24"/>
        </w:rPr>
        <w:t>5% significance level.</w:t>
      </w:r>
    </w:p>
    <w:p w14:paraId="633F4C76" w14:textId="77777777" w:rsidR="00350BD3" w:rsidRPr="00B71ECE" w:rsidRDefault="00350BD3" w:rsidP="006B2B42">
      <w:pPr>
        <w:tabs>
          <w:tab w:val="left" w:pos="142"/>
        </w:tabs>
        <w:spacing w:line="360" w:lineRule="auto"/>
        <w:contextualSpacing/>
        <w:rPr>
          <w:rFonts w:ascii="Times New Roman" w:hAnsi="Times New Roman" w:cs="Times New Roman"/>
          <w:bCs/>
          <w:color w:val="000000"/>
          <w:sz w:val="24"/>
          <w:szCs w:val="24"/>
          <w:lang w:eastAsia="ja-JP"/>
        </w:rPr>
      </w:pPr>
    </w:p>
    <w:p w14:paraId="0E653665" w14:textId="77777777" w:rsidR="00E67909" w:rsidRPr="00B71ECE" w:rsidRDefault="004A7FF6" w:rsidP="006B2B42">
      <w:pPr>
        <w:tabs>
          <w:tab w:val="left" w:pos="142"/>
        </w:tabs>
        <w:spacing w:line="360" w:lineRule="auto"/>
        <w:jc w:val="both"/>
        <w:rPr>
          <w:rFonts w:ascii="Times New Roman" w:hAnsi="Times New Roman" w:cs="Times New Roman"/>
          <w:b/>
          <w:sz w:val="24"/>
          <w:szCs w:val="24"/>
        </w:rPr>
      </w:pPr>
      <w:r w:rsidRPr="00B71ECE">
        <w:rPr>
          <w:rFonts w:ascii="Times New Roman" w:hAnsi="Times New Roman" w:cs="Times New Roman"/>
          <w:b/>
          <w:sz w:val="24"/>
          <w:szCs w:val="24"/>
        </w:rPr>
        <w:t>3. RESULTS AND DISCUSSION</w:t>
      </w:r>
    </w:p>
    <w:p w14:paraId="5BE466E7" w14:textId="77777777" w:rsidR="0099502F" w:rsidRDefault="00F56AFD" w:rsidP="006B2B42">
      <w:pPr>
        <w:tabs>
          <w:tab w:val="left" w:pos="142"/>
        </w:tabs>
        <w:rPr>
          <w:rFonts w:ascii="Times New Roman" w:hAnsi="Times New Roman" w:cs="Times New Roman"/>
          <w:b/>
          <w:sz w:val="24"/>
          <w:szCs w:val="24"/>
        </w:rPr>
      </w:pPr>
      <w:r w:rsidRPr="00B71ECE">
        <w:rPr>
          <w:rFonts w:ascii="Times New Roman" w:hAnsi="Times New Roman" w:cs="Times New Roman"/>
          <w:b/>
          <w:sz w:val="24"/>
          <w:szCs w:val="24"/>
        </w:rPr>
        <w:t>3.1</w:t>
      </w:r>
      <w:r w:rsidR="00516A56">
        <w:rPr>
          <w:rFonts w:ascii="Times New Roman" w:hAnsi="Times New Roman" w:cs="Times New Roman"/>
          <w:b/>
          <w:sz w:val="24"/>
          <w:szCs w:val="24"/>
        </w:rPr>
        <w:t xml:space="preserve"> Growth Attributes</w:t>
      </w:r>
    </w:p>
    <w:p w14:paraId="644C9E2F" w14:textId="77777777" w:rsidR="00173175" w:rsidRPr="003674E0" w:rsidRDefault="00516A56" w:rsidP="00070E0F">
      <w:pPr>
        <w:tabs>
          <w:tab w:val="left" w:pos="142"/>
        </w:tabs>
        <w:spacing w:line="36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00F56AFD" w:rsidRPr="00B71ECE">
        <w:rPr>
          <w:rFonts w:ascii="Times New Roman" w:eastAsia="Times New Roman" w:hAnsi="Times New Roman" w:cs="Times New Roman"/>
          <w:color w:val="000000" w:themeColor="text1"/>
          <w:sz w:val="24"/>
          <w:szCs w:val="24"/>
        </w:rPr>
        <w:t>Data on plant stand (no. m</w:t>
      </w:r>
      <w:r w:rsidR="00F56AFD" w:rsidRPr="00B71ECE">
        <w:rPr>
          <w:rFonts w:ascii="Times New Roman" w:eastAsia="Times New Roman" w:hAnsi="Times New Roman" w:cs="Times New Roman"/>
          <w:color w:val="000000" w:themeColor="text1"/>
          <w:sz w:val="24"/>
          <w:szCs w:val="24"/>
          <w:vertAlign w:val="superscript"/>
        </w:rPr>
        <w:t>-2</w:t>
      </w:r>
      <w:r w:rsidR="00F56AFD" w:rsidRPr="00B71ECE">
        <w:rPr>
          <w:rFonts w:ascii="Times New Roman" w:eastAsia="Times New Roman" w:hAnsi="Times New Roman" w:cs="Times New Roman"/>
          <w:color w:val="000000" w:themeColor="text1"/>
          <w:sz w:val="24"/>
          <w:szCs w:val="24"/>
        </w:rPr>
        <w:t>) under influence of various weed management treatments are presented in Table</w:t>
      </w:r>
      <w:r w:rsidR="00E91F14" w:rsidRPr="00B71ECE">
        <w:rPr>
          <w:rFonts w:ascii="Times New Roman" w:eastAsia="Times New Roman" w:hAnsi="Times New Roman" w:cs="Times New Roman"/>
          <w:color w:val="000000" w:themeColor="text1"/>
          <w:sz w:val="24"/>
          <w:szCs w:val="24"/>
        </w:rPr>
        <w:t xml:space="preserve"> 3  </w:t>
      </w:r>
      <w:r w:rsidR="00F56AFD" w:rsidRPr="00B71ECE">
        <w:rPr>
          <w:rFonts w:ascii="Times New Roman" w:eastAsia="Times New Roman" w:hAnsi="Times New Roman" w:cs="Times New Roman"/>
          <w:color w:val="000000" w:themeColor="text1"/>
          <w:sz w:val="24"/>
          <w:szCs w:val="24"/>
        </w:rPr>
        <w:t xml:space="preserve">The data revealed that </w:t>
      </w:r>
      <w:r w:rsidR="00F56AFD" w:rsidRPr="00B71ECE">
        <w:rPr>
          <w:rFonts w:ascii="Times New Roman" w:eastAsia="Times New Roman" w:hAnsi="Times New Roman" w:cs="Times New Roman"/>
          <w:color w:val="000000" w:themeColor="text1"/>
          <w:sz w:val="24"/>
          <w:szCs w:val="24"/>
          <w:lang w:val="sv-SE"/>
        </w:rPr>
        <w:t xml:space="preserve">weed management treatments failed to record significant plant stand at 15 DAS and at harvest. </w:t>
      </w:r>
      <w:r w:rsidR="00791A7C">
        <w:rPr>
          <w:rFonts w:ascii="Times New Roman" w:hAnsi="Times New Roman" w:cs="Times New Roman"/>
          <w:sz w:val="24"/>
          <w:szCs w:val="24"/>
        </w:rPr>
        <w:t xml:space="preserve">The data presented in Table </w:t>
      </w:r>
      <w:proofErr w:type="gramStart"/>
      <w:r w:rsidR="00791A7C">
        <w:rPr>
          <w:rFonts w:ascii="Times New Roman" w:hAnsi="Times New Roman" w:cs="Times New Roman"/>
          <w:sz w:val="24"/>
          <w:szCs w:val="24"/>
        </w:rPr>
        <w:t xml:space="preserve">3 </w:t>
      </w:r>
      <w:r w:rsidR="00173175" w:rsidRPr="00B71ECE">
        <w:rPr>
          <w:rFonts w:ascii="Times New Roman" w:hAnsi="Times New Roman" w:cs="Times New Roman"/>
          <w:sz w:val="24"/>
          <w:szCs w:val="24"/>
        </w:rPr>
        <w:t xml:space="preserve"> clearly</w:t>
      </w:r>
      <w:proofErr w:type="gramEnd"/>
      <w:r w:rsidR="00173175" w:rsidRPr="00B71ECE">
        <w:rPr>
          <w:rFonts w:ascii="Times New Roman" w:hAnsi="Times New Roman" w:cs="Times New Roman"/>
          <w:sz w:val="24"/>
          <w:szCs w:val="24"/>
        </w:rPr>
        <w:t xml:space="preserve"> indicate that plant height of sorghum at various growth stages was significantly influenced by different weed management practices, especially when compared to the weedy check.</w:t>
      </w:r>
      <w:r w:rsidR="00572E88">
        <w:rPr>
          <w:rFonts w:ascii="Times New Roman" w:hAnsi="Times New Roman" w:cs="Times New Roman"/>
          <w:sz w:val="24"/>
          <w:szCs w:val="24"/>
        </w:rPr>
        <w:t xml:space="preserve"> </w:t>
      </w:r>
      <w:r w:rsidR="00173175" w:rsidRPr="003674E0">
        <w:rPr>
          <w:rFonts w:ascii="Times New Roman" w:hAnsi="Times New Roman" w:cs="Times New Roman"/>
          <w:sz w:val="24"/>
          <w:szCs w:val="24"/>
        </w:rPr>
        <w:t xml:space="preserve">At </w:t>
      </w:r>
      <w:r w:rsidR="00173175" w:rsidRPr="003674E0">
        <w:rPr>
          <w:rFonts w:ascii="Times New Roman" w:hAnsi="Times New Roman" w:cs="Times New Roman"/>
          <w:bCs/>
          <w:sz w:val="24"/>
          <w:szCs w:val="24"/>
        </w:rPr>
        <w:t>25 DAS (Days After Sowing)</w:t>
      </w:r>
      <w:r w:rsidR="00173175" w:rsidRPr="003674E0">
        <w:rPr>
          <w:rFonts w:ascii="Times New Roman" w:hAnsi="Times New Roman" w:cs="Times New Roman"/>
          <w:sz w:val="24"/>
          <w:szCs w:val="24"/>
        </w:rPr>
        <w:t xml:space="preserve">, the tallest plants (76.67 cm) were observed in the </w:t>
      </w:r>
      <w:r w:rsidR="00173175" w:rsidRPr="003674E0">
        <w:rPr>
          <w:rFonts w:ascii="Times New Roman" w:hAnsi="Times New Roman" w:cs="Times New Roman"/>
          <w:bCs/>
          <w:sz w:val="24"/>
          <w:szCs w:val="24"/>
        </w:rPr>
        <w:t>weed-free treatment</w:t>
      </w:r>
      <w:r w:rsidR="00173175" w:rsidRPr="003674E0">
        <w:rPr>
          <w:rFonts w:ascii="Times New Roman" w:hAnsi="Times New Roman" w:cs="Times New Roman"/>
          <w:sz w:val="24"/>
          <w:szCs w:val="24"/>
        </w:rPr>
        <w:t xml:space="preserve"> involving </w:t>
      </w:r>
      <w:r w:rsidR="00173175" w:rsidRPr="003674E0">
        <w:rPr>
          <w:rFonts w:ascii="Times New Roman" w:hAnsi="Times New Roman" w:cs="Times New Roman"/>
          <w:bCs/>
          <w:sz w:val="24"/>
          <w:szCs w:val="24"/>
        </w:rPr>
        <w:t xml:space="preserve">two hand </w:t>
      </w:r>
      <w:proofErr w:type="spellStart"/>
      <w:r w:rsidR="00173175" w:rsidRPr="003674E0">
        <w:rPr>
          <w:rFonts w:ascii="Times New Roman" w:hAnsi="Times New Roman" w:cs="Times New Roman"/>
          <w:bCs/>
          <w:sz w:val="24"/>
          <w:szCs w:val="24"/>
        </w:rPr>
        <w:t>weedings</w:t>
      </w:r>
      <w:proofErr w:type="spellEnd"/>
      <w:r w:rsidR="00173175" w:rsidRPr="003674E0">
        <w:rPr>
          <w:rFonts w:ascii="Times New Roman" w:hAnsi="Times New Roman" w:cs="Times New Roman"/>
          <w:bCs/>
          <w:sz w:val="24"/>
          <w:szCs w:val="24"/>
        </w:rPr>
        <w:t xml:space="preserve"> at 15 and 35 DAS (T11)</w:t>
      </w:r>
      <w:r w:rsidR="00173175" w:rsidRPr="003674E0">
        <w:rPr>
          <w:rFonts w:ascii="Times New Roman" w:hAnsi="Times New Roman" w:cs="Times New Roman"/>
          <w:sz w:val="24"/>
          <w:szCs w:val="24"/>
        </w:rPr>
        <w:t>. This treatment was statistically on par with T5 and markedly superior to all other treatments, highlighting the early advantage of effective weed control.</w:t>
      </w:r>
      <w:r w:rsidR="003674E0">
        <w:rPr>
          <w:rFonts w:ascii="Times New Roman" w:hAnsi="Times New Roman" w:cs="Times New Roman"/>
          <w:sz w:val="24"/>
          <w:szCs w:val="24"/>
        </w:rPr>
        <w:t xml:space="preserve"> </w:t>
      </w:r>
      <w:r w:rsidR="00173175" w:rsidRPr="003674E0">
        <w:rPr>
          <w:rFonts w:ascii="Times New Roman" w:hAnsi="Times New Roman" w:cs="Times New Roman"/>
          <w:sz w:val="24"/>
          <w:szCs w:val="24"/>
        </w:rPr>
        <w:t xml:space="preserve">By </w:t>
      </w:r>
      <w:r w:rsidR="00173175" w:rsidRPr="003674E0">
        <w:rPr>
          <w:rFonts w:ascii="Times New Roman" w:hAnsi="Times New Roman" w:cs="Times New Roman"/>
          <w:bCs/>
          <w:sz w:val="24"/>
          <w:szCs w:val="24"/>
        </w:rPr>
        <w:t>50 DAS</w:t>
      </w:r>
      <w:r w:rsidR="00173175" w:rsidRPr="003674E0">
        <w:rPr>
          <w:rFonts w:ascii="Times New Roman" w:hAnsi="Times New Roman" w:cs="Times New Roman"/>
          <w:sz w:val="24"/>
          <w:szCs w:val="24"/>
        </w:rPr>
        <w:t xml:space="preserve">, the trend continued, with the </w:t>
      </w:r>
      <w:r w:rsidR="00173175" w:rsidRPr="003674E0">
        <w:rPr>
          <w:rFonts w:ascii="Times New Roman" w:hAnsi="Times New Roman" w:cs="Times New Roman"/>
          <w:bCs/>
          <w:sz w:val="24"/>
          <w:szCs w:val="24"/>
        </w:rPr>
        <w:t>maximum plant height (162.73 cm)</w:t>
      </w:r>
      <w:r w:rsidR="00173175" w:rsidRPr="003674E0">
        <w:rPr>
          <w:rFonts w:ascii="Times New Roman" w:hAnsi="Times New Roman" w:cs="Times New Roman"/>
          <w:sz w:val="24"/>
          <w:szCs w:val="24"/>
        </w:rPr>
        <w:t xml:space="preserve"> again recorded under the </w:t>
      </w:r>
      <w:r w:rsidR="00173175" w:rsidRPr="003674E0">
        <w:rPr>
          <w:rFonts w:ascii="Times New Roman" w:hAnsi="Times New Roman" w:cs="Times New Roman"/>
          <w:bCs/>
          <w:sz w:val="24"/>
          <w:szCs w:val="24"/>
        </w:rPr>
        <w:t>weed-free treatment (T5)</w:t>
      </w:r>
      <w:r w:rsidR="00173175" w:rsidRPr="003674E0">
        <w:rPr>
          <w:rFonts w:ascii="Times New Roman" w:hAnsi="Times New Roman" w:cs="Times New Roman"/>
          <w:sz w:val="24"/>
          <w:szCs w:val="24"/>
        </w:rPr>
        <w:t xml:space="preserve">. This result was statistically comparable to T1, T2, T3, T5, and T6. Among herbicide-based treatments, the combination of </w:t>
      </w:r>
      <w:r w:rsidR="00173175" w:rsidRPr="003674E0">
        <w:rPr>
          <w:rFonts w:ascii="Times New Roman" w:hAnsi="Times New Roman" w:cs="Times New Roman"/>
          <w:bCs/>
          <w:sz w:val="24"/>
          <w:szCs w:val="24"/>
        </w:rPr>
        <w:t>T1 + atrazine 50% WP (T5)</w:t>
      </w:r>
      <w:r w:rsidR="00173175" w:rsidRPr="003674E0">
        <w:rPr>
          <w:rFonts w:ascii="Times New Roman" w:hAnsi="Times New Roman" w:cs="Times New Roman"/>
          <w:sz w:val="24"/>
          <w:szCs w:val="24"/>
        </w:rPr>
        <w:t xml:space="preserve"> stood out, producing plants that reached </w:t>
      </w:r>
      <w:r w:rsidR="00173175" w:rsidRPr="003674E0">
        <w:rPr>
          <w:rFonts w:ascii="Times New Roman" w:hAnsi="Times New Roman" w:cs="Times New Roman"/>
          <w:bCs/>
          <w:sz w:val="24"/>
          <w:szCs w:val="24"/>
        </w:rPr>
        <w:t>162.07 cm</w:t>
      </w:r>
      <w:r w:rsidR="00173175" w:rsidRPr="003674E0">
        <w:rPr>
          <w:rFonts w:ascii="Times New Roman" w:hAnsi="Times New Roman" w:cs="Times New Roman"/>
          <w:sz w:val="24"/>
          <w:szCs w:val="24"/>
        </w:rPr>
        <w:t xml:space="preserve">, a remarkable </w:t>
      </w:r>
      <w:r w:rsidR="00173175" w:rsidRPr="003674E0">
        <w:rPr>
          <w:rFonts w:ascii="Times New Roman" w:hAnsi="Times New Roman" w:cs="Times New Roman"/>
          <w:bCs/>
          <w:sz w:val="24"/>
          <w:szCs w:val="24"/>
        </w:rPr>
        <w:t xml:space="preserve">80.88% increase over the weedy </w:t>
      </w:r>
      <w:proofErr w:type="spellStart"/>
      <w:r w:rsidR="00173175" w:rsidRPr="003674E0">
        <w:rPr>
          <w:rFonts w:ascii="Times New Roman" w:hAnsi="Times New Roman" w:cs="Times New Roman"/>
          <w:bCs/>
          <w:sz w:val="24"/>
          <w:szCs w:val="24"/>
        </w:rPr>
        <w:t>check</w:t>
      </w:r>
      <w:r w:rsidR="00173175" w:rsidRPr="003674E0">
        <w:rPr>
          <w:rFonts w:ascii="Times New Roman" w:hAnsi="Times New Roman" w:cs="Times New Roman"/>
          <w:sz w:val="24"/>
          <w:szCs w:val="24"/>
        </w:rPr>
        <w:t>.At</w:t>
      </w:r>
      <w:proofErr w:type="spellEnd"/>
      <w:r w:rsidR="00173175" w:rsidRPr="003674E0">
        <w:rPr>
          <w:rFonts w:ascii="Times New Roman" w:hAnsi="Times New Roman" w:cs="Times New Roman"/>
          <w:sz w:val="24"/>
          <w:szCs w:val="24"/>
        </w:rPr>
        <w:t xml:space="preserve"> the </w:t>
      </w:r>
      <w:r w:rsidR="00173175" w:rsidRPr="003674E0">
        <w:rPr>
          <w:rFonts w:ascii="Times New Roman" w:hAnsi="Times New Roman" w:cs="Times New Roman"/>
          <w:bCs/>
          <w:sz w:val="24"/>
          <w:szCs w:val="24"/>
        </w:rPr>
        <w:t>harvest stage</w:t>
      </w:r>
      <w:r w:rsidR="00173175" w:rsidRPr="003674E0">
        <w:rPr>
          <w:rFonts w:ascii="Times New Roman" w:hAnsi="Times New Roman" w:cs="Times New Roman"/>
          <w:sz w:val="24"/>
          <w:szCs w:val="24"/>
        </w:rPr>
        <w:t xml:space="preserve">, the </w:t>
      </w:r>
      <w:r w:rsidR="00173175" w:rsidRPr="003674E0">
        <w:rPr>
          <w:rFonts w:ascii="Times New Roman" w:hAnsi="Times New Roman" w:cs="Times New Roman"/>
          <w:bCs/>
          <w:sz w:val="24"/>
          <w:szCs w:val="24"/>
        </w:rPr>
        <w:t>weed-free treatment (T5)</w:t>
      </w:r>
      <w:r w:rsidR="00173175" w:rsidRPr="003674E0">
        <w:rPr>
          <w:rFonts w:ascii="Times New Roman" w:hAnsi="Times New Roman" w:cs="Times New Roman"/>
          <w:sz w:val="24"/>
          <w:szCs w:val="24"/>
        </w:rPr>
        <w:t xml:space="preserve"> once again resulted in the </w:t>
      </w:r>
      <w:r w:rsidR="00173175" w:rsidRPr="003674E0">
        <w:rPr>
          <w:rFonts w:ascii="Times New Roman" w:hAnsi="Times New Roman" w:cs="Times New Roman"/>
          <w:bCs/>
          <w:sz w:val="24"/>
          <w:szCs w:val="24"/>
        </w:rPr>
        <w:t xml:space="preserve">tallest plants </w:t>
      </w:r>
      <w:r w:rsidR="003674E0">
        <w:rPr>
          <w:rFonts w:ascii="Times New Roman" w:hAnsi="Times New Roman" w:cs="Times New Roman"/>
          <w:bCs/>
          <w:sz w:val="24"/>
          <w:szCs w:val="24"/>
        </w:rPr>
        <w:t xml:space="preserve"> </w:t>
      </w:r>
      <w:r w:rsidR="00173175" w:rsidRPr="003674E0">
        <w:rPr>
          <w:rFonts w:ascii="Times New Roman" w:hAnsi="Times New Roman" w:cs="Times New Roman"/>
          <w:bCs/>
          <w:sz w:val="24"/>
          <w:szCs w:val="24"/>
        </w:rPr>
        <w:t>(246.95 cm)</w:t>
      </w:r>
      <w:r w:rsidR="00173175" w:rsidRPr="003674E0">
        <w:rPr>
          <w:rFonts w:ascii="Times New Roman" w:hAnsi="Times New Roman" w:cs="Times New Roman"/>
          <w:sz w:val="24"/>
          <w:szCs w:val="24"/>
        </w:rPr>
        <w:t xml:space="preserve">. This performance was statistically at par with T1, T2, T3, T5, T6, T8, and T10. Notably, among the herbicidal treatments, </w:t>
      </w:r>
      <w:r w:rsidR="00173175" w:rsidRPr="003674E0">
        <w:rPr>
          <w:rFonts w:ascii="Times New Roman" w:hAnsi="Times New Roman" w:cs="Times New Roman"/>
          <w:bCs/>
          <w:sz w:val="24"/>
          <w:szCs w:val="24"/>
        </w:rPr>
        <w:t>T5 (T1 + atrazine 50% WP)</w:t>
      </w:r>
      <w:r w:rsidR="00173175" w:rsidRPr="003674E0">
        <w:rPr>
          <w:rFonts w:ascii="Times New Roman" w:hAnsi="Times New Roman" w:cs="Times New Roman"/>
          <w:sz w:val="24"/>
          <w:szCs w:val="24"/>
        </w:rPr>
        <w:t xml:space="preserve"> achieved a final height of </w:t>
      </w:r>
      <w:r w:rsidR="00173175" w:rsidRPr="003674E0">
        <w:rPr>
          <w:rFonts w:ascii="Times New Roman" w:hAnsi="Times New Roman" w:cs="Times New Roman"/>
          <w:bCs/>
          <w:sz w:val="24"/>
          <w:szCs w:val="24"/>
        </w:rPr>
        <w:t>246.13 cm</w:t>
      </w:r>
      <w:r w:rsidR="00173175" w:rsidRPr="003674E0">
        <w:rPr>
          <w:rFonts w:ascii="Times New Roman" w:hAnsi="Times New Roman" w:cs="Times New Roman"/>
          <w:sz w:val="24"/>
          <w:szCs w:val="24"/>
        </w:rPr>
        <w:t xml:space="preserve">, which was </w:t>
      </w:r>
      <w:r w:rsidR="00173175" w:rsidRPr="003674E0">
        <w:rPr>
          <w:rFonts w:ascii="Times New Roman" w:hAnsi="Times New Roman" w:cs="Times New Roman"/>
          <w:bCs/>
          <w:sz w:val="24"/>
          <w:szCs w:val="24"/>
        </w:rPr>
        <w:t>17.59% taller than the weedy check</w:t>
      </w:r>
      <w:r w:rsidR="00173175" w:rsidRPr="003674E0">
        <w:rPr>
          <w:rFonts w:ascii="Times New Roman" w:hAnsi="Times New Roman" w:cs="Times New Roman"/>
          <w:sz w:val="24"/>
          <w:szCs w:val="24"/>
        </w:rPr>
        <w:t>.</w:t>
      </w:r>
    </w:p>
    <w:p w14:paraId="6A5D4AFC" w14:textId="77777777" w:rsidR="004C68CE" w:rsidRPr="00B71ECE" w:rsidRDefault="00070E0F" w:rsidP="006B2B42">
      <w:pPr>
        <w:tabs>
          <w:tab w:val="left" w:pos="142"/>
        </w:tabs>
        <w:spacing w:before="120" w:after="0" w:line="360" w:lineRule="auto"/>
        <w:jc w:val="both"/>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r>
      <w:r w:rsidR="00173175" w:rsidRPr="003674E0">
        <w:rPr>
          <w:rFonts w:ascii="Times New Roman" w:hAnsi="Times New Roman" w:cs="Times New Roman"/>
          <w:sz w:val="24"/>
          <w:szCs w:val="24"/>
        </w:rPr>
        <w:t xml:space="preserve">As expected, the weed-free condition produced the maximum plant height, reinforcing the importance of effective weed control. These results are consistent with the findings of </w:t>
      </w:r>
      <w:r w:rsidR="00173175" w:rsidRPr="00365832">
        <w:rPr>
          <w:rFonts w:ascii="Times New Roman" w:hAnsi="Times New Roman" w:cs="Times New Roman"/>
          <w:bCs/>
          <w:sz w:val="24"/>
          <w:szCs w:val="24"/>
        </w:rPr>
        <w:t xml:space="preserve">Saini </w:t>
      </w:r>
      <w:r w:rsidR="00173175" w:rsidRPr="00365832">
        <w:rPr>
          <w:rFonts w:ascii="Times New Roman" w:hAnsi="Times New Roman" w:cs="Times New Roman"/>
          <w:bCs/>
          <w:i/>
          <w:sz w:val="24"/>
          <w:szCs w:val="24"/>
        </w:rPr>
        <w:t>et al</w:t>
      </w:r>
      <w:r w:rsidR="00173175" w:rsidRPr="00365832">
        <w:rPr>
          <w:rFonts w:ascii="Times New Roman" w:hAnsi="Times New Roman" w:cs="Times New Roman"/>
          <w:bCs/>
          <w:sz w:val="24"/>
          <w:szCs w:val="24"/>
        </w:rPr>
        <w:t>. (2020)</w:t>
      </w:r>
      <w:r w:rsidR="00173175" w:rsidRPr="00365832">
        <w:rPr>
          <w:rFonts w:ascii="Times New Roman" w:hAnsi="Times New Roman" w:cs="Times New Roman"/>
          <w:sz w:val="24"/>
          <w:szCs w:val="24"/>
        </w:rPr>
        <w:t>.</w:t>
      </w:r>
      <w:r w:rsidR="00173175" w:rsidRPr="003674E0">
        <w:rPr>
          <w:rFonts w:ascii="Times New Roman" w:hAnsi="Times New Roman" w:cs="Times New Roman"/>
          <w:sz w:val="24"/>
          <w:szCs w:val="24"/>
        </w:rPr>
        <w:t xml:space="preserve"> Furthermore, among herbicidal treatments, the application of </w:t>
      </w:r>
      <w:r w:rsidR="00173175" w:rsidRPr="003674E0">
        <w:rPr>
          <w:rFonts w:ascii="Times New Roman" w:hAnsi="Times New Roman" w:cs="Times New Roman"/>
          <w:bCs/>
          <w:sz w:val="24"/>
          <w:szCs w:val="24"/>
        </w:rPr>
        <w:t>atrazine at 0.50 kg ha⁻¹ pre-emergence (PE) + 0.50 kg ha⁻¹ post-emergence (PoE)</w:t>
      </w:r>
      <w:r w:rsidR="00173175" w:rsidRPr="003674E0">
        <w:rPr>
          <w:rFonts w:ascii="Times New Roman" w:hAnsi="Times New Roman" w:cs="Times New Roman"/>
          <w:sz w:val="24"/>
          <w:szCs w:val="24"/>
        </w:rPr>
        <w:t xml:space="preserve"> was particularly effective in promoting plant height across all growth stages.</w:t>
      </w:r>
      <w:r w:rsidR="003674E0">
        <w:rPr>
          <w:rFonts w:ascii="Times New Roman" w:hAnsi="Times New Roman" w:cs="Times New Roman"/>
          <w:sz w:val="24"/>
          <w:szCs w:val="24"/>
        </w:rPr>
        <w:t xml:space="preserve"> </w:t>
      </w:r>
      <w:r w:rsidR="00173175" w:rsidRPr="003674E0">
        <w:rPr>
          <w:rFonts w:ascii="Times New Roman" w:hAnsi="Times New Roman" w:cs="Times New Roman"/>
          <w:sz w:val="24"/>
          <w:szCs w:val="24"/>
        </w:rPr>
        <w:t xml:space="preserve">Overall, the improved plant height can be attributed to </w:t>
      </w:r>
      <w:r w:rsidR="00173175" w:rsidRPr="003674E0">
        <w:rPr>
          <w:rFonts w:ascii="Times New Roman" w:hAnsi="Times New Roman" w:cs="Times New Roman"/>
          <w:bCs/>
          <w:sz w:val="24"/>
          <w:szCs w:val="24"/>
        </w:rPr>
        <w:t>minimal crop-weed competition</w:t>
      </w:r>
      <w:r w:rsidR="00173175" w:rsidRPr="003674E0">
        <w:rPr>
          <w:rFonts w:ascii="Times New Roman" w:hAnsi="Times New Roman" w:cs="Times New Roman"/>
          <w:sz w:val="24"/>
          <w:szCs w:val="24"/>
        </w:rPr>
        <w:t xml:space="preserve">, which directly enhances access to critical growth resources such as </w:t>
      </w:r>
      <w:r w:rsidR="00173175" w:rsidRPr="003674E0">
        <w:rPr>
          <w:rFonts w:ascii="Times New Roman" w:hAnsi="Times New Roman" w:cs="Times New Roman"/>
          <w:bCs/>
          <w:sz w:val="24"/>
          <w:szCs w:val="24"/>
        </w:rPr>
        <w:t>light, space, water, and nutrients</w:t>
      </w:r>
      <w:r w:rsidR="00173175" w:rsidRPr="003674E0">
        <w:rPr>
          <w:rFonts w:ascii="Times New Roman" w:hAnsi="Times New Roman" w:cs="Times New Roman"/>
          <w:sz w:val="24"/>
          <w:szCs w:val="24"/>
        </w:rPr>
        <w:t xml:space="preserve">. This is supported by </w:t>
      </w:r>
      <w:r w:rsidR="00173175" w:rsidRPr="004A25E2">
        <w:rPr>
          <w:rFonts w:ascii="Times New Roman" w:hAnsi="Times New Roman" w:cs="Times New Roman"/>
          <w:bCs/>
          <w:sz w:val="24"/>
          <w:szCs w:val="24"/>
        </w:rPr>
        <w:t>Kropff (1993</w:t>
      </w:r>
      <w:r w:rsidR="00173175" w:rsidRPr="003674E0">
        <w:rPr>
          <w:rFonts w:ascii="Times New Roman" w:hAnsi="Times New Roman" w:cs="Times New Roman"/>
          <w:bCs/>
          <w:sz w:val="24"/>
          <w:szCs w:val="24"/>
        </w:rPr>
        <w:t>)</w:t>
      </w:r>
      <w:r w:rsidR="00173175" w:rsidRPr="003674E0">
        <w:rPr>
          <w:rFonts w:ascii="Times New Roman" w:hAnsi="Times New Roman" w:cs="Times New Roman"/>
          <w:sz w:val="24"/>
          <w:szCs w:val="24"/>
        </w:rPr>
        <w:t xml:space="preserve">, who noted that reduced competition leads to a more </w:t>
      </w:r>
      <w:proofErr w:type="spellStart"/>
      <w:r w:rsidR="00173175" w:rsidRPr="003674E0">
        <w:rPr>
          <w:rFonts w:ascii="Times New Roman" w:hAnsi="Times New Roman" w:cs="Times New Roman"/>
          <w:sz w:val="24"/>
          <w:szCs w:val="24"/>
        </w:rPr>
        <w:t>favorable</w:t>
      </w:r>
      <w:proofErr w:type="spellEnd"/>
      <w:r w:rsidR="00173175" w:rsidRPr="003674E0">
        <w:rPr>
          <w:rFonts w:ascii="Times New Roman" w:hAnsi="Times New Roman" w:cs="Times New Roman"/>
          <w:sz w:val="24"/>
          <w:szCs w:val="24"/>
        </w:rPr>
        <w:t xml:space="preserve"> environment for crop development, ultimately reflected in better growth metrics.</w:t>
      </w:r>
      <w:r w:rsidR="007E4F9B">
        <w:rPr>
          <w:rFonts w:ascii="Times New Roman" w:hAnsi="Times New Roman" w:cs="Times New Roman"/>
          <w:sz w:val="24"/>
          <w:szCs w:val="24"/>
        </w:rPr>
        <w:t xml:space="preserve"> </w:t>
      </w:r>
      <w:r w:rsidR="004C68CE" w:rsidRPr="00B71ECE">
        <w:rPr>
          <w:rFonts w:ascii="Times New Roman" w:eastAsia="Times New Roman" w:hAnsi="Times New Roman" w:cs="Times New Roman"/>
          <w:bCs/>
          <w:color w:val="000000" w:themeColor="text1"/>
          <w:sz w:val="24"/>
          <w:szCs w:val="24"/>
        </w:rPr>
        <w:t xml:space="preserve">Leaf area index at flowering is presented in Table </w:t>
      </w:r>
      <w:r w:rsidR="00791A7C">
        <w:rPr>
          <w:rFonts w:ascii="Times New Roman" w:eastAsia="Times New Roman" w:hAnsi="Times New Roman" w:cs="Times New Roman"/>
          <w:bCs/>
          <w:color w:val="000000" w:themeColor="text1"/>
          <w:sz w:val="24"/>
          <w:szCs w:val="24"/>
        </w:rPr>
        <w:t>4</w:t>
      </w:r>
      <w:r w:rsidR="004C68CE" w:rsidRPr="00B71ECE">
        <w:rPr>
          <w:rFonts w:ascii="Times New Roman" w:eastAsia="Times New Roman" w:hAnsi="Times New Roman" w:cs="Times New Roman"/>
          <w:bCs/>
          <w:color w:val="000000" w:themeColor="text1"/>
          <w:sz w:val="24"/>
          <w:szCs w:val="24"/>
        </w:rPr>
        <w:t xml:space="preserve">and the data showed that maximum leaf area index (9.05) was observed in </w:t>
      </w:r>
      <w:r w:rsidR="004C68CE" w:rsidRPr="00B71ECE">
        <w:rPr>
          <w:rFonts w:ascii="Times New Roman" w:hAnsi="Times New Roman" w:cs="Times New Roman"/>
          <w:color w:val="000000" w:themeColor="text1"/>
          <w:sz w:val="24"/>
          <w:szCs w:val="24"/>
        </w:rPr>
        <w:t>weed free treatment (two HW at 15 and 35 DAS) (T</w:t>
      </w:r>
      <w:r w:rsidR="004C68CE" w:rsidRPr="00B71ECE">
        <w:rPr>
          <w:rFonts w:ascii="Times New Roman" w:hAnsi="Times New Roman" w:cs="Times New Roman"/>
          <w:color w:val="000000" w:themeColor="text1"/>
          <w:sz w:val="24"/>
          <w:szCs w:val="24"/>
          <w:vertAlign w:val="subscript"/>
        </w:rPr>
        <w:t>11</w:t>
      </w:r>
      <w:r w:rsidR="004C68CE" w:rsidRPr="00B71ECE">
        <w:rPr>
          <w:rFonts w:ascii="Times New Roman" w:hAnsi="Times New Roman" w:cs="Times New Roman"/>
          <w:color w:val="000000" w:themeColor="text1"/>
          <w:sz w:val="24"/>
          <w:szCs w:val="24"/>
        </w:rPr>
        <w:t>)</w:t>
      </w:r>
      <w:r w:rsidR="004C68CE" w:rsidRPr="00B71ECE">
        <w:rPr>
          <w:rFonts w:ascii="Times New Roman" w:hAnsi="Times New Roman" w:cs="Times New Roman"/>
          <w:color w:val="000000" w:themeColor="text1"/>
          <w:sz w:val="24"/>
          <w:szCs w:val="24"/>
          <w:vertAlign w:val="subscript"/>
        </w:rPr>
        <w:t xml:space="preserve"> </w:t>
      </w:r>
      <w:r w:rsidR="004C68CE" w:rsidRPr="00B71ECE">
        <w:rPr>
          <w:rFonts w:ascii="Times New Roman" w:eastAsia="Times New Roman" w:hAnsi="Times New Roman" w:cs="Times New Roman"/>
          <w:bCs/>
          <w:color w:val="000000" w:themeColor="text1"/>
          <w:sz w:val="24"/>
          <w:szCs w:val="24"/>
        </w:rPr>
        <w:t>and it was statistically at par with T</w:t>
      </w:r>
      <w:r w:rsidR="004C68CE" w:rsidRPr="00B71ECE">
        <w:rPr>
          <w:rFonts w:ascii="Times New Roman" w:eastAsia="Times New Roman" w:hAnsi="Times New Roman" w:cs="Times New Roman"/>
          <w:bCs/>
          <w:color w:val="000000" w:themeColor="text1"/>
          <w:sz w:val="24"/>
          <w:szCs w:val="24"/>
          <w:vertAlign w:val="subscript"/>
        </w:rPr>
        <w:t>2</w:t>
      </w:r>
      <w:r w:rsidR="004C68CE" w:rsidRPr="00B71ECE">
        <w:rPr>
          <w:rFonts w:ascii="Times New Roman" w:eastAsia="Times New Roman" w:hAnsi="Times New Roman" w:cs="Times New Roman"/>
          <w:bCs/>
          <w:color w:val="000000" w:themeColor="text1"/>
          <w:sz w:val="24"/>
          <w:szCs w:val="24"/>
        </w:rPr>
        <w:t>, T</w:t>
      </w:r>
      <w:r w:rsidR="004C68CE" w:rsidRPr="00B71ECE">
        <w:rPr>
          <w:rFonts w:ascii="Times New Roman" w:eastAsia="Times New Roman" w:hAnsi="Times New Roman" w:cs="Times New Roman"/>
          <w:bCs/>
          <w:color w:val="000000" w:themeColor="text1"/>
          <w:sz w:val="24"/>
          <w:szCs w:val="24"/>
          <w:vertAlign w:val="subscript"/>
        </w:rPr>
        <w:t>3</w:t>
      </w:r>
      <w:r w:rsidR="004C68CE" w:rsidRPr="00B71ECE">
        <w:rPr>
          <w:rFonts w:ascii="Times New Roman" w:eastAsia="Times New Roman" w:hAnsi="Times New Roman" w:cs="Times New Roman"/>
          <w:bCs/>
          <w:color w:val="000000" w:themeColor="text1"/>
          <w:sz w:val="24"/>
          <w:szCs w:val="24"/>
        </w:rPr>
        <w:t>, T</w:t>
      </w:r>
      <w:r w:rsidR="004C68CE" w:rsidRPr="00B71ECE">
        <w:rPr>
          <w:rFonts w:ascii="Times New Roman" w:eastAsia="Times New Roman" w:hAnsi="Times New Roman" w:cs="Times New Roman"/>
          <w:bCs/>
          <w:color w:val="000000" w:themeColor="text1"/>
          <w:sz w:val="24"/>
          <w:szCs w:val="24"/>
          <w:vertAlign w:val="subscript"/>
        </w:rPr>
        <w:t>5</w:t>
      </w:r>
      <w:r w:rsidR="004C68CE" w:rsidRPr="00B71ECE">
        <w:rPr>
          <w:rFonts w:ascii="Times New Roman" w:eastAsia="Times New Roman" w:hAnsi="Times New Roman" w:cs="Times New Roman"/>
          <w:bCs/>
          <w:color w:val="000000" w:themeColor="text1"/>
          <w:sz w:val="24"/>
          <w:szCs w:val="24"/>
        </w:rPr>
        <w:t>, T</w:t>
      </w:r>
      <w:r w:rsidR="004C68CE" w:rsidRPr="00B71ECE">
        <w:rPr>
          <w:rFonts w:ascii="Times New Roman" w:eastAsia="Times New Roman" w:hAnsi="Times New Roman" w:cs="Times New Roman"/>
          <w:bCs/>
          <w:color w:val="000000" w:themeColor="text1"/>
          <w:sz w:val="24"/>
          <w:szCs w:val="24"/>
          <w:vertAlign w:val="subscript"/>
        </w:rPr>
        <w:t>6</w:t>
      </w:r>
      <w:r w:rsidR="004C68CE" w:rsidRPr="00B71ECE">
        <w:rPr>
          <w:rFonts w:ascii="Times New Roman" w:eastAsia="Times New Roman" w:hAnsi="Times New Roman" w:cs="Times New Roman"/>
          <w:bCs/>
          <w:color w:val="000000" w:themeColor="text1"/>
          <w:sz w:val="24"/>
          <w:szCs w:val="24"/>
        </w:rPr>
        <w:t xml:space="preserve"> and T</w:t>
      </w:r>
      <w:r w:rsidR="004C68CE" w:rsidRPr="00B71ECE">
        <w:rPr>
          <w:rFonts w:ascii="Times New Roman" w:eastAsia="Times New Roman" w:hAnsi="Times New Roman" w:cs="Times New Roman"/>
          <w:bCs/>
          <w:color w:val="000000" w:themeColor="text1"/>
          <w:sz w:val="24"/>
          <w:szCs w:val="24"/>
          <w:vertAlign w:val="subscript"/>
        </w:rPr>
        <w:t>8</w:t>
      </w:r>
      <w:r w:rsidR="004C68CE" w:rsidRPr="00B71ECE">
        <w:rPr>
          <w:rFonts w:ascii="Times New Roman" w:eastAsia="Times New Roman" w:hAnsi="Times New Roman" w:cs="Times New Roman"/>
          <w:bCs/>
          <w:color w:val="000000" w:themeColor="text1"/>
          <w:sz w:val="24"/>
          <w:szCs w:val="24"/>
        </w:rPr>
        <w:t xml:space="preserve"> and </w:t>
      </w:r>
      <w:r w:rsidR="004C68CE" w:rsidRPr="00B71ECE">
        <w:rPr>
          <w:rFonts w:ascii="Times New Roman" w:eastAsia="Times New Roman" w:hAnsi="Times New Roman" w:cs="Times New Roman"/>
          <w:bCs/>
          <w:color w:val="000000" w:themeColor="text1"/>
          <w:sz w:val="24"/>
          <w:szCs w:val="24"/>
        </w:rPr>
        <w:lastRenderedPageBreak/>
        <w:t>superior over T</w:t>
      </w:r>
      <w:r w:rsidR="004C68CE" w:rsidRPr="00B71ECE">
        <w:rPr>
          <w:rFonts w:ascii="Times New Roman" w:eastAsia="Times New Roman" w:hAnsi="Times New Roman" w:cs="Times New Roman"/>
          <w:bCs/>
          <w:color w:val="000000" w:themeColor="text1"/>
          <w:sz w:val="24"/>
          <w:szCs w:val="24"/>
          <w:vertAlign w:val="subscript"/>
        </w:rPr>
        <w:t>1,</w:t>
      </w:r>
      <w:r w:rsidR="004C68CE" w:rsidRPr="00B71ECE">
        <w:rPr>
          <w:rFonts w:ascii="Times New Roman" w:eastAsia="Times New Roman" w:hAnsi="Times New Roman" w:cs="Times New Roman"/>
          <w:bCs/>
          <w:color w:val="000000" w:themeColor="text1"/>
          <w:sz w:val="24"/>
          <w:szCs w:val="24"/>
        </w:rPr>
        <w:t xml:space="preserve"> T</w:t>
      </w:r>
      <w:r w:rsidR="004C68CE" w:rsidRPr="00B71ECE">
        <w:rPr>
          <w:rFonts w:ascii="Times New Roman" w:eastAsia="Times New Roman" w:hAnsi="Times New Roman" w:cs="Times New Roman"/>
          <w:bCs/>
          <w:color w:val="000000" w:themeColor="text1"/>
          <w:sz w:val="24"/>
          <w:szCs w:val="24"/>
          <w:vertAlign w:val="subscript"/>
        </w:rPr>
        <w:t>4</w:t>
      </w:r>
      <w:r w:rsidR="004C68CE" w:rsidRPr="00B71ECE">
        <w:rPr>
          <w:rFonts w:ascii="Times New Roman" w:eastAsia="Times New Roman" w:hAnsi="Times New Roman" w:cs="Times New Roman"/>
          <w:bCs/>
          <w:color w:val="000000" w:themeColor="text1"/>
          <w:sz w:val="24"/>
          <w:szCs w:val="24"/>
        </w:rPr>
        <w:t>, T</w:t>
      </w:r>
      <w:r w:rsidR="004C68CE" w:rsidRPr="00B71ECE">
        <w:rPr>
          <w:rFonts w:ascii="Times New Roman" w:eastAsia="Times New Roman" w:hAnsi="Times New Roman" w:cs="Times New Roman"/>
          <w:bCs/>
          <w:color w:val="000000" w:themeColor="text1"/>
          <w:sz w:val="24"/>
          <w:szCs w:val="24"/>
          <w:vertAlign w:val="subscript"/>
        </w:rPr>
        <w:t>7</w:t>
      </w:r>
      <w:r w:rsidR="004C68CE" w:rsidRPr="00B71ECE">
        <w:rPr>
          <w:rFonts w:ascii="Times New Roman" w:eastAsia="Times New Roman" w:hAnsi="Times New Roman" w:cs="Times New Roman"/>
          <w:bCs/>
          <w:color w:val="000000" w:themeColor="text1"/>
          <w:sz w:val="24"/>
          <w:szCs w:val="24"/>
        </w:rPr>
        <w:t>, T</w:t>
      </w:r>
      <w:r w:rsidR="004C68CE" w:rsidRPr="00B71ECE">
        <w:rPr>
          <w:rFonts w:ascii="Times New Roman" w:eastAsia="Times New Roman" w:hAnsi="Times New Roman" w:cs="Times New Roman"/>
          <w:bCs/>
          <w:color w:val="000000" w:themeColor="text1"/>
          <w:sz w:val="24"/>
          <w:szCs w:val="24"/>
          <w:vertAlign w:val="subscript"/>
        </w:rPr>
        <w:t>9</w:t>
      </w:r>
      <w:r w:rsidR="004C68CE" w:rsidRPr="00B71ECE">
        <w:rPr>
          <w:rFonts w:ascii="Times New Roman" w:eastAsia="Times New Roman" w:hAnsi="Times New Roman" w:cs="Times New Roman"/>
          <w:bCs/>
          <w:color w:val="000000" w:themeColor="text1"/>
          <w:sz w:val="24"/>
          <w:szCs w:val="24"/>
        </w:rPr>
        <w:t>, T</w:t>
      </w:r>
      <w:r w:rsidR="004C68CE" w:rsidRPr="00B71ECE">
        <w:rPr>
          <w:rFonts w:ascii="Times New Roman" w:eastAsia="Times New Roman" w:hAnsi="Times New Roman" w:cs="Times New Roman"/>
          <w:bCs/>
          <w:color w:val="000000" w:themeColor="text1"/>
          <w:sz w:val="24"/>
          <w:szCs w:val="24"/>
          <w:vertAlign w:val="subscript"/>
        </w:rPr>
        <w:t>10</w:t>
      </w:r>
      <w:r w:rsidR="004C68CE" w:rsidRPr="00B71ECE">
        <w:rPr>
          <w:rFonts w:ascii="Times New Roman" w:eastAsia="Times New Roman" w:hAnsi="Times New Roman" w:cs="Times New Roman"/>
          <w:bCs/>
          <w:color w:val="000000" w:themeColor="text1"/>
          <w:sz w:val="24"/>
          <w:szCs w:val="24"/>
        </w:rPr>
        <w:t xml:space="preserve"> and T</w:t>
      </w:r>
      <w:r w:rsidR="004C68CE" w:rsidRPr="00B71ECE">
        <w:rPr>
          <w:rFonts w:ascii="Times New Roman" w:eastAsia="Times New Roman" w:hAnsi="Times New Roman" w:cs="Times New Roman"/>
          <w:bCs/>
          <w:color w:val="000000" w:themeColor="text1"/>
          <w:sz w:val="24"/>
          <w:szCs w:val="24"/>
          <w:vertAlign w:val="subscript"/>
        </w:rPr>
        <w:t>12</w:t>
      </w:r>
      <w:r w:rsidR="00516A56">
        <w:rPr>
          <w:rFonts w:ascii="Times New Roman" w:eastAsia="Times New Roman" w:hAnsi="Times New Roman" w:cs="Times New Roman"/>
          <w:bCs/>
          <w:color w:val="000000" w:themeColor="text1"/>
          <w:sz w:val="24"/>
          <w:szCs w:val="24"/>
        </w:rPr>
        <w:t xml:space="preserve"> (</w:t>
      </w:r>
      <w:r w:rsidR="00791A7C">
        <w:rPr>
          <w:rFonts w:ascii="Times New Roman" w:eastAsia="Times New Roman" w:hAnsi="Times New Roman" w:cs="Times New Roman"/>
          <w:bCs/>
          <w:color w:val="000000" w:themeColor="text1"/>
          <w:sz w:val="24"/>
          <w:szCs w:val="24"/>
        </w:rPr>
        <w:t>Table 4</w:t>
      </w:r>
      <w:r w:rsidR="00516A56">
        <w:rPr>
          <w:rFonts w:ascii="Times New Roman" w:eastAsia="Times New Roman" w:hAnsi="Times New Roman" w:cs="Times New Roman"/>
          <w:bCs/>
          <w:color w:val="000000" w:themeColor="text1"/>
          <w:sz w:val="24"/>
          <w:szCs w:val="24"/>
        </w:rPr>
        <w:t>)</w:t>
      </w:r>
      <w:r w:rsidR="004C68CE" w:rsidRPr="00B71ECE">
        <w:rPr>
          <w:rFonts w:ascii="Times New Roman" w:eastAsia="Times New Roman" w:hAnsi="Times New Roman" w:cs="Times New Roman"/>
          <w:bCs/>
          <w:color w:val="000000" w:themeColor="text1"/>
          <w:sz w:val="24"/>
          <w:szCs w:val="24"/>
        </w:rPr>
        <w:t>. The data showed that days to first flowering</w:t>
      </w:r>
      <w:r w:rsidR="003D185E" w:rsidRPr="00B71ECE">
        <w:rPr>
          <w:rFonts w:ascii="Times New Roman" w:eastAsia="Times New Roman" w:hAnsi="Times New Roman" w:cs="Times New Roman"/>
          <w:bCs/>
          <w:color w:val="000000" w:themeColor="text1"/>
          <w:sz w:val="24"/>
          <w:szCs w:val="24"/>
        </w:rPr>
        <w:t xml:space="preserve"> and first panicle </w:t>
      </w:r>
      <w:r w:rsidR="00572E88" w:rsidRPr="00B71ECE">
        <w:rPr>
          <w:rFonts w:ascii="Times New Roman" w:eastAsia="Times New Roman" w:hAnsi="Times New Roman" w:cs="Times New Roman"/>
          <w:bCs/>
          <w:color w:val="000000" w:themeColor="text1"/>
          <w:sz w:val="24"/>
          <w:szCs w:val="24"/>
        </w:rPr>
        <w:t>initiation were</w:t>
      </w:r>
      <w:r w:rsidR="004C68CE" w:rsidRPr="00B71ECE">
        <w:rPr>
          <w:rFonts w:ascii="Times New Roman" w:eastAsia="Times New Roman" w:hAnsi="Times New Roman" w:cs="Times New Roman"/>
          <w:bCs/>
          <w:color w:val="000000" w:themeColor="text1"/>
          <w:sz w:val="24"/>
          <w:szCs w:val="24"/>
        </w:rPr>
        <w:t xml:space="preserve"> not significantly influenced by all the treatments of weed management. </w:t>
      </w:r>
    </w:p>
    <w:p w14:paraId="1812A48E" w14:textId="77777777" w:rsidR="00070E0F" w:rsidRDefault="00791A7C" w:rsidP="00070E0F">
      <w:pPr>
        <w:tabs>
          <w:tab w:val="left" w:pos="142"/>
        </w:tabs>
        <w:spacing w:before="120" w:after="0" w:line="36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3.</w:t>
      </w:r>
      <w:r w:rsidR="0066128A">
        <w:rPr>
          <w:rFonts w:ascii="Times New Roman" w:hAnsi="Times New Roman" w:cs="Times New Roman"/>
          <w:b/>
          <w:sz w:val="24"/>
          <w:szCs w:val="24"/>
        </w:rPr>
        <w:t>2</w:t>
      </w:r>
      <w:r w:rsidR="0099502F">
        <w:rPr>
          <w:rFonts w:ascii="Times New Roman" w:hAnsi="Times New Roman" w:cs="Times New Roman"/>
          <w:b/>
          <w:sz w:val="24"/>
          <w:szCs w:val="24"/>
        </w:rPr>
        <w:t xml:space="preserve"> </w:t>
      </w:r>
      <w:r w:rsidR="00070E0F">
        <w:rPr>
          <w:rFonts w:ascii="Times New Roman" w:hAnsi="Times New Roman" w:cs="Times New Roman"/>
          <w:b/>
          <w:sz w:val="24"/>
          <w:szCs w:val="24"/>
        </w:rPr>
        <w:t>Productivity</w:t>
      </w:r>
    </w:p>
    <w:p w14:paraId="1E3F8A7E" w14:textId="77777777" w:rsidR="007E4F9B" w:rsidRDefault="00070E0F" w:rsidP="007E4F9B">
      <w:pPr>
        <w:tabs>
          <w:tab w:val="left" w:pos="142"/>
        </w:tabs>
        <w:spacing w:before="120" w:after="0" w:line="360" w:lineRule="auto"/>
        <w:jc w:val="both"/>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7A55E4" w:rsidRPr="00572E88">
        <w:rPr>
          <w:rFonts w:ascii="Times New Roman" w:hAnsi="Times New Roman" w:cs="Times New Roman"/>
          <w:bCs/>
          <w:color w:val="000000" w:themeColor="text1"/>
          <w:sz w:val="24"/>
          <w:szCs w:val="24"/>
        </w:rPr>
        <w:t>The examination of data</w:t>
      </w:r>
      <w:r w:rsidR="00791A7C">
        <w:rPr>
          <w:rFonts w:ascii="Times New Roman" w:hAnsi="Times New Roman" w:cs="Times New Roman"/>
          <w:bCs/>
          <w:color w:val="000000" w:themeColor="text1"/>
          <w:sz w:val="24"/>
          <w:szCs w:val="24"/>
        </w:rPr>
        <w:t xml:space="preserve"> on yield presented in Table 4</w:t>
      </w:r>
      <w:r w:rsidR="007A55E4" w:rsidRPr="00572E88">
        <w:rPr>
          <w:rFonts w:ascii="Times New Roman" w:hAnsi="Times New Roman" w:cs="Times New Roman"/>
          <w:bCs/>
          <w:color w:val="000000" w:themeColor="text1"/>
          <w:sz w:val="24"/>
          <w:szCs w:val="24"/>
        </w:rPr>
        <w:t xml:space="preserve"> show that green fodder yield was significantly influenced by weed management. Significantly maximum green fodder yield (</w:t>
      </w:r>
      <w:r w:rsidR="007A55E4" w:rsidRPr="00572E88">
        <w:rPr>
          <w:rFonts w:ascii="Times New Roman" w:hAnsi="Times New Roman" w:cs="Times New Roman"/>
          <w:color w:val="000000" w:themeColor="text1"/>
          <w:sz w:val="24"/>
          <w:szCs w:val="24"/>
        </w:rPr>
        <w:t>69.62 t ha</w:t>
      </w:r>
      <w:r w:rsidR="007A55E4" w:rsidRPr="00572E88">
        <w:rPr>
          <w:rFonts w:ascii="Times New Roman" w:hAnsi="Times New Roman" w:cs="Times New Roman"/>
          <w:color w:val="000000" w:themeColor="text1"/>
          <w:sz w:val="24"/>
          <w:szCs w:val="24"/>
          <w:vertAlign w:val="superscript"/>
        </w:rPr>
        <w:t>-1</w:t>
      </w:r>
      <w:r w:rsidR="007A55E4" w:rsidRPr="00572E88">
        <w:rPr>
          <w:rFonts w:ascii="Times New Roman" w:hAnsi="Times New Roman" w:cs="Times New Roman"/>
          <w:bCs/>
          <w:color w:val="000000" w:themeColor="text1"/>
          <w:sz w:val="24"/>
          <w:szCs w:val="24"/>
        </w:rPr>
        <w:t xml:space="preserve">) was obtained in </w:t>
      </w:r>
      <w:r w:rsidR="007A55E4" w:rsidRPr="00572E88">
        <w:rPr>
          <w:rFonts w:ascii="Times New Roman" w:hAnsi="Times New Roman" w:cs="Times New Roman"/>
          <w:color w:val="000000" w:themeColor="text1"/>
          <w:sz w:val="24"/>
          <w:szCs w:val="24"/>
        </w:rPr>
        <w:t>weed free treatment (two hand weeding at 15 and 35 DAS) (T</w:t>
      </w:r>
      <w:r w:rsidR="007A55E4" w:rsidRPr="00572E88">
        <w:rPr>
          <w:rFonts w:ascii="Times New Roman" w:hAnsi="Times New Roman" w:cs="Times New Roman"/>
          <w:color w:val="000000" w:themeColor="text1"/>
          <w:sz w:val="24"/>
          <w:szCs w:val="24"/>
          <w:vertAlign w:val="subscript"/>
        </w:rPr>
        <w:t>11</w:t>
      </w:r>
      <w:r w:rsidR="007A55E4" w:rsidRPr="00572E88">
        <w:rPr>
          <w:rFonts w:ascii="Times New Roman" w:hAnsi="Times New Roman" w:cs="Times New Roman"/>
          <w:color w:val="000000" w:themeColor="text1"/>
          <w:sz w:val="24"/>
          <w:szCs w:val="24"/>
        </w:rPr>
        <w:t>) and it was superior over rest of the treatments. Among weed control treatments, higher green fodder yield was recorded under T</w:t>
      </w:r>
      <w:r w:rsidR="007A55E4" w:rsidRPr="00572E88">
        <w:rPr>
          <w:rFonts w:ascii="Times New Roman" w:hAnsi="Times New Roman" w:cs="Times New Roman"/>
          <w:color w:val="000000" w:themeColor="text1"/>
          <w:sz w:val="24"/>
          <w:szCs w:val="24"/>
          <w:vertAlign w:val="subscript"/>
        </w:rPr>
        <w:t>1</w:t>
      </w:r>
      <w:r w:rsidR="007A55E4" w:rsidRPr="00572E88">
        <w:rPr>
          <w:rFonts w:ascii="Times New Roman" w:hAnsi="Times New Roman" w:cs="Times New Roman"/>
          <w:color w:val="000000" w:themeColor="text1"/>
          <w:sz w:val="24"/>
          <w:szCs w:val="24"/>
        </w:rPr>
        <w:t xml:space="preserve"> + atrazine 50% WP (T</w:t>
      </w:r>
      <w:r w:rsidR="007A55E4" w:rsidRPr="00572E88">
        <w:rPr>
          <w:rFonts w:ascii="Times New Roman" w:hAnsi="Times New Roman" w:cs="Times New Roman"/>
          <w:color w:val="000000" w:themeColor="text1"/>
          <w:sz w:val="24"/>
          <w:szCs w:val="24"/>
          <w:vertAlign w:val="subscript"/>
        </w:rPr>
        <w:t>5</w:t>
      </w:r>
      <w:r w:rsidR="007A55E4" w:rsidRPr="00572E88">
        <w:rPr>
          <w:rFonts w:ascii="Times New Roman" w:hAnsi="Times New Roman" w:cs="Times New Roman"/>
          <w:color w:val="000000" w:themeColor="text1"/>
          <w:sz w:val="24"/>
          <w:szCs w:val="24"/>
        </w:rPr>
        <w:t xml:space="preserve">) </w:t>
      </w:r>
      <w:r w:rsidR="007A55E4" w:rsidRPr="00572E88">
        <w:rPr>
          <w:rFonts w:ascii="Times New Roman" w:hAnsi="Times New Roman" w:cs="Times New Roman"/>
          <w:bCs/>
          <w:color w:val="000000" w:themeColor="text1"/>
          <w:sz w:val="24"/>
          <w:szCs w:val="24"/>
        </w:rPr>
        <w:t xml:space="preserve">and it was also superior over rest of the treatment. The increase in green fodder yield due to application of </w:t>
      </w:r>
      <w:r w:rsidR="007A55E4" w:rsidRPr="00572E88">
        <w:rPr>
          <w:rFonts w:ascii="Times New Roman" w:hAnsi="Times New Roman" w:cs="Times New Roman"/>
          <w:color w:val="000000" w:themeColor="text1"/>
          <w:sz w:val="24"/>
          <w:szCs w:val="24"/>
        </w:rPr>
        <w:t>T</w:t>
      </w:r>
      <w:r w:rsidR="007A55E4" w:rsidRPr="00572E88">
        <w:rPr>
          <w:rFonts w:ascii="Times New Roman" w:hAnsi="Times New Roman" w:cs="Times New Roman"/>
          <w:color w:val="000000" w:themeColor="text1"/>
          <w:sz w:val="24"/>
          <w:szCs w:val="24"/>
          <w:vertAlign w:val="subscript"/>
        </w:rPr>
        <w:t xml:space="preserve">1 </w:t>
      </w:r>
      <w:r w:rsidR="007A55E4" w:rsidRPr="00572E88">
        <w:rPr>
          <w:rFonts w:ascii="Times New Roman" w:hAnsi="Times New Roman" w:cs="Times New Roman"/>
          <w:color w:val="000000" w:themeColor="text1"/>
          <w:sz w:val="24"/>
          <w:szCs w:val="24"/>
        </w:rPr>
        <w:t>+atrazine 50% WP (T</w:t>
      </w:r>
      <w:r w:rsidR="007A55E4" w:rsidRPr="00572E88">
        <w:rPr>
          <w:rFonts w:ascii="Times New Roman" w:hAnsi="Times New Roman" w:cs="Times New Roman"/>
          <w:color w:val="000000" w:themeColor="text1"/>
          <w:sz w:val="24"/>
          <w:szCs w:val="24"/>
          <w:vertAlign w:val="subscript"/>
        </w:rPr>
        <w:t>5</w:t>
      </w:r>
      <w:r w:rsidR="007A55E4" w:rsidRPr="00572E88">
        <w:rPr>
          <w:rFonts w:ascii="Times New Roman" w:hAnsi="Times New Roman" w:cs="Times New Roman"/>
          <w:color w:val="000000" w:themeColor="text1"/>
          <w:sz w:val="24"/>
          <w:szCs w:val="24"/>
        </w:rPr>
        <w:t>) was 54.66, 41.49, 82.11, 209.39, 93.28, 126.77, 96.48, 130.70 and 106.74 per cent in comparison to T</w:t>
      </w:r>
      <w:r w:rsidR="007A55E4" w:rsidRPr="00572E88">
        <w:rPr>
          <w:rFonts w:ascii="Times New Roman" w:hAnsi="Times New Roman" w:cs="Times New Roman"/>
          <w:color w:val="000000" w:themeColor="text1"/>
          <w:sz w:val="24"/>
          <w:szCs w:val="24"/>
          <w:vertAlign w:val="subscript"/>
        </w:rPr>
        <w:t>1</w:t>
      </w:r>
      <w:r w:rsidR="007A55E4" w:rsidRPr="00572E88">
        <w:rPr>
          <w:rFonts w:ascii="Times New Roman" w:hAnsi="Times New Roman" w:cs="Times New Roman"/>
          <w:color w:val="000000" w:themeColor="text1"/>
          <w:sz w:val="24"/>
          <w:szCs w:val="24"/>
        </w:rPr>
        <w:t>, T</w:t>
      </w:r>
      <w:r w:rsidR="007A55E4" w:rsidRPr="00572E88">
        <w:rPr>
          <w:rFonts w:ascii="Times New Roman" w:hAnsi="Times New Roman" w:cs="Times New Roman"/>
          <w:color w:val="000000" w:themeColor="text1"/>
          <w:sz w:val="24"/>
          <w:szCs w:val="24"/>
          <w:vertAlign w:val="subscript"/>
        </w:rPr>
        <w:t>2</w:t>
      </w:r>
      <w:r w:rsidR="007A55E4" w:rsidRPr="00572E88">
        <w:rPr>
          <w:rFonts w:ascii="Times New Roman" w:hAnsi="Times New Roman" w:cs="Times New Roman"/>
          <w:color w:val="000000" w:themeColor="text1"/>
          <w:sz w:val="24"/>
          <w:szCs w:val="24"/>
        </w:rPr>
        <w:t>, T</w:t>
      </w:r>
      <w:r w:rsidR="007A55E4" w:rsidRPr="00572E88">
        <w:rPr>
          <w:rFonts w:ascii="Times New Roman" w:hAnsi="Times New Roman" w:cs="Times New Roman"/>
          <w:color w:val="000000" w:themeColor="text1"/>
          <w:sz w:val="24"/>
          <w:szCs w:val="24"/>
          <w:vertAlign w:val="subscript"/>
        </w:rPr>
        <w:t>3</w:t>
      </w:r>
      <w:r w:rsidR="007A55E4" w:rsidRPr="00572E88">
        <w:rPr>
          <w:rFonts w:ascii="Times New Roman" w:hAnsi="Times New Roman" w:cs="Times New Roman"/>
          <w:color w:val="000000" w:themeColor="text1"/>
          <w:sz w:val="24"/>
          <w:szCs w:val="24"/>
        </w:rPr>
        <w:t>, T</w:t>
      </w:r>
      <w:r w:rsidR="007A55E4" w:rsidRPr="00572E88">
        <w:rPr>
          <w:rFonts w:ascii="Times New Roman" w:hAnsi="Times New Roman" w:cs="Times New Roman"/>
          <w:color w:val="000000" w:themeColor="text1"/>
          <w:sz w:val="24"/>
          <w:szCs w:val="24"/>
          <w:vertAlign w:val="subscript"/>
        </w:rPr>
        <w:t>4</w:t>
      </w:r>
      <w:r w:rsidR="007A55E4" w:rsidRPr="00572E88">
        <w:rPr>
          <w:rFonts w:ascii="Times New Roman" w:hAnsi="Times New Roman" w:cs="Times New Roman"/>
          <w:color w:val="000000" w:themeColor="text1"/>
          <w:sz w:val="24"/>
          <w:szCs w:val="24"/>
        </w:rPr>
        <w:t>, T</w:t>
      </w:r>
      <w:r w:rsidR="007A55E4" w:rsidRPr="00572E88">
        <w:rPr>
          <w:rFonts w:ascii="Times New Roman" w:hAnsi="Times New Roman" w:cs="Times New Roman"/>
          <w:color w:val="000000" w:themeColor="text1"/>
          <w:sz w:val="24"/>
          <w:szCs w:val="24"/>
          <w:vertAlign w:val="subscript"/>
        </w:rPr>
        <w:t>6</w:t>
      </w:r>
      <w:r w:rsidR="007A55E4" w:rsidRPr="00572E88">
        <w:rPr>
          <w:rFonts w:ascii="Times New Roman" w:hAnsi="Times New Roman" w:cs="Times New Roman"/>
          <w:color w:val="000000" w:themeColor="text1"/>
          <w:sz w:val="24"/>
          <w:szCs w:val="24"/>
        </w:rPr>
        <w:t>, T</w:t>
      </w:r>
      <w:r w:rsidR="007A55E4" w:rsidRPr="00572E88">
        <w:rPr>
          <w:rFonts w:ascii="Times New Roman" w:hAnsi="Times New Roman" w:cs="Times New Roman"/>
          <w:color w:val="000000" w:themeColor="text1"/>
          <w:sz w:val="24"/>
          <w:szCs w:val="24"/>
          <w:vertAlign w:val="subscript"/>
        </w:rPr>
        <w:t>7</w:t>
      </w:r>
      <w:r w:rsidR="007A55E4" w:rsidRPr="00572E88">
        <w:rPr>
          <w:rFonts w:ascii="Times New Roman" w:hAnsi="Times New Roman" w:cs="Times New Roman"/>
          <w:color w:val="000000" w:themeColor="text1"/>
          <w:sz w:val="24"/>
          <w:szCs w:val="24"/>
        </w:rPr>
        <w:t>, T</w:t>
      </w:r>
      <w:r w:rsidR="007A55E4" w:rsidRPr="00572E88">
        <w:rPr>
          <w:rFonts w:ascii="Times New Roman" w:hAnsi="Times New Roman" w:cs="Times New Roman"/>
          <w:color w:val="000000" w:themeColor="text1"/>
          <w:sz w:val="24"/>
          <w:szCs w:val="24"/>
          <w:vertAlign w:val="subscript"/>
        </w:rPr>
        <w:t>8</w:t>
      </w:r>
      <w:r w:rsidR="007A55E4" w:rsidRPr="00572E88">
        <w:rPr>
          <w:rFonts w:ascii="Times New Roman" w:hAnsi="Times New Roman" w:cs="Times New Roman"/>
          <w:color w:val="000000" w:themeColor="text1"/>
          <w:sz w:val="24"/>
          <w:szCs w:val="24"/>
        </w:rPr>
        <w:t>, T</w:t>
      </w:r>
      <w:r w:rsidR="007A55E4" w:rsidRPr="00572E88">
        <w:rPr>
          <w:rFonts w:ascii="Times New Roman" w:hAnsi="Times New Roman" w:cs="Times New Roman"/>
          <w:color w:val="000000" w:themeColor="text1"/>
          <w:sz w:val="24"/>
          <w:szCs w:val="24"/>
          <w:vertAlign w:val="subscript"/>
        </w:rPr>
        <w:t>9</w:t>
      </w:r>
      <w:r w:rsidR="007A55E4" w:rsidRPr="00572E88">
        <w:rPr>
          <w:rFonts w:ascii="Times New Roman" w:hAnsi="Times New Roman" w:cs="Times New Roman"/>
          <w:color w:val="000000" w:themeColor="text1"/>
          <w:sz w:val="24"/>
          <w:szCs w:val="24"/>
        </w:rPr>
        <w:t xml:space="preserve"> and T</w:t>
      </w:r>
      <w:r w:rsidR="007A55E4" w:rsidRPr="00572E88">
        <w:rPr>
          <w:rFonts w:ascii="Times New Roman" w:hAnsi="Times New Roman" w:cs="Times New Roman"/>
          <w:color w:val="000000" w:themeColor="text1"/>
          <w:sz w:val="24"/>
          <w:szCs w:val="24"/>
          <w:vertAlign w:val="subscript"/>
        </w:rPr>
        <w:t>10</w:t>
      </w:r>
      <w:r w:rsidR="007A55E4" w:rsidRPr="00572E88">
        <w:rPr>
          <w:rFonts w:ascii="Times New Roman" w:hAnsi="Times New Roman" w:cs="Times New Roman"/>
          <w:color w:val="000000" w:themeColor="text1"/>
          <w:sz w:val="24"/>
          <w:szCs w:val="24"/>
        </w:rPr>
        <w:t>, respectively.</w:t>
      </w:r>
      <w:r w:rsidR="002F1879" w:rsidRPr="00572E88">
        <w:rPr>
          <w:rFonts w:ascii="Times New Roman" w:hAnsi="Times New Roman" w:cs="Times New Roman"/>
          <w:color w:val="000000" w:themeColor="text1"/>
          <w:sz w:val="24"/>
          <w:szCs w:val="24"/>
          <w:vertAlign w:val="superscript"/>
        </w:rPr>
        <w:t xml:space="preserve">  </w:t>
      </w:r>
      <w:r w:rsidR="002F1879" w:rsidRPr="00572E88">
        <w:rPr>
          <w:rFonts w:ascii="Times New Roman" w:eastAsia="Times New Roman" w:hAnsi="Times New Roman" w:cs="Times New Roman"/>
          <w:sz w:val="24"/>
          <w:szCs w:val="24"/>
        </w:rPr>
        <w:t xml:space="preserve">he findings presented in Table 4.6 reveal that sorghum's green and dry fodder yields were significantly enhanced by the application of weed management practices when compared to the untreated (weedy check) plots. The highest </w:t>
      </w:r>
      <w:r w:rsidR="002F1879" w:rsidRPr="00572E88">
        <w:rPr>
          <w:rFonts w:ascii="Times New Roman" w:eastAsia="Times New Roman" w:hAnsi="Times New Roman" w:cs="Times New Roman"/>
          <w:bCs/>
          <w:sz w:val="24"/>
          <w:szCs w:val="24"/>
        </w:rPr>
        <w:t>green fodder yield (69.62 t ha⁻¹)</w:t>
      </w:r>
      <w:r w:rsidR="002F1879" w:rsidRPr="00572E88">
        <w:rPr>
          <w:rFonts w:ascii="Times New Roman" w:eastAsia="Times New Roman" w:hAnsi="Times New Roman" w:cs="Times New Roman"/>
          <w:sz w:val="24"/>
          <w:szCs w:val="24"/>
        </w:rPr>
        <w:t xml:space="preserve"> and </w:t>
      </w:r>
      <w:r w:rsidR="002F1879" w:rsidRPr="00572E88">
        <w:rPr>
          <w:rFonts w:ascii="Times New Roman" w:eastAsia="Times New Roman" w:hAnsi="Times New Roman" w:cs="Times New Roman"/>
          <w:bCs/>
          <w:sz w:val="24"/>
          <w:szCs w:val="24"/>
        </w:rPr>
        <w:t>dry fodder yield (20.71 t ha⁻¹)</w:t>
      </w:r>
      <w:r w:rsidR="002F1879" w:rsidRPr="00572E88">
        <w:rPr>
          <w:rFonts w:ascii="Times New Roman" w:eastAsia="Times New Roman" w:hAnsi="Times New Roman" w:cs="Times New Roman"/>
          <w:sz w:val="24"/>
          <w:szCs w:val="24"/>
        </w:rPr>
        <w:t xml:space="preserve"> were recorded in the </w:t>
      </w:r>
      <w:r w:rsidR="002F1879" w:rsidRPr="00572E88">
        <w:rPr>
          <w:rFonts w:ascii="Times New Roman" w:eastAsia="Times New Roman" w:hAnsi="Times New Roman" w:cs="Times New Roman"/>
          <w:bCs/>
          <w:sz w:val="24"/>
          <w:szCs w:val="24"/>
        </w:rPr>
        <w:t>weed-free treatment</w:t>
      </w:r>
      <w:r w:rsidR="002F1879" w:rsidRPr="00572E88">
        <w:rPr>
          <w:rFonts w:ascii="Times New Roman" w:eastAsia="Times New Roman" w:hAnsi="Times New Roman" w:cs="Times New Roman"/>
          <w:sz w:val="24"/>
          <w:szCs w:val="24"/>
        </w:rPr>
        <w:t>, demonstrating the effectiveness of complete weed removal.</w:t>
      </w:r>
      <w:r w:rsidR="00572E88">
        <w:rPr>
          <w:rFonts w:ascii="Times New Roman" w:eastAsia="Times New Roman" w:hAnsi="Times New Roman" w:cs="Times New Roman"/>
          <w:sz w:val="24"/>
          <w:szCs w:val="24"/>
        </w:rPr>
        <w:t xml:space="preserve"> </w:t>
      </w:r>
      <w:r w:rsidR="002F1879" w:rsidRPr="00572E88">
        <w:rPr>
          <w:rFonts w:ascii="Times New Roman" w:eastAsia="Times New Roman" w:hAnsi="Times New Roman" w:cs="Times New Roman"/>
          <w:sz w:val="24"/>
          <w:szCs w:val="24"/>
        </w:rPr>
        <w:t xml:space="preserve">Additionally, key yield-contributing parameters such as the </w:t>
      </w:r>
      <w:r w:rsidR="002F1879" w:rsidRPr="00572E88">
        <w:rPr>
          <w:rFonts w:ascii="Times New Roman" w:eastAsia="Times New Roman" w:hAnsi="Times New Roman" w:cs="Times New Roman"/>
          <w:bCs/>
          <w:sz w:val="24"/>
          <w:szCs w:val="24"/>
        </w:rPr>
        <w:t>number of leaves per plant</w:t>
      </w:r>
      <w:r w:rsidR="002F1879" w:rsidRPr="00572E88">
        <w:rPr>
          <w:rFonts w:ascii="Times New Roman" w:eastAsia="Times New Roman" w:hAnsi="Times New Roman" w:cs="Times New Roman"/>
          <w:sz w:val="24"/>
          <w:szCs w:val="24"/>
        </w:rPr>
        <w:t xml:space="preserve"> showed marked improvement under different weed control measures, with the most notable results observed in the weed-free plots. This was closely followed by the treatment involving </w:t>
      </w:r>
      <w:r w:rsidR="002F1879" w:rsidRPr="00572E88">
        <w:rPr>
          <w:rFonts w:ascii="Times New Roman" w:eastAsia="Times New Roman" w:hAnsi="Times New Roman" w:cs="Times New Roman"/>
          <w:bCs/>
          <w:sz w:val="24"/>
          <w:szCs w:val="24"/>
        </w:rPr>
        <w:t>atrazine applied at 0.50 kg ha⁻¹ both pre-emergence and post-emergence (T5)</w:t>
      </w:r>
      <w:r w:rsidR="002F1879" w:rsidRPr="00572E88">
        <w:rPr>
          <w:rFonts w:ascii="Times New Roman" w:eastAsia="Times New Roman" w:hAnsi="Times New Roman" w:cs="Times New Roman"/>
          <w:sz w:val="24"/>
          <w:szCs w:val="24"/>
        </w:rPr>
        <w:t>, which outperformed the remaining herbicidal treatments.</w:t>
      </w:r>
    </w:p>
    <w:p w14:paraId="06B0D261" w14:textId="77777777" w:rsidR="007A55E4" w:rsidRPr="00B71ECE" w:rsidRDefault="007E4F9B" w:rsidP="007E4F9B">
      <w:pPr>
        <w:tabs>
          <w:tab w:val="left" w:pos="142"/>
        </w:tabs>
        <w:spacing w:before="120" w:after="0" w:line="360" w:lineRule="auto"/>
        <w:jc w:val="both"/>
        <w:rPr>
          <w:rFonts w:ascii="Times New Roman" w:hAnsi="Times New Roman" w:cs="Times New Roman"/>
          <w:b/>
          <w:color w:val="000000" w:themeColor="text1"/>
          <w:sz w:val="24"/>
          <w:szCs w:val="24"/>
          <w:vertAlign w:val="superscript"/>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F1879" w:rsidRPr="00572E88">
        <w:rPr>
          <w:rFonts w:ascii="Times New Roman" w:eastAsia="Times New Roman" w:hAnsi="Times New Roman" w:cs="Times New Roman"/>
          <w:sz w:val="24"/>
          <w:szCs w:val="24"/>
        </w:rPr>
        <w:t xml:space="preserve">The superior performance under the weed-free condition can be attributed to minimal interference from weeds, ensuring optimum availability of critical growth inputs such as </w:t>
      </w:r>
      <w:r w:rsidR="002F1879" w:rsidRPr="00572E88">
        <w:rPr>
          <w:rFonts w:ascii="Times New Roman" w:eastAsia="Times New Roman" w:hAnsi="Times New Roman" w:cs="Times New Roman"/>
          <w:bCs/>
          <w:sz w:val="24"/>
          <w:szCs w:val="24"/>
        </w:rPr>
        <w:t>light, space, moisture, and nutrients</w:t>
      </w:r>
      <w:r w:rsidR="002F1879" w:rsidRPr="00572E88">
        <w:rPr>
          <w:rFonts w:ascii="Times New Roman" w:eastAsia="Times New Roman" w:hAnsi="Times New Roman" w:cs="Times New Roman"/>
          <w:sz w:val="24"/>
          <w:szCs w:val="24"/>
        </w:rPr>
        <w:t xml:space="preserve"> throughout the crop cycle. This </w:t>
      </w:r>
      <w:proofErr w:type="spellStart"/>
      <w:r w:rsidR="002F1879" w:rsidRPr="00572E88">
        <w:rPr>
          <w:rFonts w:ascii="Times New Roman" w:eastAsia="Times New Roman" w:hAnsi="Times New Roman" w:cs="Times New Roman"/>
          <w:sz w:val="24"/>
          <w:szCs w:val="24"/>
        </w:rPr>
        <w:t>favorable</w:t>
      </w:r>
      <w:proofErr w:type="spellEnd"/>
      <w:r w:rsidR="002F1879" w:rsidRPr="00572E88">
        <w:rPr>
          <w:rFonts w:ascii="Times New Roman" w:eastAsia="Times New Roman" w:hAnsi="Times New Roman" w:cs="Times New Roman"/>
          <w:sz w:val="24"/>
          <w:szCs w:val="24"/>
        </w:rPr>
        <w:t xml:space="preserve"> growing environment facilitated improved plant development and yield. Furthermore, </w:t>
      </w:r>
      <w:r w:rsidR="002F1879" w:rsidRPr="00572E88">
        <w:rPr>
          <w:rFonts w:ascii="Times New Roman" w:eastAsia="Times New Roman" w:hAnsi="Times New Roman" w:cs="Times New Roman"/>
          <w:bCs/>
          <w:sz w:val="24"/>
          <w:szCs w:val="24"/>
        </w:rPr>
        <w:t>cultural weed control practices</w:t>
      </w:r>
      <w:r w:rsidR="002F1879" w:rsidRPr="00572E88">
        <w:rPr>
          <w:rFonts w:ascii="Times New Roman" w:eastAsia="Times New Roman" w:hAnsi="Times New Roman" w:cs="Times New Roman"/>
          <w:sz w:val="24"/>
          <w:szCs w:val="24"/>
        </w:rPr>
        <w:t>, such as hand weeding, proved effective and environmentally sustainable, aligning with the observations o</w:t>
      </w:r>
      <w:r w:rsidR="002F1879" w:rsidRPr="004A25E2">
        <w:rPr>
          <w:rFonts w:ascii="Times New Roman" w:eastAsia="Times New Roman" w:hAnsi="Times New Roman" w:cs="Times New Roman"/>
          <w:sz w:val="24"/>
          <w:szCs w:val="24"/>
        </w:rPr>
        <w:t xml:space="preserve">f </w:t>
      </w:r>
      <w:r w:rsidR="002F1879" w:rsidRPr="004A25E2">
        <w:rPr>
          <w:rFonts w:ascii="Times New Roman" w:eastAsia="Times New Roman" w:hAnsi="Times New Roman" w:cs="Times New Roman"/>
          <w:bCs/>
          <w:sz w:val="24"/>
          <w:szCs w:val="24"/>
        </w:rPr>
        <w:t xml:space="preserve">Dhar </w:t>
      </w:r>
      <w:r w:rsidR="002F1879" w:rsidRPr="004A25E2">
        <w:rPr>
          <w:rFonts w:ascii="Times New Roman" w:eastAsia="Times New Roman" w:hAnsi="Times New Roman" w:cs="Times New Roman"/>
          <w:bCs/>
          <w:i/>
          <w:sz w:val="24"/>
          <w:szCs w:val="24"/>
        </w:rPr>
        <w:t>et al</w:t>
      </w:r>
      <w:r w:rsidR="002F1879" w:rsidRPr="004A25E2">
        <w:rPr>
          <w:rFonts w:ascii="Times New Roman" w:eastAsia="Times New Roman" w:hAnsi="Times New Roman" w:cs="Times New Roman"/>
          <w:bCs/>
          <w:sz w:val="24"/>
          <w:szCs w:val="24"/>
        </w:rPr>
        <w:t>. (2006)</w:t>
      </w:r>
      <w:r w:rsidR="002F1879" w:rsidRPr="004A25E2">
        <w:rPr>
          <w:rFonts w:ascii="Times New Roman" w:eastAsia="Times New Roman" w:hAnsi="Times New Roman" w:cs="Times New Roman"/>
          <w:sz w:val="24"/>
          <w:szCs w:val="24"/>
        </w:rPr>
        <w:t>.</w:t>
      </w:r>
      <w:r w:rsidR="00070E0F">
        <w:rPr>
          <w:rFonts w:ascii="Times New Roman" w:eastAsia="Times New Roman" w:hAnsi="Times New Roman" w:cs="Times New Roman"/>
          <w:sz w:val="24"/>
          <w:szCs w:val="24"/>
        </w:rPr>
        <w:t xml:space="preserve"> D</w:t>
      </w:r>
      <w:r w:rsidR="007A55E4" w:rsidRPr="00B71ECE">
        <w:rPr>
          <w:rFonts w:ascii="Times New Roman" w:hAnsi="Times New Roman" w:cs="Times New Roman"/>
          <w:bCs/>
          <w:color w:val="000000" w:themeColor="text1"/>
          <w:sz w:val="24"/>
          <w:szCs w:val="24"/>
        </w:rPr>
        <w:t>ry fod</w:t>
      </w:r>
      <w:r w:rsidR="00791A7C">
        <w:rPr>
          <w:rFonts w:ascii="Times New Roman" w:hAnsi="Times New Roman" w:cs="Times New Roman"/>
          <w:bCs/>
          <w:color w:val="000000" w:themeColor="text1"/>
          <w:sz w:val="24"/>
          <w:szCs w:val="24"/>
        </w:rPr>
        <w:t>der yield presented in Table 4.</w:t>
      </w:r>
      <w:r w:rsidR="007A55E4" w:rsidRPr="00B71ECE">
        <w:rPr>
          <w:rFonts w:ascii="Times New Roman" w:hAnsi="Times New Roman" w:cs="Times New Roman"/>
          <w:bCs/>
          <w:color w:val="000000" w:themeColor="text1"/>
          <w:sz w:val="24"/>
          <w:szCs w:val="24"/>
        </w:rPr>
        <w:t xml:space="preserve"> show that dry fodder yield was significantly influenced by weed management. By the application of</w:t>
      </w:r>
      <w:r w:rsidR="007A55E4" w:rsidRPr="00B71ECE">
        <w:rPr>
          <w:rFonts w:ascii="Times New Roman" w:hAnsi="Times New Roman" w:cs="Times New Roman"/>
          <w:color w:val="000000" w:themeColor="text1"/>
          <w:sz w:val="24"/>
          <w:szCs w:val="24"/>
        </w:rPr>
        <w:t xml:space="preserve"> </w:t>
      </w:r>
      <w:r w:rsidR="007A55E4" w:rsidRPr="00B71ECE">
        <w:rPr>
          <w:rFonts w:ascii="Times New Roman" w:hAnsi="Times New Roman" w:cs="Times New Roman"/>
          <w:bCs/>
          <w:color w:val="000000" w:themeColor="text1"/>
          <w:sz w:val="24"/>
          <w:szCs w:val="24"/>
        </w:rPr>
        <w:t>significantly higher dry fodder yield (</w:t>
      </w:r>
      <w:r w:rsidR="007A55E4" w:rsidRPr="00B71ECE">
        <w:rPr>
          <w:rFonts w:ascii="Times New Roman" w:hAnsi="Times New Roman" w:cs="Times New Roman"/>
          <w:color w:val="000000" w:themeColor="text1"/>
          <w:sz w:val="24"/>
          <w:szCs w:val="24"/>
        </w:rPr>
        <w:t>20.71 t ha</w:t>
      </w:r>
      <w:r w:rsidR="007A55E4" w:rsidRPr="00B71ECE">
        <w:rPr>
          <w:rFonts w:ascii="Times New Roman" w:hAnsi="Times New Roman" w:cs="Times New Roman"/>
          <w:color w:val="000000" w:themeColor="text1"/>
          <w:sz w:val="24"/>
          <w:szCs w:val="24"/>
          <w:vertAlign w:val="superscript"/>
        </w:rPr>
        <w:t>-1</w:t>
      </w:r>
      <w:r w:rsidR="007A55E4" w:rsidRPr="00B71ECE">
        <w:rPr>
          <w:rFonts w:ascii="Times New Roman" w:hAnsi="Times New Roman" w:cs="Times New Roman"/>
          <w:bCs/>
          <w:color w:val="000000" w:themeColor="text1"/>
          <w:sz w:val="24"/>
          <w:szCs w:val="24"/>
        </w:rPr>
        <w:t xml:space="preserve">) was obtained under </w:t>
      </w:r>
      <w:r w:rsidR="007A55E4" w:rsidRPr="00B71ECE">
        <w:rPr>
          <w:rFonts w:ascii="Times New Roman" w:hAnsi="Times New Roman" w:cs="Times New Roman"/>
          <w:color w:val="000000" w:themeColor="text1"/>
          <w:sz w:val="24"/>
          <w:szCs w:val="24"/>
        </w:rPr>
        <w:t>weed free treatment (two hand weeding at 15 and 35 DAS) (T</w:t>
      </w:r>
      <w:r w:rsidR="007A55E4" w:rsidRPr="00B71ECE">
        <w:rPr>
          <w:rFonts w:ascii="Times New Roman" w:hAnsi="Times New Roman" w:cs="Times New Roman"/>
          <w:color w:val="000000" w:themeColor="text1"/>
          <w:sz w:val="24"/>
          <w:szCs w:val="24"/>
          <w:vertAlign w:val="subscript"/>
        </w:rPr>
        <w:t>11</w:t>
      </w:r>
      <w:r w:rsidR="007A55E4" w:rsidRPr="00B71ECE">
        <w:rPr>
          <w:rFonts w:ascii="Times New Roman" w:hAnsi="Times New Roman" w:cs="Times New Roman"/>
          <w:bCs/>
          <w:color w:val="000000" w:themeColor="text1"/>
          <w:sz w:val="24"/>
          <w:szCs w:val="24"/>
        </w:rPr>
        <w:t xml:space="preserve">) which was significantly superior over rest of the treatments. </w:t>
      </w:r>
      <w:r w:rsidR="007A55E4" w:rsidRPr="00B71ECE">
        <w:rPr>
          <w:rFonts w:ascii="Times New Roman" w:hAnsi="Times New Roman" w:cs="Times New Roman"/>
          <w:color w:val="000000" w:themeColor="text1"/>
          <w:sz w:val="24"/>
          <w:szCs w:val="24"/>
        </w:rPr>
        <w:lastRenderedPageBreak/>
        <w:t>Among weed control treatments, higher dry fodder yield was recorded under T</w:t>
      </w:r>
      <w:r w:rsidR="007A55E4" w:rsidRPr="00B71ECE">
        <w:rPr>
          <w:rFonts w:ascii="Times New Roman" w:hAnsi="Times New Roman" w:cs="Times New Roman"/>
          <w:color w:val="000000" w:themeColor="text1"/>
          <w:sz w:val="24"/>
          <w:szCs w:val="24"/>
          <w:vertAlign w:val="subscript"/>
        </w:rPr>
        <w:t>1</w:t>
      </w:r>
      <w:r w:rsidR="007A55E4" w:rsidRPr="00B71ECE">
        <w:rPr>
          <w:rFonts w:ascii="Times New Roman" w:hAnsi="Times New Roman" w:cs="Times New Roman"/>
          <w:color w:val="000000" w:themeColor="text1"/>
          <w:sz w:val="24"/>
          <w:szCs w:val="24"/>
        </w:rPr>
        <w:t xml:space="preserve"> + atrazine 50% WP (T</w:t>
      </w:r>
      <w:r w:rsidR="007A55E4" w:rsidRPr="00B71ECE">
        <w:rPr>
          <w:rFonts w:ascii="Times New Roman" w:hAnsi="Times New Roman" w:cs="Times New Roman"/>
          <w:color w:val="000000" w:themeColor="text1"/>
          <w:sz w:val="24"/>
          <w:szCs w:val="24"/>
          <w:vertAlign w:val="subscript"/>
        </w:rPr>
        <w:t>5</w:t>
      </w:r>
      <w:r w:rsidR="007A55E4" w:rsidRPr="00B71ECE">
        <w:rPr>
          <w:rFonts w:ascii="Times New Roman" w:hAnsi="Times New Roman" w:cs="Times New Roman"/>
          <w:color w:val="000000" w:themeColor="text1"/>
          <w:sz w:val="24"/>
          <w:szCs w:val="24"/>
        </w:rPr>
        <w:t>)</w:t>
      </w:r>
      <w:r w:rsidR="007A55E4" w:rsidRPr="00B71ECE">
        <w:rPr>
          <w:rFonts w:ascii="Times New Roman" w:hAnsi="Times New Roman" w:cs="Times New Roman"/>
          <w:bCs/>
          <w:color w:val="000000" w:themeColor="text1"/>
          <w:sz w:val="24"/>
          <w:szCs w:val="24"/>
        </w:rPr>
        <w:t xml:space="preserve">. </w:t>
      </w:r>
    </w:p>
    <w:p w14:paraId="4883751B" w14:textId="77777777" w:rsidR="007A55E4" w:rsidRPr="00070E0F" w:rsidRDefault="0066128A" w:rsidP="006B2B42">
      <w:pPr>
        <w:tabs>
          <w:tab w:val="left" w:pos="142"/>
        </w:tabs>
        <w:spacing w:before="120"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w:t>
      </w:r>
      <w:r w:rsidR="0099502F">
        <w:rPr>
          <w:rFonts w:ascii="Times New Roman" w:hAnsi="Times New Roman" w:cs="Times New Roman"/>
          <w:b/>
          <w:color w:val="000000" w:themeColor="text1"/>
          <w:sz w:val="24"/>
          <w:szCs w:val="24"/>
        </w:rPr>
        <w:t xml:space="preserve"> </w:t>
      </w:r>
      <w:r w:rsidR="00F8592A">
        <w:rPr>
          <w:rFonts w:ascii="Times New Roman" w:hAnsi="Times New Roman" w:cs="Times New Roman"/>
          <w:b/>
          <w:color w:val="000000" w:themeColor="text1"/>
          <w:sz w:val="24"/>
          <w:szCs w:val="24"/>
        </w:rPr>
        <w:t>HCN content</w:t>
      </w:r>
      <w:r w:rsidR="0099502F">
        <w:rPr>
          <w:rFonts w:ascii="Times New Roman" w:hAnsi="Times New Roman" w:cs="Times New Roman"/>
          <w:b/>
          <w:color w:val="000000" w:themeColor="text1"/>
          <w:sz w:val="24"/>
          <w:szCs w:val="24"/>
        </w:rPr>
        <w:t xml:space="preserve"> </w:t>
      </w:r>
      <w:r w:rsidR="00070E0F">
        <w:rPr>
          <w:rFonts w:ascii="Times New Roman" w:hAnsi="Times New Roman" w:cs="Times New Roman"/>
          <w:b/>
          <w:color w:val="000000" w:themeColor="text1"/>
          <w:sz w:val="24"/>
          <w:szCs w:val="24"/>
        </w:rPr>
        <w:t xml:space="preserve">and </w:t>
      </w:r>
      <w:r w:rsidR="00070E0F" w:rsidRPr="00B71ECE">
        <w:rPr>
          <w:rFonts w:ascii="Times New Roman" w:eastAsia="Times New Roman" w:hAnsi="Times New Roman" w:cs="Times New Roman"/>
          <w:b/>
          <w:bCs/>
          <w:color w:val="000000" w:themeColor="text1"/>
          <w:sz w:val="24"/>
          <w:szCs w:val="24"/>
        </w:rPr>
        <w:t>Nutrient</w:t>
      </w:r>
      <w:r w:rsidR="00070E0F" w:rsidRPr="00B71ECE">
        <w:rPr>
          <w:rFonts w:ascii="Times New Roman" w:hAnsi="Times New Roman" w:cs="Times New Roman"/>
          <w:b/>
          <w:color w:val="000000" w:themeColor="text1"/>
          <w:sz w:val="24"/>
          <w:szCs w:val="24"/>
        </w:rPr>
        <w:t xml:space="preserve"> uptake </w:t>
      </w:r>
    </w:p>
    <w:p w14:paraId="76306A8A" w14:textId="77777777" w:rsidR="00791A7C" w:rsidRDefault="00070E0F" w:rsidP="00070E0F">
      <w:pPr>
        <w:tabs>
          <w:tab w:val="left" w:pos="142"/>
        </w:tabs>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000000" w:themeColor="text1"/>
          <w:sz w:val="24"/>
          <w:szCs w:val="24"/>
        </w:rPr>
        <w:tab/>
      </w:r>
      <w:r w:rsidR="007E4F9B">
        <w:rPr>
          <w:rFonts w:ascii="Times New Roman" w:eastAsia="Times New Roman" w:hAnsi="Times New Roman" w:cs="Times New Roman"/>
          <w:bCs/>
          <w:color w:val="000000" w:themeColor="text1"/>
          <w:sz w:val="24"/>
          <w:szCs w:val="24"/>
        </w:rPr>
        <w:tab/>
      </w:r>
      <w:r w:rsidR="00F8592A">
        <w:rPr>
          <w:rFonts w:ascii="Times New Roman" w:eastAsia="Times New Roman" w:hAnsi="Times New Roman" w:cs="Times New Roman"/>
          <w:bCs/>
          <w:color w:val="000000" w:themeColor="text1"/>
          <w:sz w:val="24"/>
          <w:szCs w:val="24"/>
        </w:rPr>
        <w:t xml:space="preserve">The </w:t>
      </w:r>
      <w:r w:rsidR="007A55E4" w:rsidRPr="00B71ECE">
        <w:rPr>
          <w:rFonts w:ascii="Times New Roman" w:hAnsi="Times New Roman" w:cs="Times New Roman"/>
          <w:bCs/>
          <w:color w:val="000000" w:themeColor="text1"/>
          <w:sz w:val="24"/>
          <w:szCs w:val="24"/>
        </w:rPr>
        <w:t xml:space="preserve">HCN (ppm) content </w:t>
      </w:r>
      <w:r w:rsidR="007A55E4" w:rsidRPr="00B71ECE">
        <w:rPr>
          <w:rFonts w:ascii="Times New Roman" w:eastAsia="Times New Roman" w:hAnsi="Times New Roman" w:cs="Times New Roman"/>
          <w:bCs/>
          <w:color w:val="000000" w:themeColor="text1"/>
          <w:sz w:val="24"/>
          <w:szCs w:val="24"/>
        </w:rPr>
        <w:t>failed to express any significant result among all the treatments of weed management.</w:t>
      </w:r>
      <w:r>
        <w:rPr>
          <w:rFonts w:ascii="Times New Roman" w:eastAsia="Times New Roman" w:hAnsi="Times New Roman" w:cs="Times New Roman"/>
          <w:bCs/>
          <w:color w:val="000000" w:themeColor="text1"/>
          <w:sz w:val="24"/>
          <w:szCs w:val="24"/>
        </w:rPr>
        <w:t xml:space="preserve"> </w:t>
      </w:r>
      <w:r w:rsidR="007E304D">
        <w:rPr>
          <w:rFonts w:ascii="Times New Roman" w:eastAsia="Times New Roman" w:hAnsi="Times New Roman" w:cs="Times New Roman"/>
          <w:sz w:val="24"/>
          <w:szCs w:val="24"/>
        </w:rPr>
        <w:t>The data presented in Table 5.</w:t>
      </w:r>
      <w:r w:rsidR="00903E51" w:rsidRPr="00572E88">
        <w:rPr>
          <w:rFonts w:ascii="Times New Roman" w:eastAsia="Times New Roman" w:hAnsi="Times New Roman" w:cs="Times New Roman"/>
          <w:sz w:val="24"/>
          <w:szCs w:val="24"/>
        </w:rPr>
        <w:t xml:space="preserve"> clearly demonstrate that effective weed management significantly enhances the uptake of essential </w:t>
      </w:r>
      <w:proofErr w:type="spellStart"/>
      <w:r w:rsidR="00903E51" w:rsidRPr="00572E88">
        <w:rPr>
          <w:rFonts w:ascii="Times New Roman" w:eastAsia="Times New Roman" w:hAnsi="Times New Roman" w:cs="Times New Roman"/>
          <w:sz w:val="24"/>
          <w:szCs w:val="24"/>
        </w:rPr>
        <w:t>nutrientsnamely</w:t>
      </w:r>
      <w:proofErr w:type="spellEnd"/>
      <w:r w:rsidR="00903E51" w:rsidRPr="00572E88">
        <w:rPr>
          <w:rFonts w:ascii="Times New Roman" w:eastAsia="Times New Roman" w:hAnsi="Times New Roman" w:cs="Times New Roman"/>
          <w:sz w:val="24"/>
          <w:szCs w:val="24"/>
        </w:rPr>
        <w:t xml:space="preserve"> nitrogen (N), phosphorus (P), and potassium (K)—by the sorghum crop. Among all treatments, the </w:t>
      </w:r>
      <w:r w:rsidR="00903E51" w:rsidRPr="00572E88">
        <w:rPr>
          <w:rFonts w:ascii="Times New Roman" w:eastAsia="Times New Roman" w:hAnsi="Times New Roman" w:cs="Times New Roman"/>
          <w:bCs/>
          <w:sz w:val="24"/>
          <w:szCs w:val="24"/>
        </w:rPr>
        <w:t>weed-free condition</w:t>
      </w:r>
      <w:r w:rsidR="00903E51" w:rsidRPr="00572E88">
        <w:rPr>
          <w:rFonts w:ascii="Times New Roman" w:eastAsia="Times New Roman" w:hAnsi="Times New Roman" w:cs="Times New Roman"/>
          <w:sz w:val="24"/>
          <w:szCs w:val="24"/>
        </w:rPr>
        <w:t xml:space="preserve"> resulted in the </w:t>
      </w:r>
      <w:r w:rsidR="00903E51" w:rsidRPr="00572E88">
        <w:rPr>
          <w:rFonts w:ascii="Times New Roman" w:eastAsia="Times New Roman" w:hAnsi="Times New Roman" w:cs="Times New Roman"/>
          <w:bCs/>
          <w:sz w:val="24"/>
          <w:szCs w:val="24"/>
        </w:rPr>
        <w:t>highest nutrient uptake</w:t>
      </w:r>
      <w:r w:rsidR="00903E51" w:rsidRPr="00572E88">
        <w:rPr>
          <w:rFonts w:ascii="Times New Roman" w:eastAsia="Times New Roman" w:hAnsi="Times New Roman" w:cs="Times New Roman"/>
          <w:sz w:val="24"/>
          <w:szCs w:val="24"/>
        </w:rPr>
        <w:t xml:space="preserve">, with </w:t>
      </w:r>
      <w:r w:rsidR="00903E51" w:rsidRPr="00572E88">
        <w:rPr>
          <w:rFonts w:ascii="Times New Roman" w:eastAsia="Times New Roman" w:hAnsi="Times New Roman" w:cs="Times New Roman"/>
          <w:bCs/>
          <w:sz w:val="24"/>
          <w:szCs w:val="24"/>
        </w:rPr>
        <w:t>nitrogen at 96.97 kg ha⁻¹</w:t>
      </w:r>
      <w:r w:rsidR="00903E51" w:rsidRPr="00572E88">
        <w:rPr>
          <w:rFonts w:ascii="Times New Roman" w:eastAsia="Times New Roman" w:hAnsi="Times New Roman" w:cs="Times New Roman"/>
          <w:sz w:val="24"/>
          <w:szCs w:val="24"/>
        </w:rPr>
        <w:t xml:space="preserve">, </w:t>
      </w:r>
      <w:r w:rsidR="00903E51" w:rsidRPr="00572E88">
        <w:rPr>
          <w:rFonts w:ascii="Times New Roman" w:eastAsia="Times New Roman" w:hAnsi="Times New Roman" w:cs="Times New Roman"/>
          <w:bCs/>
          <w:sz w:val="24"/>
          <w:szCs w:val="24"/>
        </w:rPr>
        <w:t>phosphorus at 28.24 kg ha⁻¹</w:t>
      </w:r>
      <w:r w:rsidR="00903E51" w:rsidRPr="00572E88">
        <w:rPr>
          <w:rFonts w:ascii="Times New Roman" w:eastAsia="Times New Roman" w:hAnsi="Times New Roman" w:cs="Times New Roman"/>
          <w:sz w:val="24"/>
          <w:szCs w:val="24"/>
        </w:rPr>
        <w:t xml:space="preserve">, and </w:t>
      </w:r>
      <w:r w:rsidR="00903E51" w:rsidRPr="00572E88">
        <w:rPr>
          <w:rFonts w:ascii="Times New Roman" w:eastAsia="Times New Roman" w:hAnsi="Times New Roman" w:cs="Times New Roman"/>
          <w:bCs/>
          <w:sz w:val="24"/>
          <w:szCs w:val="24"/>
        </w:rPr>
        <w:t>potassium at 179.89 kg ha⁻¹</w:t>
      </w:r>
      <w:r w:rsidR="00903E51" w:rsidRPr="00572E88">
        <w:rPr>
          <w:rFonts w:ascii="Times New Roman" w:eastAsia="Times New Roman" w:hAnsi="Times New Roman" w:cs="Times New Roman"/>
          <w:sz w:val="24"/>
          <w:szCs w:val="24"/>
        </w:rPr>
        <w:t>. These values were statistically comparable to certain treatments such as T1, T2, T3, and T5 for nitrogen; T5 for phosphorus; and T1, T2, and T5 for potassium, while being significantly superior to the remaining treatments.</w:t>
      </w:r>
      <w:r w:rsidR="00572E88">
        <w:rPr>
          <w:rFonts w:ascii="Times New Roman" w:eastAsia="Times New Roman" w:hAnsi="Times New Roman" w:cs="Times New Roman"/>
          <w:sz w:val="24"/>
          <w:szCs w:val="24"/>
        </w:rPr>
        <w:t xml:space="preserve"> </w:t>
      </w:r>
      <w:r w:rsidR="00903E51" w:rsidRPr="00572E88">
        <w:rPr>
          <w:rFonts w:ascii="Times New Roman" w:eastAsia="Times New Roman" w:hAnsi="Times New Roman" w:cs="Times New Roman"/>
          <w:sz w:val="24"/>
          <w:szCs w:val="24"/>
        </w:rPr>
        <w:t xml:space="preserve">The increased nutrient uptake under weed-free conditions can be attributed to reduced competition between crops and weeds during the critical growth stages. This allows for </w:t>
      </w:r>
      <w:r w:rsidR="00903E51" w:rsidRPr="00572E88">
        <w:rPr>
          <w:rFonts w:ascii="Times New Roman" w:eastAsia="Times New Roman" w:hAnsi="Times New Roman" w:cs="Times New Roman"/>
          <w:bCs/>
          <w:sz w:val="24"/>
          <w:szCs w:val="24"/>
        </w:rPr>
        <w:t>more efficient utilization of growth resources such as light, water, space, and nutrients</w:t>
      </w:r>
      <w:r w:rsidR="00903E51" w:rsidRPr="00572E88">
        <w:rPr>
          <w:rFonts w:ascii="Times New Roman" w:eastAsia="Times New Roman" w:hAnsi="Times New Roman" w:cs="Times New Roman"/>
          <w:sz w:val="24"/>
          <w:szCs w:val="24"/>
        </w:rPr>
        <w:t xml:space="preserve">, leading to improved </w:t>
      </w:r>
      <w:r w:rsidR="00903E51" w:rsidRPr="00572E88">
        <w:rPr>
          <w:rFonts w:ascii="Times New Roman" w:eastAsia="Times New Roman" w:hAnsi="Times New Roman" w:cs="Times New Roman"/>
          <w:bCs/>
          <w:sz w:val="24"/>
          <w:szCs w:val="24"/>
        </w:rPr>
        <w:t>aeration, root development, and metabolic activity</w:t>
      </w:r>
      <w:r w:rsidR="00903E51" w:rsidRPr="00572E88">
        <w:rPr>
          <w:rFonts w:ascii="Times New Roman" w:eastAsia="Times New Roman" w:hAnsi="Times New Roman" w:cs="Times New Roman"/>
          <w:sz w:val="24"/>
          <w:szCs w:val="24"/>
        </w:rPr>
        <w:t xml:space="preserve"> in the crop. These observations align with the findings of </w:t>
      </w:r>
      <w:r w:rsidR="00903E51" w:rsidRPr="00B06574">
        <w:rPr>
          <w:rFonts w:ascii="Times New Roman" w:eastAsia="Times New Roman" w:hAnsi="Times New Roman" w:cs="Times New Roman"/>
          <w:bCs/>
          <w:sz w:val="24"/>
          <w:szCs w:val="24"/>
        </w:rPr>
        <w:t>Lalitha Bai and Sinha (1993)</w:t>
      </w:r>
      <w:r w:rsidR="00903E51" w:rsidRPr="00B06574">
        <w:rPr>
          <w:rFonts w:ascii="Times New Roman" w:eastAsia="Times New Roman" w:hAnsi="Times New Roman" w:cs="Times New Roman"/>
          <w:sz w:val="24"/>
          <w:szCs w:val="24"/>
        </w:rPr>
        <w:t>,</w:t>
      </w:r>
      <w:r w:rsidR="00903E51" w:rsidRPr="00572E88">
        <w:rPr>
          <w:rFonts w:ascii="Times New Roman" w:eastAsia="Times New Roman" w:hAnsi="Times New Roman" w:cs="Times New Roman"/>
          <w:sz w:val="24"/>
          <w:szCs w:val="24"/>
        </w:rPr>
        <w:t xml:space="preserve"> </w:t>
      </w:r>
      <w:r w:rsidR="0066128A" w:rsidRPr="00572E88">
        <w:rPr>
          <w:rFonts w:ascii="Times New Roman" w:eastAsia="Times New Roman" w:hAnsi="Times New Roman" w:cs="Times New Roman"/>
          <w:sz w:val="24"/>
          <w:szCs w:val="24"/>
        </w:rPr>
        <w:t>which</w:t>
      </w:r>
      <w:r w:rsidR="00903E51" w:rsidRPr="00572E88">
        <w:rPr>
          <w:rFonts w:ascii="Times New Roman" w:eastAsia="Times New Roman" w:hAnsi="Times New Roman" w:cs="Times New Roman"/>
          <w:sz w:val="24"/>
          <w:szCs w:val="24"/>
        </w:rPr>
        <w:t xml:space="preserve"> highlighted that optimal growing conditions—achieved through effective weed control—enhance plant physiological functions and nutrient absorption.</w:t>
      </w:r>
      <w:r>
        <w:rPr>
          <w:rFonts w:ascii="Times New Roman" w:eastAsia="Times New Roman" w:hAnsi="Times New Roman" w:cs="Times New Roman"/>
          <w:sz w:val="24"/>
          <w:szCs w:val="24"/>
        </w:rPr>
        <w:t xml:space="preserve"> </w:t>
      </w:r>
      <w:r w:rsidR="00903E51" w:rsidRPr="00572E88">
        <w:rPr>
          <w:rFonts w:ascii="Times New Roman" w:eastAsia="Times New Roman" w:hAnsi="Times New Roman" w:cs="Times New Roman"/>
          <w:sz w:val="24"/>
          <w:szCs w:val="24"/>
        </w:rPr>
        <w:t xml:space="preserve">Furthermore, the uptake of nutrients is closely related to the crop’s biomass and yield. Higher nutrient absorption under weed-free treatment is likely a reflection of the greater biomass production and improved crop performance under minimal weed interference. This association is supported by </w:t>
      </w:r>
      <w:proofErr w:type="spellStart"/>
      <w:r w:rsidR="00903E51" w:rsidRPr="00B06574">
        <w:rPr>
          <w:rFonts w:ascii="Times New Roman" w:eastAsia="Times New Roman" w:hAnsi="Times New Roman" w:cs="Times New Roman"/>
          <w:bCs/>
          <w:sz w:val="24"/>
          <w:szCs w:val="24"/>
        </w:rPr>
        <w:t>Sinodiya</w:t>
      </w:r>
      <w:proofErr w:type="spellEnd"/>
      <w:r w:rsidR="00903E51" w:rsidRPr="00B06574">
        <w:rPr>
          <w:rFonts w:ascii="Times New Roman" w:eastAsia="Times New Roman" w:hAnsi="Times New Roman" w:cs="Times New Roman"/>
          <w:bCs/>
          <w:sz w:val="24"/>
          <w:szCs w:val="24"/>
        </w:rPr>
        <w:t xml:space="preserve"> and Jha (2014)</w:t>
      </w:r>
      <w:r w:rsidR="00903E51" w:rsidRPr="00B06574">
        <w:rPr>
          <w:rFonts w:ascii="Times New Roman" w:eastAsia="Times New Roman" w:hAnsi="Times New Roman" w:cs="Times New Roman"/>
          <w:sz w:val="24"/>
          <w:szCs w:val="24"/>
        </w:rPr>
        <w:t>,</w:t>
      </w:r>
      <w:r w:rsidR="00903E51" w:rsidRPr="00572E88">
        <w:rPr>
          <w:rFonts w:ascii="Times New Roman" w:eastAsia="Times New Roman" w:hAnsi="Times New Roman" w:cs="Times New Roman"/>
          <w:sz w:val="24"/>
          <w:szCs w:val="24"/>
        </w:rPr>
        <w:t xml:space="preserve"> who reported similar trends, emphasizing that </w:t>
      </w:r>
      <w:r w:rsidR="00903E51" w:rsidRPr="00572E88">
        <w:rPr>
          <w:rFonts w:ascii="Times New Roman" w:eastAsia="Times New Roman" w:hAnsi="Times New Roman" w:cs="Times New Roman"/>
          <w:bCs/>
          <w:sz w:val="24"/>
          <w:szCs w:val="24"/>
        </w:rPr>
        <w:t>nutrient uptake is largely a function of crop yield and nutrient content</w:t>
      </w:r>
      <w:r w:rsidR="00903E51" w:rsidRPr="00572E88">
        <w:rPr>
          <w:rFonts w:ascii="Times New Roman" w:eastAsia="Times New Roman" w:hAnsi="Times New Roman" w:cs="Times New Roman"/>
          <w:sz w:val="24"/>
          <w:szCs w:val="24"/>
        </w:rPr>
        <w:t>.</w:t>
      </w:r>
    </w:p>
    <w:p w14:paraId="3A743941" w14:textId="77777777" w:rsidR="00070E0F" w:rsidRDefault="0066128A" w:rsidP="00070E0F">
      <w:pPr>
        <w:tabs>
          <w:tab w:val="left" w:pos="142"/>
        </w:tabs>
        <w:spacing w:before="100" w:beforeAutospacing="1" w:after="100" w:afterAutospacing="1"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w:t>
      </w:r>
      <w:r w:rsidR="0099502F">
        <w:rPr>
          <w:rFonts w:ascii="Times New Roman" w:hAnsi="Times New Roman" w:cs="Times New Roman"/>
          <w:b/>
          <w:bCs/>
          <w:color w:val="000000" w:themeColor="text1"/>
          <w:sz w:val="24"/>
          <w:szCs w:val="24"/>
        </w:rPr>
        <w:t xml:space="preserve"> Profitability </w:t>
      </w:r>
    </w:p>
    <w:p w14:paraId="17C535AD" w14:textId="77777777" w:rsidR="0066128A" w:rsidRDefault="00070E0F" w:rsidP="0066128A">
      <w:pPr>
        <w:tabs>
          <w:tab w:val="left" w:pos="142"/>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00EB1342" w:rsidRPr="00B71ECE">
        <w:rPr>
          <w:rFonts w:ascii="Times New Roman" w:eastAsia="Times New Roman" w:hAnsi="Times New Roman" w:cs="Times New Roman"/>
          <w:color w:val="000000" w:themeColor="text1"/>
          <w:sz w:val="24"/>
          <w:szCs w:val="24"/>
        </w:rPr>
        <w:t>Highest net return was obtained under wee</w:t>
      </w:r>
      <w:r w:rsidR="0066128A">
        <w:rPr>
          <w:rFonts w:ascii="Times New Roman" w:eastAsia="Times New Roman" w:hAnsi="Times New Roman" w:cs="Times New Roman"/>
          <w:color w:val="000000" w:themeColor="text1"/>
          <w:sz w:val="24"/>
          <w:szCs w:val="24"/>
        </w:rPr>
        <w:t>d free treatment (1, 03,356 ₹ ha</w:t>
      </w:r>
      <w:r w:rsidR="00EB1342" w:rsidRPr="0066128A">
        <w:rPr>
          <w:rFonts w:ascii="Times New Roman" w:eastAsia="Times New Roman" w:hAnsi="Times New Roman" w:cs="Times New Roman"/>
          <w:color w:val="000000" w:themeColor="text1"/>
          <w:sz w:val="24"/>
          <w:szCs w:val="24"/>
          <w:vertAlign w:val="superscript"/>
        </w:rPr>
        <w:t>-1</w:t>
      </w:r>
      <w:r w:rsidR="00EB1342" w:rsidRPr="00B71ECE">
        <w:rPr>
          <w:rFonts w:ascii="Times New Roman" w:eastAsia="Times New Roman" w:hAnsi="Times New Roman" w:cs="Times New Roman"/>
          <w:color w:val="000000" w:themeColor="text1"/>
          <w:sz w:val="24"/>
          <w:szCs w:val="24"/>
        </w:rPr>
        <w:t>). Whereas, among weed control treatments maximum net return was obtained by app</w:t>
      </w:r>
      <w:r w:rsidR="0066128A">
        <w:rPr>
          <w:rFonts w:ascii="Times New Roman" w:eastAsia="Times New Roman" w:hAnsi="Times New Roman" w:cs="Times New Roman"/>
          <w:color w:val="000000" w:themeColor="text1"/>
          <w:sz w:val="24"/>
          <w:szCs w:val="24"/>
        </w:rPr>
        <w:t>lication of atrazine 0.50 kg ha</w:t>
      </w:r>
      <w:r w:rsidR="0066128A" w:rsidRPr="0066128A">
        <w:rPr>
          <w:rFonts w:ascii="Times New Roman" w:eastAsia="Times New Roman" w:hAnsi="Times New Roman" w:cs="Times New Roman"/>
          <w:color w:val="000000" w:themeColor="text1"/>
          <w:sz w:val="24"/>
          <w:szCs w:val="24"/>
          <w:vertAlign w:val="superscript"/>
        </w:rPr>
        <w:t>-1</w:t>
      </w:r>
      <w:r w:rsidR="0066128A">
        <w:rPr>
          <w:rFonts w:ascii="Times New Roman" w:eastAsia="Times New Roman" w:hAnsi="Times New Roman" w:cs="Times New Roman"/>
          <w:color w:val="000000" w:themeColor="text1"/>
          <w:sz w:val="24"/>
          <w:szCs w:val="24"/>
        </w:rPr>
        <w:t xml:space="preserve"> PE + atrazine 0.50 kg ha</w:t>
      </w:r>
      <w:r w:rsidR="00EB1342" w:rsidRPr="0066128A">
        <w:rPr>
          <w:rFonts w:ascii="Times New Roman" w:eastAsia="Times New Roman" w:hAnsi="Times New Roman" w:cs="Times New Roman"/>
          <w:color w:val="000000" w:themeColor="text1"/>
          <w:sz w:val="24"/>
          <w:szCs w:val="24"/>
          <w:vertAlign w:val="superscript"/>
        </w:rPr>
        <w:t>-1</w:t>
      </w:r>
      <w:r w:rsidR="00EB1342" w:rsidRPr="00B71ECE">
        <w:rPr>
          <w:rFonts w:ascii="Times New Roman" w:eastAsia="Times New Roman" w:hAnsi="Times New Roman" w:cs="Times New Roman"/>
          <w:color w:val="000000" w:themeColor="text1"/>
          <w:sz w:val="24"/>
          <w:szCs w:val="24"/>
        </w:rPr>
        <w:t xml:space="preserve"> as PoE (T </w:t>
      </w:r>
      <w:r w:rsidR="0066128A" w:rsidRPr="00B71ECE">
        <w:rPr>
          <w:rFonts w:ascii="Times New Roman" w:eastAsia="Times New Roman" w:hAnsi="Times New Roman" w:cs="Times New Roman"/>
          <w:color w:val="000000" w:themeColor="text1"/>
          <w:sz w:val="24"/>
          <w:szCs w:val="24"/>
        </w:rPr>
        <w:t>5)</w:t>
      </w:r>
      <w:r w:rsidR="00EB1342" w:rsidRPr="00B71ECE">
        <w:rPr>
          <w:rFonts w:ascii="Times New Roman" w:eastAsia="Times New Roman" w:hAnsi="Times New Roman" w:cs="Times New Roman"/>
          <w:color w:val="000000" w:themeColor="text1"/>
          <w:sz w:val="24"/>
          <w:szCs w:val="24"/>
        </w:rPr>
        <w:t>. Maximum B-C ratio was obtained by app</w:t>
      </w:r>
      <w:r w:rsidR="0066128A">
        <w:rPr>
          <w:rFonts w:ascii="Times New Roman" w:eastAsia="Times New Roman" w:hAnsi="Times New Roman" w:cs="Times New Roman"/>
          <w:color w:val="000000" w:themeColor="text1"/>
          <w:sz w:val="24"/>
          <w:szCs w:val="24"/>
        </w:rPr>
        <w:t>lication of atrazine 0.50 kg ha</w:t>
      </w:r>
      <w:r w:rsidR="00EB1342" w:rsidRPr="0066128A">
        <w:rPr>
          <w:rFonts w:ascii="Times New Roman" w:eastAsia="Times New Roman" w:hAnsi="Times New Roman" w:cs="Times New Roman"/>
          <w:color w:val="000000" w:themeColor="text1"/>
          <w:sz w:val="24"/>
          <w:szCs w:val="24"/>
          <w:vertAlign w:val="superscript"/>
        </w:rPr>
        <w:t>-1</w:t>
      </w:r>
      <w:r w:rsidR="0066128A">
        <w:rPr>
          <w:rFonts w:ascii="Times New Roman" w:eastAsia="Times New Roman" w:hAnsi="Times New Roman" w:cs="Times New Roman"/>
          <w:color w:val="000000" w:themeColor="text1"/>
          <w:sz w:val="24"/>
          <w:szCs w:val="24"/>
        </w:rPr>
        <w:t xml:space="preserve"> (PE) + atrazine 0.50 kg ha</w:t>
      </w:r>
      <w:r w:rsidR="00EB1342" w:rsidRPr="0066128A">
        <w:rPr>
          <w:rFonts w:ascii="Times New Roman" w:eastAsia="Times New Roman" w:hAnsi="Times New Roman" w:cs="Times New Roman"/>
          <w:color w:val="000000" w:themeColor="text1"/>
          <w:sz w:val="24"/>
          <w:szCs w:val="24"/>
          <w:vertAlign w:val="superscript"/>
        </w:rPr>
        <w:t>-1</w:t>
      </w:r>
      <w:r w:rsidR="00EB1342" w:rsidRPr="00B71ECE">
        <w:rPr>
          <w:rFonts w:ascii="Times New Roman" w:eastAsia="Times New Roman" w:hAnsi="Times New Roman" w:cs="Times New Roman"/>
          <w:color w:val="000000" w:themeColor="text1"/>
          <w:sz w:val="24"/>
          <w:szCs w:val="24"/>
        </w:rPr>
        <w:t xml:space="preserve"> as PoE (T </w:t>
      </w:r>
      <w:r w:rsidR="0066128A" w:rsidRPr="00B71ECE">
        <w:rPr>
          <w:rFonts w:ascii="Times New Roman" w:eastAsia="Times New Roman" w:hAnsi="Times New Roman" w:cs="Times New Roman"/>
          <w:color w:val="000000" w:themeColor="text1"/>
          <w:sz w:val="24"/>
          <w:szCs w:val="24"/>
        </w:rPr>
        <w:t>5)</w:t>
      </w:r>
      <w:r w:rsidR="00EB1342" w:rsidRPr="00B71ECE">
        <w:rPr>
          <w:rFonts w:ascii="Times New Roman" w:eastAsia="Times New Roman" w:hAnsi="Times New Roman" w:cs="Times New Roman"/>
          <w:color w:val="000000" w:themeColor="text1"/>
          <w:sz w:val="24"/>
          <w:szCs w:val="24"/>
        </w:rPr>
        <w:t>.</w:t>
      </w:r>
      <w:r w:rsidR="0099502F">
        <w:rPr>
          <w:rFonts w:ascii="Times New Roman" w:eastAsia="Times New Roman" w:hAnsi="Times New Roman" w:cs="Times New Roman"/>
          <w:color w:val="000000" w:themeColor="text1"/>
          <w:sz w:val="24"/>
          <w:szCs w:val="24"/>
        </w:rPr>
        <w:t xml:space="preserve"> This is because the net return was higher under T5. </w:t>
      </w:r>
      <w:r w:rsidR="00EB1342" w:rsidRPr="00B71ECE">
        <w:rPr>
          <w:rFonts w:ascii="Times New Roman" w:eastAsia="Times New Roman" w:hAnsi="Times New Roman" w:cs="Times New Roman"/>
          <w:color w:val="000000" w:themeColor="text1"/>
          <w:sz w:val="24"/>
          <w:szCs w:val="24"/>
        </w:rPr>
        <w:t xml:space="preserve"> Similar research finding was obtained by </w:t>
      </w:r>
      <w:r w:rsidR="00EB1342" w:rsidRPr="0094777A">
        <w:rPr>
          <w:rFonts w:ascii="Times New Roman" w:eastAsia="Times New Roman" w:hAnsi="Times New Roman" w:cs="Times New Roman"/>
          <w:color w:val="000000" w:themeColor="text1"/>
          <w:sz w:val="24"/>
          <w:szCs w:val="24"/>
        </w:rPr>
        <w:t xml:space="preserve">(Verma </w:t>
      </w:r>
      <w:r w:rsidR="00EB1342" w:rsidRPr="0094777A">
        <w:rPr>
          <w:rFonts w:ascii="Times New Roman" w:eastAsia="Times New Roman" w:hAnsi="Times New Roman" w:cs="Times New Roman"/>
          <w:i/>
          <w:color w:val="000000" w:themeColor="text1"/>
          <w:sz w:val="24"/>
          <w:szCs w:val="24"/>
        </w:rPr>
        <w:t>et al</w:t>
      </w:r>
      <w:r w:rsidR="00EB1342" w:rsidRPr="0094777A">
        <w:rPr>
          <w:rFonts w:ascii="Times New Roman" w:eastAsia="Times New Roman" w:hAnsi="Times New Roman" w:cs="Times New Roman"/>
          <w:color w:val="000000" w:themeColor="text1"/>
          <w:sz w:val="24"/>
          <w:szCs w:val="24"/>
        </w:rPr>
        <w:t>., 2018).</w:t>
      </w:r>
      <w:r w:rsidR="007E304D" w:rsidRPr="007E304D">
        <w:rPr>
          <w:rFonts w:ascii="Times New Roman" w:hAnsi="Times New Roman" w:cs="Times New Roman"/>
          <w:b/>
          <w:color w:val="000000" w:themeColor="text1"/>
          <w:sz w:val="24"/>
          <w:szCs w:val="24"/>
        </w:rPr>
        <w:t xml:space="preserve"> </w:t>
      </w:r>
      <w:r w:rsidR="007E304D" w:rsidRPr="007E304D">
        <w:rPr>
          <w:rFonts w:ascii="Times New Roman" w:eastAsia="Times New Roman" w:hAnsi="Times New Roman" w:cs="Times New Roman"/>
          <w:color w:val="000000" w:themeColor="text1"/>
          <w:sz w:val="24"/>
          <w:szCs w:val="24"/>
        </w:rPr>
        <w:t>Effect of weed management on net return (₹ ha</w:t>
      </w:r>
      <w:r w:rsidR="007E304D" w:rsidRPr="007E304D">
        <w:rPr>
          <w:rFonts w:ascii="Times New Roman" w:eastAsia="Times New Roman" w:hAnsi="Times New Roman" w:cs="Times New Roman"/>
          <w:color w:val="000000" w:themeColor="text1"/>
          <w:sz w:val="24"/>
          <w:szCs w:val="24"/>
          <w:vertAlign w:val="superscript"/>
        </w:rPr>
        <w:t>-1</w:t>
      </w:r>
      <w:r w:rsidR="007E304D" w:rsidRPr="007E304D">
        <w:rPr>
          <w:rFonts w:ascii="Times New Roman" w:eastAsia="Times New Roman" w:hAnsi="Times New Roman" w:cs="Times New Roman"/>
          <w:color w:val="000000" w:themeColor="text1"/>
          <w:sz w:val="24"/>
          <w:szCs w:val="24"/>
        </w:rPr>
        <w:t>)</w:t>
      </w:r>
      <w:r w:rsidR="007E304D">
        <w:rPr>
          <w:rFonts w:ascii="Times New Roman" w:eastAsia="Times New Roman" w:hAnsi="Times New Roman" w:cs="Times New Roman"/>
          <w:color w:val="000000" w:themeColor="text1"/>
          <w:sz w:val="24"/>
          <w:szCs w:val="24"/>
        </w:rPr>
        <w:t xml:space="preserve"> and B:C </w:t>
      </w:r>
      <w:r w:rsidR="0066128A">
        <w:rPr>
          <w:rFonts w:ascii="Times New Roman" w:eastAsia="Times New Roman" w:hAnsi="Times New Roman" w:cs="Times New Roman"/>
          <w:color w:val="000000" w:themeColor="text1"/>
          <w:sz w:val="24"/>
          <w:szCs w:val="24"/>
        </w:rPr>
        <w:t>(</w:t>
      </w:r>
      <w:r w:rsidR="007E304D">
        <w:rPr>
          <w:rFonts w:ascii="Times New Roman" w:eastAsia="Times New Roman" w:hAnsi="Times New Roman" w:cs="Times New Roman"/>
          <w:color w:val="000000" w:themeColor="text1"/>
          <w:sz w:val="24"/>
          <w:szCs w:val="24"/>
        </w:rPr>
        <w:t>Fig 1 and 2</w:t>
      </w:r>
      <w:r w:rsidR="0066128A">
        <w:rPr>
          <w:rFonts w:ascii="Times New Roman" w:eastAsia="Times New Roman" w:hAnsi="Times New Roman" w:cs="Times New Roman"/>
          <w:color w:val="000000" w:themeColor="text1"/>
          <w:sz w:val="24"/>
          <w:szCs w:val="24"/>
        </w:rPr>
        <w:t>)</w:t>
      </w:r>
      <w:r w:rsidR="007E304D">
        <w:rPr>
          <w:rFonts w:ascii="Times New Roman" w:eastAsia="Times New Roman" w:hAnsi="Times New Roman" w:cs="Times New Roman"/>
          <w:color w:val="000000" w:themeColor="text1"/>
          <w:sz w:val="24"/>
          <w:szCs w:val="24"/>
        </w:rPr>
        <w:t>.</w:t>
      </w:r>
    </w:p>
    <w:p w14:paraId="03A8F722" w14:textId="77777777" w:rsidR="007A55E4" w:rsidRPr="00B71ECE" w:rsidRDefault="00070E0F" w:rsidP="0066128A">
      <w:pPr>
        <w:tabs>
          <w:tab w:val="left" w:pos="142"/>
        </w:tabs>
        <w:spacing w:after="0" w:line="240" w:lineRule="auto"/>
        <w:jc w:val="both"/>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b/>
          <w:color w:val="000000" w:themeColor="text1"/>
          <w:sz w:val="24"/>
          <w:szCs w:val="24"/>
        </w:rPr>
        <w:lastRenderedPageBreak/>
        <w:t>Table 3</w:t>
      </w:r>
      <w:r w:rsidRPr="00B71ECE">
        <w:rPr>
          <w:rFonts w:ascii="Times New Roman" w:eastAsia="Times New Roman" w:hAnsi="Times New Roman" w:cs="Times New Roman"/>
          <w:color w:val="000000" w:themeColor="text1"/>
          <w:sz w:val="24"/>
          <w:szCs w:val="24"/>
        </w:rPr>
        <w:t xml:space="preserve"> </w:t>
      </w:r>
      <w:r w:rsidRPr="00B71ECE">
        <w:rPr>
          <w:rFonts w:ascii="Times New Roman" w:hAnsi="Times New Roman" w:cs="Times New Roman"/>
          <w:b/>
          <w:bCs/>
          <w:color w:val="000000" w:themeColor="text1"/>
          <w:sz w:val="24"/>
          <w:szCs w:val="24"/>
        </w:rPr>
        <w:t xml:space="preserve">Effect of weed management on plant stands </w:t>
      </w:r>
      <w:r w:rsidRPr="00B71ECE">
        <w:rPr>
          <w:rFonts w:ascii="Times New Roman" w:hAnsi="Times New Roman" w:cs="Times New Roman"/>
          <w:b/>
          <w:color w:val="000000" w:themeColor="text1"/>
          <w:sz w:val="24"/>
          <w:szCs w:val="24"/>
        </w:rPr>
        <w:t>(no. m</w:t>
      </w:r>
      <w:r w:rsidRPr="00B71ECE">
        <w:rPr>
          <w:rFonts w:ascii="Times New Roman" w:hAnsi="Times New Roman" w:cs="Times New Roman"/>
          <w:b/>
          <w:color w:val="000000" w:themeColor="text1"/>
          <w:sz w:val="24"/>
          <w:szCs w:val="24"/>
          <w:vertAlign w:val="superscript"/>
        </w:rPr>
        <w:t>-2</w:t>
      </w:r>
      <w:r w:rsidRPr="00B71ECE">
        <w:rPr>
          <w:rFonts w:ascii="Times New Roman" w:hAnsi="Times New Roman" w:cs="Times New Roman"/>
          <w:b/>
          <w:color w:val="000000" w:themeColor="text1"/>
          <w:sz w:val="24"/>
          <w:szCs w:val="24"/>
        </w:rPr>
        <w:t>)</w:t>
      </w:r>
      <w:r>
        <w:rPr>
          <w:rFonts w:ascii="Times New Roman" w:hAnsi="Times New Roman" w:cs="Times New Roman"/>
          <w:b/>
          <w:bCs/>
          <w:color w:val="000000" w:themeColor="text1"/>
          <w:sz w:val="24"/>
          <w:szCs w:val="24"/>
        </w:rPr>
        <w:t xml:space="preserve"> and plant height</w:t>
      </w:r>
      <w:r w:rsidRPr="00B71ECE">
        <w:rPr>
          <w:rFonts w:ascii="Times New Roman" w:hAnsi="Times New Roman" w:cs="Times New Roman"/>
          <w:b/>
          <w:bCs/>
          <w:color w:val="000000" w:themeColor="text1"/>
          <w:sz w:val="24"/>
          <w:szCs w:val="24"/>
        </w:rPr>
        <w:t xml:space="preserve"> of sorghum</w:t>
      </w:r>
    </w:p>
    <w:p w14:paraId="041D7932" w14:textId="77777777" w:rsidR="00572E88" w:rsidRPr="00B71ECE" w:rsidRDefault="00572E88" w:rsidP="0066128A">
      <w:pPr>
        <w:tabs>
          <w:tab w:val="left" w:pos="142"/>
        </w:tabs>
        <w:spacing w:after="0" w:line="240" w:lineRule="auto"/>
        <w:jc w:val="both"/>
        <w:rPr>
          <w:rFonts w:ascii="Times New Roman" w:eastAsia="Times New Roman" w:hAnsi="Times New Roman" w:cs="Times New Roman"/>
          <w:color w:val="000000" w:themeColor="text1"/>
          <w:sz w:val="24"/>
          <w:szCs w:val="24"/>
        </w:rPr>
      </w:pPr>
    </w:p>
    <w:tbl>
      <w:tblPr>
        <w:tblStyle w:val="TableGrid"/>
        <w:tblpPr w:leftFromText="180" w:rightFromText="180" w:vertAnchor="text" w:horzAnchor="margin" w:tblpXSpec="right" w:tblpY="-54"/>
        <w:tblW w:w="9039" w:type="dxa"/>
        <w:tblLook w:val="04A0" w:firstRow="1" w:lastRow="0" w:firstColumn="1" w:lastColumn="0" w:noHBand="0" w:noVBand="1"/>
      </w:tblPr>
      <w:tblGrid>
        <w:gridCol w:w="1668"/>
        <w:gridCol w:w="1559"/>
        <w:gridCol w:w="1559"/>
        <w:gridCol w:w="1418"/>
        <w:gridCol w:w="1275"/>
        <w:gridCol w:w="1560"/>
      </w:tblGrid>
      <w:tr w:rsidR="00C829DF" w:rsidRPr="00B71ECE" w14:paraId="4BD8707D" w14:textId="77777777" w:rsidTr="00440AFD">
        <w:trPr>
          <w:trHeight w:val="126"/>
        </w:trPr>
        <w:tc>
          <w:tcPr>
            <w:tcW w:w="1668" w:type="dxa"/>
            <w:vMerge w:val="restart"/>
          </w:tcPr>
          <w:p w14:paraId="79BF1C39" w14:textId="77777777" w:rsidR="00C829DF" w:rsidRPr="00B71ECE" w:rsidRDefault="00C829DF" w:rsidP="0066128A">
            <w:pPr>
              <w:tabs>
                <w:tab w:val="left" w:pos="142"/>
              </w:tabs>
              <w:jc w:val="both"/>
              <w:rPr>
                <w:rFonts w:ascii="Times New Roman" w:eastAsia="Times New Roman" w:hAnsi="Times New Roman" w:cs="Times New Roman"/>
                <w:b/>
                <w:color w:val="000000" w:themeColor="text1"/>
                <w:sz w:val="24"/>
                <w:szCs w:val="24"/>
              </w:rPr>
            </w:pPr>
            <w:r w:rsidRPr="00B71ECE">
              <w:rPr>
                <w:rFonts w:ascii="Times New Roman" w:eastAsia="Times New Roman" w:hAnsi="Times New Roman" w:cs="Times New Roman"/>
                <w:b/>
                <w:color w:val="000000" w:themeColor="text1"/>
                <w:sz w:val="24"/>
                <w:szCs w:val="24"/>
              </w:rPr>
              <w:t>Treatments</w:t>
            </w:r>
          </w:p>
        </w:tc>
        <w:tc>
          <w:tcPr>
            <w:tcW w:w="3118" w:type="dxa"/>
            <w:gridSpan w:val="2"/>
            <w:vAlign w:val="center"/>
          </w:tcPr>
          <w:p w14:paraId="33AAA53A" w14:textId="77777777" w:rsidR="00C829DF" w:rsidRPr="00B71ECE" w:rsidRDefault="00C829DF" w:rsidP="0066128A">
            <w:pPr>
              <w:tabs>
                <w:tab w:val="left" w:pos="142"/>
              </w:tabs>
              <w:jc w:val="center"/>
              <w:rPr>
                <w:rFonts w:ascii="Times New Roman" w:eastAsia="Times New Roman" w:hAnsi="Times New Roman" w:cs="Times New Roman"/>
                <w:b/>
                <w:color w:val="000000" w:themeColor="text1"/>
                <w:sz w:val="24"/>
                <w:szCs w:val="24"/>
              </w:rPr>
            </w:pPr>
            <w:r w:rsidRPr="00B71ECE">
              <w:rPr>
                <w:rFonts w:ascii="Times New Roman" w:eastAsia="Times New Roman" w:hAnsi="Times New Roman" w:cs="Times New Roman"/>
                <w:b/>
                <w:color w:val="000000" w:themeColor="text1"/>
                <w:sz w:val="24"/>
                <w:szCs w:val="24"/>
              </w:rPr>
              <w:t>Plant stand (no. m</w:t>
            </w:r>
            <w:r w:rsidRPr="00B71ECE">
              <w:rPr>
                <w:rFonts w:ascii="Times New Roman" w:eastAsia="Times New Roman" w:hAnsi="Times New Roman" w:cs="Times New Roman"/>
                <w:b/>
                <w:color w:val="000000" w:themeColor="text1"/>
                <w:sz w:val="24"/>
                <w:szCs w:val="24"/>
                <w:vertAlign w:val="superscript"/>
              </w:rPr>
              <w:t>-2</w:t>
            </w:r>
            <w:r w:rsidRPr="00B71ECE">
              <w:rPr>
                <w:rFonts w:ascii="Times New Roman" w:eastAsia="Times New Roman" w:hAnsi="Times New Roman" w:cs="Times New Roman"/>
                <w:b/>
                <w:color w:val="000000" w:themeColor="text1"/>
                <w:sz w:val="24"/>
                <w:szCs w:val="24"/>
              </w:rPr>
              <w:t>)</w:t>
            </w:r>
          </w:p>
        </w:tc>
        <w:tc>
          <w:tcPr>
            <w:tcW w:w="4253" w:type="dxa"/>
            <w:gridSpan w:val="3"/>
            <w:vAlign w:val="center"/>
          </w:tcPr>
          <w:p w14:paraId="349178EA" w14:textId="77777777" w:rsidR="00C829DF" w:rsidRPr="00B71ECE" w:rsidRDefault="00C829DF" w:rsidP="0066128A">
            <w:pPr>
              <w:tabs>
                <w:tab w:val="left" w:pos="142"/>
              </w:tabs>
              <w:jc w:val="center"/>
              <w:rPr>
                <w:rFonts w:ascii="Times New Roman" w:eastAsia="Times New Roman" w:hAnsi="Times New Roman" w:cs="Times New Roman"/>
                <w:b/>
                <w:color w:val="000000" w:themeColor="text1"/>
                <w:sz w:val="24"/>
                <w:szCs w:val="24"/>
              </w:rPr>
            </w:pPr>
            <w:r w:rsidRPr="00B71ECE">
              <w:rPr>
                <w:rFonts w:ascii="Times New Roman" w:eastAsia="Times New Roman" w:hAnsi="Times New Roman" w:cs="Times New Roman"/>
                <w:b/>
                <w:color w:val="000000" w:themeColor="text1"/>
                <w:sz w:val="24"/>
                <w:szCs w:val="24"/>
              </w:rPr>
              <w:t>Plant height (cm)</w:t>
            </w:r>
          </w:p>
        </w:tc>
      </w:tr>
      <w:tr w:rsidR="00C829DF" w:rsidRPr="00B71ECE" w14:paraId="3A9641EB" w14:textId="77777777" w:rsidTr="0066128A">
        <w:trPr>
          <w:trHeight w:val="126"/>
        </w:trPr>
        <w:tc>
          <w:tcPr>
            <w:tcW w:w="1668" w:type="dxa"/>
            <w:vMerge/>
          </w:tcPr>
          <w:p w14:paraId="49605030" w14:textId="77777777" w:rsidR="00C829DF" w:rsidRPr="00B71ECE" w:rsidRDefault="00C829DF" w:rsidP="0066128A">
            <w:pPr>
              <w:tabs>
                <w:tab w:val="left" w:pos="142"/>
              </w:tabs>
              <w:jc w:val="both"/>
              <w:rPr>
                <w:rFonts w:ascii="Times New Roman" w:eastAsia="Times New Roman" w:hAnsi="Times New Roman" w:cs="Times New Roman"/>
                <w:color w:val="000000" w:themeColor="text1"/>
                <w:sz w:val="24"/>
                <w:szCs w:val="24"/>
              </w:rPr>
            </w:pPr>
          </w:p>
        </w:tc>
        <w:tc>
          <w:tcPr>
            <w:tcW w:w="1559" w:type="dxa"/>
            <w:vAlign w:val="center"/>
          </w:tcPr>
          <w:p w14:paraId="0EF1270B" w14:textId="77777777" w:rsidR="00C829DF" w:rsidRPr="00B71ECE" w:rsidRDefault="00C829DF" w:rsidP="0066128A">
            <w:pPr>
              <w:tabs>
                <w:tab w:val="left" w:pos="142"/>
              </w:tabs>
              <w:jc w:val="center"/>
              <w:rPr>
                <w:rFonts w:ascii="Times New Roman" w:eastAsia="Times New Roman" w:hAnsi="Times New Roman" w:cs="Times New Roman"/>
                <w:b/>
                <w:color w:val="000000" w:themeColor="text1"/>
                <w:sz w:val="24"/>
                <w:szCs w:val="24"/>
              </w:rPr>
            </w:pPr>
            <w:r w:rsidRPr="00B71ECE">
              <w:rPr>
                <w:rFonts w:ascii="Times New Roman" w:eastAsia="Times New Roman" w:hAnsi="Times New Roman" w:cs="Times New Roman"/>
                <w:b/>
                <w:color w:val="000000" w:themeColor="text1"/>
                <w:sz w:val="24"/>
                <w:szCs w:val="24"/>
              </w:rPr>
              <w:t>15 DAS</w:t>
            </w:r>
          </w:p>
        </w:tc>
        <w:tc>
          <w:tcPr>
            <w:tcW w:w="1559" w:type="dxa"/>
            <w:vAlign w:val="center"/>
          </w:tcPr>
          <w:p w14:paraId="54739029" w14:textId="77777777" w:rsidR="00C829DF" w:rsidRPr="00B71ECE" w:rsidRDefault="00C829DF" w:rsidP="0066128A">
            <w:pPr>
              <w:tabs>
                <w:tab w:val="left" w:pos="142"/>
              </w:tabs>
              <w:jc w:val="center"/>
              <w:rPr>
                <w:rFonts w:ascii="Times New Roman" w:eastAsia="Times New Roman" w:hAnsi="Times New Roman" w:cs="Times New Roman"/>
                <w:b/>
                <w:color w:val="000000" w:themeColor="text1"/>
                <w:sz w:val="24"/>
                <w:szCs w:val="24"/>
              </w:rPr>
            </w:pPr>
            <w:r w:rsidRPr="00B71ECE">
              <w:rPr>
                <w:rFonts w:ascii="Times New Roman" w:eastAsia="Times New Roman" w:hAnsi="Times New Roman" w:cs="Times New Roman"/>
                <w:b/>
                <w:color w:val="000000" w:themeColor="text1"/>
                <w:sz w:val="24"/>
                <w:szCs w:val="24"/>
              </w:rPr>
              <w:t>At harvest</w:t>
            </w:r>
          </w:p>
        </w:tc>
        <w:tc>
          <w:tcPr>
            <w:tcW w:w="1418" w:type="dxa"/>
            <w:vAlign w:val="center"/>
          </w:tcPr>
          <w:p w14:paraId="706E5374" w14:textId="77777777" w:rsidR="00C829DF" w:rsidRPr="00B71ECE" w:rsidRDefault="00C829DF" w:rsidP="0066128A">
            <w:pPr>
              <w:tabs>
                <w:tab w:val="left" w:pos="142"/>
              </w:tabs>
              <w:jc w:val="center"/>
              <w:rPr>
                <w:rFonts w:ascii="Times New Roman" w:eastAsia="Times New Roman" w:hAnsi="Times New Roman" w:cs="Times New Roman"/>
                <w:b/>
                <w:color w:val="000000" w:themeColor="text1"/>
                <w:sz w:val="24"/>
                <w:szCs w:val="24"/>
              </w:rPr>
            </w:pPr>
            <w:r w:rsidRPr="00B71ECE">
              <w:rPr>
                <w:rFonts w:ascii="Times New Roman" w:eastAsia="Times New Roman" w:hAnsi="Times New Roman" w:cs="Times New Roman"/>
                <w:b/>
                <w:color w:val="000000" w:themeColor="text1"/>
                <w:sz w:val="24"/>
                <w:szCs w:val="24"/>
              </w:rPr>
              <w:t>25 DAS</w:t>
            </w:r>
          </w:p>
        </w:tc>
        <w:tc>
          <w:tcPr>
            <w:tcW w:w="1275" w:type="dxa"/>
            <w:vAlign w:val="center"/>
          </w:tcPr>
          <w:p w14:paraId="53846BD2" w14:textId="77777777" w:rsidR="00C829DF" w:rsidRPr="00B71ECE" w:rsidRDefault="00C829DF" w:rsidP="0066128A">
            <w:pPr>
              <w:tabs>
                <w:tab w:val="left" w:pos="142"/>
              </w:tabs>
              <w:jc w:val="center"/>
              <w:rPr>
                <w:rFonts w:ascii="Times New Roman" w:eastAsia="Times New Roman" w:hAnsi="Times New Roman" w:cs="Times New Roman"/>
                <w:b/>
                <w:color w:val="000000" w:themeColor="text1"/>
                <w:sz w:val="24"/>
                <w:szCs w:val="24"/>
              </w:rPr>
            </w:pPr>
            <w:r w:rsidRPr="00B71ECE">
              <w:rPr>
                <w:rFonts w:ascii="Times New Roman" w:eastAsia="Times New Roman" w:hAnsi="Times New Roman" w:cs="Times New Roman"/>
                <w:b/>
                <w:color w:val="000000" w:themeColor="text1"/>
                <w:sz w:val="24"/>
                <w:szCs w:val="24"/>
              </w:rPr>
              <w:t>50 DAS</w:t>
            </w:r>
          </w:p>
        </w:tc>
        <w:tc>
          <w:tcPr>
            <w:tcW w:w="1560" w:type="dxa"/>
            <w:vAlign w:val="center"/>
          </w:tcPr>
          <w:p w14:paraId="1A2939AC" w14:textId="77777777" w:rsidR="00C829DF" w:rsidRPr="00B71ECE" w:rsidRDefault="00C829DF" w:rsidP="0066128A">
            <w:pPr>
              <w:tabs>
                <w:tab w:val="left" w:pos="142"/>
              </w:tabs>
              <w:jc w:val="center"/>
              <w:rPr>
                <w:rFonts w:ascii="Times New Roman" w:eastAsia="Times New Roman" w:hAnsi="Times New Roman" w:cs="Times New Roman"/>
                <w:b/>
                <w:color w:val="000000" w:themeColor="text1"/>
                <w:sz w:val="24"/>
                <w:szCs w:val="24"/>
              </w:rPr>
            </w:pPr>
            <w:r w:rsidRPr="00B71ECE">
              <w:rPr>
                <w:rFonts w:ascii="Times New Roman" w:eastAsia="Times New Roman" w:hAnsi="Times New Roman" w:cs="Times New Roman"/>
                <w:b/>
                <w:color w:val="000000" w:themeColor="text1"/>
                <w:sz w:val="24"/>
                <w:szCs w:val="24"/>
              </w:rPr>
              <w:t>At harvest</w:t>
            </w:r>
          </w:p>
        </w:tc>
      </w:tr>
      <w:tr w:rsidR="00C829DF" w:rsidRPr="00B71ECE" w14:paraId="103DD722" w14:textId="77777777" w:rsidTr="0066128A">
        <w:trPr>
          <w:trHeight w:val="125"/>
        </w:trPr>
        <w:tc>
          <w:tcPr>
            <w:tcW w:w="1668" w:type="dxa"/>
          </w:tcPr>
          <w:p w14:paraId="316BA452" w14:textId="77777777" w:rsidR="00C829DF" w:rsidRPr="00B942B9" w:rsidRDefault="00C829DF" w:rsidP="0066128A">
            <w:r w:rsidRPr="00B942B9">
              <w:t>T1</w:t>
            </w:r>
          </w:p>
        </w:tc>
        <w:tc>
          <w:tcPr>
            <w:tcW w:w="1559" w:type="dxa"/>
            <w:vAlign w:val="bottom"/>
          </w:tcPr>
          <w:p w14:paraId="098BB05D"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24.67</w:t>
            </w:r>
          </w:p>
        </w:tc>
        <w:tc>
          <w:tcPr>
            <w:tcW w:w="1559" w:type="dxa"/>
            <w:vAlign w:val="bottom"/>
          </w:tcPr>
          <w:p w14:paraId="4EF999B4"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36.67</w:t>
            </w:r>
          </w:p>
        </w:tc>
        <w:tc>
          <w:tcPr>
            <w:tcW w:w="1418" w:type="dxa"/>
            <w:vAlign w:val="center"/>
          </w:tcPr>
          <w:p w14:paraId="588A77E3"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68.80</w:t>
            </w:r>
          </w:p>
        </w:tc>
        <w:tc>
          <w:tcPr>
            <w:tcW w:w="1275" w:type="dxa"/>
            <w:vAlign w:val="center"/>
          </w:tcPr>
          <w:p w14:paraId="53263613"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146.27</w:t>
            </w:r>
          </w:p>
        </w:tc>
        <w:tc>
          <w:tcPr>
            <w:tcW w:w="1560" w:type="dxa"/>
            <w:vAlign w:val="center"/>
          </w:tcPr>
          <w:p w14:paraId="7BF56558"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234.93</w:t>
            </w:r>
          </w:p>
        </w:tc>
      </w:tr>
      <w:tr w:rsidR="00C829DF" w:rsidRPr="00B71ECE" w14:paraId="1A60767A" w14:textId="77777777" w:rsidTr="0066128A">
        <w:trPr>
          <w:trHeight w:val="126"/>
        </w:trPr>
        <w:tc>
          <w:tcPr>
            <w:tcW w:w="1668" w:type="dxa"/>
          </w:tcPr>
          <w:p w14:paraId="2F72F810" w14:textId="77777777" w:rsidR="00C829DF" w:rsidRPr="00B942B9" w:rsidRDefault="00C829DF" w:rsidP="0066128A">
            <w:r w:rsidRPr="00B942B9">
              <w:t>T2</w:t>
            </w:r>
          </w:p>
        </w:tc>
        <w:tc>
          <w:tcPr>
            <w:tcW w:w="1559" w:type="dxa"/>
            <w:vAlign w:val="bottom"/>
          </w:tcPr>
          <w:p w14:paraId="68A346F1"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26.33</w:t>
            </w:r>
          </w:p>
        </w:tc>
        <w:tc>
          <w:tcPr>
            <w:tcW w:w="1559" w:type="dxa"/>
            <w:vAlign w:val="bottom"/>
          </w:tcPr>
          <w:p w14:paraId="5AE5702E" w14:textId="77777777" w:rsidR="00C829DF" w:rsidRPr="00B71ECE" w:rsidRDefault="00C829DF" w:rsidP="0066128A">
            <w:pPr>
              <w:tabs>
                <w:tab w:val="left" w:pos="142"/>
              </w:tabs>
              <w:ind w:left="-392" w:firstLine="392"/>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35.33</w:t>
            </w:r>
          </w:p>
        </w:tc>
        <w:tc>
          <w:tcPr>
            <w:tcW w:w="1418" w:type="dxa"/>
            <w:vAlign w:val="center"/>
          </w:tcPr>
          <w:p w14:paraId="2F0D6C61"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69.20</w:t>
            </w:r>
          </w:p>
        </w:tc>
        <w:tc>
          <w:tcPr>
            <w:tcW w:w="1275" w:type="dxa"/>
            <w:vAlign w:val="center"/>
          </w:tcPr>
          <w:p w14:paraId="31038CA5"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149.27</w:t>
            </w:r>
          </w:p>
        </w:tc>
        <w:tc>
          <w:tcPr>
            <w:tcW w:w="1560" w:type="dxa"/>
            <w:vAlign w:val="center"/>
          </w:tcPr>
          <w:p w14:paraId="703773C0"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240.93</w:t>
            </w:r>
          </w:p>
        </w:tc>
      </w:tr>
      <w:tr w:rsidR="00C829DF" w:rsidRPr="00B71ECE" w14:paraId="4B17CB0D" w14:textId="77777777" w:rsidTr="0066128A">
        <w:trPr>
          <w:trHeight w:val="126"/>
        </w:trPr>
        <w:tc>
          <w:tcPr>
            <w:tcW w:w="1668" w:type="dxa"/>
          </w:tcPr>
          <w:p w14:paraId="01ADE530" w14:textId="77777777" w:rsidR="00C829DF" w:rsidRPr="00B942B9" w:rsidRDefault="00C829DF" w:rsidP="0066128A">
            <w:r w:rsidRPr="00B942B9">
              <w:t>T3</w:t>
            </w:r>
          </w:p>
        </w:tc>
        <w:tc>
          <w:tcPr>
            <w:tcW w:w="1559" w:type="dxa"/>
            <w:vAlign w:val="bottom"/>
          </w:tcPr>
          <w:p w14:paraId="073E2521"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26.67</w:t>
            </w:r>
          </w:p>
        </w:tc>
        <w:tc>
          <w:tcPr>
            <w:tcW w:w="1559" w:type="dxa"/>
            <w:vAlign w:val="bottom"/>
          </w:tcPr>
          <w:p w14:paraId="7623096D"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38.00</w:t>
            </w:r>
          </w:p>
        </w:tc>
        <w:tc>
          <w:tcPr>
            <w:tcW w:w="1418" w:type="dxa"/>
            <w:vAlign w:val="center"/>
          </w:tcPr>
          <w:p w14:paraId="392D9266"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68.87</w:t>
            </w:r>
          </w:p>
        </w:tc>
        <w:tc>
          <w:tcPr>
            <w:tcW w:w="1275" w:type="dxa"/>
            <w:vAlign w:val="center"/>
          </w:tcPr>
          <w:p w14:paraId="24562EB2"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147.67</w:t>
            </w:r>
          </w:p>
        </w:tc>
        <w:tc>
          <w:tcPr>
            <w:tcW w:w="1560" w:type="dxa"/>
            <w:vAlign w:val="center"/>
          </w:tcPr>
          <w:p w14:paraId="194A1BC3"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232.40</w:t>
            </w:r>
          </w:p>
        </w:tc>
      </w:tr>
      <w:tr w:rsidR="00C829DF" w:rsidRPr="00B71ECE" w14:paraId="10AD3B46" w14:textId="77777777" w:rsidTr="0066128A">
        <w:trPr>
          <w:trHeight w:val="126"/>
        </w:trPr>
        <w:tc>
          <w:tcPr>
            <w:tcW w:w="1668" w:type="dxa"/>
          </w:tcPr>
          <w:p w14:paraId="6AD588F0" w14:textId="77777777" w:rsidR="00C829DF" w:rsidRPr="00B942B9" w:rsidRDefault="00C829DF" w:rsidP="0066128A">
            <w:r w:rsidRPr="00B942B9">
              <w:t>T4</w:t>
            </w:r>
          </w:p>
        </w:tc>
        <w:tc>
          <w:tcPr>
            <w:tcW w:w="1559" w:type="dxa"/>
            <w:vAlign w:val="bottom"/>
          </w:tcPr>
          <w:p w14:paraId="1CF34983"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24.00</w:t>
            </w:r>
          </w:p>
        </w:tc>
        <w:tc>
          <w:tcPr>
            <w:tcW w:w="1559" w:type="dxa"/>
            <w:vAlign w:val="bottom"/>
          </w:tcPr>
          <w:p w14:paraId="3C57F6D7"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35.00</w:t>
            </w:r>
          </w:p>
        </w:tc>
        <w:tc>
          <w:tcPr>
            <w:tcW w:w="1418" w:type="dxa"/>
            <w:vAlign w:val="center"/>
          </w:tcPr>
          <w:p w14:paraId="15A55E30"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65.80</w:t>
            </w:r>
          </w:p>
        </w:tc>
        <w:tc>
          <w:tcPr>
            <w:tcW w:w="1275" w:type="dxa"/>
            <w:vAlign w:val="center"/>
          </w:tcPr>
          <w:p w14:paraId="041B273D"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117.87</w:t>
            </w:r>
          </w:p>
        </w:tc>
        <w:tc>
          <w:tcPr>
            <w:tcW w:w="1560" w:type="dxa"/>
            <w:vAlign w:val="center"/>
          </w:tcPr>
          <w:p w14:paraId="20BD13CC"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220.50</w:t>
            </w:r>
          </w:p>
        </w:tc>
      </w:tr>
      <w:tr w:rsidR="00C829DF" w:rsidRPr="00B71ECE" w14:paraId="71ED4461" w14:textId="77777777" w:rsidTr="0066128A">
        <w:trPr>
          <w:trHeight w:val="126"/>
        </w:trPr>
        <w:tc>
          <w:tcPr>
            <w:tcW w:w="1668" w:type="dxa"/>
          </w:tcPr>
          <w:p w14:paraId="60C7AED1" w14:textId="77777777" w:rsidR="00C829DF" w:rsidRPr="00B942B9" w:rsidRDefault="00C829DF" w:rsidP="0066128A">
            <w:r w:rsidRPr="00B942B9">
              <w:t>T5</w:t>
            </w:r>
          </w:p>
        </w:tc>
        <w:tc>
          <w:tcPr>
            <w:tcW w:w="1559" w:type="dxa"/>
            <w:vAlign w:val="bottom"/>
          </w:tcPr>
          <w:p w14:paraId="678A5F37"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27.00</w:t>
            </w:r>
          </w:p>
        </w:tc>
        <w:tc>
          <w:tcPr>
            <w:tcW w:w="1559" w:type="dxa"/>
            <w:vAlign w:val="bottom"/>
          </w:tcPr>
          <w:p w14:paraId="4273B246"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42.33</w:t>
            </w:r>
          </w:p>
        </w:tc>
        <w:tc>
          <w:tcPr>
            <w:tcW w:w="1418" w:type="dxa"/>
            <w:vAlign w:val="center"/>
          </w:tcPr>
          <w:p w14:paraId="6B8AF37B"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76.17</w:t>
            </w:r>
          </w:p>
        </w:tc>
        <w:tc>
          <w:tcPr>
            <w:tcW w:w="1275" w:type="dxa"/>
            <w:vAlign w:val="center"/>
          </w:tcPr>
          <w:p w14:paraId="4CAB9D89"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162.07</w:t>
            </w:r>
          </w:p>
        </w:tc>
        <w:tc>
          <w:tcPr>
            <w:tcW w:w="1560" w:type="dxa"/>
            <w:vAlign w:val="center"/>
          </w:tcPr>
          <w:p w14:paraId="6EC76151"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246.13</w:t>
            </w:r>
          </w:p>
        </w:tc>
      </w:tr>
      <w:tr w:rsidR="00C829DF" w:rsidRPr="00B71ECE" w14:paraId="4134E4D2" w14:textId="77777777" w:rsidTr="0066128A">
        <w:trPr>
          <w:trHeight w:val="126"/>
        </w:trPr>
        <w:tc>
          <w:tcPr>
            <w:tcW w:w="1668" w:type="dxa"/>
          </w:tcPr>
          <w:p w14:paraId="36652311" w14:textId="77777777" w:rsidR="00C829DF" w:rsidRPr="00B942B9" w:rsidRDefault="00C829DF" w:rsidP="0066128A">
            <w:r w:rsidRPr="00B942B9">
              <w:t>T6</w:t>
            </w:r>
          </w:p>
        </w:tc>
        <w:tc>
          <w:tcPr>
            <w:tcW w:w="1559" w:type="dxa"/>
            <w:vAlign w:val="bottom"/>
          </w:tcPr>
          <w:p w14:paraId="60FF1752"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21.33</w:t>
            </w:r>
          </w:p>
        </w:tc>
        <w:tc>
          <w:tcPr>
            <w:tcW w:w="1559" w:type="dxa"/>
            <w:vAlign w:val="bottom"/>
          </w:tcPr>
          <w:p w14:paraId="352E7DF4"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34.00</w:t>
            </w:r>
          </w:p>
        </w:tc>
        <w:tc>
          <w:tcPr>
            <w:tcW w:w="1418" w:type="dxa"/>
            <w:vAlign w:val="center"/>
          </w:tcPr>
          <w:p w14:paraId="53A2D953"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69.27</w:t>
            </w:r>
          </w:p>
        </w:tc>
        <w:tc>
          <w:tcPr>
            <w:tcW w:w="1275" w:type="dxa"/>
            <w:vAlign w:val="center"/>
          </w:tcPr>
          <w:p w14:paraId="29781D45"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150.40</w:t>
            </w:r>
          </w:p>
        </w:tc>
        <w:tc>
          <w:tcPr>
            <w:tcW w:w="1560" w:type="dxa"/>
            <w:vAlign w:val="center"/>
          </w:tcPr>
          <w:p w14:paraId="0007AAED"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241.13</w:t>
            </w:r>
          </w:p>
        </w:tc>
      </w:tr>
      <w:tr w:rsidR="00C829DF" w:rsidRPr="00B71ECE" w14:paraId="218A78BD" w14:textId="77777777" w:rsidTr="0066128A">
        <w:trPr>
          <w:trHeight w:val="126"/>
        </w:trPr>
        <w:tc>
          <w:tcPr>
            <w:tcW w:w="1668" w:type="dxa"/>
          </w:tcPr>
          <w:p w14:paraId="253B11E7" w14:textId="77777777" w:rsidR="00C829DF" w:rsidRPr="00B942B9" w:rsidRDefault="00C829DF" w:rsidP="0066128A">
            <w:r w:rsidRPr="00B942B9">
              <w:t>T7</w:t>
            </w:r>
          </w:p>
        </w:tc>
        <w:tc>
          <w:tcPr>
            <w:tcW w:w="1559" w:type="dxa"/>
            <w:vAlign w:val="bottom"/>
          </w:tcPr>
          <w:p w14:paraId="662A8237"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22.00</w:t>
            </w:r>
          </w:p>
        </w:tc>
        <w:tc>
          <w:tcPr>
            <w:tcW w:w="1559" w:type="dxa"/>
            <w:vAlign w:val="bottom"/>
          </w:tcPr>
          <w:p w14:paraId="07D253C5"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33.00</w:t>
            </w:r>
          </w:p>
        </w:tc>
        <w:tc>
          <w:tcPr>
            <w:tcW w:w="1418" w:type="dxa"/>
            <w:vAlign w:val="center"/>
          </w:tcPr>
          <w:p w14:paraId="2AE4739A"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67.27</w:t>
            </w:r>
          </w:p>
        </w:tc>
        <w:tc>
          <w:tcPr>
            <w:tcW w:w="1275" w:type="dxa"/>
            <w:vAlign w:val="center"/>
          </w:tcPr>
          <w:p w14:paraId="193395EB"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127.73</w:t>
            </w:r>
          </w:p>
        </w:tc>
        <w:tc>
          <w:tcPr>
            <w:tcW w:w="1560" w:type="dxa"/>
            <w:vAlign w:val="center"/>
          </w:tcPr>
          <w:p w14:paraId="6B0B09F9"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224.60</w:t>
            </w:r>
          </w:p>
        </w:tc>
      </w:tr>
      <w:tr w:rsidR="00C829DF" w:rsidRPr="00B71ECE" w14:paraId="6DFC72E2" w14:textId="77777777" w:rsidTr="0066128A">
        <w:trPr>
          <w:trHeight w:val="126"/>
        </w:trPr>
        <w:tc>
          <w:tcPr>
            <w:tcW w:w="1668" w:type="dxa"/>
          </w:tcPr>
          <w:p w14:paraId="5846B80F" w14:textId="77777777" w:rsidR="00C829DF" w:rsidRPr="00B942B9" w:rsidRDefault="00C829DF" w:rsidP="0066128A">
            <w:r w:rsidRPr="00B942B9">
              <w:t xml:space="preserve">T8 </w:t>
            </w:r>
          </w:p>
        </w:tc>
        <w:tc>
          <w:tcPr>
            <w:tcW w:w="1559" w:type="dxa"/>
            <w:vAlign w:val="bottom"/>
          </w:tcPr>
          <w:p w14:paraId="2C1009A4"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22.33</w:t>
            </w:r>
          </w:p>
        </w:tc>
        <w:tc>
          <w:tcPr>
            <w:tcW w:w="1559" w:type="dxa"/>
            <w:vAlign w:val="bottom"/>
          </w:tcPr>
          <w:p w14:paraId="7E4EAB85"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35.67</w:t>
            </w:r>
          </w:p>
        </w:tc>
        <w:tc>
          <w:tcPr>
            <w:tcW w:w="1418" w:type="dxa"/>
            <w:vAlign w:val="center"/>
          </w:tcPr>
          <w:p w14:paraId="2B171071"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67.53</w:t>
            </w:r>
          </w:p>
        </w:tc>
        <w:tc>
          <w:tcPr>
            <w:tcW w:w="1275" w:type="dxa"/>
            <w:vAlign w:val="center"/>
          </w:tcPr>
          <w:p w14:paraId="2EDE9419"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130.20</w:t>
            </w:r>
          </w:p>
        </w:tc>
        <w:tc>
          <w:tcPr>
            <w:tcW w:w="1560" w:type="dxa"/>
            <w:vAlign w:val="center"/>
          </w:tcPr>
          <w:p w14:paraId="2BE43CC7"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230.47</w:t>
            </w:r>
          </w:p>
        </w:tc>
      </w:tr>
      <w:tr w:rsidR="00C829DF" w:rsidRPr="00B71ECE" w14:paraId="33B88757" w14:textId="77777777" w:rsidTr="0066128A">
        <w:trPr>
          <w:trHeight w:val="126"/>
        </w:trPr>
        <w:tc>
          <w:tcPr>
            <w:tcW w:w="1668" w:type="dxa"/>
          </w:tcPr>
          <w:p w14:paraId="08D04B14" w14:textId="77777777" w:rsidR="00C829DF" w:rsidRPr="00B942B9" w:rsidRDefault="00C829DF" w:rsidP="0066128A">
            <w:r w:rsidRPr="00B942B9">
              <w:t>T9</w:t>
            </w:r>
          </w:p>
        </w:tc>
        <w:tc>
          <w:tcPr>
            <w:tcW w:w="1559" w:type="dxa"/>
            <w:vAlign w:val="bottom"/>
          </w:tcPr>
          <w:p w14:paraId="39DD0539"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21.33</w:t>
            </w:r>
          </w:p>
        </w:tc>
        <w:tc>
          <w:tcPr>
            <w:tcW w:w="1559" w:type="dxa"/>
            <w:vAlign w:val="bottom"/>
          </w:tcPr>
          <w:p w14:paraId="6F1E3611"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33.33</w:t>
            </w:r>
          </w:p>
        </w:tc>
        <w:tc>
          <w:tcPr>
            <w:tcW w:w="1418" w:type="dxa"/>
            <w:vAlign w:val="center"/>
          </w:tcPr>
          <w:p w14:paraId="750D2C9F"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67.27</w:t>
            </w:r>
          </w:p>
        </w:tc>
        <w:tc>
          <w:tcPr>
            <w:tcW w:w="1275" w:type="dxa"/>
            <w:vAlign w:val="center"/>
          </w:tcPr>
          <w:p w14:paraId="1575D91C"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124.40</w:t>
            </w:r>
          </w:p>
        </w:tc>
        <w:tc>
          <w:tcPr>
            <w:tcW w:w="1560" w:type="dxa"/>
            <w:vAlign w:val="center"/>
          </w:tcPr>
          <w:p w14:paraId="6516B8B3"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218.10</w:t>
            </w:r>
          </w:p>
        </w:tc>
      </w:tr>
      <w:tr w:rsidR="00C829DF" w:rsidRPr="00B71ECE" w14:paraId="3318E015" w14:textId="77777777" w:rsidTr="0066128A">
        <w:trPr>
          <w:trHeight w:val="126"/>
        </w:trPr>
        <w:tc>
          <w:tcPr>
            <w:tcW w:w="1668" w:type="dxa"/>
          </w:tcPr>
          <w:p w14:paraId="492CE60D" w14:textId="77777777" w:rsidR="00C829DF" w:rsidRPr="00B942B9" w:rsidRDefault="00C829DF" w:rsidP="0066128A">
            <w:r w:rsidRPr="00B942B9">
              <w:t xml:space="preserve">T10 </w:t>
            </w:r>
          </w:p>
        </w:tc>
        <w:tc>
          <w:tcPr>
            <w:tcW w:w="1559" w:type="dxa"/>
            <w:vAlign w:val="bottom"/>
          </w:tcPr>
          <w:p w14:paraId="5A826B92"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23.33</w:t>
            </w:r>
          </w:p>
        </w:tc>
        <w:tc>
          <w:tcPr>
            <w:tcW w:w="1559" w:type="dxa"/>
            <w:vAlign w:val="bottom"/>
          </w:tcPr>
          <w:p w14:paraId="58659AA0"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34.00</w:t>
            </w:r>
          </w:p>
        </w:tc>
        <w:tc>
          <w:tcPr>
            <w:tcW w:w="1418" w:type="dxa"/>
            <w:vAlign w:val="center"/>
          </w:tcPr>
          <w:p w14:paraId="4CE9DD1E"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67.13</w:t>
            </w:r>
          </w:p>
        </w:tc>
        <w:tc>
          <w:tcPr>
            <w:tcW w:w="1275" w:type="dxa"/>
            <w:vAlign w:val="center"/>
          </w:tcPr>
          <w:p w14:paraId="42D49E71"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127.87</w:t>
            </w:r>
          </w:p>
        </w:tc>
        <w:tc>
          <w:tcPr>
            <w:tcW w:w="1560" w:type="dxa"/>
            <w:vAlign w:val="center"/>
          </w:tcPr>
          <w:p w14:paraId="71CF2705"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228.27</w:t>
            </w:r>
          </w:p>
        </w:tc>
      </w:tr>
      <w:tr w:rsidR="00C829DF" w:rsidRPr="00B71ECE" w14:paraId="37290112" w14:textId="77777777" w:rsidTr="0066128A">
        <w:trPr>
          <w:trHeight w:val="126"/>
        </w:trPr>
        <w:tc>
          <w:tcPr>
            <w:tcW w:w="1668" w:type="dxa"/>
          </w:tcPr>
          <w:p w14:paraId="5C594371" w14:textId="77777777" w:rsidR="00C829DF" w:rsidRPr="00B942B9" w:rsidRDefault="00C829DF" w:rsidP="0066128A">
            <w:r w:rsidRPr="00B942B9">
              <w:t>T11</w:t>
            </w:r>
          </w:p>
        </w:tc>
        <w:tc>
          <w:tcPr>
            <w:tcW w:w="1559" w:type="dxa"/>
            <w:vAlign w:val="bottom"/>
          </w:tcPr>
          <w:p w14:paraId="677D40A2"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28.00</w:t>
            </w:r>
          </w:p>
        </w:tc>
        <w:tc>
          <w:tcPr>
            <w:tcW w:w="1559" w:type="dxa"/>
            <w:vAlign w:val="bottom"/>
          </w:tcPr>
          <w:p w14:paraId="4B2566FC"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42.67</w:t>
            </w:r>
          </w:p>
        </w:tc>
        <w:tc>
          <w:tcPr>
            <w:tcW w:w="1418" w:type="dxa"/>
            <w:vAlign w:val="center"/>
          </w:tcPr>
          <w:p w14:paraId="74ECAD1B"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76.67</w:t>
            </w:r>
          </w:p>
        </w:tc>
        <w:tc>
          <w:tcPr>
            <w:tcW w:w="1275" w:type="dxa"/>
            <w:vAlign w:val="center"/>
          </w:tcPr>
          <w:p w14:paraId="36B9E3AA"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162.73</w:t>
            </w:r>
          </w:p>
        </w:tc>
        <w:tc>
          <w:tcPr>
            <w:tcW w:w="1560" w:type="dxa"/>
            <w:vAlign w:val="center"/>
          </w:tcPr>
          <w:p w14:paraId="145FB82B"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246.95</w:t>
            </w:r>
          </w:p>
        </w:tc>
      </w:tr>
      <w:tr w:rsidR="00C829DF" w:rsidRPr="00B71ECE" w14:paraId="1E267462" w14:textId="77777777" w:rsidTr="0066128A">
        <w:trPr>
          <w:trHeight w:val="126"/>
        </w:trPr>
        <w:tc>
          <w:tcPr>
            <w:tcW w:w="1668" w:type="dxa"/>
          </w:tcPr>
          <w:p w14:paraId="3B1AD2E6" w14:textId="77777777" w:rsidR="00C829DF" w:rsidRDefault="00C829DF" w:rsidP="0066128A">
            <w:r w:rsidRPr="00B942B9">
              <w:t>T12</w:t>
            </w:r>
          </w:p>
        </w:tc>
        <w:tc>
          <w:tcPr>
            <w:tcW w:w="1559" w:type="dxa"/>
            <w:vAlign w:val="bottom"/>
          </w:tcPr>
          <w:p w14:paraId="0F19A6B6"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21.00</w:t>
            </w:r>
          </w:p>
        </w:tc>
        <w:tc>
          <w:tcPr>
            <w:tcW w:w="1559" w:type="dxa"/>
            <w:vAlign w:val="bottom"/>
          </w:tcPr>
          <w:p w14:paraId="661D4FD5"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32.67</w:t>
            </w:r>
          </w:p>
        </w:tc>
        <w:tc>
          <w:tcPr>
            <w:tcW w:w="1418" w:type="dxa"/>
            <w:vAlign w:val="center"/>
          </w:tcPr>
          <w:p w14:paraId="0D8C95AB"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62.47</w:t>
            </w:r>
          </w:p>
        </w:tc>
        <w:tc>
          <w:tcPr>
            <w:tcW w:w="1275" w:type="dxa"/>
            <w:vAlign w:val="center"/>
          </w:tcPr>
          <w:p w14:paraId="65567B30"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89.60</w:t>
            </w:r>
          </w:p>
        </w:tc>
        <w:tc>
          <w:tcPr>
            <w:tcW w:w="1560" w:type="dxa"/>
            <w:vAlign w:val="center"/>
          </w:tcPr>
          <w:p w14:paraId="41C0D7E0"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202.83</w:t>
            </w:r>
          </w:p>
        </w:tc>
      </w:tr>
      <w:tr w:rsidR="00C829DF" w:rsidRPr="00B71ECE" w14:paraId="5871654B" w14:textId="77777777" w:rsidTr="0066128A">
        <w:trPr>
          <w:trHeight w:val="126"/>
        </w:trPr>
        <w:tc>
          <w:tcPr>
            <w:tcW w:w="1668" w:type="dxa"/>
            <w:vAlign w:val="center"/>
          </w:tcPr>
          <w:p w14:paraId="444B9C6F" w14:textId="77777777" w:rsidR="00C829DF" w:rsidRPr="00B71ECE" w:rsidRDefault="00C829DF" w:rsidP="0066128A">
            <w:pPr>
              <w:tabs>
                <w:tab w:val="left" w:pos="142"/>
              </w:tabs>
              <w:jc w:val="both"/>
              <w:rPr>
                <w:rFonts w:ascii="Times New Roman" w:eastAsia="Times New Roman" w:hAnsi="Times New Roman" w:cs="Times New Roman"/>
                <w:color w:val="000000" w:themeColor="text1"/>
                <w:sz w:val="24"/>
                <w:szCs w:val="24"/>
              </w:rPr>
            </w:pPr>
            <w:proofErr w:type="spellStart"/>
            <w:r w:rsidRPr="00B71ECE">
              <w:rPr>
                <w:rFonts w:ascii="Times New Roman" w:eastAsia="Times New Roman" w:hAnsi="Times New Roman" w:cs="Times New Roman"/>
                <w:color w:val="000000" w:themeColor="text1"/>
                <w:sz w:val="24"/>
                <w:szCs w:val="24"/>
              </w:rPr>
              <w:t>SEm</w:t>
            </w:r>
            <w:proofErr w:type="spellEnd"/>
            <w:r w:rsidRPr="00B71ECE">
              <w:rPr>
                <w:rFonts w:ascii="Times New Roman" w:eastAsia="Times New Roman" w:hAnsi="Times New Roman" w:cs="Times New Roman"/>
                <w:color w:val="000000" w:themeColor="text1"/>
                <w:sz w:val="24"/>
                <w:szCs w:val="24"/>
                <w:u w:val="single"/>
              </w:rPr>
              <w:t>+</w:t>
            </w:r>
          </w:p>
        </w:tc>
        <w:tc>
          <w:tcPr>
            <w:tcW w:w="1559" w:type="dxa"/>
            <w:vAlign w:val="bottom"/>
          </w:tcPr>
          <w:p w14:paraId="23BD1715"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1.68</w:t>
            </w:r>
          </w:p>
        </w:tc>
        <w:tc>
          <w:tcPr>
            <w:tcW w:w="1559" w:type="dxa"/>
            <w:vAlign w:val="bottom"/>
          </w:tcPr>
          <w:p w14:paraId="282B426B"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2.36</w:t>
            </w:r>
          </w:p>
        </w:tc>
        <w:tc>
          <w:tcPr>
            <w:tcW w:w="1418" w:type="dxa"/>
            <w:vAlign w:val="center"/>
          </w:tcPr>
          <w:p w14:paraId="1E9FC8C8"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2.39</w:t>
            </w:r>
          </w:p>
        </w:tc>
        <w:tc>
          <w:tcPr>
            <w:tcW w:w="1275" w:type="dxa"/>
            <w:vAlign w:val="center"/>
          </w:tcPr>
          <w:p w14:paraId="72E66630"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8.18</w:t>
            </w:r>
          </w:p>
        </w:tc>
        <w:tc>
          <w:tcPr>
            <w:tcW w:w="1560" w:type="dxa"/>
            <w:vAlign w:val="center"/>
          </w:tcPr>
          <w:p w14:paraId="0BEB2EDC"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7.22</w:t>
            </w:r>
          </w:p>
        </w:tc>
      </w:tr>
      <w:tr w:rsidR="00C829DF" w:rsidRPr="00B71ECE" w14:paraId="607AC4C6" w14:textId="77777777" w:rsidTr="0066128A">
        <w:trPr>
          <w:trHeight w:val="126"/>
        </w:trPr>
        <w:tc>
          <w:tcPr>
            <w:tcW w:w="1668" w:type="dxa"/>
            <w:vAlign w:val="center"/>
          </w:tcPr>
          <w:p w14:paraId="1147D101" w14:textId="77777777" w:rsidR="00C829DF" w:rsidRPr="00B71ECE" w:rsidRDefault="00C829DF" w:rsidP="0066128A">
            <w:pPr>
              <w:tabs>
                <w:tab w:val="left" w:pos="142"/>
              </w:tabs>
              <w:jc w:val="both"/>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CD (P=0.05)</w:t>
            </w:r>
          </w:p>
        </w:tc>
        <w:tc>
          <w:tcPr>
            <w:tcW w:w="1559" w:type="dxa"/>
            <w:vAlign w:val="bottom"/>
          </w:tcPr>
          <w:p w14:paraId="0B29D647"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NS</w:t>
            </w:r>
          </w:p>
        </w:tc>
        <w:tc>
          <w:tcPr>
            <w:tcW w:w="1559" w:type="dxa"/>
            <w:vAlign w:val="bottom"/>
          </w:tcPr>
          <w:p w14:paraId="5F0E1D22"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NS</w:t>
            </w:r>
          </w:p>
        </w:tc>
        <w:tc>
          <w:tcPr>
            <w:tcW w:w="1418" w:type="dxa"/>
            <w:vAlign w:val="center"/>
          </w:tcPr>
          <w:p w14:paraId="3B809C29"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7.02</w:t>
            </w:r>
          </w:p>
        </w:tc>
        <w:tc>
          <w:tcPr>
            <w:tcW w:w="1275" w:type="dxa"/>
            <w:vAlign w:val="center"/>
          </w:tcPr>
          <w:p w14:paraId="4FF39F92"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24.00</w:t>
            </w:r>
          </w:p>
        </w:tc>
        <w:tc>
          <w:tcPr>
            <w:tcW w:w="1560" w:type="dxa"/>
            <w:vAlign w:val="center"/>
          </w:tcPr>
          <w:p w14:paraId="503D733D" w14:textId="77777777" w:rsidR="00C829DF" w:rsidRPr="00B71ECE" w:rsidRDefault="00C829DF" w:rsidP="0066128A">
            <w:pPr>
              <w:tabs>
                <w:tab w:val="left" w:pos="142"/>
              </w:tabs>
              <w:jc w:val="center"/>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color w:val="000000" w:themeColor="text1"/>
                <w:sz w:val="24"/>
                <w:szCs w:val="24"/>
              </w:rPr>
              <w:t>21.17</w:t>
            </w:r>
          </w:p>
        </w:tc>
      </w:tr>
    </w:tbl>
    <w:p w14:paraId="60DBC30F" w14:textId="77777777" w:rsidR="00D9149E" w:rsidRPr="00B71ECE" w:rsidRDefault="00467176" w:rsidP="006B2B42">
      <w:pPr>
        <w:tabs>
          <w:tab w:val="left" w:pos="142"/>
        </w:tabs>
        <w:spacing w:line="360" w:lineRule="auto"/>
        <w:jc w:val="both"/>
        <w:rPr>
          <w:rFonts w:ascii="Times New Roman" w:eastAsia="Times New Roman" w:hAnsi="Times New Roman" w:cs="Times New Roman"/>
          <w:color w:val="000000" w:themeColor="text1"/>
          <w:sz w:val="24"/>
          <w:szCs w:val="24"/>
        </w:rPr>
      </w:pPr>
      <w:r w:rsidRPr="00B71ECE">
        <w:rPr>
          <w:rFonts w:ascii="Times New Roman" w:eastAsia="Times New Roman" w:hAnsi="Times New Roman" w:cs="Times New Roman"/>
          <w:b/>
          <w:color w:val="000000" w:themeColor="text1"/>
          <w:sz w:val="24"/>
          <w:szCs w:val="24"/>
        </w:rPr>
        <w:t>Table 4</w:t>
      </w:r>
      <w:r w:rsidR="00440AFD">
        <w:rPr>
          <w:rFonts w:ascii="Times New Roman" w:eastAsia="Times New Roman" w:hAnsi="Times New Roman" w:cs="Times New Roman"/>
          <w:b/>
          <w:color w:val="000000" w:themeColor="text1"/>
          <w:sz w:val="24"/>
          <w:szCs w:val="24"/>
        </w:rPr>
        <w:t>:</w:t>
      </w:r>
      <w:r w:rsidRPr="00B71ECE">
        <w:rPr>
          <w:rFonts w:ascii="Times New Roman" w:eastAsia="Times New Roman" w:hAnsi="Times New Roman" w:cs="Times New Roman"/>
          <w:color w:val="000000" w:themeColor="text1"/>
          <w:sz w:val="24"/>
          <w:szCs w:val="24"/>
        </w:rPr>
        <w:t xml:space="preserve"> </w:t>
      </w:r>
      <w:r w:rsidRPr="00B71ECE">
        <w:rPr>
          <w:rFonts w:ascii="Times New Roman" w:hAnsi="Times New Roman" w:cs="Times New Roman"/>
          <w:b/>
          <w:bCs/>
          <w:color w:val="000000" w:themeColor="text1"/>
          <w:sz w:val="24"/>
          <w:szCs w:val="24"/>
        </w:rPr>
        <w:t xml:space="preserve">Effect of weed management on </w:t>
      </w:r>
      <w:r w:rsidRPr="00B71ECE">
        <w:rPr>
          <w:rFonts w:ascii="Times New Roman" w:hAnsi="Times New Roman" w:cs="Times New Roman"/>
          <w:b/>
          <w:color w:val="000000" w:themeColor="text1"/>
          <w:sz w:val="24"/>
          <w:szCs w:val="24"/>
        </w:rPr>
        <w:t>L</w:t>
      </w:r>
      <w:r w:rsidR="0031000E" w:rsidRPr="00B71ECE">
        <w:rPr>
          <w:rFonts w:ascii="Times New Roman" w:hAnsi="Times New Roman" w:cs="Times New Roman"/>
          <w:b/>
          <w:color w:val="000000" w:themeColor="text1"/>
          <w:sz w:val="24"/>
          <w:szCs w:val="24"/>
        </w:rPr>
        <w:t xml:space="preserve">AI, </w:t>
      </w:r>
      <w:r w:rsidR="008C364B">
        <w:rPr>
          <w:rFonts w:ascii="Times New Roman" w:hAnsi="Times New Roman" w:cs="Times New Roman"/>
          <w:b/>
          <w:color w:val="000000" w:themeColor="text1"/>
          <w:sz w:val="24"/>
          <w:szCs w:val="24"/>
        </w:rPr>
        <w:t xml:space="preserve">flowering, </w:t>
      </w:r>
      <w:r w:rsidRPr="00B71ECE">
        <w:rPr>
          <w:rFonts w:ascii="Times New Roman" w:hAnsi="Times New Roman" w:cs="Times New Roman"/>
          <w:b/>
          <w:color w:val="000000" w:themeColor="text1"/>
          <w:sz w:val="24"/>
          <w:szCs w:val="24"/>
        </w:rPr>
        <w:t>panicle initiation</w:t>
      </w:r>
      <w:r w:rsidR="0031000E" w:rsidRPr="00B71ECE">
        <w:rPr>
          <w:rFonts w:ascii="Times New Roman" w:eastAsia="Times New Roman" w:hAnsi="Times New Roman" w:cs="Times New Roman"/>
          <w:b/>
          <w:color w:val="000000" w:themeColor="text1"/>
          <w:sz w:val="24"/>
          <w:szCs w:val="24"/>
        </w:rPr>
        <w:t>, yield</w:t>
      </w:r>
      <w:r w:rsidR="008C364B">
        <w:rPr>
          <w:rFonts w:ascii="Times New Roman" w:hAnsi="Times New Roman" w:cs="Times New Roman"/>
          <w:b/>
          <w:color w:val="000000" w:themeColor="text1"/>
          <w:sz w:val="24"/>
          <w:szCs w:val="24"/>
        </w:rPr>
        <w:t xml:space="preserve"> </w:t>
      </w:r>
      <w:r w:rsidRPr="00B71ECE">
        <w:rPr>
          <w:rFonts w:ascii="Times New Roman" w:eastAsia="Times New Roman" w:hAnsi="Times New Roman" w:cs="Times New Roman"/>
          <w:b/>
          <w:color w:val="000000" w:themeColor="text1"/>
          <w:sz w:val="24"/>
          <w:szCs w:val="24"/>
        </w:rPr>
        <w:t>of sorghum</w:t>
      </w:r>
      <w:r w:rsidRPr="00B71ECE">
        <w:rPr>
          <w:rFonts w:ascii="Times New Roman" w:eastAsia="Times New Roman" w:hAnsi="Times New Roman" w:cs="Times New Roman"/>
          <w:color w:val="000000" w:themeColor="text1"/>
          <w:sz w:val="24"/>
          <w:szCs w:val="24"/>
        </w:rPr>
        <w:t xml:space="preserve"> </w:t>
      </w:r>
    </w:p>
    <w:tbl>
      <w:tblPr>
        <w:tblStyle w:val="TableGrid"/>
        <w:tblW w:w="10258" w:type="dxa"/>
        <w:jc w:val="center"/>
        <w:tblLayout w:type="fixed"/>
        <w:tblLook w:val="04A0" w:firstRow="1" w:lastRow="0" w:firstColumn="1" w:lastColumn="0" w:noHBand="0" w:noVBand="1"/>
      </w:tblPr>
      <w:tblGrid>
        <w:gridCol w:w="1668"/>
        <w:gridCol w:w="1911"/>
        <w:gridCol w:w="1525"/>
        <w:gridCol w:w="1718"/>
        <w:gridCol w:w="1718"/>
        <w:gridCol w:w="1718"/>
      </w:tblGrid>
      <w:tr w:rsidR="005B4A4F" w:rsidRPr="00B71ECE" w14:paraId="7A630CD1" w14:textId="77777777" w:rsidTr="00C829DF">
        <w:trPr>
          <w:jc w:val="center"/>
        </w:trPr>
        <w:tc>
          <w:tcPr>
            <w:tcW w:w="1668" w:type="dxa"/>
          </w:tcPr>
          <w:p w14:paraId="69D6FC33" w14:textId="77777777" w:rsidR="005B4A4F" w:rsidRPr="00B71ECE" w:rsidRDefault="005B4A4F" w:rsidP="00C829DF">
            <w:pPr>
              <w:pStyle w:val="TableParagraph"/>
              <w:tabs>
                <w:tab w:val="left" w:pos="142"/>
              </w:tabs>
              <w:rPr>
                <w:b/>
                <w:color w:val="000000" w:themeColor="text1"/>
                <w:sz w:val="24"/>
                <w:szCs w:val="24"/>
              </w:rPr>
            </w:pPr>
            <w:r w:rsidRPr="00B71ECE">
              <w:rPr>
                <w:b/>
                <w:color w:val="000000" w:themeColor="text1"/>
                <w:sz w:val="24"/>
                <w:szCs w:val="24"/>
              </w:rPr>
              <w:t>Treatments</w:t>
            </w:r>
          </w:p>
        </w:tc>
        <w:tc>
          <w:tcPr>
            <w:tcW w:w="1911" w:type="dxa"/>
          </w:tcPr>
          <w:p w14:paraId="779623FD" w14:textId="77777777" w:rsidR="005B4A4F" w:rsidRPr="00B71ECE" w:rsidRDefault="005B4A4F" w:rsidP="00C829DF">
            <w:pPr>
              <w:pStyle w:val="TableParagraph"/>
              <w:tabs>
                <w:tab w:val="left" w:pos="142"/>
              </w:tabs>
              <w:jc w:val="center"/>
              <w:rPr>
                <w:b/>
                <w:color w:val="000000" w:themeColor="text1"/>
                <w:sz w:val="24"/>
                <w:szCs w:val="24"/>
              </w:rPr>
            </w:pPr>
            <w:r w:rsidRPr="00B71ECE">
              <w:rPr>
                <w:b/>
                <w:color w:val="000000" w:themeColor="text1"/>
                <w:sz w:val="24"/>
                <w:szCs w:val="24"/>
              </w:rPr>
              <w:t>Leaf area Index</w:t>
            </w:r>
          </w:p>
        </w:tc>
        <w:tc>
          <w:tcPr>
            <w:tcW w:w="1525" w:type="dxa"/>
          </w:tcPr>
          <w:p w14:paraId="55EF9D97" w14:textId="77777777" w:rsidR="005B4A4F" w:rsidRPr="00B71ECE" w:rsidRDefault="005B4A4F" w:rsidP="00C829DF">
            <w:pPr>
              <w:pStyle w:val="TableParagraph"/>
              <w:tabs>
                <w:tab w:val="left" w:pos="142"/>
              </w:tabs>
              <w:jc w:val="center"/>
              <w:rPr>
                <w:b/>
                <w:color w:val="000000" w:themeColor="text1"/>
                <w:sz w:val="24"/>
                <w:szCs w:val="24"/>
              </w:rPr>
            </w:pPr>
            <w:r w:rsidRPr="00B71ECE">
              <w:rPr>
                <w:b/>
                <w:color w:val="000000" w:themeColor="text1"/>
                <w:sz w:val="24"/>
                <w:szCs w:val="24"/>
              </w:rPr>
              <w:t>Days to first flowering</w:t>
            </w:r>
          </w:p>
        </w:tc>
        <w:tc>
          <w:tcPr>
            <w:tcW w:w="1718" w:type="dxa"/>
          </w:tcPr>
          <w:p w14:paraId="647D8D49" w14:textId="77777777" w:rsidR="005B4A4F" w:rsidRPr="00B71ECE" w:rsidRDefault="005B4A4F" w:rsidP="00C829DF">
            <w:pPr>
              <w:pStyle w:val="TableParagraph"/>
              <w:tabs>
                <w:tab w:val="left" w:pos="142"/>
              </w:tabs>
              <w:jc w:val="center"/>
              <w:rPr>
                <w:b/>
                <w:color w:val="000000" w:themeColor="text1"/>
                <w:sz w:val="24"/>
                <w:szCs w:val="24"/>
              </w:rPr>
            </w:pPr>
            <w:r w:rsidRPr="00B71ECE">
              <w:rPr>
                <w:b/>
                <w:color w:val="000000" w:themeColor="text1"/>
                <w:sz w:val="24"/>
                <w:szCs w:val="24"/>
              </w:rPr>
              <w:t>Days to first panicle initiation</w:t>
            </w:r>
          </w:p>
        </w:tc>
        <w:tc>
          <w:tcPr>
            <w:tcW w:w="1718" w:type="dxa"/>
          </w:tcPr>
          <w:p w14:paraId="3FA204C8" w14:textId="77777777" w:rsidR="005B4A4F" w:rsidRPr="00B71ECE" w:rsidRDefault="005B4A4F" w:rsidP="00C829DF">
            <w:pPr>
              <w:pStyle w:val="TableParagraph"/>
              <w:tabs>
                <w:tab w:val="left" w:pos="142"/>
                <w:tab w:val="left" w:pos="643"/>
              </w:tabs>
              <w:jc w:val="center"/>
              <w:rPr>
                <w:b/>
                <w:color w:val="000000" w:themeColor="text1"/>
                <w:sz w:val="24"/>
                <w:szCs w:val="24"/>
              </w:rPr>
            </w:pPr>
            <w:r w:rsidRPr="00B71ECE">
              <w:rPr>
                <w:b/>
                <w:color w:val="000000" w:themeColor="text1"/>
                <w:sz w:val="24"/>
                <w:szCs w:val="24"/>
              </w:rPr>
              <w:t>Green fodder yield</w:t>
            </w:r>
          </w:p>
          <w:p w14:paraId="459E4FA3" w14:textId="77777777" w:rsidR="005B4A4F" w:rsidRPr="00B71ECE" w:rsidRDefault="005B4A4F" w:rsidP="00C829DF">
            <w:pPr>
              <w:pStyle w:val="TableParagraph"/>
              <w:tabs>
                <w:tab w:val="left" w:pos="142"/>
              </w:tabs>
              <w:jc w:val="center"/>
              <w:rPr>
                <w:b/>
                <w:color w:val="000000" w:themeColor="text1"/>
                <w:sz w:val="24"/>
                <w:szCs w:val="24"/>
              </w:rPr>
            </w:pPr>
            <w:r w:rsidRPr="00B71ECE">
              <w:rPr>
                <w:b/>
                <w:color w:val="000000" w:themeColor="text1"/>
                <w:sz w:val="24"/>
                <w:szCs w:val="24"/>
              </w:rPr>
              <w:t>(t ha</w:t>
            </w:r>
            <w:r w:rsidRPr="00B71ECE">
              <w:rPr>
                <w:b/>
                <w:color w:val="000000" w:themeColor="text1"/>
                <w:sz w:val="24"/>
                <w:szCs w:val="24"/>
                <w:vertAlign w:val="superscript"/>
              </w:rPr>
              <w:t>-1</w:t>
            </w:r>
            <w:r w:rsidRPr="00B71ECE">
              <w:rPr>
                <w:b/>
                <w:color w:val="000000" w:themeColor="text1"/>
                <w:sz w:val="24"/>
                <w:szCs w:val="24"/>
              </w:rPr>
              <w:t>)</w:t>
            </w:r>
          </w:p>
        </w:tc>
        <w:tc>
          <w:tcPr>
            <w:tcW w:w="1718" w:type="dxa"/>
          </w:tcPr>
          <w:p w14:paraId="6561F807" w14:textId="77777777" w:rsidR="005B4A4F" w:rsidRPr="00B71ECE" w:rsidRDefault="005B4A4F" w:rsidP="00C829DF">
            <w:pPr>
              <w:pStyle w:val="TableParagraph"/>
              <w:tabs>
                <w:tab w:val="left" w:pos="142"/>
              </w:tabs>
              <w:jc w:val="center"/>
              <w:rPr>
                <w:b/>
                <w:color w:val="000000" w:themeColor="text1"/>
                <w:sz w:val="24"/>
                <w:szCs w:val="24"/>
              </w:rPr>
            </w:pPr>
            <w:r w:rsidRPr="00B71ECE">
              <w:rPr>
                <w:b/>
                <w:color w:val="000000" w:themeColor="text1"/>
                <w:sz w:val="24"/>
                <w:szCs w:val="24"/>
              </w:rPr>
              <w:t>Dry fodder yield</w:t>
            </w:r>
          </w:p>
          <w:p w14:paraId="7A75203F" w14:textId="77777777" w:rsidR="005B4A4F" w:rsidRPr="00B71ECE" w:rsidRDefault="005B4A4F" w:rsidP="00C829DF">
            <w:pPr>
              <w:pStyle w:val="TableParagraph"/>
              <w:tabs>
                <w:tab w:val="left" w:pos="142"/>
              </w:tabs>
              <w:jc w:val="center"/>
              <w:rPr>
                <w:b/>
                <w:color w:val="000000" w:themeColor="text1"/>
                <w:sz w:val="24"/>
                <w:szCs w:val="24"/>
              </w:rPr>
            </w:pPr>
            <w:r w:rsidRPr="00B71ECE">
              <w:rPr>
                <w:b/>
                <w:color w:val="000000" w:themeColor="text1"/>
                <w:sz w:val="24"/>
                <w:szCs w:val="24"/>
              </w:rPr>
              <w:t>(t ha</w:t>
            </w:r>
            <w:r w:rsidRPr="00B71ECE">
              <w:rPr>
                <w:b/>
                <w:color w:val="000000" w:themeColor="text1"/>
                <w:sz w:val="24"/>
                <w:szCs w:val="24"/>
                <w:vertAlign w:val="superscript"/>
              </w:rPr>
              <w:t>-1</w:t>
            </w:r>
            <w:r w:rsidRPr="00B71ECE">
              <w:rPr>
                <w:b/>
                <w:color w:val="000000" w:themeColor="text1"/>
                <w:sz w:val="24"/>
                <w:szCs w:val="24"/>
              </w:rPr>
              <w:t>)</w:t>
            </w:r>
          </w:p>
        </w:tc>
      </w:tr>
      <w:tr w:rsidR="00C829DF" w:rsidRPr="00B71ECE" w14:paraId="38E8EFE4" w14:textId="77777777" w:rsidTr="00C829DF">
        <w:trPr>
          <w:jc w:val="center"/>
        </w:trPr>
        <w:tc>
          <w:tcPr>
            <w:tcW w:w="1668" w:type="dxa"/>
            <w:vAlign w:val="center"/>
          </w:tcPr>
          <w:p w14:paraId="44EF988C"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vertAlign w:val="subscript"/>
              </w:rPr>
              <w:t>1</w:t>
            </w:r>
          </w:p>
        </w:tc>
        <w:tc>
          <w:tcPr>
            <w:tcW w:w="1911" w:type="dxa"/>
            <w:vAlign w:val="bottom"/>
          </w:tcPr>
          <w:p w14:paraId="36BC1EFB"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7.52</w:t>
            </w:r>
          </w:p>
        </w:tc>
        <w:tc>
          <w:tcPr>
            <w:tcW w:w="1525" w:type="dxa"/>
            <w:vAlign w:val="bottom"/>
          </w:tcPr>
          <w:p w14:paraId="69FD6124"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79.00</w:t>
            </w:r>
          </w:p>
        </w:tc>
        <w:tc>
          <w:tcPr>
            <w:tcW w:w="1718" w:type="dxa"/>
            <w:vAlign w:val="bottom"/>
          </w:tcPr>
          <w:p w14:paraId="388499BD"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73.00</w:t>
            </w:r>
          </w:p>
        </w:tc>
        <w:tc>
          <w:tcPr>
            <w:tcW w:w="1718" w:type="dxa"/>
            <w:vAlign w:val="bottom"/>
          </w:tcPr>
          <w:p w14:paraId="520AC492"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42.99</w:t>
            </w:r>
          </w:p>
        </w:tc>
        <w:tc>
          <w:tcPr>
            <w:tcW w:w="1718" w:type="dxa"/>
            <w:vAlign w:val="bottom"/>
          </w:tcPr>
          <w:p w14:paraId="0223F7E0"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13.04</w:t>
            </w:r>
          </w:p>
        </w:tc>
      </w:tr>
      <w:tr w:rsidR="00C829DF" w:rsidRPr="00B71ECE" w14:paraId="28316C5A" w14:textId="77777777" w:rsidTr="00C829DF">
        <w:trPr>
          <w:jc w:val="center"/>
        </w:trPr>
        <w:tc>
          <w:tcPr>
            <w:tcW w:w="1668" w:type="dxa"/>
            <w:vAlign w:val="center"/>
          </w:tcPr>
          <w:p w14:paraId="5B47DB6A"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2</w:t>
            </w:r>
          </w:p>
        </w:tc>
        <w:tc>
          <w:tcPr>
            <w:tcW w:w="1911" w:type="dxa"/>
            <w:vAlign w:val="bottom"/>
          </w:tcPr>
          <w:p w14:paraId="6EB95D54"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8.54</w:t>
            </w:r>
          </w:p>
        </w:tc>
        <w:tc>
          <w:tcPr>
            <w:tcW w:w="1525" w:type="dxa"/>
            <w:vAlign w:val="bottom"/>
          </w:tcPr>
          <w:p w14:paraId="583E47F7"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78.33</w:t>
            </w:r>
          </w:p>
        </w:tc>
        <w:tc>
          <w:tcPr>
            <w:tcW w:w="1718" w:type="dxa"/>
            <w:vAlign w:val="bottom"/>
          </w:tcPr>
          <w:p w14:paraId="685BB0A9"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71.67</w:t>
            </w:r>
          </w:p>
        </w:tc>
        <w:tc>
          <w:tcPr>
            <w:tcW w:w="1718" w:type="dxa"/>
            <w:vAlign w:val="bottom"/>
          </w:tcPr>
          <w:p w14:paraId="20952CBF"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46.99</w:t>
            </w:r>
          </w:p>
        </w:tc>
        <w:tc>
          <w:tcPr>
            <w:tcW w:w="1718" w:type="dxa"/>
            <w:vAlign w:val="bottom"/>
          </w:tcPr>
          <w:p w14:paraId="15E25DB3"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13.41</w:t>
            </w:r>
          </w:p>
        </w:tc>
      </w:tr>
      <w:tr w:rsidR="00C829DF" w:rsidRPr="00B71ECE" w14:paraId="2CE3E1A9" w14:textId="77777777" w:rsidTr="00C829DF">
        <w:trPr>
          <w:jc w:val="center"/>
        </w:trPr>
        <w:tc>
          <w:tcPr>
            <w:tcW w:w="1668" w:type="dxa"/>
            <w:vAlign w:val="center"/>
          </w:tcPr>
          <w:p w14:paraId="0B1687C0"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3</w:t>
            </w:r>
          </w:p>
        </w:tc>
        <w:tc>
          <w:tcPr>
            <w:tcW w:w="1911" w:type="dxa"/>
            <w:vAlign w:val="bottom"/>
          </w:tcPr>
          <w:p w14:paraId="7A627610"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8.14</w:t>
            </w:r>
          </w:p>
        </w:tc>
        <w:tc>
          <w:tcPr>
            <w:tcW w:w="1525" w:type="dxa"/>
            <w:vAlign w:val="bottom"/>
          </w:tcPr>
          <w:p w14:paraId="2E582F30"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77.67</w:t>
            </w:r>
          </w:p>
        </w:tc>
        <w:tc>
          <w:tcPr>
            <w:tcW w:w="1718" w:type="dxa"/>
            <w:vAlign w:val="bottom"/>
          </w:tcPr>
          <w:p w14:paraId="08170328"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72.67</w:t>
            </w:r>
          </w:p>
        </w:tc>
        <w:tc>
          <w:tcPr>
            <w:tcW w:w="1718" w:type="dxa"/>
            <w:vAlign w:val="bottom"/>
          </w:tcPr>
          <w:p w14:paraId="75E0CA47"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36.51</w:t>
            </w:r>
          </w:p>
        </w:tc>
        <w:tc>
          <w:tcPr>
            <w:tcW w:w="1718" w:type="dxa"/>
            <w:vAlign w:val="bottom"/>
          </w:tcPr>
          <w:p w14:paraId="4BBD0133"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11.48</w:t>
            </w:r>
          </w:p>
        </w:tc>
      </w:tr>
      <w:tr w:rsidR="00C829DF" w:rsidRPr="00B71ECE" w14:paraId="3777EBBC" w14:textId="77777777" w:rsidTr="00C829DF">
        <w:trPr>
          <w:jc w:val="center"/>
        </w:trPr>
        <w:tc>
          <w:tcPr>
            <w:tcW w:w="1668" w:type="dxa"/>
            <w:vAlign w:val="center"/>
          </w:tcPr>
          <w:p w14:paraId="3D54EBF5"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4</w:t>
            </w:r>
          </w:p>
        </w:tc>
        <w:tc>
          <w:tcPr>
            <w:tcW w:w="1911" w:type="dxa"/>
            <w:vAlign w:val="bottom"/>
          </w:tcPr>
          <w:p w14:paraId="7DECEE7E"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6.19</w:t>
            </w:r>
          </w:p>
        </w:tc>
        <w:tc>
          <w:tcPr>
            <w:tcW w:w="1525" w:type="dxa"/>
            <w:vAlign w:val="bottom"/>
          </w:tcPr>
          <w:p w14:paraId="05864579"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77.00</w:t>
            </w:r>
          </w:p>
        </w:tc>
        <w:tc>
          <w:tcPr>
            <w:tcW w:w="1718" w:type="dxa"/>
            <w:vAlign w:val="bottom"/>
          </w:tcPr>
          <w:p w14:paraId="0B23E370"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70.67</w:t>
            </w:r>
          </w:p>
        </w:tc>
        <w:tc>
          <w:tcPr>
            <w:tcW w:w="1718" w:type="dxa"/>
            <w:vAlign w:val="bottom"/>
          </w:tcPr>
          <w:p w14:paraId="7AD9072A"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21.49</w:t>
            </w:r>
          </w:p>
        </w:tc>
        <w:tc>
          <w:tcPr>
            <w:tcW w:w="1718" w:type="dxa"/>
            <w:vAlign w:val="bottom"/>
          </w:tcPr>
          <w:p w14:paraId="72F4E166"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6.69</w:t>
            </w:r>
          </w:p>
        </w:tc>
      </w:tr>
      <w:tr w:rsidR="00C829DF" w:rsidRPr="00B71ECE" w14:paraId="566B0066" w14:textId="77777777" w:rsidTr="00C829DF">
        <w:trPr>
          <w:jc w:val="center"/>
        </w:trPr>
        <w:tc>
          <w:tcPr>
            <w:tcW w:w="1668" w:type="dxa"/>
            <w:vAlign w:val="center"/>
          </w:tcPr>
          <w:p w14:paraId="0E9B5182"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5</w:t>
            </w:r>
          </w:p>
        </w:tc>
        <w:tc>
          <w:tcPr>
            <w:tcW w:w="1911" w:type="dxa"/>
            <w:vAlign w:val="bottom"/>
          </w:tcPr>
          <w:p w14:paraId="7792A344"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8.62</w:t>
            </w:r>
          </w:p>
        </w:tc>
        <w:tc>
          <w:tcPr>
            <w:tcW w:w="1525" w:type="dxa"/>
            <w:vAlign w:val="bottom"/>
          </w:tcPr>
          <w:p w14:paraId="4F8E6D00"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82.67</w:t>
            </w:r>
          </w:p>
        </w:tc>
        <w:tc>
          <w:tcPr>
            <w:tcW w:w="1718" w:type="dxa"/>
            <w:vAlign w:val="bottom"/>
          </w:tcPr>
          <w:p w14:paraId="25F8783C"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76.33</w:t>
            </w:r>
          </w:p>
        </w:tc>
        <w:tc>
          <w:tcPr>
            <w:tcW w:w="1718" w:type="dxa"/>
            <w:vAlign w:val="bottom"/>
          </w:tcPr>
          <w:p w14:paraId="48296A77"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66.49</w:t>
            </w:r>
          </w:p>
        </w:tc>
        <w:tc>
          <w:tcPr>
            <w:tcW w:w="1718" w:type="dxa"/>
            <w:vAlign w:val="bottom"/>
          </w:tcPr>
          <w:p w14:paraId="77E63ACF"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14.84</w:t>
            </w:r>
          </w:p>
        </w:tc>
      </w:tr>
      <w:tr w:rsidR="00C829DF" w:rsidRPr="00B71ECE" w14:paraId="2EF1D2AB" w14:textId="77777777" w:rsidTr="00C829DF">
        <w:trPr>
          <w:jc w:val="center"/>
        </w:trPr>
        <w:tc>
          <w:tcPr>
            <w:tcW w:w="1668" w:type="dxa"/>
            <w:vAlign w:val="center"/>
          </w:tcPr>
          <w:p w14:paraId="61FB23CB"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6</w:t>
            </w:r>
          </w:p>
        </w:tc>
        <w:tc>
          <w:tcPr>
            <w:tcW w:w="1911" w:type="dxa"/>
            <w:vAlign w:val="bottom"/>
          </w:tcPr>
          <w:p w14:paraId="7A98FB4F"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8.50</w:t>
            </w:r>
          </w:p>
        </w:tc>
        <w:tc>
          <w:tcPr>
            <w:tcW w:w="1525" w:type="dxa"/>
            <w:vAlign w:val="bottom"/>
          </w:tcPr>
          <w:p w14:paraId="59EDFA5C"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83.33</w:t>
            </w:r>
          </w:p>
        </w:tc>
        <w:tc>
          <w:tcPr>
            <w:tcW w:w="1718" w:type="dxa"/>
            <w:vAlign w:val="bottom"/>
          </w:tcPr>
          <w:p w14:paraId="19AA9495"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77.00</w:t>
            </w:r>
          </w:p>
        </w:tc>
        <w:tc>
          <w:tcPr>
            <w:tcW w:w="1718" w:type="dxa"/>
            <w:vAlign w:val="bottom"/>
          </w:tcPr>
          <w:p w14:paraId="4012E6F4"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34.40</w:t>
            </w:r>
          </w:p>
        </w:tc>
        <w:tc>
          <w:tcPr>
            <w:tcW w:w="1718" w:type="dxa"/>
            <w:vAlign w:val="bottom"/>
          </w:tcPr>
          <w:p w14:paraId="3032FBC7"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11.20</w:t>
            </w:r>
          </w:p>
        </w:tc>
      </w:tr>
      <w:tr w:rsidR="00C829DF" w:rsidRPr="00B71ECE" w14:paraId="140B048A" w14:textId="77777777" w:rsidTr="00C829DF">
        <w:trPr>
          <w:jc w:val="center"/>
        </w:trPr>
        <w:tc>
          <w:tcPr>
            <w:tcW w:w="1668" w:type="dxa"/>
            <w:vAlign w:val="center"/>
          </w:tcPr>
          <w:p w14:paraId="0E2BA7A4"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7</w:t>
            </w:r>
          </w:p>
        </w:tc>
        <w:tc>
          <w:tcPr>
            <w:tcW w:w="1911" w:type="dxa"/>
            <w:vAlign w:val="bottom"/>
          </w:tcPr>
          <w:p w14:paraId="3BCAF6ED"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7.61</w:t>
            </w:r>
          </w:p>
        </w:tc>
        <w:tc>
          <w:tcPr>
            <w:tcW w:w="1525" w:type="dxa"/>
            <w:vAlign w:val="bottom"/>
          </w:tcPr>
          <w:p w14:paraId="746FAC59"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79.00</w:t>
            </w:r>
          </w:p>
        </w:tc>
        <w:tc>
          <w:tcPr>
            <w:tcW w:w="1718" w:type="dxa"/>
            <w:vAlign w:val="bottom"/>
          </w:tcPr>
          <w:p w14:paraId="7B33D2C1"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73.00</w:t>
            </w:r>
          </w:p>
        </w:tc>
        <w:tc>
          <w:tcPr>
            <w:tcW w:w="1718" w:type="dxa"/>
            <w:vAlign w:val="bottom"/>
          </w:tcPr>
          <w:p w14:paraId="0E294335"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29.32</w:t>
            </w:r>
          </w:p>
        </w:tc>
        <w:tc>
          <w:tcPr>
            <w:tcW w:w="1718" w:type="dxa"/>
            <w:vAlign w:val="bottom"/>
          </w:tcPr>
          <w:p w14:paraId="6003FCED"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9.35</w:t>
            </w:r>
          </w:p>
        </w:tc>
      </w:tr>
      <w:tr w:rsidR="00C829DF" w:rsidRPr="00B71ECE" w14:paraId="5BC339CB" w14:textId="77777777" w:rsidTr="00C829DF">
        <w:trPr>
          <w:jc w:val="center"/>
        </w:trPr>
        <w:tc>
          <w:tcPr>
            <w:tcW w:w="1668" w:type="dxa"/>
            <w:vAlign w:val="center"/>
          </w:tcPr>
          <w:p w14:paraId="05B9DFF4"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8</w:t>
            </w:r>
            <w:r w:rsidRPr="00B71ECE">
              <w:rPr>
                <w:rFonts w:ascii="Times New Roman" w:hAnsi="Times New Roman" w:cs="Times New Roman"/>
                <w:color w:val="000000" w:themeColor="text1"/>
                <w:sz w:val="24"/>
                <w:szCs w:val="24"/>
              </w:rPr>
              <w:t xml:space="preserve"> </w:t>
            </w:r>
          </w:p>
        </w:tc>
        <w:tc>
          <w:tcPr>
            <w:tcW w:w="1911" w:type="dxa"/>
            <w:vAlign w:val="bottom"/>
          </w:tcPr>
          <w:p w14:paraId="46D1417F"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7.91</w:t>
            </w:r>
          </w:p>
        </w:tc>
        <w:tc>
          <w:tcPr>
            <w:tcW w:w="1525" w:type="dxa"/>
            <w:vAlign w:val="bottom"/>
          </w:tcPr>
          <w:p w14:paraId="64CA8545"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81.33</w:t>
            </w:r>
          </w:p>
        </w:tc>
        <w:tc>
          <w:tcPr>
            <w:tcW w:w="1718" w:type="dxa"/>
            <w:vAlign w:val="bottom"/>
          </w:tcPr>
          <w:p w14:paraId="486783A1"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74.67</w:t>
            </w:r>
          </w:p>
        </w:tc>
        <w:tc>
          <w:tcPr>
            <w:tcW w:w="1718" w:type="dxa"/>
            <w:vAlign w:val="bottom"/>
          </w:tcPr>
          <w:p w14:paraId="46318FFB"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33.84</w:t>
            </w:r>
          </w:p>
        </w:tc>
        <w:tc>
          <w:tcPr>
            <w:tcW w:w="1718" w:type="dxa"/>
            <w:vAlign w:val="bottom"/>
          </w:tcPr>
          <w:p w14:paraId="766D5783"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10.43</w:t>
            </w:r>
          </w:p>
        </w:tc>
      </w:tr>
      <w:tr w:rsidR="00C829DF" w:rsidRPr="00B71ECE" w14:paraId="571A3907" w14:textId="77777777" w:rsidTr="00C829DF">
        <w:trPr>
          <w:jc w:val="center"/>
        </w:trPr>
        <w:tc>
          <w:tcPr>
            <w:tcW w:w="1668" w:type="dxa"/>
            <w:vAlign w:val="center"/>
          </w:tcPr>
          <w:p w14:paraId="6B8D0EAA"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9</w:t>
            </w:r>
          </w:p>
        </w:tc>
        <w:tc>
          <w:tcPr>
            <w:tcW w:w="1911" w:type="dxa"/>
            <w:vAlign w:val="bottom"/>
          </w:tcPr>
          <w:p w14:paraId="1D787B82"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7.57</w:t>
            </w:r>
          </w:p>
        </w:tc>
        <w:tc>
          <w:tcPr>
            <w:tcW w:w="1525" w:type="dxa"/>
            <w:vAlign w:val="bottom"/>
          </w:tcPr>
          <w:p w14:paraId="3226E57F"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80.00</w:t>
            </w:r>
          </w:p>
        </w:tc>
        <w:tc>
          <w:tcPr>
            <w:tcW w:w="1718" w:type="dxa"/>
            <w:vAlign w:val="bottom"/>
          </w:tcPr>
          <w:p w14:paraId="193F069E"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72.67</w:t>
            </w:r>
          </w:p>
        </w:tc>
        <w:tc>
          <w:tcPr>
            <w:tcW w:w="1718" w:type="dxa"/>
            <w:vAlign w:val="bottom"/>
          </w:tcPr>
          <w:p w14:paraId="21ED87D5"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28.82</w:t>
            </w:r>
          </w:p>
        </w:tc>
        <w:tc>
          <w:tcPr>
            <w:tcW w:w="1718" w:type="dxa"/>
            <w:vAlign w:val="bottom"/>
          </w:tcPr>
          <w:p w14:paraId="3080C534"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9.02</w:t>
            </w:r>
          </w:p>
        </w:tc>
      </w:tr>
      <w:tr w:rsidR="00C829DF" w:rsidRPr="00B71ECE" w14:paraId="4CDD035D" w14:textId="77777777" w:rsidTr="00C829DF">
        <w:trPr>
          <w:jc w:val="center"/>
        </w:trPr>
        <w:tc>
          <w:tcPr>
            <w:tcW w:w="1668" w:type="dxa"/>
            <w:vAlign w:val="center"/>
          </w:tcPr>
          <w:p w14:paraId="240A92EB"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10</w:t>
            </w:r>
            <w:r w:rsidRPr="00B71ECE">
              <w:rPr>
                <w:rFonts w:ascii="Times New Roman" w:hAnsi="Times New Roman" w:cs="Times New Roman"/>
                <w:color w:val="000000" w:themeColor="text1"/>
                <w:sz w:val="24"/>
                <w:szCs w:val="24"/>
              </w:rPr>
              <w:t xml:space="preserve"> </w:t>
            </w:r>
          </w:p>
        </w:tc>
        <w:tc>
          <w:tcPr>
            <w:tcW w:w="1911" w:type="dxa"/>
            <w:vAlign w:val="bottom"/>
          </w:tcPr>
          <w:p w14:paraId="44B2FEE3"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7.62</w:t>
            </w:r>
          </w:p>
        </w:tc>
        <w:tc>
          <w:tcPr>
            <w:tcW w:w="1525" w:type="dxa"/>
            <w:vAlign w:val="bottom"/>
          </w:tcPr>
          <w:p w14:paraId="21E9292D"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80.33</w:t>
            </w:r>
          </w:p>
        </w:tc>
        <w:tc>
          <w:tcPr>
            <w:tcW w:w="1718" w:type="dxa"/>
            <w:vAlign w:val="bottom"/>
          </w:tcPr>
          <w:p w14:paraId="08DD6D9B"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74.00</w:t>
            </w:r>
          </w:p>
        </w:tc>
        <w:tc>
          <w:tcPr>
            <w:tcW w:w="1718" w:type="dxa"/>
            <w:vAlign w:val="bottom"/>
          </w:tcPr>
          <w:p w14:paraId="31C28703"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32.16</w:t>
            </w:r>
          </w:p>
        </w:tc>
        <w:tc>
          <w:tcPr>
            <w:tcW w:w="1718" w:type="dxa"/>
            <w:vAlign w:val="bottom"/>
          </w:tcPr>
          <w:p w14:paraId="0EC23E4F"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10.38</w:t>
            </w:r>
          </w:p>
        </w:tc>
      </w:tr>
      <w:tr w:rsidR="00C829DF" w:rsidRPr="00B71ECE" w14:paraId="0817E266" w14:textId="77777777" w:rsidTr="00C829DF">
        <w:trPr>
          <w:jc w:val="center"/>
        </w:trPr>
        <w:tc>
          <w:tcPr>
            <w:tcW w:w="1668" w:type="dxa"/>
            <w:vAlign w:val="center"/>
          </w:tcPr>
          <w:p w14:paraId="55D6D622"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11</w:t>
            </w:r>
          </w:p>
        </w:tc>
        <w:tc>
          <w:tcPr>
            <w:tcW w:w="1911" w:type="dxa"/>
            <w:vAlign w:val="bottom"/>
          </w:tcPr>
          <w:p w14:paraId="2DE1BDE7"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9.05</w:t>
            </w:r>
          </w:p>
        </w:tc>
        <w:tc>
          <w:tcPr>
            <w:tcW w:w="1525" w:type="dxa"/>
            <w:vAlign w:val="bottom"/>
          </w:tcPr>
          <w:p w14:paraId="483F21CE"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81.33</w:t>
            </w:r>
          </w:p>
        </w:tc>
        <w:tc>
          <w:tcPr>
            <w:tcW w:w="1718" w:type="dxa"/>
            <w:vAlign w:val="bottom"/>
          </w:tcPr>
          <w:p w14:paraId="3900C257"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75.00</w:t>
            </w:r>
          </w:p>
        </w:tc>
        <w:tc>
          <w:tcPr>
            <w:tcW w:w="1718" w:type="dxa"/>
            <w:vAlign w:val="bottom"/>
          </w:tcPr>
          <w:p w14:paraId="6D2C49A9"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69.62</w:t>
            </w:r>
          </w:p>
        </w:tc>
        <w:tc>
          <w:tcPr>
            <w:tcW w:w="1718" w:type="dxa"/>
            <w:vAlign w:val="bottom"/>
          </w:tcPr>
          <w:p w14:paraId="5712D23A"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20.71</w:t>
            </w:r>
          </w:p>
        </w:tc>
      </w:tr>
      <w:tr w:rsidR="00C829DF" w:rsidRPr="00B71ECE" w14:paraId="6B1E21AD" w14:textId="77777777" w:rsidTr="00C829DF">
        <w:trPr>
          <w:jc w:val="center"/>
        </w:trPr>
        <w:tc>
          <w:tcPr>
            <w:tcW w:w="1668" w:type="dxa"/>
            <w:vAlign w:val="center"/>
          </w:tcPr>
          <w:p w14:paraId="1755290A" w14:textId="77777777" w:rsidR="00C829DF" w:rsidRPr="00B71ECE" w:rsidRDefault="00C829DF"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12</w:t>
            </w:r>
          </w:p>
        </w:tc>
        <w:tc>
          <w:tcPr>
            <w:tcW w:w="1911" w:type="dxa"/>
            <w:vAlign w:val="bottom"/>
          </w:tcPr>
          <w:p w14:paraId="39143123"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5.42</w:t>
            </w:r>
          </w:p>
        </w:tc>
        <w:tc>
          <w:tcPr>
            <w:tcW w:w="1525" w:type="dxa"/>
            <w:vAlign w:val="bottom"/>
          </w:tcPr>
          <w:p w14:paraId="56ADD0A6"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80.33</w:t>
            </w:r>
          </w:p>
        </w:tc>
        <w:tc>
          <w:tcPr>
            <w:tcW w:w="1718" w:type="dxa"/>
            <w:vAlign w:val="bottom"/>
          </w:tcPr>
          <w:p w14:paraId="652A4E56"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70.67</w:t>
            </w:r>
          </w:p>
        </w:tc>
        <w:tc>
          <w:tcPr>
            <w:tcW w:w="1718" w:type="dxa"/>
            <w:vAlign w:val="bottom"/>
          </w:tcPr>
          <w:p w14:paraId="230C37E0"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8.99</w:t>
            </w:r>
          </w:p>
        </w:tc>
        <w:tc>
          <w:tcPr>
            <w:tcW w:w="1718" w:type="dxa"/>
            <w:vAlign w:val="bottom"/>
          </w:tcPr>
          <w:p w14:paraId="26C83ECE" w14:textId="77777777" w:rsidR="00C829DF" w:rsidRPr="00B71ECE" w:rsidRDefault="00C829D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2.88</w:t>
            </w:r>
          </w:p>
        </w:tc>
      </w:tr>
      <w:tr w:rsidR="0086149F" w:rsidRPr="00B71ECE" w14:paraId="5A9765A1" w14:textId="77777777" w:rsidTr="00C829DF">
        <w:trPr>
          <w:jc w:val="center"/>
        </w:trPr>
        <w:tc>
          <w:tcPr>
            <w:tcW w:w="1668" w:type="dxa"/>
            <w:vAlign w:val="center"/>
          </w:tcPr>
          <w:p w14:paraId="7DFED691" w14:textId="77777777" w:rsidR="0086149F" w:rsidRPr="00B71ECE" w:rsidRDefault="0086149F" w:rsidP="00C829DF">
            <w:pPr>
              <w:tabs>
                <w:tab w:val="left" w:pos="142"/>
              </w:tabs>
              <w:rPr>
                <w:rFonts w:ascii="Times New Roman" w:eastAsia="Times New Roman" w:hAnsi="Times New Roman" w:cs="Times New Roman"/>
                <w:color w:val="000000" w:themeColor="text1"/>
                <w:sz w:val="24"/>
                <w:szCs w:val="24"/>
              </w:rPr>
            </w:pPr>
            <w:proofErr w:type="spellStart"/>
            <w:r w:rsidRPr="00B71ECE">
              <w:rPr>
                <w:rFonts w:ascii="Times New Roman" w:hAnsi="Times New Roman" w:cs="Times New Roman"/>
                <w:color w:val="000000" w:themeColor="text1"/>
                <w:sz w:val="24"/>
                <w:szCs w:val="24"/>
              </w:rPr>
              <w:t>SEm</w:t>
            </w:r>
            <w:proofErr w:type="spellEnd"/>
            <w:r w:rsidRPr="00B71ECE">
              <w:rPr>
                <w:rFonts w:ascii="Times New Roman" w:hAnsi="Times New Roman" w:cs="Times New Roman"/>
                <w:color w:val="000000" w:themeColor="text1"/>
                <w:sz w:val="24"/>
                <w:szCs w:val="24"/>
                <w:u w:val="single"/>
              </w:rPr>
              <w:t>+</w:t>
            </w:r>
          </w:p>
        </w:tc>
        <w:tc>
          <w:tcPr>
            <w:tcW w:w="1911" w:type="dxa"/>
            <w:vAlign w:val="bottom"/>
          </w:tcPr>
          <w:p w14:paraId="347A6818" w14:textId="77777777" w:rsidR="0086149F" w:rsidRPr="00B71ECE" w:rsidRDefault="0086149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0.48</w:t>
            </w:r>
          </w:p>
        </w:tc>
        <w:tc>
          <w:tcPr>
            <w:tcW w:w="1525" w:type="dxa"/>
            <w:vAlign w:val="bottom"/>
          </w:tcPr>
          <w:p w14:paraId="56F83E74" w14:textId="77777777" w:rsidR="0086149F" w:rsidRPr="00B71ECE" w:rsidRDefault="0086149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2.84</w:t>
            </w:r>
          </w:p>
        </w:tc>
        <w:tc>
          <w:tcPr>
            <w:tcW w:w="1718" w:type="dxa"/>
            <w:vAlign w:val="bottom"/>
          </w:tcPr>
          <w:p w14:paraId="0C80CAE6" w14:textId="77777777" w:rsidR="0086149F" w:rsidRPr="00B71ECE" w:rsidRDefault="0086149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2.60</w:t>
            </w:r>
          </w:p>
        </w:tc>
        <w:tc>
          <w:tcPr>
            <w:tcW w:w="1718" w:type="dxa"/>
            <w:vAlign w:val="bottom"/>
          </w:tcPr>
          <w:p w14:paraId="43F49C77" w14:textId="77777777" w:rsidR="0086149F" w:rsidRPr="00B71ECE" w:rsidRDefault="0086149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2.08</w:t>
            </w:r>
          </w:p>
        </w:tc>
        <w:tc>
          <w:tcPr>
            <w:tcW w:w="1718" w:type="dxa"/>
            <w:vAlign w:val="bottom"/>
          </w:tcPr>
          <w:p w14:paraId="1A2362F1" w14:textId="77777777" w:rsidR="0086149F" w:rsidRPr="00B71ECE" w:rsidRDefault="0086149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0.62</w:t>
            </w:r>
          </w:p>
        </w:tc>
      </w:tr>
      <w:tr w:rsidR="0086149F" w:rsidRPr="00B71ECE" w14:paraId="0F1B52E4" w14:textId="77777777" w:rsidTr="00C829DF">
        <w:trPr>
          <w:jc w:val="center"/>
        </w:trPr>
        <w:tc>
          <w:tcPr>
            <w:tcW w:w="1668" w:type="dxa"/>
            <w:vAlign w:val="center"/>
          </w:tcPr>
          <w:p w14:paraId="7D22C686" w14:textId="77777777" w:rsidR="0086149F" w:rsidRPr="00B71ECE" w:rsidRDefault="0086149F" w:rsidP="00C829DF">
            <w:pPr>
              <w:tabs>
                <w:tab w:val="left" w:pos="142"/>
              </w:tabs>
              <w:rPr>
                <w:rFonts w:ascii="Times New Roman" w:eastAsia="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CD (P=0.05)</w:t>
            </w:r>
          </w:p>
        </w:tc>
        <w:tc>
          <w:tcPr>
            <w:tcW w:w="1911" w:type="dxa"/>
            <w:vAlign w:val="bottom"/>
          </w:tcPr>
          <w:p w14:paraId="3A26F83E" w14:textId="77777777" w:rsidR="0086149F" w:rsidRPr="00B71ECE" w:rsidRDefault="0086149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1.40</w:t>
            </w:r>
          </w:p>
        </w:tc>
        <w:tc>
          <w:tcPr>
            <w:tcW w:w="1525" w:type="dxa"/>
            <w:vAlign w:val="bottom"/>
          </w:tcPr>
          <w:p w14:paraId="040E3C37" w14:textId="77777777" w:rsidR="0086149F" w:rsidRPr="00B71ECE" w:rsidRDefault="0086149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NS</w:t>
            </w:r>
          </w:p>
        </w:tc>
        <w:tc>
          <w:tcPr>
            <w:tcW w:w="1718" w:type="dxa"/>
            <w:vAlign w:val="bottom"/>
          </w:tcPr>
          <w:p w14:paraId="3128CDB8" w14:textId="77777777" w:rsidR="0086149F" w:rsidRPr="00B71ECE" w:rsidRDefault="0086149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NS</w:t>
            </w:r>
          </w:p>
        </w:tc>
        <w:tc>
          <w:tcPr>
            <w:tcW w:w="1718" w:type="dxa"/>
            <w:vAlign w:val="bottom"/>
          </w:tcPr>
          <w:p w14:paraId="0568C71E" w14:textId="77777777" w:rsidR="0086149F" w:rsidRPr="00B71ECE" w:rsidRDefault="0086149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6.09</w:t>
            </w:r>
          </w:p>
        </w:tc>
        <w:tc>
          <w:tcPr>
            <w:tcW w:w="1718" w:type="dxa"/>
            <w:vAlign w:val="bottom"/>
          </w:tcPr>
          <w:p w14:paraId="1FAB7103" w14:textId="77777777" w:rsidR="0086149F" w:rsidRPr="00B71ECE" w:rsidRDefault="0086149F"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1.81</w:t>
            </w:r>
          </w:p>
        </w:tc>
      </w:tr>
    </w:tbl>
    <w:p w14:paraId="26479D4B"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2469FD05" w14:textId="77777777" w:rsidR="00D9149E" w:rsidRPr="00B71ECE" w:rsidRDefault="00440AFD" w:rsidP="00440AFD">
      <w:pPr>
        <w:pStyle w:val="BodyText"/>
        <w:tabs>
          <w:tab w:val="left" w:pos="142"/>
        </w:tabs>
        <w:rPr>
          <w:b w:val="0"/>
          <w:bCs w:val="0"/>
        </w:rPr>
      </w:pPr>
      <w:r>
        <w:rPr>
          <w:bCs w:val="0"/>
        </w:rPr>
        <w:t>Table 5:</w:t>
      </w:r>
      <w:r w:rsidR="009B7FA2" w:rsidRPr="00B71ECE">
        <w:rPr>
          <w:bCs w:val="0"/>
        </w:rPr>
        <w:t xml:space="preserve"> </w:t>
      </w:r>
      <w:r w:rsidR="009B7FA2" w:rsidRPr="00B71ECE">
        <w:rPr>
          <w:color w:val="000000" w:themeColor="text1"/>
        </w:rPr>
        <w:t>Effect of weed management o</w:t>
      </w:r>
      <w:r w:rsidR="0066128A">
        <w:rPr>
          <w:color w:val="000000" w:themeColor="text1"/>
        </w:rPr>
        <w:t>n HCN content and nutrient</w:t>
      </w:r>
      <w:r w:rsidR="009B7FA2" w:rsidRPr="00B71ECE">
        <w:rPr>
          <w:color w:val="000000" w:themeColor="text1"/>
        </w:rPr>
        <w:t xml:space="preserve"> uptake</w:t>
      </w:r>
      <w:r w:rsidR="0066128A">
        <w:rPr>
          <w:color w:val="000000" w:themeColor="text1"/>
        </w:rPr>
        <w:t xml:space="preserve"> of sorghum</w:t>
      </w:r>
    </w:p>
    <w:tbl>
      <w:tblPr>
        <w:tblStyle w:val="TableGrid"/>
        <w:tblW w:w="8331" w:type="dxa"/>
        <w:jc w:val="center"/>
        <w:tblLayout w:type="fixed"/>
        <w:tblLook w:val="04A0" w:firstRow="1" w:lastRow="0" w:firstColumn="1" w:lastColumn="0" w:noHBand="0" w:noVBand="1"/>
      </w:tblPr>
      <w:tblGrid>
        <w:gridCol w:w="1668"/>
        <w:gridCol w:w="1560"/>
        <w:gridCol w:w="1701"/>
        <w:gridCol w:w="1701"/>
        <w:gridCol w:w="1701"/>
      </w:tblGrid>
      <w:tr w:rsidR="009B7FA2" w:rsidRPr="00B71ECE" w14:paraId="429D4100" w14:textId="77777777" w:rsidTr="0066128A">
        <w:trPr>
          <w:trHeight w:val="20"/>
          <w:jc w:val="center"/>
        </w:trPr>
        <w:tc>
          <w:tcPr>
            <w:tcW w:w="1668" w:type="dxa"/>
          </w:tcPr>
          <w:p w14:paraId="111C7A31" w14:textId="77777777" w:rsidR="009B7FA2" w:rsidRPr="00B71ECE" w:rsidRDefault="009B7FA2" w:rsidP="00440AFD">
            <w:pPr>
              <w:pStyle w:val="TableParagraph"/>
              <w:tabs>
                <w:tab w:val="left" w:pos="142"/>
              </w:tabs>
              <w:rPr>
                <w:b/>
                <w:color w:val="000000" w:themeColor="text1"/>
                <w:sz w:val="24"/>
                <w:szCs w:val="24"/>
              </w:rPr>
            </w:pPr>
            <w:r w:rsidRPr="00B71ECE">
              <w:rPr>
                <w:b/>
                <w:color w:val="000000" w:themeColor="text1"/>
                <w:sz w:val="24"/>
                <w:szCs w:val="24"/>
              </w:rPr>
              <w:t>Treatments</w:t>
            </w:r>
          </w:p>
        </w:tc>
        <w:tc>
          <w:tcPr>
            <w:tcW w:w="1560" w:type="dxa"/>
          </w:tcPr>
          <w:p w14:paraId="0C886752" w14:textId="77777777" w:rsidR="009B7FA2" w:rsidRPr="00B71ECE" w:rsidRDefault="009B7FA2" w:rsidP="00440AFD">
            <w:pPr>
              <w:pStyle w:val="TableParagraph"/>
              <w:tabs>
                <w:tab w:val="left" w:pos="142"/>
              </w:tabs>
              <w:jc w:val="center"/>
              <w:rPr>
                <w:b/>
                <w:color w:val="000000" w:themeColor="text1"/>
                <w:sz w:val="24"/>
                <w:szCs w:val="24"/>
              </w:rPr>
            </w:pPr>
            <w:r w:rsidRPr="00B71ECE">
              <w:rPr>
                <w:b/>
                <w:color w:val="000000" w:themeColor="text1"/>
                <w:sz w:val="24"/>
                <w:szCs w:val="24"/>
              </w:rPr>
              <w:t>HCN content (ppm)</w:t>
            </w:r>
          </w:p>
        </w:tc>
        <w:tc>
          <w:tcPr>
            <w:tcW w:w="1701" w:type="dxa"/>
          </w:tcPr>
          <w:p w14:paraId="67F06D22" w14:textId="77777777" w:rsidR="009B7FA2" w:rsidRPr="00B71ECE" w:rsidRDefault="009B7FA2" w:rsidP="00440AFD">
            <w:pPr>
              <w:pStyle w:val="TableParagraph"/>
              <w:tabs>
                <w:tab w:val="left" w:pos="142"/>
              </w:tabs>
              <w:jc w:val="center"/>
              <w:rPr>
                <w:b/>
                <w:color w:val="000000" w:themeColor="text1"/>
                <w:sz w:val="24"/>
                <w:szCs w:val="24"/>
              </w:rPr>
            </w:pPr>
            <w:r w:rsidRPr="00B71ECE">
              <w:rPr>
                <w:b/>
                <w:color w:val="000000" w:themeColor="text1"/>
                <w:sz w:val="24"/>
                <w:szCs w:val="24"/>
              </w:rPr>
              <w:t>N uptake</w:t>
            </w:r>
          </w:p>
          <w:p w14:paraId="0D97A1F9" w14:textId="77777777" w:rsidR="009B7FA2" w:rsidRPr="00B71ECE" w:rsidRDefault="009B7FA2" w:rsidP="00440AFD">
            <w:pPr>
              <w:pStyle w:val="TableParagraph"/>
              <w:tabs>
                <w:tab w:val="left" w:pos="142"/>
              </w:tabs>
              <w:jc w:val="center"/>
              <w:rPr>
                <w:b/>
                <w:color w:val="000000" w:themeColor="text1"/>
                <w:sz w:val="24"/>
                <w:szCs w:val="24"/>
              </w:rPr>
            </w:pPr>
            <w:r w:rsidRPr="00B71ECE">
              <w:rPr>
                <w:b/>
                <w:color w:val="000000" w:themeColor="text1"/>
                <w:sz w:val="24"/>
                <w:szCs w:val="24"/>
              </w:rPr>
              <w:t>(kg ha</w:t>
            </w:r>
            <w:r w:rsidRPr="00B71ECE">
              <w:rPr>
                <w:b/>
                <w:color w:val="000000" w:themeColor="text1"/>
                <w:sz w:val="24"/>
                <w:szCs w:val="24"/>
                <w:vertAlign w:val="superscript"/>
              </w:rPr>
              <w:t>-1</w:t>
            </w:r>
            <w:r w:rsidRPr="00B71ECE">
              <w:rPr>
                <w:b/>
                <w:color w:val="000000" w:themeColor="text1"/>
                <w:sz w:val="24"/>
                <w:szCs w:val="24"/>
              </w:rPr>
              <w:t>)</w:t>
            </w:r>
          </w:p>
        </w:tc>
        <w:tc>
          <w:tcPr>
            <w:tcW w:w="1701" w:type="dxa"/>
          </w:tcPr>
          <w:p w14:paraId="0D2D8129" w14:textId="77777777" w:rsidR="009B7FA2" w:rsidRPr="00B71ECE" w:rsidRDefault="009B7FA2" w:rsidP="00440AFD">
            <w:pPr>
              <w:pStyle w:val="TableParagraph"/>
              <w:tabs>
                <w:tab w:val="left" w:pos="142"/>
              </w:tabs>
              <w:jc w:val="center"/>
              <w:rPr>
                <w:b/>
                <w:color w:val="000000" w:themeColor="text1"/>
                <w:sz w:val="24"/>
                <w:szCs w:val="24"/>
              </w:rPr>
            </w:pPr>
            <w:r w:rsidRPr="00B71ECE">
              <w:rPr>
                <w:b/>
                <w:color w:val="000000" w:themeColor="text1"/>
                <w:sz w:val="24"/>
                <w:szCs w:val="24"/>
              </w:rPr>
              <w:t>P uptake</w:t>
            </w:r>
          </w:p>
          <w:p w14:paraId="25C0C21C" w14:textId="77777777" w:rsidR="009B7FA2" w:rsidRPr="00B71ECE" w:rsidRDefault="009B7FA2" w:rsidP="00440AFD">
            <w:pPr>
              <w:pStyle w:val="TableParagraph"/>
              <w:tabs>
                <w:tab w:val="left" w:pos="142"/>
              </w:tabs>
              <w:jc w:val="center"/>
              <w:rPr>
                <w:b/>
                <w:color w:val="000000" w:themeColor="text1"/>
                <w:sz w:val="24"/>
                <w:szCs w:val="24"/>
              </w:rPr>
            </w:pPr>
            <w:r w:rsidRPr="00B71ECE">
              <w:rPr>
                <w:b/>
                <w:color w:val="000000" w:themeColor="text1"/>
                <w:sz w:val="24"/>
                <w:szCs w:val="24"/>
              </w:rPr>
              <w:t>(kg ha</w:t>
            </w:r>
            <w:r w:rsidRPr="00B71ECE">
              <w:rPr>
                <w:b/>
                <w:color w:val="000000" w:themeColor="text1"/>
                <w:sz w:val="24"/>
                <w:szCs w:val="24"/>
                <w:vertAlign w:val="superscript"/>
              </w:rPr>
              <w:t>-1</w:t>
            </w:r>
            <w:r w:rsidRPr="00B71ECE">
              <w:rPr>
                <w:b/>
                <w:color w:val="000000" w:themeColor="text1"/>
                <w:sz w:val="24"/>
                <w:szCs w:val="24"/>
              </w:rPr>
              <w:t>)</w:t>
            </w:r>
          </w:p>
        </w:tc>
        <w:tc>
          <w:tcPr>
            <w:tcW w:w="1701" w:type="dxa"/>
          </w:tcPr>
          <w:p w14:paraId="6EE37932" w14:textId="77777777" w:rsidR="009B7FA2" w:rsidRPr="00B71ECE" w:rsidRDefault="009B7FA2" w:rsidP="00440AFD">
            <w:pPr>
              <w:pStyle w:val="TableParagraph"/>
              <w:tabs>
                <w:tab w:val="left" w:pos="142"/>
              </w:tabs>
              <w:jc w:val="center"/>
              <w:rPr>
                <w:b/>
                <w:color w:val="000000" w:themeColor="text1"/>
                <w:sz w:val="24"/>
                <w:szCs w:val="24"/>
              </w:rPr>
            </w:pPr>
            <w:r w:rsidRPr="00B71ECE">
              <w:rPr>
                <w:b/>
                <w:color w:val="000000" w:themeColor="text1"/>
                <w:sz w:val="24"/>
                <w:szCs w:val="24"/>
              </w:rPr>
              <w:t>K uptake</w:t>
            </w:r>
          </w:p>
          <w:p w14:paraId="27AD68E1" w14:textId="77777777" w:rsidR="009B7FA2" w:rsidRPr="00B71ECE" w:rsidRDefault="009B7FA2" w:rsidP="00440AFD">
            <w:pPr>
              <w:pStyle w:val="TableParagraph"/>
              <w:tabs>
                <w:tab w:val="left" w:pos="142"/>
              </w:tabs>
              <w:jc w:val="center"/>
              <w:rPr>
                <w:b/>
                <w:color w:val="000000" w:themeColor="text1"/>
                <w:sz w:val="24"/>
                <w:szCs w:val="24"/>
              </w:rPr>
            </w:pPr>
            <w:r w:rsidRPr="00B71ECE">
              <w:rPr>
                <w:b/>
                <w:color w:val="000000" w:themeColor="text1"/>
                <w:sz w:val="24"/>
                <w:szCs w:val="24"/>
              </w:rPr>
              <w:t>(kg ha</w:t>
            </w:r>
            <w:r w:rsidRPr="00B71ECE">
              <w:rPr>
                <w:b/>
                <w:color w:val="000000" w:themeColor="text1"/>
                <w:sz w:val="24"/>
                <w:szCs w:val="24"/>
                <w:vertAlign w:val="superscript"/>
              </w:rPr>
              <w:t>-1</w:t>
            </w:r>
            <w:r w:rsidRPr="00B71ECE">
              <w:rPr>
                <w:b/>
                <w:color w:val="000000" w:themeColor="text1"/>
                <w:sz w:val="24"/>
                <w:szCs w:val="24"/>
              </w:rPr>
              <w:t>)</w:t>
            </w:r>
          </w:p>
        </w:tc>
      </w:tr>
      <w:tr w:rsidR="009B7FA2" w:rsidRPr="00B71ECE" w14:paraId="4D46D509" w14:textId="77777777" w:rsidTr="0066128A">
        <w:trPr>
          <w:trHeight w:val="20"/>
          <w:jc w:val="center"/>
        </w:trPr>
        <w:tc>
          <w:tcPr>
            <w:tcW w:w="1668" w:type="dxa"/>
            <w:vAlign w:val="center"/>
          </w:tcPr>
          <w:p w14:paraId="25D37EDC"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006B2B42">
              <w:rPr>
                <w:rFonts w:ascii="Times New Roman" w:hAnsi="Times New Roman" w:cs="Times New Roman"/>
                <w:color w:val="000000" w:themeColor="text1"/>
                <w:sz w:val="24"/>
                <w:szCs w:val="24"/>
                <w:vertAlign w:val="subscript"/>
              </w:rPr>
              <w:t>1</w:t>
            </w:r>
          </w:p>
        </w:tc>
        <w:tc>
          <w:tcPr>
            <w:tcW w:w="1560" w:type="dxa"/>
            <w:vAlign w:val="bottom"/>
          </w:tcPr>
          <w:p w14:paraId="3DB679F1"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77.00</w:t>
            </w:r>
          </w:p>
        </w:tc>
        <w:tc>
          <w:tcPr>
            <w:tcW w:w="1701" w:type="dxa"/>
            <w:vAlign w:val="bottom"/>
          </w:tcPr>
          <w:p w14:paraId="1C70D8FC"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91.34</w:t>
            </w:r>
          </w:p>
        </w:tc>
        <w:tc>
          <w:tcPr>
            <w:tcW w:w="1701" w:type="dxa"/>
            <w:vAlign w:val="bottom"/>
          </w:tcPr>
          <w:p w14:paraId="30410B7F"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25.53</w:t>
            </w:r>
          </w:p>
        </w:tc>
        <w:tc>
          <w:tcPr>
            <w:tcW w:w="1701" w:type="dxa"/>
            <w:vAlign w:val="bottom"/>
          </w:tcPr>
          <w:p w14:paraId="4A62D9B5"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169.27</w:t>
            </w:r>
          </w:p>
        </w:tc>
      </w:tr>
      <w:tr w:rsidR="009B7FA2" w:rsidRPr="00B71ECE" w14:paraId="6A161627" w14:textId="77777777" w:rsidTr="0066128A">
        <w:trPr>
          <w:trHeight w:val="20"/>
          <w:jc w:val="center"/>
        </w:trPr>
        <w:tc>
          <w:tcPr>
            <w:tcW w:w="1668" w:type="dxa"/>
            <w:vAlign w:val="center"/>
          </w:tcPr>
          <w:p w14:paraId="3167A3C5"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lastRenderedPageBreak/>
              <w:t>T</w:t>
            </w:r>
            <w:r w:rsidRPr="00B71ECE">
              <w:rPr>
                <w:rFonts w:ascii="Times New Roman" w:hAnsi="Times New Roman" w:cs="Times New Roman"/>
                <w:color w:val="000000" w:themeColor="text1"/>
                <w:sz w:val="24"/>
                <w:szCs w:val="24"/>
                <w:vertAlign w:val="subscript"/>
              </w:rPr>
              <w:t>2</w:t>
            </w:r>
          </w:p>
        </w:tc>
        <w:tc>
          <w:tcPr>
            <w:tcW w:w="1560" w:type="dxa"/>
            <w:vAlign w:val="bottom"/>
          </w:tcPr>
          <w:p w14:paraId="70028CD0"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75.33</w:t>
            </w:r>
          </w:p>
        </w:tc>
        <w:tc>
          <w:tcPr>
            <w:tcW w:w="1701" w:type="dxa"/>
            <w:vAlign w:val="bottom"/>
          </w:tcPr>
          <w:p w14:paraId="2CE0F602"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95.33</w:t>
            </w:r>
          </w:p>
        </w:tc>
        <w:tc>
          <w:tcPr>
            <w:tcW w:w="1701" w:type="dxa"/>
            <w:vAlign w:val="bottom"/>
          </w:tcPr>
          <w:p w14:paraId="4D4A7AAD"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26.04</w:t>
            </w:r>
          </w:p>
        </w:tc>
        <w:tc>
          <w:tcPr>
            <w:tcW w:w="1701" w:type="dxa"/>
            <w:vAlign w:val="bottom"/>
          </w:tcPr>
          <w:p w14:paraId="3D51116B"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177.75</w:t>
            </w:r>
          </w:p>
        </w:tc>
      </w:tr>
      <w:tr w:rsidR="009B7FA2" w:rsidRPr="00B71ECE" w14:paraId="02914E82" w14:textId="77777777" w:rsidTr="0066128A">
        <w:trPr>
          <w:trHeight w:val="20"/>
          <w:jc w:val="center"/>
        </w:trPr>
        <w:tc>
          <w:tcPr>
            <w:tcW w:w="1668" w:type="dxa"/>
            <w:vAlign w:val="center"/>
          </w:tcPr>
          <w:p w14:paraId="6C5CBFAA"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3</w:t>
            </w:r>
          </w:p>
        </w:tc>
        <w:tc>
          <w:tcPr>
            <w:tcW w:w="1560" w:type="dxa"/>
            <w:vAlign w:val="bottom"/>
          </w:tcPr>
          <w:p w14:paraId="3D31D35F"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71.33</w:t>
            </w:r>
          </w:p>
        </w:tc>
        <w:tc>
          <w:tcPr>
            <w:tcW w:w="1701" w:type="dxa"/>
            <w:vAlign w:val="bottom"/>
          </w:tcPr>
          <w:p w14:paraId="3B86ABAB"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91.28</w:t>
            </w:r>
          </w:p>
        </w:tc>
        <w:tc>
          <w:tcPr>
            <w:tcW w:w="1701" w:type="dxa"/>
            <w:vAlign w:val="bottom"/>
          </w:tcPr>
          <w:p w14:paraId="387495E4"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25.37</w:t>
            </w:r>
          </w:p>
        </w:tc>
        <w:tc>
          <w:tcPr>
            <w:tcW w:w="1701" w:type="dxa"/>
            <w:vAlign w:val="bottom"/>
          </w:tcPr>
          <w:p w14:paraId="6BA70C57"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167.82</w:t>
            </w:r>
          </w:p>
        </w:tc>
      </w:tr>
      <w:tr w:rsidR="009B7FA2" w:rsidRPr="00B71ECE" w14:paraId="5597E7AC" w14:textId="77777777" w:rsidTr="0066128A">
        <w:trPr>
          <w:trHeight w:val="20"/>
          <w:jc w:val="center"/>
        </w:trPr>
        <w:tc>
          <w:tcPr>
            <w:tcW w:w="1668" w:type="dxa"/>
            <w:vAlign w:val="center"/>
          </w:tcPr>
          <w:p w14:paraId="1B7D9018"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4</w:t>
            </w:r>
          </w:p>
        </w:tc>
        <w:tc>
          <w:tcPr>
            <w:tcW w:w="1560" w:type="dxa"/>
            <w:vAlign w:val="bottom"/>
          </w:tcPr>
          <w:p w14:paraId="3B0DAB68"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77.33</w:t>
            </w:r>
          </w:p>
        </w:tc>
        <w:tc>
          <w:tcPr>
            <w:tcW w:w="1701" w:type="dxa"/>
            <w:vAlign w:val="bottom"/>
          </w:tcPr>
          <w:p w14:paraId="16759897"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65.05</w:t>
            </w:r>
          </w:p>
        </w:tc>
        <w:tc>
          <w:tcPr>
            <w:tcW w:w="1701" w:type="dxa"/>
            <w:vAlign w:val="bottom"/>
          </w:tcPr>
          <w:p w14:paraId="386B8A3C"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23.44</w:t>
            </w:r>
          </w:p>
        </w:tc>
        <w:tc>
          <w:tcPr>
            <w:tcW w:w="1701" w:type="dxa"/>
            <w:vAlign w:val="bottom"/>
          </w:tcPr>
          <w:p w14:paraId="10A2EE2D"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117.50</w:t>
            </w:r>
          </w:p>
        </w:tc>
      </w:tr>
      <w:tr w:rsidR="009B7FA2" w:rsidRPr="00B71ECE" w14:paraId="12799B8C" w14:textId="77777777" w:rsidTr="0066128A">
        <w:trPr>
          <w:trHeight w:val="20"/>
          <w:jc w:val="center"/>
        </w:trPr>
        <w:tc>
          <w:tcPr>
            <w:tcW w:w="1668" w:type="dxa"/>
            <w:vAlign w:val="center"/>
          </w:tcPr>
          <w:p w14:paraId="3F9F9B95"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5</w:t>
            </w:r>
          </w:p>
        </w:tc>
        <w:tc>
          <w:tcPr>
            <w:tcW w:w="1560" w:type="dxa"/>
            <w:vAlign w:val="bottom"/>
          </w:tcPr>
          <w:p w14:paraId="692084C2"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71.00</w:t>
            </w:r>
          </w:p>
        </w:tc>
        <w:tc>
          <w:tcPr>
            <w:tcW w:w="1701" w:type="dxa"/>
            <w:vAlign w:val="bottom"/>
          </w:tcPr>
          <w:p w14:paraId="1F91FA51"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96.06</w:t>
            </w:r>
          </w:p>
        </w:tc>
        <w:tc>
          <w:tcPr>
            <w:tcW w:w="1701" w:type="dxa"/>
            <w:vAlign w:val="bottom"/>
          </w:tcPr>
          <w:p w14:paraId="3E3CC839"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26.77</w:t>
            </w:r>
          </w:p>
        </w:tc>
        <w:tc>
          <w:tcPr>
            <w:tcW w:w="1701" w:type="dxa"/>
            <w:vAlign w:val="bottom"/>
          </w:tcPr>
          <w:p w14:paraId="3CDA0188"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179.28</w:t>
            </w:r>
          </w:p>
        </w:tc>
      </w:tr>
      <w:tr w:rsidR="009B7FA2" w:rsidRPr="00B71ECE" w14:paraId="39B21D32" w14:textId="77777777" w:rsidTr="0066128A">
        <w:trPr>
          <w:trHeight w:val="20"/>
          <w:jc w:val="center"/>
        </w:trPr>
        <w:tc>
          <w:tcPr>
            <w:tcW w:w="1668" w:type="dxa"/>
            <w:vAlign w:val="center"/>
          </w:tcPr>
          <w:p w14:paraId="5E50F4DE"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6</w:t>
            </w:r>
          </w:p>
        </w:tc>
        <w:tc>
          <w:tcPr>
            <w:tcW w:w="1560" w:type="dxa"/>
            <w:vAlign w:val="bottom"/>
          </w:tcPr>
          <w:p w14:paraId="62CECC87"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76.33</w:t>
            </w:r>
          </w:p>
        </w:tc>
        <w:tc>
          <w:tcPr>
            <w:tcW w:w="1701" w:type="dxa"/>
            <w:vAlign w:val="bottom"/>
          </w:tcPr>
          <w:p w14:paraId="328935C1"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85.64</w:t>
            </w:r>
          </w:p>
        </w:tc>
        <w:tc>
          <w:tcPr>
            <w:tcW w:w="1701" w:type="dxa"/>
            <w:vAlign w:val="bottom"/>
          </w:tcPr>
          <w:p w14:paraId="54DFF75E"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24.47</w:t>
            </w:r>
          </w:p>
        </w:tc>
        <w:tc>
          <w:tcPr>
            <w:tcW w:w="1701" w:type="dxa"/>
            <w:vAlign w:val="bottom"/>
          </w:tcPr>
          <w:p w14:paraId="2F21AB37"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138.92</w:t>
            </w:r>
          </w:p>
        </w:tc>
      </w:tr>
      <w:tr w:rsidR="009B7FA2" w:rsidRPr="00B71ECE" w14:paraId="683B9733" w14:textId="77777777" w:rsidTr="0066128A">
        <w:trPr>
          <w:trHeight w:val="20"/>
          <w:jc w:val="center"/>
        </w:trPr>
        <w:tc>
          <w:tcPr>
            <w:tcW w:w="1668" w:type="dxa"/>
            <w:vAlign w:val="center"/>
          </w:tcPr>
          <w:p w14:paraId="0116D432"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7</w:t>
            </w:r>
          </w:p>
        </w:tc>
        <w:tc>
          <w:tcPr>
            <w:tcW w:w="1560" w:type="dxa"/>
            <w:vAlign w:val="bottom"/>
          </w:tcPr>
          <w:p w14:paraId="63D72B26"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74.67</w:t>
            </w:r>
          </w:p>
        </w:tc>
        <w:tc>
          <w:tcPr>
            <w:tcW w:w="1701" w:type="dxa"/>
            <w:vAlign w:val="bottom"/>
          </w:tcPr>
          <w:p w14:paraId="509F385B"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75.65</w:t>
            </w:r>
          </w:p>
        </w:tc>
        <w:tc>
          <w:tcPr>
            <w:tcW w:w="1701" w:type="dxa"/>
            <w:vAlign w:val="bottom"/>
          </w:tcPr>
          <w:p w14:paraId="0741E16A"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24.00</w:t>
            </w:r>
          </w:p>
        </w:tc>
        <w:tc>
          <w:tcPr>
            <w:tcW w:w="1701" w:type="dxa"/>
            <w:vAlign w:val="bottom"/>
          </w:tcPr>
          <w:p w14:paraId="057157A2"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123.46</w:t>
            </w:r>
          </w:p>
        </w:tc>
      </w:tr>
      <w:tr w:rsidR="009B7FA2" w:rsidRPr="00B71ECE" w14:paraId="3AEA0B34" w14:textId="77777777" w:rsidTr="0066128A">
        <w:trPr>
          <w:trHeight w:val="20"/>
          <w:jc w:val="center"/>
        </w:trPr>
        <w:tc>
          <w:tcPr>
            <w:tcW w:w="1668" w:type="dxa"/>
            <w:vAlign w:val="center"/>
          </w:tcPr>
          <w:p w14:paraId="512465F4"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8</w:t>
            </w:r>
            <w:r w:rsidRPr="00B71ECE">
              <w:rPr>
                <w:rFonts w:ascii="Times New Roman" w:hAnsi="Times New Roman" w:cs="Times New Roman"/>
                <w:color w:val="000000" w:themeColor="text1"/>
                <w:sz w:val="24"/>
                <w:szCs w:val="24"/>
              </w:rPr>
              <w:t xml:space="preserve"> </w:t>
            </w:r>
          </w:p>
        </w:tc>
        <w:tc>
          <w:tcPr>
            <w:tcW w:w="1560" w:type="dxa"/>
            <w:vAlign w:val="bottom"/>
          </w:tcPr>
          <w:p w14:paraId="7C682717"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76.33</w:t>
            </w:r>
          </w:p>
        </w:tc>
        <w:tc>
          <w:tcPr>
            <w:tcW w:w="1701" w:type="dxa"/>
            <w:vAlign w:val="bottom"/>
          </w:tcPr>
          <w:p w14:paraId="42B09B4F"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81.19</w:t>
            </w:r>
          </w:p>
        </w:tc>
        <w:tc>
          <w:tcPr>
            <w:tcW w:w="1701" w:type="dxa"/>
            <w:vAlign w:val="bottom"/>
          </w:tcPr>
          <w:p w14:paraId="0C430C94"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24.13</w:t>
            </w:r>
          </w:p>
        </w:tc>
        <w:tc>
          <w:tcPr>
            <w:tcW w:w="1701" w:type="dxa"/>
            <w:vAlign w:val="bottom"/>
          </w:tcPr>
          <w:p w14:paraId="03464C4E"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130.41</w:t>
            </w:r>
          </w:p>
        </w:tc>
      </w:tr>
      <w:tr w:rsidR="009B7FA2" w:rsidRPr="00B71ECE" w14:paraId="3ACA6165" w14:textId="77777777" w:rsidTr="0066128A">
        <w:trPr>
          <w:trHeight w:val="20"/>
          <w:jc w:val="center"/>
        </w:trPr>
        <w:tc>
          <w:tcPr>
            <w:tcW w:w="1668" w:type="dxa"/>
            <w:vAlign w:val="center"/>
          </w:tcPr>
          <w:p w14:paraId="3FBC8C94"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9</w:t>
            </w:r>
          </w:p>
        </w:tc>
        <w:tc>
          <w:tcPr>
            <w:tcW w:w="1560" w:type="dxa"/>
            <w:vAlign w:val="bottom"/>
          </w:tcPr>
          <w:p w14:paraId="3F69ED92"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76.67</w:t>
            </w:r>
          </w:p>
        </w:tc>
        <w:tc>
          <w:tcPr>
            <w:tcW w:w="1701" w:type="dxa"/>
            <w:vAlign w:val="bottom"/>
          </w:tcPr>
          <w:p w14:paraId="5DCBD1C7"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74.17</w:t>
            </w:r>
          </w:p>
        </w:tc>
        <w:tc>
          <w:tcPr>
            <w:tcW w:w="1701" w:type="dxa"/>
            <w:vAlign w:val="bottom"/>
          </w:tcPr>
          <w:p w14:paraId="6F3BB407"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23.72</w:t>
            </w:r>
          </w:p>
        </w:tc>
        <w:tc>
          <w:tcPr>
            <w:tcW w:w="1701" w:type="dxa"/>
            <w:vAlign w:val="bottom"/>
          </w:tcPr>
          <w:p w14:paraId="60767098"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122.93</w:t>
            </w:r>
          </w:p>
        </w:tc>
      </w:tr>
      <w:tr w:rsidR="009B7FA2" w:rsidRPr="00B71ECE" w14:paraId="4B21B289" w14:textId="77777777" w:rsidTr="0066128A">
        <w:trPr>
          <w:trHeight w:val="20"/>
          <w:jc w:val="center"/>
        </w:trPr>
        <w:tc>
          <w:tcPr>
            <w:tcW w:w="1668" w:type="dxa"/>
            <w:vAlign w:val="center"/>
          </w:tcPr>
          <w:p w14:paraId="010721EF"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10</w:t>
            </w:r>
            <w:r w:rsidRPr="00B71ECE">
              <w:rPr>
                <w:rFonts w:ascii="Times New Roman" w:hAnsi="Times New Roman" w:cs="Times New Roman"/>
                <w:color w:val="000000" w:themeColor="text1"/>
                <w:sz w:val="24"/>
                <w:szCs w:val="24"/>
              </w:rPr>
              <w:t xml:space="preserve"> </w:t>
            </w:r>
          </w:p>
        </w:tc>
        <w:tc>
          <w:tcPr>
            <w:tcW w:w="1560" w:type="dxa"/>
            <w:vAlign w:val="bottom"/>
          </w:tcPr>
          <w:p w14:paraId="09AD70D2"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76.00</w:t>
            </w:r>
          </w:p>
        </w:tc>
        <w:tc>
          <w:tcPr>
            <w:tcW w:w="1701" w:type="dxa"/>
            <w:vAlign w:val="bottom"/>
          </w:tcPr>
          <w:p w14:paraId="5DCDD519"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76.08</w:t>
            </w:r>
          </w:p>
        </w:tc>
        <w:tc>
          <w:tcPr>
            <w:tcW w:w="1701" w:type="dxa"/>
            <w:vAlign w:val="bottom"/>
          </w:tcPr>
          <w:p w14:paraId="3C74F6E3"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24.02</w:t>
            </w:r>
          </w:p>
        </w:tc>
        <w:tc>
          <w:tcPr>
            <w:tcW w:w="1701" w:type="dxa"/>
            <w:vAlign w:val="bottom"/>
          </w:tcPr>
          <w:p w14:paraId="6E3039AE"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129.84</w:t>
            </w:r>
          </w:p>
        </w:tc>
      </w:tr>
      <w:tr w:rsidR="009B7FA2" w:rsidRPr="00B71ECE" w14:paraId="70C2D066" w14:textId="77777777" w:rsidTr="0066128A">
        <w:trPr>
          <w:trHeight w:val="20"/>
          <w:jc w:val="center"/>
        </w:trPr>
        <w:tc>
          <w:tcPr>
            <w:tcW w:w="1668" w:type="dxa"/>
            <w:vAlign w:val="center"/>
          </w:tcPr>
          <w:p w14:paraId="66CB0204"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11</w:t>
            </w:r>
          </w:p>
        </w:tc>
        <w:tc>
          <w:tcPr>
            <w:tcW w:w="1560" w:type="dxa"/>
            <w:vAlign w:val="bottom"/>
          </w:tcPr>
          <w:p w14:paraId="151941E6"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73.33</w:t>
            </w:r>
          </w:p>
        </w:tc>
        <w:tc>
          <w:tcPr>
            <w:tcW w:w="1701" w:type="dxa"/>
            <w:shd w:val="clear" w:color="auto" w:fill="auto"/>
            <w:vAlign w:val="bottom"/>
          </w:tcPr>
          <w:p w14:paraId="0501E45B"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96.97</w:t>
            </w:r>
          </w:p>
        </w:tc>
        <w:tc>
          <w:tcPr>
            <w:tcW w:w="1701" w:type="dxa"/>
            <w:vAlign w:val="bottom"/>
          </w:tcPr>
          <w:p w14:paraId="34A23BB2"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28.24</w:t>
            </w:r>
          </w:p>
        </w:tc>
        <w:tc>
          <w:tcPr>
            <w:tcW w:w="1701" w:type="dxa"/>
            <w:vAlign w:val="bottom"/>
          </w:tcPr>
          <w:p w14:paraId="4ED8DDD3"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179.89</w:t>
            </w:r>
          </w:p>
        </w:tc>
      </w:tr>
      <w:tr w:rsidR="009B7FA2" w:rsidRPr="00B71ECE" w14:paraId="1192D3DD" w14:textId="77777777" w:rsidTr="0066128A">
        <w:trPr>
          <w:trHeight w:val="20"/>
          <w:jc w:val="center"/>
        </w:trPr>
        <w:tc>
          <w:tcPr>
            <w:tcW w:w="1668" w:type="dxa"/>
            <w:vAlign w:val="center"/>
          </w:tcPr>
          <w:p w14:paraId="7CC1D6B5" w14:textId="77777777" w:rsidR="009B7FA2" w:rsidRPr="00B71ECE" w:rsidRDefault="009B7FA2" w:rsidP="00C829DF">
            <w:pPr>
              <w:tabs>
                <w:tab w:val="left" w:pos="142"/>
              </w:tabs>
              <w:rPr>
                <w:rFonts w:ascii="Times New Roman" w:eastAsia="Times New Roman" w:hAnsi="Times New Roman" w:cs="Times New Roman"/>
                <w:b/>
                <w:color w:val="000000" w:themeColor="text1"/>
                <w:sz w:val="24"/>
                <w:szCs w:val="24"/>
              </w:rPr>
            </w:pPr>
            <w:r w:rsidRPr="00B71ECE">
              <w:rPr>
                <w:rFonts w:ascii="Times New Roman" w:hAnsi="Times New Roman" w:cs="Times New Roman"/>
                <w:color w:val="000000" w:themeColor="text1"/>
                <w:sz w:val="24"/>
                <w:szCs w:val="24"/>
              </w:rPr>
              <w:t>T</w:t>
            </w:r>
            <w:r w:rsidRPr="00B71ECE">
              <w:rPr>
                <w:rFonts w:ascii="Times New Roman" w:hAnsi="Times New Roman" w:cs="Times New Roman"/>
                <w:color w:val="000000" w:themeColor="text1"/>
                <w:sz w:val="24"/>
                <w:szCs w:val="24"/>
                <w:vertAlign w:val="subscript"/>
              </w:rPr>
              <w:t>12</w:t>
            </w:r>
          </w:p>
        </w:tc>
        <w:tc>
          <w:tcPr>
            <w:tcW w:w="1560" w:type="dxa"/>
            <w:vAlign w:val="bottom"/>
          </w:tcPr>
          <w:p w14:paraId="3356CF1F"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77.33</w:t>
            </w:r>
          </w:p>
        </w:tc>
        <w:tc>
          <w:tcPr>
            <w:tcW w:w="1701" w:type="dxa"/>
            <w:vAlign w:val="bottom"/>
          </w:tcPr>
          <w:p w14:paraId="2454AB5C"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57.65</w:t>
            </w:r>
          </w:p>
        </w:tc>
        <w:tc>
          <w:tcPr>
            <w:tcW w:w="1701" w:type="dxa"/>
            <w:vAlign w:val="bottom"/>
          </w:tcPr>
          <w:p w14:paraId="5F3EACC1"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22.78</w:t>
            </w:r>
          </w:p>
        </w:tc>
        <w:tc>
          <w:tcPr>
            <w:tcW w:w="1701" w:type="dxa"/>
            <w:vAlign w:val="bottom"/>
          </w:tcPr>
          <w:p w14:paraId="02765B22"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114.27</w:t>
            </w:r>
          </w:p>
        </w:tc>
      </w:tr>
      <w:tr w:rsidR="009B7FA2" w:rsidRPr="00B71ECE" w14:paraId="11731EDE" w14:textId="77777777" w:rsidTr="0066128A">
        <w:trPr>
          <w:trHeight w:val="20"/>
          <w:jc w:val="center"/>
        </w:trPr>
        <w:tc>
          <w:tcPr>
            <w:tcW w:w="1668" w:type="dxa"/>
            <w:vAlign w:val="center"/>
          </w:tcPr>
          <w:p w14:paraId="48D674B8" w14:textId="77777777" w:rsidR="009B7FA2" w:rsidRPr="00B71ECE" w:rsidRDefault="009B7FA2" w:rsidP="00C829DF">
            <w:pPr>
              <w:tabs>
                <w:tab w:val="left" w:pos="142"/>
              </w:tabs>
              <w:rPr>
                <w:rFonts w:ascii="Times New Roman" w:eastAsia="Times New Roman" w:hAnsi="Times New Roman" w:cs="Times New Roman"/>
                <w:color w:val="000000" w:themeColor="text1"/>
                <w:sz w:val="24"/>
                <w:szCs w:val="24"/>
              </w:rPr>
            </w:pPr>
            <w:proofErr w:type="spellStart"/>
            <w:r w:rsidRPr="00B71ECE">
              <w:rPr>
                <w:rFonts w:ascii="Times New Roman" w:hAnsi="Times New Roman" w:cs="Times New Roman"/>
                <w:color w:val="000000" w:themeColor="text1"/>
                <w:sz w:val="24"/>
                <w:szCs w:val="24"/>
              </w:rPr>
              <w:t>SEm</w:t>
            </w:r>
            <w:proofErr w:type="spellEnd"/>
            <w:r w:rsidRPr="00B71ECE">
              <w:rPr>
                <w:rFonts w:ascii="Times New Roman" w:hAnsi="Times New Roman" w:cs="Times New Roman"/>
                <w:color w:val="000000" w:themeColor="text1"/>
                <w:sz w:val="24"/>
                <w:szCs w:val="24"/>
                <w:u w:val="single"/>
              </w:rPr>
              <w:t>+</w:t>
            </w:r>
          </w:p>
        </w:tc>
        <w:tc>
          <w:tcPr>
            <w:tcW w:w="1560" w:type="dxa"/>
            <w:vAlign w:val="bottom"/>
          </w:tcPr>
          <w:p w14:paraId="6648807F"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1.95</w:t>
            </w:r>
          </w:p>
        </w:tc>
        <w:tc>
          <w:tcPr>
            <w:tcW w:w="1701" w:type="dxa"/>
            <w:vAlign w:val="bottom"/>
          </w:tcPr>
          <w:p w14:paraId="0676772F"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2.19</w:t>
            </w:r>
          </w:p>
        </w:tc>
        <w:tc>
          <w:tcPr>
            <w:tcW w:w="1701" w:type="dxa"/>
            <w:vAlign w:val="bottom"/>
          </w:tcPr>
          <w:p w14:paraId="09C700E6"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0.70</w:t>
            </w:r>
          </w:p>
        </w:tc>
        <w:tc>
          <w:tcPr>
            <w:tcW w:w="1701" w:type="dxa"/>
            <w:vAlign w:val="bottom"/>
          </w:tcPr>
          <w:p w14:paraId="327A1B39"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3.95</w:t>
            </w:r>
          </w:p>
        </w:tc>
      </w:tr>
      <w:tr w:rsidR="009B7FA2" w:rsidRPr="00B71ECE" w14:paraId="1F51A671" w14:textId="77777777" w:rsidTr="0066128A">
        <w:trPr>
          <w:trHeight w:val="156"/>
          <w:jc w:val="center"/>
        </w:trPr>
        <w:tc>
          <w:tcPr>
            <w:tcW w:w="1668" w:type="dxa"/>
            <w:vAlign w:val="center"/>
          </w:tcPr>
          <w:p w14:paraId="0873F73B" w14:textId="77777777" w:rsidR="009B7FA2" w:rsidRPr="00B71ECE" w:rsidRDefault="009B7FA2" w:rsidP="00C829DF">
            <w:pPr>
              <w:tabs>
                <w:tab w:val="left" w:pos="142"/>
              </w:tabs>
              <w:rPr>
                <w:rFonts w:ascii="Times New Roman" w:eastAsia="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CD (P=0.05)</w:t>
            </w:r>
          </w:p>
        </w:tc>
        <w:tc>
          <w:tcPr>
            <w:tcW w:w="1560" w:type="dxa"/>
            <w:vAlign w:val="bottom"/>
          </w:tcPr>
          <w:p w14:paraId="63E037F9"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NS</w:t>
            </w:r>
          </w:p>
        </w:tc>
        <w:tc>
          <w:tcPr>
            <w:tcW w:w="1701" w:type="dxa"/>
            <w:vAlign w:val="bottom"/>
          </w:tcPr>
          <w:p w14:paraId="2BD0255F"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6.41</w:t>
            </w:r>
          </w:p>
        </w:tc>
        <w:tc>
          <w:tcPr>
            <w:tcW w:w="1701" w:type="dxa"/>
            <w:vAlign w:val="bottom"/>
          </w:tcPr>
          <w:p w14:paraId="6B368626"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2.06</w:t>
            </w:r>
          </w:p>
        </w:tc>
        <w:tc>
          <w:tcPr>
            <w:tcW w:w="1701" w:type="dxa"/>
            <w:vAlign w:val="bottom"/>
          </w:tcPr>
          <w:p w14:paraId="25C55B70" w14:textId="77777777" w:rsidR="009B7FA2" w:rsidRPr="00B71ECE" w:rsidRDefault="009B7FA2" w:rsidP="00C829DF">
            <w:pPr>
              <w:tabs>
                <w:tab w:val="left" w:pos="142"/>
              </w:tabs>
              <w:jc w:val="center"/>
              <w:rPr>
                <w:rFonts w:ascii="Times New Roman" w:hAnsi="Times New Roman" w:cs="Times New Roman"/>
                <w:color w:val="000000" w:themeColor="text1"/>
                <w:sz w:val="24"/>
                <w:szCs w:val="24"/>
              </w:rPr>
            </w:pPr>
            <w:r w:rsidRPr="00B71ECE">
              <w:rPr>
                <w:rFonts w:ascii="Times New Roman" w:hAnsi="Times New Roman" w:cs="Times New Roman"/>
                <w:color w:val="000000" w:themeColor="text1"/>
                <w:sz w:val="24"/>
                <w:szCs w:val="24"/>
              </w:rPr>
              <w:t>11.59</w:t>
            </w:r>
          </w:p>
        </w:tc>
      </w:tr>
    </w:tbl>
    <w:p w14:paraId="1A6AECDC"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130D630E"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039DCD3B" w14:textId="77777777" w:rsidR="00D9149E" w:rsidRPr="00B71ECE" w:rsidRDefault="000E6797" w:rsidP="00C829DF">
      <w:pPr>
        <w:tabs>
          <w:tab w:val="left" w:pos="142"/>
        </w:tabs>
        <w:autoSpaceDE w:val="0"/>
        <w:autoSpaceDN w:val="0"/>
        <w:adjustRightInd w:val="0"/>
        <w:spacing w:after="0" w:line="240" w:lineRule="auto"/>
        <w:jc w:val="center"/>
        <w:rPr>
          <w:rFonts w:ascii="Times New Roman" w:hAnsi="Times New Roman" w:cs="Times New Roman"/>
          <w:b/>
          <w:bCs/>
          <w:sz w:val="24"/>
          <w:szCs w:val="24"/>
        </w:rPr>
      </w:pPr>
      <w:r w:rsidRPr="00B71ECE">
        <w:rPr>
          <w:rFonts w:ascii="Times New Roman" w:hAnsi="Times New Roman" w:cs="Times New Roman"/>
          <w:b/>
          <w:bCs/>
          <w:noProof/>
          <w:sz w:val="24"/>
          <w:szCs w:val="24"/>
        </w:rPr>
        <w:drawing>
          <wp:inline distT="0" distB="0" distL="0" distR="0" wp14:anchorId="350C201A" wp14:editId="2D38674E">
            <wp:extent cx="5115465" cy="3140015"/>
            <wp:effectExtent l="0" t="0" r="0" b="3810"/>
            <wp:docPr id="1577068904" name="Chart 1">
              <a:extLst xmlns:a="http://schemas.openxmlformats.org/drawingml/2006/main">
                <a:ext uri="{FF2B5EF4-FFF2-40B4-BE49-F238E27FC236}">
                  <a16:creationId xmlns:a16="http://schemas.microsoft.com/office/drawing/2014/main" id="{8FD26BD3-5C39-A8B0-9762-DD69387972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D70C4D" w14:textId="77777777" w:rsidR="00440AFD" w:rsidRPr="00572E88" w:rsidRDefault="00440AFD" w:rsidP="00440AFD">
      <w:pPr>
        <w:tabs>
          <w:tab w:val="left" w:pos="142"/>
        </w:tabs>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Fig. 1:</w:t>
      </w:r>
      <w:r w:rsidRPr="00572E88">
        <w:rPr>
          <w:rFonts w:ascii="Times New Roman" w:hAnsi="Times New Roman" w:cs="Times New Roman"/>
          <w:b/>
          <w:bCs/>
          <w:color w:val="000000" w:themeColor="text1"/>
          <w:sz w:val="24"/>
          <w:szCs w:val="24"/>
        </w:rPr>
        <w:t xml:space="preserve"> </w:t>
      </w:r>
      <w:r w:rsidRPr="00572E88">
        <w:rPr>
          <w:rFonts w:ascii="Times New Roman" w:hAnsi="Times New Roman" w:cs="Times New Roman"/>
          <w:b/>
          <w:color w:val="000000" w:themeColor="text1"/>
          <w:sz w:val="24"/>
          <w:szCs w:val="24"/>
        </w:rPr>
        <w:t>Effect of weed management on net return (₹ ha</w:t>
      </w:r>
      <w:r w:rsidRPr="00572E88">
        <w:rPr>
          <w:rFonts w:ascii="Times New Roman" w:hAnsi="Times New Roman" w:cs="Times New Roman"/>
          <w:b/>
          <w:color w:val="000000" w:themeColor="text1"/>
          <w:sz w:val="24"/>
          <w:szCs w:val="24"/>
          <w:vertAlign w:val="superscript"/>
        </w:rPr>
        <w:t>-1</w:t>
      </w:r>
      <w:r w:rsidRPr="00572E88">
        <w:rPr>
          <w:rFonts w:ascii="Times New Roman" w:hAnsi="Times New Roman" w:cs="Times New Roman"/>
          <w:b/>
          <w:color w:val="000000" w:themeColor="text1"/>
          <w:sz w:val="24"/>
          <w:szCs w:val="24"/>
        </w:rPr>
        <w:t>)</w:t>
      </w:r>
      <w:r w:rsidR="0066128A">
        <w:rPr>
          <w:rFonts w:ascii="Times New Roman" w:hAnsi="Times New Roman" w:cs="Times New Roman"/>
          <w:b/>
          <w:color w:val="000000" w:themeColor="text1"/>
          <w:sz w:val="24"/>
          <w:szCs w:val="24"/>
        </w:rPr>
        <w:t xml:space="preserve"> of sorghum</w:t>
      </w:r>
    </w:p>
    <w:p w14:paraId="6FFFC4D4"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422EF792"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1EDC6DF0"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0972581F"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02AB5F21"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036D1B81"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0BC4E548"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1B9CB538"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65E0E728" w14:textId="77777777" w:rsidR="00D9149E" w:rsidRPr="00B71ECE" w:rsidRDefault="00DA1923" w:rsidP="00C829DF">
      <w:pPr>
        <w:tabs>
          <w:tab w:val="left" w:pos="142"/>
        </w:tabs>
        <w:autoSpaceDE w:val="0"/>
        <w:autoSpaceDN w:val="0"/>
        <w:adjustRightInd w:val="0"/>
        <w:spacing w:after="0" w:line="240" w:lineRule="auto"/>
        <w:jc w:val="center"/>
        <w:rPr>
          <w:rFonts w:ascii="Times New Roman" w:hAnsi="Times New Roman" w:cs="Times New Roman"/>
          <w:b/>
          <w:bCs/>
          <w:sz w:val="24"/>
          <w:szCs w:val="24"/>
        </w:rPr>
      </w:pPr>
      <w:r w:rsidRPr="00B71ECE">
        <w:rPr>
          <w:rFonts w:ascii="Times New Roman" w:hAnsi="Times New Roman" w:cs="Times New Roman"/>
          <w:b/>
          <w:bCs/>
          <w:noProof/>
          <w:sz w:val="24"/>
          <w:szCs w:val="24"/>
        </w:rPr>
        <w:lastRenderedPageBreak/>
        <w:drawing>
          <wp:inline distT="0" distB="0" distL="0" distR="0" wp14:anchorId="67DFD75A" wp14:editId="1155847F">
            <wp:extent cx="5244860" cy="2449901"/>
            <wp:effectExtent l="0" t="0" r="0" b="7620"/>
            <wp:docPr id="1282627488" name="Chart 1">
              <a:extLst xmlns:a="http://schemas.openxmlformats.org/drawingml/2006/main">
                <a:ext uri="{FF2B5EF4-FFF2-40B4-BE49-F238E27FC236}">
                  <a16:creationId xmlns:a16="http://schemas.microsoft.com/office/drawing/2014/main" id="{FE132E2D-4879-4CBD-12B0-B99D52058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10DD3A" w14:textId="77777777" w:rsidR="00440AFD" w:rsidRPr="00572E88" w:rsidRDefault="00440AFD" w:rsidP="00440AFD">
      <w:pPr>
        <w:tabs>
          <w:tab w:val="left" w:pos="142"/>
        </w:tabs>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Fig. 2:</w:t>
      </w:r>
      <w:r w:rsidRPr="00572E88">
        <w:rPr>
          <w:rFonts w:ascii="Times New Roman" w:hAnsi="Times New Roman" w:cs="Times New Roman"/>
          <w:b/>
          <w:bCs/>
          <w:color w:val="000000" w:themeColor="text1"/>
          <w:sz w:val="24"/>
          <w:szCs w:val="24"/>
        </w:rPr>
        <w:t xml:space="preserve"> </w:t>
      </w:r>
      <w:r w:rsidRPr="00572E88">
        <w:rPr>
          <w:rFonts w:ascii="Times New Roman" w:hAnsi="Times New Roman" w:cs="Times New Roman"/>
          <w:b/>
          <w:color w:val="000000" w:themeColor="text1"/>
          <w:sz w:val="24"/>
          <w:szCs w:val="24"/>
        </w:rPr>
        <w:t>Effect of weed management on B-C ratio</w:t>
      </w:r>
      <w:r w:rsidR="0066128A">
        <w:rPr>
          <w:rFonts w:ascii="Times New Roman" w:hAnsi="Times New Roman" w:cs="Times New Roman"/>
          <w:b/>
          <w:color w:val="000000" w:themeColor="text1"/>
          <w:sz w:val="24"/>
          <w:szCs w:val="24"/>
        </w:rPr>
        <w:t xml:space="preserve"> of sorghum</w:t>
      </w:r>
    </w:p>
    <w:p w14:paraId="22039891"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7F00C9BE"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5C48680C" w14:textId="77777777" w:rsidR="00D9149E" w:rsidRPr="00B71ECE" w:rsidRDefault="00D9149E" w:rsidP="006B2B42">
      <w:pPr>
        <w:tabs>
          <w:tab w:val="left" w:pos="142"/>
        </w:tabs>
        <w:autoSpaceDE w:val="0"/>
        <w:autoSpaceDN w:val="0"/>
        <w:adjustRightInd w:val="0"/>
        <w:spacing w:after="0" w:line="240" w:lineRule="auto"/>
        <w:rPr>
          <w:rFonts w:ascii="Times New Roman" w:hAnsi="Times New Roman" w:cs="Times New Roman"/>
          <w:b/>
          <w:bCs/>
          <w:sz w:val="24"/>
          <w:szCs w:val="24"/>
        </w:rPr>
      </w:pPr>
    </w:p>
    <w:p w14:paraId="60CC6F19" w14:textId="77777777" w:rsidR="00D9149E" w:rsidRPr="00B71ECE" w:rsidRDefault="00ED344A" w:rsidP="006B2B42">
      <w:pPr>
        <w:tabs>
          <w:tab w:val="left" w:pos="142"/>
        </w:tabs>
        <w:autoSpaceDE w:val="0"/>
        <w:autoSpaceDN w:val="0"/>
        <w:adjustRightInd w:val="0"/>
        <w:spacing w:after="0" w:line="240" w:lineRule="auto"/>
        <w:rPr>
          <w:rFonts w:ascii="Times New Roman" w:hAnsi="Times New Roman" w:cs="Times New Roman"/>
          <w:b/>
          <w:bCs/>
          <w:sz w:val="24"/>
          <w:szCs w:val="24"/>
        </w:rPr>
      </w:pPr>
      <w:r w:rsidRPr="00B71ECE">
        <w:rPr>
          <w:rFonts w:ascii="Times New Roman" w:hAnsi="Times New Roman" w:cs="Times New Roman"/>
          <w:b/>
          <w:bCs/>
          <w:sz w:val="24"/>
          <w:szCs w:val="24"/>
        </w:rPr>
        <w:t xml:space="preserve">CONCLUSION </w:t>
      </w:r>
    </w:p>
    <w:p w14:paraId="1DCEEAA6" w14:textId="77777777" w:rsidR="00DD3794" w:rsidRPr="00DD3794" w:rsidRDefault="00440AFD" w:rsidP="00DD3794">
      <w:pPr>
        <w:tabs>
          <w:tab w:val="left" w:pos="142"/>
        </w:tabs>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DD3794" w:rsidRPr="00DD3794">
        <w:rPr>
          <w:rFonts w:ascii="Times New Roman" w:hAnsi="Times New Roman" w:cs="Times New Roman"/>
          <w:sz w:val="24"/>
          <w:szCs w:val="24"/>
          <w:lang w:val="en-US"/>
        </w:rPr>
        <w:t>This study systematically assessed the efficacy of var</w:t>
      </w:r>
      <w:r w:rsidR="00907A72">
        <w:rPr>
          <w:rFonts w:ascii="Times New Roman" w:hAnsi="Times New Roman" w:cs="Times New Roman"/>
          <w:sz w:val="24"/>
          <w:szCs w:val="24"/>
          <w:lang w:val="en-US"/>
        </w:rPr>
        <w:t xml:space="preserve">ious weed management strategies like </w:t>
      </w:r>
      <w:r w:rsidR="00DD3794" w:rsidRPr="00DD3794">
        <w:rPr>
          <w:rFonts w:ascii="Times New Roman" w:hAnsi="Times New Roman" w:cs="Times New Roman"/>
          <w:sz w:val="24"/>
          <w:szCs w:val="24"/>
          <w:lang w:val="en-US"/>
        </w:rPr>
        <w:t>including pre-emergence (PE), post-emergence (PoE) herbicides, an</w:t>
      </w:r>
      <w:r w:rsidR="00907A72">
        <w:rPr>
          <w:rFonts w:ascii="Times New Roman" w:hAnsi="Times New Roman" w:cs="Times New Roman"/>
          <w:sz w:val="24"/>
          <w:szCs w:val="24"/>
          <w:lang w:val="en-US"/>
        </w:rPr>
        <w:t xml:space="preserve">d their sequential combinations </w:t>
      </w:r>
      <w:r w:rsidRPr="00DD3794">
        <w:rPr>
          <w:rFonts w:ascii="Times New Roman" w:hAnsi="Times New Roman" w:cs="Times New Roman"/>
          <w:sz w:val="24"/>
          <w:szCs w:val="24"/>
          <w:lang w:val="en-US"/>
        </w:rPr>
        <w:t xml:space="preserve">on </w:t>
      </w:r>
      <w:r>
        <w:rPr>
          <w:rFonts w:ascii="Times New Roman" w:hAnsi="Times New Roman" w:cs="Times New Roman"/>
          <w:sz w:val="24"/>
          <w:szCs w:val="24"/>
          <w:lang w:val="en-US"/>
        </w:rPr>
        <w:t>fodder</w:t>
      </w:r>
      <w:r w:rsidR="00907A72">
        <w:rPr>
          <w:rFonts w:ascii="Times New Roman" w:hAnsi="Times New Roman" w:cs="Times New Roman"/>
          <w:sz w:val="24"/>
          <w:szCs w:val="24"/>
          <w:lang w:val="en-US"/>
        </w:rPr>
        <w:t xml:space="preserve"> </w:t>
      </w:r>
      <w:r w:rsidR="00DD3794" w:rsidRPr="00DD3794">
        <w:rPr>
          <w:rFonts w:ascii="Times New Roman" w:hAnsi="Times New Roman" w:cs="Times New Roman"/>
          <w:sz w:val="24"/>
          <w:szCs w:val="24"/>
          <w:lang w:val="en-US"/>
        </w:rPr>
        <w:t>sorghum growth, physiological attributes, quality parameters, yield, and economic returns. The findings</w:t>
      </w:r>
      <w:r w:rsidR="00907A7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underpin </w:t>
      </w:r>
      <w:r w:rsidRPr="00DD3794">
        <w:rPr>
          <w:rFonts w:ascii="Times New Roman" w:hAnsi="Times New Roman" w:cs="Times New Roman"/>
          <w:sz w:val="24"/>
          <w:szCs w:val="24"/>
          <w:lang w:val="en-US"/>
        </w:rPr>
        <w:t>the</w:t>
      </w:r>
      <w:r w:rsidR="00DD3794" w:rsidRPr="00DD3794">
        <w:rPr>
          <w:rFonts w:ascii="Times New Roman" w:hAnsi="Times New Roman" w:cs="Times New Roman"/>
          <w:sz w:val="24"/>
          <w:szCs w:val="24"/>
          <w:lang w:val="en-US"/>
        </w:rPr>
        <w:t xml:space="preserve"> critical role of effective weed control in enhancing fodder productivity. Among all treatments, maintaining a weed-free condition through manual weeding produced the highest green (69.62 t ha⁻¹) and dry fodder yields (20.71 t ha⁻¹). However, the herbicide-based treatment involving sequential application of atrazine (PE + PoE) (T5) emerged as the most promising chemical option, closely matching the weed-free treatment in terms of green (66.49 t ha⁻¹) and dry fodder yield (14.84 t ha⁻¹), while also achieving the highest net return (₹103,271 ha⁻¹) and benefit-cost ratio (3.48).</w:t>
      </w:r>
      <w:r w:rsidR="00DD3794">
        <w:rPr>
          <w:rFonts w:ascii="Times New Roman" w:hAnsi="Times New Roman" w:cs="Times New Roman"/>
          <w:sz w:val="24"/>
          <w:szCs w:val="24"/>
          <w:lang w:val="en-US"/>
        </w:rPr>
        <w:t xml:space="preserve"> </w:t>
      </w:r>
      <w:r w:rsidR="00DD3794" w:rsidRPr="00DD3794">
        <w:rPr>
          <w:rFonts w:ascii="Times New Roman" w:hAnsi="Times New Roman" w:cs="Times New Roman"/>
          <w:sz w:val="24"/>
          <w:szCs w:val="24"/>
          <w:lang w:val="en-US"/>
        </w:rPr>
        <w:t xml:space="preserve">These results highlight T5 as an </w:t>
      </w:r>
      <w:r w:rsidRPr="00DD3794">
        <w:rPr>
          <w:rFonts w:ascii="Times New Roman" w:hAnsi="Times New Roman" w:cs="Times New Roman"/>
          <w:sz w:val="24"/>
          <w:szCs w:val="24"/>
          <w:lang w:val="en-US"/>
        </w:rPr>
        <w:t>agronomical</w:t>
      </w:r>
      <w:r w:rsidR="00DD3794" w:rsidRPr="00DD3794">
        <w:rPr>
          <w:rFonts w:ascii="Times New Roman" w:hAnsi="Times New Roman" w:cs="Times New Roman"/>
          <w:sz w:val="24"/>
          <w:szCs w:val="24"/>
          <w:lang w:val="en-US"/>
        </w:rPr>
        <w:t xml:space="preserve"> and economically viable herbicidal strategy for effective weed management in sorghum. Nonetheless, since the conclusions are derived from a single-season trial, further multi-location and multi-year studies are essential to substantiate these findings and support broader recommendations for sustainable sorghum cultivation.</w:t>
      </w:r>
    </w:p>
    <w:p w14:paraId="260CB09B" w14:textId="77777777" w:rsidR="00913577" w:rsidRPr="00913577" w:rsidRDefault="00913577" w:rsidP="00DD3794">
      <w:pPr>
        <w:tabs>
          <w:tab w:val="left" w:pos="142"/>
        </w:tabs>
        <w:autoSpaceDE w:val="0"/>
        <w:autoSpaceDN w:val="0"/>
        <w:adjustRightInd w:val="0"/>
        <w:spacing w:after="0" w:line="360" w:lineRule="auto"/>
        <w:jc w:val="both"/>
        <w:rPr>
          <w:rFonts w:ascii="Times New Roman" w:hAnsi="Times New Roman" w:cs="Times New Roman"/>
          <w:sz w:val="24"/>
          <w:szCs w:val="24"/>
        </w:rPr>
      </w:pPr>
    </w:p>
    <w:p w14:paraId="3F1D0149" w14:textId="77777777" w:rsidR="007A5D7C" w:rsidRDefault="007A5D7C" w:rsidP="006B2B42">
      <w:pPr>
        <w:tabs>
          <w:tab w:val="left" w:pos="142"/>
        </w:tabs>
        <w:spacing w:line="360" w:lineRule="auto"/>
        <w:jc w:val="both"/>
        <w:rPr>
          <w:rFonts w:ascii="Times New Roman" w:hAnsi="Times New Roman" w:cs="Times New Roman"/>
          <w:sz w:val="24"/>
          <w:szCs w:val="24"/>
        </w:rPr>
      </w:pPr>
    </w:p>
    <w:p w14:paraId="4C23EC3E" w14:textId="77777777" w:rsidR="00A014F8" w:rsidRPr="00B71ECE" w:rsidRDefault="00A014F8" w:rsidP="006B2B42">
      <w:pPr>
        <w:tabs>
          <w:tab w:val="left" w:pos="142"/>
        </w:tabs>
        <w:spacing w:line="360" w:lineRule="auto"/>
        <w:jc w:val="both"/>
        <w:rPr>
          <w:rFonts w:ascii="Times New Roman" w:hAnsi="Times New Roman" w:cs="Times New Roman"/>
          <w:sz w:val="24"/>
          <w:szCs w:val="24"/>
        </w:rPr>
      </w:pPr>
    </w:p>
    <w:p w14:paraId="56C712FA" w14:textId="77777777" w:rsidR="00440AFD" w:rsidRDefault="007A5D7C" w:rsidP="00440AFD">
      <w:pPr>
        <w:tabs>
          <w:tab w:val="left" w:pos="142"/>
        </w:tabs>
        <w:spacing w:line="360" w:lineRule="auto"/>
        <w:jc w:val="both"/>
        <w:rPr>
          <w:rFonts w:ascii="Times New Roman" w:hAnsi="Times New Roman"/>
          <w:sz w:val="24"/>
          <w:szCs w:val="24"/>
        </w:rPr>
      </w:pPr>
      <w:r w:rsidRPr="00B7035F">
        <w:rPr>
          <w:rFonts w:ascii="Times New Roman" w:hAnsi="Times New Roman" w:cs="Times New Roman"/>
          <w:b/>
          <w:sz w:val="24"/>
          <w:szCs w:val="24"/>
        </w:rPr>
        <w:lastRenderedPageBreak/>
        <w:t xml:space="preserve">References </w:t>
      </w:r>
    </w:p>
    <w:p w14:paraId="2E2FE946" w14:textId="77777777" w:rsidR="00440AFD" w:rsidRPr="00B7035F" w:rsidRDefault="00440AFD" w:rsidP="00440AFD">
      <w:pPr>
        <w:tabs>
          <w:tab w:val="left" w:pos="142"/>
        </w:tabs>
        <w:spacing w:before="240" w:after="0" w:line="360" w:lineRule="auto"/>
        <w:ind w:left="567" w:hanging="567"/>
        <w:jc w:val="both"/>
        <w:rPr>
          <w:rFonts w:ascii="Times New Roman" w:hAnsi="Times New Roman"/>
          <w:sz w:val="24"/>
          <w:szCs w:val="24"/>
        </w:rPr>
      </w:pPr>
      <w:r w:rsidRPr="00B71ECE">
        <w:rPr>
          <w:rFonts w:ascii="Times New Roman" w:hAnsi="Times New Roman" w:cs="Times New Roman"/>
          <w:sz w:val="24"/>
          <w:szCs w:val="24"/>
          <w:shd w:val="clear" w:color="auto" w:fill="FFFFFF"/>
        </w:rPr>
        <w:t>AL-</w:t>
      </w:r>
      <w:proofErr w:type="spellStart"/>
      <w:r w:rsidRPr="00B71ECE">
        <w:rPr>
          <w:rFonts w:ascii="Times New Roman" w:hAnsi="Times New Roman" w:cs="Times New Roman"/>
          <w:sz w:val="24"/>
          <w:szCs w:val="24"/>
          <w:shd w:val="clear" w:color="auto" w:fill="FFFFFF"/>
        </w:rPr>
        <w:t>Dulaimi</w:t>
      </w:r>
      <w:proofErr w:type="spellEnd"/>
      <w:r w:rsidRPr="00B71ECE">
        <w:rPr>
          <w:rFonts w:ascii="Times New Roman" w:hAnsi="Times New Roman" w:cs="Times New Roman"/>
          <w:sz w:val="24"/>
          <w:szCs w:val="24"/>
          <w:shd w:val="clear" w:color="auto" w:fill="FFFFFF"/>
        </w:rPr>
        <w:t>, N.M.A. (2012</w:t>
      </w:r>
      <w:proofErr w:type="gramStart"/>
      <w:r w:rsidRPr="00B71ECE">
        <w:rPr>
          <w:rFonts w:ascii="Times New Roman" w:hAnsi="Times New Roman" w:cs="Times New Roman"/>
          <w:sz w:val="24"/>
          <w:szCs w:val="24"/>
          <w:shd w:val="clear" w:color="auto" w:fill="FFFFFF"/>
        </w:rPr>
        <w:t>).</w:t>
      </w:r>
      <w:r w:rsidRPr="00B71ECE">
        <w:rPr>
          <w:rFonts w:ascii="Times New Roman" w:hAnsi="Times New Roman" w:cs="Times New Roman"/>
          <w:bCs/>
          <w:sz w:val="24"/>
          <w:szCs w:val="24"/>
        </w:rPr>
        <w:t>The</w:t>
      </w:r>
      <w:proofErr w:type="gramEnd"/>
      <w:r w:rsidRPr="00B71ECE">
        <w:rPr>
          <w:rFonts w:ascii="Times New Roman" w:hAnsi="Times New Roman" w:cs="Times New Roman"/>
          <w:bCs/>
          <w:sz w:val="24"/>
          <w:szCs w:val="24"/>
        </w:rPr>
        <w:t xml:space="preserve"> effect of seed soaking </w:t>
      </w:r>
      <w:r w:rsidRPr="00B71ECE">
        <w:rPr>
          <w:rFonts w:ascii="Times New Roman" w:hAnsi="Times New Roman" w:cs="Times New Roman"/>
          <w:sz w:val="24"/>
          <w:szCs w:val="24"/>
          <w:shd w:val="clear" w:color="auto" w:fill="FFFFFF"/>
        </w:rPr>
        <w:t>with pyridoxine, height and stages cutting in Yield,</w:t>
      </w:r>
      <w:r>
        <w:rPr>
          <w:rFonts w:ascii="Times New Roman" w:hAnsi="Times New Roman" w:cs="Times New Roman"/>
          <w:sz w:val="24"/>
          <w:szCs w:val="24"/>
          <w:shd w:val="clear" w:color="auto" w:fill="FFFFFF"/>
        </w:rPr>
        <w:t xml:space="preserve"> </w:t>
      </w:r>
      <w:r w:rsidRPr="00B71ECE">
        <w:rPr>
          <w:rFonts w:ascii="Times New Roman" w:hAnsi="Times New Roman" w:cs="Times New Roman"/>
          <w:bCs/>
          <w:sz w:val="24"/>
          <w:szCs w:val="24"/>
        </w:rPr>
        <w:t xml:space="preserve">forage quality and HCN content of Sorghum </w:t>
      </w:r>
      <w:proofErr w:type="spellStart"/>
      <w:r w:rsidRPr="00B71ECE">
        <w:rPr>
          <w:rFonts w:ascii="Times New Roman" w:hAnsi="Times New Roman" w:cs="Times New Roman"/>
          <w:bCs/>
          <w:sz w:val="24"/>
          <w:szCs w:val="24"/>
        </w:rPr>
        <w:t>bicolor</w:t>
      </w:r>
      <w:proofErr w:type="spellEnd"/>
      <w:r w:rsidRPr="00B71ECE">
        <w:rPr>
          <w:rFonts w:ascii="Times New Roman" w:hAnsi="Times New Roman" w:cs="Times New Roman"/>
          <w:bCs/>
          <w:sz w:val="24"/>
          <w:szCs w:val="24"/>
        </w:rPr>
        <w:t xml:space="preserve"> L. Moench. Ph.D. thesis, Agriculture College </w:t>
      </w:r>
      <w:proofErr w:type="spellStart"/>
      <w:r w:rsidRPr="00B71ECE">
        <w:rPr>
          <w:rFonts w:ascii="Times New Roman" w:hAnsi="Times New Roman" w:cs="Times New Roman"/>
          <w:bCs/>
          <w:sz w:val="24"/>
          <w:szCs w:val="24"/>
        </w:rPr>
        <w:t>Universit</w:t>
      </w:r>
      <w:proofErr w:type="spellEnd"/>
      <w:r w:rsidRPr="00B71ECE">
        <w:rPr>
          <w:rFonts w:ascii="Times New Roman" w:hAnsi="Times New Roman" w:cs="Times New Roman"/>
          <w:bCs/>
          <w:sz w:val="24"/>
          <w:szCs w:val="24"/>
        </w:rPr>
        <w:t xml:space="preserve"> of Albar.</w:t>
      </w:r>
    </w:p>
    <w:p w14:paraId="7F14DDD8" w14:textId="77777777" w:rsidR="00440AFD" w:rsidRDefault="00440AFD" w:rsidP="00440AFD">
      <w:pPr>
        <w:tabs>
          <w:tab w:val="left" w:pos="142"/>
        </w:tabs>
        <w:spacing w:before="240" w:after="0" w:line="360" w:lineRule="auto"/>
        <w:ind w:left="567" w:hanging="567"/>
        <w:jc w:val="both"/>
        <w:rPr>
          <w:rFonts w:ascii="Times New Roman" w:eastAsia="Times New Roman" w:hAnsi="Times New Roman"/>
          <w:b/>
          <w:sz w:val="24"/>
          <w:szCs w:val="24"/>
        </w:rPr>
      </w:pPr>
      <w:r w:rsidRPr="00E53A71">
        <w:rPr>
          <w:rFonts w:ascii="Times New Roman" w:hAnsi="Times New Roman"/>
          <w:sz w:val="24"/>
          <w:szCs w:val="24"/>
        </w:rPr>
        <w:t>Aydin,</w:t>
      </w:r>
      <w:r>
        <w:rPr>
          <w:rFonts w:ascii="Times New Roman" w:hAnsi="Times New Roman"/>
          <w:sz w:val="24"/>
          <w:szCs w:val="24"/>
        </w:rPr>
        <w:t xml:space="preserve"> G., Grant, R.J. and O’Rear, J. </w:t>
      </w:r>
      <w:r w:rsidRPr="00E53A71">
        <w:rPr>
          <w:rFonts w:ascii="Times New Roman" w:hAnsi="Times New Roman"/>
          <w:sz w:val="24"/>
          <w:szCs w:val="24"/>
        </w:rPr>
        <w:t xml:space="preserve">1999. Brown midrib sorghum in diets for lactating cows. </w:t>
      </w:r>
      <w:r w:rsidRPr="00E53A71">
        <w:rPr>
          <w:rFonts w:ascii="Times New Roman" w:hAnsi="Times New Roman"/>
          <w:i/>
          <w:sz w:val="24"/>
          <w:szCs w:val="24"/>
        </w:rPr>
        <w:t>Journal of Dairy Science</w:t>
      </w:r>
      <w:r w:rsidRPr="00E53A71">
        <w:rPr>
          <w:rFonts w:ascii="Times New Roman" w:hAnsi="Times New Roman"/>
          <w:sz w:val="24"/>
          <w:szCs w:val="24"/>
        </w:rPr>
        <w:t xml:space="preserve"> </w:t>
      </w:r>
      <w:r w:rsidRPr="00E53A71">
        <w:rPr>
          <w:rFonts w:ascii="Times New Roman" w:hAnsi="Times New Roman"/>
          <w:b/>
          <w:sz w:val="24"/>
          <w:szCs w:val="24"/>
        </w:rPr>
        <w:t>82</w:t>
      </w:r>
      <w:r w:rsidRPr="00E53A71">
        <w:rPr>
          <w:rFonts w:ascii="Times New Roman" w:hAnsi="Times New Roman"/>
          <w:sz w:val="24"/>
          <w:szCs w:val="24"/>
        </w:rPr>
        <w:t xml:space="preserve">(10): 2127-2135. </w:t>
      </w:r>
    </w:p>
    <w:p w14:paraId="5E8FA93E" w14:textId="77777777" w:rsidR="00440AFD" w:rsidRDefault="00440AFD" w:rsidP="00440AFD">
      <w:pPr>
        <w:tabs>
          <w:tab w:val="left" w:pos="142"/>
        </w:tabs>
        <w:spacing w:before="240" w:after="0" w:line="360" w:lineRule="auto"/>
        <w:ind w:left="567" w:hanging="567"/>
        <w:jc w:val="both"/>
        <w:rPr>
          <w:rFonts w:ascii="Times New Roman" w:hAnsi="Times New Roman"/>
          <w:sz w:val="24"/>
        </w:rPr>
      </w:pPr>
      <w:r w:rsidRPr="005959B3">
        <w:rPr>
          <w:rFonts w:ascii="Times New Roman" w:hAnsi="Times New Roman"/>
          <w:sz w:val="24"/>
          <w:szCs w:val="24"/>
        </w:rPr>
        <w:t xml:space="preserve"> </w:t>
      </w:r>
      <w:r w:rsidRPr="00E53A71">
        <w:rPr>
          <w:rFonts w:ascii="Times New Roman" w:hAnsi="Times New Roman"/>
          <w:sz w:val="24"/>
          <w:szCs w:val="24"/>
        </w:rPr>
        <w:t xml:space="preserve">Dhar, S., Das, S.K., Kumar, S. and Tripathi, S.B. 2006. Response of fodder sorghum to different weed management technique and nitrogen levels. </w:t>
      </w:r>
      <w:r w:rsidRPr="00E53A71">
        <w:rPr>
          <w:rFonts w:ascii="Times New Roman" w:hAnsi="Times New Roman"/>
          <w:i/>
          <w:sz w:val="24"/>
          <w:szCs w:val="24"/>
        </w:rPr>
        <w:t>Indian Journal of Agronomy</w:t>
      </w:r>
      <w:r w:rsidRPr="00E53A71">
        <w:rPr>
          <w:rFonts w:ascii="Times New Roman" w:hAnsi="Times New Roman"/>
          <w:sz w:val="24"/>
          <w:szCs w:val="24"/>
        </w:rPr>
        <w:t xml:space="preserve"> </w:t>
      </w:r>
      <w:r w:rsidRPr="00E53A71">
        <w:rPr>
          <w:rFonts w:ascii="Times New Roman" w:hAnsi="Times New Roman"/>
          <w:b/>
          <w:sz w:val="24"/>
          <w:szCs w:val="24"/>
        </w:rPr>
        <w:t>51</w:t>
      </w:r>
      <w:r w:rsidRPr="003C501F">
        <w:rPr>
          <w:rFonts w:ascii="Times New Roman" w:hAnsi="Times New Roman"/>
          <w:sz w:val="24"/>
          <w:szCs w:val="24"/>
        </w:rPr>
        <w:t>:</w:t>
      </w:r>
      <w:r w:rsidRPr="00E53A71">
        <w:rPr>
          <w:rFonts w:ascii="Times New Roman" w:hAnsi="Times New Roman"/>
          <w:b/>
          <w:sz w:val="24"/>
          <w:szCs w:val="24"/>
        </w:rPr>
        <w:t xml:space="preserve"> </w:t>
      </w:r>
      <w:r w:rsidRPr="00E53A71">
        <w:rPr>
          <w:rFonts w:ascii="Times New Roman" w:hAnsi="Times New Roman"/>
          <w:sz w:val="24"/>
          <w:szCs w:val="24"/>
        </w:rPr>
        <w:t>310-313</w:t>
      </w:r>
      <w:r w:rsidRPr="003C501F">
        <w:rPr>
          <w:rFonts w:ascii="Times New Roman" w:hAnsi="Times New Roman"/>
          <w:sz w:val="24"/>
          <w:szCs w:val="24"/>
        </w:rPr>
        <w:t>.</w:t>
      </w:r>
    </w:p>
    <w:p w14:paraId="485CA071"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r w:rsidRPr="00E53A71">
        <w:rPr>
          <w:rFonts w:ascii="Times New Roman" w:hAnsi="Times New Roman"/>
          <w:sz w:val="24"/>
          <w:szCs w:val="24"/>
        </w:rPr>
        <w:t>Fisher, R.A. 1950. Statistical methods for research workers, Oliver and Boyd, Edinburgh, London.</w:t>
      </w:r>
    </w:p>
    <w:p w14:paraId="2483DEA0"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r w:rsidRPr="00E53A71">
        <w:rPr>
          <w:rFonts w:ascii="Times New Roman" w:hAnsi="Times New Roman"/>
          <w:sz w:val="24"/>
          <w:szCs w:val="24"/>
          <w:lang w:val="pt-BR"/>
        </w:rPr>
        <w:t xml:space="preserve">Gilchrist, D.G., Luechen, W.E. and Hittle, C.N. 1967. Revised method for preparation of standards in the sodium picrate assay of HCN.  </w:t>
      </w:r>
      <w:r w:rsidRPr="00E53A71">
        <w:rPr>
          <w:rFonts w:ascii="Times New Roman" w:hAnsi="Times New Roman"/>
          <w:i/>
          <w:sz w:val="24"/>
          <w:szCs w:val="24"/>
          <w:lang w:val="pt-BR"/>
        </w:rPr>
        <w:t>Crop Science</w:t>
      </w:r>
      <w:r w:rsidRPr="00E53A71">
        <w:rPr>
          <w:rFonts w:ascii="Times New Roman" w:hAnsi="Times New Roman"/>
          <w:sz w:val="24"/>
          <w:szCs w:val="24"/>
          <w:lang w:val="pt-BR"/>
        </w:rPr>
        <w:t xml:space="preserve"> </w:t>
      </w:r>
      <w:r w:rsidRPr="00E53A71">
        <w:rPr>
          <w:rFonts w:ascii="Times New Roman" w:hAnsi="Times New Roman"/>
          <w:b/>
          <w:sz w:val="24"/>
          <w:szCs w:val="24"/>
          <w:lang w:val="pt-BR"/>
        </w:rPr>
        <w:t>7</w:t>
      </w:r>
      <w:r w:rsidRPr="002E3181">
        <w:rPr>
          <w:rFonts w:ascii="Times New Roman" w:hAnsi="Times New Roman"/>
          <w:sz w:val="24"/>
          <w:szCs w:val="24"/>
          <w:lang w:val="pt-BR"/>
        </w:rPr>
        <w:t xml:space="preserve">: </w:t>
      </w:r>
      <w:r w:rsidRPr="00E53A71">
        <w:rPr>
          <w:rFonts w:ascii="Times New Roman" w:hAnsi="Times New Roman"/>
          <w:sz w:val="24"/>
          <w:szCs w:val="24"/>
          <w:lang w:val="pt-BR"/>
        </w:rPr>
        <w:t>267-268.</w:t>
      </w:r>
    </w:p>
    <w:p w14:paraId="72007637"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r w:rsidRPr="00E53A71">
        <w:rPr>
          <w:rFonts w:ascii="Times New Roman" w:hAnsi="Times New Roman"/>
          <w:sz w:val="24"/>
          <w:szCs w:val="24"/>
        </w:rPr>
        <w:t>Hogg</w:t>
      </w:r>
      <w:r>
        <w:rPr>
          <w:rFonts w:ascii="Times New Roman" w:hAnsi="Times New Roman"/>
          <w:sz w:val="24"/>
          <w:szCs w:val="24"/>
        </w:rPr>
        <w:t xml:space="preserve">, P.G. and Ahlgreen, H.L. 1942. </w:t>
      </w:r>
      <w:r w:rsidRPr="00E53A71">
        <w:rPr>
          <w:rFonts w:ascii="Times New Roman" w:hAnsi="Times New Roman"/>
          <w:sz w:val="24"/>
          <w:szCs w:val="24"/>
        </w:rPr>
        <w:t xml:space="preserve">A rapid method for determining </w:t>
      </w:r>
      <w:r>
        <w:rPr>
          <w:rFonts w:ascii="Times New Roman" w:hAnsi="Times New Roman"/>
          <w:sz w:val="24"/>
          <w:szCs w:val="24"/>
        </w:rPr>
        <w:t xml:space="preserve">HCN content of single plant of </w:t>
      </w:r>
      <w:proofErr w:type="spellStart"/>
      <w:r>
        <w:rPr>
          <w:rFonts w:ascii="Times New Roman" w:hAnsi="Times New Roman"/>
          <w:sz w:val="24"/>
          <w:szCs w:val="24"/>
        </w:rPr>
        <w:t>s</w:t>
      </w:r>
      <w:r w:rsidRPr="00E53A71">
        <w:rPr>
          <w:rFonts w:ascii="Times New Roman" w:hAnsi="Times New Roman"/>
          <w:sz w:val="24"/>
          <w:szCs w:val="24"/>
        </w:rPr>
        <w:t>udan</w:t>
      </w:r>
      <w:proofErr w:type="spellEnd"/>
      <w:r w:rsidRPr="00E53A71">
        <w:rPr>
          <w:rFonts w:ascii="Times New Roman" w:hAnsi="Times New Roman"/>
          <w:sz w:val="24"/>
          <w:szCs w:val="24"/>
        </w:rPr>
        <w:t xml:space="preserve"> grass</w:t>
      </w:r>
      <w:r w:rsidRPr="00E53A71">
        <w:rPr>
          <w:rFonts w:ascii="Times New Roman" w:hAnsi="Times New Roman"/>
          <w:i/>
          <w:iCs/>
          <w:sz w:val="24"/>
          <w:szCs w:val="24"/>
        </w:rPr>
        <w:t>. Journal of American Society of Agronomy</w:t>
      </w:r>
      <w:r w:rsidRPr="00E53A71">
        <w:rPr>
          <w:rFonts w:ascii="Times New Roman" w:hAnsi="Times New Roman"/>
          <w:sz w:val="24"/>
          <w:szCs w:val="24"/>
        </w:rPr>
        <w:t xml:space="preserve"> </w:t>
      </w:r>
      <w:r w:rsidRPr="00E53A71">
        <w:rPr>
          <w:rFonts w:ascii="Times New Roman" w:hAnsi="Times New Roman"/>
          <w:b/>
          <w:bCs/>
          <w:sz w:val="24"/>
          <w:szCs w:val="24"/>
        </w:rPr>
        <w:t>34</w:t>
      </w:r>
      <w:r>
        <w:rPr>
          <w:rFonts w:ascii="Times New Roman" w:hAnsi="Times New Roman"/>
          <w:sz w:val="24"/>
          <w:szCs w:val="24"/>
        </w:rPr>
        <w:t xml:space="preserve">: </w:t>
      </w:r>
      <w:r>
        <w:rPr>
          <w:rFonts w:ascii="Times New Roman" w:hAnsi="Times New Roman"/>
          <w:sz w:val="24"/>
          <w:szCs w:val="24"/>
        </w:rPr>
        <w:br/>
        <w:t>199-200.</w:t>
      </w:r>
    </w:p>
    <w:p w14:paraId="16C410DF" w14:textId="77777777" w:rsidR="00440AFD" w:rsidRDefault="00440AFD" w:rsidP="00440AFD">
      <w:pPr>
        <w:tabs>
          <w:tab w:val="left" w:pos="142"/>
        </w:tabs>
        <w:spacing w:before="240" w:line="360" w:lineRule="auto"/>
        <w:ind w:left="567" w:hanging="567"/>
        <w:jc w:val="both"/>
        <w:rPr>
          <w:rFonts w:ascii="Times New Roman" w:hAnsi="Times New Roman"/>
          <w:sz w:val="24"/>
          <w:szCs w:val="24"/>
        </w:rPr>
      </w:pPr>
      <w:r w:rsidRPr="00E53A71">
        <w:rPr>
          <w:rFonts w:ascii="Times New Roman" w:hAnsi="Times New Roman"/>
          <w:sz w:val="24"/>
          <w:szCs w:val="24"/>
          <w:lang w:val="pt-BR"/>
        </w:rPr>
        <w:t xml:space="preserve"> </w:t>
      </w:r>
      <w:r w:rsidRPr="00E53A71">
        <w:rPr>
          <w:rFonts w:ascii="Times New Roman" w:hAnsi="Times New Roman"/>
          <w:sz w:val="24"/>
          <w:szCs w:val="24"/>
        </w:rPr>
        <w:t>Jackson, M. L. 1973. Soil chemistry analysis. Prentice-Hall of</w:t>
      </w:r>
      <w:r>
        <w:rPr>
          <w:rFonts w:ascii="Times New Roman" w:hAnsi="Times New Roman"/>
          <w:sz w:val="24"/>
          <w:szCs w:val="24"/>
        </w:rPr>
        <w:t xml:space="preserve"> India </w:t>
      </w:r>
      <w:proofErr w:type="spellStart"/>
      <w:r>
        <w:rPr>
          <w:rFonts w:ascii="Times New Roman" w:hAnsi="Times New Roman"/>
          <w:sz w:val="24"/>
          <w:szCs w:val="24"/>
        </w:rPr>
        <w:t>pvt.</w:t>
      </w:r>
      <w:proofErr w:type="spellEnd"/>
      <w:r>
        <w:rPr>
          <w:rFonts w:ascii="Times New Roman" w:hAnsi="Times New Roman"/>
          <w:sz w:val="24"/>
          <w:szCs w:val="24"/>
        </w:rPr>
        <w:t xml:space="preserve"> Ltd., New Delhi, pp-</w:t>
      </w:r>
      <w:r w:rsidRPr="00E53A71">
        <w:rPr>
          <w:rFonts w:ascii="Times New Roman" w:hAnsi="Times New Roman"/>
          <w:sz w:val="24"/>
          <w:szCs w:val="24"/>
        </w:rPr>
        <w:t xml:space="preserve"> 1-</w:t>
      </w:r>
      <w:r>
        <w:rPr>
          <w:rFonts w:ascii="Times New Roman" w:hAnsi="Times New Roman"/>
          <w:sz w:val="24"/>
          <w:szCs w:val="24"/>
        </w:rPr>
        <w:t xml:space="preserve"> </w:t>
      </w:r>
      <w:r w:rsidRPr="00E53A71">
        <w:rPr>
          <w:rFonts w:ascii="Times New Roman" w:hAnsi="Times New Roman"/>
          <w:sz w:val="24"/>
          <w:szCs w:val="24"/>
        </w:rPr>
        <w:t>498.</w:t>
      </w:r>
      <w:r w:rsidRPr="00993F22">
        <w:rPr>
          <w:rFonts w:ascii="Times New Roman" w:hAnsi="Times New Roman"/>
          <w:sz w:val="24"/>
          <w:szCs w:val="24"/>
        </w:rPr>
        <w:t xml:space="preserve"> </w:t>
      </w:r>
    </w:p>
    <w:p w14:paraId="7AC7FC45"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r w:rsidRPr="00B71ECE">
        <w:rPr>
          <w:rFonts w:ascii="Times New Roman" w:hAnsi="Times New Roman" w:cs="Times New Roman"/>
          <w:bCs/>
          <w:sz w:val="24"/>
          <w:szCs w:val="24"/>
        </w:rPr>
        <w:t xml:space="preserve">Karthika, N. and Kalpana, R. 2017. HCN content and forage field of multi-cut forage sorghum under different organic manures and nitrogen levels.  Chemical science Review and Letters </w:t>
      </w:r>
      <w:r w:rsidRPr="001575B2">
        <w:rPr>
          <w:rFonts w:ascii="Times New Roman" w:hAnsi="Times New Roman" w:cs="Times New Roman"/>
          <w:b/>
          <w:bCs/>
          <w:sz w:val="24"/>
          <w:szCs w:val="24"/>
        </w:rPr>
        <w:t>6</w:t>
      </w:r>
      <w:r w:rsidRPr="00B71ECE">
        <w:rPr>
          <w:rFonts w:ascii="Times New Roman" w:hAnsi="Times New Roman" w:cs="Times New Roman"/>
          <w:bCs/>
          <w:sz w:val="24"/>
          <w:szCs w:val="24"/>
        </w:rPr>
        <w:t>(23): 1659-1663.</w:t>
      </w:r>
      <w:r w:rsidRPr="00F70A2F">
        <w:rPr>
          <w:rFonts w:ascii="Times New Roman" w:hAnsi="Times New Roman"/>
          <w:sz w:val="24"/>
          <w:szCs w:val="24"/>
        </w:rPr>
        <w:t xml:space="preserve"> </w:t>
      </w:r>
    </w:p>
    <w:p w14:paraId="6525EB49"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proofErr w:type="spellStart"/>
      <w:r w:rsidRPr="008B0E69">
        <w:rPr>
          <w:rFonts w:ascii="Times New Roman" w:hAnsi="Times New Roman"/>
          <w:sz w:val="24"/>
        </w:rPr>
        <w:t>Korpff</w:t>
      </w:r>
      <w:proofErr w:type="spellEnd"/>
      <w:r w:rsidRPr="008B0E69">
        <w:rPr>
          <w:rFonts w:ascii="Times New Roman" w:hAnsi="Times New Roman"/>
          <w:sz w:val="24"/>
        </w:rPr>
        <w:t xml:space="preserve">, M.J. 1993. Mechanism of competition for light. </w:t>
      </w:r>
      <w:r w:rsidRPr="008B0E69">
        <w:rPr>
          <w:rFonts w:ascii="Times New Roman" w:hAnsi="Times New Roman"/>
          <w:i/>
          <w:sz w:val="24"/>
        </w:rPr>
        <w:t>In</w:t>
      </w:r>
      <w:r w:rsidRPr="008B0E69">
        <w:rPr>
          <w:rFonts w:ascii="Times New Roman" w:hAnsi="Times New Roman"/>
          <w:sz w:val="24"/>
        </w:rPr>
        <w:t xml:space="preserve">: </w:t>
      </w:r>
      <w:proofErr w:type="spellStart"/>
      <w:r w:rsidRPr="008B0E69">
        <w:rPr>
          <w:rFonts w:ascii="Times New Roman" w:hAnsi="Times New Roman"/>
          <w:sz w:val="24"/>
        </w:rPr>
        <w:t>M.J.Korpff</w:t>
      </w:r>
      <w:proofErr w:type="spellEnd"/>
      <w:r w:rsidRPr="008B0E69">
        <w:rPr>
          <w:rFonts w:ascii="Times New Roman" w:hAnsi="Times New Roman"/>
          <w:sz w:val="24"/>
        </w:rPr>
        <w:t xml:space="preserve"> and H.H. </w:t>
      </w:r>
      <w:proofErr w:type="spellStart"/>
      <w:r w:rsidRPr="008B0E69">
        <w:rPr>
          <w:rFonts w:ascii="Times New Roman" w:hAnsi="Times New Roman"/>
          <w:sz w:val="24"/>
        </w:rPr>
        <w:t>Vanlar</w:t>
      </w:r>
      <w:proofErr w:type="spellEnd"/>
      <w:r w:rsidRPr="008B0E69">
        <w:rPr>
          <w:rFonts w:ascii="Times New Roman" w:hAnsi="Times New Roman"/>
          <w:sz w:val="24"/>
        </w:rPr>
        <w:t xml:space="preserve"> (edition). </w:t>
      </w:r>
      <w:proofErr w:type="spellStart"/>
      <w:r w:rsidRPr="008B0E69">
        <w:rPr>
          <w:rFonts w:ascii="Times New Roman" w:hAnsi="Times New Roman"/>
          <w:sz w:val="24"/>
        </w:rPr>
        <w:t>Modeling</w:t>
      </w:r>
      <w:proofErr w:type="spellEnd"/>
      <w:r w:rsidRPr="008B0E69">
        <w:rPr>
          <w:rFonts w:ascii="Times New Roman" w:hAnsi="Times New Roman"/>
          <w:sz w:val="24"/>
        </w:rPr>
        <w:t xml:space="preserve"> Crop Interaction CAB, Internet &amp; Manila, The </w:t>
      </w:r>
      <w:proofErr w:type="spellStart"/>
      <w:r w:rsidRPr="008B0E69">
        <w:rPr>
          <w:rFonts w:ascii="Times New Roman" w:hAnsi="Times New Roman"/>
          <w:sz w:val="24"/>
        </w:rPr>
        <w:t>Phillippines</w:t>
      </w:r>
      <w:proofErr w:type="spellEnd"/>
      <w:r w:rsidRPr="008B0E69">
        <w:rPr>
          <w:rFonts w:ascii="Times New Roman" w:hAnsi="Times New Roman"/>
          <w:sz w:val="24"/>
        </w:rPr>
        <w:t>.</w:t>
      </w:r>
      <w:r w:rsidRPr="00206DD4">
        <w:rPr>
          <w:rFonts w:ascii="Times New Roman" w:hAnsi="Times New Roman"/>
          <w:sz w:val="24"/>
          <w:szCs w:val="24"/>
        </w:rPr>
        <w:t xml:space="preserve"> </w:t>
      </w:r>
    </w:p>
    <w:p w14:paraId="7AC0320C"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r w:rsidRPr="00E53A71">
        <w:rPr>
          <w:rFonts w:ascii="Times New Roman" w:hAnsi="Times New Roman"/>
          <w:sz w:val="24"/>
          <w:szCs w:val="24"/>
        </w:rPr>
        <w:lastRenderedPageBreak/>
        <w:t>Kumar, S., Agrawal, R.K., Dixit, A.K., Rai, A.K. and Rai, S.K. 2012. Forage crops and their management. Indian Grassland and Fodder Research Institute, Jh</w:t>
      </w:r>
      <w:r>
        <w:rPr>
          <w:rFonts w:ascii="Times New Roman" w:hAnsi="Times New Roman"/>
          <w:sz w:val="24"/>
          <w:szCs w:val="24"/>
        </w:rPr>
        <w:t xml:space="preserve">ansi, Uttar Pradesh, India. pp- </w:t>
      </w:r>
      <w:r w:rsidRPr="00E53A71">
        <w:rPr>
          <w:rFonts w:ascii="Times New Roman" w:hAnsi="Times New Roman"/>
          <w:sz w:val="24"/>
          <w:szCs w:val="24"/>
        </w:rPr>
        <w:t>3-6.</w:t>
      </w:r>
    </w:p>
    <w:p w14:paraId="3A4CF118"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r w:rsidRPr="004F61DE">
        <w:rPr>
          <w:rFonts w:ascii="Times New Roman" w:hAnsi="Times New Roman"/>
          <w:sz w:val="24"/>
        </w:rPr>
        <w:t xml:space="preserve"> </w:t>
      </w:r>
      <w:r w:rsidRPr="008B0E69">
        <w:rPr>
          <w:rFonts w:ascii="Times New Roman" w:hAnsi="Times New Roman"/>
          <w:sz w:val="24"/>
        </w:rPr>
        <w:t xml:space="preserve">Lalitha Bai, E.K. and Sinha, N.N. 1993. Effect of phosphorus and weed management on </w:t>
      </w:r>
      <w:proofErr w:type="spellStart"/>
      <w:r w:rsidRPr="008B0E69">
        <w:rPr>
          <w:rFonts w:ascii="Times New Roman" w:hAnsi="Times New Roman"/>
          <w:sz w:val="24"/>
        </w:rPr>
        <w:t>greengram</w:t>
      </w:r>
      <w:proofErr w:type="spellEnd"/>
      <w:r w:rsidRPr="008B0E69">
        <w:rPr>
          <w:rFonts w:ascii="Times New Roman" w:hAnsi="Times New Roman"/>
          <w:sz w:val="24"/>
        </w:rPr>
        <w:t xml:space="preserve"> (</w:t>
      </w:r>
      <w:r w:rsidRPr="008B0E69">
        <w:rPr>
          <w:rFonts w:ascii="Times New Roman" w:hAnsi="Times New Roman"/>
          <w:i/>
          <w:sz w:val="24"/>
        </w:rPr>
        <w:t>Phaseolus radiatus</w:t>
      </w:r>
      <w:r w:rsidRPr="008B0E69">
        <w:rPr>
          <w:rFonts w:ascii="Times New Roman" w:hAnsi="Times New Roman"/>
          <w:sz w:val="24"/>
        </w:rPr>
        <w:t>) and its residual on mustard (</w:t>
      </w:r>
      <w:r w:rsidRPr="008B0E69">
        <w:rPr>
          <w:rFonts w:ascii="Times New Roman" w:hAnsi="Times New Roman"/>
          <w:i/>
          <w:sz w:val="24"/>
        </w:rPr>
        <w:t>Brassica juncea). Indian Journal of Agronomy</w:t>
      </w:r>
      <w:r w:rsidRPr="008B0E69">
        <w:rPr>
          <w:rFonts w:ascii="Times New Roman" w:hAnsi="Times New Roman"/>
          <w:sz w:val="24"/>
        </w:rPr>
        <w:t xml:space="preserve"> </w:t>
      </w:r>
      <w:r w:rsidRPr="008B0E69">
        <w:rPr>
          <w:rFonts w:ascii="Times New Roman" w:hAnsi="Times New Roman"/>
          <w:b/>
          <w:sz w:val="24"/>
        </w:rPr>
        <w:t>38</w:t>
      </w:r>
      <w:r w:rsidRPr="008B0E69">
        <w:rPr>
          <w:rFonts w:ascii="Times New Roman" w:hAnsi="Times New Roman"/>
          <w:sz w:val="24"/>
        </w:rPr>
        <w:t>:</w:t>
      </w:r>
      <w:r>
        <w:rPr>
          <w:rFonts w:ascii="Times New Roman" w:hAnsi="Times New Roman"/>
          <w:sz w:val="24"/>
        </w:rPr>
        <w:t xml:space="preserve"> </w:t>
      </w:r>
      <w:r w:rsidRPr="008B0E69">
        <w:rPr>
          <w:rFonts w:ascii="Times New Roman" w:hAnsi="Times New Roman"/>
          <w:sz w:val="24"/>
        </w:rPr>
        <w:t>37-41.</w:t>
      </w:r>
      <w:r w:rsidRPr="004F61DE">
        <w:rPr>
          <w:rFonts w:ascii="Times New Roman" w:hAnsi="Times New Roman"/>
          <w:sz w:val="24"/>
          <w:szCs w:val="24"/>
        </w:rPr>
        <w:t xml:space="preserve"> </w:t>
      </w:r>
    </w:p>
    <w:p w14:paraId="34C9ED93"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r>
        <w:rPr>
          <w:rFonts w:ascii="Times New Roman" w:hAnsi="Times New Roman"/>
          <w:sz w:val="24"/>
          <w:szCs w:val="24"/>
        </w:rPr>
        <w:t xml:space="preserve">Lindner, R.C. </w:t>
      </w:r>
      <w:r w:rsidRPr="00E53A71">
        <w:rPr>
          <w:rFonts w:ascii="Times New Roman" w:hAnsi="Times New Roman"/>
          <w:sz w:val="24"/>
          <w:szCs w:val="24"/>
        </w:rPr>
        <w:t xml:space="preserve">1944. Rapid analytical method of some more common organic constituents of plant and soil. </w:t>
      </w:r>
      <w:r w:rsidRPr="00E53A71">
        <w:rPr>
          <w:rFonts w:ascii="Times New Roman" w:hAnsi="Times New Roman"/>
          <w:i/>
          <w:iCs/>
          <w:sz w:val="24"/>
          <w:szCs w:val="24"/>
        </w:rPr>
        <w:t>Plant Physiology</w:t>
      </w:r>
      <w:r w:rsidRPr="00E53A71">
        <w:rPr>
          <w:rFonts w:ascii="Times New Roman" w:hAnsi="Times New Roman"/>
          <w:sz w:val="24"/>
          <w:szCs w:val="24"/>
        </w:rPr>
        <w:t xml:space="preserve"> </w:t>
      </w:r>
      <w:r w:rsidRPr="00E53A71">
        <w:rPr>
          <w:rFonts w:ascii="Times New Roman" w:hAnsi="Times New Roman"/>
          <w:b/>
          <w:bCs/>
          <w:sz w:val="24"/>
          <w:szCs w:val="24"/>
        </w:rPr>
        <w:t>19</w:t>
      </w:r>
      <w:r w:rsidRPr="00E53A71">
        <w:rPr>
          <w:rFonts w:ascii="Times New Roman" w:hAnsi="Times New Roman"/>
          <w:sz w:val="24"/>
          <w:szCs w:val="24"/>
        </w:rPr>
        <w:t>: 76-84.</w:t>
      </w:r>
      <w:r w:rsidRPr="001B0962">
        <w:rPr>
          <w:rFonts w:ascii="Times New Roman" w:hAnsi="Times New Roman"/>
          <w:sz w:val="24"/>
          <w:szCs w:val="24"/>
        </w:rPr>
        <w:t xml:space="preserve"> </w:t>
      </w:r>
    </w:p>
    <w:p w14:paraId="41AC01A9" w14:textId="77777777" w:rsidR="00440AFD" w:rsidRPr="00D738A1" w:rsidRDefault="00440AFD" w:rsidP="00440AFD">
      <w:pPr>
        <w:tabs>
          <w:tab w:val="left" w:pos="142"/>
        </w:tabs>
        <w:spacing w:before="240" w:after="0" w:line="360" w:lineRule="auto"/>
        <w:ind w:left="567" w:hanging="567"/>
        <w:jc w:val="both"/>
        <w:rPr>
          <w:rFonts w:ascii="Times New Roman" w:eastAsia="Times New Roman" w:hAnsi="Times New Roman"/>
          <w:b/>
          <w:sz w:val="24"/>
          <w:szCs w:val="24"/>
        </w:rPr>
      </w:pPr>
      <w:r w:rsidRPr="00E53A71">
        <w:rPr>
          <w:rFonts w:ascii="Times New Roman" w:hAnsi="Times New Roman"/>
          <w:sz w:val="24"/>
          <w:szCs w:val="24"/>
        </w:rPr>
        <w:t xml:space="preserve">Nicholas, S.W., </w:t>
      </w:r>
      <w:proofErr w:type="spellStart"/>
      <w:r w:rsidRPr="00E53A71">
        <w:rPr>
          <w:rFonts w:ascii="Times New Roman" w:hAnsi="Times New Roman"/>
          <w:sz w:val="24"/>
          <w:szCs w:val="24"/>
        </w:rPr>
        <w:t>Froetschel</w:t>
      </w:r>
      <w:proofErr w:type="spellEnd"/>
      <w:r w:rsidRPr="00E53A71">
        <w:rPr>
          <w:rFonts w:ascii="Times New Roman" w:hAnsi="Times New Roman"/>
          <w:sz w:val="24"/>
          <w:szCs w:val="24"/>
        </w:rPr>
        <w:t xml:space="preserve">, M.A., Amos, H.E. and Ely, L.O. 1998. Effects of fibre from tropical corn and forage sorghum silages on intake, digestion and performance of lactating dairy cows. </w:t>
      </w:r>
      <w:r w:rsidRPr="00E53A71">
        <w:rPr>
          <w:rFonts w:ascii="Times New Roman" w:hAnsi="Times New Roman"/>
          <w:i/>
          <w:sz w:val="24"/>
          <w:szCs w:val="24"/>
        </w:rPr>
        <w:t>Journal of Dairy Science</w:t>
      </w:r>
      <w:r w:rsidRPr="00E53A71">
        <w:rPr>
          <w:rFonts w:ascii="Times New Roman" w:hAnsi="Times New Roman"/>
          <w:sz w:val="24"/>
          <w:szCs w:val="24"/>
        </w:rPr>
        <w:t xml:space="preserve"> </w:t>
      </w:r>
      <w:r w:rsidRPr="00E53A71">
        <w:rPr>
          <w:rFonts w:ascii="Times New Roman" w:hAnsi="Times New Roman"/>
          <w:b/>
          <w:sz w:val="24"/>
          <w:szCs w:val="24"/>
        </w:rPr>
        <w:t>81</w:t>
      </w:r>
      <w:r>
        <w:rPr>
          <w:rFonts w:ascii="Times New Roman" w:hAnsi="Times New Roman"/>
          <w:sz w:val="24"/>
          <w:szCs w:val="24"/>
        </w:rPr>
        <w:t>(9): 2383-2393.</w:t>
      </w:r>
    </w:p>
    <w:p w14:paraId="7EC88163" w14:textId="77777777" w:rsidR="00440AFD" w:rsidRPr="00D738A1" w:rsidRDefault="00440AFD" w:rsidP="00440AFD">
      <w:pPr>
        <w:tabs>
          <w:tab w:val="left" w:pos="142"/>
        </w:tabs>
        <w:spacing w:before="240" w:line="360" w:lineRule="auto"/>
        <w:ind w:left="567" w:hanging="567"/>
        <w:jc w:val="both"/>
        <w:rPr>
          <w:rFonts w:ascii="Times New Roman" w:hAnsi="Times New Roman" w:cs="Times New Roman"/>
          <w:bCs/>
          <w:sz w:val="24"/>
          <w:szCs w:val="24"/>
        </w:rPr>
      </w:pPr>
      <w:r w:rsidRPr="00D738A1">
        <w:rPr>
          <w:rFonts w:ascii="Times New Roman" w:hAnsi="Times New Roman" w:cs="Times New Roman"/>
          <w:bCs/>
          <w:sz w:val="24"/>
          <w:szCs w:val="24"/>
        </w:rPr>
        <w:t>Peerzada, A.M., Ali, H.H. and Chauhan, B.S. 2017. Weed management in sorghum [</w:t>
      </w:r>
      <w:r w:rsidRPr="00D738A1">
        <w:rPr>
          <w:rFonts w:ascii="Times New Roman" w:hAnsi="Times New Roman" w:cs="Times New Roman"/>
          <w:bCs/>
          <w:i/>
          <w:iCs/>
          <w:sz w:val="24"/>
          <w:szCs w:val="24"/>
        </w:rPr>
        <w:t xml:space="preserve">Sorghum </w:t>
      </w:r>
      <w:proofErr w:type="spellStart"/>
      <w:r w:rsidRPr="00D738A1">
        <w:rPr>
          <w:rFonts w:ascii="Times New Roman" w:hAnsi="Times New Roman" w:cs="Times New Roman"/>
          <w:bCs/>
          <w:i/>
          <w:iCs/>
          <w:sz w:val="24"/>
          <w:szCs w:val="24"/>
        </w:rPr>
        <w:t>bicolor</w:t>
      </w:r>
      <w:proofErr w:type="spellEnd"/>
      <w:r w:rsidRPr="00D738A1">
        <w:rPr>
          <w:rFonts w:ascii="Times New Roman" w:hAnsi="Times New Roman" w:cs="Times New Roman"/>
          <w:bCs/>
          <w:sz w:val="24"/>
          <w:szCs w:val="24"/>
        </w:rPr>
        <w:t xml:space="preserve"> (L.) Moench] using crop competition: A review. </w:t>
      </w:r>
      <w:r w:rsidRPr="00D738A1">
        <w:rPr>
          <w:rFonts w:ascii="Times New Roman" w:hAnsi="Times New Roman" w:cs="Times New Roman"/>
          <w:bCs/>
          <w:i/>
          <w:sz w:val="24"/>
          <w:szCs w:val="24"/>
        </w:rPr>
        <w:t>Crop Protection</w:t>
      </w:r>
      <w:r w:rsidRPr="00D738A1">
        <w:rPr>
          <w:rFonts w:ascii="Times New Roman" w:hAnsi="Times New Roman" w:cs="Times New Roman"/>
          <w:bCs/>
          <w:sz w:val="24"/>
          <w:szCs w:val="24"/>
        </w:rPr>
        <w:t xml:space="preserve"> </w:t>
      </w:r>
      <w:r w:rsidRPr="001575B2">
        <w:rPr>
          <w:rFonts w:ascii="Times New Roman" w:hAnsi="Times New Roman" w:cs="Times New Roman"/>
          <w:b/>
          <w:bCs/>
          <w:sz w:val="24"/>
          <w:szCs w:val="24"/>
        </w:rPr>
        <w:t>95</w:t>
      </w:r>
      <w:r w:rsidRPr="00D738A1">
        <w:rPr>
          <w:rFonts w:ascii="Times New Roman" w:hAnsi="Times New Roman" w:cs="Times New Roman"/>
          <w:bCs/>
          <w:sz w:val="24"/>
          <w:szCs w:val="24"/>
        </w:rPr>
        <w:t>: 74-80.</w:t>
      </w:r>
    </w:p>
    <w:p w14:paraId="6D18C0BA"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lang w:val="pt-BR"/>
        </w:rPr>
      </w:pPr>
      <w:r w:rsidRPr="00E53A71">
        <w:rPr>
          <w:rFonts w:ascii="Times New Roman" w:hAnsi="Times New Roman"/>
          <w:sz w:val="24"/>
          <w:szCs w:val="24"/>
        </w:rPr>
        <w:t>Richards, L.A. 1968. Diagnosis and improvement of saline and alkaline soils</w:t>
      </w:r>
      <w:r w:rsidRPr="00E53A71">
        <w:rPr>
          <w:rFonts w:ascii="Times New Roman" w:hAnsi="Times New Roman"/>
          <w:i/>
          <w:sz w:val="24"/>
          <w:szCs w:val="24"/>
        </w:rPr>
        <w:t>.</w:t>
      </w:r>
      <w:r w:rsidRPr="00E53A71">
        <w:rPr>
          <w:rFonts w:ascii="Times New Roman" w:hAnsi="Times New Roman"/>
          <w:sz w:val="24"/>
          <w:szCs w:val="24"/>
        </w:rPr>
        <w:t xml:space="preserve"> USDA Handbook No. 60, Oxford and IBH Publishing Company, New Delhi.</w:t>
      </w:r>
    </w:p>
    <w:p w14:paraId="69A692E2"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r w:rsidRPr="00E11CDA">
        <w:rPr>
          <w:rFonts w:ascii="Times New Roman" w:hAnsi="Times New Roman"/>
          <w:sz w:val="24"/>
          <w:szCs w:val="24"/>
        </w:rPr>
        <w:t xml:space="preserve"> </w:t>
      </w:r>
      <w:r w:rsidRPr="00E53A71">
        <w:rPr>
          <w:rFonts w:ascii="Times New Roman" w:hAnsi="Times New Roman"/>
          <w:sz w:val="24"/>
          <w:szCs w:val="24"/>
        </w:rPr>
        <w:t xml:space="preserve">Saini, L.H., Saini, A.K., </w:t>
      </w:r>
      <w:proofErr w:type="spellStart"/>
      <w:r w:rsidRPr="00E53A71">
        <w:rPr>
          <w:rFonts w:ascii="Times New Roman" w:hAnsi="Times New Roman"/>
          <w:sz w:val="24"/>
          <w:szCs w:val="24"/>
        </w:rPr>
        <w:t>Radadiya</w:t>
      </w:r>
      <w:proofErr w:type="spellEnd"/>
      <w:r w:rsidRPr="00E53A71">
        <w:rPr>
          <w:rFonts w:ascii="Times New Roman" w:hAnsi="Times New Roman"/>
          <w:sz w:val="24"/>
          <w:szCs w:val="24"/>
        </w:rPr>
        <w:t xml:space="preserve">, N.V. and Davda, B.K. 2020. Weed management effects on growth and yield of </w:t>
      </w:r>
      <w:r w:rsidRPr="00E53A71">
        <w:rPr>
          <w:rFonts w:ascii="Times New Roman" w:hAnsi="Times New Roman"/>
          <w:i/>
          <w:sz w:val="24"/>
          <w:szCs w:val="24"/>
        </w:rPr>
        <w:t xml:space="preserve">kharif </w:t>
      </w:r>
      <w:r w:rsidRPr="00E53A71">
        <w:rPr>
          <w:rFonts w:ascii="Times New Roman" w:hAnsi="Times New Roman"/>
          <w:sz w:val="24"/>
          <w:szCs w:val="24"/>
        </w:rPr>
        <w:t>grain sorghum (</w:t>
      </w:r>
      <w:r w:rsidRPr="00E53A71">
        <w:rPr>
          <w:rFonts w:ascii="Times New Roman" w:hAnsi="Times New Roman"/>
          <w:i/>
          <w:sz w:val="24"/>
          <w:szCs w:val="24"/>
        </w:rPr>
        <w:t xml:space="preserve">Sorghum </w:t>
      </w:r>
      <w:proofErr w:type="spellStart"/>
      <w:r w:rsidRPr="00E53A71">
        <w:rPr>
          <w:rFonts w:ascii="Times New Roman" w:hAnsi="Times New Roman"/>
          <w:i/>
          <w:sz w:val="24"/>
          <w:szCs w:val="24"/>
        </w:rPr>
        <w:t>bicolor</w:t>
      </w:r>
      <w:proofErr w:type="spellEnd"/>
      <w:r w:rsidRPr="00E53A71">
        <w:rPr>
          <w:rFonts w:ascii="Times New Roman" w:hAnsi="Times New Roman"/>
          <w:sz w:val="24"/>
          <w:szCs w:val="24"/>
        </w:rPr>
        <w:t xml:space="preserve"> L.). </w:t>
      </w:r>
      <w:r w:rsidRPr="00E53A71">
        <w:rPr>
          <w:rFonts w:ascii="Times New Roman" w:hAnsi="Times New Roman"/>
          <w:i/>
          <w:sz w:val="24"/>
          <w:szCs w:val="24"/>
        </w:rPr>
        <w:t>International Journal of Current Microbiology and Applied Sciences</w:t>
      </w:r>
      <w:r w:rsidRPr="00E53A71">
        <w:rPr>
          <w:rFonts w:ascii="Times New Roman" w:hAnsi="Times New Roman"/>
          <w:sz w:val="24"/>
          <w:szCs w:val="24"/>
        </w:rPr>
        <w:t xml:space="preserve"> </w:t>
      </w:r>
      <w:r w:rsidRPr="00E53A71">
        <w:rPr>
          <w:rFonts w:ascii="Times New Roman" w:hAnsi="Times New Roman"/>
          <w:b/>
          <w:sz w:val="24"/>
          <w:szCs w:val="24"/>
        </w:rPr>
        <w:t>9</w:t>
      </w:r>
      <w:r w:rsidRPr="00E53A71">
        <w:rPr>
          <w:rFonts w:ascii="Times New Roman" w:hAnsi="Times New Roman"/>
          <w:sz w:val="24"/>
          <w:szCs w:val="24"/>
        </w:rPr>
        <w:t>(9): 1781-1785.</w:t>
      </w:r>
      <w:r w:rsidRPr="00FC725E">
        <w:rPr>
          <w:rFonts w:ascii="Times New Roman" w:hAnsi="Times New Roman"/>
          <w:sz w:val="24"/>
        </w:rPr>
        <w:t xml:space="preserve"> </w:t>
      </w:r>
    </w:p>
    <w:p w14:paraId="365DD6EC"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proofErr w:type="spellStart"/>
      <w:r w:rsidRPr="00B71ECE">
        <w:rPr>
          <w:rFonts w:ascii="Times New Roman" w:hAnsi="Times New Roman" w:cs="Times New Roman"/>
          <w:bCs/>
          <w:sz w:val="24"/>
          <w:szCs w:val="24"/>
        </w:rPr>
        <w:t>Shafqaf</w:t>
      </w:r>
      <w:proofErr w:type="spellEnd"/>
      <w:r w:rsidRPr="00B71ECE">
        <w:rPr>
          <w:rFonts w:ascii="Times New Roman" w:hAnsi="Times New Roman" w:cs="Times New Roman"/>
          <w:bCs/>
          <w:sz w:val="24"/>
          <w:szCs w:val="24"/>
        </w:rPr>
        <w:t xml:space="preserve">, </w:t>
      </w:r>
      <w:proofErr w:type="gramStart"/>
      <w:r w:rsidRPr="00B71ECE">
        <w:rPr>
          <w:rFonts w:ascii="Times New Roman" w:hAnsi="Times New Roman" w:cs="Times New Roman"/>
          <w:bCs/>
          <w:sz w:val="24"/>
          <w:szCs w:val="24"/>
        </w:rPr>
        <w:t>S.A</w:t>
      </w:r>
      <w:proofErr w:type="gramEnd"/>
      <w:r w:rsidRPr="00B71ECE">
        <w:rPr>
          <w:rFonts w:ascii="Times New Roman" w:hAnsi="Times New Roman" w:cs="Times New Roman"/>
          <w:bCs/>
          <w:sz w:val="24"/>
          <w:szCs w:val="24"/>
        </w:rPr>
        <w:t xml:space="preserve"> and Al-</w:t>
      </w:r>
      <w:proofErr w:type="spellStart"/>
      <w:r w:rsidRPr="00B71ECE">
        <w:rPr>
          <w:rFonts w:ascii="Times New Roman" w:hAnsi="Times New Roman" w:cs="Times New Roman"/>
          <w:bCs/>
          <w:sz w:val="24"/>
          <w:szCs w:val="24"/>
        </w:rPr>
        <w:t>Dabbabi</w:t>
      </w:r>
      <w:proofErr w:type="spellEnd"/>
      <w:r w:rsidRPr="00B71ECE">
        <w:rPr>
          <w:rFonts w:ascii="Times New Roman" w:hAnsi="Times New Roman" w:cs="Times New Roman"/>
          <w:bCs/>
          <w:sz w:val="24"/>
          <w:szCs w:val="24"/>
        </w:rPr>
        <w:t>, A.as. 2008. Field Crops Production First Edition, Dar Al Fikr Al Arabi Printing and Publishing Corporation Cairo.</w:t>
      </w:r>
      <w:r w:rsidRPr="00F70A2F">
        <w:rPr>
          <w:rFonts w:ascii="Times New Roman" w:hAnsi="Times New Roman"/>
          <w:sz w:val="24"/>
          <w:szCs w:val="24"/>
        </w:rPr>
        <w:t xml:space="preserve"> </w:t>
      </w:r>
    </w:p>
    <w:p w14:paraId="490AE803" w14:textId="77777777" w:rsidR="00440AFD" w:rsidRDefault="00440AFD" w:rsidP="00440AFD">
      <w:pPr>
        <w:tabs>
          <w:tab w:val="left" w:pos="142"/>
        </w:tabs>
        <w:spacing w:before="240" w:after="0" w:line="360" w:lineRule="auto"/>
        <w:ind w:left="567" w:hanging="567"/>
        <w:jc w:val="both"/>
        <w:rPr>
          <w:rFonts w:ascii="Times New Roman" w:hAnsi="Times New Roman"/>
          <w:sz w:val="24"/>
          <w:szCs w:val="24"/>
        </w:rPr>
      </w:pPr>
      <w:proofErr w:type="spellStart"/>
      <w:r w:rsidRPr="00E53A71">
        <w:rPr>
          <w:rFonts w:ascii="Times New Roman" w:hAnsi="Times New Roman"/>
          <w:sz w:val="24"/>
          <w:szCs w:val="24"/>
        </w:rPr>
        <w:t>Sinodiya</w:t>
      </w:r>
      <w:proofErr w:type="spellEnd"/>
      <w:r w:rsidRPr="00E53A71">
        <w:rPr>
          <w:rFonts w:ascii="Times New Roman" w:hAnsi="Times New Roman"/>
          <w:sz w:val="24"/>
          <w:szCs w:val="24"/>
        </w:rPr>
        <w:t xml:space="preserve">, P. and Jha, A.K. 2014. Effect of weed management control practices on nutrient uptake and soil properties in fodder maize. </w:t>
      </w:r>
      <w:r w:rsidRPr="00E53A71">
        <w:rPr>
          <w:rFonts w:ascii="Times New Roman" w:hAnsi="Times New Roman"/>
          <w:i/>
          <w:sz w:val="24"/>
          <w:szCs w:val="24"/>
        </w:rPr>
        <w:t>Jawaharlal Nehru Krishi Vishwavidyalaya Research Journal</w:t>
      </w:r>
      <w:r w:rsidRPr="00E53A71">
        <w:rPr>
          <w:rFonts w:ascii="Times New Roman" w:hAnsi="Times New Roman"/>
          <w:sz w:val="24"/>
          <w:szCs w:val="24"/>
        </w:rPr>
        <w:t xml:space="preserve"> </w:t>
      </w:r>
      <w:r w:rsidRPr="00E53A71">
        <w:rPr>
          <w:rFonts w:ascii="Times New Roman" w:hAnsi="Times New Roman"/>
          <w:b/>
          <w:sz w:val="24"/>
          <w:szCs w:val="24"/>
        </w:rPr>
        <w:t>48</w:t>
      </w:r>
      <w:r>
        <w:rPr>
          <w:rFonts w:ascii="Times New Roman" w:hAnsi="Times New Roman"/>
          <w:sz w:val="24"/>
          <w:szCs w:val="24"/>
        </w:rPr>
        <w:t>(1): 60-63.</w:t>
      </w:r>
    </w:p>
    <w:p w14:paraId="4273917B" w14:textId="77777777" w:rsidR="00440AFD" w:rsidRDefault="00440AFD" w:rsidP="00440AFD">
      <w:pPr>
        <w:tabs>
          <w:tab w:val="left" w:pos="142"/>
        </w:tabs>
        <w:spacing w:before="240" w:after="0" w:line="360" w:lineRule="auto"/>
        <w:ind w:left="567" w:hanging="567"/>
        <w:jc w:val="both"/>
        <w:rPr>
          <w:rFonts w:ascii="Times New Roman" w:hAnsi="Times New Roman" w:cs="Times New Roman"/>
          <w:sz w:val="24"/>
          <w:szCs w:val="24"/>
        </w:rPr>
      </w:pPr>
      <w:r w:rsidRPr="00B71ECE">
        <w:rPr>
          <w:rFonts w:ascii="Times New Roman" w:hAnsi="Times New Roman" w:cs="Times New Roman"/>
          <w:sz w:val="24"/>
          <w:szCs w:val="24"/>
        </w:rPr>
        <w:t>USDA. 2024. International Production Assessment Division, United States Department of Agriculture (Website: https://ipad.fas.usda.gov retrieved on dated 15-04-2025).</w:t>
      </w:r>
    </w:p>
    <w:p w14:paraId="66A10614" w14:textId="77777777" w:rsidR="007A5D7C" w:rsidRPr="00B71ECE" w:rsidRDefault="00440AFD" w:rsidP="007479AF">
      <w:pPr>
        <w:tabs>
          <w:tab w:val="left" w:pos="142"/>
        </w:tabs>
        <w:spacing w:before="240" w:after="0" w:line="360" w:lineRule="auto"/>
        <w:ind w:left="567" w:hanging="567"/>
        <w:jc w:val="both"/>
        <w:rPr>
          <w:rFonts w:ascii="Times New Roman" w:hAnsi="Times New Roman" w:cs="Times New Roman"/>
          <w:sz w:val="24"/>
          <w:szCs w:val="24"/>
        </w:rPr>
      </w:pPr>
      <w:r w:rsidRPr="00E53A71">
        <w:rPr>
          <w:rFonts w:ascii="Times New Roman" w:hAnsi="Times New Roman"/>
          <w:sz w:val="24"/>
          <w:szCs w:val="24"/>
        </w:rPr>
        <w:lastRenderedPageBreak/>
        <w:t xml:space="preserve">Verma, B.R., Virdia, H.M. and Kumar, D. 2018. Integrated weed management in summer sorghum. </w:t>
      </w:r>
      <w:r w:rsidRPr="00E53A71">
        <w:rPr>
          <w:rFonts w:ascii="Times New Roman" w:hAnsi="Times New Roman"/>
          <w:i/>
          <w:sz w:val="24"/>
          <w:szCs w:val="24"/>
        </w:rPr>
        <w:t>An Indian Journal of Weed Science</w:t>
      </w:r>
      <w:r w:rsidRPr="00E53A71">
        <w:rPr>
          <w:rFonts w:ascii="Times New Roman" w:hAnsi="Times New Roman"/>
          <w:sz w:val="24"/>
          <w:szCs w:val="24"/>
        </w:rPr>
        <w:t xml:space="preserve"> </w:t>
      </w:r>
      <w:r w:rsidRPr="00E53A71">
        <w:rPr>
          <w:rFonts w:ascii="Times New Roman" w:hAnsi="Times New Roman"/>
          <w:b/>
          <w:sz w:val="24"/>
          <w:szCs w:val="24"/>
        </w:rPr>
        <w:t>50</w:t>
      </w:r>
      <w:r>
        <w:rPr>
          <w:rFonts w:ascii="Times New Roman" w:hAnsi="Times New Roman"/>
          <w:sz w:val="24"/>
          <w:szCs w:val="24"/>
        </w:rPr>
        <w:t xml:space="preserve">(4): </w:t>
      </w:r>
      <w:r w:rsidRPr="00E53A71">
        <w:rPr>
          <w:rFonts w:ascii="Times New Roman" w:hAnsi="Times New Roman"/>
          <w:sz w:val="24"/>
          <w:szCs w:val="24"/>
        </w:rPr>
        <w:t>408-410.</w:t>
      </w:r>
    </w:p>
    <w:sectPr w:rsidR="007A5D7C" w:rsidRPr="00B71ECE" w:rsidSect="006B2B4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6326" w14:textId="77777777" w:rsidR="000314AF" w:rsidRDefault="000314AF" w:rsidP="00A014F8">
      <w:pPr>
        <w:spacing w:after="0" w:line="240" w:lineRule="auto"/>
      </w:pPr>
      <w:r>
        <w:separator/>
      </w:r>
    </w:p>
  </w:endnote>
  <w:endnote w:type="continuationSeparator" w:id="0">
    <w:p w14:paraId="5A2BD23C" w14:textId="77777777" w:rsidR="000314AF" w:rsidRDefault="000314AF" w:rsidP="00A0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6D1E" w14:textId="77777777" w:rsidR="00A014F8" w:rsidRDefault="00A01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B789" w14:textId="77777777" w:rsidR="00A014F8" w:rsidRDefault="00A01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6B5C" w14:textId="77777777" w:rsidR="00A014F8" w:rsidRDefault="00A0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7A4B" w14:textId="77777777" w:rsidR="000314AF" w:rsidRDefault="000314AF" w:rsidP="00A014F8">
      <w:pPr>
        <w:spacing w:after="0" w:line="240" w:lineRule="auto"/>
      </w:pPr>
      <w:r>
        <w:separator/>
      </w:r>
    </w:p>
  </w:footnote>
  <w:footnote w:type="continuationSeparator" w:id="0">
    <w:p w14:paraId="291CE66B" w14:textId="77777777" w:rsidR="000314AF" w:rsidRDefault="000314AF" w:rsidP="00A01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10B5" w14:textId="5B36D78A" w:rsidR="00A014F8" w:rsidRDefault="00A014F8">
    <w:pPr>
      <w:pStyle w:val="Header"/>
    </w:pPr>
    <w:r>
      <w:rPr>
        <w:noProof/>
      </w:rPr>
      <w:pict w14:anchorId="0D824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545188" o:spid="_x0000_s1026" type="#_x0000_t136" style="position:absolute;margin-left:0;margin-top:0;width:548.5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45B9" w14:textId="2DE7D546" w:rsidR="00A014F8" w:rsidRDefault="00A014F8">
    <w:pPr>
      <w:pStyle w:val="Header"/>
    </w:pPr>
    <w:r>
      <w:rPr>
        <w:noProof/>
      </w:rPr>
      <w:pict w14:anchorId="2413F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545189" o:spid="_x0000_s1027" type="#_x0000_t136" style="position:absolute;margin-left:0;margin-top:0;width:548.5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92A2" w14:textId="6654BA88" w:rsidR="00A014F8" w:rsidRDefault="00A014F8">
    <w:pPr>
      <w:pStyle w:val="Header"/>
    </w:pPr>
    <w:r>
      <w:rPr>
        <w:noProof/>
      </w:rPr>
      <w:pict w14:anchorId="71445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545187" o:spid="_x0000_s1025" type="#_x0000_t136" style="position:absolute;margin-left:0;margin-top:0;width:548.5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41639"/>
    <w:multiLevelType w:val="multilevel"/>
    <w:tmpl w:val="94E0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03AC6"/>
    <w:multiLevelType w:val="hybridMultilevel"/>
    <w:tmpl w:val="FAAE8532"/>
    <w:lvl w:ilvl="0" w:tplc="4322D9BC">
      <w:start w:val="1"/>
      <w:numFmt w:val="lowerRoman"/>
      <w:lvlText w:val="(%1)"/>
      <w:lvlJc w:val="left"/>
      <w:pPr>
        <w:ind w:left="900" w:hanging="720"/>
      </w:pPr>
      <w:rPr>
        <w:rFonts w:cs="Times New Roman" w:hint="default"/>
        <w:b w:val="0"/>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num w:numId="1" w16cid:durableId="1927422202">
    <w:abstractNumId w:val="0"/>
  </w:num>
  <w:num w:numId="2" w16cid:durableId="55300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E7C4F"/>
    <w:rsid w:val="0000423C"/>
    <w:rsid w:val="000064D0"/>
    <w:rsid w:val="00010B62"/>
    <w:rsid w:val="00030CE2"/>
    <w:rsid w:val="000314AF"/>
    <w:rsid w:val="00063D41"/>
    <w:rsid w:val="00070E0F"/>
    <w:rsid w:val="000719A0"/>
    <w:rsid w:val="00074E47"/>
    <w:rsid w:val="00086A31"/>
    <w:rsid w:val="000A1280"/>
    <w:rsid w:val="000A3AAF"/>
    <w:rsid w:val="000A5E29"/>
    <w:rsid w:val="000C3CE7"/>
    <w:rsid w:val="000E319D"/>
    <w:rsid w:val="000E5243"/>
    <w:rsid w:val="000E6797"/>
    <w:rsid w:val="001020BF"/>
    <w:rsid w:val="001575B2"/>
    <w:rsid w:val="00173175"/>
    <w:rsid w:val="001948B9"/>
    <w:rsid w:val="001B0962"/>
    <w:rsid w:val="001B6682"/>
    <w:rsid w:val="001F751F"/>
    <w:rsid w:val="00201F06"/>
    <w:rsid w:val="00206DD4"/>
    <w:rsid w:val="002173E7"/>
    <w:rsid w:val="00220ED1"/>
    <w:rsid w:val="0024710D"/>
    <w:rsid w:val="002609BA"/>
    <w:rsid w:val="00264A7C"/>
    <w:rsid w:val="00270A23"/>
    <w:rsid w:val="00273A5D"/>
    <w:rsid w:val="0028205E"/>
    <w:rsid w:val="002C6270"/>
    <w:rsid w:val="002E4CDA"/>
    <w:rsid w:val="002E6B59"/>
    <w:rsid w:val="002E738C"/>
    <w:rsid w:val="002F1879"/>
    <w:rsid w:val="002F64CA"/>
    <w:rsid w:val="003049A2"/>
    <w:rsid w:val="0031000E"/>
    <w:rsid w:val="00322872"/>
    <w:rsid w:val="00326E1B"/>
    <w:rsid w:val="003337EB"/>
    <w:rsid w:val="00350BD3"/>
    <w:rsid w:val="003556A1"/>
    <w:rsid w:val="00365832"/>
    <w:rsid w:val="003665E4"/>
    <w:rsid w:val="003674E0"/>
    <w:rsid w:val="00370FD3"/>
    <w:rsid w:val="00375CB4"/>
    <w:rsid w:val="00393DA5"/>
    <w:rsid w:val="003C6476"/>
    <w:rsid w:val="003D185E"/>
    <w:rsid w:val="003E106C"/>
    <w:rsid w:val="003F3D8B"/>
    <w:rsid w:val="00405D98"/>
    <w:rsid w:val="004120F8"/>
    <w:rsid w:val="00414821"/>
    <w:rsid w:val="00440AFD"/>
    <w:rsid w:val="004442E5"/>
    <w:rsid w:val="004462AF"/>
    <w:rsid w:val="00460C02"/>
    <w:rsid w:val="00467176"/>
    <w:rsid w:val="00475EC0"/>
    <w:rsid w:val="00480860"/>
    <w:rsid w:val="0049470D"/>
    <w:rsid w:val="004A088A"/>
    <w:rsid w:val="004A25E2"/>
    <w:rsid w:val="004A5A83"/>
    <w:rsid w:val="004A7A3A"/>
    <w:rsid w:val="004A7F41"/>
    <w:rsid w:val="004A7FF6"/>
    <w:rsid w:val="004C1799"/>
    <w:rsid w:val="004C1A3B"/>
    <w:rsid w:val="004C4958"/>
    <w:rsid w:val="004C68CE"/>
    <w:rsid w:val="004D207B"/>
    <w:rsid w:val="004D762C"/>
    <w:rsid w:val="004E0392"/>
    <w:rsid w:val="004E1E35"/>
    <w:rsid w:val="004E72B3"/>
    <w:rsid w:val="004F61DE"/>
    <w:rsid w:val="004F6979"/>
    <w:rsid w:val="004F7B04"/>
    <w:rsid w:val="005030CD"/>
    <w:rsid w:val="00505F7E"/>
    <w:rsid w:val="00516A56"/>
    <w:rsid w:val="00526FDA"/>
    <w:rsid w:val="00535057"/>
    <w:rsid w:val="00545404"/>
    <w:rsid w:val="005530F3"/>
    <w:rsid w:val="00555746"/>
    <w:rsid w:val="005576CD"/>
    <w:rsid w:val="00562517"/>
    <w:rsid w:val="00572E88"/>
    <w:rsid w:val="005955C7"/>
    <w:rsid w:val="005959B3"/>
    <w:rsid w:val="005A2F40"/>
    <w:rsid w:val="005A7B3D"/>
    <w:rsid w:val="005B126B"/>
    <w:rsid w:val="005B4A4F"/>
    <w:rsid w:val="005C02BB"/>
    <w:rsid w:val="005D0F3F"/>
    <w:rsid w:val="005D2B44"/>
    <w:rsid w:val="005E3140"/>
    <w:rsid w:val="005F2C09"/>
    <w:rsid w:val="00601620"/>
    <w:rsid w:val="00612969"/>
    <w:rsid w:val="00660D8C"/>
    <w:rsid w:val="0066128A"/>
    <w:rsid w:val="00670721"/>
    <w:rsid w:val="006776E8"/>
    <w:rsid w:val="006A3755"/>
    <w:rsid w:val="006B2B42"/>
    <w:rsid w:val="006D296B"/>
    <w:rsid w:val="006E4E91"/>
    <w:rsid w:val="006F2D29"/>
    <w:rsid w:val="006F74F6"/>
    <w:rsid w:val="00716B5D"/>
    <w:rsid w:val="00722AC9"/>
    <w:rsid w:val="0073120A"/>
    <w:rsid w:val="007342C4"/>
    <w:rsid w:val="00737D5C"/>
    <w:rsid w:val="007479AF"/>
    <w:rsid w:val="00763B01"/>
    <w:rsid w:val="007750C1"/>
    <w:rsid w:val="007811E8"/>
    <w:rsid w:val="00781EAE"/>
    <w:rsid w:val="00791A7C"/>
    <w:rsid w:val="007A55E4"/>
    <w:rsid w:val="007A5D7C"/>
    <w:rsid w:val="007B7947"/>
    <w:rsid w:val="007C51BC"/>
    <w:rsid w:val="007D4CF0"/>
    <w:rsid w:val="007E1F87"/>
    <w:rsid w:val="007E304D"/>
    <w:rsid w:val="007E4F9B"/>
    <w:rsid w:val="007E6635"/>
    <w:rsid w:val="007F675A"/>
    <w:rsid w:val="00826A19"/>
    <w:rsid w:val="00827739"/>
    <w:rsid w:val="00845F43"/>
    <w:rsid w:val="0086149F"/>
    <w:rsid w:val="00862A90"/>
    <w:rsid w:val="008665AC"/>
    <w:rsid w:val="00866689"/>
    <w:rsid w:val="008870CA"/>
    <w:rsid w:val="008B4711"/>
    <w:rsid w:val="008C3595"/>
    <w:rsid w:val="008C364B"/>
    <w:rsid w:val="008E2F90"/>
    <w:rsid w:val="008F7A28"/>
    <w:rsid w:val="00903E51"/>
    <w:rsid w:val="00907A72"/>
    <w:rsid w:val="00913577"/>
    <w:rsid w:val="009403B6"/>
    <w:rsid w:val="009461B7"/>
    <w:rsid w:val="0094777A"/>
    <w:rsid w:val="00952302"/>
    <w:rsid w:val="00962F3E"/>
    <w:rsid w:val="00974694"/>
    <w:rsid w:val="00986A9C"/>
    <w:rsid w:val="00993F22"/>
    <w:rsid w:val="0099502F"/>
    <w:rsid w:val="009B42B3"/>
    <w:rsid w:val="009B7FA2"/>
    <w:rsid w:val="009C158D"/>
    <w:rsid w:val="00A014F8"/>
    <w:rsid w:val="00A034E1"/>
    <w:rsid w:val="00A03B0A"/>
    <w:rsid w:val="00A07C9D"/>
    <w:rsid w:val="00A11DE3"/>
    <w:rsid w:val="00A26145"/>
    <w:rsid w:val="00A27DE5"/>
    <w:rsid w:val="00A46CBB"/>
    <w:rsid w:val="00A77AC4"/>
    <w:rsid w:val="00A828E2"/>
    <w:rsid w:val="00A92085"/>
    <w:rsid w:val="00A95514"/>
    <w:rsid w:val="00AB100F"/>
    <w:rsid w:val="00AB392A"/>
    <w:rsid w:val="00AB5DCF"/>
    <w:rsid w:val="00AB648B"/>
    <w:rsid w:val="00AB77B0"/>
    <w:rsid w:val="00AC32F3"/>
    <w:rsid w:val="00AD22F7"/>
    <w:rsid w:val="00AD4B4E"/>
    <w:rsid w:val="00B06574"/>
    <w:rsid w:val="00B249F9"/>
    <w:rsid w:val="00B24DF0"/>
    <w:rsid w:val="00B5054B"/>
    <w:rsid w:val="00B509ED"/>
    <w:rsid w:val="00B623DB"/>
    <w:rsid w:val="00B65D8D"/>
    <w:rsid w:val="00B7035F"/>
    <w:rsid w:val="00B71ECE"/>
    <w:rsid w:val="00B90C21"/>
    <w:rsid w:val="00B93D8D"/>
    <w:rsid w:val="00BB3B9C"/>
    <w:rsid w:val="00BD616C"/>
    <w:rsid w:val="00BE17D0"/>
    <w:rsid w:val="00BF78EA"/>
    <w:rsid w:val="00C334EA"/>
    <w:rsid w:val="00C40505"/>
    <w:rsid w:val="00C4535F"/>
    <w:rsid w:val="00C51F69"/>
    <w:rsid w:val="00C57110"/>
    <w:rsid w:val="00C714F2"/>
    <w:rsid w:val="00C73E72"/>
    <w:rsid w:val="00C74F3B"/>
    <w:rsid w:val="00C82074"/>
    <w:rsid w:val="00C829DF"/>
    <w:rsid w:val="00C836D7"/>
    <w:rsid w:val="00C8776A"/>
    <w:rsid w:val="00CA5AD3"/>
    <w:rsid w:val="00CC5ED5"/>
    <w:rsid w:val="00CC7F32"/>
    <w:rsid w:val="00CD78BF"/>
    <w:rsid w:val="00CE1959"/>
    <w:rsid w:val="00CE60D7"/>
    <w:rsid w:val="00CF4245"/>
    <w:rsid w:val="00D01686"/>
    <w:rsid w:val="00D02D8E"/>
    <w:rsid w:val="00D10401"/>
    <w:rsid w:val="00D30C05"/>
    <w:rsid w:val="00D417B8"/>
    <w:rsid w:val="00D63BE7"/>
    <w:rsid w:val="00D738A1"/>
    <w:rsid w:val="00D9149E"/>
    <w:rsid w:val="00D967B2"/>
    <w:rsid w:val="00DA1923"/>
    <w:rsid w:val="00DA50E2"/>
    <w:rsid w:val="00DB405B"/>
    <w:rsid w:val="00DB64F1"/>
    <w:rsid w:val="00DC4D33"/>
    <w:rsid w:val="00DD3794"/>
    <w:rsid w:val="00DD7C8E"/>
    <w:rsid w:val="00DF25EA"/>
    <w:rsid w:val="00DF6214"/>
    <w:rsid w:val="00DF7CF1"/>
    <w:rsid w:val="00E11CDA"/>
    <w:rsid w:val="00E215AC"/>
    <w:rsid w:val="00E3484E"/>
    <w:rsid w:val="00E3564C"/>
    <w:rsid w:val="00E637C6"/>
    <w:rsid w:val="00E67909"/>
    <w:rsid w:val="00E73F58"/>
    <w:rsid w:val="00E83BFD"/>
    <w:rsid w:val="00E86527"/>
    <w:rsid w:val="00E91F14"/>
    <w:rsid w:val="00E955A3"/>
    <w:rsid w:val="00EB1342"/>
    <w:rsid w:val="00EB2B7F"/>
    <w:rsid w:val="00ED344A"/>
    <w:rsid w:val="00F00BAA"/>
    <w:rsid w:val="00F071F7"/>
    <w:rsid w:val="00F079E1"/>
    <w:rsid w:val="00F07A69"/>
    <w:rsid w:val="00F12BF9"/>
    <w:rsid w:val="00F56AFD"/>
    <w:rsid w:val="00F70A2F"/>
    <w:rsid w:val="00F8592A"/>
    <w:rsid w:val="00F963D9"/>
    <w:rsid w:val="00FC6967"/>
    <w:rsid w:val="00FC725E"/>
    <w:rsid w:val="00FE5440"/>
    <w:rsid w:val="00FE5FF2"/>
    <w:rsid w:val="00FE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5BAB4"/>
  <w15:docId w15:val="{794B2364-D0E0-4496-A615-35FE9BE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78BF"/>
    <w:rPr>
      <w:b/>
      <w:bCs/>
    </w:rPr>
  </w:style>
  <w:style w:type="paragraph" w:styleId="ListParagraph">
    <w:name w:val="List Paragraph"/>
    <w:basedOn w:val="Normal"/>
    <w:uiPriority w:val="34"/>
    <w:qFormat/>
    <w:rsid w:val="001020BF"/>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D10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01"/>
    <w:rPr>
      <w:rFonts w:ascii="Tahoma" w:hAnsi="Tahoma" w:cs="Tahoma"/>
      <w:sz w:val="16"/>
      <w:szCs w:val="16"/>
    </w:rPr>
  </w:style>
  <w:style w:type="table" w:styleId="TableGrid">
    <w:name w:val="Table Grid"/>
    <w:basedOn w:val="TableNormal"/>
    <w:uiPriority w:val="59"/>
    <w:rsid w:val="00D9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67176"/>
    <w:pPr>
      <w:widowControl w:val="0"/>
      <w:autoSpaceDE w:val="0"/>
      <w:autoSpaceDN w:val="0"/>
      <w:spacing w:after="0" w:line="240" w:lineRule="auto"/>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5B4A4F"/>
    <w:pPr>
      <w:spacing w:after="0" w:line="240" w:lineRule="auto"/>
    </w:pPr>
    <w:rPr>
      <w:sz w:val="20"/>
      <w:szCs w:val="20"/>
    </w:rPr>
  </w:style>
  <w:style w:type="character" w:customStyle="1" w:styleId="FootnoteTextChar">
    <w:name w:val="Footnote Text Char"/>
    <w:basedOn w:val="DefaultParagraphFont"/>
    <w:link w:val="FootnoteText"/>
    <w:uiPriority w:val="99"/>
    <w:rsid w:val="005B4A4F"/>
    <w:rPr>
      <w:rFonts w:eastAsiaTheme="minorEastAsia"/>
      <w:sz w:val="20"/>
      <w:szCs w:val="20"/>
    </w:rPr>
  </w:style>
  <w:style w:type="paragraph" w:styleId="BodyText">
    <w:name w:val="Body Text"/>
    <w:basedOn w:val="Normal"/>
    <w:link w:val="BodyTextChar"/>
    <w:uiPriority w:val="1"/>
    <w:qFormat/>
    <w:rsid w:val="009B7FA2"/>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B7FA2"/>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9C158D"/>
    <w:rPr>
      <w:sz w:val="16"/>
      <w:szCs w:val="16"/>
    </w:rPr>
  </w:style>
  <w:style w:type="paragraph" w:styleId="CommentText">
    <w:name w:val="annotation text"/>
    <w:basedOn w:val="Normal"/>
    <w:link w:val="CommentTextChar"/>
    <w:uiPriority w:val="99"/>
    <w:semiHidden/>
    <w:unhideWhenUsed/>
    <w:rsid w:val="009C158D"/>
    <w:pPr>
      <w:spacing w:line="240" w:lineRule="auto"/>
    </w:pPr>
    <w:rPr>
      <w:sz w:val="20"/>
      <w:szCs w:val="20"/>
    </w:rPr>
  </w:style>
  <w:style w:type="character" w:customStyle="1" w:styleId="CommentTextChar">
    <w:name w:val="Comment Text Char"/>
    <w:basedOn w:val="DefaultParagraphFont"/>
    <w:link w:val="CommentText"/>
    <w:uiPriority w:val="99"/>
    <w:semiHidden/>
    <w:rsid w:val="009C158D"/>
    <w:rPr>
      <w:sz w:val="20"/>
      <w:szCs w:val="20"/>
    </w:rPr>
  </w:style>
  <w:style w:type="paragraph" w:styleId="CommentSubject">
    <w:name w:val="annotation subject"/>
    <w:basedOn w:val="CommentText"/>
    <w:next w:val="CommentText"/>
    <w:link w:val="CommentSubjectChar"/>
    <w:uiPriority w:val="99"/>
    <w:semiHidden/>
    <w:unhideWhenUsed/>
    <w:rsid w:val="009C158D"/>
    <w:rPr>
      <w:b/>
      <w:bCs/>
    </w:rPr>
  </w:style>
  <w:style w:type="character" w:customStyle="1" w:styleId="CommentSubjectChar">
    <w:name w:val="Comment Subject Char"/>
    <w:basedOn w:val="CommentTextChar"/>
    <w:link w:val="CommentSubject"/>
    <w:uiPriority w:val="99"/>
    <w:semiHidden/>
    <w:rsid w:val="009C158D"/>
    <w:rPr>
      <w:b/>
      <w:bCs/>
      <w:sz w:val="20"/>
      <w:szCs w:val="20"/>
    </w:rPr>
  </w:style>
  <w:style w:type="character" w:styleId="PlaceholderText">
    <w:name w:val="Placeholder Text"/>
    <w:basedOn w:val="DefaultParagraphFont"/>
    <w:uiPriority w:val="99"/>
    <w:semiHidden/>
    <w:rsid w:val="00526FDA"/>
    <w:rPr>
      <w:color w:val="808080"/>
    </w:rPr>
  </w:style>
  <w:style w:type="character" w:styleId="Hyperlink">
    <w:name w:val="Hyperlink"/>
    <w:basedOn w:val="DefaultParagraphFont"/>
    <w:uiPriority w:val="99"/>
    <w:unhideWhenUsed/>
    <w:rsid w:val="002E4CDA"/>
    <w:rPr>
      <w:color w:val="0000FF" w:themeColor="hyperlink"/>
      <w:u w:val="single"/>
    </w:rPr>
  </w:style>
  <w:style w:type="character" w:styleId="UnresolvedMention">
    <w:name w:val="Unresolved Mention"/>
    <w:basedOn w:val="DefaultParagraphFont"/>
    <w:uiPriority w:val="99"/>
    <w:semiHidden/>
    <w:unhideWhenUsed/>
    <w:rsid w:val="00E3484E"/>
    <w:rPr>
      <w:color w:val="605E5C"/>
      <w:shd w:val="clear" w:color="auto" w:fill="E1DFDD"/>
    </w:rPr>
  </w:style>
  <w:style w:type="paragraph" w:styleId="Header">
    <w:name w:val="header"/>
    <w:basedOn w:val="Normal"/>
    <w:link w:val="HeaderChar"/>
    <w:uiPriority w:val="99"/>
    <w:unhideWhenUsed/>
    <w:rsid w:val="00A01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4F8"/>
  </w:style>
  <w:style w:type="paragraph" w:styleId="Footer">
    <w:name w:val="footer"/>
    <w:basedOn w:val="Normal"/>
    <w:link w:val="FooterChar"/>
    <w:uiPriority w:val="99"/>
    <w:unhideWhenUsed/>
    <w:rsid w:val="00A01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436">
      <w:bodyDiv w:val="1"/>
      <w:marLeft w:val="0"/>
      <w:marRight w:val="0"/>
      <w:marTop w:val="0"/>
      <w:marBottom w:val="0"/>
      <w:divBdr>
        <w:top w:val="none" w:sz="0" w:space="0" w:color="auto"/>
        <w:left w:val="none" w:sz="0" w:space="0" w:color="auto"/>
        <w:bottom w:val="none" w:sz="0" w:space="0" w:color="auto"/>
        <w:right w:val="none" w:sz="0" w:space="0" w:color="auto"/>
      </w:divBdr>
    </w:div>
    <w:div w:id="247545816">
      <w:bodyDiv w:val="1"/>
      <w:marLeft w:val="0"/>
      <w:marRight w:val="0"/>
      <w:marTop w:val="0"/>
      <w:marBottom w:val="0"/>
      <w:divBdr>
        <w:top w:val="none" w:sz="0" w:space="0" w:color="auto"/>
        <w:left w:val="none" w:sz="0" w:space="0" w:color="auto"/>
        <w:bottom w:val="none" w:sz="0" w:space="0" w:color="auto"/>
        <w:right w:val="none" w:sz="0" w:space="0" w:color="auto"/>
      </w:divBdr>
    </w:div>
    <w:div w:id="405492922">
      <w:bodyDiv w:val="1"/>
      <w:marLeft w:val="0"/>
      <w:marRight w:val="0"/>
      <w:marTop w:val="0"/>
      <w:marBottom w:val="0"/>
      <w:divBdr>
        <w:top w:val="none" w:sz="0" w:space="0" w:color="auto"/>
        <w:left w:val="none" w:sz="0" w:space="0" w:color="auto"/>
        <w:bottom w:val="none" w:sz="0" w:space="0" w:color="auto"/>
        <w:right w:val="none" w:sz="0" w:space="0" w:color="auto"/>
      </w:divBdr>
    </w:div>
    <w:div w:id="496923274">
      <w:bodyDiv w:val="1"/>
      <w:marLeft w:val="0"/>
      <w:marRight w:val="0"/>
      <w:marTop w:val="0"/>
      <w:marBottom w:val="0"/>
      <w:divBdr>
        <w:top w:val="none" w:sz="0" w:space="0" w:color="auto"/>
        <w:left w:val="none" w:sz="0" w:space="0" w:color="auto"/>
        <w:bottom w:val="none" w:sz="0" w:space="0" w:color="auto"/>
        <w:right w:val="none" w:sz="0" w:space="0" w:color="auto"/>
      </w:divBdr>
    </w:div>
    <w:div w:id="702293069">
      <w:bodyDiv w:val="1"/>
      <w:marLeft w:val="0"/>
      <w:marRight w:val="0"/>
      <w:marTop w:val="0"/>
      <w:marBottom w:val="0"/>
      <w:divBdr>
        <w:top w:val="none" w:sz="0" w:space="0" w:color="auto"/>
        <w:left w:val="none" w:sz="0" w:space="0" w:color="auto"/>
        <w:bottom w:val="none" w:sz="0" w:space="0" w:color="auto"/>
        <w:right w:val="none" w:sz="0" w:space="0" w:color="auto"/>
      </w:divBdr>
    </w:div>
    <w:div w:id="784885217">
      <w:bodyDiv w:val="1"/>
      <w:marLeft w:val="0"/>
      <w:marRight w:val="0"/>
      <w:marTop w:val="0"/>
      <w:marBottom w:val="0"/>
      <w:divBdr>
        <w:top w:val="none" w:sz="0" w:space="0" w:color="auto"/>
        <w:left w:val="none" w:sz="0" w:space="0" w:color="auto"/>
        <w:bottom w:val="none" w:sz="0" w:space="0" w:color="auto"/>
        <w:right w:val="none" w:sz="0" w:space="0" w:color="auto"/>
      </w:divBdr>
    </w:div>
    <w:div w:id="925071221">
      <w:bodyDiv w:val="1"/>
      <w:marLeft w:val="0"/>
      <w:marRight w:val="0"/>
      <w:marTop w:val="0"/>
      <w:marBottom w:val="0"/>
      <w:divBdr>
        <w:top w:val="none" w:sz="0" w:space="0" w:color="auto"/>
        <w:left w:val="none" w:sz="0" w:space="0" w:color="auto"/>
        <w:bottom w:val="none" w:sz="0" w:space="0" w:color="auto"/>
        <w:right w:val="none" w:sz="0" w:space="0" w:color="auto"/>
      </w:divBdr>
    </w:div>
    <w:div w:id="939949240">
      <w:bodyDiv w:val="1"/>
      <w:marLeft w:val="0"/>
      <w:marRight w:val="0"/>
      <w:marTop w:val="0"/>
      <w:marBottom w:val="0"/>
      <w:divBdr>
        <w:top w:val="none" w:sz="0" w:space="0" w:color="auto"/>
        <w:left w:val="none" w:sz="0" w:space="0" w:color="auto"/>
        <w:bottom w:val="none" w:sz="0" w:space="0" w:color="auto"/>
        <w:right w:val="none" w:sz="0" w:space="0" w:color="auto"/>
      </w:divBdr>
      <w:divsChild>
        <w:div w:id="148641898">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104376429">
      <w:bodyDiv w:val="1"/>
      <w:marLeft w:val="0"/>
      <w:marRight w:val="0"/>
      <w:marTop w:val="0"/>
      <w:marBottom w:val="0"/>
      <w:divBdr>
        <w:top w:val="none" w:sz="0" w:space="0" w:color="auto"/>
        <w:left w:val="none" w:sz="0" w:space="0" w:color="auto"/>
        <w:bottom w:val="none" w:sz="0" w:space="0" w:color="auto"/>
        <w:right w:val="none" w:sz="0" w:space="0" w:color="auto"/>
      </w:divBdr>
    </w:div>
    <w:div w:id="1123426135">
      <w:bodyDiv w:val="1"/>
      <w:marLeft w:val="0"/>
      <w:marRight w:val="0"/>
      <w:marTop w:val="0"/>
      <w:marBottom w:val="0"/>
      <w:divBdr>
        <w:top w:val="none" w:sz="0" w:space="0" w:color="auto"/>
        <w:left w:val="none" w:sz="0" w:space="0" w:color="auto"/>
        <w:bottom w:val="none" w:sz="0" w:space="0" w:color="auto"/>
        <w:right w:val="none" w:sz="0" w:space="0" w:color="auto"/>
      </w:divBdr>
    </w:div>
    <w:div w:id="1124157290">
      <w:bodyDiv w:val="1"/>
      <w:marLeft w:val="0"/>
      <w:marRight w:val="0"/>
      <w:marTop w:val="0"/>
      <w:marBottom w:val="0"/>
      <w:divBdr>
        <w:top w:val="none" w:sz="0" w:space="0" w:color="auto"/>
        <w:left w:val="none" w:sz="0" w:space="0" w:color="auto"/>
        <w:bottom w:val="none" w:sz="0" w:space="0" w:color="auto"/>
        <w:right w:val="none" w:sz="0" w:space="0" w:color="auto"/>
      </w:divBdr>
    </w:div>
    <w:div w:id="1140346654">
      <w:bodyDiv w:val="1"/>
      <w:marLeft w:val="0"/>
      <w:marRight w:val="0"/>
      <w:marTop w:val="0"/>
      <w:marBottom w:val="0"/>
      <w:divBdr>
        <w:top w:val="none" w:sz="0" w:space="0" w:color="auto"/>
        <w:left w:val="none" w:sz="0" w:space="0" w:color="auto"/>
        <w:bottom w:val="none" w:sz="0" w:space="0" w:color="auto"/>
        <w:right w:val="none" w:sz="0" w:space="0" w:color="auto"/>
      </w:divBdr>
    </w:div>
    <w:div w:id="1313867211">
      <w:bodyDiv w:val="1"/>
      <w:marLeft w:val="0"/>
      <w:marRight w:val="0"/>
      <w:marTop w:val="0"/>
      <w:marBottom w:val="0"/>
      <w:divBdr>
        <w:top w:val="none" w:sz="0" w:space="0" w:color="auto"/>
        <w:left w:val="none" w:sz="0" w:space="0" w:color="auto"/>
        <w:bottom w:val="none" w:sz="0" w:space="0" w:color="auto"/>
        <w:right w:val="none" w:sz="0" w:space="0" w:color="auto"/>
      </w:divBdr>
    </w:div>
    <w:div w:id="1418743661">
      <w:bodyDiv w:val="1"/>
      <w:marLeft w:val="0"/>
      <w:marRight w:val="0"/>
      <w:marTop w:val="0"/>
      <w:marBottom w:val="0"/>
      <w:divBdr>
        <w:top w:val="none" w:sz="0" w:space="0" w:color="auto"/>
        <w:left w:val="none" w:sz="0" w:space="0" w:color="auto"/>
        <w:bottom w:val="none" w:sz="0" w:space="0" w:color="auto"/>
        <w:right w:val="none" w:sz="0" w:space="0" w:color="auto"/>
      </w:divBdr>
    </w:div>
    <w:div w:id="1420248530">
      <w:bodyDiv w:val="1"/>
      <w:marLeft w:val="0"/>
      <w:marRight w:val="0"/>
      <w:marTop w:val="0"/>
      <w:marBottom w:val="0"/>
      <w:divBdr>
        <w:top w:val="none" w:sz="0" w:space="0" w:color="auto"/>
        <w:left w:val="none" w:sz="0" w:space="0" w:color="auto"/>
        <w:bottom w:val="none" w:sz="0" w:space="0" w:color="auto"/>
        <w:right w:val="none" w:sz="0" w:space="0" w:color="auto"/>
      </w:divBdr>
    </w:div>
    <w:div w:id="1596397706">
      <w:bodyDiv w:val="1"/>
      <w:marLeft w:val="0"/>
      <w:marRight w:val="0"/>
      <w:marTop w:val="0"/>
      <w:marBottom w:val="0"/>
      <w:divBdr>
        <w:top w:val="none" w:sz="0" w:space="0" w:color="auto"/>
        <w:left w:val="none" w:sz="0" w:space="0" w:color="auto"/>
        <w:bottom w:val="none" w:sz="0" w:space="0" w:color="auto"/>
        <w:right w:val="none" w:sz="0" w:space="0" w:color="auto"/>
      </w:divBdr>
    </w:div>
    <w:div w:id="1617060103">
      <w:bodyDiv w:val="1"/>
      <w:marLeft w:val="0"/>
      <w:marRight w:val="0"/>
      <w:marTop w:val="0"/>
      <w:marBottom w:val="0"/>
      <w:divBdr>
        <w:top w:val="none" w:sz="0" w:space="0" w:color="auto"/>
        <w:left w:val="none" w:sz="0" w:space="0" w:color="auto"/>
        <w:bottom w:val="none" w:sz="0" w:space="0" w:color="auto"/>
        <w:right w:val="none" w:sz="0" w:space="0" w:color="auto"/>
      </w:divBdr>
    </w:div>
    <w:div w:id="1693873588">
      <w:bodyDiv w:val="1"/>
      <w:marLeft w:val="0"/>
      <w:marRight w:val="0"/>
      <w:marTop w:val="0"/>
      <w:marBottom w:val="0"/>
      <w:divBdr>
        <w:top w:val="none" w:sz="0" w:space="0" w:color="auto"/>
        <w:left w:val="none" w:sz="0" w:space="0" w:color="auto"/>
        <w:bottom w:val="none" w:sz="0" w:space="0" w:color="auto"/>
        <w:right w:val="none" w:sz="0" w:space="0" w:color="auto"/>
      </w:divBdr>
      <w:divsChild>
        <w:div w:id="81492406">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97390259">
      <w:bodyDiv w:val="1"/>
      <w:marLeft w:val="0"/>
      <w:marRight w:val="0"/>
      <w:marTop w:val="0"/>
      <w:marBottom w:val="0"/>
      <w:divBdr>
        <w:top w:val="none" w:sz="0" w:space="0" w:color="auto"/>
        <w:left w:val="none" w:sz="0" w:space="0" w:color="auto"/>
        <w:bottom w:val="none" w:sz="0" w:space="0" w:color="auto"/>
        <w:right w:val="none" w:sz="0" w:space="0" w:color="auto"/>
      </w:divBdr>
    </w:div>
    <w:div w:id="1725250023">
      <w:bodyDiv w:val="1"/>
      <w:marLeft w:val="0"/>
      <w:marRight w:val="0"/>
      <w:marTop w:val="0"/>
      <w:marBottom w:val="0"/>
      <w:divBdr>
        <w:top w:val="none" w:sz="0" w:space="0" w:color="auto"/>
        <w:left w:val="none" w:sz="0" w:space="0" w:color="auto"/>
        <w:bottom w:val="none" w:sz="0" w:space="0" w:color="auto"/>
        <w:right w:val="none" w:sz="0" w:space="0" w:color="auto"/>
      </w:divBdr>
    </w:div>
    <w:div w:id="1736314259">
      <w:bodyDiv w:val="1"/>
      <w:marLeft w:val="0"/>
      <w:marRight w:val="0"/>
      <w:marTop w:val="0"/>
      <w:marBottom w:val="0"/>
      <w:divBdr>
        <w:top w:val="none" w:sz="0" w:space="0" w:color="auto"/>
        <w:left w:val="none" w:sz="0" w:space="0" w:color="auto"/>
        <w:bottom w:val="none" w:sz="0" w:space="0" w:color="auto"/>
        <w:right w:val="none" w:sz="0" w:space="0" w:color="auto"/>
      </w:divBdr>
    </w:div>
    <w:div w:id="1785031133">
      <w:bodyDiv w:val="1"/>
      <w:marLeft w:val="0"/>
      <w:marRight w:val="0"/>
      <w:marTop w:val="0"/>
      <w:marBottom w:val="0"/>
      <w:divBdr>
        <w:top w:val="none" w:sz="0" w:space="0" w:color="auto"/>
        <w:left w:val="none" w:sz="0" w:space="0" w:color="auto"/>
        <w:bottom w:val="none" w:sz="0" w:space="0" w:color="auto"/>
        <w:right w:val="none" w:sz="0" w:space="0" w:color="auto"/>
      </w:divBdr>
    </w:div>
    <w:div w:id="181968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en.wikipedia.org/wiki/Indian_rupe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ysClr val="windowText" lastClr="000000"/>
          </a:solidFill>
        </a:ln>
        <a:effectLst/>
        <a:sp3d>
          <a:contourClr>
            <a:sysClr val="windowText" lastClr="000000"/>
          </a:contourClr>
        </a:sp3d>
      </c:spPr>
    </c:floor>
    <c:sideWall>
      <c:thickness val="0"/>
      <c:spPr>
        <a:noFill/>
        <a:ln>
          <a:solidFill>
            <a:sysClr val="windowText" lastClr="000000"/>
          </a:solidFill>
        </a:ln>
        <a:effectLst/>
        <a:sp3d>
          <a:contourClr>
            <a:sysClr val="windowText" lastClr="000000"/>
          </a:contourClr>
        </a:sp3d>
      </c:spPr>
    </c:sideWall>
    <c:backWall>
      <c:thickness val="0"/>
      <c:spPr>
        <a:noFill/>
        <a:ln>
          <a:solidFill>
            <a:sysClr val="windowText" lastClr="000000"/>
          </a:solidFill>
        </a:ln>
        <a:effectLst/>
        <a:sp3d>
          <a:contourClr>
            <a:sysClr val="windowText" lastClr="000000"/>
          </a:contourClr>
        </a:sp3d>
      </c:spPr>
    </c:backWall>
    <c:plotArea>
      <c:layout/>
      <c:bar3DChart>
        <c:barDir val="col"/>
        <c:grouping val="clustered"/>
        <c:varyColors val="0"/>
        <c:ser>
          <c:idx val="0"/>
          <c:order val="0"/>
          <c:tx>
            <c:strRef>
              <c:f>Sheet1!$B$233</c:f>
              <c:strCache>
                <c:ptCount val="1"/>
                <c:pt idx="0">
                  <c:v>Net return</c:v>
                </c:pt>
              </c:strCache>
            </c:strRef>
          </c:tx>
          <c:spPr>
            <a:solidFill>
              <a:srgbClr val="00B050"/>
            </a:solidFill>
            <a:ln>
              <a:noFill/>
            </a:ln>
            <a:effectLst/>
            <a:sp3d/>
          </c:spPr>
          <c:invertIfNegative val="0"/>
          <c:cat>
            <c:strRef>
              <c:f>Sheet1!$A$234:$A$245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Sheet1!$B$234:$B$245</c:f>
              <c:numCache>
                <c:formatCode>0.00</c:formatCode>
                <c:ptCount val="12"/>
                <c:pt idx="0">
                  <c:v>56639.08</c:v>
                </c:pt>
                <c:pt idx="1">
                  <c:v>64043.08</c:v>
                </c:pt>
                <c:pt idx="2">
                  <c:v>44126.229999999996</c:v>
                </c:pt>
                <c:pt idx="3">
                  <c:v>13951.080000000004</c:v>
                </c:pt>
                <c:pt idx="4" formatCode="General">
                  <c:v>103271.08</c:v>
                </c:pt>
                <c:pt idx="5">
                  <c:v>39315.08</c:v>
                </c:pt>
                <c:pt idx="6">
                  <c:v>25084.206666666658</c:v>
                </c:pt>
                <c:pt idx="7">
                  <c:v>32732.206666666658</c:v>
                </c:pt>
                <c:pt idx="8">
                  <c:v>26092.206666666658</c:v>
                </c:pt>
                <c:pt idx="9">
                  <c:v>31362.873333333297</c:v>
                </c:pt>
                <c:pt idx="10" formatCode="General">
                  <c:v>103356.41333333311</c:v>
                </c:pt>
                <c:pt idx="11">
                  <c:v>-10904.919999999969</c:v>
                </c:pt>
              </c:numCache>
            </c:numRef>
          </c:val>
          <c:extLst>
            <c:ext xmlns:c16="http://schemas.microsoft.com/office/drawing/2014/chart" uri="{C3380CC4-5D6E-409C-BE32-E72D297353CC}">
              <c16:uniqueId val="{00000000-7AF3-4F7C-B9A2-346CFEEBE676}"/>
            </c:ext>
          </c:extLst>
        </c:ser>
        <c:dLbls>
          <c:showLegendKey val="0"/>
          <c:showVal val="0"/>
          <c:showCatName val="0"/>
          <c:showSerName val="0"/>
          <c:showPercent val="0"/>
          <c:showBubbleSize val="0"/>
        </c:dLbls>
        <c:gapWidth val="150"/>
        <c:shape val="box"/>
        <c:axId val="235371904"/>
        <c:axId val="235398656"/>
        <c:axId val="0"/>
      </c:bar3DChart>
      <c:catAx>
        <c:axId val="235371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a:solidFill>
                      <a:srgbClr val="002060"/>
                    </a:solidFill>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en-US"/>
          </a:p>
        </c:txPr>
        <c:crossAx val="235398656"/>
        <c:crosses val="autoZero"/>
        <c:auto val="1"/>
        <c:lblAlgn val="ctr"/>
        <c:lblOffset val="100"/>
        <c:noMultiLvlLbl val="0"/>
      </c:catAx>
      <c:valAx>
        <c:axId val="235398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a:solidFill>
                      <a:srgbClr val="002060"/>
                    </a:solidFill>
                    <a:latin typeface="Times New Roman" panose="02020603050405020304" pitchFamily="18" charset="0"/>
                    <a:cs typeface="Times New Roman" panose="02020603050405020304" pitchFamily="18" charset="0"/>
                  </a:rPr>
                  <a:t>Net</a:t>
                </a:r>
                <a:r>
                  <a:rPr lang="en-US" sz="1100" b="1" baseline="0">
                    <a:solidFill>
                      <a:srgbClr val="002060"/>
                    </a:solidFill>
                    <a:latin typeface="Times New Roman" panose="02020603050405020304" pitchFamily="18" charset="0"/>
                    <a:cs typeface="Times New Roman" panose="02020603050405020304" pitchFamily="18" charset="0"/>
                  </a:rPr>
                  <a:t> return (₹ ha</a:t>
                </a:r>
                <a:r>
                  <a:rPr lang="en-US" sz="1100" b="1" baseline="30000">
                    <a:solidFill>
                      <a:srgbClr val="002060"/>
                    </a:solidFill>
                    <a:latin typeface="Times New Roman" panose="02020603050405020304" pitchFamily="18" charset="0"/>
                    <a:cs typeface="Times New Roman" panose="02020603050405020304" pitchFamily="18" charset="0"/>
                  </a:rPr>
                  <a:t>-1</a:t>
                </a:r>
                <a:r>
                  <a:rPr lang="en-US" sz="1100" b="1" baseline="0">
                    <a:solidFill>
                      <a:srgbClr val="002060"/>
                    </a:solidFill>
                    <a:latin typeface="Times New Roman" panose="02020603050405020304" pitchFamily="18" charset="0"/>
                    <a:cs typeface="Times New Roman" panose="02020603050405020304" pitchFamily="18" charset="0"/>
                  </a:rPr>
                  <a:t>)</a:t>
                </a:r>
                <a:endParaRPr lang="en-US" sz="1100" b="1">
                  <a:solidFill>
                    <a:srgbClr val="00206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en-US"/>
          </a:p>
        </c:txPr>
        <c:crossAx val="235371904"/>
        <c:crosses val="autoZero"/>
        <c:crossBetween val="between"/>
      </c:valAx>
      <c:spPr>
        <a:noFill/>
        <a:ln>
          <a:noFill/>
        </a:ln>
        <a:effectLst/>
      </c:spPr>
    </c:plotArea>
    <c:legend>
      <c:legendPos val="t"/>
      <c:overlay val="0"/>
      <c:spPr>
        <a:noFill/>
        <a:ln>
          <a:solidFill>
            <a:sysClr val="windowText" lastClr="000000"/>
          </a:solid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ysClr val="windowText" lastClr="000000"/>
          </a:solidFill>
        </a:ln>
        <a:effectLst/>
        <a:sp3d>
          <a:contourClr>
            <a:sysClr val="windowText" lastClr="000000"/>
          </a:contourClr>
        </a:sp3d>
      </c:spPr>
    </c:floor>
    <c:sideWall>
      <c:thickness val="0"/>
      <c:spPr>
        <a:noFill/>
        <a:ln>
          <a:solidFill>
            <a:sysClr val="windowText" lastClr="000000"/>
          </a:solidFill>
        </a:ln>
        <a:effectLst/>
        <a:sp3d>
          <a:contourClr>
            <a:sysClr val="windowText" lastClr="000000"/>
          </a:contourClr>
        </a:sp3d>
      </c:spPr>
    </c:sideWall>
    <c:backWall>
      <c:thickness val="0"/>
      <c:spPr>
        <a:noFill/>
        <a:ln>
          <a:solidFill>
            <a:sysClr val="windowText" lastClr="000000"/>
          </a:solidFill>
        </a:ln>
        <a:effectLst/>
        <a:sp3d>
          <a:contourClr>
            <a:sysClr val="windowText" lastClr="000000"/>
          </a:contourClr>
        </a:sp3d>
      </c:spPr>
    </c:backWall>
    <c:plotArea>
      <c:layout/>
      <c:bar3DChart>
        <c:barDir val="col"/>
        <c:grouping val="clustered"/>
        <c:varyColors val="0"/>
        <c:ser>
          <c:idx val="0"/>
          <c:order val="0"/>
          <c:tx>
            <c:strRef>
              <c:f>Sheet1!$D$233</c:f>
              <c:strCache>
                <c:ptCount val="1"/>
                <c:pt idx="0">
                  <c:v>B-C ratio</c:v>
                </c:pt>
              </c:strCache>
            </c:strRef>
          </c:tx>
          <c:spPr>
            <a:solidFill>
              <a:schemeClr val="accent2"/>
            </a:solidFill>
            <a:ln>
              <a:noFill/>
            </a:ln>
            <a:effectLst/>
            <a:sp3d/>
          </c:spPr>
          <c:invertIfNegative val="0"/>
          <c:cat>
            <c:strRef>
              <c:f>Sheet1!$C$234:$C$245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Sheet1!$D$234:$D$245</c:f>
              <c:numCache>
                <c:formatCode>0.00</c:formatCode>
                <c:ptCount val="12"/>
                <c:pt idx="0">
                  <c:v>1.9303784612070825</c:v>
                </c:pt>
                <c:pt idx="1">
                  <c:v>2.1389817012970989</c:v>
                </c:pt>
                <c:pt idx="2">
                  <c:v>1.5271883869775393</c:v>
                </c:pt>
                <c:pt idx="3">
                  <c:v>0.48072493911288988</c:v>
                </c:pt>
                <c:pt idx="4">
                  <c:v>3.47703303466694</c:v>
                </c:pt>
                <c:pt idx="5">
                  <c:v>1.3335771068202791</c:v>
                </c:pt>
                <c:pt idx="6">
                  <c:v>0.74756699010106586</c:v>
                </c:pt>
                <c:pt idx="7">
                  <c:v>0.93642432658569663</c:v>
                </c:pt>
                <c:pt idx="8">
                  <c:v>0.82689441260179419</c:v>
                </c:pt>
                <c:pt idx="9">
                  <c:v>0.95170345177354865</c:v>
                </c:pt>
                <c:pt idx="10">
                  <c:v>2.8805396665785992</c:v>
                </c:pt>
                <c:pt idx="11">
                  <c:v>-0.3775821545851033</c:v>
                </c:pt>
              </c:numCache>
            </c:numRef>
          </c:val>
          <c:extLst>
            <c:ext xmlns:c16="http://schemas.microsoft.com/office/drawing/2014/chart" uri="{C3380CC4-5D6E-409C-BE32-E72D297353CC}">
              <c16:uniqueId val="{00000000-B4FA-4C8F-9201-B626754BF8DC}"/>
            </c:ext>
          </c:extLst>
        </c:ser>
        <c:dLbls>
          <c:showLegendKey val="0"/>
          <c:showVal val="0"/>
          <c:showCatName val="0"/>
          <c:showSerName val="0"/>
          <c:showPercent val="0"/>
          <c:showBubbleSize val="0"/>
        </c:dLbls>
        <c:gapWidth val="150"/>
        <c:shape val="box"/>
        <c:axId val="223160960"/>
        <c:axId val="247440128"/>
        <c:axId val="0"/>
      </c:bar3DChart>
      <c:catAx>
        <c:axId val="223160960"/>
        <c:scaling>
          <c:orientation val="minMax"/>
        </c:scaling>
        <c:delete val="0"/>
        <c:axPos val="b"/>
        <c:title>
          <c:tx>
            <c:rich>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r>
                  <a:rPr lang="en-US" sz="1100" b="1">
                    <a:solidFill>
                      <a:srgbClr val="002060"/>
                    </a:solidFill>
                    <a:latin typeface="Times New Roman" panose="02020603050405020304" pitchFamily="18" charset="0"/>
                    <a:cs typeface="Times New Roman" panose="02020603050405020304" pitchFamily="18" charset="0"/>
                  </a:rPr>
                  <a:t>Treatments</a:t>
                </a:r>
              </a:p>
            </c:rich>
          </c:tx>
          <c:layout>
            <c:manualLayout>
              <c:xMode val="edge"/>
              <c:yMode val="edge"/>
              <c:x val="0.47739553274072777"/>
              <c:y val="0.9291970983941990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accent3">
                    <a:lumMod val="50000"/>
                  </a:schemeClr>
                </a:solidFill>
                <a:latin typeface="Times New Roman" panose="02020603050405020304" pitchFamily="18" charset="0"/>
                <a:ea typeface="+mn-ea"/>
                <a:cs typeface="Times New Roman" panose="02020603050405020304" pitchFamily="18" charset="0"/>
              </a:defRPr>
            </a:pPr>
            <a:endParaRPr lang="en-US"/>
          </a:p>
        </c:txPr>
        <c:crossAx val="247440128"/>
        <c:crosses val="autoZero"/>
        <c:auto val="1"/>
        <c:lblAlgn val="ctr"/>
        <c:lblOffset val="100"/>
        <c:noMultiLvlLbl val="0"/>
      </c:catAx>
      <c:valAx>
        <c:axId val="24744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rgbClr val="002060"/>
                    </a:solidFill>
                    <a:latin typeface="+mn-lt"/>
                    <a:ea typeface="+mn-ea"/>
                    <a:cs typeface="+mn-cs"/>
                  </a:defRPr>
                </a:pPr>
                <a:r>
                  <a:rPr lang="en-US" sz="1100" b="1">
                    <a:solidFill>
                      <a:srgbClr val="002060"/>
                    </a:solidFill>
                    <a:latin typeface="Times New Roman" panose="02020603050405020304" pitchFamily="18" charset="0"/>
                    <a:cs typeface="Times New Roman" panose="02020603050405020304" pitchFamily="18" charset="0"/>
                  </a:rPr>
                  <a:t>B-C</a:t>
                </a:r>
                <a:r>
                  <a:rPr lang="en-US" sz="1100" b="1" baseline="0">
                    <a:solidFill>
                      <a:srgbClr val="002060"/>
                    </a:solidFill>
                    <a:latin typeface="Times New Roman" panose="02020603050405020304" pitchFamily="18" charset="0"/>
                    <a:cs typeface="Times New Roman" panose="02020603050405020304" pitchFamily="18" charset="0"/>
                  </a:rPr>
                  <a:t> ratio</a:t>
                </a:r>
                <a:endParaRPr lang="en-US" sz="1100" b="1">
                  <a:solidFill>
                    <a:srgbClr val="00206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accent3">
                    <a:lumMod val="50000"/>
                  </a:schemeClr>
                </a:solidFill>
                <a:latin typeface="Times New Roman" panose="02020603050405020304" pitchFamily="18" charset="0"/>
                <a:ea typeface="+mn-ea"/>
                <a:cs typeface="Times New Roman" panose="02020603050405020304" pitchFamily="18" charset="0"/>
              </a:defRPr>
            </a:pPr>
            <a:endParaRPr lang="en-US"/>
          </a:p>
        </c:txPr>
        <c:crossAx val="223160960"/>
        <c:crosses val="autoZero"/>
        <c:crossBetween val="between"/>
      </c:valAx>
      <c:spPr>
        <a:noFill/>
        <a:ln>
          <a:noFill/>
        </a:ln>
        <a:effectLst/>
      </c:spPr>
    </c:plotArea>
    <c:legend>
      <c:legendPos val="t"/>
      <c:overlay val="0"/>
      <c:spPr>
        <a:noFill/>
        <a:ln>
          <a:solidFill>
            <a:sysClr val="windowText" lastClr="000000"/>
          </a:solid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DD80833-8A9F-4901-A6B8-92C20688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5059</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Editor-22</cp:lastModifiedBy>
  <cp:revision>20</cp:revision>
  <dcterms:created xsi:type="dcterms:W3CDTF">2025-05-05T04:41:00Z</dcterms:created>
  <dcterms:modified xsi:type="dcterms:W3CDTF">2025-05-05T11:05:00Z</dcterms:modified>
</cp:coreProperties>
</file>