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2774" w14:textId="77777777" w:rsidR="000A15A5" w:rsidRPr="000A15A5" w:rsidRDefault="000A15A5" w:rsidP="000A15A5">
      <w:pPr>
        <w:spacing w:after="0" w:line="240" w:lineRule="auto"/>
        <w:jc w:val="center"/>
        <w:rPr>
          <w:rFonts w:ascii="Times New Roman" w:eastAsia="Times New Roman" w:hAnsi="Times New Roman" w:cs="Times New Roman"/>
          <w:b/>
          <w:bCs/>
          <w:i/>
          <w:iCs/>
          <w:sz w:val="24"/>
          <w:szCs w:val="24"/>
          <w:u w:val="single"/>
          <w:lang w:val="en-US" w:eastAsia="en-IN"/>
        </w:rPr>
      </w:pPr>
      <w:r w:rsidRPr="000A15A5">
        <w:rPr>
          <w:rFonts w:ascii="Times New Roman" w:eastAsia="Times New Roman" w:hAnsi="Times New Roman" w:cs="Times New Roman"/>
          <w:b/>
          <w:bCs/>
          <w:i/>
          <w:iCs/>
          <w:sz w:val="24"/>
          <w:szCs w:val="24"/>
          <w:u w:val="single"/>
          <w:lang w:val="en-US" w:eastAsia="en-IN"/>
        </w:rPr>
        <w:t>Original Research Article</w:t>
      </w:r>
    </w:p>
    <w:p w14:paraId="53635509" w14:textId="77777777" w:rsidR="000A15A5" w:rsidRDefault="000A15A5" w:rsidP="00FF0B6A">
      <w:pPr>
        <w:spacing w:after="0" w:line="240" w:lineRule="auto"/>
        <w:jc w:val="center"/>
        <w:rPr>
          <w:rFonts w:ascii="Times New Roman" w:eastAsia="Times New Roman" w:hAnsi="Times New Roman" w:cs="Times New Roman"/>
          <w:b/>
          <w:bCs/>
          <w:sz w:val="24"/>
          <w:szCs w:val="24"/>
          <w:lang w:eastAsia="en-IN"/>
        </w:rPr>
      </w:pPr>
    </w:p>
    <w:p w14:paraId="1B3D6243" w14:textId="1B4579EE" w:rsidR="00D04E7C" w:rsidRDefault="00D04E7C" w:rsidP="00FF0B6A">
      <w:pPr>
        <w:spacing w:after="0" w:line="240" w:lineRule="auto"/>
        <w:jc w:val="center"/>
        <w:rPr>
          <w:rFonts w:ascii="Times New Roman" w:eastAsia="Times New Roman" w:hAnsi="Times New Roman" w:cs="Times New Roman"/>
          <w:b/>
          <w:bCs/>
          <w:sz w:val="24"/>
          <w:szCs w:val="24"/>
          <w:lang w:eastAsia="en-IN"/>
        </w:rPr>
      </w:pPr>
      <w:r w:rsidRPr="00F0475E">
        <w:rPr>
          <w:rFonts w:ascii="Times New Roman" w:eastAsia="Times New Roman" w:hAnsi="Times New Roman" w:cs="Times New Roman"/>
          <w:b/>
          <w:bCs/>
          <w:sz w:val="24"/>
          <w:szCs w:val="24"/>
          <w:lang w:eastAsia="en-IN"/>
        </w:rPr>
        <w:t xml:space="preserve">Acute Toxicity and </w:t>
      </w:r>
      <w:r w:rsidR="004A4FE7" w:rsidRPr="00F0475E">
        <w:rPr>
          <w:rFonts w:ascii="Times New Roman" w:eastAsia="Times New Roman" w:hAnsi="Times New Roman" w:cs="Times New Roman"/>
          <w:b/>
          <w:bCs/>
          <w:sz w:val="24"/>
          <w:szCs w:val="24"/>
          <w:lang w:eastAsia="en-IN"/>
        </w:rPr>
        <w:t>Behavioural</w:t>
      </w:r>
      <w:r w:rsidRPr="00F0475E">
        <w:rPr>
          <w:rFonts w:ascii="Times New Roman" w:eastAsia="Times New Roman" w:hAnsi="Times New Roman" w:cs="Times New Roman"/>
          <w:b/>
          <w:bCs/>
          <w:sz w:val="24"/>
          <w:szCs w:val="24"/>
          <w:lang w:eastAsia="en-IN"/>
        </w:rPr>
        <w:t xml:space="preserve"> Responses of </w:t>
      </w:r>
      <w:r w:rsidRPr="00F0475E">
        <w:rPr>
          <w:rFonts w:ascii="Times New Roman" w:eastAsia="Times New Roman" w:hAnsi="Times New Roman" w:cs="Times New Roman"/>
          <w:b/>
          <w:bCs/>
          <w:i/>
          <w:iCs/>
          <w:sz w:val="24"/>
          <w:szCs w:val="24"/>
          <w:lang w:eastAsia="en-IN"/>
        </w:rPr>
        <w:t xml:space="preserve">Clarias </w:t>
      </w:r>
      <w:proofErr w:type="spellStart"/>
      <w:r w:rsidRPr="00F0475E">
        <w:rPr>
          <w:rFonts w:ascii="Times New Roman" w:eastAsia="Times New Roman" w:hAnsi="Times New Roman" w:cs="Times New Roman"/>
          <w:b/>
          <w:bCs/>
          <w:i/>
          <w:iCs/>
          <w:sz w:val="24"/>
          <w:szCs w:val="24"/>
          <w:lang w:eastAsia="en-IN"/>
        </w:rPr>
        <w:t>batrachus</w:t>
      </w:r>
      <w:proofErr w:type="spellEnd"/>
      <w:r w:rsidRPr="00F0475E">
        <w:rPr>
          <w:rFonts w:ascii="Times New Roman" w:eastAsia="Times New Roman" w:hAnsi="Times New Roman" w:cs="Times New Roman"/>
          <w:b/>
          <w:bCs/>
          <w:sz w:val="24"/>
          <w:szCs w:val="24"/>
          <w:lang w:eastAsia="en-IN"/>
        </w:rPr>
        <w:t xml:space="preserve"> to Herbicide </w:t>
      </w:r>
      <w:proofErr w:type="spellStart"/>
      <w:r w:rsidR="003F0996" w:rsidRPr="00F0475E">
        <w:rPr>
          <w:rFonts w:ascii="Times New Roman" w:eastAsia="Times New Roman" w:hAnsi="Times New Roman" w:cs="Times New Roman"/>
          <w:b/>
          <w:bCs/>
          <w:sz w:val="24"/>
          <w:szCs w:val="24"/>
          <w:lang w:eastAsia="en-IN"/>
        </w:rPr>
        <w:t>Herboclin</w:t>
      </w:r>
      <w:proofErr w:type="spellEnd"/>
      <w:r w:rsidRPr="00F0475E">
        <w:rPr>
          <w:rFonts w:ascii="Times New Roman" w:eastAsia="Times New Roman" w:hAnsi="Times New Roman" w:cs="Times New Roman"/>
          <w:b/>
          <w:bCs/>
          <w:sz w:val="24"/>
          <w:szCs w:val="24"/>
          <w:lang w:eastAsia="en-IN"/>
        </w:rPr>
        <w:t>: A Bioassay Approach</w:t>
      </w:r>
    </w:p>
    <w:p w14:paraId="26327C3E" w14:textId="77777777" w:rsidR="000A15A5" w:rsidRPr="00F0475E" w:rsidRDefault="000A15A5" w:rsidP="00FF0B6A">
      <w:pPr>
        <w:spacing w:after="0" w:line="240" w:lineRule="auto"/>
        <w:jc w:val="center"/>
        <w:rPr>
          <w:rFonts w:ascii="Times New Roman" w:eastAsia="Times New Roman" w:hAnsi="Times New Roman" w:cs="Times New Roman"/>
          <w:b/>
          <w:bCs/>
          <w:sz w:val="24"/>
          <w:szCs w:val="24"/>
          <w:lang w:eastAsia="en-IN"/>
        </w:rPr>
      </w:pPr>
    </w:p>
    <w:p w14:paraId="1CEF75CA" w14:textId="77777777" w:rsidR="00FF0B6A" w:rsidRDefault="00FF0B6A" w:rsidP="00FF0B6A">
      <w:pPr>
        <w:spacing w:after="0" w:line="240" w:lineRule="auto"/>
        <w:jc w:val="center"/>
        <w:rPr>
          <w:rFonts w:ascii="Times New Roman" w:eastAsia="Times New Roman" w:hAnsi="Times New Roman" w:cs="Times New Roman"/>
          <w:sz w:val="24"/>
          <w:szCs w:val="24"/>
          <w:lang w:eastAsia="en-IN"/>
        </w:rPr>
      </w:pPr>
    </w:p>
    <w:p w14:paraId="728DA970" w14:textId="32E9F352" w:rsidR="00A4613B" w:rsidRDefault="00782092" w:rsidP="00782092">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14:paraId="4784035D" w14:textId="77777777" w:rsidR="000A15A5" w:rsidRDefault="000A15A5" w:rsidP="00782092">
      <w:pPr>
        <w:spacing w:after="0" w:line="240" w:lineRule="auto"/>
        <w:jc w:val="center"/>
        <w:rPr>
          <w:rFonts w:ascii="Times New Roman" w:eastAsia="Times New Roman" w:hAnsi="Times New Roman" w:cs="Times New Roman"/>
          <w:sz w:val="24"/>
          <w:szCs w:val="24"/>
          <w:lang w:eastAsia="en-IN"/>
        </w:rPr>
      </w:pPr>
    </w:p>
    <w:p w14:paraId="494AF802" w14:textId="77777777" w:rsidR="000A15A5" w:rsidRDefault="000A15A5" w:rsidP="00782092">
      <w:pPr>
        <w:spacing w:after="0" w:line="240" w:lineRule="auto"/>
        <w:jc w:val="center"/>
        <w:rPr>
          <w:rFonts w:ascii="Times New Roman" w:eastAsia="Times New Roman" w:hAnsi="Times New Roman" w:cs="Times New Roman"/>
          <w:sz w:val="24"/>
          <w:szCs w:val="24"/>
          <w:lang w:eastAsia="en-IN"/>
        </w:rPr>
      </w:pPr>
    </w:p>
    <w:p w14:paraId="52AF8DBF" w14:textId="77777777" w:rsidR="000A15A5" w:rsidRPr="00A4613B" w:rsidRDefault="000A15A5" w:rsidP="00782092">
      <w:pPr>
        <w:spacing w:after="0" w:line="240" w:lineRule="auto"/>
        <w:jc w:val="center"/>
        <w:rPr>
          <w:rFonts w:ascii="Times New Roman" w:eastAsia="Times New Roman" w:hAnsi="Times New Roman" w:cs="Times New Roman"/>
          <w:sz w:val="24"/>
          <w:szCs w:val="24"/>
          <w:lang w:eastAsia="en-IN"/>
        </w:rPr>
      </w:pPr>
    </w:p>
    <w:p w14:paraId="3FAA11CB" w14:textId="77777777" w:rsidR="00A4613B" w:rsidRPr="00D04E7C" w:rsidRDefault="00A4613B" w:rsidP="00FF0B6A">
      <w:pPr>
        <w:spacing w:after="0" w:line="240" w:lineRule="auto"/>
        <w:jc w:val="both"/>
        <w:rPr>
          <w:rFonts w:ascii="Times New Roman" w:eastAsia="Times New Roman" w:hAnsi="Times New Roman" w:cs="Times New Roman"/>
          <w:sz w:val="24"/>
          <w:szCs w:val="24"/>
          <w:lang w:eastAsia="en-IN"/>
        </w:rPr>
      </w:pPr>
    </w:p>
    <w:p w14:paraId="7A7965FE" w14:textId="77777777" w:rsidR="00E22EC9" w:rsidRPr="00E22EC9" w:rsidRDefault="00E22EC9" w:rsidP="00FF0B6A">
      <w:pPr>
        <w:spacing w:after="0" w:line="240" w:lineRule="auto"/>
        <w:rPr>
          <w:rFonts w:ascii="Times New Roman" w:eastAsia="Times New Roman" w:hAnsi="Times New Roman" w:cs="Times New Roman"/>
          <w:sz w:val="24"/>
          <w:szCs w:val="24"/>
          <w:lang w:eastAsia="en-IN"/>
        </w:rPr>
      </w:pPr>
      <w:r w:rsidRPr="00E22EC9">
        <w:rPr>
          <w:rFonts w:ascii="Times New Roman" w:eastAsia="Times New Roman" w:hAnsi="Times New Roman" w:cs="Times New Roman"/>
          <w:b/>
          <w:bCs/>
          <w:sz w:val="24"/>
          <w:szCs w:val="24"/>
          <w:lang w:eastAsia="en-IN"/>
        </w:rPr>
        <w:t>ABSTRACT</w:t>
      </w:r>
    </w:p>
    <w:p w14:paraId="1E4ACBE5" w14:textId="77777777" w:rsidR="00E22EC9" w:rsidRDefault="00E22EC9" w:rsidP="00FF0B6A">
      <w:pPr>
        <w:spacing w:after="0" w:line="240" w:lineRule="auto"/>
        <w:ind w:firstLine="720"/>
        <w:jc w:val="both"/>
        <w:rPr>
          <w:rFonts w:ascii="Times New Roman" w:eastAsia="Times New Roman" w:hAnsi="Times New Roman" w:cs="Times New Roman"/>
          <w:sz w:val="24"/>
          <w:szCs w:val="24"/>
          <w:lang w:eastAsia="en-IN"/>
        </w:rPr>
      </w:pPr>
      <w:r w:rsidRPr="00E22EC9">
        <w:rPr>
          <w:rFonts w:ascii="Times New Roman" w:eastAsia="Times New Roman" w:hAnsi="Times New Roman" w:cs="Times New Roman"/>
          <w:sz w:val="24"/>
          <w:szCs w:val="24"/>
          <w:lang w:eastAsia="en-IN"/>
        </w:rPr>
        <w:t xml:space="preserve">This study investigates the acute toxicity and </w:t>
      </w:r>
      <w:r w:rsidR="003F0996" w:rsidRPr="00E22EC9">
        <w:rPr>
          <w:rFonts w:ascii="Times New Roman" w:eastAsia="Times New Roman" w:hAnsi="Times New Roman" w:cs="Times New Roman"/>
          <w:sz w:val="24"/>
          <w:szCs w:val="24"/>
          <w:lang w:eastAsia="en-IN"/>
        </w:rPr>
        <w:t>behavioural</w:t>
      </w:r>
      <w:r w:rsidRPr="00E22EC9">
        <w:rPr>
          <w:rFonts w:ascii="Times New Roman" w:eastAsia="Times New Roman" w:hAnsi="Times New Roman" w:cs="Times New Roman"/>
          <w:sz w:val="24"/>
          <w:szCs w:val="24"/>
          <w:lang w:eastAsia="en-IN"/>
        </w:rPr>
        <w:t xml:space="preserve"> responses of the herbicide </w:t>
      </w:r>
      <w:proofErr w:type="spellStart"/>
      <w:r w:rsidR="003F0996" w:rsidRPr="003F0996">
        <w:rPr>
          <w:rFonts w:ascii="Times New Roman" w:eastAsia="Times New Roman" w:hAnsi="Times New Roman" w:cs="Times New Roman"/>
          <w:sz w:val="24"/>
          <w:szCs w:val="24"/>
          <w:lang w:eastAsia="en-IN"/>
        </w:rPr>
        <w:t>Herboclin</w:t>
      </w:r>
      <w:proofErr w:type="spellEnd"/>
      <w:r w:rsidRPr="00E22EC9">
        <w:rPr>
          <w:rFonts w:ascii="Times New Roman" w:eastAsia="Times New Roman" w:hAnsi="Times New Roman" w:cs="Times New Roman"/>
          <w:sz w:val="24"/>
          <w:szCs w:val="24"/>
          <w:lang w:eastAsia="en-IN"/>
        </w:rPr>
        <w:t xml:space="preserve"> to the freshwater fish </w:t>
      </w:r>
      <w:r w:rsidRPr="00E22EC9">
        <w:rPr>
          <w:rFonts w:ascii="Times New Roman" w:eastAsia="Times New Roman" w:hAnsi="Times New Roman" w:cs="Times New Roman"/>
          <w:i/>
          <w:iCs/>
          <w:sz w:val="24"/>
          <w:szCs w:val="24"/>
          <w:lang w:eastAsia="en-IN"/>
        </w:rPr>
        <w:t>Clarias batrachus</w:t>
      </w:r>
      <w:r w:rsidRPr="00E22EC9">
        <w:rPr>
          <w:rFonts w:ascii="Times New Roman" w:eastAsia="Times New Roman" w:hAnsi="Times New Roman" w:cs="Times New Roman"/>
          <w:sz w:val="24"/>
          <w:szCs w:val="24"/>
          <w:lang w:eastAsia="en-IN"/>
        </w:rPr>
        <w:t xml:space="preserve"> (Linn). The fish were exposed to various concentrations of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E22EC9">
        <w:rPr>
          <w:rFonts w:ascii="Times New Roman" w:eastAsia="Times New Roman" w:hAnsi="Times New Roman" w:cs="Times New Roman"/>
          <w:sz w:val="24"/>
          <w:szCs w:val="24"/>
          <w:lang w:eastAsia="en-IN"/>
        </w:rPr>
        <w:t xml:space="preserve">for 24, 48, 72, and 96 hours to determine the lethal concentration (LC₅₀) values. The LC₅₀ values calculated from regression equations were 10.16 ppm, 7.00 ppm, 5.17 ppm, and 4.25 ppm for 24, 48, 72, and 96 hours, respectively. The </w:t>
      </w:r>
      <w:r w:rsidR="003F0996" w:rsidRPr="00E22EC9">
        <w:rPr>
          <w:rFonts w:ascii="Times New Roman" w:eastAsia="Times New Roman" w:hAnsi="Times New Roman" w:cs="Times New Roman"/>
          <w:sz w:val="24"/>
          <w:szCs w:val="24"/>
          <w:lang w:eastAsia="en-IN"/>
        </w:rPr>
        <w:t>sub lethal</w:t>
      </w:r>
      <w:r w:rsidRPr="00E22EC9">
        <w:rPr>
          <w:rFonts w:ascii="Times New Roman" w:eastAsia="Times New Roman" w:hAnsi="Times New Roman" w:cs="Times New Roman"/>
          <w:sz w:val="24"/>
          <w:szCs w:val="24"/>
          <w:lang w:eastAsia="en-IN"/>
        </w:rPr>
        <w:t xml:space="preserve"> concentration was determined to be 1.00 ppm. </w:t>
      </w:r>
      <w:r w:rsidR="003F0996" w:rsidRPr="00E22EC9">
        <w:rPr>
          <w:rFonts w:ascii="Times New Roman" w:eastAsia="Times New Roman" w:hAnsi="Times New Roman" w:cs="Times New Roman"/>
          <w:sz w:val="24"/>
          <w:szCs w:val="24"/>
          <w:lang w:eastAsia="en-IN"/>
        </w:rPr>
        <w:t>Behavioural</w:t>
      </w:r>
      <w:r w:rsidRPr="00E22EC9">
        <w:rPr>
          <w:rFonts w:ascii="Times New Roman" w:eastAsia="Times New Roman" w:hAnsi="Times New Roman" w:cs="Times New Roman"/>
          <w:sz w:val="24"/>
          <w:szCs w:val="24"/>
          <w:lang w:eastAsia="en-IN"/>
        </w:rPr>
        <w:t xml:space="preserve"> abnormalities observed included erratic opercular movements, increased aggression, difficulty in breathing, irregular swimming, and excessive mucus secretion. Additionally, the fish exhibited disorientation, loss of balance, and lethargy. These findings indicate the significant toxicological impact of </w:t>
      </w:r>
      <w:proofErr w:type="spellStart"/>
      <w:r w:rsidR="003F0996" w:rsidRPr="003F0996">
        <w:rPr>
          <w:rFonts w:ascii="Times New Roman" w:eastAsia="Times New Roman" w:hAnsi="Times New Roman" w:cs="Times New Roman"/>
          <w:sz w:val="24"/>
          <w:szCs w:val="24"/>
          <w:lang w:eastAsia="en-IN"/>
        </w:rPr>
        <w:t>Herboclin</w:t>
      </w:r>
      <w:proofErr w:type="spellEnd"/>
      <w:r w:rsidRPr="00E22EC9">
        <w:rPr>
          <w:rFonts w:ascii="Times New Roman" w:eastAsia="Times New Roman" w:hAnsi="Times New Roman" w:cs="Times New Roman"/>
          <w:sz w:val="24"/>
          <w:szCs w:val="24"/>
          <w:lang w:eastAsia="en-IN"/>
        </w:rPr>
        <w:t xml:space="preserve"> on </w:t>
      </w:r>
      <w:r w:rsidRPr="00E22EC9">
        <w:rPr>
          <w:rFonts w:ascii="Times New Roman" w:eastAsia="Times New Roman" w:hAnsi="Times New Roman" w:cs="Times New Roman"/>
          <w:i/>
          <w:iCs/>
          <w:sz w:val="24"/>
          <w:szCs w:val="24"/>
          <w:lang w:eastAsia="en-IN"/>
        </w:rPr>
        <w:t>C. batrachus</w:t>
      </w:r>
      <w:r w:rsidRPr="00E22EC9">
        <w:rPr>
          <w:rFonts w:ascii="Times New Roman" w:eastAsia="Times New Roman" w:hAnsi="Times New Roman" w:cs="Times New Roman"/>
          <w:sz w:val="24"/>
          <w:szCs w:val="24"/>
          <w:lang w:eastAsia="en-IN"/>
        </w:rPr>
        <w:t xml:space="preserve">, highlighting the potential hazards of herbicides to aquatic organisms and the need for caution in their environmental use. </w:t>
      </w:r>
    </w:p>
    <w:p w14:paraId="5E6C65D0" w14:textId="77777777" w:rsidR="000A15A5" w:rsidRPr="00E22EC9"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367CC52B" w14:textId="77777777" w:rsidR="00117230" w:rsidRDefault="00117230" w:rsidP="00FF0B6A">
      <w:pPr>
        <w:spacing w:after="0" w:line="240" w:lineRule="auto"/>
        <w:jc w:val="both"/>
        <w:rPr>
          <w:rFonts w:ascii="Times New Roman" w:eastAsia="Times New Roman" w:hAnsi="Times New Roman" w:cs="Times New Roman"/>
          <w:sz w:val="24"/>
          <w:szCs w:val="24"/>
          <w:lang w:eastAsia="en-IN"/>
        </w:rPr>
      </w:pPr>
      <w:r w:rsidRPr="00117230">
        <w:rPr>
          <w:rFonts w:ascii="Times New Roman" w:eastAsia="Times New Roman" w:hAnsi="Times New Roman" w:cs="Times New Roman"/>
          <w:b/>
          <w:bCs/>
          <w:sz w:val="24"/>
          <w:szCs w:val="24"/>
          <w:lang w:eastAsia="en-IN"/>
        </w:rPr>
        <w:t>Keywords</w:t>
      </w:r>
      <w:r w:rsidRPr="00117230">
        <w:rPr>
          <w:rFonts w:ascii="Times New Roman" w:eastAsia="Times New Roman" w:hAnsi="Times New Roman" w:cs="Times New Roman"/>
          <w:sz w:val="24"/>
          <w:szCs w:val="24"/>
          <w:lang w:eastAsia="en-IN"/>
        </w:rPr>
        <w:t xml:space="preserve">: Toxicity, </w:t>
      </w:r>
      <w:r w:rsidRPr="00117230">
        <w:rPr>
          <w:rFonts w:ascii="Times New Roman" w:eastAsia="Times New Roman" w:hAnsi="Times New Roman" w:cs="Times New Roman"/>
          <w:i/>
          <w:iCs/>
          <w:sz w:val="24"/>
          <w:szCs w:val="24"/>
          <w:lang w:eastAsia="en-IN"/>
        </w:rPr>
        <w:t xml:space="preserve">Clarias </w:t>
      </w:r>
      <w:proofErr w:type="spellStart"/>
      <w:r w:rsidRPr="00117230">
        <w:rPr>
          <w:rFonts w:ascii="Times New Roman" w:eastAsia="Times New Roman" w:hAnsi="Times New Roman" w:cs="Times New Roman"/>
          <w:i/>
          <w:iCs/>
          <w:sz w:val="24"/>
          <w:szCs w:val="24"/>
          <w:lang w:eastAsia="en-IN"/>
        </w:rPr>
        <w:t>batrachus</w:t>
      </w:r>
      <w:proofErr w:type="spellEnd"/>
      <w:r w:rsidRPr="00117230">
        <w:rPr>
          <w:rFonts w:ascii="Times New Roman" w:eastAsia="Times New Roman" w:hAnsi="Times New Roman" w:cs="Times New Roman"/>
          <w:sz w:val="24"/>
          <w:szCs w:val="24"/>
          <w:lang w:eastAsia="en-IN"/>
        </w:rPr>
        <w:t xml:space="preserve">, </w:t>
      </w:r>
      <w:proofErr w:type="spellStart"/>
      <w:r w:rsidR="003F0996">
        <w:rPr>
          <w:rFonts w:ascii="Times New Roman" w:eastAsia="Times New Roman" w:hAnsi="Times New Roman" w:cs="Times New Roman"/>
          <w:sz w:val="24"/>
          <w:szCs w:val="24"/>
          <w:lang w:eastAsia="en-IN"/>
        </w:rPr>
        <w:t>Herboclin</w:t>
      </w:r>
      <w:proofErr w:type="spellEnd"/>
      <w:r w:rsidRPr="00117230">
        <w:rPr>
          <w:rFonts w:ascii="Times New Roman" w:eastAsia="Times New Roman" w:hAnsi="Times New Roman" w:cs="Times New Roman"/>
          <w:sz w:val="24"/>
          <w:szCs w:val="24"/>
          <w:lang w:eastAsia="en-IN"/>
        </w:rPr>
        <w:t xml:space="preserve">, LC₅₀, </w:t>
      </w:r>
      <w:r w:rsidR="003F0996" w:rsidRPr="00117230">
        <w:rPr>
          <w:rFonts w:ascii="Times New Roman" w:eastAsia="Times New Roman" w:hAnsi="Times New Roman" w:cs="Times New Roman"/>
          <w:sz w:val="24"/>
          <w:szCs w:val="24"/>
          <w:lang w:eastAsia="en-IN"/>
        </w:rPr>
        <w:t>Behavioural</w:t>
      </w:r>
      <w:r w:rsidRPr="00117230">
        <w:rPr>
          <w:rFonts w:ascii="Times New Roman" w:eastAsia="Times New Roman" w:hAnsi="Times New Roman" w:cs="Times New Roman"/>
          <w:sz w:val="24"/>
          <w:szCs w:val="24"/>
          <w:lang w:eastAsia="en-IN"/>
        </w:rPr>
        <w:t xml:space="preserve"> responses, </w:t>
      </w:r>
    </w:p>
    <w:p w14:paraId="7ECA9E33" w14:textId="77777777" w:rsidR="000A15A5" w:rsidRDefault="000A15A5" w:rsidP="00FF0B6A">
      <w:pPr>
        <w:spacing w:after="0" w:line="240" w:lineRule="auto"/>
        <w:jc w:val="both"/>
        <w:rPr>
          <w:rFonts w:ascii="Times New Roman" w:eastAsia="Times New Roman" w:hAnsi="Times New Roman" w:cs="Times New Roman"/>
          <w:sz w:val="24"/>
          <w:szCs w:val="24"/>
          <w:lang w:eastAsia="en-IN"/>
        </w:rPr>
      </w:pPr>
    </w:p>
    <w:p w14:paraId="08A26F57" w14:textId="77777777" w:rsidR="000A15A5" w:rsidRDefault="000A15A5" w:rsidP="00FF0B6A">
      <w:pPr>
        <w:spacing w:after="0" w:line="240" w:lineRule="auto"/>
        <w:jc w:val="both"/>
        <w:rPr>
          <w:rFonts w:ascii="Times New Roman" w:eastAsia="Times New Roman" w:hAnsi="Times New Roman" w:cs="Times New Roman"/>
          <w:sz w:val="24"/>
          <w:szCs w:val="24"/>
          <w:lang w:eastAsia="en-IN"/>
        </w:rPr>
      </w:pPr>
    </w:p>
    <w:p w14:paraId="6BA4C634" w14:textId="77777777" w:rsidR="004B4B5A" w:rsidRPr="004B4B5A" w:rsidRDefault="004B4B5A" w:rsidP="00FF0B6A">
      <w:pPr>
        <w:spacing w:after="0" w:line="240" w:lineRule="auto"/>
        <w:rPr>
          <w:rFonts w:ascii="Times New Roman" w:eastAsia="Times New Roman" w:hAnsi="Times New Roman" w:cs="Times New Roman"/>
          <w:sz w:val="24"/>
          <w:szCs w:val="24"/>
          <w:lang w:eastAsia="en-IN"/>
        </w:rPr>
      </w:pPr>
      <w:r w:rsidRPr="004B4B5A">
        <w:rPr>
          <w:rFonts w:ascii="Times New Roman" w:eastAsia="Times New Roman" w:hAnsi="Times New Roman" w:cs="Times New Roman"/>
          <w:b/>
          <w:bCs/>
          <w:sz w:val="24"/>
          <w:szCs w:val="24"/>
          <w:lang w:eastAsia="en-IN"/>
        </w:rPr>
        <w:t>INTRODUCTION</w:t>
      </w:r>
    </w:p>
    <w:p w14:paraId="2B54B2F3" w14:textId="77777777" w:rsidR="004B4B5A" w:rsidRPr="004B4B5A" w:rsidRDefault="004B4B5A" w:rsidP="00FF0B6A">
      <w:pPr>
        <w:spacing w:after="0" w:line="240" w:lineRule="auto"/>
        <w:ind w:firstLine="720"/>
        <w:jc w:val="both"/>
        <w:rPr>
          <w:rFonts w:ascii="Times New Roman" w:eastAsia="Times New Roman" w:hAnsi="Times New Roman" w:cs="Times New Roman"/>
          <w:sz w:val="24"/>
          <w:szCs w:val="24"/>
          <w:lang w:eastAsia="en-IN"/>
        </w:rPr>
      </w:pPr>
      <w:r w:rsidRPr="004B4B5A">
        <w:rPr>
          <w:rFonts w:ascii="Times New Roman" w:eastAsia="Times New Roman" w:hAnsi="Times New Roman" w:cs="Times New Roman"/>
          <w:sz w:val="24"/>
          <w:szCs w:val="24"/>
          <w:lang w:eastAsia="en-IN"/>
        </w:rPr>
        <w:t>Pesticides, including herbicides, play a pivotal role in modern agriculture by helping control pests, weeds, and diseases, thereby improving crop yields. However, the unintended consequences of herbicide use on the environment, particularly aquatic ecosystems, have raised growing concerns. These chemicals, when applied in agricultural fields, often leach into nearby water bodies through runoff, causing contamination of aquatic habitats. Fish, being highly sensitive to changes in water quality, are particularly vulnerable to the toxic effects of herbicides</w:t>
      </w:r>
      <w:r w:rsidR="0046016C">
        <w:rPr>
          <w:rFonts w:ascii="Times New Roman" w:eastAsia="Times New Roman" w:hAnsi="Times New Roman" w:cs="Times New Roman"/>
          <w:sz w:val="24"/>
          <w:szCs w:val="24"/>
          <w:lang w:eastAsia="en-IN"/>
        </w:rPr>
        <w:t xml:space="preserve"> (</w:t>
      </w:r>
      <w:r w:rsidR="0046016C" w:rsidRPr="004806F1">
        <w:rPr>
          <w:rFonts w:ascii="Times New Roman" w:hAnsi="Times New Roman" w:cs="Times New Roman"/>
          <w:sz w:val="26"/>
          <w:szCs w:val="26"/>
        </w:rPr>
        <w:t xml:space="preserve">Rekha </w:t>
      </w:r>
      <w:r w:rsidR="00DD2EF0">
        <w:rPr>
          <w:rFonts w:ascii="Times New Roman" w:hAnsi="Times New Roman" w:cs="Times New Roman"/>
          <w:sz w:val="26"/>
          <w:szCs w:val="26"/>
        </w:rPr>
        <w:t>et al.</w:t>
      </w:r>
      <w:r w:rsidR="0046016C" w:rsidRPr="004806F1">
        <w:rPr>
          <w:rFonts w:ascii="Times New Roman" w:hAnsi="Times New Roman" w:cs="Times New Roman"/>
          <w:sz w:val="26"/>
          <w:szCs w:val="26"/>
        </w:rPr>
        <w:t>, 2008</w:t>
      </w:r>
      <w:r w:rsidR="005D5DFD">
        <w:rPr>
          <w:rFonts w:ascii="Times New Roman" w:hAnsi="Times New Roman" w:cs="Times New Roman"/>
          <w:sz w:val="26"/>
          <w:szCs w:val="26"/>
        </w:rPr>
        <w:t xml:space="preserve"> and </w:t>
      </w:r>
      <w:r w:rsidR="005D5DFD" w:rsidRPr="00C27A68">
        <w:rPr>
          <w:rFonts w:ascii="Times New Roman" w:eastAsia="Times New Roman" w:hAnsi="Times New Roman" w:cs="Times New Roman"/>
          <w:sz w:val="24"/>
          <w:szCs w:val="24"/>
          <w:lang w:eastAsia="en-IN"/>
        </w:rPr>
        <w:t>Selvaraj</w:t>
      </w:r>
      <w:r w:rsidR="005D5DFD">
        <w:rPr>
          <w:rFonts w:ascii="Times New Roman" w:eastAsia="Times New Roman" w:hAnsi="Times New Roman" w:cs="Times New Roman"/>
          <w:sz w:val="24"/>
          <w:szCs w:val="24"/>
          <w:lang w:eastAsia="en-IN"/>
        </w:rPr>
        <w:t xml:space="preserve"> et al. 2024</w:t>
      </w:r>
      <w:r w:rsidR="0046016C">
        <w:rPr>
          <w:rFonts w:ascii="Times New Roman" w:hAnsi="Times New Roman" w:cs="Times New Roman"/>
          <w:sz w:val="26"/>
          <w:szCs w:val="26"/>
        </w:rPr>
        <w:t>)</w:t>
      </w:r>
      <w:r w:rsidRPr="004B4B5A">
        <w:rPr>
          <w:rFonts w:ascii="Times New Roman" w:eastAsia="Times New Roman" w:hAnsi="Times New Roman" w:cs="Times New Roman"/>
          <w:sz w:val="24"/>
          <w:szCs w:val="24"/>
          <w:lang w:eastAsia="en-IN"/>
        </w:rPr>
        <w:t>.</w:t>
      </w:r>
    </w:p>
    <w:p w14:paraId="6B61EA11" w14:textId="77777777" w:rsidR="004B4B5A" w:rsidRPr="004B4B5A" w:rsidRDefault="004B4B5A" w:rsidP="00FF0B6A">
      <w:pPr>
        <w:spacing w:after="0" w:line="240" w:lineRule="auto"/>
        <w:ind w:firstLine="720"/>
        <w:jc w:val="both"/>
        <w:rPr>
          <w:rFonts w:ascii="Times New Roman" w:eastAsia="Times New Roman" w:hAnsi="Times New Roman" w:cs="Times New Roman"/>
          <w:sz w:val="24"/>
          <w:szCs w:val="24"/>
          <w:lang w:eastAsia="en-IN"/>
        </w:rPr>
      </w:pPr>
      <w:r w:rsidRPr="004B4B5A">
        <w:rPr>
          <w:rFonts w:ascii="Times New Roman" w:eastAsia="Times New Roman" w:hAnsi="Times New Roman" w:cs="Times New Roman"/>
          <w:sz w:val="24"/>
          <w:szCs w:val="24"/>
          <w:lang w:eastAsia="en-IN"/>
        </w:rPr>
        <w:t>Among the various herbicides used, organophosphates and organochlorines are widely employed to enhance agricultural productivity. Despite their effectiveness in pest control, these chemicals pose significant risks to aquatic life, as they can accumulate in water bodies and affect non-target organisms, including fish</w:t>
      </w:r>
      <w:r w:rsidR="00501EBC">
        <w:rPr>
          <w:rFonts w:ascii="Times New Roman" w:eastAsia="Times New Roman" w:hAnsi="Times New Roman" w:cs="Times New Roman"/>
          <w:sz w:val="24"/>
          <w:szCs w:val="24"/>
          <w:lang w:eastAsia="en-IN"/>
        </w:rPr>
        <w:t xml:space="preserve"> (Raja &amp; Sangita, 2024</w:t>
      </w:r>
      <w:r w:rsidR="005458B6">
        <w:rPr>
          <w:rFonts w:ascii="Times New Roman" w:eastAsia="Times New Roman" w:hAnsi="Times New Roman" w:cs="Times New Roman"/>
          <w:sz w:val="24"/>
          <w:szCs w:val="24"/>
          <w:lang w:eastAsia="en-IN"/>
        </w:rPr>
        <w:t>,</w:t>
      </w:r>
      <w:r w:rsidR="00196842">
        <w:rPr>
          <w:rFonts w:ascii="Times New Roman" w:eastAsia="Times New Roman" w:hAnsi="Times New Roman" w:cs="Times New Roman"/>
          <w:sz w:val="24"/>
          <w:szCs w:val="24"/>
          <w:lang w:eastAsia="en-IN"/>
        </w:rPr>
        <w:t xml:space="preserve"> Antwi &amp; Reddy,</w:t>
      </w:r>
      <w:r w:rsidR="00DC177F">
        <w:rPr>
          <w:rFonts w:ascii="Times New Roman" w:eastAsia="Times New Roman" w:hAnsi="Times New Roman" w:cs="Times New Roman"/>
          <w:sz w:val="24"/>
          <w:szCs w:val="24"/>
          <w:lang w:eastAsia="en-IN"/>
        </w:rPr>
        <w:t xml:space="preserve"> </w:t>
      </w:r>
      <w:r w:rsidR="00196842">
        <w:rPr>
          <w:rFonts w:ascii="Times New Roman" w:eastAsia="Times New Roman" w:hAnsi="Times New Roman" w:cs="Times New Roman"/>
          <w:sz w:val="24"/>
          <w:szCs w:val="24"/>
          <w:lang w:eastAsia="en-IN"/>
        </w:rPr>
        <w:t>2024</w:t>
      </w:r>
      <w:r w:rsidR="00501EBC">
        <w:rPr>
          <w:rFonts w:ascii="Times New Roman" w:eastAsia="Times New Roman" w:hAnsi="Times New Roman" w:cs="Times New Roman"/>
          <w:sz w:val="24"/>
          <w:szCs w:val="24"/>
          <w:lang w:eastAsia="en-IN"/>
        </w:rPr>
        <w:t>)</w:t>
      </w:r>
      <w:r w:rsidRPr="004B4B5A">
        <w:rPr>
          <w:rFonts w:ascii="Times New Roman" w:eastAsia="Times New Roman" w:hAnsi="Times New Roman" w:cs="Times New Roman"/>
          <w:sz w:val="24"/>
          <w:szCs w:val="24"/>
          <w:lang w:eastAsia="en-IN"/>
        </w:rPr>
        <w:t xml:space="preserve">. </w:t>
      </w:r>
      <w:r w:rsidRPr="004B4B5A">
        <w:rPr>
          <w:rFonts w:ascii="Times New Roman" w:eastAsia="Times New Roman" w:hAnsi="Times New Roman" w:cs="Times New Roman"/>
          <w:i/>
          <w:iCs/>
          <w:sz w:val="24"/>
          <w:szCs w:val="24"/>
          <w:lang w:eastAsia="en-IN"/>
        </w:rPr>
        <w:t>Clarias batrachus</w:t>
      </w:r>
      <w:r w:rsidRPr="004B4B5A">
        <w:rPr>
          <w:rFonts w:ascii="Times New Roman" w:eastAsia="Times New Roman" w:hAnsi="Times New Roman" w:cs="Times New Roman"/>
          <w:sz w:val="24"/>
          <w:szCs w:val="24"/>
          <w:lang w:eastAsia="en-IN"/>
        </w:rPr>
        <w:t xml:space="preserve"> (Linn.), a widely distributed freshwater species, serves as an important indicator organism in toxicological studies due to its ecological and economic importance in aquaculture. Exposure to even </w:t>
      </w:r>
      <w:r w:rsidR="003F0996" w:rsidRPr="004B4B5A">
        <w:rPr>
          <w:rFonts w:ascii="Times New Roman" w:eastAsia="Times New Roman" w:hAnsi="Times New Roman" w:cs="Times New Roman"/>
          <w:sz w:val="24"/>
          <w:szCs w:val="24"/>
          <w:lang w:eastAsia="en-IN"/>
        </w:rPr>
        <w:t>sub lethal</w:t>
      </w:r>
      <w:r w:rsidRPr="004B4B5A">
        <w:rPr>
          <w:rFonts w:ascii="Times New Roman" w:eastAsia="Times New Roman" w:hAnsi="Times New Roman" w:cs="Times New Roman"/>
          <w:sz w:val="24"/>
          <w:szCs w:val="24"/>
          <w:lang w:eastAsia="en-IN"/>
        </w:rPr>
        <w:t xml:space="preserve"> concentrations of herbicides can result in altered </w:t>
      </w:r>
      <w:r w:rsidR="003F0996" w:rsidRPr="004B4B5A">
        <w:rPr>
          <w:rFonts w:ascii="Times New Roman" w:eastAsia="Times New Roman" w:hAnsi="Times New Roman" w:cs="Times New Roman"/>
          <w:sz w:val="24"/>
          <w:szCs w:val="24"/>
          <w:lang w:eastAsia="en-IN"/>
        </w:rPr>
        <w:t>behavioural</w:t>
      </w:r>
      <w:r w:rsidRPr="004B4B5A">
        <w:rPr>
          <w:rFonts w:ascii="Times New Roman" w:eastAsia="Times New Roman" w:hAnsi="Times New Roman" w:cs="Times New Roman"/>
          <w:sz w:val="24"/>
          <w:szCs w:val="24"/>
          <w:lang w:eastAsia="en-IN"/>
        </w:rPr>
        <w:t xml:space="preserve"> patterns, physiological stress, and impaired growth, leading to disruptions in the species' survival and reproductive success</w:t>
      </w:r>
      <w:r w:rsidR="00BD4008">
        <w:rPr>
          <w:rFonts w:ascii="Times New Roman" w:eastAsia="Times New Roman" w:hAnsi="Times New Roman" w:cs="Times New Roman"/>
          <w:sz w:val="24"/>
          <w:szCs w:val="24"/>
          <w:lang w:eastAsia="en-IN"/>
        </w:rPr>
        <w:t xml:space="preserve"> (Sandhya &amp; Fazle, 2021)</w:t>
      </w:r>
      <w:r w:rsidRPr="004B4B5A">
        <w:rPr>
          <w:rFonts w:ascii="Times New Roman" w:eastAsia="Times New Roman" w:hAnsi="Times New Roman" w:cs="Times New Roman"/>
          <w:sz w:val="24"/>
          <w:szCs w:val="24"/>
          <w:lang w:eastAsia="en-IN"/>
        </w:rPr>
        <w:t>.</w:t>
      </w:r>
    </w:p>
    <w:p w14:paraId="265D8D8E" w14:textId="77777777" w:rsidR="004B4B5A" w:rsidRPr="004B4B5A" w:rsidRDefault="004B4B5A" w:rsidP="00FF0B6A">
      <w:pPr>
        <w:spacing w:after="0" w:line="240" w:lineRule="auto"/>
        <w:ind w:firstLine="720"/>
        <w:jc w:val="both"/>
        <w:rPr>
          <w:rFonts w:ascii="Times New Roman" w:eastAsia="Times New Roman" w:hAnsi="Times New Roman" w:cs="Times New Roman"/>
          <w:sz w:val="24"/>
          <w:szCs w:val="24"/>
          <w:lang w:eastAsia="en-IN"/>
        </w:rPr>
      </w:pPr>
      <w:r w:rsidRPr="004B4B5A">
        <w:rPr>
          <w:rFonts w:ascii="Times New Roman" w:eastAsia="Times New Roman" w:hAnsi="Times New Roman" w:cs="Times New Roman"/>
          <w:sz w:val="24"/>
          <w:szCs w:val="24"/>
          <w:lang w:eastAsia="en-IN"/>
        </w:rPr>
        <w:t xml:space="preserve">The herbicide </w:t>
      </w:r>
      <w:proofErr w:type="spellStart"/>
      <w:r w:rsidR="003F0996" w:rsidRPr="003F0996">
        <w:rPr>
          <w:rFonts w:ascii="Times New Roman" w:eastAsia="Times New Roman" w:hAnsi="Times New Roman" w:cs="Times New Roman"/>
          <w:sz w:val="24"/>
          <w:szCs w:val="24"/>
          <w:lang w:eastAsia="en-IN"/>
        </w:rPr>
        <w:t>Herboclin</w:t>
      </w:r>
      <w:proofErr w:type="spellEnd"/>
      <w:r w:rsidRPr="004B4B5A">
        <w:rPr>
          <w:rFonts w:ascii="Times New Roman" w:eastAsia="Times New Roman" w:hAnsi="Times New Roman" w:cs="Times New Roman"/>
          <w:sz w:val="24"/>
          <w:szCs w:val="24"/>
          <w:lang w:eastAsia="en-IN"/>
        </w:rPr>
        <w:t xml:space="preserve"> has emerged as a compound of interest in this context, with previous studies, including Jha (2006), documenting its toxic effects on </w:t>
      </w:r>
      <w:r w:rsidRPr="004B4B5A">
        <w:rPr>
          <w:rFonts w:ascii="Times New Roman" w:eastAsia="Times New Roman" w:hAnsi="Times New Roman" w:cs="Times New Roman"/>
          <w:i/>
          <w:iCs/>
          <w:sz w:val="24"/>
          <w:szCs w:val="24"/>
          <w:lang w:eastAsia="en-IN"/>
        </w:rPr>
        <w:t>C. batrachus</w:t>
      </w:r>
      <w:r w:rsidRPr="004B4B5A">
        <w:rPr>
          <w:rFonts w:ascii="Times New Roman" w:eastAsia="Times New Roman" w:hAnsi="Times New Roman" w:cs="Times New Roman"/>
          <w:sz w:val="24"/>
          <w:szCs w:val="24"/>
          <w:lang w:eastAsia="en-IN"/>
        </w:rPr>
        <w:t xml:space="preserve">. However, detailed studies on its acute toxicity and </w:t>
      </w:r>
      <w:r w:rsidR="003F0996" w:rsidRPr="004B4B5A">
        <w:rPr>
          <w:rFonts w:ascii="Times New Roman" w:eastAsia="Times New Roman" w:hAnsi="Times New Roman" w:cs="Times New Roman"/>
          <w:sz w:val="24"/>
          <w:szCs w:val="24"/>
          <w:lang w:eastAsia="en-IN"/>
        </w:rPr>
        <w:t>behavioural</w:t>
      </w:r>
      <w:r w:rsidRPr="004B4B5A">
        <w:rPr>
          <w:rFonts w:ascii="Times New Roman" w:eastAsia="Times New Roman" w:hAnsi="Times New Roman" w:cs="Times New Roman"/>
          <w:sz w:val="24"/>
          <w:szCs w:val="24"/>
          <w:lang w:eastAsia="en-IN"/>
        </w:rPr>
        <w:t xml:space="preserve"> responses in this species are limited. The present study aims to fill this gap by determining the lethal concentration (LC₅₀) of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4B4B5A">
        <w:rPr>
          <w:rFonts w:ascii="Times New Roman" w:eastAsia="Times New Roman" w:hAnsi="Times New Roman" w:cs="Times New Roman"/>
          <w:sz w:val="24"/>
          <w:szCs w:val="24"/>
          <w:lang w:eastAsia="en-IN"/>
        </w:rPr>
        <w:t xml:space="preserve">at various exposure durations—24, 48, 72, and 96 hours—using bioassay methods. Additionally, we observe the </w:t>
      </w:r>
      <w:r w:rsidR="003F0996" w:rsidRPr="004B4B5A">
        <w:rPr>
          <w:rFonts w:ascii="Times New Roman" w:eastAsia="Times New Roman" w:hAnsi="Times New Roman" w:cs="Times New Roman"/>
          <w:sz w:val="24"/>
          <w:szCs w:val="24"/>
          <w:lang w:eastAsia="en-IN"/>
        </w:rPr>
        <w:t>behavioural</w:t>
      </w:r>
      <w:r w:rsidRPr="004B4B5A">
        <w:rPr>
          <w:rFonts w:ascii="Times New Roman" w:eastAsia="Times New Roman" w:hAnsi="Times New Roman" w:cs="Times New Roman"/>
          <w:sz w:val="24"/>
          <w:szCs w:val="24"/>
          <w:lang w:eastAsia="en-IN"/>
        </w:rPr>
        <w:t xml:space="preserve"> changes exhibited by </w:t>
      </w:r>
      <w:r w:rsidRPr="004B4B5A">
        <w:rPr>
          <w:rFonts w:ascii="Times New Roman" w:eastAsia="Times New Roman" w:hAnsi="Times New Roman" w:cs="Times New Roman"/>
          <w:i/>
          <w:iCs/>
          <w:sz w:val="24"/>
          <w:szCs w:val="24"/>
          <w:lang w:eastAsia="en-IN"/>
        </w:rPr>
        <w:t>C. batrachus</w:t>
      </w:r>
      <w:r w:rsidRPr="004B4B5A">
        <w:rPr>
          <w:rFonts w:ascii="Times New Roman" w:eastAsia="Times New Roman" w:hAnsi="Times New Roman" w:cs="Times New Roman"/>
          <w:sz w:val="24"/>
          <w:szCs w:val="24"/>
          <w:lang w:eastAsia="en-IN"/>
        </w:rPr>
        <w:t xml:space="preserve"> in </w:t>
      </w:r>
      <w:r w:rsidRPr="004B4B5A">
        <w:rPr>
          <w:rFonts w:ascii="Times New Roman" w:eastAsia="Times New Roman" w:hAnsi="Times New Roman" w:cs="Times New Roman"/>
          <w:sz w:val="24"/>
          <w:szCs w:val="24"/>
          <w:lang w:eastAsia="en-IN"/>
        </w:rPr>
        <w:lastRenderedPageBreak/>
        <w:t xml:space="preserve">response to exposure, such as erratic swimming, respiratory distress, and mucus secretion. Understanding these responses will provide deeper insights into the </w:t>
      </w:r>
      <w:r w:rsidR="003F0996" w:rsidRPr="004B4B5A">
        <w:rPr>
          <w:rFonts w:ascii="Times New Roman" w:eastAsia="Times New Roman" w:hAnsi="Times New Roman" w:cs="Times New Roman"/>
          <w:sz w:val="24"/>
          <w:szCs w:val="24"/>
          <w:lang w:eastAsia="en-IN"/>
        </w:rPr>
        <w:t>sub lethal</w:t>
      </w:r>
      <w:r w:rsidRPr="004B4B5A">
        <w:rPr>
          <w:rFonts w:ascii="Times New Roman" w:eastAsia="Times New Roman" w:hAnsi="Times New Roman" w:cs="Times New Roman"/>
          <w:sz w:val="24"/>
          <w:szCs w:val="24"/>
          <w:lang w:eastAsia="en-IN"/>
        </w:rPr>
        <w:t xml:space="preserve"> and lethal effects of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4B4B5A">
        <w:rPr>
          <w:rFonts w:ascii="Times New Roman" w:eastAsia="Times New Roman" w:hAnsi="Times New Roman" w:cs="Times New Roman"/>
          <w:sz w:val="24"/>
          <w:szCs w:val="24"/>
          <w:lang w:eastAsia="en-IN"/>
        </w:rPr>
        <w:t>on aquatic organisms and help assess the broader ecological risks associated with herbicide contamination in freshwater systems.</w:t>
      </w:r>
    </w:p>
    <w:p w14:paraId="6E0C5255" w14:textId="77777777" w:rsidR="004B4B5A" w:rsidRDefault="004B4B5A" w:rsidP="00FF0B6A">
      <w:pPr>
        <w:spacing w:after="0" w:line="240" w:lineRule="auto"/>
        <w:ind w:firstLine="720"/>
        <w:jc w:val="both"/>
        <w:rPr>
          <w:rFonts w:ascii="Times New Roman" w:eastAsia="Times New Roman" w:hAnsi="Times New Roman" w:cs="Times New Roman"/>
          <w:sz w:val="24"/>
          <w:szCs w:val="24"/>
          <w:lang w:eastAsia="en-IN"/>
        </w:rPr>
      </w:pPr>
      <w:r w:rsidRPr="004B4B5A">
        <w:rPr>
          <w:rFonts w:ascii="Times New Roman" w:eastAsia="Times New Roman" w:hAnsi="Times New Roman" w:cs="Times New Roman"/>
          <w:sz w:val="24"/>
          <w:szCs w:val="24"/>
          <w:lang w:eastAsia="en-IN"/>
        </w:rPr>
        <w:t xml:space="preserve">This research contributes to the growing body of knowledge regarding herbicide toxicity in aquatic environments and underscores the need for more sustainable agricultural practices that minimize harm to aquatic ecosystems. By assessing both the lethal and </w:t>
      </w:r>
      <w:r w:rsidR="003F0996" w:rsidRPr="004B4B5A">
        <w:rPr>
          <w:rFonts w:ascii="Times New Roman" w:eastAsia="Times New Roman" w:hAnsi="Times New Roman" w:cs="Times New Roman"/>
          <w:sz w:val="24"/>
          <w:szCs w:val="24"/>
          <w:lang w:eastAsia="en-IN"/>
        </w:rPr>
        <w:t>sub lethal</w:t>
      </w:r>
      <w:r w:rsidRPr="004B4B5A">
        <w:rPr>
          <w:rFonts w:ascii="Times New Roman" w:eastAsia="Times New Roman" w:hAnsi="Times New Roman" w:cs="Times New Roman"/>
          <w:sz w:val="24"/>
          <w:szCs w:val="24"/>
          <w:lang w:eastAsia="en-IN"/>
        </w:rPr>
        <w:t xml:space="preserve"> effects of </w:t>
      </w:r>
      <w:proofErr w:type="spellStart"/>
      <w:r w:rsidR="003F0996" w:rsidRPr="003F0996">
        <w:rPr>
          <w:rFonts w:ascii="Times New Roman" w:eastAsia="Times New Roman" w:hAnsi="Times New Roman" w:cs="Times New Roman"/>
          <w:sz w:val="24"/>
          <w:szCs w:val="24"/>
          <w:lang w:eastAsia="en-IN"/>
        </w:rPr>
        <w:t>Herboclin</w:t>
      </w:r>
      <w:proofErr w:type="spellEnd"/>
      <w:r w:rsidRPr="004B4B5A">
        <w:rPr>
          <w:rFonts w:ascii="Times New Roman" w:eastAsia="Times New Roman" w:hAnsi="Times New Roman" w:cs="Times New Roman"/>
          <w:sz w:val="24"/>
          <w:szCs w:val="24"/>
          <w:lang w:eastAsia="en-IN"/>
        </w:rPr>
        <w:t>, we aim to provide valuable data that can inform regulatory measures and ecological risk assessments for the protection of freshwater biodiversity.</w:t>
      </w:r>
    </w:p>
    <w:p w14:paraId="0B4753C5" w14:textId="777777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2E281769" w14:textId="77777777" w:rsidR="000A15A5" w:rsidRPr="004B4B5A"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69BF673C" w14:textId="77777777" w:rsidR="00AA340E" w:rsidRDefault="00AA340E" w:rsidP="00FF0B6A">
      <w:pPr>
        <w:spacing w:after="0" w:line="240" w:lineRule="auto"/>
        <w:jc w:val="both"/>
        <w:rPr>
          <w:rFonts w:ascii="Times New Roman" w:eastAsia="Times New Roman" w:hAnsi="Times New Roman" w:cs="Times New Roman"/>
          <w:b/>
          <w:bCs/>
          <w:sz w:val="24"/>
          <w:szCs w:val="24"/>
          <w:lang w:eastAsia="en-IN"/>
        </w:rPr>
      </w:pPr>
      <w:r w:rsidRPr="00AA340E">
        <w:rPr>
          <w:rFonts w:ascii="Times New Roman" w:eastAsia="Times New Roman" w:hAnsi="Times New Roman" w:cs="Times New Roman"/>
          <w:b/>
          <w:bCs/>
          <w:sz w:val="24"/>
          <w:szCs w:val="24"/>
          <w:lang w:eastAsia="en-IN"/>
        </w:rPr>
        <w:t>MATERIALS AND METHODS</w:t>
      </w:r>
    </w:p>
    <w:p w14:paraId="30DA5439" w14:textId="77777777" w:rsidR="000A15A5" w:rsidRDefault="000A15A5" w:rsidP="00FF0B6A">
      <w:pPr>
        <w:spacing w:after="0" w:line="240" w:lineRule="auto"/>
        <w:jc w:val="both"/>
        <w:rPr>
          <w:rFonts w:ascii="Times New Roman" w:eastAsia="Times New Roman" w:hAnsi="Times New Roman" w:cs="Times New Roman"/>
          <w:b/>
          <w:bCs/>
          <w:sz w:val="24"/>
          <w:szCs w:val="24"/>
          <w:lang w:eastAsia="en-IN"/>
        </w:rPr>
      </w:pPr>
    </w:p>
    <w:p w14:paraId="53047900" w14:textId="77777777" w:rsidR="000A15A5" w:rsidRPr="00AA340E" w:rsidRDefault="000A15A5" w:rsidP="00FF0B6A">
      <w:pPr>
        <w:spacing w:after="0" w:line="240" w:lineRule="auto"/>
        <w:jc w:val="both"/>
        <w:rPr>
          <w:rFonts w:ascii="Times New Roman" w:eastAsia="Times New Roman" w:hAnsi="Times New Roman" w:cs="Times New Roman"/>
          <w:sz w:val="24"/>
          <w:szCs w:val="24"/>
          <w:lang w:eastAsia="en-IN"/>
        </w:rPr>
      </w:pPr>
    </w:p>
    <w:p w14:paraId="6EE85969" w14:textId="77777777" w:rsidR="00AA340E" w:rsidRDefault="00AA340E" w:rsidP="00FF0B6A">
      <w:pPr>
        <w:spacing w:after="0" w:line="240" w:lineRule="auto"/>
        <w:jc w:val="both"/>
        <w:rPr>
          <w:rFonts w:ascii="Times New Roman" w:eastAsia="Times New Roman" w:hAnsi="Times New Roman" w:cs="Times New Roman"/>
          <w:b/>
          <w:bCs/>
          <w:sz w:val="24"/>
          <w:szCs w:val="24"/>
          <w:lang w:eastAsia="en-IN"/>
        </w:rPr>
      </w:pPr>
      <w:r w:rsidRPr="00AA340E">
        <w:rPr>
          <w:rFonts w:ascii="Times New Roman" w:eastAsia="Times New Roman" w:hAnsi="Times New Roman" w:cs="Times New Roman"/>
          <w:b/>
          <w:bCs/>
          <w:sz w:val="24"/>
          <w:szCs w:val="24"/>
          <w:lang w:eastAsia="en-IN"/>
        </w:rPr>
        <w:t>Collection and Acclimatization of Experimental Fish</w:t>
      </w:r>
    </w:p>
    <w:p w14:paraId="62BB1192" w14:textId="77777777" w:rsidR="00AA340E" w:rsidRPr="00AA340E"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AA340E">
        <w:rPr>
          <w:rFonts w:ascii="Times New Roman" w:eastAsia="Times New Roman" w:hAnsi="Times New Roman" w:cs="Times New Roman"/>
          <w:sz w:val="24"/>
          <w:szCs w:val="24"/>
          <w:lang w:eastAsia="en-IN"/>
        </w:rPr>
        <w:t xml:space="preserve">Live adult specimens of </w:t>
      </w:r>
      <w:r w:rsidRPr="00AA340E">
        <w:rPr>
          <w:rFonts w:ascii="Times New Roman" w:eastAsia="Times New Roman" w:hAnsi="Times New Roman" w:cs="Times New Roman"/>
          <w:i/>
          <w:iCs/>
          <w:sz w:val="24"/>
          <w:szCs w:val="24"/>
          <w:lang w:eastAsia="en-IN"/>
        </w:rPr>
        <w:t>Clarias batrachus</w:t>
      </w:r>
      <w:r w:rsidRPr="00AA340E">
        <w:rPr>
          <w:rFonts w:ascii="Times New Roman" w:eastAsia="Times New Roman" w:hAnsi="Times New Roman" w:cs="Times New Roman"/>
          <w:sz w:val="24"/>
          <w:szCs w:val="24"/>
          <w:lang w:eastAsia="en-IN"/>
        </w:rPr>
        <w:t xml:space="preserve"> (commonly known as the walking catfish) were procured from a local fish pond. Immediately after collection, the fish were transported to the laboratory in large, wide-mouthed earthen pots filled to half their capacity with natural pond water, ensuring minimal stress and adequate oxygenation during transit. Upon arrival in the laboratory, the fish were subjected to a prophylactic treatment using a 0.1% potassium permanganate (</w:t>
      </w:r>
      <w:proofErr w:type="spellStart"/>
      <w:r w:rsidRPr="00AA340E">
        <w:rPr>
          <w:rFonts w:ascii="Times New Roman" w:eastAsia="Times New Roman" w:hAnsi="Times New Roman" w:cs="Times New Roman"/>
          <w:sz w:val="24"/>
          <w:szCs w:val="24"/>
          <w:lang w:eastAsia="en-IN"/>
        </w:rPr>
        <w:t>KMnO</w:t>
      </w:r>
      <w:proofErr w:type="spellEnd"/>
      <w:r w:rsidRPr="00AA340E">
        <w:rPr>
          <w:rFonts w:ascii="Times New Roman" w:eastAsia="Times New Roman" w:hAnsi="Times New Roman" w:cs="Times New Roman"/>
          <w:sz w:val="24"/>
          <w:szCs w:val="24"/>
          <w:lang w:eastAsia="en-IN"/>
        </w:rPr>
        <w:t>₄) solution for 2–3 minutes. This treatment helped eliminate any external dermal infections or ectoparasites that might interfere with experimental outcomes.</w:t>
      </w:r>
    </w:p>
    <w:p w14:paraId="3D9DF4C4" w14:textId="77777777" w:rsidR="00AA340E" w:rsidRPr="00AA340E"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AA340E">
        <w:rPr>
          <w:rFonts w:ascii="Times New Roman" w:eastAsia="Times New Roman" w:hAnsi="Times New Roman" w:cs="Times New Roman"/>
          <w:sz w:val="24"/>
          <w:szCs w:val="24"/>
          <w:lang w:eastAsia="en-IN"/>
        </w:rPr>
        <w:t xml:space="preserve">Only healthy and active fish within a specific size and weight range — 12 to 16 cm in length and 80 to 100 grams in weight — were selected for the bioassay studies. These selected individuals were acclimatized to laboratory conditions for a period of 14 days (a fortnight) prior to the experiment. The acclimatization was carried out in well-aerated glass aquaria with a capacity of 40 </w:t>
      </w:r>
      <w:r w:rsidR="00C95CE0" w:rsidRPr="00AA340E">
        <w:rPr>
          <w:rFonts w:ascii="Times New Roman" w:eastAsia="Times New Roman" w:hAnsi="Times New Roman" w:cs="Times New Roman"/>
          <w:sz w:val="24"/>
          <w:szCs w:val="24"/>
          <w:lang w:eastAsia="en-IN"/>
        </w:rPr>
        <w:t>litres</w:t>
      </w:r>
      <w:r w:rsidRPr="00AA340E">
        <w:rPr>
          <w:rFonts w:ascii="Times New Roman" w:eastAsia="Times New Roman" w:hAnsi="Times New Roman" w:cs="Times New Roman"/>
          <w:sz w:val="24"/>
          <w:szCs w:val="24"/>
          <w:lang w:eastAsia="en-IN"/>
        </w:rPr>
        <w:t xml:space="preserve"> each. During this period, the fish were maintained under a controlled photoperiod (12:12 hr </w:t>
      </w:r>
      <w:r w:rsidR="003F0996" w:rsidRPr="00AA340E">
        <w:rPr>
          <w:rFonts w:ascii="Times New Roman" w:eastAsia="Times New Roman" w:hAnsi="Times New Roman" w:cs="Times New Roman"/>
          <w:sz w:val="24"/>
          <w:szCs w:val="24"/>
          <w:lang w:eastAsia="en-IN"/>
        </w:rPr>
        <w:t>light: dark</w:t>
      </w:r>
      <w:r w:rsidRPr="00AA340E">
        <w:rPr>
          <w:rFonts w:ascii="Times New Roman" w:eastAsia="Times New Roman" w:hAnsi="Times New Roman" w:cs="Times New Roman"/>
          <w:sz w:val="24"/>
          <w:szCs w:val="24"/>
          <w:lang w:eastAsia="en-IN"/>
        </w:rPr>
        <w:t xml:space="preserve"> cycle) and fed once daily with a commercial fish feed. Feeding was stopped 24 hours before the commencement of the toxicity tests to avoid any interference from metabolic waste.</w:t>
      </w:r>
    </w:p>
    <w:p w14:paraId="6FC3DE2A" w14:textId="77777777" w:rsidR="00AA340E" w:rsidRPr="00AA340E"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AA340E">
        <w:rPr>
          <w:rFonts w:ascii="Times New Roman" w:eastAsia="Times New Roman" w:hAnsi="Times New Roman" w:cs="Times New Roman"/>
          <w:sz w:val="24"/>
          <w:szCs w:val="24"/>
          <w:lang w:eastAsia="en-IN"/>
        </w:rPr>
        <w:t xml:space="preserve">The water used throughout the acclimatization and experimental phases was clean, aerated running tap water, free from any known contaminants. The physicochemical parameters of the water such as temperature, pH, dissolved oxygen, and total hardness were monitored and maintained within optimal limits for </w:t>
      </w:r>
      <w:r w:rsidRPr="00AA340E">
        <w:rPr>
          <w:rFonts w:ascii="Times New Roman" w:eastAsia="Times New Roman" w:hAnsi="Times New Roman" w:cs="Times New Roman"/>
          <w:i/>
          <w:iCs/>
          <w:sz w:val="24"/>
          <w:szCs w:val="24"/>
          <w:lang w:eastAsia="en-IN"/>
        </w:rPr>
        <w:t>C. batrachus</w:t>
      </w:r>
      <w:r w:rsidRPr="00AA340E">
        <w:rPr>
          <w:rFonts w:ascii="Times New Roman" w:eastAsia="Times New Roman" w:hAnsi="Times New Roman" w:cs="Times New Roman"/>
          <w:sz w:val="24"/>
          <w:szCs w:val="24"/>
          <w:lang w:eastAsia="en-IN"/>
        </w:rPr>
        <w:t xml:space="preserve"> survival and activity.</w:t>
      </w:r>
    </w:p>
    <w:p w14:paraId="482EDEBA" w14:textId="77777777" w:rsidR="00AA340E" w:rsidRDefault="00AA340E" w:rsidP="00FF0B6A">
      <w:pPr>
        <w:spacing w:after="0" w:line="240" w:lineRule="auto"/>
        <w:jc w:val="both"/>
        <w:rPr>
          <w:rFonts w:ascii="Times New Roman" w:eastAsia="Times New Roman" w:hAnsi="Times New Roman" w:cs="Times New Roman"/>
          <w:b/>
          <w:bCs/>
          <w:sz w:val="24"/>
          <w:szCs w:val="24"/>
          <w:lang w:eastAsia="en-IN"/>
        </w:rPr>
      </w:pPr>
      <w:r w:rsidRPr="00AA340E">
        <w:rPr>
          <w:rFonts w:ascii="Times New Roman" w:eastAsia="Times New Roman" w:hAnsi="Times New Roman" w:cs="Times New Roman"/>
          <w:b/>
          <w:bCs/>
          <w:sz w:val="24"/>
          <w:szCs w:val="24"/>
          <w:lang w:eastAsia="en-IN"/>
        </w:rPr>
        <w:t>Acute Toxicity Bioassay</w:t>
      </w:r>
    </w:p>
    <w:p w14:paraId="49236DF2" w14:textId="77777777" w:rsidR="00AA340E" w:rsidRPr="00AA340E"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AA340E">
        <w:rPr>
          <w:rFonts w:ascii="Times New Roman" w:eastAsia="Times New Roman" w:hAnsi="Times New Roman" w:cs="Times New Roman"/>
          <w:sz w:val="24"/>
          <w:szCs w:val="24"/>
          <w:lang w:eastAsia="en-IN"/>
        </w:rPr>
        <w:t xml:space="preserve">Acute toxicity tests were conducted to determine the median lethal concentration (LC₅₀) of the test compound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AA340E">
        <w:rPr>
          <w:rFonts w:ascii="Times New Roman" w:eastAsia="Times New Roman" w:hAnsi="Times New Roman" w:cs="Times New Roman"/>
          <w:sz w:val="24"/>
          <w:szCs w:val="24"/>
          <w:lang w:eastAsia="en-IN"/>
        </w:rPr>
        <w:t>at four exposure durations: 42, 48, 72, and 96 hours. The static renewal bioassay method was employed, in accordance with the guidelines prescribed by the American Public Health Association (APHA), American Water Works Association (AWWA), and Water Pollution Control Federation (WPCF), 1985. In this method, the test solutions were renewed every 24 hours to maintain the desired concentration and water quality.</w:t>
      </w:r>
      <w:r w:rsidR="008F4C1D">
        <w:rPr>
          <w:rFonts w:ascii="Times New Roman" w:eastAsia="Times New Roman" w:hAnsi="Times New Roman" w:cs="Times New Roman"/>
          <w:sz w:val="24"/>
          <w:szCs w:val="24"/>
          <w:lang w:eastAsia="en-IN"/>
        </w:rPr>
        <w:t xml:space="preserve"> </w:t>
      </w:r>
      <w:r w:rsidRPr="00AA340E">
        <w:rPr>
          <w:rFonts w:ascii="Times New Roman" w:eastAsia="Times New Roman" w:hAnsi="Times New Roman" w:cs="Times New Roman"/>
          <w:sz w:val="24"/>
          <w:szCs w:val="24"/>
          <w:lang w:eastAsia="en-IN"/>
        </w:rPr>
        <w:t xml:space="preserve">Groups of 10 fish each were exposed to various concentrations of </w:t>
      </w:r>
      <w:proofErr w:type="spellStart"/>
      <w:r w:rsidR="003F0996" w:rsidRPr="003F0996">
        <w:rPr>
          <w:rFonts w:ascii="Times New Roman" w:eastAsia="Times New Roman" w:hAnsi="Times New Roman" w:cs="Times New Roman"/>
          <w:sz w:val="24"/>
          <w:szCs w:val="24"/>
          <w:lang w:eastAsia="en-IN"/>
        </w:rPr>
        <w:t>Herboclin</w:t>
      </w:r>
      <w:proofErr w:type="spellEnd"/>
      <w:r w:rsidRPr="00AA340E">
        <w:rPr>
          <w:rFonts w:ascii="Times New Roman" w:eastAsia="Times New Roman" w:hAnsi="Times New Roman" w:cs="Times New Roman"/>
          <w:sz w:val="24"/>
          <w:szCs w:val="24"/>
          <w:lang w:eastAsia="en-IN"/>
        </w:rPr>
        <w:t xml:space="preserve"> in separate aquaria, including one control group without any chemical exposure. Mortality was recorded at regular intervals, and fish were considered dead when there was no opercular movement or response to gentle prodding. The LC₅₀ values, representing the concentration of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AA340E">
        <w:rPr>
          <w:rFonts w:ascii="Times New Roman" w:eastAsia="Times New Roman" w:hAnsi="Times New Roman" w:cs="Times New Roman"/>
          <w:sz w:val="24"/>
          <w:szCs w:val="24"/>
          <w:lang w:eastAsia="en-IN"/>
        </w:rPr>
        <w:t>lethal to 50% of the exposed fish population at the respective time intervals, were calculated using probit analysis.</w:t>
      </w:r>
    </w:p>
    <w:p w14:paraId="6F3DB7B9" w14:textId="77777777" w:rsidR="00AA340E" w:rsidRDefault="00AA340E" w:rsidP="00FF0B6A">
      <w:pPr>
        <w:spacing w:after="0" w:line="240" w:lineRule="auto"/>
        <w:jc w:val="both"/>
        <w:rPr>
          <w:rFonts w:ascii="Times New Roman" w:eastAsia="Times New Roman" w:hAnsi="Times New Roman" w:cs="Times New Roman"/>
          <w:b/>
          <w:bCs/>
          <w:sz w:val="24"/>
          <w:szCs w:val="24"/>
          <w:lang w:eastAsia="en-IN"/>
        </w:rPr>
      </w:pPr>
      <w:r w:rsidRPr="00AA340E">
        <w:rPr>
          <w:rFonts w:ascii="Times New Roman" w:eastAsia="Times New Roman" w:hAnsi="Times New Roman" w:cs="Times New Roman"/>
          <w:b/>
          <w:bCs/>
          <w:sz w:val="24"/>
          <w:szCs w:val="24"/>
          <w:lang w:eastAsia="en-IN"/>
        </w:rPr>
        <w:t>Determination of Sub-Lethal Concentration</w:t>
      </w:r>
    </w:p>
    <w:p w14:paraId="2DBE3A1B" w14:textId="77777777" w:rsidR="00AA340E" w:rsidRDefault="00AA340E" w:rsidP="00FF0B6A">
      <w:pPr>
        <w:spacing w:after="0" w:line="240" w:lineRule="auto"/>
        <w:ind w:firstLine="720"/>
        <w:jc w:val="both"/>
        <w:rPr>
          <w:rFonts w:ascii="Times New Roman" w:eastAsia="Times New Roman" w:hAnsi="Times New Roman" w:cs="Times New Roman"/>
          <w:sz w:val="24"/>
          <w:szCs w:val="24"/>
          <w:lang w:eastAsia="en-IN"/>
        </w:rPr>
      </w:pPr>
      <w:r w:rsidRPr="00AA340E">
        <w:rPr>
          <w:rFonts w:ascii="Times New Roman" w:eastAsia="Times New Roman" w:hAnsi="Times New Roman" w:cs="Times New Roman"/>
          <w:sz w:val="24"/>
          <w:szCs w:val="24"/>
          <w:lang w:eastAsia="en-IN"/>
        </w:rPr>
        <w:t xml:space="preserve">Based on the 96-hour LC₅₀ value, the sub-lethal concentration of </w:t>
      </w:r>
      <w:proofErr w:type="spellStart"/>
      <w:r w:rsidR="003F0996" w:rsidRPr="003F0996">
        <w:rPr>
          <w:rFonts w:ascii="Times New Roman" w:eastAsia="Times New Roman" w:hAnsi="Times New Roman" w:cs="Times New Roman"/>
          <w:sz w:val="24"/>
          <w:szCs w:val="24"/>
          <w:lang w:eastAsia="en-IN"/>
        </w:rPr>
        <w:t>Herboclin</w:t>
      </w:r>
      <w:proofErr w:type="spellEnd"/>
      <w:r w:rsidRPr="00AA340E">
        <w:rPr>
          <w:rFonts w:ascii="Times New Roman" w:eastAsia="Times New Roman" w:hAnsi="Times New Roman" w:cs="Times New Roman"/>
          <w:sz w:val="24"/>
          <w:szCs w:val="24"/>
          <w:lang w:eastAsia="en-IN"/>
        </w:rPr>
        <w:t xml:space="preserve"> was calculated using the formula provided by Hart et al. (1945). The sub-lethal dose is typically a </w:t>
      </w:r>
      <w:r w:rsidRPr="00AA340E">
        <w:rPr>
          <w:rFonts w:ascii="Times New Roman" w:eastAsia="Times New Roman" w:hAnsi="Times New Roman" w:cs="Times New Roman"/>
          <w:sz w:val="24"/>
          <w:szCs w:val="24"/>
          <w:lang w:eastAsia="en-IN"/>
        </w:rPr>
        <w:lastRenderedPageBreak/>
        <w:t xml:space="preserve">fraction (usually 1/10th or 1/20th) of the LC₅₀ and is intended to represent a concentration that does not cause immediate mortality but may induce physiological or </w:t>
      </w:r>
      <w:r w:rsidR="00946EF8" w:rsidRPr="00AA340E">
        <w:rPr>
          <w:rFonts w:ascii="Times New Roman" w:eastAsia="Times New Roman" w:hAnsi="Times New Roman" w:cs="Times New Roman"/>
          <w:sz w:val="24"/>
          <w:szCs w:val="24"/>
          <w:lang w:eastAsia="en-IN"/>
        </w:rPr>
        <w:t>behavioural</w:t>
      </w:r>
      <w:r w:rsidRPr="00AA340E">
        <w:rPr>
          <w:rFonts w:ascii="Times New Roman" w:eastAsia="Times New Roman" w:hAnsi="Times New Roman" w:cs="Times New Roman"/>
          <w:sz w:val="24"/>
          <w:szCs w:val="24"/>
          <w:lang w:eastAsia="en-IN"/>
        </w:rPr>
        <w:t xml:space="preserve"> changes. This concentration was used in subsequent chronic exposure or biochemical analysis studies.</w:t>
      </w:r>
    </w:p>
    <w:p w14:paraId="1B83CD28" w14:textId="777777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161B1ABE" w14:textId="777777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75C7E80F" w14:textId="77777777" w:rsidR="00811E8B" w:rsidRDefault="00811E8B" w:rsidP="00FF0B6A">
      <w:pPr>
        <w:spacing w:after="0" w:line="240" w:lineRule="auto"/>
        <w:jc w:val="both"/>
        <w:rPr>
          <w:rFonts w:ascii="Times New Roman" w:eastAsia="Times New Roman" w:hAnsi="Times New Roman" w:cs="Times New Roman"/>
          <w:b/>
          <w:bCs/>
          <w:sz w:val="24"/>
          <w:szCs w:val="24"/>
          <w:lang w:eastAsia="en-IN"/>
        </w:rPr>
      </w:pPr>
      <w:r w:rsidRPr="00811E8B">
        <w:rPr>
          <w:rFonts w:ascii="Times New Roman" w:eastAsia="Times New Roman" w:hAnsi="Times New Roman" w:cs="Times New Roman"/>
          <w:b/>
          <w:bCs/>
          <w:sz w:val="24"/>
          <w:szCs w:val="24"/>
          <w:lang w:eastAsia="en-IN"/>
        </w:rPr>
        <w:t>RESULTS AND DISCUSSION</w:t>
      </w:r>
    </w:p>
    <w:p w14:paraId="5A3B98FB" w14:textId="77777777" w:rsidR="000A15A5" w:rsidRDefault="000A15A5" w:rsidP="00FF0B6A">
      <w:pPr>
        <w:spacing w:after="0" w:line="240" w:lineRule="auto"/>
        <w:jc w:val="both"/>
        <w:rPr>
          <w:rFonts w:ascii="Times New Roman" w:eastAsia="Times New Roman" w:hAnsi="Times New Roman" w:cs="Times New Roman"/>
          <w:b/>
          <w:bCs/>
          <w:sz w:val="24"/>
          <w:szCs w:val="24"/>
          <w:lang w:eastAsia="en-IN"/>
        </w:rPr>
      </w:pPr>
    </w:p>
    <w:p w14:paraId="3A3D48C8" w14:textId="77777777" w:rsidR="000A15A5" w:rsidRPr="00811E8B" w:rsidRDefault="000A15A5" w:rsidP="00FF0B6A">
      <w:pPr>
        <w:spacing w:after="0" w:line="240" w:lineRule="auto"/>
        <w:jc w:val="both"/>
        <w:rPr>
          <w:rFonts w:ascii="Times New Roman" w:eastAsia="Times New Roman" w:hAnsi="Times New Roman" w:cs="Times New Roman"/>
          <w:sz w:val="24"/>
          <w:szCs w:val="24"/>
          <w:lang w:eastAsia="en-IN"/>
        </w:rPr>
      </w:pPr>
    </w:p>
    <w:p w14:paraId="111E87E1" w14:textId="77777777" w:rsidR="00811E8B" w:rsidRPr="00811E8B" w:rsidRDefault="00811E8B" w:rsidP="00FF0B6A">
      <w:pPr>
        <w:spacing w:after="0" w:line="240" w:lineRule="auto"/>
        <w:jc w:val="both"/>
        <w:rPr>
          <w:rFonts w:ascii="Times New Roman" w:eastAsia="Times New Roman" w:hAnsi="Times New Roman" w:cs="Times New Roman"/>
          <w:sz w:val="24"/>
          <w:szCs w:val="24"/>
          <w:lang w:eastAsia="en-IN"/>
        </w:rPr>
      </w:pPr>
      <w:proofErr w:type="spellStart"/>
      <w:r w:rsidRPr="00811E8B">
        <w:rPr>
          <w:rFonts w:ascii="Times New Roman" w:eastAsia="Times New Roman" w:hAnsi="Times New Roman" w:cs="Times New Roman"/>
          <w:b/>
          <w:bCs/>
          <w:sz w:val="24"/>
          <w:szCs w:val="24"/>
          <w:lang w:eastAsia="en-IN"/>
        </w:rPr>
        <w:t>Physico</w:t>
      </w:r>
      <w:proofErr w:type="spellEnd"/>
      <w:r w:rsidRPr="00811E8B">
        <w:rPr>
          <w:rFonts w:ascii="Times New Roman" w:eastAsia="Times New Roman" w:hAnsi="Times New Roman" w:cs="Times New Roman"/>
          <w:b/>
          <w:bCs/>
          <w:sz w:val="24"/>
          <w:szCs w:val="24"/>
          <w:lang w:eastAsia="en-IN"/>
        </w:rPr>
        <w:t>-Chemical Characteristics of Test Water:</w:t>
      </w:r>
    </w:p>
    <w:p w14:paraId="5B4F831A" w14:textId="77777777" w:rsidR="00811E8B" w:rsidRPr="00811E8B" w:rsidRDefault="00811E8B" w:rsidP="00FF0B6A">
      <w:pPr>
        <w:spacing w:after="0" w:line="240" w:lineRule="auto"/>
        <w:ind w:firstLine="720"/>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 xml:space="preserve">The test water used in the bioassay was </w:t>
      </w:r>
      <w:r w:rsidR="003F0996" w:rsidRPr="00811E8B">
        <w:rPr>
          <w:rFonts w:ascii="Times New Roman" w:eastAsia="Times New Roman" w:hAnsi="Times New Roman" w:cs="Times New Roman"/>
          <w:sz w:val="24"/>
          <w:szCs w:val="24"/>
          <w:lang w:eastAsia="en-IN"/>
        </w:rPr>
        <w:t>analysed</w:t>
      </w:r>
      <w:r w:rsidRPr="00811E8B">
        <w:rPr>
          <w:rFonts w:ascii="Times New Roman" w:eastAsia="Times New Roman" w:hAnsi="Times New Roman" w:cs="Times New Roman"/>
          <w:sz w:val="24"/>
          <w:szCs w:val="24"/>
          <w:lang w:eastAsia="en-IN"/>
        </w:rPr>
        <w:t xml:space="preserve"> for a range of </w:t>
      </w:r>
      <w:proofErr w:type="spellStart"/>
      <w:r w:rsidRPr="00811E8B">
        <w:rPr>
          <w:rFonts w:ascii="Times New Roman" w:eastAsia="Times New Roman" w:hAnsi="Times New Roman" w:cs="Times New Roman"/>
          <w:sz w:val="24"/>
          <w:szCs w:val="24"/>
          <w:lang w:eastAsia="en-IN"/>
        </w:rPr>
        <w:t>physico</w:t>
      </w:r>
      <w:proofErr w:type="spellEnd"/>
      <w:r w:rsidRPr="00811E8B">
        <w:rPr>
          <w:rFonts w:ascii="Times New Roman" w:eastAsia="Times New Roman" w:hAnsi="Times New Roman" w:cs="Times New Roman"/>
          <w:sz w:val="24"/>
          <w:szCs w:val="24"/>
          <w:lang w:eastAsia="en-IN"/>
        </w:rPr>
        <w:t xml:space="preserve">-chemical parameters, which are essential in understanding how environmental conditions influence the toxicity of the herbicide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811E8B">
        <w:rPr>
          <w:rFonts w:ascii="Times New Roman" w:eastAsia="Times New Roman" w:hAnsi="Times New Roman" w:cs="Times New Roman"/>
          <w:sz w:val="24"/>
          <w:szCs w:val="24"/>
          <w:lang w:eastAsia="en-IN"/>
        </w:rPr>
        <w:t xml:space="preserve">to </w:t>
      </w:r>
      <w:r w:rsidRPr="00811E8B">
        <w:rPr>
          <w:rFonts w:ascii="Times New Roman" w:eastAsia="Times New Roman" w:hAnsi="Times New Roman" w:cs="Times New Roman"/>
          <w:i/>
          <w:iCs/>
          <w:sz w:val="24"/>
          <w:szCs w:val="24"/>
          <w:lang w:eastAsia="en-IN"/>
        </w:rPr>
        <w:t xml:space="preserve">Clarias </w:t>
      </w:r>
      <w:proofErr w:type="spellStart"/>
      <w:r w:rsidRPr="00811E8B">
        <w:rPr>
          <w:rFonts w:ascii="Times New Roman" w:eastAsia="Times New Roman" w:hAnsi="Times New Roman" w:cs="Times New Roman"/>
          <w:i/>
          <w:iCs/>
          <w:sz w:val="24"/>
          <w:szCs w:val="24"/>
          <w:lang w:eastAsia="en-IN"/>
        </w:rPr>
        <w:t>batrachus</w:t>
      </w:r>
      <w:proofErr w:type="spellEnd"/>
      <w:r w:rsidRPr="00811E8B">
        <w:rPr>
          <w:rFonts w:ascii="Times New Roman" w:eastAsia="Times New Roman" w:hAnsi="Times New Roman" w:cs="Times New Roman"/>
          <w:sz w:val="24"/>
          <w:szCs w:val="24"/>
          <w:lang w:eastAsia="en-IN"/>
        </w:rPr>
        <w:t xml:space="preserve">. As seen in Table 1, the water was characterized by a neutral pH of 7.6, which is optimal for most freshwater species, including </w:t>
      </w:r>
      <w:r w:rsidRPr="00811E8B">
        <w:rPr>
          <w:rFonts w:ascii="Times New Roman" w:eastAsia="Times New Roman" w:hAnsi="Times New Roman" w:cs="Times New Roman"/>
          <w:i/>
          <w:iCs/>
          <w:sz w:val="24"/>
          <w:szCs w:val="24"/>
          <w:lang w:eastAsia="en-IN"/>
        </w:rPr>
        <w:t>C. batrachus</w:t>
      </w:r>
      <w:r w:rsidRPr="00811E8B">
        <w:rPr>
          <w:rFonts w:ascii="Times New Roman" w:eastAsia="Times New Roman" w:hAnsi="Times New Roman" w:cs="Times New Roman"/>
          <w:sz w:val="24"/>
          <w:szCs w:val="24"/>
          <w:lang w:eastAsia="en-IN"/>
        </w:rPr>
        <w:t xml:space="preserve">. The water temperature ranged between 23°C to 26°C, which is within the acceptable range for this species. This range is important because temperature influences the metabolism and respiration rates of fish, and hence the toxicity of chemicals </w:t>
      </w:r>
      <w:r w:rsidR="003F0996" w:rsidRPr="00811E8B">
        <w:rPr>
          <w:rFonts w:ascii="Times New Roman" w:eastAsia="Times New Roman" w:hAnsi="Times New Roman" w:cs="Times New Roman"/>
          <w:sz w:val="24"/>
          <w:szCs w:val="24"/>
          <w:lang w:eastAsia="en-IN"/>
        </w:rPr>
        <w:t>likes</w:t>
      </w:r>
      <w:r w:rsidRPr="00811E8B">
        <w:rPr>
          <w:rFonts w:ascii="Times New Roman" w:eastAsia="Times New Roman" w:hAnsi="Times New Roman" w:cs="Times New Roman"/>
          <w:sz w:val="24"/>
          <w:szCs w:val="24"/>
          <w:lang w:eastAsia="en-IN"/>
        </w:rPr>
        <w:t xml:space="preserve"> </w:t>
      </w:r>
      <w:proofErr w:type="spellStart"/>
      <w:r w:rsidR="003F0996" w:rsidRP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 The total solids concentration (38.5 mg/l) and dissolved solids (12.3 mg/l) reflected moderate water hardness, which is typical for the species used in the study. The dissolved oxygen (DO) level of 6.5 mg/l was adequate for the survival of the fish during the experiment, as oxygen is essential for aerobic respiration. Free CO₂ and other parameters, such as total hardness and alkalinity, were also within levels typically encountered in natural aquatic systems.</w:t>
      </w:r>
      <w:r w:rsidR="008F4C1D">
        <w:rPr>
          <w:rFonts w:ascii="Times New Roman" w:eastAsia="Times New Roman" w:hAnsi="Times New Roman" w:cs="Times New Roman"/>
          <w:sz w:val="24"/>
          <w:szCs w:val="24"/>
          <w:lang w:eastAsia="en-IN"/>
        </w:rPr>
        <w:t xml:space="preserve"> </w:t>
      </w:r>
      <w:r w:rsidRPr="00811E8B">
        <w:rPr>
          <w:rFonts w:ascii="Times New Roman" w:eastAsia="Times New Roman" w:hAnsi="Times New Roman" w:cs="Times New Roman"/>
          <w:sz w:val="24"/>
          <w:szCs w:val="24"/>
          <w:lang w:eastAsia="en-IN"/>
        </w:rPr>
        <w:t xml:space="preserve">These controlled conditions were crucial for ensuring that the observed toxic effects could be attributed to the herbicide alone and not influenced by variations in water quality. Consistency in the </w:t>
      </w:r>
      <w:proofErr w:type="spellStart"/>
      <w:r w:rsidRPr="00811E8B">
        <w:rPr>
          <w:rFonts w:ascii="Times New Roman" w:eastAsia="Times New Roman" w:hAnsi="Times New Roman" w:cs="Times New Roman"/>
          <w:sz w:val="24"/>
          <w:szCs w:val="24"/>
          <w:lang w:eastAsia="en-IN"/>
        </w:rPr>
        <w:t>physico</w:t>
      </w:r>
      <w:proofErr w:type="spellEnd"/>
      <w:r w:rsidRPr="00811E8B">
        <w:rPr>
          <w:rFonts w:ascii="Times New Roman" w:eastAsia="Times New Roman" w:hAnsi="Times New Roman" w:cs="Times New Roman"/>
          <w:sz w:val="24"/>
          <w:szCs w:val="24"/>
          <w:lang w:eastAsia="en-IN"/>
        </w:rPr>
        <w:t>-chemical conditions is vital when conducting toxicity assays to isolate the effects of the test substance on the organisms.</w:t>
      </w:r>
    </w:p>
    <w:p w14:paraId="14655769" w14:textId="77777777" w:rsidR="00811E8B" w:rsidRPr="00811E8B" w:rsidRDefault="00811E8B" w:rsidP="00FF0B6A">
      <w:p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b/>
          <w:bCs/>
          <w:sz w:val="24"/>
          <w:szCs w:val="24"/>
          <w:lang w:eastAsia="en-IN"/>
        </w:rPr>
        <w:t>Acute Toxicity (LC₅₀ Values):</w:t>
      </w:r>
    </w:p>
    <w:p w14:paraId="0ED71E41" w14:textId="77777777" w:rsidR="00811E8B" w:rsidRPr="00811E8B"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 xml:space="preserve">The acute toxicity of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811E8B">
        <w:rPr>
          <w:rFonts w:ascii="Times New Roman" w:eastAsia="Times New Roman" w:hAnsi="Times New Roman" w:cs="Times New Roman"/>
          <w:sz w:val="24"/>
          <w:szCs w:val="24"/>
          <w:lang w:eastAsia="en-IN"/>
        </w:rPr>
        <w:t xml:space="preserve">was evaluated by determining the LC₅₀ values at different time points (24, 48, 72, and 96 hours) using the standard bioassay protocols (APHA et al., 1985). The LC₅₀ values represent the concentration of the herbicide that causes 50% mortality in the exposed fish. The results (Table 2) revealed the following LC₅₀ values for </w:t>
      </w:r>
      <w:proofErr w:type="spellStart"/>
      <w:r w:rsidR="003F0996" w:rsidRP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w:t>
      </w:r>
    </w:p>
    <w:p w14:paraId="6DB0658C" w14:textId="77777777" w:rsidR="00811E8B" w:rsidRPr="00811E8B" w:rsidRDefault="00811E8B" w:rsidP="00FF0B6A">
      <w:pPr>
        <w:numPr>
          <w:ilvl w:val="0"/>
          <w:numId w:val="1"/>
        </w:num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24 hours: 10.16 ppm</w:t>
      </w:r>
    </w:p>
    <w:p w14:paraId="2334A612" w14:textId="77777777" w:rsidR="00811E8B" w:rsidRPr="00811E8B" w:rsidRDefault="00811E8B" w:rsidP="00FF0B6A">
      <w:pPr>
        <w:numPr>
          <w:ilvl w:val="0"/>
          <w:numId w:val="1"/>
        </w:num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48 hours: 7.00 ppm</w:t>
      </w:r>
    </w:p>
    <w:p w14:paraId="35D3BDE8" w14:textId="77777777" w:rsidR="00811E8B" w:rsidRPr="00811E8B" w:rsidRDefault="00811E8B" w:rsidP="00FF0B6A">
      <w:pPr>
        <w:numPr>
          <w:ilvl w:val="0"/>
          <w:numId w:val="1"/>
        </w:num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72 hours: 5.17 ppm</w:t>
      </w:r>
    </w:p>
    <w:p w14:paraId="17293E0F" w14:textId="77777777" w:rsidR="00811E8B" w:rsidRPr="00811E8B" w:rsidRDefault="00811E8B" w:rsidP="00FF0B6A">
      <w:pPr>
        <w:numPr>
          <w:ilvl w:val="0"/>
          <w:numId w:val="1"/>
        </w:num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96 hours: 4.25 ppm</w:t>
      </w:r>
    </w:p>
    <w:p w14:paraId="243E7196" w14:textId="77777777" w:rsidR="00811E8B" w:rsidRPr="00811E8B"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 xml:space="preserve">The decrease in LC₅₀ values with increasing exposure duration is indicative of the cumulative toxic effects of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w:t>
      </w:r>
      <w:r w:rsidRPr="00811E8B">
        <w:rPr>
          <w:rFonts w:ascii="Times New Roman" w:eastAsia="Times New Roman" w:hAnsi="Times New Roman" w:cs="Times New Roman"/>
          <w:sz w:val="24"/>
          <w:szCs w:val="24"/>
          <w:lang w:eastAsia="en-IN"/>
        </w:rPr>
        <w:t xml:space="preserve"> This means that fish exposed to the herbicide for longer periods accumulated the toxic substance in their system, resulting in increased mortality. The results are consistent with the findings of earlier studies, which have shown that longer exposure to toxic substances leads to greater accumulation and more severe physiological damage (Bhatnagar &amp; Tyagi, 1994; Ghosh, 1990</w:t>
      </w:r>
      <w:r w:rsidR="001D7DFF">
        <w:rPr>
          <w:rFonts w:ascii="Times New Roman" w:eastAsia="Times New Roman" w:hAnsi="Times New Roman" w:cs="Times New Roman"/>
          <w:sz w:val="24"/>
          <w:szCs w:val="24"/>
          <w:lang w:eastAsia="en-IN"/>
        </w:rPr>
        <w:t xml:space="preserve">; </w:t>
      </w:r>
      <w:r w:rsidR="001D7DFF" w:rsidRPr="00B3793A">
        <w:rPr>
          <w:rFonts w:ascii="Times New Roman" w:eastAsia="Times New Roman" w:hAnsi="Times New Roman" w:cs="Times New Roman"/>
          <w:sz w:val="24"/>
          <w:szCs w:val="24"/>
          <w:lang w:eastAsia="en-IN"/>
        </w:rPr>
        <w:t>Gehan</w:t>
      </w:r>
      <w:r w:rsidR="001D7DFF">
        <w:rPr>
          <w:rFonts w:ascii="Times New Roman" w:eastAsia="Times New Roman" w:hAnsi="Times New Roman" w:cs="Times New Roman"/>
          <w:sz w:val="24"/>
          <w:szCs w:val="24"/>
          <w:lang w:eastAsia="en-IN"/>
        </w:rPr>
        <w:t>,</w:t>
      </w:r>
      <w:r w:rsidR="00EB47D2">
        <w:rPr>
          <w:rFonts w:ascii="Times New Roman" w:eastAsia="Times New Roman" w:hAnsi="Times New Roman" w:cs="Times New Roman"/>
          <w:sz w:val="24"/>
          <w:szCs w:val="24"/>
          <w:lang w:eastAsia="en-IN"/>
        </w:rPr>
        <w:t xml:space="preserve"> </w:t>
      </w:r>
      <w:r w:rsidR="001D7DFF">
        <w:rPr>
          <w:rFonts w:ascii="Times New Roman" w:eastAsia="Times New Roman" w:hAnsi="Times New Roman" w:cs="Times New Roman"/>
          <w:sz w:val="24"/>
          <w:szCs w:val="24"/>
          <w:lang w:eastAsia="en-IN"/>
        </w:rPr>
        <w:t>2018</w:t>
      </w:r>
      <w:r w:rsidRPr="00811E8B">
        <w:rPr>
          <w:rFonts w:ascii="Times New Roman" w:eastAsia="Times New Roman" w:hAnsi="Times New Roman" w:cs="Times New Roman"/>
          <w:sz w:val="24"/>
          <w:szCs w:val="24"/>
          <w:lang w:eastAsia="en-IN"/>
        </w:rPr>
        <w:t>).</w:t>
      </w:r>
    </w:p>
    <w:p w14:paraId="0A983A72" w14:textId="77777777" w:rsidR="00811E8B" w:rsidRPr="00811E8B"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 xml:space="preserve">The findings also support the idea that herbicide toxicity is dose-dependent. The herbicide’s toxicity decreases with reduced exposure or lower concentrations, but even at </w:t>
      </w:r>
      <w:r w:rsidR="003F0996" w:rsidRPr="00811E8B">
        <w:rPr>
          <w:rFonts w:ascii="Times New Roman" w:eastAsia="Times New Roman" w:hAnsi="Times New Roman" w:cs="Times New Roman"/>
          <w:sz w:val="24"/>
          <w:szCs w:val="24"/>
          <w:lang w:eastAsia="en-IN"/>
        </w:rPr>
        <w:t>sub lethal</w:t>
      </w:r>
      <w:r w:rsidRPr="00811E8B">
        <w:rPr>
          <w:rFonts w:ascii="Times New Roman" w:eastAsia="Times New Roman" w:hAnsi="Times New Roman" w:cs="Times New Roman"/>
          <w:sz w:val="24"/>
          <w:szCs w:val="24"/>
          <w:lang w:eastAsia="en-IN"/>
        </w:rPr>
        <w:t xml:space="preserve"> levels, </w:t>
      </w:r>
      <w:proofErr w:type="spellStart"/>
      <w:r w:rsidR="003F0996" w:rsidRP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 xml:space="preserve"> may cause significant </w:t>
      </w:r>
      <w:r w:rsidR="003F0996" w:rsidRPr="00811E8B">
        <w:rPr>
          <w:rFonts w:ascii="Times New Roman" w:eastAsia="Times New Roman" w:hAnsi="Times New Roman" w:cs="Times New Roman"/>
          <w:sz w:val="24"/>
          <w:szCs w:val="24"/>
          <w:lang w:eastAsia="en-IN"/>
        </w:rPr>
        <w:t>behavioural</w:t>
      </w:r>
      <w:r w:rsidRPr="00811E8B">
        <w:rPr>
          <w:rFonts w:ascii="Times New Roman" w:eastAsia="Times New Roman" w:hAnsi="Times New Roman" w:cs="Times New Roman"/>
          <w:sz w:val="24"/>
          <w:szCs w:val="24"/>
          <w:lang w:eastAsia="en-IN"/>
        </w:rPr>
        <w:t xml:space="preserve"> and physiological disruptions.</w:t>
      </w:r>
    </w:p>
    <w:p w14:paraId="0D06EEAD" w14:textId="77777777" w:rsidR="00811E8B" w:rsidRPr="00811E8B" w:rsidRDefault="00811E8B" w:rsidP="00FF0B6A">
      <w:p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b/>
          <w:bCs/>
          <w:sz w:val="24"/>
          <w:szCs w:val="24"/>
          <w:lang w:eastAsia="en-IN"/>
        </w:rPr>
        <w:t>Sublethal Concentration:</w:t>
      </w:r>
    </w:p>
    <w:p w14:paraId="5DFF0C5B" w14:textId="77777777" w:rsidR="003F0996" w:rsidRDefault="00811E8B" w:rsidP="00FF0B6A">
      <w:p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 xml:space="preserve">In this study, the </w:t>
      </w:r>
      <w:r w:rsidR="003F0996" w:rsidRPr="00811E8B">
        <w:rPr>
          <w:rFonts w:ascii="Times New Roman" w:eastAsia="Times New Roman" w:hAnsi="Times New Roman" w:cs="Times New Roman"/>
          <w:sz w:val="24"/>
          <w:szCs w:val="24"/>
          <w:lang w:eastAsia="en-IN"/>
        </w:rPr>
        <w:t>sub lethal</w:t>
      </w:r>
      <w:r w:rsidRPr="00811E8B">
        <w:rPr>
          <w:rFonts w:ascii="Times New Roman" w:eastAsia="Times New Roman" w:hAnsi="Times New Roman" w:cs="Times New Roman"/>
          <w:sz w:val="24"/>
          <w:szCs w:val="24"/>
          <w:lang w:eastAsia="en-IN"/>
        </w:rPr>
        <w:t xml:space="preserve"> concentration of </w:t>
      </w:r>
      <w:proofErr w:type="spellStart"/>
      <w:r w:rsidR="003F0996" w:rsidRP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 xml:space="preserve"> was calculated using the formula of Hart et al. (1945). The </w:t>
      </w:r>
      <w:r w:rsidR="003F0996" w:rsidRPr="00811E8B">
        <w:rPr>
          <w:rFonts w:ascii="Times New Roman" w:eastAsia="Times New Roman" w:hAnsi="Times New Roman" w:cs="Times New Roman"/>
          <w:sz w:val="24"/>
          <w:szCs w:val="24"/>
          <w:lang w:eastAsia="en-IN"/>
        </w:rPr>
        <w:t>sub lethal</w:t>
      </w:r>
      <w:r w:rsidRPr="00811E8B">
        <w:rPr>
          <w:rFonts w:ascii="Times New Roman" w:eastAsia="Times New Roman" w:hAnsi="Times New Roman" w:cs="Times New Roman"/>
          <w:sz w:val="24"/>
          <w:szCs w:val="24"/>
          <w:lang w:eastAsia="en-IN"/>
        </w:rPr>
        <w:t xml:space="preserve"> concentration represents the threshold below which the fish are not expected to die but may still experience adverse effects. The calculated </w:t>
      </w:r>
      <w:r w:rsidR="003F0996" w:rsidRPr="00811E8B">
        <w:rPr>
          <w:rFonts w:ascii="Times New Roman" w:eastAsia="Times New Roman" w:hAnsi="Times New Roman" w:cs="Times New Roman"/>
          <w:sz w:val="24"/>
          <w:szCs w:val="24"/>
          <w:lang w:eastAsia="en-IN"/>
        </w:rPr>
        <w:t>sub lethal</w:t>
      </w:r>
      <w:r w:rsidRPr="00811E8B">
        <w:rPr>
          <w:rFonts w:ascii="Times New Roman" w:eastAsia="Times New Roman" w:hAnsi="Times New Roman" w:cs="Times New Roman"/>
          <w:sz w:val="24"/>
          <w:szCs w:val="24"/>
          <w:lang w:eastAsia="en-IN"/>
        </w:rPr>
        <w:t xml:space="preserve"> concentration for </w:t>
      </w:r>
      <w:proofErr w:type="spellStart"/>
      <w:r w:rsidR="003F0996" w:rsidRP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 xml:space="preserve"> was 1.00 ppm. This finding is significant, as it suggests that even low concentrations of </w:t>
      </w:r>
      <w:proofErr w:type="spellStart"/>
      <w:r w:rsidR="003F0996" w:rsidRP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 xml:space="preserve"> in aquatic environments can lead to stress and abnormal </w:t>
      </w:r>
      <w:r w:rsidR="003F0996" w:rsidRPr="00811E8B">
        <w:rPr>
          <w:rFonts w:ascii="Times New Roman" w:eastAsia="Times New Roman" w:hAnsi="Times New Roman" w:cs="Times New Roman"/>
          <w:sz w:val="24"/>
          <w:szCs w:val="24"/>
          <w:lang w:eastAsia="en-IN"/>
        </w:rPr>
        <w:lastRenderedPageBreak/>
        <w:t>behaviour</w:t>
      </w:r>
      <w:r w:rsidRPr="00811E8B">
        <w:rPr>
          <w:rFonts w:ascii="Times New Roman" w:eastAsia="Times New Roman" w:hAnsi="Times New Roman" w:cs="Times New Roman"/>
          <w:sz w:val="24"/>
          <w:szCs w:val="24"/>
          <w:lang w:eastAsia="en-IN"/>
        </w:rPr>
        <w:t xml:space="preserve"> in fish. In the natural world, aquatic environments often contain multiple pollutants, which, even at </w:t>
      </w:r>
      <w:r w:rsidR="003F0996" w:rsidRPr="00811E8B">
        <w:rPr>
          <w:rFonts w:ascii="Times New Roman" w:eastAsia="Times New Roman" w:hAnsi="Times New Roman" w:cs="Times New Roman"/>
          <w:sz w:val="24"/>
          <w:szCs w:val="24"/>
          <w:lang w:eastAsia="en-IN"/>
        </w:rPr>
        <w:t>sub lethal</w:t>
      </w:r>
      <w:r w:rsidRPr="00811E8B">
        <w:rPr>
          <w:rFonts w:ascii="Times New Roman" w:eastAsia="Times New Roman" w:hAnsi="Times New Roman" w:cs="Times New Roman"/>
          <w:sz w:val="24"/>
          <w:szCs w:val="24"/>
          <w:lang w:eastAsia="en-IN"/>
        </w:rPr>
        <w:t xml:space="preserve"> levels, can cause synergistic effects. Thus, the presence of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811E8B">
        <w:rPr>
          <w:rFonts w:ascii="Times New Roman" w:eastAsia="Times New Roman" w:hAnsi="Times New Roman" w:cs="Times New Roman"/>
          <w:sz w:val="24"/>
          <w:szCs w:val="24"/>
          <w:lang w:eastAsia="en-IN"/>
        </w:rPr>
        <w:t>in concentrations as low as 1.00 ppm could have long-term ecological impacts, including the disruption of fish populations, reproductive health, and overall biodiversity.</w:t>
      </w:r>
    </w:p>
    <w:p w14:paraId="1C89F107" w14:textId="77777777" w:rsidR="00811E8B" w:rsidRPr="00811E8B" w:rsidRDefault="00811E8B" w:rsidP="00FF0B6A">
      <w:pPr>
        <w:spacing w:after="0" w:line="240" w:lineRule="auto"/>
        <w:jc w:val="both"/>
        <w:rPr>
          <w:rFonts w:ascii="Times New Roman" w:eastAsia="Times New Roman" w:hAnsi="Times New Roman" w:cs="Times New Roman"/>
          <w:sz w:val="24"/>
          <w:szCs w:val="24"/>
          <w:lang w:eastAsia="en-IN"/>
        </w:rPr>
      </w:pPr>
      <w:proofErr w:type="spellStart"/>
      <w:r w:rsidRPr="00811E8B">
        <w:rPr>
          <w:rFonts w:ascii="Times New Roman" w:eastAsia="Times New Roman" w:hAnsi="Times New Roman" w:cs="Times New Roman"/>
          <w:b/>
          <w:bCs/>
          <w:sz w:val="24"/>
          <w:szCs w:val="24"/>
          <w:lang w:eastAsia="en-IN"/>
        </w:rPr>
        <w:t>Behavioral</w:t>
      </w:r>
      <w:proofErr w:type="spellEnd"/>
      <w:r w:rsidRPr="00811E8B">
        <w:rPr>
          <w:rFonts w:ascii="Times New Roman" w:eastAsia="Times New Roman" w:hAnsi="Times New Roman" w:cs="Times New Roman"/>
          <w:b/>
          <w:bCs/>
          <w:sz w:val="24"/>
          <w:szCs w:val="24"/>
          <w:lang w:eastAsia="en-IN"/>
        </w:rPr>
        <w:t xml:space="preserve"> Response to </w:t>
      </w:r>
      <w:proofErr w:type="spellStart"/>
      <w:r w:rsidR="003F0996">
        <w:rPr>
          <w:rFonts w:ascii="Times New Roman" w:eastAsia="Times New Roman" w:hAnsi="Times New Roman" w:cs="Times New Roman"/>
          <w:b/>
          <w:bCs/>
          <w:sz w:val="24"/>
          <w:szCs w:val="24"/>
          <w:lang w:eastAsia="en-IN"/>
        </w:rPr>
        <w:t>Herboclin</w:t>
      </w:r>
      <w:proofErr w:type="spellEnd"/>
      <w:r w:rsidRPr="00811E8B">
        <w:rPr>
          <w:rFonts w:ascii="Times New Roman" w:eastAsia="Times New Roman" w:hAnsi="Times New Roman" w:cs="Times New Roman"/>
          <w:b/>
          <w:bCs/>
          <w:sz w:val="24"/>
          <w:szCs w:val="24"/>
          <w:lang w:eastAsia="en-IN"/>
        </w:rPr>
        <w:t xml:space="preserve"> Exposure:</w:t>
      </w:r>
    </w:p>
    <w:p w14:paraId="72F05795" w14:textId="77777777" w:rsidR="00811E8B" w:rsidRPr="00811E8B"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 xml:space="preserve">The study also examined the </w:t>
      </w:r>
      <w:r w:rsidR="003F0996" w:rsidRPr="00811E8B">
        <w:rPr>
          <w:rFonts w:ascii="Times New Roman" w:eastAsia="Times New Roman" w:hAnsi="Times New Roman" w:cs="Times New Roman"/>
          <w:sz w:val="24"/>
          <w:szCs w:val="24"/>
          <w:lang w:eastAsia="en-IN"/>
        </w:rPr>
        <w:t>behavioural</w:t>
      </w:r>
      <w:r w:rsidRPr="00811E8B">
        <w:rPr>
          <w:rFonts w:ascii="Times New Roman" w:eastAsia="Times New Roman" w:hAnsi="Times New Roman" w:cs="Times New Roman"/>
          <w:sz w:val="24"/>
          <w:szCs w:val="24"/>
          <w:lang w:eastAsia="en-IN"/>
        </w:rPr>
        <w:t xml:space="preserve"> responses of </w:t>
      </w:r>
      <w:r w:rsidRPr="00811E8B">
        <w:rPr>
          <w:rFonts w:ascii="Times New Roman" w:eastAsia="Times New Roman" w:hAnsi="Times New Roman" w:cs="Times New Roman"/>
          <w:i/>
          <w:iCs/>
          <w:sz w:val="24"/>
          <w:szCs w:val="24"/>
          <w:lang w:eastAsia="en-IN"/>
        </w:rPr>
        <w:t>Clarias batrachus</w:t>
      </w:r>
      <w:r w:rsidRPr="00811E8B">
        <w:rPr>
          <w:rFonts w:ascii="Times New Roman" w:eastAsia="Times New Roman" w:hAnsi="Times New Roman" w:cs="Times New Roman"/>
          <w:sz w:val="24"/>
          <w:szCs w:val="24"/>
          <w:lang w:eastAsia="en-IN"/>
        </w:rPr>
        <w:t xml:space="preserve"> to various concentrations of </w:t>
      </w:r>
      <w:proofErr w:type="spellStart"/>
      <w:r w:rsidR="003F0996" w:rsidRP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811E8B">
        <w:rPr>
          <w:rFonts w:ascii="Times New Roman" w:eastAsia="Times New Roman" w:hAnsi="Times New Roman" w:cs="Times New Roman"/>
          <w:sz w:val="24"/>
          <w:szCs w:val="24"/>
          <w:lang w:eastAsia="en-IN"/>
        </w:rPr>
        <w:t xml:space="preserve">over the exposure periods. A range of abnormal </w:t>
      </w:r>
      <w:r w:rsidR="003F0996" w:rsidRPr="00811E8B">
        <w:rPr>
          <w:rFonts w:ascii="Times New Roman" w:eastAsia="Times New Roman" w:hAnsi="Times New Roman" w:cs="Times New Roman"/>
          <w:sz w:val="24"/>
          <w:szCs w:val="24"/>
          <w:lang w:eastAsia="en-IN"/>
        </w:rPr>
        <w:t>behaviours</w:t>
      </w:r>
      <w:r w:rsidRPr="00811E8B">
        <w:rPr>
          <w:rFonts w:ascii="Times New Roman" w:eastAsia="Times New Roman" w:hAnsi="Times New Roman" w:cs="Times New Roman"/>
          <w:sz w:val="24"/>
          <w:szCs w:val="24"/>
          <w:lang w:eastAsia="en-IN"/>
        </w:rPr>
        <w:t xml:space="preserve"> was observed, which are commonly reported in fish exposed to toxicants. These </w:t>
      </w:r>
      <w:r w:rsidR="003F0996" w:rsidRPr="00811E8B">
        <w:rPr>
          <w:rFonts w:ascii="Times New Roman" w:eastAsia="Times New Roman" w:hAnsi="Times New Roman" w:cs="Times New Roman"/>
          <w:sz w:val="24"/>
          <w:szCs w:val="24"/>
          <w:lang w:eastAsia="en-IN"/>
        </w:rPr>
        <w:t>behaviours</w:t>
      </w:r>
      <w:r w:rsidRPr="00811E8B">
        <w:rPr>
          <w:rFonts w:ascii="Times New Roman" w:eastAsia="Times New Roman" w:hAnsi="Times New Roman" w:cs="Times New Roman"/>
          <w:sz w:val="24"/>
          <w:szCs w:val="24"/>
          <w:lang w:eastAsia="en-IN"/>
        </w:rPr>
        <w:t xml:space="preserve"> included:</w:t>
      </w:r>
    </w:p>
    <w:p w14:paraId="095CD842" w14:textId="77777777" w:rsidR="00811E8B" w:rsidRPr="00811E8B"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b/>
          <w:bCs/>
          <w:sz w:val="24"/>
          <w:szCs w:val="24"/>
          <w:lang w:eastAsia="en-IN"/>
        </w:rPr>
        <w:t>Erratic Opercular Movement:</w:t>
      </w:r>
      <w:r w:rsidRPr="00811E8B">
        <w:rPr>
          <w:rFonts w:ascii="Times New Roman" w:eastAsia="Times New Roman" w:hAnsi="Times New Roman" w:cs="Times New Roman"/>
          <w:sz w:val="24"/>
          <w:szCs w:val="24"/>
          <w:lang w:eastAsia="en-IN"/>
        </w:rPr>
        <w:t xml:space="preserve"> The increased opercular (gill) movement observed in the fish is an indicator of respiratory distress. Herbicide exposure can impair the gill function, causing the fish to work harder to obtain oxygen, resulting in rapid gill movement. This is often a sign of suffocation or hypoxia (Bhatnagar &amp; Tyagi, 1994; Trivedi &amp; Saksena, 1999).</w:t>
      </w:r>
    </w:p>
    <w:p w14:paraId="49E10975" w14:textId="77777777" w:rsidR="00811E8B" w:rsidRPr="00811E8B"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b/>
          <w:bCs/>
          <w:sz w:val="24"/>
          <w:szCs w:val="24"/>
          <w:lang w:eastAsia="en-IN"/>
        </w:rPr>
        <w:t>Aggression and Restlessness:</w:t>
      </w:r>
      <w:r w:rsidRPr="00811E8B">
        <w:rPr>
          <w:rFonts w:ascii="Times New Roman" w:eastAsia="Times New Roman" w:hAnsi="Times New Roman" w:cs="Times New Roman"/>
          <w:sz w:val="24"/>
          <w:szCs w:val="24"/>
          <w:lang w:eastAsia="en-IN"/>
        </w:rPr>
        <w:t xml:space="preserve"> At higher concentrations, fish exhibited more aggressive </w:t>
      </w:r>
      <w:r w:rsidR="003F0996" w:rsidRPr="00811E8B">
        <w:rPr>
          <w:rFonts w:ascii="Times New Roman" w:eastAsia="Times New Roman" w:hAnsi="Times New Roman" w:cs="Times New Roman"/>
          <w:sz w:val="24"/>
          <w:szCs w:val="24"/>
          <w:lang w:eastAsia="en-IN"/>
        </w:rPr>
        <w:t>behaviours</w:t>
      </w:r>
      <w:r w:rsidRPr="00811E8B">
        <w:rPr>
          <w:rFonts w:ascii="Times New Roman" w:eastAsia="Times New Roman" w:hAnsi="Times New Roman" w:cs="Times New Roman"/>
          <w:sz w:val="24"/>
          <w:szCs w:val="24"/>
          <w:lang w:eastAsia="en-IN"/>
        </w:rPr>
        <w:t xml:space="preserve"> and a tendency to swim erratically or attempt to escape. This is likely due to increased stress levels, which are known to disrupt the normal </w:t>
      </w:r>
      <w:r w:rsidR="003F0996" w:rsidRPr="00811E8B">
        <w:rPr>
          <w:rFonts w:ascii="Times New Roman" w:eastAsia="Times New Roman" w:hAnsi="Times New Roman" w:cs="Times New Roman"/>
          <w:sz w:val="24"/>
          <w:szCs w:val="24"/>
          <w:lang w:eastAsia="en-IN"/>
        </w:rPr>
        <w:t>behavioural</w:t>
      </w:r>
      <w:r w:rsidRPr="00811E8B">
        <w:rPr>
          <w:rFonts w:ascii="Times New Roman" w:eastAsia="Times New Roman" w:hAnsi="Times New Roman" w:cs="Times New Roman"/>
          <w:sz w:val="24"/>
          <w:szCs w:val="24"/>
          <w:lang w:eastAsia="en-IN"/>
        </w:rPr>
        <w:t xml:space="preserve"> patterns of aquatic organisms (Rakesh et al., 2007). Increased aggression may also be a result of impaired neurological function caused by the herbicide.</w:t>
      </w:r>
    </w:p>
    <w:p w14:paraId="5934B128" w14:textId="77777777" w:rsidR="00811E8B" w:rsidRPr="00811E8B"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b/>
          <w:bCs/>
          <w:sz w:val="24"/>
          <w:szCs w:val="24"/>
          <w:lang w:eastAsia="en-IN"/>
        </w:rPr>
        <w:t>Difficulty in Breathing and Surfaces for Air:</w:t>
      </w:r>
      <w:r w:rsidRPr="00811E8B">
        <w:rPr>
          <w:rFonts w:ascii="Times New Roman" w:eastAsia="Times New Roman" w:hAnsi="Times New Roman" w:cs="Times New Roman"/>
          <w:sz w:val="24"/>
          <w:szCs w:val="24"/>
          <w:lang w:eastAsia="en-IN"/>
        </w:rPr>
        <w:t xml:space="preserve"> Fish in higher concentrations showed signs of respiratory difficulty, surfacing frequently to gulp air. This </w:t>
      </w:r>
      <w:r w:rsidR="003F0996" w:rsidRPr="00811E8B">
        <w:rPr>
          <w:rFonts w:ascii="Times New Roman" w:eastAsia="Times New Roman" w:hAnsi="Times New Roman" w:cs="Times New Roman"/>
          <w:sz w:val="24"/>
          <w:szCs w:val="24"/>
          <w:lang w:eastAsia="en-IN"/>
        </w:rPr>
        <w:t>behaviour</w:t>
      </w:r>
      <w:r w:rsidRPr="00811E8B">
        <w:rPr>
          <w:rFonts w:ascii="Times New Roman" w:eastAsia="Times New Roman" w:hAnsi="Times New Roman" w:cs="Times New Roman"/>
          <w:sz w:val="24"/>
          <w:szCs w:val="24"/>
          <w:lang w:eastAsia="en-IN"/>
        </w:rPr>
        <w:t xml:space="preserve"> suggests that the herbicide interfered with the oxygen-carrying capacity of the water or the fish’s ability to extract oxygen from the water. Such </w:t>
      </w:r>
      <w:r w:rsidR="003F0996" w:rsidRPr="00811E8B">
        <w:rPr>
          <w:rFonts w:ascii="Times New Roman" w:eastAsia="Times New Roman" w:hAnsi="Times New Roman" w:cs="Times New Roman"/>
          <w:sz w:val="24"/>
          <w:szCs w:val="24"/>
          <w:lang w:eastAsia="en-IN"/>
        </w:rPr>
        <w:t>behavioural</w:t>
      </w:r>
      <w:r w:rsidRPr="00811E8B">
        <w:rPr>
          <w:rFonts w:ascii="Times New Roman" w:eastAsia="Times New Roman" w:hAnsi="Times New Roman" w:cs="Times New Roman"/>
          <w:sz w:val="24"/>
          <w:szCs w:val="24"/>
          <w:lang w:eastAsia="en-IN"/>
        </w:rPr>
        <w:t xml:space="preserve"> changes are commonly observed in fish exposed to toxic chemicals (Singh, 2002).</w:t>
      </w:r>
    </w:p>
    <w:p w14:paraId="557D3BB3" w14:textId="77777777" w:rsidR="00811E8B" w:rsidRPr="00811E8B"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b/>
          <w:bCs/>
          <w:sz w:val="24"/>
          <w:szCs w:val="24"/>
          <w:lang w:eastAsia="en-IN"/>
        </w:rPr>
        <w:t xml:space="preserve">Excessive Mucus Secretion and </w:t>
      </w:r>
      <w:r w:rsidR="003F0996" w:rsidRPr="00811E8B">
        <w:rPr>
          <w:rFonts w:ascii="Times New Roman" w:eastAsia="Times New Roman" w:hAnsi="Times New Roman" w:cs="Times New Roman"/>
          <w:b/>
          <w:bCs/>
          <w:sz w:val="24"/>
          <w:szCs w:val="24"/>
          <w:lang w:eastAsia="en-IN"/>
        </w:rPr>
        <w:t>Depigmentation</w:t>
      </w:r>
      <w:r w:rsidRPr="00811E8B">
        <w:rPr>
          <w:rFonts w:ascii="Times New Roman" w:eastAsia="Times New Roman" w:hAnsi="Times New Roman" w:cs="Times New Roman"/>
          <w:b/>
          <w:bCs/>
          <w:sz w:val="24"/>
          <w:szCs w:val="24"/>
          <w:lang w:eastAsia="en-IN"/>
        </w:rPr>
        <w:t>:</w:t>
      </w:r>
      <w:r w:rsidRPr="00811E8B">
        <w:rPr>
          <w:rFonts w:ascii="Times New Roman" w:eastAsia="Times New Roman" w:hAnsi="Times New Roman" w:cs="Times New Roman"/>
          <w:sz w:val="24"/>
          <w:szCs w:val="24"/>
          <w:lang w:eastAsia="en-IN"/>
        </w:rPr>
        <w:t xml:space="preserve"> One of the most alarming signs of toxicity was the excessive secretion of mucus, which covered the body and gills. Mucus serves as a protective mechanism for fish, but when produced in excess, it can impair their respiratory function and limit oxygen exchange (Pandey et al., 1990). The discoloration of the fish (</w:t>
      </w:r>
      <w:r w:rsidR="003F0996" w:rsidRPr="00811E8B">
        <w:rPr>
          <w:rFonts w:ascii="Times New Roman" w:eastAsia="Times New Roman" w:hAnsi="Times New Roman" w:cs="Times New Roman"/>
          <w:sz w:val="24"/>
          <w:szCs w:val="24"/>
          <w:lang w:eastAsia="en-IN"/>
        </w:rPr>
        <w:t>depigmentation</w:t>
      </w:r>
      <w:r w:rsidRPr="00811E8B">
        <w:rPr>
          <w:rFonts w:ascii="Times New Roman" w:eastAsia="Times New Roman" w:hAnsi="Times New Roman" w:cs="Times New Roman"/>
          <w:sz w:val="24"/>
          <w:szCs w:val="24"/>
          <w:lang w:eastAsia="en-IN"/>
        </w:rPr>
        <w:t xml:space="preserve">) observed in the study suggests that </w:t>
      </w:r>
      <w:proofErr w:type="spellStart"/>
      <w:r w:rsidR="003F0996" w:rsidRP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 xml:space="preserve"> may have a detrimental effect on the fish’s integumentary system and may disrupt normal metabolic processes.</w:t>
      </w:r>
    </w:p>
    <w:p w14:paraId="406818A5" w14:textId="77777777" w:rsidR="00811E8B" w:rsidRPr="00811E8B" w:rsidRDefault="00811E8B" w:rsidP="00FF0B6A">
      <w:pPr>
        <w:numPr>
          <w:ilvl w:val="0"/>
          <w:numId w:val="2"/>
        </w:num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b/>
          <w:bCs/>
          <w:sz w:val="24"/>
          <w:szCs w:val="24"/>
          <w:lang w:eastAsia="en-IN"/>
        </w:rPr>
        <w:t>Loss of Balance and Lethargy:</w:t>
      </w:r>
      <w:r w:rsidRPr="00811E8B">
        <w:rPr>
          <w:rFonts w:ascii="Times New Roman" w:eastAsia="Times New Roman" w:hAnsi="Times New Roman" w:cs="Times New Roman"/>
          <w:sz w:val="24"/>
          <w:szCs w:val="24"/>
          <w:lang w:eastAsia="en-IN"/>
        </w:rPr>
        <w:t xml:space="preserve"> A loss of balance, coupled with lethargy, was observed in the fish after prolonged exposure. This suggests that the herbicide may be affecting the central nervous system, causing motor dysfunction and impairing the fish’s ability to maintain equilibrium.</w:t>
      </w:r>
    </w:p>
    <w:p w14:paraId="74864AE1" w14:textId="77777777" w:rsidR="00811E8B" w:rsidRPr="00811E8B" w:rsidRDefault="00811E8B" w:rsidP="00FF0B6A">
      <w:pPr>
        <w:spacing w:after="0" w:line="240" w:lineRule="auto"/>
        <w:ind w:firstLine="360"/>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 xml:space="preserve">These </w:t>
      </w:r>
      <w:r w:rsidR="003F0996" w:rsidRPr="00811E8B">
        <w:rPr>
          <w:rFonts w:ascii="Times New Roman" w:eastAsia="Times New Roman" w:hAnsi="Times New Roman" w:cs="Times New Roman"/>
          <w:sz w:val="24"/>
          <w:szCs w:val="24"/>
          <w:lang w:eastAsia="en-IN"/>
        </w:rPr>
        <w:t>behavioural</w:t>
      </w:r>
      <w:r w:rsidRPr="00811E8B">
        <w:rPr>
          <w:rFonts w:ascii="Times New Roman" w:eastAsia="Times New Roman" w:hAnsi="Times New Roman" w:cs="Times New Roman"/>
          <w:sz w:val="24"/>
          <w:szCs w:val="24"/>
          <w:lang w:eastAsia="en-IN"/>
        </w:rPr>
        <w:t xml:space="preserve"> responses provide valuable insight into the physiological stress caused by herbicide exposure. Similar findings have been reported in other studies on herbicide toxicity, where increased mucus secretion, erratic swimming, and loss of balance were commonly observed (Rita &amp; Milton, 2006; Ghosh &amp; Chatterjee, 1988).</w:t>
      </w:r>
    </w:p>
    <w:p w14:paraId="5EF38AE1" w14:textId="77777777" w:rsidR="00811E8B" w:rsidRPr="00811E8B" w:rsidRDefault="00811E8B" w:rsidP="00FF0B6A">
      <w:p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b/>
          <w:bCs/>
          <w:sz w:val="24"/>
          <w:szCs w:val="24"/>
          <w:lang w:eastAsia="en-IN"/>
        </w:rPr>
        <w:t>Comparison with Literature:</w:t>
      </w:r>
    </w:p>
    <w:p w14:paraId="4023BE5E" w14:textId="77777777" w:rsidR="00811E8B" w:rsidRDefault="00811E8B" w:rsidP="00FF0B6A">
      <w:pPr>
        <w:spacing w:after="0" w:line="240" w:lineRule="auto"/>
        <w:ind w:firstLine="720"/>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 xml:space="preserve">The observed LC₅₀ values for </w:t>
      </w:r>
      <w:proofErr w:type="spellStart"/>
      <w:r w:rsid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811E8B">
        <w:rPr>
          <w:rFonts w:ascii="Times New Roman" w:eastAsia="Times New Roman" w:hAnsi="Times New Roman" w:cs="Times New Roman"/>
          <w:sz w:val="24"/>
          <w:szCs w:val="24"/>
          <w:lang w:eastAsia="en-IN"/>
        </w:rPr>
        <w:t xml:space="preserve">(10.16 ppm at 24 hours and 4.25 ppm at 96 hours) are similar to those reported for other herbicides and pesticides in fish. For example, Gupta et al. (1985) reported an LC₅₀ of 4.25 ppm for </w:t>
      </w:r>
      <w:proofErr w:type="spellStart"/>
      <w:r w:rsidRPr="00811E8B">
        <w:rPr>
          <w:rFonts w:ascii="Times New Roman" w:eastAsia="Times New Roman" w:hAnsi="Times New Roman" w:cs="Times New Roman"/>
          <w:sz w:val="24"/>
          <w:szCs w:val="24"/>
          <w:lang w:eastAsia="en-IN"/>
        </w:rPr>
        <w:t>propexur</w:t>
      </w:r>
      <w:proofErr w:type="spellEnd"/>
      <w:r w:rsidRPr="00811E8B">
        <w:rPr>
          <w:rFonts w:ascii="Times New Roman" w:eastAsia="Times New Roman" w:hAnsi="Times New Roman" w:cs="Times New Roman"/>
          <w:sz w:val="24"/>
          <w:szCs w:val="24"/>
          <w:lang w:eastAsia="en-IN"/>
        </w:rPr>
        <w:t xml:space="preserve">, a synthetic pyrethroid, for similar exposure periods. These findings emphasize that herbicides like </w:t>
      </w:r>
      <w:proofErr w:type="spellStart"/>
      <w:r w:rsid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 xml:space="preserve"> are toxic to aquatic </w:t>
      </w:r>
      <w:r w:rsidR="00C110DE" w:rsidRPr="00811E8B">
        <w:rPr>
          <w:rFonts w:ascii="Times New Roman" w:eastAsia="Times New Roman" w:hAnsi="Times New Roman" w:cs="Times New Roman"/>
          <w:sz w:val="24"/>
          <w:szCs w:val="24"/>
          <w:lang w:eastAsia="en-IN"/>
        </w:rPr>
        <w:t>organisms</w:t>
      </w:r>
      <w:r w:rsidRPr="00811E8B">
        <w:rPr>
          <w:rFonts w:ascii="Times New Roman" w:eastAsia="Times New Roman" w:hAnsi="Times New Roman" w:cs="Times New Roman"/>
          <w:sz w:val="24"/>
          <w:szCs w:val="24"/>
          <w:lang w:eastAsia="en-IN"/>
        </w:rPr>
        <w:t xml:space="preserve"> and their lethal and </w:t>
      </w:r>
      <w:r w:rsidR="003F0996" w:rsidRPr="00811E8B">
        <w:rPr>
          <w:rFonts w:ascii="Times New Roman" w:eastAsia="Times New Roman" w:hAnsi="Times New Roman" w:cs="Times New Roman"/>
          <w:sz w:val="24"/>
          <w:szCs w:val="24"/>
          <w:lang w:eastAsia="en-IN"/>
        </w:rPr>
        <w:t>sub lethal</w:t>
      </w:r>
      <w:r w:rsidRPr="00811E8B">
        <w:rPr>
          <w:rFonts w:ascii="Times New Roman" w:eastAsia="Times New Roman" w:hAnsi="Times New Roman" w:cs="Times New Roman"/>
          <w:sz w:val="24"/>
          <w:szCs w:val="24"/>
          <w:lang w:eastAsia="en-IN"/>
        </w:rPr>
        <w:t xml:space="preserve"> effects can have profound ecological consequences. </w:t>
      </w:r>
      <w:r w:rsidR="00C110DE" w:rsidRPr="00811E8B">
        <w:rPr>
          <w:rFonts w:ascii="Times New Roman" w:eastAsia="Times New Roman" w:hAnsi="Times New Roman" w:cs="Times New Roman"/>
          <w:sz w:val="24"/>
          <w:szCs w:val="24"/>
          <w:lang w:eastAsia="en-IN"/>
        </w:rPr>
        <w:t>The</w:t>
      </w:r>
      <w:r w:rsidRPr="00811E8B">
        <w:rPr>
          <w:rFonts w:ascii="Times New Roman" w:eastAsia="Times New Roman" w:hAnsi="Times New Roman" w:cs="Times New Roman"/>
          <w:sz w:val="24"/>
          <w:szCs w:val="24"/>
          <w:lang w:eastAsia="en-IN"/>
        </w:rPr>
        <w:t xml:space="preserve"> </w:t>
      </w:r>
      <w:r w:rsidR="003F0996" w:rsidRPr="00811E8B">
        <w:rPr>
          <w:rFonts w:ascii="Times New Roman" w:eastAsia="Times New Roman" w:hAnsi="Times New Roman" w:cs="Times New Roman"/>
          <w:sz w:val="24"/>
          <w:szCs w:val="24"/>
          <w:lang w:eastAsia="en-IN"/>
        </w:rPr>
        <w:t>behavioural</w:t>
      </w:r>
      <w:r w:rsidRPr="00811E8B">
        <w:rPr>
          <w:rFonts w:ascii="Times New Roman" w:eastAsia="Times New Roman" w:hAnsi="Times New Roman" w:cs="Times New Roman"/>
          <w:sz w:val="24"/>
          <w:szCs w:val="24"/>
          <w:lang w:eastAsia="en-IN"/>
        </w:rPr>
        <w:t xml:space="preserve"> changes observed in </w:t>
      </w:r>
      <w:r w:rsidRPr="00811E8B">
        <w:rPr>
          <w:rFonts w:ascii="Times New Roman" w:eastAsia="Times New Roman" w:hAnsi="Times New Roman" w:cs="Times New Roman"/>
          <w:i/>
          <w:iCs/>
          <w:sz w:val="24"/>
          <w:szCs w:val="24"/>
          <w:lang w:eastAsia="en-IN"/>
        </w:rPr>
        <w:t>C. batrachus</w:t>
      </w:r>
      <w:r w:rsidRPr="00811E8B">
        <w:rPr>
          <w:rFonts w:ascii="Times New Roman" w:eastAsia="Times New Roman" w:hAnsi="Times New Roman" w:cs="Times New Roman"/>
          <w:sz w:val="24"/>
          <w:szCs w:val="24"/>
          <w:lang w:eastAsia="en-IN"/>
        </w:rPr>
        <w:t xml:space="preserve"> align with those reported in other studies, such as those by Ghosh (1990), Bhatnagar &amp; Tyagi (1994), and Rakesh et al. (2007), where herbicide exposure resulted in increased aggression, erratic swimming, and respiratory difficulties.</w:t>
      </w:r>
    </w:p>
    <w:p w14:paraId="06AC59F7" w14:textId="777777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40469410" w14:textId="77777777" w:rsidR="000A15A5" w:rsidRPr="00811E8B"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364AF3D1" w14:textId="77777777" w:rsidR="00811E8B" w:rsidRPr="00811E8B" w:rsidRDefault="00811E8B" w:rsidP="00FF0B6A">
      <w:pPr>
        <w:spacing w:after="0" w:line="240" w:lineRule="auto"/>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b/>
          <w:bCs/>
          <w:sz w:val="24"/>
          <w:szCs w:val="24"/>
          <w:lang w:eastAsia="en-IN"/>
        </w:rPr>
        <w:t>Conclusion:</w:t>
      </w:r>
    </w:p>
    <w:p w14:paraId="74786054" w14:textId="77777777" w:rsidR="00811E8B" w:rsidRDefault="00811E8B" w:rsidP="00FF0B6A">
      <w:pPr>
        <w:spacing w:after="0" w:line="240" w:lineRule="auto"/>
        <w:ind w:firstLine="720"/>
        <w:jc w:val="both"/>
        <w:rPr>
          <w:rFonts w:ascii="Times New Roman" w:eastAsia="Times New Roman" w:hAnsi="Times New Roman" w:cs="Times New Roman"/>
          <w:sz w:val="24"/>
          <w:szCs w:val="24"/>
          <w:lang w:eastAsia="en-IN"/>
        </w:rPr>
      </w:pPr>
      <w:r w:rsidRPr="00811E8B">
        <w:rPr>
          <w:rFonts w:ascii="Times New Roman" w:eastAsia="Times New Roman" w:hAnsi="Times New Roman" w:cs="Times New Roman"/>
          <w:sz w:val="24"/>
          <w:szCs w:val="24"/>
          <w:lang w:eastAsia="en-IN"/>
        </w:rPr>
        <w:t xml:space="preserve">The present study concludes that </w:t>
      </w:r>
      <w:proofErr w:type="spellStart"/>
      <w:r w:rsid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 xml:space="preserve"> has significant acute toxicity to </w:t>
      </w:r>
      <w:r w:rsidRPr="00811E8B">
        <w:rPr>
          <w:rFonts w:ascii="Times New Roman" w:eastAsia="Times New Roman" w:hAnsi="Times New Roman" w:cs="Times New Roman"/>
          <w:i/>
          <w:iCs/>
          <w:sz w:val="24"/>
          <w:szCs w:val="24"/>
          <w:lang w:eastAsia="en-IN"/>
        </w:rPr>
        <w:t>Clarias batrachus</w:t>
      </w:r>
      <w:r w:rsidRPr="00811E8B">
        <w:rPr>
          <w:rFonts w:ascii="Times New Roman" w:eastAsia="Times New Roman" w:hAnsi="Times New Roman" w:cs="Times New Roman"/>
          <w:sz w:val="24"/>
          <w:szCs w:val="24"/>
          <w:lang w:eastAsia="en-IN"/>
        </w:rPr>
        <w:t xml:space="preserve">. The LC₅₀ values indicate that the herbicide is highly toxic, with increasing toxicity over time. Even </w:t>
      </w:r>
      <w:r w:rsidR="003F0996" w:rsidRPr="00811E8B">
        <w:rPr>
          <w:rFonts w:ascii="Times New Roman" w:eastAsia="Times New Roman" w:hAnsi="Times New Roman" w:cs="Times New Roman"/>
          <w:sz w:val="24"/>
          <w:szCs w:val="24"/>
          <w:lang w:eastAsia="en-IN"/>
        </w:rPr>
        <w:t>sub lethal</w:t>
      </w:r>
      <w:r w:rsidRPr="00811E8B">
        <w:rPr>
          <w:rFonts w:ascii="Times New Roman" w:eastAsia="Times New Roman" w:hAnsi="Times New Roman" w:cs="Times New Roman"/>
          <w:sz w:val="24"/>
          <w:szCs w:val="24"/>
          <w:lang w:eastAsia="en-IN"/>
        </w:rPr>
        <w:t xml:space="preserve"> concentrations (1.00 ppm) can cause severe physiological and </w:t>
      </w:r>
      <w:r w:rsidR="003F0996" w:rsidRPr="00811E8B">
        <w:rPr>
          <w:rFonts w:ascii="Times New Roman" w:eastAsia="Times New Roman" w:hAnsi="Times New Roman" w:cs="Times New Roman"/>
          <w:sz w:val="24"/>
          <w:szCs w:val="24"/>
          <w:lang w:eastAsia="en-IN"/>
        </w:rPr>
        <w:t>behavioural</w:t>
      </w:r>
      <w:r w:rsidRPr="00811E8B">
        <w:rPr>
          <w:rFonts w:ascii="Times New Roman" w:eastAsia="Times New Roman" w:hAnsi="Times New Roman" w:cs="Times New Roman"/>
          <w:sz w:val="24"/>
          <w:szCs w:val="24"/>
          <w:lang w:eastAsia="en-IN"/>
        </w:rPr>
        <w:t xml:space="preserve"> disruptions in fish. The observed abnormal </w:t>
      </w:r>
      <w:r w:rsidR="003F0996" w:rsidRPr="00811E8B">
        <w:rPr>
          <w:rFonts w:ascii="Times New Roman" w:eastAsia="Times New Roman" w:hAnsi="Times New Roman" w:cs="Times New Roman"/>
          <w:sz w:val="24"/>
          <w:szCs w:val="24"/>
          <w:lang w:eastAsia="en-IN"/>
        </w:rPr>
        <w:t>behaviours</w:t>
      </w:r>
      <w:r w:rsidRPr="00811E8B">
        <w:rPr>
          <w:rFonts w:ascii="Times New Roman" w:eastAsia="Times New Roman" w:hAnsi="Times New Roman" w:cs="Times New Roman"/>
          <w:sz w:val="24"/>
          <w:szCs w:val="24"/>
          <w:lang w:eastAsia="en-IN"/>
        </w:rPr>
        <w:t xml:space="preserve">, including erratic swimming, respiratory distress, excessive mucus secretion, and loss of equilibrium, indicate that </w:t>
      </w:r>
      <w:proofErr w:type="spellStart"/>
      <w:r w:rsid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811E8B">
        <w:rPr>
          <w:rFonts w:ascii="Times New Roman" w:eastAsia="Times New Roman" w:hAnsi="Times New Roman" w:cs="Times New Roman"/>
          <w:sz w:val="24"/>
          <w:szCs w:val="24"/>
          <w:lang w:eastAsia="en-IN"/>
        </w:rPr>
        <w:t>affects multiple physiological systems, including respiration, the nervous system, and the skin.</w:t>
      </w:r>
      <w:r w:rsidR="00FF0B6A">
        <w:rPr>
          <w:rFonts w:ascii="Times New Roman" w:eastAsia="Times New Roman" w:hAnsi="Times New Roman" w:cs="Times New Roman"/>
          <w:sz w:val="24"/>
          <w:szCs w:val="24"/>
          <w:lang w:eastAsia="en-IN"/>
        </w:rPr>
        <w:t xml:space="preserve"> </w:t>
      </w:r>
      <w:r w:rsidRPr="00811E8B">
        <w:rPr>
          <w:rFonts w:ascii="Times New Roman" w:eastAsia="Times New Roman" w:hAnsi="Times New Roman" w:cs="Times New Roman"/>
          <w:sz w:val="24"/>
          <w:szCs w:val="24"/>
          <w:lang w:eastAsia="en-IN"/>
        </w:rPr>
        <w:t xml:space="preserve">These findings suggest that the use of </w:t>
      </w:r>
      <w:proofErr w:type="spellStart"/>
      <w:r w:rsidR="003F0996">
        <w:rPr>
          <w:rFonts w:ascii="Times New Roman" w:eastAsia="Times New Roman" w:hAnsi="Times New Roman" w:cs="Times New Roman"/>
          <w:sz w:val="24"/>
          <w:szCs w:val="24"/>
          <w:lang w:eastAsia="en-IN"/>
        </w:rPr>
        <w:t>Herboclin</w:t>
      </w:r>
      <w:proofErr w:type="spellEnd"/>
      <w:r w:rsidRPr="00811E8B">
        <w:rPr>
          <w:rFonts w:ascii="Times New Roman" w:eastAsia="Times New Roman" w:hAnsi="Times New Roman" w:cs="Times New Roman"/>
          <w:sz w:val="24"/>
          <w:szCs w:val="24"/>
          <w:lang w:eastAsia="en-IN"/>
        </w:rPr>
        <w:t xml:space="preserve"> in agricultural settings may pose a significant risk to aquatic ecosystems, particularly in freshwater habitats where fish such as </w:t>
      </w:r>
      <w:r w:rsidRPr="00811E8B">
        <w:rPr>
          <w:rFonts w:ascii="Times New Roman" w:eastAsia="Times New Roman" w:hAnsi="Times New Roman" w:cs="Times New Roman"/>
          <w:i/>
          <w:iCs/>
          <w:sz w:val="24"/>
          <w:szCs w:val="24"/>
          <w:lang w:eastAsia="en-IN"/>
        </w:rPr>
        <w:t>C. batrachus</w:t>
      </w:r>
      <w:r w:rsidRPr="00811E8B">
        <w:rPr>
          <w:rFonts w:ascii="Times New Roman" w:eastAsia="Times New Roman" w:hAnsi="Times New Roman" w:cs="Times New Roman"/>
          <w:sz w:val="24"/>
          <w:szCs w:val="24"/>
          <w:lang w:eastAsia="en-IN"/>
        </w:rPr>
        <w:t xml:space="preserve"> are common. Given the potential for long-term ecological impacts, it is essential to monitor and regulate the concentration of herbicides in aquatic environments to prevent harm to aquatic life. Further studies are needed to investigate the chronic effects of </w:t>
      </w:r>
      <w:proofErr w:type="spellStart"/>
      <w:r w:rsidR="003F0996">
        <w:rPr>
          <w:rFonts w:ascii="Times New Roman" w:eastAsia="Times New Roman" w:hAnsi="Times New Roman" w:cs="Times New Roman"/>
          <w:sz w:val="24"/>
          <w:szCs w:val="24"/>
          <w:lang w:eastAsia="en-IN"/>
        </w:rPr>
        <w:t>Herboclin</w:t>
      </w:r>
      <w:proofErr w:type="spellEnd"/>
      <w:r w:rsidRPr="003F0996">
        <w:rPr>
          <w:rFonts w:ascii="Times New Roman" w:eastAsia="Times New Roman" w:hAnsi="Times New Roman" w:cs="Times New Roman"/>
          <w:sz w:val="24"/>
          <w:szCs w:val="24"/>
          <w:lang w:eastAsia="en-IN"/>
        </w:rPr>
        <w:t xml:space="preserve"> </w:t>
      </w:r>
      <w:r w:rsidRPr="00811E8B">
        <w:rPr>
          <w:rFonts w:ascii="Times New Roman" w:eastAsia="Times New Roman" w:hAnsi="Times New Roman" w:cs="Times New Roman"/>
          <w:sz w:val="24"/>
          <w:szCs w:val="24"/>
          <w:lang w:eastAsia="en-IN"/>
        </w:rPr>
        <w:t>exposure and its impact on fish reproduction and ecosystem health.</w:t>
      </w:r>
    </w:p>
    <w:p w14:paraId="318431AB" w14:textId="777777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35A62237" w14:textId="777777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33AE464C" w14:textId="77777777" w:rsidR="000A15A5" w:rsidRDefault="000A15A5" w:rsidP="00FF0B6A">
      <w:pPr>
        <w:spacing w:after="0" w:line="240" w:lineRule="auto"/>
        <w:ind w:firstLine="720"/>
        <w:jc w:val="both"/>
        <w:rPr>
          <w:rFonts w:ascii="Times New Roman" w:eastAsia="Times New Roman" w:hAnsi="Times New Roman" w:cs="Times New Roman"/>
          <w:sz w:val="24"/>
          <w:szCs w:val="24"/>
          <w:lang w:eastAsia="en-IN"/>
        </w:rPr>
      </w:pPr>
    </w:p>
    <w:p w14:paraId="49147AB0" w14:textId="77777777" w:rsidR="00B15F80" w:rsidRPr="00B15F80" w:rsidRDefault="00B15F80" w:rsidP="00FF0B6A">
      <w:pPr>
        <w:spacing w:after="0" w:line="240" w:lineRule="auto"/>
        <w:outlineLvl w:val="2"/>
        <w:rPr>
          <w:rFonts w:ascii="Times New Roman" w:eastAsia="Times New Roman" w:hAnsi="Times New Roman" w:cs="Times New Roman"/>
          <w:b/>
          <w:bCs/>
          <w:sz w:val="27"/>
          <w:szCs w:val="27"/>
          <w:lang w:eastAsia="en-IN"/>
        </w:rPr>
      </w:pPr>
      <w:r w:rsidRPr="00B15F80">
        <w:rPr>
          <w:rFonts w:ascii="Times New Roman" w:eastAsia="Times New Roman" w:hAnsi="Times New Roman" w:cs="Times New Roman"/>
          <w:b/>
          <w:bCs/>
          <w:sz w:val="27"/>
          <w:szCs w:val="27"/>
          <w:lang w:eastAsia="en-IN"/>
        </w:rPr>
        <w:t>References</w:t>
      </w:r>
    </w:p>
    <w:p w14:paraId="31B39BAA"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APHA, AWWA &amp; WPCF, 1985. </w:t>
      </w:r>
      <w:r w:rsidRPr="00B15F80">
        <w:rPr>
          <w:rFonts w:ascii="Times New Roman" w:eastAsia="Times New Roman" w:hAnsi="Times New Roman" w:cs="Times New Roman"/>
          <w:i/>
          <w:iCs/>
          <w:sz w:val="24"/>
          <w:szCs w:val="24"/>
          <w:lang w:eastAsia="en-IN"/>
        </w:rPr>
        <w:t>Standard Methods for Examination of Water and Wastewater</w:t>
      </w:r>
      <w:r w:rsidRPr="00B15F80">
        <w:rPr>
          <w:rFonts w:ascii="Times New Roman" w:eastAsia="Times New Roman" w:hAnsi="Times New Roman" w:cs="Times New Roman"/>
          <w:sz w:val="24"/>
          <w:szCs w:val="24"/>
          <w:lang w:eastAsia="en-IN"/>
        </w:rPr>
        <w:t>. 16th Edition. American Public Health Association, Washington D.C.</w:t>
      </w:r>
    </w:p>
    <w:p w14:paraId="5267878C"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Bhatnagar, M.C. and Tyagi, M., 1994. Toxicity of </w:t>
      </w:r>
      <w:proofErr w:type="spellStart"/>
      <w:r w:rsidRPr="00B15F80">
        <w:rPr>
          <w:rFonts w:ascii="Times New Roman" w:eastAsia="Times New Roman" w:hAnsi="Times New Roman" w:cs="Times New Roman"/>
          <w:sz w:val="24"/>
          <w:szCs w:val="24"/>
          <w:lang w:eastAsia="en-IN"/>
        </w:rPr>
        <w:t>Durmet</w:t>
      </w:r>
      <w:proofErr w:type="spellEnd"/>
      <w:r w:rsidRPr="00B15F80">
        <w:rPr>
          <w:rFonts w:ascii="Times New Roman" w:eastAsia="Times New Roman" w:hAnsi="Times New Roman" w:cs="Times New Roman"/>
          <w:sz w:val="24"/>
          <w:szCs w:val="24"/>
          <w:lang w:eastAsia="en-IN"/>
        </w:rPr>
        <w:t xml:space="preserve"> and Mortal to a freshwater teleost </w:t>
      </w:r>
      <w:r w:rsidRPr="00B15F80">
        <w:rPr>
          <w:rFonts w:ascii="Times New Roman" w:eastAsia="Times New Roman" w:hAnsi="Times New Roman" w:cs="Times New Roman"/>
          <w:i/>
          <w:iCs/>
          <w:sz w:val="24"/>
          <w:szCs w:val="24"/>
          <w:lang w:eastAsia="en-IN"/>
        </w:rPr>
        <w:t>Clarias batrachus</w:t>
      </w:r>
      <w:r w:rsidRPr="00B15F80">
        <w:rPr>
          <w:rFonts w:ascii="Times New Roman" w:eastAsia="Times New Roman" w:hAnsi="Times New Roman" w:cs="Times New Roman"/>
          <w:sz w:val="24"/>
          <w:szCs w:val="24"/>
          <w:lang w:eastAsia="en-IN"/>
        </w:rPr>
        <w:t xml:space="preserve"> (Linn.). </w:t>
      </w:r>
      <w:r w:rsidRPr="00B15F80">
        <w:rPr>
          <w:rFonts w:ascii="Times New Roman" w:eastAsia="Times New Roman" w:hAnsi="Times New Roman" w:cs="Times New Roman"/>
          <w:i/>
          <w:iCs/>
          <w:sz w:val="24"/>
          <w:szCs w:val="24"/>
          <w:lang w:eastAsia="en-IN"/>
        </w:rPr>
        <w:t>Proceedings of the Academy of Environmental Biology</w:t>
      </w:r>
      <w:r w:rsidRPr="00B15F80">
        <w:rPr>
          <w:rFonts w:ascii="Times New Roman" w:eastAsia="Times New Roman" w:hAnsi="Times New Roman" w:cs="Times New Roman"/>
          <w:sz w:val="24"/>
          <w:szCs w:val="24"/>
          <w:lang w:eastAsia="en-IN"/>
        </w:rPr>
        <w:t>, 3(2): 177-180.</w:t>
      </w:r>
    </w:p>
    <w:p w14:paraId="68C7E7F0"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Ghosh, R., 1990. Toxicity of Carbamate pesticide, </w:t>
      </w:r>
      <w:proofErr w:type="spellStart"/>
      <w:r w:rsidRPr="00B15F80">
        <w:rPr>
          <w:rFonts w:ascii="Times New Roman" w:eastAsia="Times New Roman" w:hAnsi="Times New Roman" w:cs="Times New Roman"/>
          <w:sz w:val="24"/>
          <w:szCs w:val="24"/>
          <w:lang w:eastAsia="en-IN"/>
        </w:rPr>
        <w:t>Carboturan</w:t>
      </w:r>
      <w:proofErr w:type="spellEnd"/>
      <w:r w:rsidRPr="00B15F80">
        <w:rPr>
          <w:rFonts w:ascii="Times New Roman" w:eastAsia="Times New Roman" w:hAnsi="Times New Roman" w:cs="Times New Roman"/>
          <w:sz w:val="24"/>
          <w:szCs w:val="24"/>
          <w:lang w:eastAsia="en-IN"/>
        </w:rPr>
        <w:t xml:space="preserve"> (technical grade) to the freshwater fish, </w:t>
      </w:r>
      <w:proofErr w:type="spellStart"/>
      <w:r w:rsidRPr="00B15F80">
        <w:rPr>
          <w:rFonts w:ascii="Times New Roman" w:eastAsia="Times New Roman" w:hAnsi="Times New Roman" w:cs="Times New Roman"/>
          <w:i/>
          <w:iCs/>
          <w:sz w:val="24"/>
          <w:szCs w:val="24"/>
          <w:lang w:eastAsia="en-IN"/>
        </w:rPr>
        <w:t>Heteropneustes</w:t>
      </w:r>
      <w:proofErr w:type="spellEnd"/>
      <w:r w:rsidRPr="00B15F80">
        <w:rPr>
          <w:rFonts w:ascii="Times New Roman" w:eastAsia="Times New Roman" w:hAnsi="Times New Roman" w:cs="Times New Roman"/>
          <w:i/>
          <w:iCs/>
          <w:sz w:val="24"/>
          <w:szCs w:val="24"/>
          <w:lang w:eastAsia="en-IN"/>
        </w:rPr>
        <w:t xml:space="preserve"> </w:t>
      </w:r>
      <w:proofErr w:type="spellStart"/>
      <w:r w:rsidRPr="00B15F80">
        <w:rPr>
          <w:rFonts w:ascii="Times New Roman" w:eastAsia="Times New Roman" w:hAnsi="Times New Roman" w:cs="Times New Roman"/>
          <w:i/>
          <w:iCs/>
          <w:sz w:val="24"/>
          <w:szCs w:val="24"/>
          <w:lang w:eastAsia="en-IN"/>
        </w:rPr>
        <w:t>fossilis</w:t>
      </w:r>
      <w:proofErr w:type="spellEnd"/>
      <w:r w:rsidRPr="00B15F80">
        <w:rPr>
          <w:rFonts w:ascii="Times New Roman" w:eastAsia="Times New Roman" w:hAnsi="Times New Roman" w:cs="Times New Roman"/>
          <w:sz w:val="24"/>
          <w:szCs w:val="24"/>
          <w:lang w:eastAsia="en-IN"/>
        </w:rPr>
        <w:t xml:space="preserve"> (Bloch) and </w:t>
      </w:r>
      <w:r w:rsidRPr="00B15F80">
        <w:rPr>
          <w:rFonts w:ascii="Times New Roman" w:eastAsia="Times New Roman" w:hAnsi="Times New Roman" w:cs="Times New Roman"/>
          <w:i/>
          <w:iCs/>
          <w:sz w:val="24"/>
          <w:szCs w:val="24"/>
          <w:lang w:eastAsia="en-IN"/>
        </w:rPr>
        <w:t>Clarias batrachus</w:t>
      </w:r>
      <w:r w:rsidRPr="00B15F80">
        <w:rPr>
          <w:rFonts w:ascii="Times New Roman" w:eastAsia="Times New Roman" w:hAnsi="Times New Roman" w:cs="Times New Roman"/>
          <w:sz w:val="24"/>
          <w:szCs w:val="24"/>
          <w:lang w:eastAsia="en-IN"/>
        </w:rPr>
        <w:t xml:space="preserve"> (Linn.). </w:t>
      </w:r>
      <w:r w:rsidRPr="00B15F80">
        <w:rPr>
          <w:rFonts w:ascii="Times New Roman" w:eastAsia="Times New Roman" w:hAnsi="Times New Roman" w:cs="Times New Roman"/>
          <w:i/>
          <w:iCs/>
          <w:sz w:val="24"/>
          <w:szCs w:val="24"/>
          <w:lang w:eastAsia="en-IN"/>
        </w:rPr>
        <w:t>Proceedings of the Indian Science Congress Association</w:t>
      </w:r>
      <w:r w:rsidRPr="00B15F80">
        <w:rPr>
          <w:rFonts w:ascii="Times New Roman" w:eastAsia="Times New Roman" w:hAnsi="Times New Roman" w:cs="Times New Roman"/>
          <w:sz w:val="24"/>
          <w:szCs w:val="24"/>
          <w:lang w:eastAsia="en-IN"/>
        </w:rPr>
        <w:t>, Cochin, Abstracts.</w:t>
      </w:r>
    </w:p>
    <w:p w14:paraId="5819D979"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Ghosh, T.K. and Chatterjee, S.K., 1988. Toxic influence of </w:t>
      </w:r>
      <w:proofErr w:type="spellStart"/>
      <w:r w:rsidRPr="00B15F80">
        <w:rPr>
          <w:rFonts w:ascii="Times New Roman" w:eastAsia="Times New Roman" w:hAnsi="Times New Roman" w:cs="Times New Roman"/>
          <w:sz w:val="24"/>
          <w:szCs w:val="24"/>
          <w:lang w:eastAsia="en-IN"/>
        </w:rPr>
        <w:t>fenvalerate</w:t>
      </w:r>
      <w:proofErr w:type="spellEnd"/>
      <w:r w:rsidRPr="00B15F80">
        <w:rPr>
          <w:rFonts w:ascii="Times New Roman" w:eastAsia="Times New Roman" w:hAnsi="Times New Roman" w:cs="Times New Roman"/>
          <w:sz w:val="24"/>
          <w:szCs w:val="24"/>
          <w:lang w:eastAsia="en-IN"/>
        </w:rPr>
        <w:t xml:space="preserve"> on the biological parameters of the fish </w:t>
      </w:r>
      <w:r w:rsidRPr="00B15F80">
        <w:rPr>
          <w:rFonts w:ascii="Times New Roman" w:eastAsia="Times New Roman" w:hAnsi="Times New Roman" w:cs="Times New Roman"/>
          <w:i/>
          <w:iCs/>
          <w:sz w:val="24"/>
          <w:szCs w:val="24"/>
          <w:lang w:eastAsia="en-IN"/>
        </w:rPr>
        <w:t xml:space="preserve">Anabas </w:t>
      </w:r>
      <w:proofErr w:type="spellStart"/>
      <w:r w:rsidRPr="00B15F80">
        <w:rPr>
          <w:rFonts w:ascii="Times New Roman" w:eastAsia="Times New Roman" w:hAnsi="Times New Roman" w:cs="Times New Roman"/>
          <w:i/>
          <w:iCs/>
          <w:sz w:val="24"/>
          <w:szCs w:val="24"/>
          <w:lang w:eastAsia="en-IN"/>
        </w:rPr>
        <w:t>testudineus</w:t>
      </w:r>
      <w:proofErr w:type="spellEnd"/>
      <w:r w:rsidRPr="00B15F80">
        <w:rPr>
          <w:rFonts w:ascii="Times New Roman" w:eastAsia="Times New Roman" w:hAnsi="Times New Roman" w:cs="Times New Roman"/>
          <w:sz w:val="24"/>
          <w:szCs w:val="24"/>
          <w:lang w:eastAsia="en-IN"/>
        </w:rPr>
        <w:t xml:space="preserve">. </w:t>
      </w:r>
      <w:r w:rsidRPr="00B15F80">
        <w:rPr>
          <w:rFonts w:ascii="Times New Roman" w:eastAsia="Times New Roman" w:hAnsi="Times New Roman" w:cs="Times New Roman"/>
          <w:i/>
          <w:iCs/>
          <w:sz w:val="24"/>
          <w:szCs w:val="24"/>
          <w:lang w:eastAsia="en-IN"/>
        </w:rPr>
        <w:t>Environmental Ecology</w:t>
      </w:r>
      <w:r w:rsidRPr="00B15F80">
        <w:rPr>
          <w:rFonts w:ascii="Times New Roman" w:eastAsia="Times New Roman" w:hAnsi="Times New Roman" w:cs="Times New Roman"/>
          <w:sz w:val="24"/>
          <w:szCs w:val="24"/>
          <w:lang w:eastAsia="en-IN"/>
        </w:rPr>
        <w:t>, 6: 107.</w:t>
      </w:r>
    </w:p>
    <w:p w14:paraId="72B8D763"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Hart, W.B., </w:t>
      </w:r>
      <w:proofErr w:type="spellStart"/>
      <w:r w:rsidRPr="00B15F80">
        <w:rPr>
          <w:rFonts w:ascii="Times New Roman" w:eastAsia="Times New Roman" w:hAnsi="Times New Roman" w:cs="Times New Roman"/>
          <w:sz w:val="24"/>
          <w:szCs w:val="24"/>
          <w:lang w:eastAsia="en-IN"/>
        </w:rPr>
        <w:t>Doudoroff</w:t>
      </w:r>
      <w:proofErr w:type="spellEnd"/>
      <w:r w:rsidRPr="00B15F80">
        <w:rPr>
          <w:rFonts w:ascii="Times New Roman" w:eastAsia="Times New Roman" w:hAnsi="Times New Roman" w:cs="Times New Roman"/>
          <w:sz w:val="24"/>
          <w:szCs w:val="24"/>
          <w:lang w:eastAsia="en-IN"/>
        </w:rPr>
        <w:t xml:space="preserve">, P. and Greenbank, J., 1945. The evaluation of toxicity of industrial wastes, chemicals and other substances to freshwater fishes. </w:t>
      </w:r>
      <w:r w:rsidRPr="00B15F80">
        <w:rPr>
          <w:rFonts w:ascii="Times New Roman" w:eastAsia="Times New Roman" w:hAnsi="Times New Roman" w:cs="Times New Roman"/>
          <w:i/>
          <w:iCs/>
          <w:sz w:val="24"/>
          <w:szCs w:val="24"/>
          <w:lang w:eastAsia="en-IN"/>
        </w:rPr>
        <w:t>Atlantic Refining Company</w:t>
      </w:r>
      <w:r w:rsidRPr="00B15F80">
        <w:rPr>
          <w:rFonts w:ascii="Times New Roman" w:eastAsia="Times New Roman" w:hAnsi="Times New Roman" w:cs="Times New Roman"/>
          <w:sz w:val="24"/>
          <w:szCs w:val="24"/>
          <w:lang w:eastAsia="en-IN"/>
        </w:rPr>
        <w:t>, Philadelphia, 317-326.</w:t>
      </w:r>
    </w:p>
    <w:p w14:paraId="382BE867"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Jha, G.S., 2006. Effects of </w:t>
      </w:r>
      <w:proofErr w:type="spellStart"/>
      <w:r w:rsidR="003F0996">
        <w:rPr>
          <w:rFonts w:ascii="Times New Roman" w:eastAsia="Times New Roman" w:hAnsi="Times New Roman" w:cs="Times New Roman"/>
          <w:i/>
          <w:iCs/>
          <w:sz w:val="24"/>
          <w:szCs w:val="24"/>
          <w:lang w:eastAsia="en-IN"/>
        </w:rPr>
        <w:t>Herboclin</w:t>
      </w:r>
      <w:proofErr w:type="spellEnd"/>
      <w:r w:rsidRPr="00B15F80">
        <w:rPr>
          <w:rFonts w:ascii="Times New Roman" w:eastAsia="Times New Roman" w:hAnsi="Times New Roman" w:cs="Times New Roman"/>
          <w:sz w:val="24"/>
          <w:szCs w:val="24"/>
          <w:lang w:eastAsia="en-IN"/>
        </w:rPr>
        <w:t xml:space="preserve"> on </w:t>
      </w:r>
      <w:r w:rsidRPr="00B15F80">
        <w:rPr>
          <w:rFonts w:ascii="Times New Roman" w:eastAsia="Times New Roman" w:hAnsi="Times New Roman" w:cs="Times New Roman"/>
          <w:i/>
          <w:iCs/>
          <w:sz w:val="24"/>
          <w:szCs w:val="24"/>
          <w:lang w:eastAsia="en-IN"/>
        </w:rPr>
        <w:t xml:space="preserve">Clarias </w:t>
      </w:r>
      <w:proofErr w:type="spellStart"/>
      <w:r w:rsidRPr="00B15F80">
        <w:rPr>
          <w:rFonts w:ascii="Times New Roman" w:eastAsia="Times New Roman" w:hAnsi="Times New Roman" w:cs="Times New Roman"/>
          <w:i/>
          <w:iCs/>
          <w:sz w:val="24"/>
          <w:szCs w:val="24"/>
          <w:lang w:eastAsia="en-IN"/>
        </w:rPr>
        <w:t>batrachus</w:t>
      </w:r>
      <w:proofErr w:type="spellEnd"/>
      <w:r w:rsidRPr="00B15F80">
        <w:rPr>
          <w:rFonts w:ascii="Times New Roman" w:eastAsia="Times New Roman" w:hAnsi="Times New Roman" w:cs="Times New Roman"/>
          <w:sz w:val="24"/>
          <w:szCs w:val="24"/>
          <w:lang w:eastAsia="en-IN"/>
        </w:rPr>
        <w:t>. Ph.D. Thesis. L.N.M.U., Darbhanga.</w:t>
      </w:r>
    </w:p>
    <w:p w14:paraId="077F7F94"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Pandey, A., Kunwar, G.K. and Munshi, J.S.D., 1990. Integumentary </w:t>
      </w:r>
      <w:proofErr w:type="spellStart"/>
      <w:r w:rsidRPr="00B15F80">
        <w:rPr>
          <w:rFonts w:ascii="Times New Roman" w:eastAsia="Times New Roman" w:hAnsi="Times New Roman" w:cs="Times New Roman"/>
          <w:sz w:val="24"/>
          <w:szCs w:val="24"/>
          <w:lang w:eastAsia="en-IN"/>
        </w:rPr>
        <w:t>chromatoophores</w:t>
      </w:r>
      <w:proofErr w:type="spellEnd"/>
      <w:r w:rsidRPr="00B15F80">
        <w:rPr>
          <w:rFonts w:ascii="Times New Roman" w:eastAsia="Times New Roman" w:hAnsi="Times New Roman" w:cs="Times New Roman"/>
          <w:sz w:val="24"/>
          <w:szCs w:val="24"/>
          <w:lang w:eastAsia="en-IN"/>
        </w:rPr>
        <w:t xml:space="preserve"> and mucus glands of fish as indicators of heavy metal pollution. </w:t>
      </w:r>
      <w:r w:rsidRPr="00B15F80">
        <w:rPr>
          <w:rFonts w:ascii="Times New Roman" w:eastAsia="Times New Roman" w:hAnsi="Times New Roman" w:cs="Times New Roman"/>
          <w:i/>
          <w:iCs/>
          <w:sz w:val="24"/>
          <w:szCs w:val="24"/>
          <w:lang w:eastAsia="en-IN"/>
        </w:rPr>
        <w:t>Journal of Freshwater Biology</w:t>
      </w:r>
      <w:r w:rsidRPr="00B15F80">
        <w:rPr>
          <w:rFonts w:ascii="Times New Roman" w:eastAsia="Times New Roman" w:hAnsi="Times New Roman" w:cs="Times New Roman"/>
          <w:sz w:val="24"/>
          <w:szCs w:val="24"/>
          <w:lang w:eastAsia="en-IN"/>
        </w:rPr>
        <w:t>, 117-121.</w:t>
      </w:r>
    </w:p>
    <w:p w14:paraId="414E012B"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Rakesh Kr. Pandey, R.N. Singh, Sarika Singh and Vijay Kr. Das, 2007. Temperature dependent mortality and behavioural responses in a freshwater catfish </w:t>
      </w:r>
      <w:proofErr w:type="spellStart"/>
      <w:r w:rsidRPr="00B15F80">
        <w:rPr>
          <w:rFonts w:ascii="Times New Roman" w:eastAsia="Times New Roman" w:hAnsi="Times New Roman" w:cs="Times New Roman"/>
          <w:i/>
          <w:iCs/>
          <w:sz w:val="24"/>
          <w:szCs w:val="24"/>
          <w:lang w:eastAsia="en-IN"/>
        </w:rPr>
        <w:t>Heteropneustes</w:t>
      </w:r>
      <w:proofErr w:type="spellEnd"/>
      <w:r w:rsidRPr="00B15F80">
        <w:rPr>
          <w:rFonts w:ascii="Times New Roman" w:eastAsia="Times New Roman" w:hAnsi="Times New Roman" w:cs="Times New Roman"/>
          <w:i/>
          <w:iCs/>
          <w:sz w:val="24"/>
          <w:szCs w:val="24"/>
          <w:lang w:eastAsia="en-IN"/>
        </w:rPr>
        <w:t xml:space="preserve"> </w:t>
      </w:r>
      <w:proofErr w:type="spellStart"/>
      <w:r w:rsidRPr="00B15F80">
        <w:rPr>
          <w:rFonts w:ascii="Times New Roman" w:eastAsia="Times New Roman" w:hAnsi="Times New Roman" w:cs="Times New Roman"/>
          <w:i/>
          <w:iCs/>
          <w:sz w:val="24"/>
          <w:szCs w:val="24"/>
          <w:lang w:eastAsia="en-IN"/>
        </w:rPr>
        <w:t>fossilis</w:t>
      </w:r>
      <w:proofErr w:type="spellEnd"/>
      <w:r w:rsidRPr="00B15F80">
        <w:rPr>
          <w:rFonts w:ascii="Times New Roman" w:eastAsia="Times New Roman" w:hAnsi="Times New Roman" w:cs="Times New Roman"/>
          <w:sz w:val="24"/>
          <w:szCs w:val="24"/>
          <w:lang w:eastAsia="en-IN"/>
        </w:rPr>
        <w:t xml:space="preserve"> due to Dimethoate exposure. </w:t>
      </w:r>
      <w:r w:rsidRPr="00B15F80">
        <w:rPr>
          <w:rFonts w:ascii="Times New Roman" w:eastAsia="Times New Roman" w:hAnsi="Times New Roman" w:cs="Times New Roman"/>
          <w:i/>
          <w:iCs/>
          <w:sz w:val="24"/>
          <w:szCs w:val="24"/>
          <w:lang w:eastAsia="en-IN"/>
        </w:rPr>
        <w:t>National Academy of Sciences India Abstract</w:t>
      </w:r>
      <w:r w:rsidRPr="00B15F80">
        <w:rPr>
          <w:rFonts w:ascii="Times New Roman" w:eastAsia="Times New Roman" w:hAnsi="Times New Roman" w:cs="Times New Roman"/>
          <w:sz w:val="24"/>
          <w:szCs w:val="24"/>
          <w:lang w:eastAsia="en-IN"/>
        </w:rPr>
        <w:t>, Sec. 6-8, 35-36.</w:t>
      </w:r>
    </w:p>
    <w:p w14:paraId="688FB57F"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Rekha Rani, R.K., Gautam, &amp; Suneel Kumar, 2008. Toxicity of Nuvan on kidney cholesterol in </w:t>
      </w:r>
      <w:proofErr w:type="spellStart"/>
      <w:r w:rsidRPr="00B15F80">
        <w:rPr>
          <w:rFonts w:ascii="Times New Roman" w:eastAsia="Times New Roman" w:hAnsi="Times New Roman" w:cs="Times New Roman"/>
          <w:i/>
          <w:iCs/>
          <w:sz w:val="24"/>
          <w:szCs w:val="24"/>
          <w:lang w:eastAsia="en-IN"/>
        </w:rPr>
        <w:t>Labeo</w:t>
      </w:r>
      <w:proofErr w:type="spellEnd"/>
      <w:r w:rsidRPr="00B15F80">
        <w:rPr>
          <w:rFonts w:ascii="Times New Roman" w:eastAsia="Times New Roman" w:hAnsi="Times New Roman" w:cs="Times New Roman"/>
          <w:i/>
          <w:iCs/>
          <w:sz w:val="24"/>
          <w:szCs w:val="24"/>
          <w:lang w:eastAsia="en-IN"/>
        </w:rPr>
        <w:t xml:space="preserve"> </w:t>
      </w:r>
      <w:proofErr w:type="spellStart"/>
      <w:r w:rsidRPr="00B15F80">
        <w:rPr>
          <w:rFonts w:ascii="Times New Roman" w:eastAsia="Times New Roman" w:hAnsi="Times New Roman" w:cs="Times New Roman"/>
          <w:i/>
          <w:iCs/>
          <w:sz w:val="24"/>
          <w:szCs w:val="24"/>
          <w:lang w:eastAsia="en-IN"/>
        </w:rPr>
        <w:t>rohita</w:t>
      </w:r>
      <w:proofErr w:type="spellEnd"/>
      <w:r w:rsidRPr="00B15F80">
        <w:rPr>
          <w:rFonts w:ascii="Times New Roman" w:eastAsia="Times New Roman" w:hAnsi="Times New Roman" w:cs="Times New Roman"/>
          <w:sz w:val="24"/>
          <w:szCs w:val="24"/>
          <w:lang w:eastAsia="en-IN"/>
        </w:rPr>
        <w:t xml:space="preserve">. </w:t>
      </w:r>
      <w:r w:rsidRPr="00B15F80">
        <w:rPr>
          <w:rFonts w:ascii="Times New Roman" w:eastAsia="Times New Roman" w:hAnsi="Times New Roman" w:cs="Times New Roman"/>
          <w:i/>
          <w:iCs/>
          <w:sz w:val="24"/>
          <w:szCs w:val="24"/>
          <w:lang w:eastAsia="en-IN"/>
        </w:rPr>
        <w:t xml:space="preserve">Indian Journal of Environmental and </w:t>
      </w:r>
      <w:proofErr w:type="spellStart"/>
      <w:r w:rsidRPr="00B15F80">
        <w:rPr>
          <w:rFonts w:ascii="Times New Roman" w:eastAsia="Times New Roman" w:hAnsi="Times New Roman" w:cs="Times New Roman"/>
          <w:i/>
          <w:iCs/>
          <w:sz w:val="24"/>
          <w:szCs w:val="24"/>
          <w:lang w:eastAsia="en-IN"/>
        </w:rPr>
        <w:t>Ecoplan</w:t>
      </w:r>
      <w:proofErr w:type="spellEnd"/>
      <w:r w:rsidRPr="00B15F80">
        <w:rPr>
          <w:rFonts w:ascii="Times New Roman" w:eastAsia="Times New Roman" w:hAnsi="Times New Roman" w:cs="Times New Roman"/>
          <w:sz w:val="24"/>
          <w:szCs w:val="24"/>
          <w:lang w:eastAsia="en-IN"/>
        </w:rPr>
        <w:t>, 15(1-2): 115-118.</w:t>
      </w:r>
    </w:p>
    <w:p w14:paraId="6C32B209"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 xml:space="preserve">Rita, J.J., </w:t>
      </w:r>
      <w:proofErr w:type="spellStart"/>
      <w:r w:rsidRPr="00B15F80">
        <w:rPr>
          <w:rFonts w:ascii="Times New Roman" w:eastAsia="Times New Roman" w:hAnsi="Times New Roman" w:cs="Times New Roman"/>
          <w:sz w:val="24"/>
          <w:szCs w:val="24"/>
          <w:lang w:eastAsia="en-IN"/>
        </w:rPr>
        <w:t>Arockia</w:t>
      </w:r>
      <w:proofErr w:type="spellEnd"/>
      <w:r w:rsidRPr="00B15F80">
        <w:rPr>
          <w:rFonts w:ascii="Times New Roman" w:eastAsia="Times New Roman" w:hAnsi="Times New Roman" w:cs="Times New Roman"/>
          <w:sz w:val="24"/>
          <w:szCs w:val="24"/>
          <w:lang w:eastAsia="en-IN"/>
        </w:rPr>
        <w:t>, M.C. and Milton, J., 2006. Effect of carbamate pesticide (</w:t>
      </w:r>
      <w:proofErr w:type="spellStart"/>
      <w:r w:rsidRPr="00B15F80">
        <w:rPr>
          <w:rFonts w:ascii="Times New Roman" w:eastAsia="Times New Roman" w:hAnsi="Times New Roman" w:cs="Times New Roman"/>
          <w:sz w:val="24"/>
          <w:szCs w:val="24"/>
          <w:lang w:eastAsia="en-IN"/>
        </w:rPr>
        <w:t>Methonyl</w:t>
      </w:r>
      <w:proofErr w:type="spellEnd"/>
      <w:r w:rsidRPr="00B15F80">
        <w:rPr>
          <w:rFonts w:ascii="Times New Roman" w:eastAsia="Times New Roman" w:hAnsi="Times New Roman" w:cs="Times New Roman"/>
          <w:sz w:val="24"/>
          <w:szCs w:val="24"/>
          <w:lang w:eastAsia="en-IN"/>
        </w:rPr>
        <w:t xml:space="preserve">) on the biochemical components of the freshwater fish </w:t>
      </w:r>
      <w:proofErr w:type="spellStart"/>
      <w:r w:rsidRPr="00B15F80">
        <w:rPr>
          <w:rFonts w:ascii="Times New Roman" w:eastAsia="Times New Roman" w:hAnsi="Times New Roman" w:cs="Times New Roman"/>
          <w:i/>
          <w:iCs/>
          <w:sz w:val="24"/>
          <w:szCs w:val="24"/>
          <w:lang w:eastAsia="en-IN"/>
        </w:rPr>
        <w:t>Oreochronis</w:t>
      </w:r>
      <w:proofErr w:type="spellEnd"/>
      <w:r w:rsidRPr="00B15F80">
        <w:rPr>
          <w:rFonts w:ascii="Times New Roman" w:eastAsia="Times New Roman" w:hAnsi="Times New Roman" w:cs="Times New Roman"/>
          <w:i/>
          <w:iCs/>
          <w:sz w:val="24"/>
          <w:szCs w:val="24"/>
          <w:lang w:eastAsia="en-IN"/>
        </w:rPr>
        <w:t xml:space="preserve"> </w:t>
      </w:r>
      <w:proofErr w:type="spellStart"/>
      <w:r w:rsidRPr="00B15F80">
        <w:rPr>
          <w:rFonts w:ascii="Times New Roman" w:eastAsia="Times New Roman" w:hAnsi="Times New Roman" w:cs="Times New Roman"/>
          <w:i/>
          <w:iCs/>
          <w:sz w:val="24"/>
          <w:szCs w:val="24"/>
          <w:lang w:eastAsia="en-IN"/>
        </w:rPr>
        <w:t>mossambicus</w:t>
      </w:r>
      <w:proofErr w:type="spellEnd"/>
      <w:r w:rsidRPr="00B15F80">
        <w:rPr>
          <w:rFonts w:ascii="Times New Roman" w:eastAsia="Times New Roman" w:hAnsi="Times New Roman" w:cs="Times New Roman"/>
          <w:sz w:val="24"/>
          <w:szCs w:val="24"/>
          <w:lang w:eastAsia="en-IN"/>
        </w:rPr>
        <w:t xml:space="preserve"> (Peters). </w:t>
      </w:r>
      <w:r w:rsidRPr="00B15F80">
        <w:rPr>
          <w:rFonts w:ascii="Times New Roman" w:eastAsia="Times New Roman" w:hAnsi="Times New Roman" w:cs="Times New Roman"/>
          <w:i/>
          <w:iCs/>
          <w:sz w:val="24"/>
          <w:szCs w:val="24"/>
          <w:lang w:eastAsia="en-IN"/>
        </w:rPr>
        <w:t xml:space="preserve">Indian Journal of Environmental and </w:t>
      </w:r>
      <w:proofErr w:type="spellStart"/>
      <w:r w:rsidRPr="00B15F80">
        <w:rPr>
          <w:rFonts w:ascii="Times New Roman" w:eastAsia="Times New Roman" w:hAnsi="Times New Roman" w:cs="Times New Roman"/>
          <w:i/>
          <w:iCs/>
          <w:sz w:val="24"/>
          <w:szCs w:val="24"/>
          <w:lang w:eastAsia="en-IN"/>
        </w:rPr>
        <w:t>Ecoplaning</w:t>
      </w:r>
      <w:proofErr w:type="spellEnd"/>
      <w:r w:rsidRPr="00B15F80">
        <w:rPr>
          <w:rFonts w:ascii="Times New Roman" w:eastAsia="Times New Roman" w:hAnsi="Times New Roman" w:cs="Times New Roman"/>
          <w:sz w:val="24"/>
          <w:szCs w:val="24"/>
          <w:lang w:eastAsia="en-IN"/>
        </w:rPr>
        <w:t>, 12(1): 1-8.</w:t>
      </w:r>
    </w:p>
    <w:p w14:paraId="6FE4E87F" w14:textId="77777777" w:rsidR="00B15F80" w:rsidRP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t>Singh, P.R., 2002. Studies on changes in blood of an air-breathing fish exposed to organochloride and organophosphate. Ph.D. Thesis, L.N.M.U., Darbhanga.</w:t>
      </w:r>
    </w:p>
    <w:p w14:paraId="3BB83943" w14:textId="77777777" w:rsidR="00B15F80" w:rsidRDefault="00B15F80" w:rsidP="00FF0B6A">
      <w:pPr>
        <w:numPr>
          <w:ilvl w:val="0"/>
          <w:numId w:val="3"/>
        </w:numPr>
        <w:spacing w:after="0" w:line="240" w:lineRule="auto"/>
        <w:jc w:val="both"/>
        <w:rPr>
          <w:rFonts w:ascii="Times New Roman" w:eastAsia="Times New Roman" w:hAnsi="Times New Roman" w:cs="Times New Roman"/>
          <w:sz w:val="24"/>
          <w:szCs w:val="24"/>
          <w:lang w:eastAsia="en-IN"/>
        </w:rPr>
      </w:pPr>
      <w:r w:rsidRPr="00B15F80">
        <w:rPr>
          <w:rFonts w:ascii="Times New Roman" w:eastAsia="Times New Roman" w:hAnsi="Times New Roman" w:cs="Times New Roman"/>
          <w:sz w:val="24"/>
          <w:szCs w:val="24"/>
          <w:lang w:eastAsia="en-IN"/>
        </w:rPr>
        <w:lastRenderedPageBreak/>
        <w:t xml:space="preserve">Trivedi, S. and Saksena, D.N., 1990. Acute toxicity and behavioural responses of an </w:t>
      </w:r>
      <w:proofErr w:type="spellStart"/>
      <w:r w:rsidRPr="00B15F80">
        <w:rPr>
          <w:rFonts w:ascii="Times New Roman" w:eastAsia="Times New Roman" w:hAnsi="Times New Roman" w:cs="Times New Roman"/>
          <w:sz w:val="24"/>
          <w:szCs w:val="24"/>
          <w:lang w:eastAsia="en-IN"/>
        </w:rPr>
        <w:t>organophosphorous</w:t>
      </w:r>
      <w:proofErr w:type="spellEnd"/>
      <w:r w:rsidRPr="00B15F80">
        <w:rPr>
          <w:rFonts w:ascii="Times New Roman" w:eastAsia="Times New Roman" w:hAnsi="Times New Roman" w:cs="Times New Roman"/>
          <w:sz w:val="24"/>
          <w:szCs w:val="24"/>
          <w:lang w:eastAsia="en-IN"/>
        </w:rPr>
        <w:t xml:space="preserve"> pesticide Nuvan (DDVP) to freshwater catfish </w:t>
      </w:r>
      <w:r w:rsidRPr="00B15F80">
        <w:rPr>
          <w:rFonts w:ascii="Times New Roman" w:eastAsia="Times New Roman" w:hAnsi="Times New Roman" w:cs="Times New Roman"/>
          <w:i/>
          <w:iCs/>
          <w:sz w:val="24"/>
          <w:szCs w:val="24"/>
          <w:lang w:eastAsia="en-IN"/>
        </w:rPr>
        <w:t>Clarias batrachus</w:t>
      </w:r>
      <w:r w:rsidRPr="00B15F80">
        <w:rPr>
          <w:rFonts w:ascii="Times New Roman" w:eastAsia="Times New Roman" w:hAnsi="Times New Roman" w:cs="Times New Roman"/>
          <w:sz w:val="24"/>
          <w:szCs w:val="24"/>
          <w:lang w:eastAsia="en-IN"/>
        </w:rPr>
        <w:t xml:space="preserve"> (Linn.). </w:t>
      </w:r>
      <w:r w:rsidRPr="00B15F80">
        <w:rPr>
          <w:rFonts w:ascii="Times New Roman" w:eastAsia="Times New Roman" w:hAnsi="Times New Roman" w:cs="Times New Roman"/>
          <w:i/>
          <w:iCs/>
          <w:sz w:val="24"/>
          <w:szCs w:val="24"/>
          <w:lang w:eastAsia="en-IN"/>
        </w:rPr>
        <w:t>Journal of Environmental Pollution</w:t>
      </w:r>
      <w:r w:rsidRPr="00B15F80">
        <w:rPr>
          <w:rFonts w:ascii="Times New Roman" w:eastAsia="Times New Roman" w:hAnsi="Times New Roman" w:cs="Times New Roman"/>
          <w:sz w:val="24"/>
          <w:szCs w:val="24"/>
          <w:lang w:eastAsia="en-IN"/>
        </w:rPr>
        <w:t>, 6: 53-57.</w:t>
      </w:r>
    </w:p>
    <w:p w14:paraId="25799330" w14:textId="77777777" w:rsidR="00C27A68" w:rsidRDefault="00C27A68" w:rsidP="00AD008C">
      <w:pPr>
        <w:pStyle w:val="ListParagraph"/>
        <w:numPr>
          <w:ilvl w:val="0"/>
          <w:numId w:val="3"/>
        </w:numPr>
        <w:tabs>
          <w:tab w:val="clear" w:pos="720"/>
          <w:tab w:val="num" w:pos="-2694"/>
        </w:tabs>
        <w:spacing w:after="0" w:line="240" w:lineRule="auto"/>
        <w:jc w:val="both"/>
        <w:rPr>
          <w:rFonts w:ascii="Times New Roman" w:eastAsia="Times New Roman" w:hAnsi="Times New Roman" w:cs="Times New Roman"/>
          <w:sz w:val="24"/>
          <w:szCs w:val="24"/>
          <w:lang w:eastAsia="en-IN"/>
        </w:rPr>
      </w:pPr>
      <w:r w:rsidRPr="00C27A68">
        <w:rPr>
          <w:rFonts w:ascii="Times New Roman" w:eastAsia="Times New Roman" w:hAnsi="Times New Roman" w:cs="Times New Roman"/>
          <w:sz w:val="24"/>
          <w:szCs w:val="24"/>
          <w:lang w:eastAsia="en-IN"/>
        </w:rPr>
        <w:t>Selvaraj B., Nadana </w:t>
      </w:r>
      <w:proofErr w:type="gramStart"/>
      <w:r w:rsidRPr="00C27A68">
        <w:rPr>
          <w:rFonts w:ascii="Times New Roman" w:eastAsia="Times New Roman" w:hAnsi="Times New Roman" w:cs="Times New Roman"/>
          <w:sz w:val="24"/>
          <w:szCs w:val="24"/>
          <w:lang w:eastAsia="en-IN"/>
        </w:rPr>
        <w:t>S. ,</w:t>
      </w:r>
      <w:proofErr w:type="gramEnd"/>
      <w:r w:rsidRPr="00C27A68">
        <w:rPr>
          <w:rFonts w:ascii="Times New Roman" w:eastAsia="Times New Roman" w:hAnsi="Times New Roman" w:cs="Times New Roman"/>
          <w:sz w:val="24"/>
          <w:szCs w:val="24"/>
          <w:lang w:eastAsia="en-IN"/>
        </w:rPr>
        <w:t> </w:t>
      </w:r>
      <w:proofErr w:type="spellStart"/>
      <w:r w:rsidRPr="00C27A68">
        <w:rPr>
          <w:rFonts w:ascii="Times New Roman" w:eastAsia="Times New Roman" w:hAnsi="Times New Roman" w:cs="Times New Roman"/>
          <w:sz w:val="24"/>
          <w:szCs w:val="24"/>
          <w:lang w:eastAsia="en-IN"/>
        </w:rPr>
        <w:t>Sabariswaran</w:t>
      </w:r>
      <w:proofErr w:type="spellEnd"/>
      <w:r w:rsidRPr="00C27A68">
        <w:rPr>
          <w:rFonts w:ascii="Times New Roman" w:eastAsia="Times New Roman" w:hAnsi="Times New Roman" w:cs="Times New Roman"/>
          <w:sz w:val="24"/>
          <w:szCs w:val="24"/>
          <w:lang w:eastAsia="en-IN"/>
        </w:rPr>
        <w:t> K., </w:t>
      </w:r>
      <w:proofErr w:type="spellStart"/>
      <w:r w:rsidRPr="00C27A68">
        <w:rPr>
          <w:rFonts w:ascii="Times New Roman" w:eastAsia="Times New Roman" w:hAnsi="Times New Roman" w:cs="Times New Roman"/>
          <w:sz w:val="24"/>
          <w:szCs w:val="24"/>
          <w:lang w:eastAsia="en-IN"/>
        </w:rPr>
        <w:t>Jintae</w:t>
      </w:r>
      <w:proofErr w:type="spellEnd"/>
      <w:r w:rsidRPr="00C27A68">
        <w:rPr>
          <w:rFonts w:ascii="Times New Roman" w:eastAsia="Times New Roman" w:hAnsi="Times New Roman" w:cs="Times New Roman"/>
          <w:sz w:val="24"/>
          <w:szCs w:val="24"/>
          <w:lang w:eastAsia="en-IN"/>
        </w:rPr>
        <w:t xml:space="preserve"> L., 2024. Present status of insecticide impacts and eco-friendly approaches for remediation-a review. </w:t>
      </w:r>
      <w:hyperlink r:id="rId7" w:tooltip="Go to Environmental Research on ScienceDirect" w:history="1">
        <w:r w:rsidRPr="00B3793A">
          <w:rPr>
            <w:rFonts w:ascii="Times New Roman" w:eastAsia="Times New Roman" w:hAnsi="Times New Roman" w:cs="Times New Roman"/>
            <w:i/>
            <w:iCs/>
            <w:sz w:val="24"/>
            <w:szCs w:val="24"/>
            <w:lang w:eastAsia="en-IN"/>
          </w:rPr>
          <w:t>Environmental Research</w:t>
        </w:r>
      </w:hyperlink>
      <w:r w:rsidRPr="00C27A68">
        <w:rPr>
          <w:rFonts w:ascii="Times New Roman" w:eastAsia="Times New Roman" w:hAnsi="Times New Roman" w:cs="Times New Roman"/>
          <w:sz w:val="24"/>
          <w:szCs w:val="24"/>
          <w:lang w:eastAsia="en-IN"/>
        </w:rPr>
        <w:t>, 240 (1): 117432</w:t>
      </w:r>
    </w:p>
    <w:p w14:paraId="441055BB" w14:textId="77777777" w:rsidR="002D0F34" w:rsidRPr="002D0F34" w:rsidRDefault="002D0F34" w:rsidP="002D0F34">
      <w:pPr>
        <w:pStyle w:val="ListParagraph"/>
        <w:numPr>
          <w:ilvl w:val="0"/>
          <w:numId w:val="3"/>
        </w:numPr>
        <w:tabs>
          <w:tab w:val="clear" w:pos="720"/>
          <w:tab w:val="num" w:pos="-2694"/>
        </w:tabs>
        <w:spacing w:after="0" w:line="240" w:lineRule="auto"/>
        <w:ind w:left="709"/>
        <w:jc w:val="both"/>
        <w:rPr>
          <w:rFonts w:ascii="Times New Roman" w:eastAsia="Times New Roman" w:hAnsi="Times New Roman" w:cs="Times New Roman"/>
          <w:sz w:val="24"/>
          <w:szCs w:val="24"/>
          <w:lang w:eastAsia="en-IN"/>
        </w:rPr>
      </w:pPr>
      <w:proofErr w:type="gramStart"/>
      <w:r w:rsidRPr="002D0F34">
        <w:rPr>
          <w:rFonts w:ascii="Times New Roman" w:eastAsia="Times New Roman" w:hAnsi="Times New Roman" w:cs="Times New Roman"/>
          <w:sz w:val="24"/>
          <w:szCs w:val="24"/>
          <w:lang w:eastAsia="en-IN"/>
        </w:rPr>
        <w:t>Sandhya  and</w:t>
      </w:r>
      <w:proofErr w:type="gramEnd"/>
      <w:r w:rsidRPr="002D0F34">
        <w:rPr>
          <w:rFonts w:ascii="Times New Roman" w:eastAsia="Times New Roman" w:hAnsi="Times New Roman" w:cs="Times New Roman"/>
          <w:sz w:val="24"/>
          <w:szCs w:val="24"/>
          <w:lang w:eastAsia="en-IN"/>
        </w:rPr>
        <w:t xml:space="preserve"> Fazle Rasool, 2021. Analysis of the biochemical and histopathological impact of a mild dose of commercial malathion on </w:t>
      </w:r>
      <w:r w:rsidRPr="002D0F34">
        <w:rPr>
          <w:rFonts w:ascii="Times New Roman" w:eastAsia="Times New Roman" w:hAnsi="Times New Roman" w:cs="Times New Roman"/>
          <w:i/>
          <w:iCs/>
          <w:sz w:val="24"/>
          <w:szCs w:val="24"/>
          <w:lang w:eastAsia="en-IN"/>
        </w:rPr>
        <w:t>Channa punctatus</w:t>
      </w:r>
      <w:r w:rsidRPr="002D0F34">
        <w:rPr>
          <w:rFonts w:ascii="Times New Roman" w:eastAsia="Times New Roman" w:hAnsi="Times New Roman" w:cs="Times New Roman"/>
          <w:sz w:val="24"/>
          <w:szCs w:val="24"/>
          <w:lang w:eastAsia="en-IN"/>
        </w:rPr>
        <w:t xml:space="preserve"> (Bloch) fish. </w:t>
      </w:r>
      <w:hyperlink r:id="rId8" w:tooltip="Go to Toxicology Reports on ScienceDirect" w:history="1">
        <w:r w:rsidRPr="00B3793A">
          <w:rPr>
            <w:rFonts w:ascii="Times New Roman" w:eastAsia="Times New Roman" w:hAnsi="Times New Roman" w:cs="Times New Roman"/>
            <w:i/>
            <w:iCs/>
            <w:sz w:val="24"/>
            <w:szCs w:val="24"/>
            <w:lang w:eastAsia="en-IN"/>
          </w:rPr>
          <w:t>Toxicology Reports</w:t>
        </w:r>
      </w:hyperlink>
      <w:r w:rsidRPr="00B3793A">
        <w:rPr>
          <w:rFonts w:ascii="Times New Roman" w:eastAsia="Times New Roman" w:hAnsi="Times New Roman" w:cs="Times New Roman"/>
          <w:i/>
          <w:iCs/>
          <w:sz w:val="24"/>
          <w:szCs w:val="24"/>
          <w:lang w:eastAsia="en-IN"/>
        </w:rPr>
        <w:t>,</w:t>
      </w:r>
      <w:r w:rsidR="00B3793A">
        <w:rPr>
          <w:rFonts w:ascii="Times New Roman" w:eastAsia="Times New Roman" w:hAnsi="Times New Roman" w:cs="Times New Roman"/>
          <w:i/>
          <w:iCs/>
          <w:sz w:val="24"/>
          <w:szCs w:val="24"/>
          <w:lang w:eastAsia="en-IN"/>
        </w:rPr>
        <w:t xml:space="preserve"> </w:t>
      </w:r>
      <w:hyperlink r:id="rId9" w:tooltip="Go to table of contents for this volume/issue" w:history="1">
        <w:r w:rsidRPr="002D0F34">
          <w:rPr>
            <w:rFonts w:ascii="Times New Roman" w:eastAsia="Times New Roman" w:hAnsi="Times New Roman" w:cs="Times New Roman"/>
            <w:sz w:val="24"/>
            <w:szCs w:val="24"/>
            <w:lang w:eastAsia="en-IN"/>
          </w:rPr>
          <w:t>8</w:t>
        </w:r>
      </w:hyperlink>
      <w:r w:rsidRPr="002D0F34">
        <w:rPr>
          <w:rFonts w:ascii="Times New Roman" w:eastAsia="Times New Roman" w:hAnsi="Times New Roman" w:cs="Times New Roman"/>
          <w:sz w:val="24"/>
          <w:szCs w:val="24"/>
          <w:lang w:eastAsia="en-IN"/>
        </w:rPr>
        <w:t>: 443-455. d</w:t>
      </w:r>
      <w:hyperlink r:id="rId10" w:tgtFrame="_blank" w:tooltip="Persistent link using digital object identifier" w:history="1">
        <w:r w:rsidRPr="002D0F34">
          <w:rPr>
            <w:rFonts w:ascii="Times New Roman" w:eastAsia="Times New Roman" w:hAnsi="Times New Roman" w:cs="Times New Roman"/>
            <w:sz w:val="24"/>
            <w:szCs w:val="24"/>
            <w:lang w:eastAsia="en-IN"/>
          </w:rPr>
          <w:t>oi.org/10.1016/j.toxrep.2021.02.018</w:t>
        </w:r>
      </w:hyperlink>
    </w:p>
    <w:p w14:paraId="41B5B0BD" w14:textId="77777777" w:rsidR="00AD008C" w:rsidRDefault="00AD008C" w:rsidP="00AD008C">
      <w:pPr>
        <w:pStyle w:val="ListParagraph"/>
        <w:numPr>
          <w:ilvl w:val="0"/>
          <w:numId w:val="3"/>
        </w:numPr>
        <w:tabs>
          <w:tab w:val="clear" w:pos="720"/>
          <w:tab w:val="num" w:pos="-2694"/>
        </w:tabs>
        <w:spacing w:after="0" w:line="240" w:lineRule="auto"/>
        <w:jc w:val="both"/>
        <w:rPr>
          <w:rFonts w:ascii="Times New Roman" w:eastAsia="Times New Roman" w:hAnsi="Times New Roman" w:cs="Times New Roman"/>
          <w:sz w:val="24"/>
          <w:szCs w:val="24"/>
          <w:lang w:eastAsia="en-IN"/>
        </w:rPr>
      </w:pPr>
      <w:hyperlink r:id="rId11" w:history="1">
        <w:r w:rsidRPr="00AD008C">
          <w:rPr>
            <w:rFonts w:ascii="Times New Roman" w:eastAsia="Times New Roman" w:hAnsi="Times New Roman" w:cs="Times New Roman"/>
            <w:sz w:val="24"/>
            <w:szCs w:val="24"/>
            <w:lang w:eastAsia="en-IN"/>
          </w:rPr>
          <w:t>Raja Saha</w:t>
        </w:r>
      </w:hyperlink>
      <w:r w:rsidRPr="00AD008C">
        <w:rPr>
          <w:rFonts w:ascii="Times New Roman" w:eastAsia="Times New Roman" w:hAnsi="Times New Roman" w:cs="Times New Roman"/>
          <w:sz w:val="24"/>
          <w:szCs w:val="24"/>
          <w:lang w:eastAsia="en-IN"/>
        </w:rPr>
        <w:t> a, </w:t>
      </w:r>
      <w:hyperlink r:id="rId12" w:history="1">
        <w:r w:rsidRPr="00AD008C">
          <w:rPr>
            <w:rFonts w:ascii="Times New Roman" w:eastAsia="Times New Roman" w:hAnsi="Times New Roman" w:cs="Times New Roman"/>
            <w:sz w:val="24"/>
            <w:szCs w:val="24"/>
            <w:lang w:eastAsia="en-IN"/>
          </w:rPr>
          <w:t>Sangita Maiti Dutta</w:t>
        </w:r>
      </w:hyperlink>
      <w:r w:rsidRPr="00AD008C">
        <w:rPr>
          <w:rFonts w:ascii="Times New Roman" w:eastAsia="Times New Roman" w:hAnsi="Times New Roman" w:cs="Times New Roman"/>
          <w:sz w:val="24"/>
          <w:szCs w:val="24"/>
          <w:lang w:eastAsia="en-IN"/>
        </w:rPr>
        <w:t xml:space="preserve">, 2024. Pesticides’ mode of action on aquatic life. Toxicology Reports, 1(13):101780. </w:t>
      </w:r>
      <w:proofErr w:type="spellStart"/>
      <w:r w:rsidRPr="00AD008C">
        <w:rPr>
          <w:rFonts w:ascii="Times New Roman" w:eastAsia="Times New Roman" w:hAnsi="Times New Roman" w:cs="Times New Roman"/>
          <w:sz w:val="24"/>
          <w:szCs w:val="24"/>
          <w:lang w:eastAsia="en-IN"/>
        </w:rPr>
        <w:t>doi</w:t>
      </w:r>
      <w:proofErr w:type="spellEnd"/>
      <w:r w:rsidRPr="00AD008C">
        <w:rPr>
          <w:rFonts w:ascii="Times New Roman" w:eastAsia="Times New Roman" w:hAnsi="Times New Roman" w:cs="Times New Roman"/>
          <w:sz w:val="24"/>
          <w:szCs w:val="24"/>
          <w:lang w:eastAsia="en-IN"/>
        </w:rPr>
        <w:t>: </w:t>
      </w:r>
      <w:hyperlink r:id="rId13" w:tgtFrame="_blank" w:history="1">
        <w:r w:rsidRPr="00AD008C">
          <w:rPr>
            <w:rFonts w:ascii="Times New Roman" w:eastAsia="Times New Roman" w:hAnsi="Times New Roman" w:cs="Times New Roman"/>
            <w:sz w:val="24"/>
            <w:szCs w:val="24"/>
            <w:lang w:eastAsia="en-IN"/>
          </w:rPr>
          <w:t>10.1016/j.toxrep.2024.101780</w:t>
        </w:r>
      </w:hyperlink>
    </w:p>
    <w:p w14:paraId="724A1946" w14:textId="77777777" w:rsidR="00B3793A" w:rsidRPr="00AD008C" w:rsidRDefault="00B3793A" w:rsidP="00B3793A">
      <w:pPr>
        <w:pStyle w:val="ListParagraph"/>
        <w:numPr>
          <w:ilvl w:val="0"/>
          <w:numId w:val="3"/>
        </w:numPr>
        <w:spacing w:after="0" w:line="240" w:lineRule="auto"/>
        <w:jc w:val="both"/>
        <w:rPr>
          <w:rFonts w:ascii="Times New Roman" w:eastAsia="Times New Roman" w:hAnsi="Times New Roman" w:cs="Times New Roman"/>
          <w:sz w:val="24"/>
          <w:szCs w:val="24"/>
          <w:lang w:eastAsia="en-IN"/>
        </w:rPr>
      </w:pPr>
      <w:r w:rsidRPr="00B3793A">
        <w:rPr>
          <w:rFonts w:ascii="Times New Roman" w:eastAsia="Times New Roman" w:hAnsi="Times New Roman" w:cs="Times New Roman"/>
          <w:sz w:val="24"/>
          <w:szCs w:val="24"/>
          <w:lang w:eastAsia="en-IN"/>
        </w:rPr>
        <w:t>Gehan H. Fahmy</w:t>
      </w:r>
      <w:r>
        <w:rPr>
          <w:rFonts w:ascii="Times New Roman" w:eastAsia="Times New Roman" w:hAnsi="Times New Roman" w:cs="Times New Roman"/>
          <w:sz w:val="24"/>
          <w:szCs w:val="24"/>
          <w:lang w:eastAsia="en-IN"/>
        </w:rPr>
        <w:t>, 2018.</w:t>
      </w:r>
      <w:r w:rsidRPr="00B3793A">
        <w:rPr>
          <w:rFonts w:ascii="Times New Roman" w:eastAsia="Times New Roman" w:hAnsi="Times New Roman" w:cs="Times New Roman"/>
          <w:sz w:val="24"/>
          <w:szCs w:val="24"/>
          <w:lang w:eastAsia="en-IN"/>
        </w:rPr>
        <w:t xml:space="preserve"> Malathion Toxicity: Effect on Some Metabolic Activities in Oreochromis Niloticus, the Tilapia Fish</w:t>
      </w:r>
      <w:r>
        <w:rPr>
          <w:rFonts w:ascii="Times New Roman" w:eastAsia="Times New Roman" w:hAnsi="Times New Roman" w:cs="Times New Roman"/>
          <w:sz w:val="24"/>
          <w:szCs w:val="24"/>
          <w:lang w:eastAsia="en-IN"/>
        </w:rPr>
        <w:t>.</w:t>
      </w:r>
      <w:r w:rsidRPr="00B3793A">
        <w:rPr>
          <w:rFonts w:ascii="Times New Roman" w:eastAsia="Times New Roman" w:hAnsi="Times New Roman" w:cs="Times New Roman"/>
          <w:sz w:val="24"/>
          <w:szCs w:val="24"/>
          <w:lang w:eastAsia="en-IN"/>
        </w:rPr>
        <w:t xml:space="preserve"> </w:t>
      </w:r>
      <w:r w:rsidRPr="00B3793A">
        <w:rPr>
          <w:rFonts w:ascii="Times New Roman" w:eastAsia="Times New Roman" w:hAnsi="Times New Roman" w:cs="Times New Roman"/>
          <w:i/>
          <w:iCs/>
          <w:sz w:val="24"/>
          <w:szCs w:val="24"/>
          <w:lang w:eastAsia="en-IN"/>
        </w:rPr>
        <w:t>International Journal of Bioscience, Biochemistry and Bioinformatics</w:t>
      </w:r>
      <w:r w:rsidRPr="00B3793A">
        <w:rPr>
          <w:rFonts w:ascii="Times New Roman" w:eastAsia="Times New Roman" w:hAnsi="Times New Roman" w:cs="Times New Roman"/>
          <w:sz w:val="24"/>
          <w:szCs w:val="24"/>
          <w:lang w:eastAsia="en-IN"/>
        </w:rPr>
        <w:t>, 2</w:t>
      </w:r>
      <w:r w:rsidR="00CC5CF3">
        <w:rPr>
          <w:rFonts w:ascii="Times New Roman" w:eastAsia="Times New Roman" w:hAnsi="Times New Roman" w:cs="Times New Roman"/>
          <w:sz w:val="24"/>
          <w:szCs w:val="24"/>
          <w:lang w:eastAsia="en-IN"/>
        </w:rPr>
        <w:t xml:space="preserve"> (1</w:t>
      </w:r>
      <w:proofErr w:type="gramStart"/>
      <w:r w:rsidR="00CC5CF3">
        <w:rPr>
          <w:rFonts w:ascii="Times New Roman" w:eastAsia="Times New Roman" w:hAnsi="Times New Roman" w:cs="Times New Roman"/>
          <w:sz w:val="24"/>
          <w:szCs w:val="24"/>
          <w:lang w:eastAsia="en-IN"/>
        </w:rPr>
        <w:t>) :</w:t>
      </w:r>
      <w:proofErr w:type="gramEnd"/>
      <w:r w:rsidR="00CC5CF3">
        <w:rPr>
          <w:rFonts w:ascii="Times New Roman" w:eastAsia="Times New Roman" w:hAnsi="Times New Roman" w:cs="Times New Roman"/>
          <w:sz w:val="24"/>
          <w:szCs w:val="24"/>
          <w:lang w:eastAsia="en-IN"/>
        </w:rPr>
        <w:t xml:space="preserve"> 52-55.</w:t>
      </w:r>
      <w:r w:rsidRPr="00B3793A">
        <w:rPr>
          <w:rFonts w:ascii="Times New Roman" w:eastAsia="Times New Roman" w:hAnsi="Times New Roman" w:cs="Times New Roman"/>
          <w:sz w:val="24"/>
          <w:szCs w:val="24"/>
          <w:lang w:eastAsia="en-IN"/>
        </w:rPr>
        <w:t xml:space="preserve"> </w:t>
      </w:r>
    </w:p>
    <w:p w14:paraId="1FB891BC" w14:textId="77777777" w:rsidR="005458B6" w:rsidRDefault="005458B6" w:rsidP="00AD008C">
      <w:pPr>
        <w:pStyle w:val="Heading1"/>
        <w:numPr>
          <w:ilvl w:val="0"/>
          <w:numId w:val="3"/>
        </w:numPr>
        <w:spacing w:before="0" w:line="240" w:lineRule="auto"/>
        <w:jc w:val="both"/>
        <w:rPr>
          <w:rFonts w:ascii="Times New Roman" w:eastAsia="Times New Roman" w:hAnsi="Times New Roman" w:cs="Times New Roman"/>
          <w:b w:val="0"/>
          <w:bCs w:val="0"/>
          <w:color w:val="auto"/>
          <w:sz w:val="24"/>
          <w:szCs w:val="24"/>
          <w:lang w:eastAsia="en-IN"/>
        </w:rPr>
      </w:pPr>
      <w:r>
        <w:rPr>
          <w:rFonts w:ascii="Times New Roman" w:eastAsia="Times New Roman" w:hAnsi="Times New Roman" w:cs="Times New Roman"/>
          <w:b w:val="0"/>
          <w:bCs w:val="0"/>
          <w:color w:val="auto"/>
          <w:sz w:val="24"/>
          <w:szCs w:val="24"/>
          <w:lang w:eastAsia="en-IN"/>
        </w:rPr>
        <w:t xml:space="preserve">Antwi F.B., Reddy G.V.2015. </w:t>
      </w:r>
      <w:r w:rsidRPr="005458B6">
        <w:rPr>
          <w:rFonts w:ascii="Times New Roman" w:eastAsia="Times New Roman" w:hAnsi="Times New Roman" w:cs="Times New Roman"/>
          <w:b w:val="0"/>
          <w:bCs w:val="0"/>
          <w:color w:val="auto"/>
          <w:sz w:val="24"/>
          <w:szCs w:val="24"/>
          <w:lang w:eastAsia="en-IN"/>
        </w:rPr>
        <w:t>Toxicological effects of pyrethroids on non-target aquatic insec</w:t>
      </w:r>
      <w:r w:rsidR="00AD008C">
        <w:rPr>
          <w:rFonts w:ascii="Times New Roman" w:eastAsia="Times New Roman" w:hAnsi="Times New Roman" w:cs="Times New Roman"/>
          <w:b w:val="0"/>
          <w:bCs w:val="0"/>
          <w:color w:val="auto"/>
          <w:sz w:val="24"/>
          <w:szCs w:val="24"/>
          <w:lang w:eastAsia="en-IN"/>
        </w:rPr>
        <w:t xml:space="preserve">ts. </w:t>
      </w:r>
      <w:r w:rsidR="00AD008C" w:rsidRPr="00B3793A">
        <w:rPr>
          <w:rFonts w:ascii="Times New Roman" w:eastAsia="Times New Roman" w:hAnsi="Times New Roman" w:cs="Times New Roman"/>
          <w:b w:val="0"/>
          <w:bCs w:val="0"/>
          <w:i/>
          <w:iCs/>
          <w:color w:val="auto"/>
          <w:sz w:val="24"/>
          <w:szCs w:val="24"/>
          <w:lang w:eastAsia="en-IN"/>
        </w:rPr>
        <w:t xml:space="preserve">Environ. </w:t>
      </w:r>
      <w:proofErr w:type="spellStart"/>
      <w:r w:rsidR="00AD008C" w:rsidRPr="00B3793A">
        <w:rPr>
          <w:rFonts w:ascii="Times New Roman" w:eastAsia="Times New Roman" w:hAnsi="Times New Roman" w:cs="Times New Roman"/>
          <w:b w:val="0"/>
          <w:bCs w:val="0"/>
          <w:i/>
          <w:iCs/>
          <w:color w:val="auto"/>
          <w:sz w:val="24"/>
          <w:szCs w:val="24"/>
          <w:lang w:eastAsia="en-IN"/>
        </w:rPr>
        <w:t>Toxicol</w:t>
      </w:r>
      <w:proofErr w:type="spellEnd"/>
      <w:r w:rsidR="00AD008C" w:rsidRPr="00B3793A">
        <w:rPr>
          <w:rFonts w:ascii="Times New Roman" w:eastAsia="Times New Roman" w:hAnsi="Times New Roman" w:cs="Times New Roman"/>
          <w:b w:val="0"/>
          <w:bCs w:val="0"/>
          <w:i/>
          <w:iCs/>
          <w:color w:val="auto"/>
          <w:sz w:val="24"/>
          <w:szCs w:val="24"/>
          <w:lang w:eastAsia="en-IN"/>
        </w:rPr>
        <w:t xml:space="preserve">. </w:t>
      </w:r>
      <w:proofErr w:type="spellStart"/>
      <w:r w:rsidR="00AD008C" w:rsidRPr="00B3793A">
        <w:rPr>
          <w:rFonts w:ascii="Times New Roman" w:eastAsia="Times New Roman" w:hAnsi="Times New Roman" w:cs="Times New Roman"/>
          <w:b w:val="0"/>
          <w:bCs w:val="0"/>
          <w:i/>
          <w:iCs/>
          <w:color w:val="auto"/>
          <w:sz w:val="24"/>
          <w:szCs w:val="24"/>
          <w:lang w:eastAsia="en-IN"/>
        </w:rPr>
        <w:t>Pharmacol</w:t>
      </w:r>
      <w:proofErr w:type="spellEnd"/>
      <w:r w:rsidR="00AD008C">
        <w:rPr>
          <w:rFonts w:ascii="Times New Roman" w:eastAsia="Times New Roman" w:hAnsi="Times New Roman" w:cs="Times New Roman"/>
          <w:b w:val="0"/>
          <w:bCs w:val="0"/>
          <w:color w:val="auto"/>
          <w:sz w:val="24"/>
          <w:szCs w:val="24"/>
          <w:lang w:eastAsia="en-IN"/>
        </w:rPr>
        <w:t>,</w:t>
      </w:r>
      <w:r w:rsidRPr="005458B6">
        <w:rPr>
          <w:rFonts w:ascii="Times New Roman" w:eastAsia="Times New Roman" w:hAnsi="Times New Roman" w:cs="Times New Roman"/>
          <w:b w:val="0"/>
          <w:bCs w:val="0"/>
          <w:color w:val="auto"/>
          <w:sz w:val="24"/>
          <w:szCs w:val="24"/>
          <w:lang w:eastAsia="en-IN"/>
        </w:rPr>
        <w:t xml:space="preserve"> 40(3):915–923. </w:t>
      </w:r>
    </w:p>
    <w:p w14:paraId="06BBA427" w14:textId="77777777" w:rsidR="00C27A68" w:rsidRDefault="005458B6" w:rsidP="00AD008C">
      <w:pPr>
        <w:pStyle w:val="Heading1"/>
        <w:spacing w:before="0" w:line="240" w:lineRule="auto"/>
        <w:ind w:left="720"/>
        <w:jc w:val="both"/>
        <w:rPr>
          <w:rFonts w:ascii="Times New Roman" w:eastAsia="Times New Roman" w:hAnsi="Times New Roman" w:cs="Times New Roman"/>
          <w:b w:val="0"/>
          <w:bCs w:val="0"/>
          <w:color w:val="auto"/>
          <w:sz w:val="24"/>
          <w:szCs w:val="24"/>
          <w:lang w:eastAsia="en-IN"/>
        </w:rPr>
      </w:pPr>
      <w:r>
        <w:rPr>
          <w:rFonts w:ascii="Times New Roman" w:eastAsia="Times New Roman" w:hAnsi="Times New Roman" w:cs="Times New Roman"/>
          <w:b w:val="0"/>
          <w:bCs w:val="0"/>
          <w:color w:val="auto"/>
          <w:sz w:val="24"/>
          <w:szCs w:val="24"/>
          <w:lang w:eastAsia="en-IN"/>
        </w:rPr>
        <w:t>doi:</w:t>
      </w:r>
      <w:r w:rsidR="00AD008C">
        <w:rPr>
          <w:rFonts w:ascii="Times New Roman" w:eastAsia="Times New Roman" w:hAnsi="Times New Roman" w:cs="Times New Roman"/>
          <w:b w:val="0"/>
          <w:bCs w:val="0"/>
          <w:color w:val="auto"/>
          <w:sz w:val="24"/>
          <w:szCs w:val="24"/>
          <w:lang w:eastAsia="en-IN"/>
        </w:rPr>
        <w:t>10.1016/j.etap.2015.09.023</w:t>
      </w:r>
    </w:p>
    <w:p w14:paraId="67953140" w14:textId="77777777" w:rsidR="00B3793A" w:rsidRPr="00B3793A" w:rsidRDefault="00B3793A" w:rsidP="00B3793A">
      <w:pPr>
        <w:rPr>
          <w:lang w:eastAsia="en-IN"/>
        </w:rPr>
      </w:pPr>
    </w:p>
    <w:p w14:paraId="618F5038" w14:textId="77777777" w:rsidR="00FF0B6A" w:rsidRDefault="00FF0B6A" w:rsidP="00FF0B6A">
      <w:pPr>
        <w:spacing w:after="0" w:line="312" w:lineRule="auto"/>
        <w:jc w:val="both"/>
        <w:rPr>
          <w:rFonts w:ascii="Times New Roman" w:hAnsi="Times New Roman" w:cs="Times New Roman"/>
          <w:szCs w:val="22"/>
        </w:rPr>
      </w:pPr>
    </w:p>
    <w:p w14:paraId="52056ABB" w14:textId="77777777" w:rsidR="006E2A63" w:rsidRPr="00F85572" w:rsidRDefault="006E2A63" w:rsidP="00FF0B6A">
      <w:pPr>
        <w:spacing w:after="0" w:line="312" w:lineRule="auto"/>
        <w:jc w:val="both"/>
        <w:rPr>
          <w:rFonts w:ascii="Times New Roman" w:hAnsi="Times New Roman" w:cs="Times New Roman"/>
          <w:szCs w:val="22"/>
        </w:rPr>
      </w:pPr>
      <w:r w:rsidRPr="00F85572">
        <w:rPr>
          <w:rFonts w:ascii="Times New Roman" w:hAnsi="Times New Roman" w:cs="Times New Roman"/>
          <w:szCs w:val="22"/>
        </w:rPr>
        <w:t xml:space="preserve">Table </w:t>
      </w:r>
      <w:r w:rsidR="009E0610" w:rsidRPr="00F85572">
        <w:rPr>
          <w:rFonts w:ascii="Times New Roman" w:hAnsi="Times New Roman" w:cs="Times New Roman"/>
          <w:szCs w:val="22"/>
        </w:rPr>
        <w:t>1:</w:t>
      </w:r>
      <w:r w:rsidRPr="00F85572">
        <w:rPr>
          <w:rFonts w:ascii="Times New Roman" w:hAnsi="Times New Roman" w:cs="Times New Roman"/>
          <w:szCs w:val="22"/>
        </w:rPr>
        <w:t xml:space="preserve"> </w:t>
      </w:r>
      <w:proofErr w:type="spellStart"/>
      <w:r w:rsidRPr="00F85572">
        <w:rPr>
          <w:rFonts w:ascii="Times New Roman" w:hAnsi="Times New Roman" w:cs="Times New Roman"/>
          <w:szCs w:val="22"/>
        </w:rPr>
        <w:t>Physico</w:t>
      </w:r>
      <w:proofErr w:type="spellEnd"/>
      <w:r w:rsidRPr="00F85572">
        <w:rPr>
          <w:rFonts w:ascii="Times New Roman" w:hAnsi="Times New Roman" w:cs="Times New Roman"/>
          <w:szCs w:val="22"/>
        </w:rPr>
        <w:t>-chemical characteristics of the test water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4"/>
        <w:gridCol w:w="1672"/>
        <w:gridCol w:w="2272"/>
        <w:gridCol w:w="1166"/>
        <w:gridCol w:w="1588"/>
      </w:tblGrid>
      <w:tr w:rsidR="009E0610" w:rsidRPr="0037077E" w14:paraId="3E2AD5AF" w14:textId="77777777" w:rsidTr="009E0610">
        <w:trPr>
          <w:trHeight w:val="483"/>
        </w:trPr>
        <w:tc>
          <w:tcPr>
            <w:tcW w:w="1376" w:type="pct"/>
            <w:tcBorders>
              <w:top w:val="single" w:sz="4" w:space="0" w:color="auto"/>
              <w:bottom w:val="single" w:sz="4" w:space="0" w:color="auto"/>
            </w:tcBorders>
          </w:tcPr>
          <w:p w14:paraId="34DC6179" w14:textId="77777777" w:rsidR="00591700" w:rsidRPr="0037077E" w:rsidRDefault="006E2A63"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Characteristics</w:t>
            </w:r>
          </w:p>
        </w:tc>
        <w:tc>
          <w:tcPr>
            <w:tcW w:w="904" w:type="pct"/>
            <w:tcBorders>
              <w:top w:val="single" w:sz="4" w:space="0" w:color="auto"/>
              <w:bottom w:val="single" w:sz="4" w:space="0" w:color="auto"/>
            </w:tcBorders>
          </w:tcPr>
          <w:p w14:paraId="05943B1F" w14:textId="77777777" w:rsidR="00591700" w:rsidRPr="0037077E" w:rsidRDefault="00591700" w:rsidP="00FF0B6A">
            <w:pPr>
              <w:spacing w:line="312" w:lineRule="auto"/>
              <w:jc w:val="center"/>
              <w:rPr>
                <w:rFonts w:ascii="Times New Roman" w:hAnsi="Times New Roman" w:cs="Times New Roman"/>
                <w:b/>
                <w:bCs/>
                <w:sz w:val="22"/>
                <w:szCs w:val="22"/>
              </w:rPr>
            </w:pPr>
            <w:r w:rsidRPr="0037077E">
              <w:rPr>
                <w:rFonts w:ascii="Times New Roman" w:hAnsi="Times New Roman" w:cs="Times New Roman"/>
                <w:b/>
                <w:bCs/>
                <w:sz w:val="22"/>
                <w:szCs w:val="22"/>
              </w:rPr>
              <w:t>Unit</w:t>
            </w:r>
          </w:p>
        </w:tc>
        <w:tc>
          <w:tcPr>
            <w:tcW w:w="1229" w:type="pct"/>
            <w:tcBorders>
              <w:top w:val="single" w:sz="4" w:space="0" w:color="auto"/>
              <w:bottom w:val="single" w:sz="4" w:space="0" w:color="auto"/>
            </w:tcBorders>
          </w:tcPr>
          <w:p w14:paraId="22ACD7C6" w14:textId="77777777" w:rsidR="00591700" w:rsidRPr="0037077E" w:rsidRDefault="00591700" w:rsidP="00FF0B6A">
            <w:pPr>
              <w:spacing w:line="312" w:lineRule="auto"/>
              <w:jc w:val="center"/>
              <w:rPr>
                <w:rFonts w:ascii="Times New Roman" w:hAnsi="Times New Roman" w:cs="Times New Roman"/>
                <w:b/>
                <w:bCs/>
                <w:sz w:val="22"/>
                <w:szCs w:val="22"/>
              </w:rPr>
            </w:pPr>
            <w:r w:rsidRPr="0037077E">
              <w:rPr>
                <w:rFonts w:ascii="Times New Roman" w:hAnsi="Times New Roman" w:cs="Times New Roman"/>
                <w:b/>
                <w:bCs/>
                <w:sz w:val="22"/>
                <w:szCs w:val="22"/>
              </w:rPr>
              <w:t>No. of Obser</w:t>
            </w:r>
            <w:r w:rsidR="006E2A63" w:rsidRPr="0037077E">
              <w:rPr>
                <w:rFonts w:ascii="Times New Roman" w:hAnsi="Times New Roman" w:cs="Times New Roman"/>
                <w:b/>
                <w:bCs/>
                <w:sz w:val="22"/>
                <w:szCs w:val="22"/>
              </w:rPr>
              <w:t>vation</w:t>
            </w:r>
          </w:p>
        </w:tc>
        <w:tc>
          <w:tcPr>
            <w:tcW w:w="631" w:type="pct"/>
            <w:tcBorders>
              <w:top w:val="single" w:sz="4" w:space="0" w:color="auto"/>
              <w:bottom w:val="single" w:sz="4" w:space="0" w:color="auto"/>
            </w:tcBorders>
          </w:tcPr>
          <w:p w14:paraId="5BDE93A8" w14:textId="77777777" w:rsidR="00591700" w:rsidRPr="0037077E" w:rsidRDefault="00591700" w:rsidP="00FF0B6A">
            <w:pPr>
              <w:spacing w:line="312" w:lineRule="auto"/>
              <w:jc w:val="center"/>
              <w:rPr>
                <w:rFonts w:ascii="Times New Roman" w:hAnsi="Times New Roman" w:cs="Times New Roman"/>
                <w:b/>
                <w:bCs/>
                <w:sz w:val="22"/>
                <w:szCs w:val="22"/>
              </w:rPr>
            </w:pPr>
            <w:r w:rsidRPr="0037077E">
              <w:rPr>
                <w:rFonts w:ascii="Times New Roman" w:hAnsi="Times New Roman" w:cs="Times New Roman"/>
                <w:b/>
                <w:bCs/>
                <w:sz w:val="22"/>
                <w:szCs w:val="22"/>
              </w:rPr>
              <w:t>Mean</w:t>
            </w:r>
          </w:p>
        </w:tc>
        <w:tc>
          <w:tcPr>
            <w:tcW w:w="859" w:type="pct"/>
            <w:tcBorders>
              <w:top w:val="single" w:sz="4" w:space="0" w:color="auto"/>
              <w:bottom w:val="single" w:sz="4" w:space="0" w:color="auto"/>
            </w:tcBorders>
          </w:tcPr>
          <w:p w14:paraId="04D36DE0" w14:textId="77777777" w:rsidR="00591700" w:rsidRPr="0037077E" w:rsidRDefault="00591700" w:rsidP="00FF0B6A">
            <w:pPr>
              <w:spacing w:line="312" w:lineRule="auto"/>
              <w:jc w:val="center"/>
              <w:rPr>
                <w:rFonts w:ascii="Times New Roman" w:hAnsi="Times New Roman" w:cs="Times New Roman"/>
                <w:b/>
                <w:bCs/>
                <w:sz w:val="22"/>
                <w:szCs w:val="22"/>
              </w:rPr>
            </w:pPr>
            <w:r w:rsidRPr="0037077E">
              <w:rPr>
                <w:rFonts w:ascii="Times New Roman" w:hAnsi="Times New Roman" w:cs="Times New Roman"/>
                <w:b/>
                <w:bCs/>
                <w:sz w:val="22"/>
                <w:szCs w:val="22"/>
              </w:rPr>
              <w:t>Range</w:t>
            </w:r>
          </w:p>
        </w:tc>
      </w:tr>
      <w:tr w:rsidR="009E0610" w:rsidRPr="0037077E" w14:paraId="0C8FD7F3" w14:textId="77777777" w:rsidTr="0037077E">
        <w:trPr>
          <w:trHeight w:val="2515"/>
        </w:trPr>
        <w:tc>
          <w:tcPr>
            <w:tcW w:w="1376" w:type="pct"/>
            <w:tcBorders>
              <w:top w:val="single" w:sz="4" w:space="0" w:color="auto"/>
              <w:bottom w:val="single" w:sz="4" w:space="0" w:color="auto"/>
            </w:tcBorders>
          </w:tcPr>
          <w:p w14:paraId="0C5473F8"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pH</w:t>
            </w:r>
          </w:p>
          <w:p w14:paraId="1EF198F5"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 xml:space="preserve">Temperature </w:t>
            </w:r>
          </w:p>
          <w:p w14:paraId="3585BAC2"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Total Solids</w:t>
            </w:r>
          </w:p>
          <w:p w14:paraId="665A7074"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Dissolved solids</w:t>
            </w:r>
          </w:p>
          <w:p w14:paraId="3698F306"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Dissolved oxygen (DO)</w:t>
            </w:r>
          </w:p>
          <w:p w14:paraId="24B001B3"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Free CO</w:t>
            </w:r>
            <w:r w:rsidRPr="0037077E">
              <w:rPr>
                <w:rFonts w:ascii="Times New Roman" w:hAnsi="Times New Roman" w:cs="Times New Roman"/>
                <w:sz w:val="22"/>
                <w:szCs w:val="22"/>
                <w:vertAlign w:val="subscript"/>
              </w:rPr>
              <w:t>2</w:t>
            </w:r>
          </w:p>
          <w:p w14:paraId="0F3E05AC"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Total Hardness</w:t>
            </w:r>
          </w:p>
          <w:p w14:paraId="596C6290"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Total alkalinity</w:t>
            </w:r>
          </w:p>
        </w:tc>
        <w:tc>
          <w:tcPr>
            <w:tcW w:w="904" w:type="pct"/>
            <w:tcBorders>
              <w:top w:val="single" w:sz="4" w:space="0" w:color="auto"/>
              <w:bottom w:val="single" w:sz="4" w:space="0" w:color="auto"/>
            </w:tcBorders>
          </w:tcPr>
          <w:p w14:paraId="2E0E084E" w14:textId="77777777" w:rsidR="00591700" w:rsidRPr="0037077E" w:rsidRDefault="009E061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w:t>
            </w:r>
          </w:p>
          <w:p w14:paraId="6B615194" w14:textId="77777777" w:rsidR="00591700" w:rsidRPr="0037077E" w:rsidRDefault="009E061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vertAlign w:val="superscript"/>
              </w:rPr>
              <w:t>o</w:t>
            </w:r>
            <w:r w:rsidR="000D0C6E" w:rsidRPr="0037077E">
              <w:rPr>
                <w:rFonts w:ascii="Times New Roman" w:hAnsi="Times New Roman" w:cs="Times New Roman"/>
                <w:sz w:val="22"/>
                <w:szCs w:val="22"/>
              </w:rPr>
              <w:t>C</w:t>
            </w:r>
          </w:p>
          <w:p w14:paraId="0F83924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w:t>
            </w:r>
          </w:p>
          <w:p w14:paraId="458F7CD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w:t>
            </w:r>
          </w:p>
          <w:p w14:paraId="2CB53626"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w:t>
            </w:r>
          </w:p>
          <w:p w14:paraId="3EEB14D0"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w:t>
            </w:r>
          </w:p>
          <w:p w14:paraId="5B8A5491" w14:textId="77777777" w:rsidR="00591700" w:rsidRPr="0037077E" w:rsidRDefault="00591700" w:rsidP="00FF0B6A">
            <w:pPr>
              <w:spacing w:line="312" w:lineRule="auto"/>
              <w:jc w:val="center"/>
              <w:rPr>
                <w:rFonts w:ascii="Times New Roman" w:hAnsi="Times New Roman" w:cs="Times New Roman"/>
                <w:sz w:val="22"/>
                <w:szCs w:val="22"/>
                <w:vertAlign w:val="subscript"/>
              </w:rPr>
            </w:pPr>
            <w:r w:rsidRPr="0037077E">
              <w:rPr>
                <w:rFonts w:ascii="Times New Roman" w:hAnsi="Times New Roman" w:cs="Times New Roman"/>
                <w:sz w:val="22"/>
                <w:szCs w:val="22"/>
              </w:rPr>
              <w:t>mg/l as CaCO</w:t>
            </w:r>
            <w:r w:rsidRPr="0037077E">
              <w:rPr>
                <w:rFonts w:ascii="Times New Roman" w:hAnsi="Times New Roman" w:cs="Times New Roman"/>
                <w:sz w:val="22"/>
                <w:szCs w:val="22"/>
                <w:vertAlign w:val="subscript"/>
              </w:rPr>
              <w:t>3</w:t>
            </w:r>
          </w:p>
          <w:p w14:paraId="64DB12D1"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mg/l as CaCO</w:t>
            </w:r>
            <w:r w:rsidRPr="0037077E">
              <w:rPr>
                <w:rFonts w:ascii="Times New Roman" w:hAnsi="Times New Roman" w:cs="Times New Roman"/>
                <w:sz w:val="22"/>
                <w:szCs w:val="22"/>
                <w:vertAlign w:val="subscript"/>
              </w:rPr>
              <w:t>3</w:t>
            </w:r>
          </w:p>
        </w:tc>
        <w:tc>
          <w:tcPr>
            <w:tcW w:w="1229" w:type="pct"/>
            <w:tcBorders>
              <w:top w:val="single" w:sz="4" w:space="0" w:color="auto"/>
              <w:bottom w:val="single" w:sz="4" w:space="0" w:color="auto"/>
            </w:tcBorders>
          </w:tcPr>
          <w:p w14:paraId="436DDB74"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6888D0D2"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63C006C4"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58D07E6B"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518EBA51"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w:t>
            </w:r>
          </w:p>
          <w:p w14:paraId="6B8EA165"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5</w:t>
            </w:r>
          </w:p>
          <w:p w14:paraId="59D29614"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5</w:t>
            </w:r>
          </w:p>
          <w:p w14:paraId="7ED456CD"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5</w:t>
            </w:r>
          </w:p>
        </w:tc>
        <w:tc>
          <w:tcPr>
            <w:tcW w:w="631" w:type="pct"/>
            <w:tcBorders>
              <w:top w:val="single" w:sz="4" w:space="0" w:color="auto"/>
              <w:bottom w:val="single" w:sz="4" w:space="0" w:color="auto"/>
            </w:tcBorders>
          </w:tcPr>
          <w:p w14:paraId="3312F900"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7.6</w:t>
            </w:r>
          </w:p>
          <w:p w14:paraId="79E738A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24.6</w:t>
            </w:r>
          </w:p>
          <w:p w14:paraId="3675860F"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38.5</w:t>
            </w:r>
          </w:p>
          <w:p w14:paraId="55A4BF32"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12.3</w:t>
            </w:r>
          </w:p>
          <w:p w14:paraId="2C47C186"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6.5</w:t>
            </w:r>
          </w:p>
          <w:p w14:paraId="57D7FBC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2.1</w:t>
            </w:r>
          </w:p>
          <w:p w14:paraId="13E31A26"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180.0</w:t>
            </w:r>
          </w:p>
          <w:p w14:paraId="0A6EEC44"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150.0</w:t>
            </w:r>
          </w:p>
        </w:tc>
        <w:tc>
          <w:tcPr>
            <w:tcW w:w="859" w:type="pct"/>
            <w:tcBorders>
              <w:top w:val="single" w:sz="4" w:space="0" w:color="auto"/>
              <w:bottom w:val="single" w:sz="4" w:space="0" w:color="auto"/>
            </w:tcBorders>
          </w:tcPr>
          <w:p w14:paraId="5C6A929E"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7.2-7.9</w:t>
            </w:r>
          </w:p>
          <w:p w14:paraId="7F878DCA"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23-26</w:t>
            </w:r>
          </w:p>
          <w:p w14:paraId="0E5768C9"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32.6-38.2</w:t>
            </w:r>
          </w:p>
          <w:p w14:paraId="4A5B97CC"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10.5-12.6</w:t>
            </w:r>
          </w:p>
          <w:p w14:paraId="36DB5077"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5.4-7.6</w:t>
            </w:r>
          </w:p>
          <w:p w14:paraId="16AAB987"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1.3-3.0</w:t>
            </w:r>
          </w:p>
          <w:p w14:paraId="2E9C30C8"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165-200</w:t>
            </w:r>
          </w:p>
          <w:p w14:paraId="39084019" w14:textId="77777777" w:rsidR="00591700" w:rsidRPr="0037077E" w:rsidRDefault="00591700" w:rsidP="00FF0B6A">
            <w:pPr>
              <w:spacing w:line="312" w:lineRule="auto"/>
              <w:jc w:val="center"/>
              <w:rPr>
                <w:rFonts w:ascii="Times New Roman" w:hAnsi="Times New Roman" w:cs="Times New Roman"/>
                <w:sz w:val="22"/>
                <w:szCs w:val="22"/>
              </w:rPr>
            </w:pPr>
            <w:r w:rsidRPr="0037077E">
              <w:rPr>
                <w:rFonts w:ascii="Times New Roman" w:hAnsi="Times New Roman" w:cs="Times New Roman"/>
                <w:sz w:val="22"/>
                <w:szCs w:val="22"/>
              </w:rPr>
              <w:t>136-165</w:t>
            </w:r>
          </w:p>
        </w:tc>
      </w:tr>
    </w:tbl>
    <w:p w14:paraId="055C4917" w14:textId="77777777" w:rsidR="00591700" w:rsidRPr="0037077E" w:rsidRDefault="00591700" w:rsidP="00FF0B6A">
      <w:pPr>
        <w:spacing w:after="0" w:line="312" w:lineRule="auto"/>
        <w:jc w:val="both"/>
        <w:rPr>
          <w:rFonts w:ascii="Times New Roman" w:hAnsi="Times New Roman" w:cs="Times New Roman"/>
          <w:b/>
          <w:bCs/>
          <w:sz w:val="28"/>
          <w:szCs w:val="28"/>
        </w:rPr>
      </w:pPr>
    </w:p>
    <w:p w14:paraId="406CB998" w14:textId="77777777" w:rsidR="00FF0B6A" w:rsidRDefault="00FF0B6A" w:rsidP="00FF0B6A">
      <w:pPr>
        <w:spacing w:after="0" w:line="312" w:lineRule="auto"/>
        <w:jc w:val="both"/>
        <w:rPr>
          <w:rFonts w:ascii="Times New Roman" w:hAnsi="Times New Roman" w:cs="Times New Roman"/>
          <w:szCs w:val="22"/>
        </w:rPr>
      </w:pPr>
    </w:p>
    <w:p w14:paraId="2618C593" w14:textId="77777777" w:rsidR="00591700" w:rsidRPr="00F85572" w:rsidRDefault="00591700" w:rsidP="00FF0B6A">
      <w:pPr>
        <w:spacing w:after="0" w:line="312" w:lineRule="auto"/>
        <w:jc w:val="both"/>
        <w:rPr>
          <w:rFonts w:ascii="Times New Roman" w:hAnsi="Times New Roman" w:cs="Times New Roman"/>
          <w:szCs w:val="22"/>
        </w:rPr>
      </w:pPr>
      <w:r w:rsidRPr="00F85572">
        <w:rPr>
          <w:rFonts w:ascii="Times New Roman" w:hAnsi="Times New Roman" w:cs="Times New Roman"/>
          <w:szCs w:val="22"/>
        </w:rPr>
        <w:t xml:space="preserve">Table 2: </w:t>
      </w:r>
      <w:r w:rsidR="00F85572" w:rsidRPr="00F85572">
        <w:rPr>
          <w:rFonts w:ascii="Times New Roman" w:hAnsi="Times New Roman" w:cs="Times New Roman"/>
        </w:rPr>
        <w:t xml:space="preserve">LC₅₀ Values and Regression Equations of </w:t>
      </w:r>
      <w:proofErr w:type="spellStart"/>
      <w:r w:rsidR="003F0996">
        <w:rPr>
          <w:rFonts w:ascii="Times New Roman" w:hAnsi="Times New Roman" w:cs="Times New Roman"/>
        </w:rPr>
        <w:t>Herboclin</w:t>
      </w:r>
      <w:proofErr w:type="spellEnd"/>
      <w:r w:rsidR="00F85572" w:rsidRPr="00F85572">
        <w:rPr>
          <w:rFonts w:ascii="Times New Roman" w:hAnsi="Times New Roman" w:cs="Times New Roman"/>
        </w:rPr>
        <w:t xml:space="preserve"> Against </w:t>
      </w:r>
      <w:r w:rsidR="00F85572" w:rsidRPr="00F85572">
        <w:rPr>
          <w:rStyle w:val="Emphasis"/>
          <w:rFonts w:ascii="Times New Roman" w:hAnsi="Times New Roman" w:cs="Times New Roman"/>
        </w:rPr>
        <w:t xml:space="preserve">Clarias </w:t>
      </w:r>
      <w:proofErr w:type="spellStart"/>
      <w:r w:rsidR="00F85572" w:rsidRPr="00F85572">
        <w:rPr>
          <w:rStyle w:val="Emphasis"/>
          <w:rFonts w:ascii="Times New Roman" w:hAnsi="Times New Roman" w:cs="Times New Roman"/>
        </w:rPr>
        <w:t>batrachus</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126"/>
        <w:gridCol w:w="1471"/>
        <w:gridCol w:w="3096"/>
      </w:tblGrid>
      <w:tr w:rsidR="00591700" w:rsidRPr="0037077E" w14:paraId="74DDA579" w14:textId="77777777" w:rsidTr="00F734E3">
        <w:trPr>
          <w:trHeight w:val="418"/>
        </w:trPr>
        <w:tc>
          <w:tcPr>
            <w:tcW w:w="1379" w:type="pct"/>
            <w:tcBorders>
              <w:top w:val="single" w:sz="4" w:space="0" w:color="auto"/>
              <w:bottom w:val="single" w:sz="4" w:space="0" w:color="auto"/>
            </w:tcBorders>
          </w:tcPr>
          <w:p w14:paraId="1F606B93" w14:textId="77777777" w:rsidR="00591700" w:rsidRPr="0037077E" w:rsidRDefault="00591700"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Herbicides</w:t>
            </w:r>
          </w:p>
        </w:tc>
        <w:tc>
          <w:tcPr>
            <w:tcW w:w="1150" w:type="pct"/>
            <w:tcBorders>
              <w:top w:val="single" w:sz="4" w:space="0" w:color="auto"/>
              <w:bottom w:val="single" w:sz="4" w:space="0" w:color="auto"/>
            </w:tcBorders>
          </w:tcPr>
          <w:p w14:paraId="510BB1B4" w14:textId="77777777" w:rsidR="00591700" w:rsidRPr="0037077E" w:rsidRDefault="00591700"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Time (hr.)</w:t>
            </w:r>
          </w:p>
        </w:tc>
        <w:tc>
          <w:tcPr>
            <w:tcW w:w="796" w:type="pct"/>
            <w:tcBorders>
              <w:top w:val="single" w:sz="4" w:space="0" w:color="auto"/>
              <w:bottom w:val="single" w:sz="4" w:space="0" w:color="auto"/>
            </w:tcBorders>
          </w:tcPr>
          <w:p w14:paraId="48AD3549" w14:textId="77777777" w:rsidR="00591700" w:rsidRPr="0037077E" w:rsidRDefault="00591700"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LC</w:t>
            </w:r>
            <w:r w:rsidRPr="0037077E">
              <w:rPr>
                <w:rFonts w:ascii="Times New Roman" w:hAnsi="Times New Roman" w:cs="Times New Roman"/>
                <w:b/>
                <w:bCs/>
                <w:sz w:val="22"/>
                <w:szCs w:val="22"/>
                <w:vertAlign w:val="subscript"/>
              </w:rPr>
              <w:t>50</w:t>
            </w:r>
            <w:r w:rsidRPr="0037077E">
              <w:rPr>
                <w:rFonts w:ascii="Times New Roman" w:hAnsi="Times New Roman" w:cs="Times New Roman"/>
                <w:b/>
                <w:bCs/>
                <w:sz w:val="22"/>
                <w:szCs w:val="22"/>
              </w:rPr>
              <w:t xml:space="preserve"> (ppm)</w:t>
            </w:r>
          </w:p>
        </w:tc>
        <w:tc>
          <w:tcPr>
            <w:tcW w:w="1675" w:type="pct"/>
            <w:tcBorders>
              <w:top w:val="single" w:sz="4" w:space="0" w:color="auto"/>
              <w:bottom w:val="single" w:sz="4" w:space="0" w:color="auto"/>
            </w:tcBorders>
          </w:tcPr>
          <w:p w14:paraId="37E204C4" w14:textId="77777777" w:rsidR="00591700" w:rsidRPr="0037077E" w:rsidRDefault="00591700" w:rsidP="00FF0B6A">
            <w:pPr>
              <w:spacing w:line="312" w:lineRule="auto"/>
              <w:jc w:val="both"/>
              <w:rPr>
                <w:rFonts w:ascii="Times New Roman" w:hAnsi="Times New Roman" w:cs="Times New Roman"/>
                <w:b/>
                <w:bCs/>
                <w:sz w:val="22"/>
                <w:szCs w:val="22"/>
              </w:rPr>
            </w:pPr>
            <w:r w:rsidRPr="0037077E">
              <w:rPr>
                <w:rFonts w:ascii="Times New Roman" w:hAnsi="Times New Roman" w:cs="Times New Roman"/>
                <w:b/>
                <w:bCs/>
                <w:sz w:val="22"/>
                <w:szCs w:val="22"/>
              </w:rPr>
              <w:t xml:space="preserve">Regression equation </w:t>
            </w:r>
          </w:p>
        </w:tc>
      </w:tr>
      <w:tr w:rsidR="00591700" w:rsidRPr="0037077E" w14:paraId="0F25F85D" w14:textId="77777777" w:rsidTr="00F734E3">
        <w:trPr>
          <w:trHeight w:val="1261"/>
        </w:trPr>
        <w:tc>
          <w:tcPr>
            <w:tcW w:w="1379" w:type="pct"/>
            <w:tcBorders>
              <w:top w:val="single" w:sz="4" w:space="0" w:color="auto"/>
              <w:bottom w:val="single" w:sz="4" w:space="0" w:color="auto"/>
            </w:tcBorders>
          </w:tcPr>
          <w:p w14:paraId="7621FDBA" w14:textId="77777777" w:rsidR="00591700" w:rsidRPr="0037077E" w:rsidRDefault="003F0996" w:rsidP="00FF0B6A">
            <w:pPr>
              <w:spacing w:line="312" w:lineRule="auto"/>
              <w:jc w:val="both"/>
              <w:rPr>
                <w:rFonts w:ascii="Times New Roman" w:hAnsi="Times New Roman" w:cs="Times New Roman"/>
                <w:sz w:val="22"/>
                <w:szCs w:val="22"/>
              </w:rPr>
            </w:pPr>
            <w:proofErr w:type="spellStart"/>
            <w:r>
              <w:rPr>
                <w:rFonts w:ascii="Times New Roman" w:hAnsi="Times New Roman" w:cs="Times New Roman"/>
                <w:sz w:val="22"/>
                <w:szCs w:val="22"/>
              </w:rPr>
              <w:t>Herboclin</w:t>
            </w:r>
            <w:proofErr w:type="spellEnd"/>
          </w:p>
        </w:tc>
        <w:tc>
          <w:tcPr>
            <w:tcW w:w="1150" w:type="pct"/>
            <w:tcBorders>
              <w:top w:val="single" w:sz="4" w:space="0" w:color="auto"/>
              <w:bottom w:val="single" w:sz="4" w:space="0" w:color="auto"/>
            </w:tcBorders>
          </w:tcPr>
          <w:p w14:paraId="110FC2A2"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24</w:t>
            </w:r>
          </w:p>
          <w:p w14:paraId="24AA7048"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48</w:t>
            </w:r>
          </w:p>
          <w:p w14:paraId="39A2532C"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72</w:t>
            </w:r>
          </w:p>
          <w:p w14:paraId="235D90BC"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96</w:t>
            </w:r>
          </w:p>
        </w:tc>
        <w:tc>
          <w:tcPr>
            <w:tcW w:w="796" w:type="pct"/>
            <w:tcBorders>
              <w:top w:val="single" w:sz="4" w:space="0" w:color="auto"/>
              <w:bottom w:val="single" w:sz="4" w:space="0" w:color="auto"/>
            </w:tcBorders>
          </w:tcPr>
          <w:p w14:paraId="5786364A"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10.16</w:t>
            </w:r>
          </w:p>
          <w:p w14:paraId="52DDA559"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7.00</w:t>
            </w:r>
          </w:p>
          <w:p w14:paraId="1C1D39D3"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5.17</w:t>
            </w:r>
          </w:p>
          <w:p w14:paraId="28401C1C"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4.25</w:t>
            </w:r>
          </w:p>
        </w:tc>
        <w:tc>
          <w:tcPr>
            <w:tcW w:w="1675" w:type="pct"/>
            <w:tcBorders>
              <w:top w:val="single" w:sz="4" w:space="0" w:color="auto"/>
              <w:bottom w:val="single" w:sz="4" w:space="0" w:color="auto"/>
            </w:tcBorders>
          </w:tcPr>
          <w:p w14:paraId="3E832A73"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Y = -450+49.2x</w:t>
            </w:r>
          </w:p>
          <w:p w14:paraId="4900542B"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Y = -254+44x</w:t>
            </w:r>
          </w:p>
          <w:p w14:paraId="2CA9E005"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Y = -126+34x</w:t>
            </w:r>
          </w:p>
          <w:p w14:paraId="0C03F6F6" w14:textId="77777777" w:rsidR="00591700" w:rsidRPr="0037077E" w:rsidRDefault="00591700" w:rsidP="00FF0B6A">
            <w:pPr>
              <w:spacing w:line="312" w:lineRule="auto"/>
              <w:jc w:val="both"/>
              <w:rPr>
                <w:rFonts w:ascii="Times New Roman" w:hAnsi="Times New Roman" w:cs="Times New Roman"/>
                <w:sz w:val="22"/>
                <w:szCs w:val="22"/>
              </w:rPr>
            </w:pPr>
            <w:r w:rsidRPr="0037077E">
              <w:rPr>
                <w:rFonts w:ascii="Times New Roman" w:hAnsi="Times New Roman" w:cs="Times New Roman"/>
                <w:sz w:val="22"/>
                <w:szCs w:val="22"/>
              </w:rPr>
              <w:t>Y = -69+28x</w:t>
            </w:r>
          </w:p>
        </w:tc>
      </w:tr>
    </w:tbl>
    <w:p w14:paraId="3EB5B5B7" w14:textId="77777777" w:rsidR="00591700" w:rsidRPr="00811E8B" w:rsidRDefault="00591700" w:rsidP="00FF0B6A">
      <w:pPr>
        <w:spacing w:after="0" w:line="240" w:lineRule="auto"/>
        <w:jc w:val="both"/>
        <w:rPr>
          <w:rFonts w:ascii="Times New Roman" w:eastAsia="Times New Roman" w:hAnsi="Times New Roman" w:cs="Times New Roman"/>
          <w:sz w:val="24"/>
          <w:szCs w:val="24"/>
          <w:lang w:eastAsia="en-IN"/>
        </w:rPr>
      </w:pPr>
    </w:p>
    <w:p w14:paraId="5C091495" w14:textId="77777777" w:rsidR="00811E8B" w:rsidRPr="00AA340E" w:rsidRDefault="0037077E" w:rsidP="00FF0B6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lastRenderedPageBreak/>
        <w:drawing>
          <wp:inline distT="0" distB="0" distL="0" distR="0" wp14:anchorId="586BE417" wp14:editId="3E1A2EF5">
            <wp:extent cx="5178426" cy="2981325"/>
            <wp:effectExtent l="0" t="0" r="3175" b="9525"/>
            <wp:docPr id="1" name="Picture 1" descr="C:\Users\PC\Downloads\vibrant_regression_herbocli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vibrant_regression_herboclin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8426" cy="2981325"/>
                    </a:xfrm>
                    <a:prstGeom prst="rect">
                      <a:avLst/>
                    </a:prstGeom>
                    <a:noFill/>
                    <a:ln>
                      <a:noFill/>
                    </a:ln>
                  </pic:spPr>
                </pic:pic>
              </a:graphicData>
            </a:graphic>
          </wp:inline>
        </w:drawing>
      </w:r>
    </w:p>
    <w:p w14:paraId="63676F92" w14:textId="77777777" w:rsidR="00F85572" w:rsidRPr="00F85572" w:rsidRDefault="00F85572" w:rsidP="00FF0B6A">
      <w:pPr>
        <w:spacing w:after="0" w:line="312" w:lineRule="auto"/>
        <w:jc w:val="both"/>
        <w:rPr>
          <w:rFonts w:ascii="Times New Roman" w:hAnsi="Times New Roman" w:cs="Times New Roman"/>
          <w:szCs w:val="22"/>
        </w:rPr>
      </w:pPr>
      <w:r>
        <w:rPr>
          <w:rFonts w:ascii="Times New Roman" w:hAnsi="Times New Roman" w:cs="Times New Roman"/>
        </w:rPr>
        <w:t xml:space="preserve">       </w:t>
      </w:r>
      <w:r w:rsidR="0037077E" w:rsidRPr="00F85572">
        <w:rPr>
          <w:rFonts w:ascii="Times New Roman" w:hAnsi="Times New Roman" w:cs="Times New Roman"/>
        </w:rPr>
        <w:t xml:space="preserve">Fig.1: </w:t>
      </w:r>
      <w:r w:rsidRPr="00F85572">
        <w:rPr>
          <w:rFonts w:ascii="Times New Roman" w:hAnsi="Times New Roman" w:cs="Times New Roman"/>
        </w:rPr>
        <w:t xml:space="preserve">LC₅₀ Values and </w:t>
      </w:r>
      <w:r w:rsidR="0037077E" w:rsidRPr="00F85572">
        <w:rPr>
          <w:rFonts w:ascii="Times New Roman" w:hAnsi="Times New Roman" w:cs="Times New Roman"/>
        </w:rPr>
        <w:t xml:space="preserve">Regression graph of </w:t>
      </w:r>
      <w:proofErr w:type="spellStart"/>
      <w:r w:rsidR="003F0996">
        <w:rPr>
          <w:rFonts w:ascii="Times New Roman" w:hAnsi="Times New Roman" w:cs="Times New Roman"/>
          <w:szCs w:val="22"/>
        </w:rPr>
        <w:t>Herboclin</w:t>
      </w:r>
      <w:proofErr w:type="spellEnd"/>
      <w:r w:rsidRPr="00F85572">
        <w:rPr>
          <w:rFonts w:ascii="Times New Roman" w:hAnsi="Times New Roman" w:cs="Times New Roman"/>
          <w:szCs w:val="22"/>
        </w:rPr>
        <w:t xml:space="preserve"> </w:t>
      </w:r>
      <w:r w:rsidRPr="00F85572">
        <w:rPr>
          <w:rFonts w:ascii="Times New Roman" w:hAnsi="Times New Roman" w:cs="Times New Roman"/>
        </w:rPr>
        <w:t xml:space="preserve">Against </w:t>
      </w:r>
      <w:r w:rsidRPr="00F85572">
        <w:rPr>
          <w:rStyle w:val="Emphasis"/>
          <w:rFonts w:ascii="Times New Roman" w:hAnsi="Times New Roman" w:cs="Times New Roman"/>
        </w:rPr>
        <w:t xml:space="preserve">Clarias </w:t>
      </w:r>
      <w:proofErr w:type="spellStart"/>
      <w:r w:rsidRPr="00F85572">
        <w:rPr>
          <w:rStyle w:val="Emphasis"/>
          <w:rFonts w:ascii="Times New Roman" w:hAnsi="Times New Roman" w:cs="Times New Roman"/>
        </w:rPr>
        <w:t>batrachus</w:t>
      </w:r>
      <w:proofErr w:type="spellEnd"/>
    </w:p>
    <w:p w14:paraId="12300CE8" w14:textId="77777777" w:rsidR="0011543F" w:rsidRPr="0037077E" w:rsidRDefault="0037077E" w:rsidP="00FF0B6A">
      <w:pPr>
        <w:spacing w:after="0"/>
        <w:ind w:firstLine="720"/>
        <w:jc w:val="both"/>
        <w:rPr>
          <w:rFonts w:ascii="Times New Roman" w:hAnsi="Times New Roman" w:cs="Times New Roman"/>
          <w:b/>
          <w:bCs/>
        </w:rPr>
      </w:pPr>
      <w:r w:rsidRPr="0037077E">
        <w:rPr>
          <w:rFonts w:ascii="Times New Roman" w:hAnsi="Times New Roman" w:cs="Times New Roman"/>
          <w:b/>
          <w:bCs/>
          <w:szCs w:val="22"/>
        </w:rPr>
        <w:t>.</w:t>
      </w:r>
    </w:p>
    <w:sectPr w:rsidR="0011543F" w:rsidRPr="0037077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C910" w14:textId="77777777" w:rsidR="00447E52" w:rsidRDefault="00447E52" w:rsidP="004E5587">
      <w:pPr>
        <w:spacing w:after="0" w:line="240" w:lineRule="auto"/>
      </w:pPr>
      <w:r>
        <w:separator/>
      </w:r>
    </w:p>
  </w:endnote>
  <w:endnote w:type="continuationSeparator" w:id="0">
    <w:p w14:paraId="5D87A76D" w14:textId="77777777" w:rsidR="00447E52" w:rsidRDefault="00447E52" w:rsidP="004E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icha Wide">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636" w14:textId="77777777" w:rsidR="004E5587" w:rsidRDefault="004E5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B954" w14:textId="77777777" w:rsidR="004E5587" w:rsidRDefault="004E5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2902" w14:textId="77777777" w:rsidR="004E5587" w:rsidRDefault="004E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65FD" w14:textId="77777777" w:rsidR="00447E52" w:rsidRDefault="00447E52" w:rsidP="004E5587">
      <w:pPr>
        <w:spacing w:after="0" w:line="240" w:lineRule="auto"/>
      </w:pPr>
      <w:r>
        <w:separator/>
      </w:r>
    </w:p>
  </w:footnote>
  <w:footnote w:type="continuationSeparator" w:id="0">
    <w:p w14:paraId="33F8635E" w14:textId="77777777" w:rsidR="00447E52" w:rsidRDefault="00447E52" w:rsidP="004E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7A02" w14:textId="67047DAD" w:rsidR="004E5587" w:rsidRDefault="004E5587">
    <w:pPr>
      <w:pStyle w:val="Header"/>
    </w:pPr>
    <w:r>
      <w:rPr>
        <w:noProof/>
      </w:rPr>
      <w:pict w14:anchorId="2505B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194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A6D2" w14:textId="30673C83" w:rsidR="004E5587" w:rsidRDefault="004E5587">
    <w:pPr>
      <w:pStyle w:val="Header"/>
    </w:pPr>
    <w:r>
      <w:rPr>
        <w:noProof/>
      </w:rPr>
      <w:pict w14:anchorId="0D708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194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9DE6" w14:textId="74E2DB04" w:rsidR="004E5587" w:rsidRDefault="004E5587">
    <w:pPr>
      <w:pStyle w:val="Header"/>
    </w:pPr>
    <w:r>
      <w:rPr>
        <w:noProof/>
      </w:rPr>
      <w:pict w14:anchorId="1053A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1943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CF0"/>
    <w:multiLevelType w:val="multilevel"/>
    <w:tmpl w:val="3AB0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37156"/>
    <w:multiLevelType w:val="multilevel"/>
    <w:tmpl w:val="7DB2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77187F"/>
    <w:multiLevelType w:val="multilevel"/>
    <w:tmpl w:val="0A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9510623">
    <w:abstractNumId w:val="0"/>
  </w:num>
  <w:num w:numId="2" w16cid:durableId="1153789524">
    <w:abstractNumId w:val="1"/>
  </w:num>
  <w:num w:numId="3" w16cid:durableId="24522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F9B"/>
    <w:rsid w:val="000A15A5"/>
    <w:rsid w:val="000D0C6E"/>
    <w:rsid w:val="0011543F"/>
    <w:rsid w:val="00117230"/>
    <w:rsid w:val="00120F52"/>
    <w:rsid w:val="00196842"/>
    <w:rsid w:val="001D7DFF"/>
    <w:rsid w:val="002158C9"/>
    <w:rsid w:val="002A755F"/>
    <w:rsid w:val="002D0F34"/>
    <w:rsid w:val="00312349"/>
    <w:rsid w:val="003408F3"/>
    <w:rsid w:val="00340E01"/>
    <w:rsid w:val="0037077E"/>
    <w:rsid w:val="003D2F9B"/>
    <w:rsid w:val="003F0996"/>
    <w:rsid w:val="00447E52"/>
    <w:rsid w:val="0046016C"/>
    <w:rsid w:val="004A4FE7"/>
    <w:rsid w:val="004B4B5A"/>
    <w:rsid w:val="004E5587"/>
    <w:rsid w:val="00501EBC"/>
    <w:rsid w:val="005458B6"/>
    <w:rsid w:val="00591700"/>
    <w:rsid w:val="00591A78"/>
    <w:rsid w:val="005D5DFD"/>
    <w:rsid w:val="006A233C"/>
    <w:rsid w:val="006E2A63"/>
    <w:rsid w:val="00782092"/>
    <w:rsid w:val="00811E8B"/>
    <w:rsid w:val="00883882"/>
    <w:rsid w:val="008F4C1D"/>
    <w:rsid w:val="00946EF8"/>
    <w:rsid w:val="009E0610"/>
    <w:rsid w:val="00A4613B"/>
    <w:rsid w:val="00A9063E"/>
    <w:rsid w:val="00AA340E"/>
    <w:rsid w:val="00AB3576"/>
    <w:rsid w:val="00AD008C"/>
    <w:rsid w:val="00B06768"/>
    <w:rsid w:val="00B15F80"/>
    <w:rsid w:val="00B3793A"/>
    <w:rsid w:val="00BD4008"/>
    <w:rsid w:val="00C110DE"/>
    <w:rsid w:val="00C210B5"/>
    <w:rsid w:val="00C27A68"/>
    <w:rsid w:val="00C95CE0"/>
    <w:rsid w:val="00CC5CF3"/>
    <w:rsid w:val="00D04E7C"/>
    <w:rsid w:val="00D552F3"/>
    <w:rsid w:val="00DA72F5"/>
    <w:rsid w:val="00DC177F"/>
    <w:rsid w:val="00DD2EF0"/>
    <w:rsid w:val="00DE5218"/>
    <w:rsid w:val="00E22EC9"/>
    <w:rsid w:val="00EB47D2"/>
    <w:rsid w:val="00EE139B"/>
    <w:rsid w:val="00F0475E"/>
    <w:rsid w:val="00F734E3"/>
    <w:rsid w:val="00F85572"/>
    <w:rsid w:val="00FF0B6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A485"/>
  <w15:docId w15:val="{2EA6E6AC-CF18-4B07-9E31-1D601A68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33C"/>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6A233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B15F8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340E"/>
    <w:rPr>
      <w:b/>
      <w:bCs/>
    </w:rPr>
  </w:style>
  <w:style w:type="character" w:styleId="Emphasis">
    <w:name w:val="Emphasis"/>
    <w:basedOn w:val="DefaultParagraphFont"/>
    <w:uiPriority w:val="20"/>
    <w:qFormat/>
    <w:rsid w:val="00AA340E"/>
    <w:rPr>
      <w:i/>
      <w:iCs/>
    </w:rPr>
  </w:style>
  <w:style w:type="character" w:customStyle="1" w:styleId="Heading3Char">
    <w:name w:val="Heading 3 Char"/>
    <w:basedOn w:val="DefaultParagraphFont"/>
    <w:link w:val="Heading3"/>
    <w:uiPriority w:val="9"/>
    <w:rsid w:val="00B15F80"/>
    <w:rPr>
      <w:rFonts w:ascii="Times New Roman" w:eastAsia="Times New Roman" w:hAnsi="Times New Roman" w:cs="Times New Roman"/>
      <w:b/>
      <w:bCs/>
      <w:sz w:val="27"/>
      <w:szCs w:val="27"/>
      <w:lang w:eastAsia="en-IN"/>
    </w:rPr>
  </w:style>
  <w:style w:type="table" w:styleId="TableGrid">
    <w:name w:val="Table Grid"/>
    <w:basedOn w:val="TableNormal"/>
    <w:uiPriority w:val="59"/>
    <w:rsid w:val="00591700"/>
    <w:pPr>
      <w:spacing w:after="0" w:line="240" w:lineRule="auto"/>
    </w:pPr>
    <w:rPr>
      <w:rFonts w:ascii="Richa Wide" w:hAnsi="Richa Wide"/>
      <w:sz w:val="32"/>
      <w:szCs w:val="3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E2A63"/>
    <w:pPr>
      <w:ind w:left="720"/>
      <w:contextualSpacing/>
    </w:pPr>
  </w:style>
  <w:style w:type="paragraph" w:styleId="BalloonText">
    <w:name w:val="Balloon Text"/>
    <w:basedOn w:val="Normal"/>
    <w:link w:val="BalloonTextChar"/>
    <w:uiPriority w:val="99"/>
    <w:semiHidden/>
    <w:unhideWhenUsed/>
    <w:rsid w:val="0037077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7077E"/>
    <w:rPr>
      <w:rFonts w:ascii="Tahoma" w:hAnsi="Tahoma" w:cs="Mangal"/>
      <w:sz w:val="16"/>
      <w:szCs w:val="14"/>
    </w:rPr>
  </w:style>
  <w:style w:type="character" w:customStyle="1" w:styleId="Heading1Char">
    <w:name w:val="Heading 1 Char"/>
    <w:basedOn w:val="DefaultParagraphFont"/>
    <w:link w:val="Heading1"/>
    <w:uiPriority w:val="9"/>
    <w:rsid w:val="006A233C"/>
    <w:rPr>
      <w:rFonts w:asciiTheme="majorHAnsi" w:eastAsiaTheme="majorEastAsia" w:hAnsiTheme="majorHAnsi" w:cstheme="majorBidi"/>
      <w:b/>
      <w:bCs/>
      <w:color w:val="365F91" w:themeColor="accent1" w:themeShade="BF"/>
      <w:sz w:val="28"/>
      <w:szCs w:val="25"/>
    </w:rPr>
  </w:style>
  <w:style w:type="character" w:customStyle="1" w:styleId="title-text">
    <w:name w:val="title-text"/>
    <w:basedOn w:val="DefaultParagraphFont"/>
    <w:rsid w:val="006A233C"/>
  </w:style>
  <w:style w:type="character" w:customStyle="1" w:styleId="sr-only">
    <w:name w:val="sr-only"/>
    <w:basedOn w:val="DefaultParagraphFont"/>
    <w:rsid w:val="006A233C"/>
  </w:style>
  <w:style w:type="character" w:customStyle="1" w:styleId="react-xocs-alternative-link">
    <w:name w:val="react-xocs-alternative-link"/>
    <w:basedOn w:val="DefaultParagraphFont"/>
    <w:rsid w:val="006A233C"/>
  </w:style>
  <w:style w:type="character" w:customStyle="1" w:styleId="given-name">
    <w:name w:val="given-name"/>
    <w:basedOn w:val="DefaultParagraphFont"/>
    <w:rsid w:val="006A233C"/>
  </w:style>
  <w:style w:type="character" w:customStyle="1" w:styleId="text">
    <w:name w:val="text"/>
    <w:basedOn w:val="DefaultParagraphFont"/>
    <w:rsid w:val="006A233C"/>
  </w:style>
  <w:style w:type="character" w:customStyle="1" w:styleId="author-ref">
    <w:name w:val="author-ref"/>
    <w:basedOn w:val="DefaultParagraphFont"/>
    <w:rsid w:val="006A233C"/>
  </w:style>
  <w:style w:type="character" w:customStyle="1" w:styleId="Heading2Char">
    <w:name w:val="Heading 2 Char"/>
    <w:basedOn w:val="DefaultParagraphFont"/>
    <w:link w:val="Heading2"/>
    <w:uiPriority w:val="9"/>
    <w:semiHidden/>
    <w:rsid w:val="006A233C"/>
    <w:rPr>
      <w:rFonts w:asciiTheme="majorHAnsi" w:eastAsiaTheme="majorEastAsia" w:hAnsiTheme="majorHAnsi" w:cstheme="majorBidi"/>
      <w:b/>
      <w:bCs/>
      <w:color w:val="4F81BD" w:themeColor="accent1"/>
      <w:sz w:val="26"/>
      <w:szCs w:val="23"/>
    </w:rPr>
  </w:style>
  <w:style w:type="character" w:customStyle="1" w:styleId="anchor-text">
    <w:name w:val="anchor-text"/>
    <w:basedOn w:val="DefaultParagraphFont"/>
    <w:rsid w:val="006A233C"/>
  </w:style>
  <w:style w:type="character" w:styleId="HTMLCite">
    <w:name w:val="HTML Cite"/>
    <w:basedOn w:val="DefaultParagraphFont"/>
    <w:uiPriority w:val="99"/>
    <w:semiHidden/>
    <w:unhideWhenUsed/>
    <w:rsid w:val="005458B6"/>
    <w:rPr>
      <w:i/>
      <w:iCs/>
    </w:rPr>
  </w:style>
  <w:style w:type="character" w:styleId="Hyperlink">
    <w:name w:val="Hyperlink"/>
    <w:basedOn w:val="DefaultParagraphFont"/>
    <w:uiPriority w:val="99"/>
    <w:unhideWhenUsed/>
    <w:rsid w:val="00AD008C"/>
    <w:rPr>
      <w:color w:val="0000FF"/>
      <w:u w:val="single"/>
    </w:rPr>
  </w:style>
  <w:style w:type="character" w:customStyle="1" w:styleId="name">
    <w:name w:val="name"/>
    <w:basedOn w:val="DefaultParagraphFont"/>
    <w:rsid w:val="00AD008C"/>
  </w:style>
  <w:style w:type="paragraph" w:styleId="Header">
    <w:name w:val="header"/>
    <w:basedOn w:val="Normal"/>
    <w:link w:val="HeaderChar"/>
    <w:uiPriority w:val="99"/>
    <w:unhideWhenUsed/>
    <w:rsid w:val="004E5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587"/>
  </w:style>
  <w:style w:type="paragraph" w:styleId="Footer">
    <w:name w:val="footer"/>
    <w:basedOn w:val="Normal"/>
    <w:link w:val="FooterChar"/>
    <w:uiPriority w:val="99"/>
    <w:unhideWhenUsed/>
    <w:rsid w:val="004E5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356">
      <w:bodyDiv w:val="1"/>
      <w:marLeft w:val="0"/>
      <w:marRight w:val="0"/>
      <w:marTop w:val="0"/>
      <w:marBottom w:val="0"/>
      <w:divBdr>
        <w:top w:val="none" w:sz="0" w:space="0" w:color="auto"/>
        <w:left w:val="none" w:sz="0" w:space="0" w:color="auto"/>
        <w:bottom w:val="none" w:sz="0" w:space="0" w:color="auto"/>
        <w:right w:val="none" w:sz="0" w:space="0" w:color="auto"/>
      </w:divBdr>
    </w:div>
    <w:div w:id="794251367">
      <w:bodyDiv w:val="1"/>
      <w:marLeft w:val="0"/>
      <w:marRight w:val="0"/>
      <w:marTop w:val="0"/>
      <w:marBottom w:val="0"/>
      <w:divBdr>
        <w:top w:val="none" w:sz="0" w:space="0" w:color="auto"/>
        <w:left w:val="none" w:sz="0" w:space="0" w:color="auto"/>
        <w:bottom w:val="none" w:sz="0" w:space="0" w:color="auto"/>
        <w:right w:val="none" w:sz="0" w:space="0" w:color="auto"/>
      </w:divBdr>
    </w:div>
    <w:div w:id="846019124">
      <w:bodyDiv w:val="1"/>
      <w:marLeft w:val="0"/>
      <w:marRight w:val="0"/>
      <w:marTop w:val="0"/>
      <w:marBottom w:val="0"/>
      <w:divBdr>
        <w:top w:val="none" w:sz="0" w:space="0" w:color="auto"/>
        <w:left w:val="none" w:sz="0" w:space="0" w:color="auto"/>
        <w:bottom w:val="none" w:sz="0" w:space="0" w:color="auto"/>
        <w:right w:val="none" w:sz="0" w:space="0" w:color="auto"/>
      </w:divBdr>
      <w:divsChild>
        <w:div w:id="1663464374">
          <w:marLeft w:val="0"/>
          <w:marRight w:val="0"/>
          <w:marTop w:val="0"/>
          <w:marBottom w:val="120"/>
          <w:divBdr>
            <w:top w:val="none" w:sz="0" w:space="0" w:color="auto"/>
            <w:left w:val="none" w:sz="0" w:space="0" w:color="auto"/>
            <w:bottom w:val="none" w:sz="0" w:space="0" w:color="auto"/>
            <w:right w:val="none" w:sz="0" w:space="0" w:color="auto"/>
          </w:divBdr>
          <w:divsChild>
            <w:div w:id="739181264">
              <w:marLeft w:val="0"/>
              <w:marRight w:val="0"/>
              <w:marTop w:val="0"/>
              <w:marBottom w:val="0"/>
              <w:divBdr>
                <w:top w:val="none" w:sz="0" w:space="0" w:color="auto"/>
                <w:left w:val="none" w:sz="0" w:space="0" w:color="auto"/>
                <w:bottom w:val="none" w:sz="0" w:space="0" w:color="auto"/>
                <w:right w:val="none" w:sz="0" w:space="0" w:color="auto"/>
              </w:divBdr>
              <w:divsChild>
                <w:div w:id="1827236953">
                  <w:marLeft w:val="0"/>
                  <w:marRight w:val="0"/>
                  <w:marTop w:val="0"/>
                  <w:marBottom w:val="0"/>
                  <w:divBdr>
                    <w:top w:val="none" w:sz="0" w:space="0" w:color="auto"/>
                    <w:left w:val="none" w:sz="0" w:space="0" w:color="auto"/>
                    <w:bottom w:val="none" w:sz="0" w:space="0" w:color="auto"/>
                    <w:right w:val="none" w:sz="0" w:space="0" w:color="auto"/>
                  </w:divBdr>
                  <w:divsChild>
                    <w:div w:id="207461574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225027580">
      <w:bodyDiv w:val="1"/>
      <w:marLeft w:val="0"/>
      <w:marRight w:val="0"/>
      <w:marTop w:val="0"/>
      <w:marBottom w:val="0"/>
      <w:divBdr>
        <w:top w:val="none" w:sz="0" w:space="0" w:color="auto"/>
        <w:left w:val="none" w:sz="0" w:space="0" w:color="auto"/>
        <w:bottom w:val="none" w:sz="0" w:space="0" w:color="auto"/>
        <w:right w:val="none" w:sz="0" w:space="0" w:color="auto"/>
      </w:divBdr>
    </w:div>
    <w:div w:id="1293634394">
      <w:bodyDiv w:val="1"/>
      <w:marLeft w:val="0"/>
      <w:marRight w:val="0"/>
      <w:marTop w:val="0"/>
      <w:marBottom w:val="0"/>
      <w:divBdr>
        <w:top w:val="none" w:sz="0" w:space="0" w:color="auto"/>
        <w:left w:val="none" w:sz="0" w:space="0" w:color="auto"/>
        <w:bottom w:val="none" w:sz="0" w:space="0" w:color="auto"/>
        <w:right w:val="none" w:sz="0" w:space="0" w:color="auto"/>
      </w:divBdr>
      <w:divsChild>
        <w:div w:id="742875501">
          <w:marLeft w:val="0"/>
          <w:marRight w:val="0"/>
          <w:marTop w:val="0"/>
          <w:marBottom w:val="0"/>
          <w:divBdr>
            <w:top w:val="none" w:sz="0" w:space="0" w:color="auto"/>
            <w:left w:val="none" w:sz="0" w:space="0" w:color="auto"/>
            <w:bottom w:val="none" w:sz="0" w:space="0" w:color="auto"/>
            <w:right w:val="none" w:sz="0" w:space="0" w:color="auto"/>
          </w:divBdr>
        </w:div>
        <w:div w:id="57368678">
          <w:marLeft w:val="0"/>
          <w:marRight w:val="0"/>
          <w:marTop w:val="0"/>
          <w:marBottom w:val="0"/>
          <w:divBdr>
            <w:top w:val="none" w:sz="0" w:space="0" w:color="auto"/>
            <w:left w:val="none" w:sz="0" w:space="0" w:color="auto"/>
            <w:bottom w:val="none" w:sz="0" w:space="0" w:color="auto"/>
            <w:right w:val="none" w:sz="0" w:space="0" w:color="auto"/>
          </w:divBdr>
          <w:divsChild>
            <w:div w:id="116224034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983236914">
          <w:marLeft w:val="0"/>
          <w:marRight w:val="0"/>
          <w:marTop w:val="0"/>
          <w:marBottom w:val="120"/>
          <w:divBdr>
            <w:top w:val="none" w:sz="0" w:space="0" w:color="auto"/>
            <w:left w:val="none" w:sz="0" w:space="0" w:color="auto"/>
            <w:bottom w:val="single" w:sz="12" w:space="9" w:color="F0F0F0"/>
            <w:right w:val="none" w:sz="0" w:space="0" w:color="auto"/>
          </w:divBdr>
          <w:divsChild>
            <w:div w:id="2091779354">
              <w:marLeft w:val="0"/>
              <w:marRight w:val="0"/>
              <w:marTop w:val="100"/>
              <w:marBottom w:val="100"/>
              <w:divBdr>
                <w:top w:val="none" w:sz="0" w:space="0" w:color="auto"/>
                <w:left w:val="none" w:sz="0" w:space="0" w:color="auto"/>
                <w:bottom w:val="none" w:sz="0" w:space="0" w:color="auto"/>
                <w:right w:val="none" w:sz="0" w:space="0" w:color="auto"/>
              </w:divBdr>
              <w:divsChild>
                <w:div w:id="21360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50457">
      <w:bodyDiv w:val="1"/>
      <w:marLeft w:val="0"/>
      <w:marRight w:val="0"/>
      <w:marTop w:val="0"/>
      <w:marBottom w:val="0"/>
      <w:divBdr>
        <w:top w:val="none" w:sz="0" w:space="0" w:color="auto"/>
        <w:left w:val="none" w:sz="0" w:space="0" w:color="auto"/>
        <w:bottom w:val="none" w:sz="0" w:space="0" w:color="auto"/>
        <w:right w:val="none" w:sz="0" w:space="0" w:color="auto"/>
      </w:divBdr>
    </w:div>
    <w:div w:id="1745954740">
      <w:bodyDiv w:val="1"/>
      <w:marLeft w:val="0"/>
      <w:marRight w:val="0"/>
      <w:marTop w:val="0"/>
      <w:marBottom w:val="0"/>
      <w:divBdr>
        <w:top w:val="none" w:sz="0" w:space="0" w:color="auto"/>
        <w:left w:val="none" w:sz="0" w:space="0" w:color="auto"/>
        <w:bottom w:val="none" w:sz="0" w:space="0" w:color="auto"/>
        <w:right w:val="none" w:sz="0" w:space="0" w:color="auto"/>
      </w:divBdr>
    </w:div>
    <w:div w:id="21027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toxicology-reports" TargetMode="External"/><Relationship Id="rId13" Type="http://schemas.openxmlformats.org/officeDocument/2006/relationships/hyperlink" Target="https://doi.org/10.1016/j.toxrep.2024.10178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direct.com/journal/environmental-research" TargetMode="External"/><Relationship Id="rId12" Type="http://schemas.openxmlformats.org/officeDocument/2006/relationships/hyperlink" Target="https://pubmed.ncbi.nlm.nih.gov/?term=%22Dutta%20SM%22%5BAuthor%5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Saha%20R%22%5BAuthor%5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toxrep.2021.02.01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direct.com/journal/toxicology-reports/vol/8/suppl/C"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4082</TotalTime>
  <Pages>7</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Editor-22</cp:lastModifiedBy>
  <cp:revision>61</cp:revision>
  <dcterms:created xsi:type="dcterms:W3CDTF">2025-04-25T10:40:00Z</dcterms:created>
  <dcterms:modified xsi:type="dcterms:W3CDTF">2025-04-28T13:39:00Z</dcterms:modified>
</cp:coreProperties>
</file>