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5485" w14:textId="77777777" w:rsidR="004602EE" w:rsidRPr="004602EE" w:rsidRDefault="004602EE" w:rsidP="004602EE">
      <w:pPr>
        <w:spacing w:after="0" w:line="360" w:lineRule="auto"/>
        <w:jc w:val="center"/>
        <w:rPr>
          <w:rFonts w:ascii="Times New Roman" w:hAnsi="Times New Roman" w:cs="Times New Roman"/>
          <w:b/>
          <w:bCs/>
          <w:i/>
          <w:iCs/>
          <w:sz w:val="28"/>
          <w:szCs w:val="24"/>
          <w:u w:val="single"/>
        </w:rPr>
      </w:pPr>
      <w:r w:rsidRPr="004602EE">
        <w:rPr>
          <w:rFonts w:ascii="Times New Roman" w:hAnsi="Times New Roman" w:cs="Times New Roman"/>
          <w:b/>
          <w:bCs/>
          <w:i/>
          <w:iCs/>
          <w:sz w:val="28"/>
          <w:szCs w:val="24"/>
          <w:u w:val="single"/>
        </w:rPr>
        <w:t>Original Research Article</w:t>
      </w:r>
    </w:p>
    <w:p w14:paraId="0D0522FD" w14:textId="77777777" w:rsidR="004602EE" w:rsidRDefault="004602EE" w:rsidP="00CD23AA">
      <w:pPr>
        <w:spacing w:after="0" w:line="360" w:lineRule="auto"/>
        <w:jc w:val="center"/>
        <w:rPr>
          <w:rFonts w:ascii="Times New Roman" w:hAnsi="Times New Roman" w:cs="Times New Roman"/>
          <w:b/>
          <w:bCs/>
          <w:sz w:val="28"/>
          <w:szCs w:val="24"/>
        </w:rPr>
      </w:pPr>
    </w:p>
    <w:p w14:paraId="0C313211" w14:textId="44A1C4BB" w:rsidR="00E33CCE" w:rsidRPr="00B866B7" w:rsidRDefault="00E33CCE" w:rsidP="00CD23AA">
      <w:pPr>
        <w:spacing w:after="0" w:line="360" w:lineRule="auto"/>
        <w:jc w:val="center"/>
        <w:rPr>
          <w:rFonts w:ascii="Times New Roman" w:hAnsi="Times New Roman" w:cs="Times New Roman"/>
          <w:b/>
          <w:bCs/>
          <w:sz w:val="28"/>
          <w:szCs w:val="24"/>
        </w:rPr>
      </w:pPr>
      <w:r w:rsidRPr="00B866B7">
        <w:rPr>
          <w:rFonts w:ascii="Times New Roman" w:hAnsi="Times New Roman" w:cs="Times New Roman"/>
          <w:b/>
          <w:bCs/>
          <w:sz w:val="28"/>
          <w:szCs w:val="24"/>
        </w:rPr>
        <w:t xml:space="preserve">Effect of new generation fungicides against </w:t>
      </w:r>
      <w:r w:rsidRPr="00B866B7">
        <w:rPr>
          <w:rFonts w:ascii="Times New Roman" w:hAnsi="Times New Roman" w:cs="Times New Roman"/>
          <w:b/>
          <w:bCs/>
          <w:i/>
          <w:iCs/>
          <w:sz w:val="28"/>
          <w:szCs w:val="24"/>
        </w:rPr>
        <w:t xml:space="preserve">Fusarium </w:t>
      </w:r>
      <w:proofErr w:type="spellStart"/>
      <w:r w:rsidRPr="00B866B7">
        <w:rPr>
          <w:rFonts w:ascii="Times New Roman" w:hAnsi="Times New Roman" w:cs="Times New Roman"/>
          <w:b/>
          <w:bCs/>
          <w:i/>
          <w:iCs/>
          <w:sz w:val="28"/>
          <w:szCs w:val="24"/>
        </w:rPr>
        <w:t>solani</w:t>
      </w:r>
      <w:proofErr w:type="spellEnd"/>
      <w:r w:rsidRPr="00B866B7">
        <w:rPr>
          <w:rFonts w:ascii="Times New Roman" w:hAnsi="Times New Roman" w:cs="Times New Roman"/>
          <w:b/>
          <w:bCs/>
          <w:i/>
          <w:iCs/>
          <w:sz w:val="28"/>
          <w:szCs w:val="24"/>
        </w:rPr>
        <w:t xml:space="preserve"> </w:t>
      </w:r>
      <w:r w:rsidRPr="00B866B7">
        <w:rPr>
          <w:rFonts w:ascii="Times New Roman" w:hAnsi="Times New Roman" w:cs="Times New Roman"/>
          <w:b/>
          <w:bCs/>
          <w:sz w:val="28"/>
          <w:szCs w:val="24"/>
        </w:rPr>
        <w:t xml:space="preserve">causing </w:t>
      </w:r>
      <w:r w:rsidR="007B248D" w:rsidRPr="00B866B7">
        <w:rPr>
          <w:rFonts w:ascii="Times New Roman" w:hAnsi="Times New Roman" w:cs="Times New Roman"/>
          <w:b/>
          <w:bCs/>
          <w:sz w:val="28"/>
          <w:szCs w:val="24"/>
        </w:rPr>
        <w:t>r</w:t>
      </w:r>
      <w:r w:rsidRPr="00B866B7">
        <w:rPr>
          <w:rFonts w:ascii="Times New Roman" w:hAnsi="Times New Roman" w:cs="Times New Roman"/>
          <w:b/>
          <w:bCs/>
          <w:sz w:val="28"/>
          <w:szCs w:val="24"/>
        </w:rPr>
        <w:t>oot rot of Papaya</w:t>
      </w:r>
      <w:r w:rsidR="0022373D" w:rsidRPr="00B866B7">
        <w:rPr>
          <w:rFonts w:ascii="Times New Roman" w:hAnsi="Times New Roman" w:cs="Times New Roman"/>
          <w:b/>
          <w:bCs/>
          <w:sz w:val="28"/>
          <w:szCs w:val="24"/>
        </w:rPr>
        <w:t xml:space="preserve"> (</w:t>
      </w:r>
      <w:r w:rsidR="0022373D" w:rsidRPr="00B866B7">
        <w:rPr>
          <w:rFonts w:ascii="Times New Roman" w:hAnsi="Times New Roman" w:cs="Times New Roman"/>
          <w:b/>
          <w:bCs/>
          <w:i/>
          <w:sz w:val="28"/>
          <w:szCs w:val="24"/>
        </w:rPr>
        <w:t>Carica papaya</w:t>
      </w:r>
      <w:r w:rsidR="0022373D" w:rsidRPr="00B866B7">
        <w:rPr>
          <w:rFonts w:ascii="Times New Roman" w:hAnsi="Times New Roman" w:cs="Times New Roman"/>
          <w:b/>
          <w:bCs/>
          <w:sz w:val="28"/>
          <w:szCs w:val="24"/>
        </w:rPr>
        <w:t xml:space="preserve"> L.)</w:t>
      </w:r>
    </w:p>
    <w:p w14:paraId="7460E215" w14:textId="77777777" w:rsidR="00E33CCE" w:rsidRPr="00B866B7" w:rsidRDefault="00E33CCE" w:rsidP="00CD23AA">
      <w:pPr>
        <w:suppressLineNumbers/>
        <w:spacing w:after="0" w:line="360" w:lineRule="auto"/>
        <w:jc w:val="both"/>
        <w:rPr>
          <w:rFonts w:ascii="Times New Roman" w:hAnsi="Times New Roman" w:cs="Times New Roman"/>
          <w:b/>
          <w:bCs/>
          <w:sz w:val="24"/>
          <w:szCs w:val="24"/>
        </w:rPr>
      </w:pPr>
    </w:p>
    <w:p w14:paraId="29ABEE9B" w14:textId="77777777" w:rsidR="00AD1AC6" w:rsidRDefault="00AD1AC6" w:rsidP="00CD23AA">
      <w:pPr>
        <w:pStyle w:val="NormalWeb"/>
        <w:spacing w:line="360" w:lineRule="auto"/>
        <w:jc w:val="both"/>
        <w:rPr>
          <w:b/>
        </w:rPr>
      </w:pPr>
    </w:p>
    <w:p w14:paraId="081D6319" w14:textId="7B19D922" w:rsidR="005B2AE7" w:rsidRPr="00B866B7" w:rsidRDefault="005B2AE7" w:rsidP="00CD23AA">
      <w:pPr>
        <w:pStyle w:val="NormalWeb"/>
        <w:spacing w:line="360" w:lineRule="auto"/>
        <w:jc w:val="both"/>
        <w:rPr>
          <w:b/>
        </w:rPr>
      </w:pPr>
      <w:r w:rsidRPr="00B866B7">
        <w:rPr>
          <w:b/>
        </w:rPr>
        <w:t xml:space="preserve">Abstract </w:t>
      </w:r>
    </w:p>
    <w:p w14:paraId="6A6F71B9" w14:textId="77777777" w:rsidR="00594957" w:rsidRPr="00B866B7" w:rsidRDefault="00594957" w:rsidP="00CD23AA">
      <w:pPr>
        <w:pStyle w:val="NormalWeb"/>
        <w:spacing w:line="360" w:lineRule="auto"/>
        <w:jc w:val="both"/>
      </w:pPr>
      <w:r w:rsidRPr="00B866B7">
        <w:t xml:space="preserve">The persistent challenge of root rot, exacerbated by inadequate control measures, underscores the necessity for innovative disease management strategies. The advent of new-generation fungicides marks a significant progression in the management of plant diseases, particularly root rot in papaya. These fungicides are engineered for more precise action, demonstrating enhanced efficacy at lower application rates while minimizing environmental repercussions compared to conventional fungicides. Their development is a response to the escalating issue of resistance among fungal pathogens and the imperative for sustainable agricultural practices. This research was conducted during the 2022-23 period at the ICAR-AICRP on Fruits experimental field and the Fruit Pathology Laboratory at RPCAU Pusa, Bihar, India. In this study, ten distinct new-generation fungicides were assessed in vitro at varying concentrations of 50, 100, 150, 250, and 500 ppm against Fusarium </w:t>
      </w:r>
      <w:proofErr w:type="spellStart"/>
      <w:r w:rsidRPr="00B866B7">
        <w:t>solani</w:t>
      </w:r>
      <w:proofErr w:type="spellEnd"/>
      <w:r w:rsidRPr="00B866B7">
        <w:t xml:space="preserve">, the causative agent of root rot in papaya, utilizing the poisoned food technique. The combination of </w:t>
      </w:r>
      <w:proofErr w:type="spellStart"/>
      <w:r w:rsidRPr="00B866B7">
        <w:t>Metalaxyl</w:t>
      </w:r>
      <w:proofErr w:type="spellEnd"/>
      <w:r w:rsidRPr="00B866B7">
        <w:t xml:space="preserve"> and Mancozeb at 100 ppm emerged as the most effective treatment, achieving a 93.41% inhibition rate compared to the control, while Tebuconazole at the same concentration resulted in a 91.18% inhibition. Conversely, Fosetyl-Al at 100 ppm was the least effective, exhibiting only a 25.92% inhibition rate.</w:t>
      </w:r>
    </w:p>
    <w:p w14:paraId="506AB686" w14:textId="77777777" w:rsidR="0031507A" w:rsidRPr="00B866B7" w:rsidRDefault="0031507A" w:rsidP="00CD23AA">
      <w:pPr>
        <w:pStyle w:val="NormalWeb"/>
        <w:spacing w:line="360" w:lineRule="auto"/>
        <w:jc w:val="both"/>
      </w:pPr>
      <w:r w:rsidRPr="00B866B7">
        <w:rPr>
          <w:b/>
          <w:bCs/>
        </w:rPr>
        <w:t xml:space="preserve">Keywords: </w:t>
      </w:r>
      <w:r w:rsidR="001E4E9E" w:rsidRPr="00B866B7">
        <w:rPr>
          <w:i/>
          <w:iCs/>
        </w:rPr>
        <w:t xml:space="preserve">Fusarium </w:t>
      </w:r>
      <w:proofErr w:type="spellStart"/>
      <w:r w:rsidR="001E4E9E" w:rsidRPr="00B866B7">
        <w:rPr>
          <w:i/>
          <w:iCs/>
        </w:rPr>
        <w:t>solani</w:t>
      </w:r>
      <w:proofErr w:type="spellEnd"/>
      <w:r w:rsidR="001E4E9E" w:rsidRPr="00B866B7">
        <w:rPr>
          <w:i/>
          <w:iCs/>
        </w:rPr>
        <w:t>,</w:t>
      </w:r>
      <w:r w:rsidR="001E4E9E" w:rsidRPr="00B866B7">
        <w:rPr>
          <w:bCs/>
        </w:rPr>
        <w:t xml:space="preserve"> n</w:t>
      </w:r>
      <w:r w:rsidR="00066833" w:rsidRPr="00B866B7">
        <w:rPr>
          <w:bCs/>
        </w:rPr>
        <w:t xml:space="preserve">ew generation </w:t>
      </w:r>
      <w:r w:rsidR="00066833" w:rsidRPr="00B866B7">
        <w:t xml:space="preserve">fungicides, </w:t>
      </w:r>
      <w:r w:rsidR="001E4E9E" w:rsidRPr="00B866B7">
        <w:t>r</w:t>
      </w:r>
      <w:r w:rsidRPr="00B866B7">
        <w:t>oot rot,</w:t>
      </w:r>
      <w:r w:rsidRPr="00B866B7">
        <w:rPr>
          <w:iCs/>
        </w:rPr>
        <w:t xml:space="preserve"> </w:t>
      </w:r>
      <w:r w:rsidR="001E4E9E" w:rsidRPr="00B866B7">
        <w:rPr>
          <w:iCs/>
        </w:rPr>
        <w:t>m</w:t>
      </w:r>
      <w:r w:rsidR="00066833" w:rsidRPr="00B866B7">
        <w:rPr>
          <w:iCs/>
        </w:rPr>
        <w:t xml:space="preserve">ycelial </w:t>
      </w:r>
      <w:r w:rsidRPr="00B866B7">
        <w:t>inhibition</w:t>
      </w:r>
      <w:r w:rsidR="005B2AE7" w:rsidRPr="00B866B7">
        <w:t xml:space="preserve">, </w:t>
      </w:r>
      <w:r w:rsidR="001E4E9E" w:rsidRPr="00B866B7">
        <w:t>p</w:t>
      </w:r>
      <w:r w:rsidR="005B2AE7" w:rsidRPr="00B866B7">
        <w:t>apaya</w:t>
      </w:r>
    </w:p>
    <w:p w14:paraId="28E9173C" w14:textId="77777777" w:rsidR="00DC6531" w:rsidRPr="00B866B7" w:rsidRDefault="001E4E9E"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Introduction</w:t>
      </w:r>
    </w:p>
    <w:p w14:paraId="112D297F" w14:textId="77777777" w:rsidR="008C4290" w:rsidRPr="00B866B7" w:rsidRDefault="008C4290" w:rsidP="00CD23AA">
      <w:pPr>
        <w:spacing w:line="360" w:lineRule="auto"/>
        <w:jc w:val="both"/>
        <w:rPr>
          <w:rFonts w:ascii="Times New Roman" w:eastAsia="Times New Roman" w:hAnsi="Times New Roman" w:cs="Times New Roman"/>
          <w:sz w:val="24"/>
          <w:szCs w:val="24"/>
        </w:rPr>
      </w:pPr>
      <w:r w:rsidRPr="00B866B7">
        <w:rPr>
          <w:rFonts w:ascii="Times New Roman" w:eastAsia="Times New Roman" w:hAnsi="Times New Roman" w:cs="Times New Roman"/>
          <w:i/>
          <w:sz w:val="24"/>
          <w:szCs w:val="24"/>
        </w:rPr>
        <w:t>Carica papaya</w:t>
      </w:r>
      <w:r w:rsidRPr="00B866B7">
        <w:rPr>
          <w:rFonts w:ascii="Times New Roman" w:eastAsia="Times New Roman" w:hAnsi="Times New Roman" w:cs="Times New Roman"/>
          <w:sz w:val="24"/>
          <w:szCs w:val="24"/>
        </w:rPr>
        <w:t xml:space="preserve"> is a widely recognized tropical fruit that is classified within the </w:t>
      </w:r>
      <w:proofErr w:type="spellStart"/>
      <w:r w:rsidRPr="00B866B7">
        <w:rPr>
          <w:rFonts w:ascii="Times New Roman" w:eastAsia="Times New Roman" w:hAnsi="Times New Roman" w:cs="Times New Roman"/>
          <w:sz w:val="24"/>
          <w:szCs w:val="24"/>
        </w:rPr>
        <w:t>Caricaceae</w:t>
      </w:r>
      <w:proofErr w:type="spellEnd"/>
      <w:r w:rsidRPr="00B866B7">
        <w:rPr>
          <w:rFonts w:ascii="Times New Roman" w:eastAsia="Times New Roman" w:hAnsi="Times New Roman" w:cs="Times New Roman"/>
          <w:sz w:val="24"/>
          <w:szCs w:val="24"/>
        </w:rPr>
        <w:t xml:space="preserve"> family (</w:t>
      </w:r>
      <w:r w:rsidR="00B46379" w:rsidRPr="00B866B7">
        <w:rPr>
          <w:rFonts w:ascii="Times New Roman" w:eastAsia="Times New Roman" w:hAnsi="Times New Roman" w:cs="Times New Roman"/>
          <w:sz w:val="24"/>
          <w:szCs w:val="24"/>
        </w:rPr>
        <w:t>Wang et al., 2025</w:t>
      </w:r>
      <w:r w:rsidRPr="00B866B7">
        <w:rPr>
          <w:rFonts w:ascii="Times New Roman" w:eastAsia="Times New Roman" w:hAnsi="Times New Roman" w:cs="Times New Roman"/>
          <w:sz w:val="24"/>
          <w:szCs w:val="24"/>
        </w:rPr>
        <w:t xml:space="preserve">). Among the 21 species in the Carica genus, five—namely </w:t>
      </w:r>
      <w:r w:rsidRPr="00B866B7">
        <w:rPr>
          <w:rFonts w:ascii="Times New Roman" w:eastAsia="Times New Roman" w:hAnsi="Times New Roman" w:cs="Times New Roman"/>
          <w:i/>
          <w:sz w:val="24"/>
          <w:szCs w:val="24"/>
        </w:rPr>
        <w:t>C. papaya</w:t>
      </w:r>
      <w:r w:rsidRPr="00B866B7">
        <w:rPr>
          <w:rFonts w:ascii="Times New Roman" w:eastAsia="Times New Roman" w:hAnsi="Times New Roman" w:cs="Times New Roman"/>
          <w:sz w:val="24"/>
          <w:szCs w:val="24"/>
        </w:rPr>
        <w:t xml:space="preserve">, </w:t>
      </w:r>
      <w:r w:rsidRPr="00B866B7">
        <w:rPr>
          <w:rFonts w:ascii="Times New Roman" w:eastAsia="Times New Roman" w:hAnsi="Times New Roman" w:cs="Times New Roman"/>
          <w:i/>
          <w:sz w:val="24"/>
          <w:szCs w:val="24"/>
        </w:rPr>
        <w:t>C. chilensis</w:t>
      </w:r>
      <w:r w:rsidRPr="00B866B7">
        <w:rPr>
          <w:rFonts w:ascii="Times New Roman" w:eastAsia="Times New Roman" w:hAnsi="Times New Roman" w:cs="Times New Roman"/>
          <w:sz w:val="24"/>
          <w:szCs w:val="24"/>
        </w:rPr>
        <w:t xml:space="preserve">, </w:t>
      </w:r>
      <w:r w:rsidRPr="00B866B7">
        <w:rPr>
          <w:rFonts w:ascii="Times New Roman" w:eastAsia="Times New Roman" w:hAnsi="Times New Roman" w:cs="Times New Roman"/>
          <w:i/>
          <w:sz w:val="24"/>
          <w:szCs w:val="24"/>
        </w:rPr>
        <w:t xml:space="preserve">C. </w:t>
      </w:r>
      <w:proofErr w:type="spellStart"/>
      <w:r w:rsidRPr="00B866B7">
        <w:rPr>
          <w:rFonts w:ascii="Times New Roman" w:eastAsia="Times New Roman" w:hAnsi="Times New Roman" w:cs="Times New Roman"/>
          <w:i/>
          <w:sz w:val="24"/>
          <w:szCs w:val="24"/>
        </w:rPr>
        <w:t>goudotiana</w:t>
      </w:r>
      <w:proofErr w:type="spellEnd"/>
      <w:r w:rsidRPr="00B866B7">
        <w:rPr>
          <w:rFonts w:ascii="Times New Roman" w:eastAsia="Times New Roman" w:hAnsi="Times New Roman" w:cs="Times New Roman"/>
          <w:sz w:val="24"/>
          <w:szCs w:val="24"/>
        </w:rPr>
        <w:t xml:space="preserve">, </w:t>
      </w:r>
      <w:r w:rsidRPr="00B866B7">
        <w:rPr>
          <w:rFonts w:ascii="Times New Roman" w:eastAsia="Times New Roman" w:hAnsi="Times New Roman" w:cs="Times New Roman"/>
          <w:i/>
          <w:sz w:val="24"/>
          <w:szCs w:val="24"/>
        </w:rPr>
        <w:t xml:space="preserve">C. </w:t>
      </w:r>
      <w:proofErr w:type="spellStart"/>
      <w:r w:rsidRPr="00B866B7">
        <w:rPr>
          <w:rFonts w:ascii="Times New Roman" w:eastAsia="Times New Roman" w:hAnsi="Times New Roman" w:cs="Times New Roman"/>
          <w:i/>
          <w:sz w:val="24"/>
          <w:szCs w:val="24"/>
        </w:rPr>
        <w:t>monoica</w:t>
      </w:r>
      <w:proofErr w:type="spellEnd"/>
      <w:r w:rsidRPr="00B866B7">
        <w:rPr>
          <w:rFonts w:ascii="Times New Roman" w:eastAsia="Times New Roman" w:hAnsi="Times New Roman" w:cs="Times New Roman"/>
          <w:sz w:val="24"/>
          <w:szCs w:val="24"/>
        </w:rPr>
        <w:t xml:space="preserve">, and </w:t>
      </w:r>
      <w:r w:rsidRPr="00B866B7">
        <w:rPr>
          <w:rFonts w:ascii="Times New Roman" w:eastAsia="Times New Roman" w:hAnsi="Times New Roman" w:cs="Times New Roman"/>
          <w:i/>
          <w:sz w:val="24"/>
          <w:szCs w:val="24"/>
        </w:rPr>
        <w:t>C. pubescens</w:t>
      </w:r>
      <w:r w:rsidRPr="00B866B7">
        <w:rPr>
          <w:rFonts w:ascii="Times New Roman" w:eastAsia="Times New Roman" w:hAnsi="Times New Roman" w:cs="Times New Roman"/>
          <w:sz w:val="24"/>
          <w:szCs w:val="24"/>
        </w:rPr>
        <w:t xml:space="preserve">—are known to produce edible fruits </w:t>
      </w:r>
      <w:r w:rsidRPr="00B866B7">
        <w:rPr>
          <w:rFonts w:ascii="Times New Roman" w:eastAsia="Times New Roman" w:hAnsi="Times New Roman" w:cs="Times New Roman"/>
          <w:sz w:val="24"/>
          <w:szCs w:val="24"/>
        </w:rPr>
        <w:lastRenderedPageBreak/>
        <w:t xml:space="preserve">(Saran et al., 2016). Often referred to as the "common man’s fruit," papaya is valued for its rich content of calcium, vitamins (A, B1, B2, and C), dietary fibers, and a variety of antioxidants (Ademe et al., 2013). Additionally, papaya contains alkaloids such as </w:t>
      </w:r>
      <w:proofErr w:type="spellStart"/>
      <w:r w:rsidRPr="00B866B7">
        <w:rPr>
          <w:rFonts w:ascii="Times New Roman" w:eastAsia="Times New Roman" w:hAnsi="Times New Roman" w:cs="Times New Roman"/>
          <w:sz w:val="24"/>
          <w:szCs w:val="24"/>
        </w:rPr>
        <w:t>carpaine</w:t>
      </w:r>
      <w:proofErr w:type="spellEnd"/>
      <w:r w:rsidRPr="00B866B7">
        <w:rPr>
          <w:rFonts w:ascii="Times New Roman" w:eastAsia="Times New Roman" w:hAnsi="Times New Roman" w:cs="Times New Roman"/>
          <w:sz w:val="24"/>
          <w:szCs w:val="24"/>
        </w:rPr>
        <w:t>, which have numerous industrial uses, along with proteolytic enzymes like pectin (Jiao et al., 2022). In recent years, the production and cultivation of papaya have expanded significantly, positioning India as the leading producer of this fruit globally. As of now, India's papaya output is estimated at 5.51 million tons, cultivated over an area of 0.126 million hectares, yielding an average productivity of 43.7 tons per hectare, which accounts for 42.6% of the global papaya production (Ministry of Agriculture and Farmers Welfare, Govt. of India, 2024-25). Throughout various phases of the pre-and postharvest processes, crops are subjected to numerous biotic and abiotic stresses that can promote the proliferation of diverse pathogens and the emergence of harmful diseases, ultimately resulting in significant losses</w:t>
      </w:r>
      <w:r w:rsidR="003A506E" w:rsidRPr="00B866B7">
        <w:rPr>
          <w:rFonts w:ascii="Times New Roman" w:eastAsia="Times New Roman" w:hAnsi="Times New Roman" w:cs="Times New Roman"/>
          <w:sz w:val="24"/>
          <w:szCs w:val="24"/>
        </w:rPr>
        <w:t>.</w:t>
      </w:r>
      <w:r w:rsidRPr="00B866B7">
        <w:rPr>
          <w:rFonts w:ascii="Times New Roman" w:eastAsia="Times New Roman" w:hAnsi="Times New Roman" w:cs="Times New Roman"/>
          <w:sz w:val="24"/>
          <w:szCs w:val="24"/>
        </w:rPr>
        <w:t xml:space="preserve"> The initial identification of root rot disease caused by </w:t>
      </w:r>
      <w:r w:rsidRPr="00B866B7">
        <w:rPr>
          <w:rFonts w:ascii="Times New Roman" w:eastAsia="Times New Roman" w:hAnsi="Times New Roman" w:cs="Times New Roman"/>
          <w:i/>
          <w:sz w:val="24"/>
          <w:szCs w:val="24"/>
        </w:rPr>
        <w:t xml:space="preserve">Phytophthora </w:t>
      </w:r>
      <w:proofErr w:type="spellStart"/>
      <w:r w:rsidRPr="00B866B7">
        <w:rPr>
          <w:rFonts w:ascii="Times New Roman" w:eastAsia="Times New Roman" w:hAnsi="Times New Roman" w:cs="Times New Roman"/>
          <w:i/>
          <w:sz w:val="24"/>
          <w:szCs w:val="24"/>
        </w:rPr>
        <w:t>nicotianae</w:t>
      </w:r>
      <w:proofErr w:type="spellEnd"/>
      <w:r w:rsidRPr="00B866B7">
        <w:rPr>
          <w:rFonts w:ascii="Times New Roman" w:eastAsia="Times New Roman" w:hAnsi="Times New Roman" w:cs="Times New Roman"/>
          <w:sz w:val="24"/>
          <w:szCs w:val="24"/>
        </w:rPr>
        <w:t xml:space="preserve"> was made by Robert and Trujillo (1998), followed by the discovery of </w:t>
      </w:r>
      <w:r w:rsidRPr="00B866B7">
        <w:rPr>
          <w:rFonts w:ascii="Times New Roman" w:eastAsia="Times New Roman" w:hAnsi="Times New Roman" w:cs="Times New Roman"/>
          <w:i/>
          <w:sz w:val="24"/>
          <w:szCs w:val="24"/>
        </w:rPr>
        <w:t xml:space="preserve">Pythium </w:t>
      </w:r>
      <w:proofErr w:type="spellStart"/>
      <w:r w:rsidRPr="00B866B7">
        <w:rPr>
          <w:rFonts w:ascii="Times New Roman" w:eastAsia="Times New Roman" w:hAnsi="Times New Roman" w:cs="Times New Roman"/>
          <w:i/>
          <w:sz w:val="24"/>
          <w:szCs w:val="24"/>
        </w:rPr>
        <w:t>aphanidermatum</w:t>
      </w:r>
      <w:proofErr w:type="spellEnd"/>
      <w:r w:rsidRPr="00B866B7">
        <w:rPr>
          <w:rFonts w:ascii="Times New Roman" w:eastAsia="Times New Roman" w:hAnsi="Times New Roman" w:cs="Times New Roman"/>
          <w:sz w:val="24"/>
          <w:szCs w:val="24"/>
        </w:rPr>
        <w:t xml:space="preserve"> as another root rot pathogen by Rodriguez and colleagues in 2001. In India, a novel disease known as Papaya root rot was first documented at the experimental farm of Dr. RPCAU in Pusa and in other regions of Bihar, with its etiology remaining unidentified during the years 2011-2012 (</w:t>
      </w:r>
      <w:r w:rsidR="00B46379" w:rsidRPr="00B866B7">
        <w:rPr>
          <w:rFonts w:ascii="Times New Roman" w:eastAsia="Times New Roman" w:hAnsi="Times New Roman" w:cs="Times New Roman"/>
          <w:sz w:val="24"/>
          <w:szCs w:val="24"/>
        </w:rPr>
        <w:t>Gupta et al., 2020</w:t>
      </w:r>
      <w:r w:rsidRPr="00B866B7">
        <w:rPr>
          <w:rFonts w:ascii="Times New Roman" w:eastAsia="Times New Roman" w:hAnsi="Times New Roman" w:cs="Times New Roman"/>
          <w:sz w:val="24"/>
          <w:szCs w:val="24"/>
        </w:rPr>
        <w:t xml:space="preserve">). Recently, this disease has emerged as a significant threat to Papaya cultivation, leading to crop failures ranging from 90% to 95% and the eventual collapse of entire plantations, which have resulted in substantial economic losses for farmers. </w:t>
      </w:r>
      <w:r w:rsidRPr="00B866B7">
        <w:rPr>
          <w:rFonts w:ascii="Times New Roman" w:eastAsia="Times New Roman" w:hAnsi="Times New Roman" w:cs="Times New Roman"/>
          <w:i/>
          <w:sz w:val="24"/>
          <w:szCs w:val="24"/>
        </w:rPr>
        <w:t xml:space="preserve">Fusarium </w:t>
      </w:r>
      <w:proofErr w:type="spellStart"/>
      <w:r w:rsidRPr="00B866B7">
        <w:rPr>
          <w:rFonts w:ascii="Times New Roman" w:eastAsia="Times New Roman" w:hAnsi="Times New Roman" w:cs="Times New Roman"/>
          <w:i/>
          <w:sz w:val="24"/>
          <w:szCs w:val="24"/>
        </w:rPr>
        <w:t>solani</w:t>
      </w:r>
      <w:proofErr w:type="spellEnd"/>
      <w:r w:rsidRPr="00B866B7">
        <w:rPr>
          <w:rFonts w:ascii="Times New Roman" w:eastAsia="Times New Roman" w:hAnsi="Times New Roman" w:cs="Times New Roman"/>
          <w:sz w:val="24"/>
          <w:szCs w:val="24"/>
        </w:rPr>
        <w:t xml:space="preserve"> (Mart.) </w:t>
      </w:r>
      <w:proofErr w:type="spellStart"/>
      <w:r w:rsidRPr="00B866B7">
        <w:rPr>
          <w:rFonts w:ascii="Times New Roman" w:eastAsia="Times New Roman" w:hAnsi="Times New Roman" w:cs="Times New Roman"/>
          <w:sz w:val="24"/>
          <w:szCs w:val="24"/>
        </w:rPr>
        <w:t>Sacc</w:t>
      </w:r>
      <w:proofErr w:type="spellEnd"/>
      <w:r w:rsidRPr="00B866B7">
        <w:rPr>
          <w:rFonts w:ascii="Times New Roman" w:eastAsia="Times New Roman" w:hAnsi="Times New Roman" w:cs="Times New Roman"/>
          <w:sz w:val="24"/>
          <w:szCs w:val="24"/>
        </w:rPr>
        <w:t xml:space="preserve">. has been recognized as the pathogen responsible for root rot disease in the </w:t>
      </w:r>
      <w:proofErr w:type="spellStart"/>
      <w:r w:rsidRPr="00B866B7">
        <w:rPr>
          <w:rFonts w:ascii="Times New Roman" w:eastAsia="Times New Roman" w:hAnsi="Times New Roman" w:cs="Times New Roman"/>
          <w:sz w:val="24"/>
          <w:szCs w:val="24"/>
        </w:rPr>
        <w:t>agro</w:t>
      </w:r>
      <w:proofErr w:type="spellEnd"/>
      <w:r w:rsidRPr="00B866B7">
        <w:rPr>
          <w:rFonts w:ascii="Times New Roman" w:eastAsia="Times New Roman" w:hAnsi="Times New Roman" w:cs="Times New Roman"/>
          <w:sz w:val="24"/>
          <w:szCs w:val="24"/>
        </w:rPr>
        <w:t>-ecological context of Bihar (</w:t>
      </w:r>
      <w:r w:rsidR="00B46379" w:rsidRPr="00B866B7">
        <w:rPr>
          <w:rFonts w:ascii="Times New Roman" w:eastAsia="Times New Roman" w:hAnsi="Times New Roman" w:cs="Times New Roman"/>
          <w:sz w:val="24"/>
          <w:szCs w:val="24"/>
        </w:rPr>
        <w:t>Gupta et al., 2020</w:t>
      </w:r>
      <w:r w:rsidRPr="00B866B7">
        <w:rPr>
          <w:rFonts w:ascii="Times New Roman" w:eastAsia="Times New Roman" w:hAnsi="Times New Roman" w:cs="Times New Roman"/>
          <w:sz w:val="24"/>
          <w:szCs w:val="24"/>
        </w:rPr>
        <w:t xml:space="preserve">). This pathogen possesses a broad host range and can persist in the soil for extended periods, thereby complicating crop rotation strategies and posing an ongoing risk to subsequent Papaya crops (Smith et al., 2021). The formulation of an effective management plan for this disease is of paramount importance and remains a primary focus for researchers. Addressing the symptoms associated with root rot and devising robust management strategies are crucial for safeguarding Papaya crops and mitigating the economic repercussions of the disease. Current management approaches for </w:t>
      </w:r>
      <w:r w:rsidRPr="00B866B7">
        <w:rPr>
          <w:rFonts w:ascii="Times New Roman" w:eastAsia="Times New Roman" w:hAnsi="Times New Roman" w:cs="Times New Roman"/>
          <w:i/>
          <w:sz w:val="24"/>
          <w:szCs w:val="24"/>
        </w:rPr>
        <w:t xml:space="preserve">Fusarium </w:t>
      </w:r>
      <w:proofErr w:type="spellStart"/>
      <w:r w:rsidRPr="00B866B7">
        <w:rPr>
          <w:rFonts w:ascii="Times New Roman" w:eastAsia="Times New Roman" w:hAnsi="Times New Roman" w:cs="Times New Roman"/>
          <w:i/>
          <w:sz w:val="24"/>
          <w:szCs w:val="24"/>
        </w:rPr>
        <w:t>solani</w:t>
      </w:r>
      <w:proofErr w:type="spellEnd"/>
      <w:r w:rsidRPr="00B866B7">
        <w:rPr>
          <w:rFonts w:ascii="Times New Roman" w:eastAsia="Times New Roman" w:hAnsi="Times New Roman" w:cs="Times New Roman"/>
          <w:sz w:val="24"/>
          <w:szCs w:val="24"/>
        </w:rPr>
        <w:t xml:space="preserve">, including the use of disease-free planting materials, crop rotation, and soil fumigation, provides only marginal protection and is often economically impractical for small-scale farmers. Additionally, the lack of Papaya varieties that exhibit resistance to this pathogen complicates disease management efforts (Patel and Patel, 2022). While fungicides pose various </w:t>
      </w:r>
      <w:r w:rsidRPr="00B866B7">
        <w:rPr>
          <w:rFonts w:ascii="Times New Roman" w:eastAsia="Times New Roman" w:hAnsi="Times New Roman" w:cs="Times New Roman"/>
          <w:sz w:val="24"/>
          <w:szCs w:val="24"/>
        </w:rPr>
        <w:lastRenderedPageBreak/>
        <w:t>health risks, they have been demonstrated to be an effective control measure (</w:t>
      </w:r>
      <w:proofErr w:type="spellStart"/>
      <w:r w:rsidRPr="00B866B7">
        <w:rPr>
          <w:rFonts w:ascii="Times New Roman" w:eastAsia="Times New Roman" w:hAnsi="Times New Roman" w:cs="Times New Roman"/>
          <w:sz w:val="24"/>
          <w:szCs w:val="24"/>
        </w:rPr>
        <w:t>Maitlo</w:t>
      </w:r>
      <w:proofErr w:type="spellEnd"/>
      <w:r w:rsidRPr="00B866B7">
        <w:rPr>
          <w:rFonts w:ascii="Times New Roman" w:eastAsia="Times New Roman" w:hAnsi="Times New Roman" w:cs="Times New Roman"/>
          <w:sz w:val="24"/>
          <w:szCs w:val="24"/>
        </w:rPr>
        <w:t xml:space="preserve"> et al., 2014). A range of chemicals is available for the management of the </w:t>
      </w:r>
      <w:r w:rsidRPr="00B866B7">
        <w:rPr>
          <w:rFonts w:ascii="Times New Roman" w:eastAsia="Times New Roman" w:hAnsi="Times New Roman" w:cs="Times New Roman"/>
          <w:i/>
          <w:sz w:val="24"/>
          <w:szCs w:val="24"/>
        </w:rPr>
        <w:t>Fusarium</w:t>
      </w:r>
      <w:r w:rsidRPr="00B866B7">
        <w:rPr>
          <w:rFonts w:ascii="Times New Roman" w:eastAsia="Times New Roman" w:hAnsi="Times New Roman" w:cs="Times New Roman"/>
          <w:sz w:val="24"/>
          <w:szCs w:val="24"/>
        </w:rPr>
        <w:t xml:space="preserve"> pathogen, and identifying the most effective chemical along with its optimal dosage could represent a significant advancement for those investing in Papaya cultivation. This study aims to evaluate the effectiveness and optimal dosages of commonly used fungicides in the control of this disease. Consequently, the research was conducted to compare the efficacy of different fungicides against </w:t>
      </w:r>
      <w:r w:rsidRPr="00B866B7">
        <w:rPr>
          <w:rFonts w:ascii="Times New Roman" w:eastAsia="Times New Roman" w:hAnsi="Times New Roman" w:cs="Times New Roman"/>
          <w:i/>
          <w:sz w:val="24"/>
          <w:szCs w:val="24"/>
        </w:rPr>
        <w:t xml:space="preserve">Fusarium </w:t>
      </w:r>
      <w:proofErr w:type="spellStart"/>
      <w:r w:rsidRPr="00B866B7">
        <w:rPr>
          <w:rFonts w:ascii="Times New Roman" w:eastAsia="Times New Roman" w:hAnsi="Times New Roman" w:cs="Times New Roman"/>
          <w:i/>
          <w:sz w:val="24"/>
          <w:szCs w:val="24"/>
        </w:rPr>
        <w:t>solani</w:t>
      </w:r>
      <w:proofErr w:type="spellEnd"/>
      <w:r w:rsidRPr="00B866B7">
        <w:rPr>
          <w:rFonts w:ascii="Times New Roman" w:eastAsia="Times New Roman" w:hAnsi="Times New Roman" w:cs="Times New Roman"/>
          <w:sz w:val="24"/>
          <w:szCs w:val="24"/>
        </w:rPr>
        <w:t>, the pathogen responsible for root rot in Papaya.</w:t>
      </w:r>
    </w:p>
    <w:p w14:paraId="0C9DB8AB" w14:textId="77777777" w:rsidR="00F1110D" w:rsidRPr="00B866B7" w:rsidRDefault="00485294"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 xml:space="preserve">Material </w:t>
      </w:r>
      <w:r w:rsidR="00F1110D" w:rsidRPr="00B866B7">
        <w:rPr>
          <w:rFonts w:ascii="Times New Roman" w:eastAsia="Times New Roman" w:hAnsi="Times New Roman" w:cs="Times New Roman"/>
          <w:b/>
          <w:bCs/>
          <w:sz w:val="24"/>
          <w:szCs w:val="24"/>
          <w:lang w:bidi="ar-SA"/>
        </w:rPr>
        <w:t xml:space="preserve">and Methods </w:t>
      </w:r>
    </w:p>
    <w:p w14:paraId="19C22F32" w14:textId="77777777" w:rsidR="008C4290" w:rsidRPr="00B866B7" w:rsidRDefault="008C4290" w:rsidP="00CD23AA">
      <w:pPr>
        <w:spacing w:after="0" w:line="360" w:lineRule="auto"/>
        <w:jc w:val="both"/>
        <w:rPr>
          <w:rFonts w:ascii="Times New Roman" w:eastAsia="Times New Roman" w:hAnsi="Times New Roman" w:cs="Times New Roman"/>
          <w:bCs/>
          <w:sz w:val="24"/>
          <w:szCs w:val="24"/>
          <w:lang w:bidi="ar-SA"/>
        </w:rPr>
      </w:pPr>
      <w:r w:rsidRPr="00B866B7">
        <w:rPr>
          <w:rFonts w:ascii="Times New Roman" w:eastAsia="Times New Roman" w:hAnsi="Times New Roman" w:cs="Times New Roman"/>
          <w:bCs/>
          <w:sz w:val="24"/>
          <w:szCs w:val="24"/>
          <w:lang w:bidi="ar-SA"/>
        </w:rPr>
        <w:t>Standard laboratory methods were employed for the preparation of PDA media, the cleaning and sterilization of glassware, the isolation of fungi, as well as the inoculation and maintenance of fungal cultures, with modifications applied as needed.</w:t>
      </w:r>
    </w:p>
    <w:p w14:paraId="4999580C" w14:textId="77777777" w:rsidR="00485294" w:rsidRPr="00B866B7" w:rsidRDefault="007912FB" w:rsidP="00CD23AA">
      <w:pPr>
        <w:pStyle w:val="Default"/>
        <w:numPr>
          <w:ilvl w:val="1"/>
          <w:numId w:val="4"/>
        </w:numPr>
        <w:spacing w:before="120" w:line="360" w:lineRule="auto"/>
        <w:rPr>
          <w:color w:val="auto"/>
          <w:lang w:val="en-US" w:eastAsia="en-IN"/>
        </w:rPr>
      </w:pPr>
      <w:r w:rsidRPr="00B866B7">
        <w:rPr>
          <w:b/>
          <w:bCs/>
          <w:color w:val="auto"/>
          <w:lang w:val="en-US"/>
        </w:rPr>
        <w:t xml:space="preserve"> </w:t>
      </w:r>
      <w:r w:rsidR="00485294" w:rsidRPr="00B866B7">
        <w:rPr>
          <w:b/>
          <w:bCs/>
          <w:color w:val="auto"/>
          <w:lang w:val="en-US"/>
        </w:rPr>
        <w:t>Collection</w:t>
      </w:r>
      <w:r w:rsidR="00485294" w:rsidRPr="00B866B7">
        <w:rPr>
          <w:b/>
          <w:bCs/>
          <w:i/>
          <w:color w:val="auto"/>
          <w:lang w:val="en-US"/>
        </w:rPr>
        <w:t>,</w:t>
      </w:r>
      <w:r w:rsidR="00485294" w:rsidRPr="00B866B7">
        <w:rPr>
          <w:b/>
          <w:bCs/>
          <w:color w:val="auto"/>
        </w:rPr>
        <w:t xml:space="preserve"> Isolation</w:t>
      </w:r>
      <w:r w:rsidR="00485294" w:rsidRPr="00B866B7">
        <w:rPr>
          <w:b/>
          <w:bCs/>
          <w:color w:val="auto"/>
          <w:lang w:val="en-US"/>
        </w:rPr>
        <w:t xml:space="preserve"> </w:t>
      </w:r>
      <w:r w:rsidR="00485294" w:rsidRPr="00B866B7">
        <w:rPr>
          <w:b/>
          <w:bCs/>
          <w:color w:val="auto"/>
        </w:rPr>
        <w:t>and maintenance of pathogens</w:t>
      </w:r>
      <w:r w:rsidR="00485294" w:rsidRPr="00B866B7">
        <w:rPr>
          <w:color w:val="auto"/>
          <w:lang w:val="en-US" w:eastAsia="en-IN"/>
        </w:rPr>
        <w:t xml:space="preserve"> </w:t>
      </w:r>
    </w:p>
    <w:p w14:paraId="1AD397C2" w14:textId="77777777" w:rsidR="00A052E8" w:rsidRPr="00B866B7" w:rsidRDefault="00A052E8" w:rsidP="00CD23AA">
      <w:pPr>
        <w:pStyle w:val="Default"/>
        <w:spacing w:before="120" w:line="360" w:lineRule="auto"/>
        <w:jc w:val="both"/>
        <w:rPr>
          <w:color w:val="auto"/>
        </w:rPr>
      </w:pPr>
      <w:r w:rsidRPr="00B866B7">
        <w:rPr>
          <w:color w:val="auto"/>
        </w:rPr>
        <w:t>Samples were collected from the rhizosphere of Papaya roots. These samples were transported to the laboratory, where they were thoroughly washed under running water to eliminate any dirt and dust. Subsequently, they were stored in a refrigerator for further analysis. The diseased samples were cut into small pieces measuring 5–6 mm, subjected to surface sterilization using a 0.1% HgCl</w:t>
      </w:r>
      <w:r w:rsidRPr="00B866B7">
        <w:rPr>
          <w:color w:val="auto"/>
          <w:vertAlign w:val="subscript"/>
        </w:rPr>
        <w:t>2</w:t>
      </w:r>
      <w:r w:rsidRPr="00B866B7">
        <w:rPr>
          <w:color w:val="auto"/>
        </w:rPr>
        <w:t xml:space="preserve"> solution, and then rinsed three times with sterile distilled water. Following this, the samples were plated onto potato dextrose agar (PDA) that had been supplemented with streptomycin at a concentration of 0.05 g per </w:t>
      </w:r>
      <w:proofErr w:type="spellStart"/>
      <w:r w:rsidRPr="00B866B7">
        <w:rPr>
          <w:color w:val="auto"/>
        </w:rPr>
        <w:t>liter</w:t>
      </w:r>
      <w:proofErr w:type="spellEnd"/>
      <w:r w:rsidRPr="00B866B7">
        <w:rPr>
          <w:color w:val="auto"/>
        </w:rPr>
        <w:t xml:space="preserve">. The plates were incubated at 28 °C for </w:t>
      </w:r>
      <w:r w:rsidR="001F1EA8" w:rsidRPr="00B866B7">
        <w:rPr>
          <w:color w:val="auto"/>
        </w:rPr>
        <w:t>duration</w:t>
      </w:r>
      <w:r w:rsidRPr="00B866B7">
        <w:rPr>
          <w:color w:val="auto"/>
        </w:rPr>
        <w:t xml:space="preserve"> of five days. The pathogens that were isolated were identified through microscopic examination, and pure cultures were subsequently preserved.</w:t>
      </w:r>
    </w:p>
    <w:p w14:paraId="4271A752" w14:textId="77777777" w:rsidR="00485294" w:rsidRPr="00B866B7" w:rsidRDefault="007912FB" w:rsidP="00CD23AA">
      <w:pPr>
        <w:pStyle w:val="ListParagraph"/>
        <w:numPr>
          <w:ilvl w:val="1"/>
          <w:numId w:val="4"/>
        </w:numPr>
        <w:spacing w:before="120" w:after="0" w:line="360" w:lineRule="auto"/>
        <w:jc w:val="both"/>
        <w:rPr>
          <w:rFonts w:ascii="Times New Roman" w:hAnsi="Times New Roman" w:cs="Times New Roman"/>
          <w:b/>
          <w:bCs/>
          <w:iCs/>
          <w:sz w:val="24"/>
          <w:szCs w:val="24"/>
          <w:shd w:val="clear" w:color="auto" w:fill="FFFFFF"/>
        </w:rPr>
      </w:pPr>
      <w:r w:rsidRPr="00B866B7">
        <w:rPr>
          <w:rFonts w:ascii="Times New Roman" w:hAnsi="Times New Roman" w:cs="Times New Roman"/>
          <w:b/>
          <w:bCs/>
          <w:iCs/>
          <w:sz w:val="24"/>
          <w:szCs w:val="24"/>
          <w:shd w:val="clear" w:color="auto" w:fill="FFFFFF"/>
        </w:rPr>
        <w:t xml:space="preserve"> </w:t>
      </w:r>
      <w:r w:rsidR="00485294" w:rsidRPr="00B866B7">
        <w:rPr>
          <w:rFonts w:ascii="Times New Roman" w:hAnsi="Times New Roman" w:cs="Times New Roman"/>
          <w:b/>
          <w:bCs/>
          <w:iCs/>
          <w:sz w:val="24"/>
          <w:szCs w:val="24"/>
          <w:shd w:val="clear" w:color="auto" w:fill="FFFFFF"/>
        </w:rPr>
        <w:t>Preparation of stock solution</w:t>
      </w:r>
    </w:p>
    <w:p w14:paraId="1D2CD752" w14:textId="77777777" w:rsidR="001F1EA8" w:rsidRPr="00B866B7" w:rsidRDefault="001F1EA8" w:rsidP="00CD23AA">
      <w:pPr>
        <w:tabs>
          <w:tab w:val="left" w:pos="720"/>
        </w:tabs>
        <w:spacing w:before="120" w:after="0" w:line="360" w:lineRule="auto"/>
        <w:jc w:val="both"/>
        <w:rPr>
          <w:rFonts w:ascii="Times New Roman" w:hAnsi="Times New Roman" w:cs="Times New Roman"/>
          <w:sz w:val="24"/>
          <w:szCs w:val="24"/>
          <w:shd w:val="clear" w:color="auto" w:fill="FFFFFF"/>
        </w:rPr>
      </w:pPr>
      <w:r w:rsidRPr="00B866B7">
        <w:rPr>
          <w:rFonts w:ascii="Times New Roman" w:hAnsi="Times New Roman" w:cs="Times New Roman"/>
          <w:sz w:val="24"/>
          <w:szCs w:val="24"/>
          <w:shd w:val="clear" w:color="auto" w:fill="FFFFFF"/>
        </w:rPr>
        <w:t xml:space="preserve">A stock solution of 10,000 ppm of Propiconazole 25% EC (Tilt) was prepared by dissolving 4 mL of the fungicide in 10 mL of sterilized distilled water. In a similar manner, the following compounds were incorporated into 10 mL of sterilized distilled water to create 10,000 ppm stock solutions: 1.33 g of Tebuconazole 50% +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 WG (Nativo), 0.138 g of </w:t>
      </w:r>
      <w:proofErr w:type="spellStart"/>
      <w:r w:rsidRPr="00B866B7">
        <w:rPr>
          <w:rFonts w:ascii="Times New Roman" w:hAnsi="Times New Roman" w:cs="Times New Roman"/>
          <w:sz w:val="24"/>
          <w:szCs w:val="24"/>
          <w:shd w:val="clear" w:color="auto" w:fill="FFFFFF"/>
        </w:rPr>
        <w:t>Metalaxyl</w:t>
      </w:r>
      <w:proofErr w:type="spellEnd"/>
      <w:r w:rsidRPr="00B866B7">
        <w:rPr>
          <w:rFonts w:ascii="Times New Roman" w:hAnsi="Times New Roman" w:cs="Times New Roman"/>
          <w:sz w:val="24"/>
          <w:szCs w:val="24"/>
          <w:shd w:val="clear" w:color="auto" w:fill="FFFFFF"/>
        </w:rPr>
        <w:t xml:space="preserve"> 8% + Mancozeb 64% WP (</w:t>
      </w:r>
      <w:proofErr w:type="spellStart"/>
      <w:r w:rsidRPr="00B866B7">
        <w:rPr>
          <w:rFonts w:ascii="Times New Roman" w:hAnsi="Times New Roman" w:cs="Times New Roman"/>
          <w:sz w:val="24"/>
          <w:szCs w:val="24"/>
          <w:shd w:val="clear" w:color="auto" w:fill="FFFFFF"/>
        </w:rPr>
        <w:t>Krilaxyl</w:t>
      </w:r>
      <w:proofErr w:type="spellEnd"/>
      <w:r w:rsidRPr="00B866B7">
        <w:rPr>
          <w:rFonts w:ascii="Times New Roman" w:hAnsi="Times New Roman" w:cs="Times New Roman"/>
          <w:sz w:val="24"/>
          <w:szCs w:val="24"/>
          <w:shd w:val="clear" w:color="auto" w:fill="FFFFFF"/>
        </w:rPr>
        <w:t>), 0.125 g of Fosetyl-AL 80% WP (Aliette), 0.133 g of Carbendazim 12% (SAAF) + Mancozeb 63% WP, 0.435 mL of Azoxystrobin 23% SC (</w:t>
      </w:r>
      <w:proofErr w:type="spellStart"/>
      <w:r w:rsidRPr="00B866B7">
        <w:rPr>
          <w:rFonts w:ascii="Times New Roman" w:hAnsi="Times New Roman" w:cs="Times New Roman"/>
          <w:sz w:val="24"/>
          <w:szCs w:val="24"/>
          <w:shd w:val="clear" w:color="auto" w:fill="FFFFFF"/>
        </w:rPr>
        <w:t>Amistar</w:t>
      </w:r>
      <w:proofErr w:type="spellEnd"/>
      <w:r w:rsidRPr="00B866B7">
        <w:rPr>
          <w:rFonts w:ascii="Times New Roman" w:hAnsi="Times New Roman" w:cs="Times New Roman"/>
          <w:sz w:val="24"/>
          <w:szCs w:val="24"/>
          <w:shd w:val="clear" w:color="auto" w:fill="FFFFFF"/>
        </w:rPr>
        <w:t xml:space="preserve">), 0.149 g of Iprovalicarb 5.5% + Propineb 61.25% WP (Melody Duo), 0.2 mL of </w:t>
      </w:r>
      <w:proofErr w:type="spellStart"/>
      <w:r w:rsidRPr="00B866B7">
        <w:rPr>
          <w:rFonts w:ascii="Times New Roman" w:hAnsi="Times New Roman" w:cs="Times New Roman"/>
          <w:sz w:val="24"/>
          <w:szCs w:val="24"/>
          <w:shd w:val="clear" w:color="auto" w:fill="FFFFFF"/>
        </w:rPr>
        <w:lastRenderedPageBreak/>
        <w:t>Fluopyram</w:t>
      </w:r>
      <w:proofErr w:type="spellEnd"/>
      <w:r w:rsidRPr="00B866B7">
        <w:rPr>
          <w:rFonts w:ascii="Times New Roman" w:hAnsi="Times New Roman" w:cs="Times New Roman"/>
          <w:sz w:val="24"/>
          <w:szCs w:val="24"/>
          <w:shd w:val="clear" w:color="auto" w:fill="FFFFFF"/>
        </w:rPr>
        <w:t xml:space="preserve"> 250 g/ +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250 g/lit SC (Luna Sensation), 0.260 mL of Tebuconazole 38.39% w/w (</w:t>
      </w:r>
      <w:proofErr w:type="spellStart"/>
      <w:r w:rsidRPr="00B866B7">
        <w:rPr>
          <w:rFonts w:ascii="Times New Roman" w:hAnsi="Times New Roman" w:cs="Times New Roman"/>
          <w:sz w:val="24"/>
          <w:szCs w:val="24"/>
          <w:shd w:val="clear" w:color="auto" w:fill="FFFFFF"/>
        </w:rPr>
        <w:t>Bonous</w:t>
      </w:r>
      <w:proofErr w:type="spellEnd"/>
      <w:r w:rsidRPr="00B866B7">
        <w:rPr>
          <w:rFonts w:ascii="Times New Roman" w:hAnsi="Times New Roman" w:cs="Times New Roman"/>
          <w:sz w:val="24"/>
          <w:szCs w:val="24"/>
          <w:shd w:val="clear" w:color="auto" w:fill="FFFFFF"/>
        </w:rPr>
        <w:t>), and 2 mL of Hexaconazole 5% EC (</w:t>
      </w:r>
      <w:proofErr w:type="spellStart"/>
      <w:r w:rsidRPr="00B866B7">
        <w:rPr>
          <w:rFonts w:ascii="Times New Roman" w:hAnsi="Times New Roman" w:cs="Times New Roman"/>
          <w:sz w:val="24"/>
          <w:szCs w:val="24"/>
          <w:shd w:val="clear" w:color="auto" w:fill="FFFFFF"/>
        </w:rPr>
        <w:t>Contaf</w:t>
      </w:r>
      <w:proofErr w:type="spellEnd"/>
      <w:r w:rsidRPr="00B866B7">
        <w:rPr>
          <w:rFonts w:ascii="Times New Roman" w:hAnsi="Times New Roman" w:cs="Times New Roman"/>
          <w:sz w:val="24"/>
          <w:szCs w:val="24"/>
          <w:shd w:val="clear" w:color="auto" w:fill="FFFFFF"/>
        </w:rPr>
        <w:t>).</w:t>
      </w:r>
    </w:p>
    <w:p w14:paraId="5C4D3928" w14:textId="77777777" w:rsidR="00485294" w:rsidRPr="00B866B7" w:rsidRDefault="007912FB" w:rsidP="00CD23AA">
      <w:pPr>
        <w:pStyle w:val="ListParagraph"/>
        <w:numPr>
          <w:ilvl w:val="1"/>
          <w:numId w:val="4"/>
        </w:numPr>
        <w:spacing w:before="120"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 </w:t>
      </w:r>
      <w:r w:rsidR="00485294" w:rsidRPr="00B866B7">
        <w:rPr>
          <w:rFonts w:ascii="Times New Roman" w:hAnsi="Times New Roman" w:cs="Times New Roman"/>
          <w:b/>
          <w:bCs/>
          <w:sz w:val="24"/>
          <w:szCs w:val="24"/>
        </w:rPr>
        <w:t>Poison food technique</w:t>
      </w:r>
    </w:p>
    <w:p w14:paraId="1996A19B" w14:textId="77777777" w:rsidR="001F1EA8" w:rsidRPr="00B866B7" w:rsidRDefault="001F1EA8" w:rsidP="00CD23AA">
      <w:pPr>
        <w:tabs>
          <w:tab w:val="left" w:pos="0"/>
          <w:tab w:val="left" w:pos="720"/>
        </w:tabs>
        <w:spacing w:before="120" w:after="0" w:line="360" w:lineRule="auto"/>
        <w:jc w:val="both"/>
        <w:rPr>
          <w:rFonts w:ascii="Times New Roman" w:hAnsi="Times New Roman" w:cs="Times New Roman"/>
          <w:bCs/>
          <w:sz w:val="24"/>
          <w:szCs w:val="24"/>
          <w:shd w:val="clear" w:color="auto" w:fill="FFFFFF"/>
        </w:rPr>
      </w:pPr>
      <w:r w:rsidRPr="00B866B7">
        <w:rPr>
          <w:rFonts w:ascii="Times New Roman" w:hAnsi="Times New Roman" w:cs="Times New Roman"/>
          <w:bCs/>
          <w:sz w:val="24"/>
          <w:szCs w:val="24"/>
          <w:shd w:val="clear" w:color="auto" w:fill="FFFFFF"/>
        </w:rPr>
        <w:t xml:space="preserve">Ten </w:t>
      </w:r>
      <w:r w:rsidRPr="00B866B7">
        <w:rPr>
          <w:rFonts w:ascii="Times New Roman" w:eastAsia="Times New Roman" w:hAnsi="Times New Roman" w:cs="Times New Roman"/>
          <w:sz w:val="24"/>
          <w:szCs w:val="24"/>
          <w:shd w:val="clear" w:color="auto" w:fill="FFFFFF"/>
        </w:rPr>
        <w:t>new generation</w:t>
      </w:r>
      <w:r w:rsidRPr="00B866B7">
        <w:rPr>
          <w:rFonts w:ascii="Times New Roman" w:hAnsi="Times New Roman" w:cs="Times New Roman"/>
          <w:bCs/>
          <w:sz w:val="24"/>
          <w:szCs w:val="24"/>
          <w:shd w:val="clear" w:color="auto" w:fill="FFFFFF"/>
        </w:rPr>
        <w:t xml:space="preserve"> fungicides were evaluated </w:t>
      </w:r>
      <w:r w:rsidRPr="00B866B7">
        <w:rPr>
          <w:rFonts w:ascii="Times New Roman" w:hAnsi="Times New Roman" w:cs="Times New Roman"/>
          <w:bCs/>
          <w:i/>
          <w:sz w:val="24"/>
          <w:szCs w:val="24"/>
          <w:shd w:val="clear" w:color="auto" w:fill="FFFFFF"/>
        </w:rPr>
        <w:t>in vitro</w:t>
      </w:r>
      <w:r w:rsidRPr="00B866B7">
        <w:rPr>
          <w:rFonts w:ascii="Times New Roman" w:hAnsi="Times New Roman" w:cs="Times New Roman"/>
          <w:bCs/>
          <w:sz w:val="24"/>
          <w:szCs w:val="24"/>
          <w:shd w:val="clear" w:color="auto" w:fill="FFFFFF"/>
        </w:rPr>
        <w:t xml:space="preserve"> against the pathogen using the poison food technique as described by </w:t>
      </w:r>
      <w:proofErr w:type="spellStart"/>
      <w:r w:rsidRPr="00B866B7">
        <w:rPr>
          <w:rFonts w:ascii="Times New Roman" w:hAnsi="Times New Roman" w:cs="Times New Roman"/>
          <w:bCs/>
          <w:sz w:val="24"/>
          <w:szCs w:val="24"/>
          <w:shd w:val="clear" w:color="auto" w:fill="FFFFFF"/>
        </w:rPr>
        <w:t>Sharvelle</w:t>
      </w:r>
      <w:proofErr w:type="spellEnd"/>
      <w:r w:rsidRPr="00B866B7">
        <w:rPr>
          <w:rFonts w:ascii="Times New Roman" w:hAnsi="Times New Roman" w:cs="Times New Roman"/>
          <w:bCs/>
          <w:sz w:val="24"/>
          <w:szCs w:val="24"/>
          <w:shd w:val="clear" w:color="auto" w:fill="FFFFFF"/>
        </w:rPr>
        <w:t xml:space="preserve"> (1960). Stock solutions were prepared at a concentration of 10,000 ppm for each fungicide. A total of 60 mL of sterilized potato dextrose medium was combined with varying volumes of the stock solution—0.3 mL, 0.6 mL, 0.9 mL, 1.5 mL, and 3 mL to achieve final concentrations of 50, 100, 150, 250, and 500 ppm, respectively. Subsequently, 20 mL of each poisoned medium concentration was transferred into sterilized Petri dishes and allowed to solidify under aseptic conditions. An 8 mm disc from a seven-day-old culture of the pathogen was then placed at the center of each Petri dish and incubated at 25 ± 2 °C. A control was established using a pathogen culture disc placed in medium devoid of fungicide. Each treatment was replicated three times. The radial growth of the pathogen was measured on the 3rd, 5th, and 10th days. The percentage inhibition of the pathogen was calculated following the method outlined by McKinney (1923), by comparing the growth in the poisoned medium to that in the control.</w:t>
      </w:r>
    </w:p>
    <w:p w14:paraId="42C26444" w14:textId="77777777" w:rsidR="00485294" w:rsidRPr="00B866B7" w:rsidRDefault="00515886" w:rsidP="00CD23AA">
      <w:pPr>
        <w:spacing w:before="60" w:after="0" w:line="360" w:lineRule="auto"/>
        <w:ind w:left="964" w:hanging="964"/>
        <w:jc w:val="both"/>
        <w:rPr>
          <w:rFonts w:ascii="Times New Roman" w:hAnsi="Times New Roman" w:cs="Times New Roman"/>
          <w:b/>
          <w:bCs/>
          <w:sz w:val="24"/>
          <w:szCs w:val="24"/>
        </w:rPr>
      </w:pPr>
      <w:r w:rsidRPr="00B866B7">
        <w:rPr>
          <w:rFonts w:ascii="Times New Roman" w:hAnsi="Times New Roman" w:cs="Times New Roman"/>
          <w:b/>
          <w:bCs/>
          <w:sz w:val="24"/>
          <w:szCs w:val="24"/>
          <w:shd w:val="clear" w:color="auto" w:fill="FFFFFF"/>
        </w:rPr>
        <w:t>Table-</w:t>
      </w:r>
      <w:r w:rsidR="00F1110D" w:rsidRPr="00B866B7">
        <w:rPr>
          <w:rFonts w:ascii="Times New Roman" w:hAnsi="Times New Roman" w:cs="Times New Roman"/>
          <w:b/>
          <w:bCs/>
          <w:sz w:val="24"/>
          <w:szCs w:val="24"/>
          <w:shd w:val="clear" w:color="auto" w:fill="FFFFFF"/>
        </w:rPr>
        <w:t>1</w:t>
      </w:r>
      <w:r w:rsidR="00485294" w:rsidRPr="00B866B7">
        <w:rPr>
          <w:rFonts w:ascii="Times New Roman" w:hAnsi="Times New Roman" w:cs="Times New Roman"/>
          <w:b/>
          <w:bCs/>
          <w:sz w:val="24"/>
          <w:szCs w:val="24"/>
        </w:rPr>
        <w:t>:</w:t>
      </w:r>
      <w:r w:rsidR="001F1EA8" w:rsidRPr="00B866B7">
        <w:rPr>
          <w:rFonts w:ascii="Times New Roman" w:hAnsi="Times New Roman" w:cs="Times New Roman"/>
          <w:b/>
          <w:bCs/>
          <w:sz w:val="24"/>
          <w:szCs w:val="24"/>
        </w:rPr>
        <w:t xml:space="preserve"> </w:t>
      </w:r>
      <w:r w:rsidR="00485294" w:rsidRPr="00B866B7">
        <w:rPr>
          <w:rFonts w:ascii="Times New Roman" w:hAnsi="Times New Roman" w:cs="Times New Roman"/>
          <w:b/>
          <w:bCs/>
          <w:sz w:val="24"/>
          <w:szCs w:val="24"/>
        </w:rPr>
        <w:t xml:space="preserve">List of new generation Fungicides used against </w:t>
      </w:r>
      <w:r w:rsidR="00485294" w:rsidRPr="00B866B7">
        <w:rPr>
          <w:rFonts w:ascii="Times New Roman" w:hAnsi="Times New Roman" w:cs="Times New Roman"/>
          <w:b/>
          <w:bCs/>
          <w:i/>
          <w:iCs/>
          <w:sz w:val="24"/>
          <w:szCs w:val="24"/>
        </w:rPr>
        <w:t xml:space="preserve">Fusarium </w:t>
      </w:r>
      <w:proofErr w:type="spellStart"/>
      <w:r w:rsidR="00485294" w:rsidRPr="00B866B7">
        <w:rPr>
          <w:rFonts w:ascii="Times New Roman" w:hAnsi="Times New Roman" w:cs="Times New Roman"/>
          <w:b/>
          <w:bCs/>
          <w:i/>
          <w:iCs/>
          <w:sz w:val="24"/>
          <w:szCs w:val="24"/>
        </w:rPr>
        <w:t>solani</w:t>
      </w:r>
      <w:proofErr w:type="spellEnd"/>
      <w:r w:rsidR="001F1EA8" w:rsidRPr="00B866B7">
        <w:rPr>
          <w:rFonts w:ascii="Times New Roman" w:hAnsi="Times New Roman" w:cs="Times New Roman"/>
          <w:b/>
          <w:bCs/>
          <w:sz w:val="24"/>
          <w:szCs w:val="24"/>
        </w:rPr>
        <w:t xml:space="preserve"> causal agents of </w:t>
      </w:r>
      <w:r w:rsidR="00485294" w:rsidRPr="00B866B7">
        <w:rPr>
          <w:rFonts w:ascii="Times New Roman" w:hAnsi="Times New Roman" w:cs="Times New Roman"/>
          <w:b/>
          <w:bCs/>
          <w:sz w:val="24"/>
          <w:szCs w:val="24"/>
        </w:rPr>
        <w:t>Papaya root rot</w:t>
      </w:r>
    </w:p>
    <w:tbl>
      <w:tblPr>
        <w:tblW w:w="48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5837"/>
        <w:gridCol w:w="1778"/>
      </w:tblGrid>
      <w:tr w:rsidR="00485294" w:rsidRPr="00B866B7" w14:paraId="2EFB2AB2"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368D5DF2" w14:textId="77777777" w:rsidR="00485294" w:rsidRPr="00B866B7" w:rsidRDefault="00485294" w:rsidP="00CD23AA">
            <w:pPr>
              <w:tabs>
                <w:tab w:val="center" w:pos="739"/>
              </w:tabs>
              <w:spacing w:after="0" w:line="360" w:lineRule="auto"/>
              <w:rPr>
                <w:rFonts w:ascii="Times New Roman" w:hAnsi="Times New Roman" w:cs="Times New Roman"/>
                <w:b/>
                <w:bCs/>
                <w:sz w:val="24"/>
                <w:szCs w:val="24"/>
              </w:rPr>
            </w:pPr>
            <w:r w:rsidRPr="00B866B7">
              <w:rPr>
                <w:rFonts w:ascii="Times New Roman" w:hAnsi="Times New Roman" w:cs="Times New Roman"/>
                <w:b/>
                <w:bCs/>
                <w:sz w:val="24"/>
                <w:szCs w:val="24"/>
              </w:rPr>
              <w:tab/>
              <w:t>Trade name</w:t>
            </w:r>
          </w:p>
        </w:tc>
        <w:tc>
          <w:tcPr>
            <w:tcW w:w="3172" w:type="pct"/>
            <w:tcBorders>
              <w:top w:val="single" w:sz="4" w:space="0" w:color="000000"/>
              <w:left w:val="single" w:sz="4" w:space="0" w:color="000000"/>
              <w:bottom w:val="single" w:sz="4" w:space="0" w:color="000000"/>
              <w:right w:val="single" w:sz="4" w:space="0" w:color="000000"/>
            </w:tcBorders>
          </w:tcPr>
          <w:p w14:paraId="6859CD33"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Chemical name</w:t>
            </w:r>
          </w:p>
        </w:tc>
        <w:tc>
          <w:tcPr>
            <w:tcW w:w="966" w:type="pct"/>
            <w:tcBorders>
              <w:top w:val="single" w:sz="4" w:space="0" w:color="000000"/>
              <w:left w:val="single" w:sz="4" w:space="0" w:color="000000"/>
              <w:bottom w:val="single" w:sz="4" w:space="0" w:color="000000"/>
              <w:right w:val="single" w:sz="4" w:space="0" w:color="000000"/>
            </w:tcBorders>
          </w:tcPr>
          <w:p w14:paraId="582217E2"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Formulation</w:t>
            </w:r>
          </w:p>
        </w:tc>
      </w:tr>
      <w:tr w:rsidR="00485294" w:rsidRPr="00B866B7" w14:paraId="23BE2C3E" w14:textId="77777777" w:rsidTr="00D56DAF">
        <w:trPr>
          <w:trHeight w:val="323"/>
          <w:jc w:val="center"/>
        </w:trPr>
        <w:tc>
          <w:tcPr>
            <w:tcW w:w="862" w:type="pct"/>
            <w:tcBorders>
              <w:top w:val="single" w:sz="4" w:space="0" w:color="000000"/>
              <w:left w:val="single" w:sz="4" w:space="0" w:color="000000"/>
              <w:bottom w:val="single" w:sz="4" w:space="0" w:color="000000"/>
              <w:right w:val="single" w:sz="4" w:space="0" w:color="000000"/>
            </w:tcBorders>
            <w:vAlign w:val="center"/>
          </w:tcPr>
          <w:p w14:paraId="74A1B039"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Nativo</w:t>
            </w:r>
          </w:p>
        </w:tc>
        <w:tc>
          <w:tcPr>
            <w:tcW w:w="3172" w:type="pct"/>
            <w:tcBorders>
              <w:top w:val="single" w:sz="4" w:space="0" w:color="000000"/>
              <w:left w:val="single" w:sz="4" w:space="0" w:color="000000"/>
              <w:bottom w:val="single" w:sz="4" w:space="0" w:color="000000"/>
              <w:right w:val="single" w:sz="4" w:space="0" w:color="000000"/>
            </w:tcBorders>
            <w:vAlign w:val="center"/>
          </w:tcPr>
          <w:p w14:paraId="79F2786F"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Tebuconazole 50%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 WG</w:t>
            </w:r>
          </w:p>
        </w:tc>
        <w:tc>
          <w:tcPr>
            <w:tcW w:w="966" w:type="pct"/>
            <w:tcBorders>
              <w:top w:val="single" w:sz="4" w:space="0" w:color="000000"/>
              <w:left w:val="single" w:sz="4" w:space="0" w:color="000000"/>
              <w:bottom w:val="single" w:sz="4" w:space="0" w:color="000000"/>
              <w:right w:val="single" w:sz="4" w:space="0" w:color="000000"/>
            </w:tcBorders>
            <w:vAlign w:val="center"/>
          </w:tcPr>
          <w:p w14:paraId="660332BB"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75 WG*</w:t>
            </w:r>
          </w:p>
        </w:tc>
      </w:tr>
      <w:tr w:rsidR="00485294" w:rsidRPr="00B866B7" w14:paraId="592BF116"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51B4071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Tilt</w:t>
            </w:r>
          </w:p>
        </w:tc>
        <w:tc>
          <w:tcPr>
            <w:tcW w:w="3172" w:type="pct"/>
            <w:tcBorders>
              <w:top w:val="single" w:sz="4" w:space="0" w:color="000000"/>
              <w:left w:val="single" w:sz="4" w:space="0" w:color="000000"/>
              <w:bottom w:val="single" w:sz="4" w:space="0" w:color="000000"/>
              <w:right w:val="single" w:sz="4" w:space="0" w:color="000000"/>
            </w:tcBorders>
          </w:tcPr>
          <w:p w14:paraId="0281AD0B"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Propiconazole 25% EC</w:t>
            </w:r>
          </w:p>
        </w:tc>
        <w:tc>
          <w:tcPr>
            <w:tcW w:w="966" w:type="pct"/>
            <w:tcBorders>
              <w:top w:val="single" w:sz="4" w:space="0" w:color="000000"/>
              <w:left w:val="single" w:sz="4" w:space="0" w:color="000000"/>
              <w:bottom w:val="single" w:sz="4" w:space="0" w:color="000000"/>
              <w:right w:val="single" w:sz="4" w:space="0" w:color="000000"/>
            </w:tcBorders>
          </w:tcPr>
          <w:p w14:paraId="43D839BD"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25 EC**</w:t>
            </w:r>
          </w:p>
        </w:tc>
      </w:tr>
      <w:tr w:rsidR="00485294" w:rsidRPr="00B866B7" w14:paraId="5C151332"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05CCB947"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Krilaxyl</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19EC9BEE" w14:textId="77777777" w:rsidR="00485294" w:rsidRPr="00B866B7" w:rsidRDefault="00485294" w:rsidP="00CD23AA">
            <w:pPr>
              <w:spacing w:after="0" w:line="360" w:lineRule="auto"/>
              <w:jc w:val="both"/>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Metalaxyl</w:t>
            </w:r>
            <w:proofErr w:type="spellEnd"/>
            <w:r w:rsidRPr="00B866B7">
              <w:rPr>
                <w:rFonts w:ascii="Times New Roman" w:hAnsi="Times New Roman" w:cs="Times New Roman"/>
                <w:sz w:val="24"/>
                <w:szCs w:val="24"/>
                <w:shd w:val="clear" w:color="auto" w:fill="FFFFFF"/>
              </w:rPr>
              <w:t xml:space="preserve"> 8% + Mancozeb 64 % WP</w:t>
            </w:r>
          </w:p>
        </w:tc>
        <w:tc>
          <w:tcPr>
            <w:tcW w:w="966" w:type="pct"/>
            <w:tcBorders>
              <w:top w:val="single" w:sz="4" w:space="0" w:color="000000"/>
              <w:left w:val="single" w:sz="4" w:space="0" w:color="000000"/>
              <w:bottom w:val="single" w:sz="4" w:space="0" w:color="000000"/>
              <w:right w:val="single" w:sz="4" w:space="0" w:color="000000"/>
            </w:tcBorders>
          </w:tcPr>
          <w:p w14:paraId="2526C9B6"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72 WP***</w:t>
            </w:r>
          </w:p>
        </w:tc>
      </w:tr>
      <w:tr w:rsidR="00485294" w:rsidRPr="00B866B7" w14:paraId="3DAEAB45"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2F8E5B54"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Aliette</w:t>
            </w:r>
          </w:p>
        </w:tc>
        <w:tc>
          <w:tcPr>
            <w:tcW w:w="3172" w:type="pct"/>
            <w:tcBorders>
              <w:top w:val="single" w:sz="4" w:space="0" w:color="000000"/>
              <w:left w:val="single" w:sz="4" w:space="0" w:color="000000"/>
              <w:bottom w:val="single" w:sz="4" w:space="0" w:color="000000"/>
              <w:right w:val="single" w:sz="4" w:space="0" w:color="000000"/>
            </w:tcBorders>
          </w:tcPr>
          <w:p w14:paraId="03526A27"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Fosetyl-AL 80% WP</w:t>
            </w:r>
          </w:p>
        </w:tc>
        <w:tc>
          <w:tcPr>
            <w:tcW w:w="966" w:type="pct"/>
            <w:tcBorders>
              <w:top w:val="single" w:sz="4" w:space="0" w:color="000000"/>
              <w:left w:val="single" w:sz="4" w:space="0" w:color="000000"/>
              <w:bottom w:val="single" w:sz="4" w:space="0" w:color="000000"/>
              <w:right w:val="single" w:sz="4" w:space="0" w:color="000000"/>
            </w:tcBorders>
          </w:tcPr>
          <w:p w14:paraId="0BBF1C55"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80 WP</w:t>
            </w:r>
          </w:p>
        </w:tc>
      </w:tr>
      <w:tr w:rsidR="00485294" w:rsidRPr="00B866B7" w14:paraId="1F7518CF"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70ED3DF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SAAF</w:t>
            </w:r>
          </w:p>
        </w:tc>
        <w:tc>
          <w:tcPr>
            <w:tcW w:w="3172" w:type="pct"/>
            <w:tcBorders>
              <w:top w:val="single" w:sz="4" w:space="0" w:color="000000"/>
              <w:left w:val="single" w:sz="4" w:space="0" w:color="000000"/>
              <w:bottom w:val="single" w:sz="4" w:space="0" w:color="000000"/>
              <w:right w:val="single" w:sz="4" w:space="0" w:color="000000"/>
            </w:tcBorders>
          </w:tcPr>
          <w:p w14:paraId="586FEBD9"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Carbendazim 12% + Mancozeb 63% WP</w:t>
            </w:r>
          </w:p>
        </w:tc>
        <w:tc>
          <w:tcPr>
            <w:tcW w:w="966" w:type="pct"/>
            <w:tcBorders>
              <w:top w:val="single" w:sz="4" w:space="0" w:color="000000"/>
              <w:left w:val="single" w:sz="4" w:space="0" w:color="000000"/>
              <w:bottom w:val="single" w:sz="4" w:space="0" w:color="000000"/>
              <w:right w:val="single" w:sz="4" w:space="0" w:color="000000"/>
            </w:tcBorders>
          </w:tcPr>
          <w:p w14:paraId="58B7D50C"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75WP</w:t>
            </w:r>
          </w:p>
        </w:tc>
      </w:tr>
      <w:tr w:rsidR="00485294" w:rsidRPr="00B866B7" w14:paraId="424A680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6A4582CE"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Amistar</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07B80F3A"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Azoxystrobin 23%SC</w:t>
            </w:r>
          </w:p>
        </w:tc>
        <w:tc>
          <w:tcPr>
            <w:tcW w:w="966" w:type="pct"/>
            <w:tcBorders>
              <w:top w:val="single" w:sz="4" w:space="0" w:color="000000"/>
              <w:left w:val="single" w:sz="4" w:space="0" w:color="000000"/>
              <w:bottom w:val="single" w:sz="4" w:space="0" w:color="000000"/>
              <w:right w:val="single" w:sz="4" w:space="0" w:color="000000"/>
            </w:tcBorders>
          </w:tcPr>
          <w:p w14:paraId="3B2CD73F"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23SC****</w:t>
            </w:r>
          </w:p>
        </w:tc>
      </w:tr>
      <w:tr w:rsidR="00485294" w:rsidRPr="00B866B7" w14:paraId="7FB945F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3B867E3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Melody Duo</w:t>
            </w:r>
          </w:p>
        </w:tc>
        <w:tc>
          <w:tcPr>
            <w:tcW w:w="3172" w:type="pct"/>
            <w:tcBorders>
              <w:top w:val="single" w:sz="4" w:space="0" w:color="000000"/>
              <w:left w:val="single" w:sz="4" w:space="0" w:color="000000"/>
              <w:bottom w:val="single" w:sz="4" w:space="0" w:color="000000"/>
              <w:right w:val="single" w:sz="4" w:space="0" w:color="000000"/>
            </w:tcBorders>
          </w:tcPr>
          <w:p w14:paraId="31A59086"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Iprovalicarb5.5% + Propineb 61.25% WP</w:t>
            </w:r>
          </w:p>
        </w:tc>
        <w:tc>
          <w:tcPr>
            <w:tcW w:w="966" w:type="pct"/>
            <w:tcBorders>
              <w:top w:val="single" w:sz="4" w:space="0" w:color="000000"/>
              <w:left w:val="single" w:sz="4" w:space="0" w:color="000000"/>
              <w:bottom w:val="single" w:sz="4" w:space="0" w:color="000000"/>
              <w:right w:val="single" w:sz="4" w:space="0" w:color="000000"/>
            </w:tcBorders>
          </w:tcPr>
          <w:p w14:paraId="37A63E85"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66.75WP</w:t>
            </w:r>
          </w:p>
        </w:tc>
      </w:tr>
      <w:tr w:rsidR="00485294" w:rsidRPr="00B866B7" w14:paraId="29DA0307"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01BED44E"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shd w:val="clear" w:color="auto" w:fill="FFFFFF"/>
              </w:rPr>
              <w:t>Luna sensation</w:t>
            </w:r>
          </w:p>
        </w:tc>
        <w:tc>
          <w:tcPr>
            <w:tcW w:w="3172" w:type="pct"/>
            <w:tcBorders>
              <w:top w:val="single" w:sz="4" w:space="0" w:color="000000"/>
              <w:left w:val="single" w:sz="4" w:space="0" w:color="000000"/>
              <w:bottom w:val="single" w:sz="4" w:space="0" w:color="000000"/>
              <w:right w:val="single" w:sz="4" w:space="0" w:color="000000"/>
            </w:tcBorders>
          </w:tcPr>
          <w:p w14:paraId="10E35C47" w14:textId="77777777" w:rsidR="00485294" w:rsidRPr="00B866B7" w:rsidRDefault="00485294" w:rsidP="00CD23AA">
            <w:pPr>
              <w:spacing w:after="0" w:line="360" w:lineRule="auto"/>
              <w:jc w:val="both"/>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Fluopyram</w:t>
            </w:r>
            <w:proofErr w:type="spellEnd"/>
            <w:r w:rsidRPr="00B866B7">
              <w:rPr>
                <w:rFonts w:ascii="Times New Roman" w:hAnsi="Times New Roman" w:cs="Times New Roman"/>
                <w:sz w:val="24"/>
                <w:szCs w:val="24"/>
                <w:shd w:val="clear" w:color="auto" w:fill="FFFFFF"/>
              </w:rPr>
              <w:t xml:space="preserve"> 250g/lit +</w:t>
            </w:r>
            <w:proofErr w:type="spellStart"/>
            <w:r w:rsidRPr="00B866B7">
              <w:rPr>
                <w:rFonts w:ascii="Times New Roman" w:hAnsi="Times New Roman" w:cs="Times New Roman"/>
                <w:sz w:val="24"/>
                <w:szCs w:val="24"/>
                <w:shd w:val="clear" w:color="auto" w:fill="FFFFFF"/>
              </w:rPr>
              <w:t>Trifloxystrobin</w:t>
            </w:r>
            <w:proofErr w:type="spellEnd"/>
            <w:r w:rsidRPr="00B866B7">
              <w:rPr>
                <w:rFonts w:ascii="Times New Roman" w:hAnsi="Times New Roman" w:cs="Times New Roman"/>
                <w:sz w:val="24"/>
                <w:szCs w:val="24"/>
                <w:shd w:val="clear" w:color="auto" w:fill="FFFFFF"/>
              </w:rPr>
              <w:t xml:space="preserve"> 250 g/lit SC</w:t>
            </w:r>
          </w:p>
        </w:tc>
        <w:tc>
          <w:tcPr>
            <w:tcW w:w="966" w:type="pct"/>
            <w:tcBorders>
              <w:top w:val="single" w:sz="4" w:space="0" w:color="000000"/>
              <w:left w:val="single" w:sz="4" w:space="0" w:color="000000"/>
              <w:bottom w:val="single" w:sz="4" w:space="0" w:color="000000"/>
              <w:right w:val="single" w:sz="4" w:space="0" w:color="000000"/>
            </w:tcBorders>
          </w:tcPr>
          <w:p w14:paraId="7D57BC26"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500G/lit SC</w:t>
            </w:r>
          </w:p>
        </w:tc>
      </w:tr>
      <w:tr w:rsidR="00485294" w:rsidRPr="00B866B7" w14:paraId="34707A76"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2BB2FBE3"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Bonous</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0C75ECDD"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Tebuconazole 38.39% w/w</w:t>
            </w:r>
          </w:p>
        </w:tc>
        <w:tc>
          <w:tcPr>
            <w:tcW w:w="966" w:type="pct"/>
            <w:tcBorders>
              <w:top w:val="single" w:sz="4" w:space="0" w:color="000000"/>
              <w:left w:val="single" w:sz="4" w:space="0" w:color="000000"/>
              <w:bottom w:val="single" w:sz="4" w:space="0" w:color="000000"/>
              <w:right w:val="single" w:sz="4" w:space="0" w:color="000000"/>
            </w:tcBorders>
          </w:tcPr>
          <w:p w14:paraId="230C9302"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38w/w</w:t>
            </w:r>
          </w:p>
        </w:tc>
      </w:tr>
      <w:tr w:rsidR="00485294" w:rsidRPr="00B866B7" w14:paraId="3196B1FC" w14:textId="77777777" w:rsidTr="00D56DAF">
        <w:trPr>
          <w:trHeight w:val="231"/>
          <w:jc w:val="center"/>
        </w:trPr>
        <w:tc>
          <w:tcPr>
            <w:tcW w:w="862" w:type="pct"/>
            <w:tcBorders>
              <w:top w:val="single" w:sz="4" w:space="0" w:color="000000"/>
              <w:left w:val="single" w:sz="4" w:space="0" w:color="000000"/>
              <w:bottom w:val="single" w:sz="4" w:space="0" w:color="000000"/>
              <w:right w:val="single" w:sz="4" w:space="0" w:color="000000"/>
            </w:tcBorders>
          </w:tcPr>
          <w:p w14:paraId="5A16C653"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shd w:val="clear" w:color="auto" w:fill="FFFFFF"/>
              </w:rPr>
              <w:t>Contaf</w:t>
            </w:r>
            <w:proofErr w:type="spellEnd"/>
          </w:p>
        </w:tc>
        <w:tc>
          <w:tcPr>
            <w:tcW w:w="3172" w:type="pct"/>
            <w:tcBorders>
              <w:top w:val="single" w:sz="4" w:space="0" w:color="000000"/>
              <w:left w:val="single" w:sz="4" w:space="0" w:color="000000"/>
              <w:bottom w:val="single" w:sz="4" w:space="0" w:color="000000"/>
              <w:right w:val="single" w:sz="4" w:space="0" w:color="000000"/>
            </w:tcBorders>
          </w:tcPr>
          <w:p w14:paraId="36C3469A" w14:textId="77777777" w:rsidR="00485294" w:rsidRPr="00B866B7" w:rsidRDefault="00485294"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shd w:val="clear" w:color="auto" w:fill="FFFFFF"/>
              </w:rPr>
              <w:t>Hexaconazole 5% EC</w:t>
            </w:r>
          </w:p>
        </w:tc>
        <w:tc>
          <w:tcPr>
            <w:tcW w:w="966" w:type="pct"/>
            <w:tcBorders>
              <w:top w:val="single" w:sz="4" w:space="0" w:color="000000"/>
              <w:left w:val="single" w:sz="4" w:space="0" w:color="000000"/>
              <w:bottom w:val="single" w:sz="4" w:space="0" w:color="000000"/>
              <w:right w:val="single" w:sz="4" w:space="0" w:color="000000"/>
            </w:tcBorders>
          </w:tcPr>
          <w:p w14:paraId="7C7863B9" w14:textId="77777777" w:rsidR="00485294" w:rsidRPr="00B866B7" w:rsidRDefault="00485294" w:rsidP="00CD23AA">
            <w:pPr>
              <w:spacing w:after="0" w:line="360" w:lineRule="auto"/>
              <w:jc w:val="right"/>
              <w:rPr>
                <w:rFonts w:ascii="Times New Roman" w:hAnsi="Times New Roman" w:cs="Times New Roman"/>
                <w:sz w:val="24"/>
                <w:szCs w:val="24"/>
              </w:rPr>
            </w:pPr>
            <w:r w:rsidRPr="00B866B7">
              <w:rPr>
                <w:rFonts w:ascii="Times New Roman" w:hAnsi="Times New Roman" w:cs="Times New Roman"/>
                <w:sz w:val="24"/>
                <w:szCs w:val="24"/>
              </w:rPr>
              <w:t>5% EC</w:t>
            </w:r>
          </w:p>
        </w:tc>
      </w:tr>
    </w:tbl>
    <w:p w14:paraId="7D36DB19" w14:textId="77777777" w:rsidR="00F1110D" w:rsidRPr="00B866B7" w:rsidRDefault="00485294"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sz w:val="24"/>
          <w:szCs w:val="24"/>
        </w:rPr>
        <w:lastRenderedPageBreak/>
        <w:t>(*WG-</w:t>
      </w:r>
      <w:r w:rsidRPr="00B866B7">
        <w:rPr>
          <w:rFonts w:ascii="Times New Roman" w:hAnsi="Times New Roman" w:cs="Times New Roman"/>
          <w:sz w:val="24"/>
          <w:szCs w:val="24"/>
          <w:shd w:val="clear" w:color="auto" w:fill="FFFFFF"/>
        </w:rPr>
        <w:t>Water-dispersible granule,</w:t>
      </w:r>
      <w:r w:rsidRPr="00B866B7">
        <w:rPr>
          <w:rFonts w:ascii="Times New Roman" w:hAnsi="Times New Roman" w:cs="Times New Roman"/>
          <w:sz w:val="24"/>
          <w:szCs w:val="24"/>
        </w:rPr>
        <w:t xml:space="preserve"> **EC-</w:t>
      </w:r>
      <w:r w:rsidRPr="00B866B7">
        <w:rPr>
          <w:rFonts w:ascii="Times New Roman" w:hAnsi="Times New Roman" w:cs="Times New Roman"/>
          <w:sz w:val="24"/>
          <w:szCs w:val="24"/>
          <w:shd w:val="clear" w:color="auto" w:fill="FFFFFF"/>
        </w:rPr>
        <w:t> Emulsifiable concentrate, ***WP-Wettable powder, ****SC- Suspension concentrates).</w:t>
      </w:r>
      <w:r w:rsidRPr="00B866B7">
        <w:rPr>
          <w:rFonts w:ascii="Times New Roman" w:hAnsi="Times New Roman" w:cs="Times New Roman"/>
          <w:b/>
          <w:bCs/>
          <w:sz w:val="24"/>
          <w:szCs w:val="24"/>
        </w:rPr>
        <w:t xml:space="preserve"> </w:t>
      </w:r>
    </w:p>
    <w:p w14:paraId="3C804405" w14:textId="77777777" w:rsidR="00485294" w:rsidRPr="00B866B7" w:rsidRDefault="007912FB"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2.4. </w:t>
      </w:r>
      <w:r w:rsidR="00485294" w:rsidRPr="00B866B7">
        <w:rPr>
          <w:rFonts w:ascii="Times New Roman" w:hAnsi="Times New Roman" w:cs="Times New Roman"/>
          <w:b/>
          <w:bCs/>
          <w:sz w:val="24"/>
          <w:szCs w:val="24"/>
        </w:rPr>
        <w:t>Statistical analysis</w:t>
      </w:r>
    </w:p>
    <w:p w14:paraId="1FBE4A10" w14:textId="77777777" w:rsidR="001F1EA8" w:rsidRPr="00B866B7" w:rsidRDefault="001F1EA8" w:rsidP="00CD23AA">
      <w:pPr>
        <w:spacing w:before="120"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All experiments were performed in a controlled laboratory environment and were statistically executed using a completely randomized design (CRD and FCRD). The data collected from the experiments were statistically analyzed using one-way ANOVA, facilitated by Past 4.0 software.</w:t>
      </w:r>
    </w:p>
    <w:p w14:paraId="622BFDE9" w14:textId="77777777" w:rsidR="00485294" w:rsidRPr="00B866B7" w:rsidRDefault="006B6F0A" w:rsidP="00CD23AA">
      <w:pPr>
        <w:pStyle w:val="ListParagraph"/>
        <w:numPr>
          <w:ilvl w:val="0"/>
          <w:numId w:val="4"/>
        </w:numPr>
        <w:spacing w:before="120"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Result and discussion</w:t>
      </w:r>
    </w:p>
    <w:p w14:paraId="4CB8B307" w14:textId="77777777" w:rsidR="00351C01" w:rsidRPr="00B866B7" w:rsidRDefault="00485294" w:rsidP="00CD23AA">
      <w:pPr>
        <w:pStyle w:val="ListParagraph"/>
        <w:numPr>
          <w:ilvl w:val="1"/>
          <w:numId w:val="4"/>
        </w:numPr>
        <w:spacing w:after="120" w:line="360" w:lineRule="auto"/>
        <w:rPr>
          <w:rFonts w:ascii="Times New Roman" w:hAnsi="Times New Roman" w:cs="Times New Roman"/>
          <w:b/>
          <w:bCs/>
          <w:sz w:val="24"/>
          <w:szCs w:val="24"/>
        </w:rPr>
      </w:pPr>
      <w:r w:rsidRPr="00B866B7">
        <w:rPr>
          <w:rFonts w:ascii="Times New Roman" w:hAnsi="Times New Roman" w:cs="Times New Roman"/>
          <w:b/>
          <w:bCs/>
          <w:sz w:val="24"/>
          <w:szCs w:val="24"/>
        </w:rPr>
        <w:t xml:space="preserve">Effect of different new generation fungicides against </w:t>
      </w:r>
      <w:r w:rsidRPr="00B866B7">
        <w:rPr>
          <w:rFonts w:ascii="Times New Roman" w:hAnsi="Times New Roman" w:cs="Times New Roman"/>
          <w:b/>
          <w:bCs/>
          <w:i/>
          <w:iCs/>
          <w:sz w:val="24"/>
          <w:szCs w:val="24"/>
        </w:rPr>
        <w:t xml:space="preserve">Fusarium </w:t>
      </w:r>
      <w:proofErr w:type="spellStart"/>
      <w:r w:rsidRPr="00B866B7">
        <w:rPr>
          <w:rFonts w:ascii="Times New Roman" w:hAnsi="Times New Roman" w:cs="Times New Roman"/>
          <w:b/>
          <w:bCs/>
          <w:i/>
          <w:iCs/>
          <w:sz w:val="24"/>
          <w:szCs w:val="24"/>
        </w:rPr>
        <w:t>solani</w:t>
      </w:r>
      <w:proofErr w:type="spellEnd"/>
      <w:r w:rsidR="00351C01" w:rsidRPr="00B866B7">
        <w:rPr>
          <w:rFonts w:ascii="Times New Roman" w:hAnsi="Times New Roman" w:cs="Times New Roman"/>
          <w:b/>
          <w:bCs/>
          <w:i/>
          <w:iCs/>
          <w:sz w:val="24"/>
          <w:szCs w:val="24"/>
        </w:rPr>
        <w:t xml:space="preserve"> </w:t>
      </w:r>
      <w:r w:rsidR="000C4ABF" w:rsidRPr="00B866B7">
        <w:rPr>
          <w:rFonts w:ascii="Times New Roman" w:hAnsi="Times New Roman" w:cs="Times New Roman"/>
          <w:b/>
          <w:bCs/>
          <w:sz w:val="24"/>
          <w:szCs w:val="24"/>
        </w:rPr>
        <w:t xml:space="preserve">causing Root rot of Papaya </w:t>
      </w:r>
      <w:r w:rsidR="00F1110D" w:rsidRPr="00B866B7">
        <w:rPr>
          <w:rFonts w:ascii="Times New Roman" w:hAnsi="Times New Roman" w:cs="Times New Roman"/>
          <w:b/>
          <w:bCs/>
          <w:sz w:val="24"/>
          <w:szCs w:val="24"/>
        </w:rPr>
        <w:t>in laboratory condition</w:t>
      </w:r>
      <w:r w:rsidR="00351C01" w:rsidRPr="00B866B7">
        <w:rPr>
          <w:rFonts w:ascii="Times New Roman" w:hAnsi="Times New Roman" w:cs="Times New Roman"/>
          <w:b/>
          <w:bCs/>
          <w:sz w:val="24"/>
          <w:szCs w:val="24"/>
        </w:rPr>
        <w:t xml:space="preserve">. </w:t>
      </w:r>
    </w:p>
    <w:p w14:paraId="64B8F626" w14:textId="77777777" w:rsidR="00485294" w:rsidRPr="00B866B7" w:rsidRDefault="000C4ABF" w:rsidP="00CD23AA">
      <w:pPr>
        <w:spacing w:after="120" w:line="360" w:lineRule="auto"/>
        <w:jc w:val="both"/>
        <w:rPr>
          <w:rFonts w:ascii="Times New Roman" w:hAnsi="Times New Roman" w:cs="Times New Roman"/>
          <w:sz w:val="24"/>
          <w:szCs w:val="24"/>
        </w:rPr>
      </w:pPr>
      <w:r w:rsidRPr="00B866B7">
        <w:rPr>
          <w:rFonts w:ascii="Times New Roman" w:hAnsi="Times New Roman" w:cs="Times New Roman"/>
          <w:sz w:val="24"/>
          <w:szCs w:val="24"/>
        </w:rPr>
        <w:t xml:space="preserve">A total of ten new generation fungicides, including Propiconazole, Tebuconazole combined with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in conjunction with Mancozeb, Fosetyl-Al, Carbendazim paired with Mancozeb, Iprovalicarb combined with Propineb, Azoxystrobin, Tebuconazole, </w:t>
      </w:r>
      <w:proofErr w:type="spellStart"/>
      <w:r w:rsidRPr="00B866B7">
        <w:rPr>
          <w:rFonts w:ascii="Times New Roman" w:hAnsi="Times New Roman" w:cs="Times New Roman"/>
          <w:sz w:val="24"/>
          <w:szCs w:val="24"/>
        </w:rPr>
        <w:t>Fluopyram</w:t>
      </w:r>
      <w:proofErr w:type="spellEnd"/>
      <w:r w:rsidRPr="00B866B7">
        <w:rPr>
          <w:rFonts w:ascii="Times New Roman" w:hAnsi="Times New Roman" w:cs="Times New Roman"/>
          <w:sz w:val="24"/>
          <w:szCs w:val="24"/>
        </w:rPr>
        <w:t xml:space="preserve"> in combination with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and Hexaconazole, were assessed at concentrations of 50, 100, 150, 250, and 500 ppm for their efficacy against </w:t>
      </w:r>
      <w:r w:rsidRPr="00B866B7">
        <w:rPr>
          <w:rFonts w:ascii="Times New Roman" w:hAnsi="Times New Roman" w:cs="Times New Roman"/>
          <w:i/>
          <w:sz w:val="24"/>
          <w:szCs w:val="24"/>
        </w:rPr>
        <w:t xml:space="preserve">Fusarium </w:t>
      </w:r>
      <w:proofErr w:type="spellStart"/>
      <w:r w:rsidRPr="00B866B7">
        <w:rPr>
          <w:rFonts w:ascii="Times New Roman" w:hAnsi="Times New Roman" w:cs="Times New Roman"/>
          <w:i/>
          <w:sz w:val="24"/>
          <w:szCs w:val="24"/>
        </w:rPr>
        <w:t>solani</w:t>
      </w:r>
      <w:proofErr w:type="spellEnd"/>
      <w:r w:rsidRPr="00B866B7">
        <w:rPr>
          <w:rFonts w:ascii="Times New Roman" w:hAnsi="Times New Roman" w:cs="Times New Roman"/>
          <w:sz w:val="24"/>
          <w:szCs w:val="24"/>
        </w:rPr>
        <w:t xml:space="preserve">, the pathogen responsible for root rot in papaya. Among the treatments, the combination of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and Mancozeb demonstrated the highest effectiveness at 100 ppm, achieving an inhibition rate of 93.41% compared to the control. In contrast, Tebuconazole at the same concentration exhibited a 91.18% inhibition rate. Notably, Fosetyl-Al at 100 ppm was the least effective fungicide, resulting in only 25.92% inhibition (refer to Table 2).</w:t>
      </w:r>
    </w:p>
    <w:p w14:paraId="26C7EB25" w14:textId="77777777" w:rsidR="00485294" w:rsidRPr="00B866B7" w:rsidRDefault="00515886" w:rsidP="00CD23AA">
      <w:pPr>
        <w:spacing w:after="0" w:line="360" w:lineRule="auto"/>
        <w:jc w:val="both"/>
        <w:rPr>
          <w:rFonts w:ascii="Times New Roman" w:hAnsi="Times New Roman" w:cs="Times New Roman"/>
          <w:b/>
          <w:bCs/>
          <w:sz w:val="24"/>
          <w:szCs w:val="24"/>
        </w:rPr>
      </w:pPr>
      <w:r w:rsidRPr="00B866B7">
        <w:rPr>
          <w:rFonts w:ascii="Times New Roman" w:hAnsi="Times New Roman" w:cs="Times New Roman"/>
          <w:b/>
          <w:bCs/>
          <w:sz w:val="24"/>
          <w:szCs w:val="24"/>
        </w:rPr>
        <w:t xml:space="preserve">Table: </w:t>
      </w:r>
      <w:r w:rsidR="00351C01" w:rsidRPr="00B866B7">
        <w:rPr>
          <w:rFonts w:ascii="Times New Roman" w:hAnsi="Times New Roman" w:cs="Times New Roman"/>
          <w:b/>
          <w:bCs/>
          <w:sz w:val="24"/>
          <w:szCs w:val="24"/>
        </w:rPr>
        <w:t>2</w:t>
      </w:r>
      <w:r w:rsidR="00485294" w:rsidRPr="00B866B7">
        <w:rPr>
          <w:rFonts w:ascii="Times New Roman" w:hAnsi="Times New Roman" w:cs="Times New Roman"/>
          <w:b/>
          <w:bCs/>
          <w:sz w:val="24"/>
          <w:szCs w:val="24"/>
        </w:rPr>
        <w:t xml:space="preserve">: </w:t>
      </w:r>
      <w:r w:rsidR="00485294" w:rsidRPr="00B866B7">
        <w:rPr>
          <w:rFonts w:ascii="Times New Roman" w:hAnsi="Times New Roman" w:cs="Times New Roman"/>
          <w:b/>
          <w:bCs/>
          <w:i/>
          <w:iCs/>
          <w:sz w:val="24"/>
          <w:szCs w:val="24"/>
        </w:rPr>
        <w:t>In vitro</w:t>
      </w:r>
      <w:r w:rsidR="00485294" w:rsidRPr="00B866B7">
        <w:rPr>
          <w:rFonts w:ascii="Times New Roman" w:hAnsi="Times New Roman" w:cs="Times New Roman"/>
          <w:b/>
          <w:bCs/>
          <w:sz w:val="24"/>
          <w:szCs w:val="24"/>
        </w:rPr>
        <w:t xml:space="preserve"> effects of different new generation fungicides against </w:t>
      </w:r>
      <w:r w:rsidR="00485294" w:rsidRPr="00B866B7">
        <w:rPr>
          <w:rFonts w:ascii="Times New Roman" w:hAnsi="Times New Roman" w:cs="Times New Roman"/>
          <w:b/>
          <w:bCs/>
          <w:i/>
          <w:sz w:val="24"/>
          <w:szCs w:val="24"/>
        </w:rPr>
        <w:t xml:space="preserve">Fusarium </w:t>
      </w:r>
      <w:proofErr w:type="spellStart"/>
      <w:r w:rsidR="00485294" w:rsidRPr="00B866B7">
        <w:rPr>
          <w:rFonts w:ascii="Times New Roman" w:hAnsi="Times New Roman" w:cs="Times New Roman"/>
          <w:b/>
          <w:bCs/>
          <w:i/>
          <w:sz w:val="24"/>
          <w:szCs w:val="24"/>
        </w:rPr>
        <w:t>solani</w:t>
      </w:r>
      <w:proofErr w:type="spellEnd"/>
      <w:r w:rsidR="00485294" w:rsidRPr="00B866B7">
        <w:rPr>
          <w:rFonts w:ascii="Times New Roman" w:hAnsi="Times New Roman" w:cs="Times New Roman"/>
          <w:b/>
          <w:bCs/>
          <w:sz w:val="24"/>
          <w:szCs w:val="24"/>
        </w:rPr>
        <w:t xml:space="preserve"> causing root rot of Papaya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
        <w:gridCol w:w="540"/>
        <w:gridCol w:w="3012"/>
        <w:gridCol w:w="1530"/>
        <w:gridCol w:w="1980"/>
        <w:gridCol w:w="1704"/>
      </w:tblGrid>
      <w:tr w:rsidR="00485294" w:rsidRPr="00B866B7" w14:paraId="5F86EC72" w14:textId="77777777" w:rsidTr="00351C01">
        <w:trPr>
          <w:trHeight w:val="1016"/>
          <w:jc w:val="center"/>
        </w:trPr>
        <w:tc>
          <w:tcPr>
            <w:tcW w:w="557" w:type="dxa"/>
            <w:gridSpan w:val="2"/>
            <w:hideMark/>
          </w:tcPr>
          <w:p w14:paraId="5E94AE06" w14:textId="77777777" w:rsidR="00485294" w:rsidRPr="00B866B7" w:rsidRDefault="00485294" w:rsidP="00CD23AA">
            <w:pPr>
              <w:spacing w:after="0" w:line="360" w:lineRule="auto"/>
              <w:rPr>
                <w:rFonts w:ascii="Times New Roman" w:hAnsi="Times New Roman" w:cs="Times New Roman"/>
                <w:b/>
                <w:bCs/>
                <w:sz w:val="24"/>
                <w:szCs w:val="24"/>
              </w:rPr>
            </w:pPr>
            <w:proofErr w:type="gramStart"/>
            <w:r w:rsidRPr="00B866B7">
              <w:rPr>
                <w:rFonts w:ascii="Times New Roman" w:hAnsi="Times New Roman" w:cs="Times New Roman"/>
                <w:b/>
                <w:bCs/>
                <w:sz w:val="24"/>
                <w:szCs w:val="24"/>
              </w:rPr>
              <w:t>S.N</w:t>
            </w:r>
            <w:proofErr w:type="gramEnd"/>
          </w:p>
        </w:tc>
        <w:tc>
          <w:tcPr>
            <w:tcW w:w="3012" w:type="dxa"/>
            <w:hideMark/>
          </w:tcPr>
          <w:p w14:paraId="08E5163E" w14:textId="77777777" w:rsidR="00485294" w:rsidRPr="00B866B7" w:rsidRDefault="00485294" w:rsidP="00CD23AA">
            <w:pPr>
              <w:spacing w:after="0" w:line="360" w:lineRule="auto"/>
              <w:rPr>
                <w:rFonts w:ascii="Times New Roman" w:hAnsi="Times New Roman" w:cs="Times New Roman"/>
                <w:b/>
                <w:bCs/>
                <w:sz w:val="24"/>
                <w:szCs w:val="24"/>
              </w:rPr>
            </w:pPr>
            <w:r w:rsidRPr="00B866B7">
              <w:rPr>
                <w:rFonts w:ascii="Times New Roman" w:hAnsi="Times New Roman" w:cs="Times New Roman"/>
                <w:b/>
                <w:bCs/>
                <w:sz w:val="24"/>
                <w:szCs w:val="24"/>
              </w:rPr>
              <w:t>Name of the Fungicide</w:t>
            </w:r>
          </w:p>
        </w:tc>
        <w:tc>
          <w:tcPr>
            <w:tcW w:w="1530" w:type="dxa"/>
            <w:hideMark/>
          </w:tcPr>
          <w:p w14:paraId="5792F7E1"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Concentration (ppm)</w:t>
            </w:r>
          </w:p>
        </w:tc>
        <w:tc>
          <w:tcPr>
            <w:tcW w:w="1980" w:type="dxa"/>
            <w:hideMark/>
          </w:tcPr>
          <w:p w14:paraId="3C3C44C9"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 xml:space="preserve">Radial mycelial growth of </w:t>
            </w:r>
            <w:r w:rsidRPr="00B866B7">
              <w:rPr>
                <w:rFonts w:ascii="Times New Roman" w:hAnsi="Times New Roman" w:cs="Times New Roman"/>
                <w:b/>
                <w:bCs/>
                <w:i/>
                <w:iCs/>
                <w:sz w:val="24"/>
                <w:szCs w:val="24"/>
              </w:rPr>
              <w:t xml:space="preserve">Fusarium </w:t>
            </w:r>
            <w:proofErr w:type="spellStart"/>
            <w:r w:rsidRPr="00B866B7">
              <w:rPr>
                <w:rFonts w:ascii="Times New Roman" w:hAnsi="Times New Roman" w:cs="Times New Roman"/>
                <w:b/>
                <w:bCs/>
                <w:i/>
                <w:iCs/>
                <w:sz w:val="24"/>
                <w:szCs w:val="24"/>
              </w:rPr>
              <w:t>solani</w:t>
            </w:r>
            <w:proofErr w:type="spellEnd"/>
            <w:r w:rsidRPr="00B866B7">
              <w:rPr>
                <w:rFonts w:ascii="Times New Roman" w:hAnsi="Times New Roman" w:cs="Times New Roman"/>
                <w:b/>
                <w:bCs/>
                <w:sz w:val="24"/>
                <w:szCs w:val="24"/>
              </w:rPr>
              <w:t xml:space="preserve"> (mm)</w:t>
            </w:r>
          </w:p>
        </w:tc>
        <w:tc>
          <w:tcPr>
            <w:tcW w:w="1704" w:type="dxa"/>
            <w:hideMark/>
          </w:tcPr>
          <w:p w14:paraId="6F27A8E3" w14:textId="77777777" w:rsidR="00485294" w:rsidRPr="00B866B7" w:rsidRDefault="00485294" w:rsidP="00CD23AA">
            <w:pPr>
              <w:spacing w:after="0" w:line="360" w:lineRule="auto"/>
              <w:jc w:val="center"/>
              <w:rPr>
                <w:rFonts w:ascii="Times New Roman" w:hAnsi="Times New Roman" w:cs="Times New Roman"/>
                <w:b/>
                <w:bCs/>
                <w:sz w:val="24"/>
                <w:szCs w:val="24"/>
              </w:rPr>
            </w:pPr>
            <w:r w:rsidRPr="00B866B7">
              <w:rPr>
                <w:rFonts w:ascii="Times New Roman" w:hAnsi="Times New Roman" w:cs="Times New Roman"/>
                <w:b/>
                <w:bCs/>
                <w:sz w:val="24"/>
                <w:szCs w:val="24"/>
              </w:rPr>
              <w:t>Inhibition over control (%)</w:t>
            </w:r>
          </w:p>
        </w:tc>
      </w:tr>
      <w:tr w:rsidR="00485294" w:rsidRPr="00B866B7" w14:paraId="7022B3D2" w14:textId="77777777" w:rsidTr="00351C01">
        <w:trPr>
          <w:trHeight w:val="296"/>
          <w:jc w:val="center"/>
        </w:trPr>
        <w:tc>
          <w:tcPr>
            <w:tcW w:w="557" w:type="dxa"/>
            <w:gridSpan w:val="2"/>
            <w:vMerge w:val="restart"/>
            <w:hideMark/>
          </w:tcPr>
          <w:p w14:paraId="5629C57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1</w:t>
            </w:r>
          </w:p>
          <w:p w14:paraId="1B89C10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restart"/>
            <w:hideMark/>
          </w:tcPr>
          <w:p w14:paraId="0EBEC5A5"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Propiconazole (Tilt)</w:t>
            </w:r>
          </w:p>
          <w:p w14:paraId="47B102D6"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25% EC</w:t>
            </w:r>
          </w:p>
        </w:tc>
        <w:tc>
          <w:tcPr>
            <w:tcW w:w="1530" w:type="dxa"/>
            <w:hideMark/>
          </w:tcPr>
          <w:p w14:paraId="6CC6B8E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1EB0B57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26.13</w:t>
            </w:r>
          </w:p>
        </w:tc>
        <w:tc>
          <w:tcPr>
            <w:tcW w:w="1704" w:type="dxa"/>
            <w:hideMark/>
          </w:tcPr>
          <w:p w14:paraId="7C2D47A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70.96</w:t>
            </w:r>
          </w:p>
        </w:tc>
      </w:tr>
      <w:tr w:rsidR="00485294" w:rsidRPr="00B866B7" w14:paraId="75D26678" w14:textId="77777777" w:rsidTr="00351C01">
        <w:trPr>
          <w:trHeight w:val="170"/>
          <w:jc w:val="center"/>
        </w:trPr>
        <w:tc>
          <w:tcPr>
            <w:tcW w:w="557" w:type="dxa"/>
            <w:gridSpan w:val="2"/>
            <w:vMerge/>
            <w:hideMark/>
          </w:tcPr>
          <w:p w14:paraId="7E597DB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A37D9A0"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BA49F5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582EDF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24.60</w:t>
            </w:r>
          </w:p>
        </w:tc>
        <w:tc>
          <w:tcPr>
            <w:tcW w:w="1704" w:type="dxa"/>
            <w:hideMark/>
          </w:tcPr>
          <w:p w14:paraId="1AEF9FC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72.66</w:t>
            </w:r>
          </w:p>
        </w:tc>
      </w:tr>
      <w:tr w:rsidR="00485294" w:rsidRPr="00B866B7" w14:paraId="21FECB74" w14:textId="77777777" w:rsidTr="00351C01">
        <w:trPr>
          <w:trHeight w:val="251"/>
          <w:jc w:val="center"/>
        </w:trPr>
        <w:tc>
          <w:tcPr>
            <w:tcW w:w="557" w:type="dxa"/>
            <w:gridSpan w:val="2"/>
            <w:vMerge/>
            <w:hideMark/>
          </w:tcPr>
          <w:p w14:paraId="23B1F21F"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CA251B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A26047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F8636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20.33</w:t>
            </w:r>
          </w:p>
        </w:tc>
        <w:tc>
          <w:tcPr>
            <w:tcW w:w="1704" w:type="dxa"/>
            <w:hideMark/>
          </w:tcPr>
          <w:p w14:paraId="7AE799A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77.40</w:t>
            </w:r>
          </w:p>
        </w:tc>
      </w:tr>
      <w:tr w:rsidR="00485294" w:rsidRPr="00B866B7" w14:paraId="687598EA" w14:textId="77777777" w:rsidTr="00351C01">
        <w:trPr>
          <w:trHeight w:val="152"/>
          <w:jc w:val="center"/>
        </w:trPr>
        <w:tc>
          <w:tcPr>
            <w:tcW w:w="557" w:type="dxa"/>
            <w:gridSpan w:val="2"/>
            <w:vMerge/>
            <w:hideMark/>
          </w:tcPr>
          <w:p w14:paraId="46CFD9B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EDFFA4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191437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1CD7207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11.03</w:t>
            </w:r>
          </w:p>
        </w:tc>
        <w:tc>
          <w:tcPr>
            <w:tcW w:w="1704" w:type="dxa"/>
            <w:hideMark/>
          </w:tcPr>
          <w:p w14:paraId="0405AAC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87.74</w:t>
            </w:r>
          </w:p>
        </w:tc>
      </w:tr>
      <w:tr w:rsidR="00485294" w:rsidRPr="00B866B7" w14:paraId="5E29FE31" w14:textId="77777777" w:rsidTr="00351C01">
        <w:trPr>
          <w:trHeight w:val="152"/>
          <w:jc w:val="center"/>
        </w:trPr>
        <w:tc>
          <w:tcPr>
            <w:tcW w:w="557" w:type="dxa"/>
            <w:gridSpan w:val="2"/>
            <w:vMerge/>
            <w:hideMark/>
          </w:tcPr>
          <w:p w14:paraId="0278362F"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58C34F2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7BFD60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75835D2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9.03</w:t>
            </w:r>
          </w:p>
        </w:tc>
        <w:tc>
          <w:tcPr>
            <w:tcW w:w="1704" w:type="dxa"/>
            <w:hideMark/>
          </w:tcPr>
          <w:p w14:paraId="4B99965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89.96</w:t>
            </w:r>
          </w:p>
        </w:tc>
      </w:tr>
      <w:tr w:rsidR="00485294" w:rsidRPr="00B866B7" w14:paraId="378074E4" w14:textId="77777777" w:rsidTr="00351C01">
        <w:trPr>
          <w:jc w:val="center"/>
        </w:trPr>
        <w:tc>
          <w:tcPr>
            <w:tcW w:w="557" w:type="dxa"/>
            <w:gridSpan w:val="2"/>
            <w:vMerge w:val="restart"/>
            <w:hideMark/>
          </w:tcPr>
          <w:p w14:paraId="0C09958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2.</w:t>
            </w:r>
          </w:p>
        </w:tc>
        <w:tc>
          <w:tcPr>
            <w:tcW w:w="3012" w:type="dxa"/>
            <w:vMerge w:val="restart"/>
          </w:tcPr>
          <w:p w14:paraId="66BA8CA6"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Tebuconazole50% +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25%WG(Nativo)</w:t>
            </w:r>
          </w:p>
          <w:p w14:paraId="1DB29B0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7F1B2B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3E61A3D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20.70</w:t>
            </w:r>
          </w:p>
        </w:tc>
        <w:tc>
          <w:tcPr>
            <w:tcW w:w="1704" w:type="dxa"/>
            <w:hideMark/>
          </w:tcPr>
          <w:p w14:paraId="42D66F8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77.00</w:t>
            </w:r>
          </w:p>
        </w:tc>
      </w:tr>
      <w:tr w:rsidR="00485294" w:rsidRPr="00B866B7" w14:paraId="1C69986A" w14:textId="77777777" w:rsidTr="00351C01">
        <w:trPr>
          <w:jc w:val="center"/>
        </w:trPr>
        <w:tc>
          <w:tcPr>
            <w:tcW w:w="557" w:type="dxa"/>
            <w:gridSpan w:val="2"/>
            <w:vMerge/>
            <w:hideMark/>
          </w:tcPr>
          <w:p w14:paraId="56111E2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69BF8BE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466D17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277DC2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15.00</w:t>
            </w:r>
          </w:p>
        </w:tc>
        <w:tc>
          <w:tcPr>
            <w:tcW w:w="1704" w:type="dxa"/>
            <w:hideMark/>
          </w:tcPr>
          <w:p w14:paraId="1E9D87A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83.33</w:t>
            </w:r>
          </w:p>
        </w:tc>
      </w:tr>
      <w:tr w:rsidR="00485294" w:rsidRPr="00B866B7" w14:paraId="432A3CA6" w14:textId="77777777" w:rsidTr="00351C01">
        <w:trPr>
          <w:jc w:val="center"/>
        </w:trPr>
        <w:tc>
          <w:tcPr>
            <w:tcW w:w="557" w:type="dxa"/>
            <w:gridSpan w:val="2"/>
            <w:vMerge/>
            <w:hideMark/>
          </w:tcPr>
          <w:p w14:paraId="1A08DB53"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60D2B73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ECAF44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B09E59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12.83</w:t>
            </w:r>
          </w:p>
        </w:tc>
        <w:tc>
          <w:tcPr>
            <w:tcW w:w="1704" w:type="dxa"/>
            <w:hideMark/>
          </w:tcPr>
          <w:p w14:paraId="65BA9D1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85.74</w:t>
            </w:r>
          </w:p>
        </w:tc>
      </w:tr>
      <w:tr w:rsidR="00485294" w:rsidRPr="00B866B7" w14:paraId="10719740" w14:textId="77777777" w:rsidTr="00351C01">
        <w:trPr>
          <w:jc w:val="center"/>
        </w:trPr>
        <w:tc>
          <w:tcPr>
            <w:tcW w:w="557" w:type="dxa"/>
            <w:gridSpan w:val="2"/>
            <w:vMerge/>
            <w:hideMark/>
          </w:tcPr>
          <w:p w14:paraId="4665815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F20136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C94B7E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0060B55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11.03</w:t>
            </w:r>
          </w:p>
        </w:tc>
        <w:tc>
          <w:tcPr>
            <w:tcW w:w="1704" w:type="dxa"/>
            <w:hideMark/>
          </w:tcPr>
          <w:p w14:paraId="1919DE4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87.74</w:t>
            </w:r>
          </w:p>
        </w:tc>
      </w:tr>
      <w:tr w:rsidR="00485294" w:rsidRPr="00B866B7" w14:paraId="447B02C1" w14:textId="77777777" w:rsidTr="00351C01">
        <w:trPr>
          <w:trHeight w:val="143"/>
          <w:jc w:val="center"/>
        </w:trPr>
        <w:tc>
          <w:tcPr>
            <w:tcW w:w="557" w:type="dxa"/>
            <w:gridSpan w:val="2"/>
            <w:vMerge/>
            <w:hideMark/>
          </w:tcPr>
          <w:p w14:paraId="70C43657"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2658D9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CF4B7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5324792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9.03</w:t>
            </w:r>
          </w:p>
        </w:tc>
        <w:tc>
          <w:tcPr>
            <w:tcW w:w="1704" w:type="dxa"/>
            <w:hideMark/>
          </w:tcPr>
          <w:p w14:paraId="39491A1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89.96</w:t>
            </w:r>
          </w:p>
        </w:tc>
      </w:tr>
      <w:tr w:rsidR="00485294" w:rsidRPr="00B866B7" w14:paraId="03FC1F90" w14:textId="77777777" w:rsidTr="00351C01">
        <w:trPr>
          <w:jc w:val="center"/>
        </w:trPr>
        <w:tc>
          <w:tcPr>
            <w:tcW w:w="557" w:type="dxa"/>
            <w:gridSpan w:val="2"/>
            <w:vMerge w:val="restart"/>
            <w:hideMark/>
          </w:tcPr>
          <w:p w14:paraId="3E257F8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3.</w:t>
            </w:r>
          </w:p>
        </w:tc>
        <w:tc>
          <w:tcPr>
            <w:tcW w:w="3012" w:type="dxa"/>
            <w:vMerge w:val="restart"/>
          </w:tcPr>
          <w:tbl>
            <w:tblPr>
              <w:tblW w:w="5260" w:type="dxa"/>
              <w:tblLayout w:type="fixed"/>
              <w:tblLook w:val="04A0" w:firstRow="1" w:lastRow="0" w:firstColumn="1" w:lastColumn="0" w:noHBand="0" w:noVBand="1"/>
            </w:tblPr>
            <w:tblGrid>
              <w:gridCol w:w="5260"/>
            </w:tblGrid>
            <w:tr w:rsidR="00485294" w:rsidRPr="00B866B7" w14:paraId="2427E4D7" w14:textId="77777777" w:rsidTr="00DC6531">
              <w:trPr>
                <w:trHeight w:val="300"/>
              </w:trPr>
              <w:tc>
                <w:tcPr>
                  <w:tcW w:w="5260" w:type="dxa"/>
                  <w:tcBorders>
                    <w:top w:val="nil"/>
                    <w:left w:val="nil"/>
                    <w:bottom w:val="nil"/>
                    <w:right w:val="nil"/>
                  </w:tcBorders>
                  <w:noWrap/>
                  <w:vAlign w:val="bottom"/>
                  <w:hideMark/>
                </w:tcPr>
                <w:p w14:paraId="3F994617"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8 %+Mancozeb</w:t>
                  </w:r>
                </w:p>
                <w:p w14:paraId="7622AC1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64%WP, MZ 72% WP</w:t>
                  </w:r>
                </w:p>
                <w:p w14:paraId="2B317A27"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Krilaxyl</w:t>
                  </w:r>
                  <w:proofErr w:type="spellEnd"/>
                  <w:r w:rsidRPr="00B866B7">
                    <w:rPr>
                      <w:rFonts w:ascii="Times New Roman" w:hAnsi="Times New Roman" w:cs="Times New Roman"/>
                      <w:sz w:val="24"/>
                      <w:szCs w:val="24"/>
                    </w:rPr>
                    <w:t>)</w:t>
                  </w:r>
                </w:p>
              </w:tc>
            </w:tr>
            <w:tr w:rsidR="00485294" w:rsidRPr="00B866B7" w14:paraId="194719EE" w14:textId="77777777" w:rsidTr="00DC6531">
              <w:trPr>
                <w:trHeight w:val="300"/>
              </w:trPr>
              <w:tc>
                <w:tcPr>
                  <w:tcW w:w="5260" w:type="dxa"/>
                  <w:tcBorders>
                    <w:top w:val="nil"/>
                    <w:left w:val="nil"/>
                    <w:bottom w:val="nil"/>
                    <w:right w:val="nil"/>
                  </w:tcBorders>
                  <w:noWrap/>
                  <w:vAlign w:val="bottom"/>
                </w:tcPr>
                <w:p w14:paraId="2982C833" w14:textId="77777777" w:rsidR="00485294" w:rsidRPr="00B866B7" w:rsidRDefault="00485294" w:rsidP="00CD23AA">
                  <w:pPr>
                    <w:spacing w:after="0" w:line="360" w:lineRule="auto"/>
                    <w:rPr>
                      <w:rFonts w:ascii="Times New Roman" w:hAnsi="Times New Roman" w:cs="Times New Roman"/>
                      <w:sz w:val="24"/>
                      <w:szCs w:val="24"/>
                    </w:rPr>
                  </w:pPr>
                </w:p>
              </w:tc>
            </w:tr>
          </w:tbl>
          <w:p w14:paraId="57BA8B4A"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7E68D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E8869C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42.23</w:t>
            </w:r>
          </w:p>
        </w:tc>
        <w:tc>
          <w:tcPr>
            <w:tcW w:w="1704" w:type="dxa"/>
            <w:hideMark/>
          </w:tcPr>
          <w:p w14:paraId="624ECC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53.74</w:t>
            </w:r>
          </w:p>
        </w:tc>
      </w:tr>
      <w:tr w:rsidR="00485294" w:rsidRPr="00B866B7" w14:paraId="5AC54891" w14:textId="77777777" w:rsidTr="00351C01">
        <w:trPr>
          <w:trHeight w:val="198"/>
          <w:jc w:val="center"/>
        </w:trPr>
        <w:tc>
          <w:tcPr>
            <w:tcW w:w="557" w:type="dxa"/>
            <w:gridSpan w:val="2"/>
            <w:vMerge/>
            <w:hideMark/>
          </w:tcPr>
          <w:p w14:paraId="7A538DC8"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27333E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89A334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EAD097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5.90</w:t>
            </w:r>
          </w:p>
        </w:tc>
        <w:tc>
          <w:tcPr>
            <w:tcW w:w="1704" w:type="dxa"/>
            <w:hideMark/>
          </w:tcPr>
          <w:p w14:paraId="2F513E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93.44</w:t>
            </w:r>
          </w:p>
        </w:tc>
      </w:tr>
      <w:tr w:rsidR="00485294" w:rsidRPr="00B866B7" w14:paraId="075573FD" w14:textId="77777777" w:rsidTr="00351C01">
        <w:trPr>
          <w:jc w:val="center"/>
        </w:trPr>
        <w:tc>
          <w:tcPr>
            <w:tcW w:w="557" w:type="dxa"/>
            <w:gridSpan w:val="2"/>
            <w:vMerge/>
            <w:hideMark/>
          </w:tcPr>
          <w:p w14:paraId="5D7DBB17"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B7F481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CFD289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370B165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8.06</w:t>
            </w:r>
          </w:p>
        </w:tc>
        <w:tc>
          <w:tcPr>
            <w:tcW w:w="1704" w:type="dxa"/>
            <w:hideMark/>
          </w:tcPr>
          <w:p w14:paraId="3F64567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91.03</w:t>
            </w:r>
          </w:p>
        </w:tc>
      </w:tr>
      <w:tr w:rsidR="00485294" w:rsidRPr="00B866B7" w14:paraId="467F259A" w14:textId="77777777" w:rsidTr="00351C01">
        <w:trPr>
          <w:jc w:val="center"/>
        </w:trPr>
        <w:tc>
          <w:tcPr>
            <w:tcW w:w="557" w:type="dxa"/>
            <w:gridSpan w:val="2"/>
            <w:vMerge/>
            <w:hideMark/>
          </w:tcPr>
          <w:p w14:paraId="744F6E33"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6438AB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82CA55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33D073F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6.00</w:t>
            </w:r>
          </w:p>
        </w:tc>
        <w:tc>
          <w:tcPr>
            <w:tcW w:w="1704" w:type="dxa"/>
            <w:hideMark/>
          </w:tcPr>
          <w:p w14:paraId="5EFDB7C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93.33</w:t>
            </w:r>
          </w:p>
        </w:tc>
      </w:tr>
      <w:tr w:rsidR="00485294" w:rsidRPr="00B866B7" w14:paraId="2534A7B3" w14:textId="77777777" w:rsidTr="00351C01">
        <w:trPr>
          <w:jc w:val="center"/>
        </w:trPr>
        <w:tc>
          <w:tcPr>
            <w:tcW w:w="557" w:type="dxa"/>
            <w:gridSpan w:val="2"/>
            <w:vMerge/>
            <w:hideMark/>
          </w:tcPr>
          <w:p w14:paraId="16D2718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259B65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6B5C65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6687703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5.96</w:t>
            </w:r>
          </w:p>
        </w:tc>
        <w:tc>
          <w:tcPr>
            <w:tcW w:w="1704" w:type="dxa"/>
            <w:hideMark/>
          </w:tcPr>
          <w:p w14:paraId="74E8E20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93.37</w:t>
            </w:r>
          </w:p>
        </w:tc>
      </w:tr>
      <w:tr w:rsidR="00485294" w:rsidRPr="00B866B7" w14:paraId="4740AA7F" w14:textId="77777777" w:rsidTr="00351C01">
        <w:trPr>
          <w:jc w:val="center"/>
        </w:trPr>
        <w:tc>
          <w:tcPr>
            <w:tcW w:w="557" w:type="dxa"/>
            <w:gridSpan w:val="2"/>
            <w:vMerge w:val="restart"/>
            <w:hideMark/>
          </w:tcPr>
          <w:p w14:paraId="7012407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4.</w:t>
            </w:r>
          </w:p>
        </w:tc>
        <w:tc>
          <w:tcPr>
            <w:tcW w:w="3012" w:type="dxa"/>
            <w:vMerge w:val="restart"/>
          </w:tcPr>
          <w:p w14:paraId="0740D9AC"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Fosetyl-AL(Aliette)</w:t>
            </w:r>
          </w:p>
          <w:p w14:paraId="5DEB627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80% WP</w:t>
            </w:r>
          </w:p>
          <w:p w14:paraId="2A2C636A"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3EEB59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77B96B1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86.56</w:t>
            </w:r>
          </w:p>
        </w:tc>
        <w:tc>
          <w:tcPr>
            <w:tcW w:w="1704" w:type="dxa"/>
            <w:hideMark/>
          </w:tcPr>
          <w:p w14:paraId="1F4F7B7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3.81</w:t>
            </w:r>
          </w:p>
        </w:tc>
      </w:tr>
      <w:tr w:rsidR="00485294" w:rsidRPr="00B866B7" w14:paraId="0B92758E" w14:textId="77777777" w:rsidTr="00351C01">
        <w:trPr>
          <w:jc w:val="center"/>
        </w:trPr>
        <w:tc>
          <w:tcPr>
            <w:tcW w:w="557" w:type="dxa"/>
            <w:gridSpan w:val="2"/>
            <w:vMerge/>
            <w:hideMark/>
          </w:tcPr>
          <w:p w14:paraId="16D9A64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6CD9B7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8D2B0C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15D475C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66.66</w:t>
            </w:r>
          </w:p>
        </w:tc>
        <w:tc>
          <w:tcPr>
            <w:tcW w:w="1704" w:type="dxa"/>
            <w:hideMark/>
          </w:tcPr>
          <w:p w14:paraId="12B6D83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25.92</w:t>
            </w:r>
          </w:p>
        </w:tc>
      </w:tr>
      <w:tr w:rsidR="00485294" w:rsidRPr="00B866B7" w14:paraId="3A3D4978" w14:textId="77777777" w:rsidTr="00351C01">
        <w:trPr>
          <w:jc w:val="center"/>
        </w:trPr>
        <w:tc>
          <w:tcPr>
            <w:tcW w:w="557" w:type="dxa"/>
            <w:gridSpan w:val="2"/>
            <w:vMerge/>
            <w:hideMark/>
          </w:tcPr>
          <w:p w14:paraId="0CB4707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014AB78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6FA86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89B987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67.00</w:t>
            </w:r>
          </w:p>
        </w:tc>
        <w:tc>
          <w:tcPr>
            <w:tcW w:w="1704" w:type="dxa"/>
            <w:hideMark/>
          </w:tcPr>
          <w:p w14:paraId="2435AD1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25.55</w:t>
            </w:r>
          </w:p>
        </w:tc>
      </w:tr>
      <w:tr w:rsidR="00485294" w:rsidRPr="00B866B7" w14:paraId="08DD0357" w14:textId="77777777" w:rsidTr="00351C01">
        <w:trPr>
          <w:jc w:val="center"/>
        </w:trPr>
        <w:tc>
          <w:tcPr>
            <w:tcW w:w="557" w:type="dxa"/>
            <w:gridSpan w:val="2"/>
            <w:vMerge/>
            <w:hideMark/>
          </w:tcPr>
          <w:p w14:paraId="5C384C1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6CBAEB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EFADB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78B1841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50.90</w:t>
            </w:r>
          </w:p>
        </w:tc>
        <w:tc>
          <w:tcPr>
            <w:tcW w:w="1704" w:type="dxa"/>
            <w:hideMark/>
          </w:tcPr>
          <w:p w14:paraId="4D24690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43.44</w:t>
            </w:r>
          </w:p>
        </w:tc>
      </w:tr>
      <w:tr w:rsidR="00485294" w:rsidRPr="00B866B7" w14:paraId="2B06A483" w14:textId="77777777" w:rsidTr="00351C01">
        <w:trPr>
          <w:jc w:val="center"/>
        </w:trPr>
        <w:tc>
          <w:tcPr>
            <w:tcW w:w="557" w:type="dxa"/>
            <w:gridSpan w:val="2"/>
            <w:vMerge/>
            <w:hideMark/>
          </w:tcPr>
          <w:p w14:paraId="21D5C80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1673020"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EADF9F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435B575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14.00</w:t>
            </w:r>
          </w:p>
        </w:tc>
        <w:tc>
          <w:tcPr>
            <w:tcW w:w="1704" w:type="dxa"/>
            <w:hideMark/>
          </w:tcPr>
          <w:p w14:paraId="2233747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84.44</w:t>
            </w:r>
          </w:p>
        </w:tc>
      </w:tr>
      <w:tr w:rsidR="00485294" w:rsidRPr="00B866B7" w14:paraId="75583B30" w14:textId="77777777" w:rsidTr="00351C01">
        <w:trPr>
          <w:jc w:val="center"/>
        </w:trPr>
        <w:tc>
          <w:tcPr>
            <w:tcW w:w="557" w:type="dxa"/>
            <w:gridSpan w:val="2"/>
            <w:vMerge w:val="restart"/>
            <w:hideMark/>
          </w:tcPr>
          <w:p w14:paraId="38E1F56E"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5.</w:t>
            </w:r>
          </w:p>
        </w:tc>
        <w:tc>
          <w:tcPr>
            <w:tcW w:w="3012" w:type="dxa"/>
            <w:vMerge w:val="restart"/>
          </w:tcPr>
          <w:tbl>
            <w:tblPr>
              <w:tblW w:w="5260" w:type="dxa"/>
              <w:tblLayout w:type="fixed"/>
              <w:tblLook w:val="04A0" w:firstRow="1" w:lastRow="0" w:firstColumn="1" w:lastColumn="0" w:noHBand="0" w:noVBand="1"/>
            </w:tblPr>
            <w:tblGrid>
              <w:gridCol w:w="5260"/>
            </w:tblGrid>
            <w:tr w:rsidR="00485294" w:rsidRPr="00B866B7" w14:paraId="75DEC263" w14:textId="77777777" w:rsidTr="00DC6531">
              <w:trPr>
                <w:trHeight w:val="300"/>
              </w:trPr>
              <w:tc>
                <w:tcPr>
                  <w:tcW w:w="5260" w:type="dxa"/>
                  <w:tcBorders>
                    <w:top w:val="nil"/>
                    <w:left w:val="nil"/>
                    <w:bottom w:val="nil"/>
                    <w:right w:val="nil"/>
                  </w:tcBorders>
                  <w:noWrap/>
                  <w:vAlign w:val="bottom"/>
                  <w:hideMark/>
                </w:tcPr>
                <w:p w14:paraId="4F914D8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Carbendazim (SAAF)12%</w:t>
                  </w:r>
                </w:p>
                <w:p w14:paraId="1457582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 Mancozeb 63 % WP</w:t>
                  </w:r>
                </w:p>
              </w:tc>
            </w:tr>
            <w:tr w:rsidR="00485294" w:rsidRPr="00B866B7" w14:paraId="5220554E" w14:textId="77777777" w:rsidTr="00DC6531">
              <w:trPr>
                <w:trHeight w:val="300"/>
              </w:trPr>
              <w:tc>
                <w:tcPr>
                  <w:tcW w:w="5260" w:type="dxa"/>
                  <w:tcBorders>
                    <w:top w:val="nil"/>
                    <w:left w:val="nil"/>
                    <w:bottom w:val="nil"/>
                    <w:right w:val="nil"/>
                  </w:tcBorders>
                  <w:noWrap/>
                  <w:vAlign w:val="bottom"/>
                </w:tcPr>
                <w:p w14:paraId="7DD43C75" w14:textId="77777777" w:rsidR="00485294" w:rsidRPr="00B866B7" w:rsidRDefault="00485294" w:rsidP="00CD23AA">
                  <w:pPr>
                    <w:spacing w:after="0" w:line="360" w:lineRule="auto"/>
                    <w:rPr>
                      <w:rFonts w:ascii="Times New Roman" w:hAnsi="Times New Roman" w:cs="Times New Roman"/>
                      <w:sz w:val="24"/>
                      <w:szCs w:val="24"/>
                    </w:rPr>
                  </w:pPr>
                </w:p>
              </w:tc>
            </w:tr>
          </w:tbl>
          <w:p w14:paraId="3D75747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E01DEF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08D436A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23.16</w:t>
            </w:r>
          </w:p>
        </w:tc>
        <w:tc>
          <w:tcPr>
            <w:tcW w:w="1704" w:type="dxa"/>
            <w:hideMark/>
          </w:tcPr>
          <w:p w14:paraId="5041549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74.25</w:t>
            </w:r>
          </w:p>
        </w:tc>
      </w:tr>
      <w:tr w:rsidR="00485294" w:rsidRPr="00B866B7" w14:paraId="5E60C2CB" w14:textId="77777777" w:rsidTr="00351C01">
        <w:trPr>
          <w:jc w:val="center"/>
        </w:trPr>
        <w:tc>
          <w:tcPr>
            <w:tcW w:w="557" w:type="dxa"/>
            <w:gridSpan w:val="2"/>
            <w:vMerge/>
            <w:hideMark/>
          </w:tcPr>
          <w:p w14:paraId="54E3A210"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BCD22F1"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7C25D4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0682467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20.20</w:t>
            </w:r>
          </w:p>
        </w:tc>
        <w:tc>
          <w:tcPr>
            <w:tcW w:w="1704" w:type="dxa"/>
            <w:hideMark/>
          </w:tcPr>
          <w:p w14:paraId="4ED50D0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77.55</w:t>
            </w:r>
          </w:p>
        </w:tc>
      </w:tr>
      <w:tr w:rsidR="00485294" w:rsidRPr="00B866B7" w14:paraId="2C2651F7" w14:textId="77777777" w:rsidTr="00351C01">
        <w:trPr>
          <w:jc w:val="center"/>
        </w:trPr>
        <w:tc>
          <w:tcPr>
            <w:tcW w:w="557" w:type="dxa"/>
            <w:gridSpan w:val="2"/>
            <w:vMerge/>
            <w:hideMark/>
          </w:tcPr>
          <w:p w14:paraId="411DC10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D824CB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AC5939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8BB1D6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17.50</w:t>
            </w:r>
          </w:p>
        </w:tc>
        <w:tc>
          <w:tcPr>
            <w:tcW w:w="1704" w:type="dxa"/>
            <w:hideMark/>
          </w:tcPr>
          <w:p w14:paraId="0D630E3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80.55</w:t>
            </w:r>
          </w:p>
        </w:tc>
      </w:tr>
      <w:tr w:rsidR="00485294" w:rsidRPr="00B866B7" w14:paraId="6BD3BBFB" w14:textId="77777777" w:rsidTr="00351C01">
        <w:trPr>
          <w:jc w:val="center"/>
        </w:trPr>
        <w:tc>
          <w:tcPr>
            <w:tcW w:w="557" w:type="dxa"/>
            <w:gridSpan w:val="2"/>
            <w:vMerge/>
            <w:hideMark/>
          </w:tcPr>
          <w:p w14:paraId="55234AB8"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5F6547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612B74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70E60D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14.33</w:t>
            </w:r>
          </w:p>
        </w:tc>
        <w:tc>
          <w:tcPr>
            <w:tcW w:w="1704" w:type="dxa"/>
            <w:hideMark/>
          </w:tcPr>
          <w:p w14:paraId="2DA69CA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84.07</w:t>
            </w:r>
          </w:p>
        </w:tc>
      </w:tr>
      <w:tr w:rsidR="00485294" w:rsidRPr="00B866B7" w14:paraId="59E11E3C" w14:textId="77777777" w:rsidTr="00351C01">
        <w:trPr>
          <w:jc w:val="center"/>
        </w:trPr>
        <w:tc>
          <w:tcPr>
            <w:tcW w:w="557" w:type="dxa"/>
            <w:gridSpan w:val="2"/>
            <w:vMerge/>
            <w:hideMark/>
          </w:tcPr>
          <w:p w14:paraId="34DF70D0"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7AF7B34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BA685B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0E6470F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15.66</w:t>
            </w:r>
          </w:p>
        </w:tc>
        <w:tc>
          <w:tcPr>
            <w:tcW w:w="1704" w:type="dxa"/>
            <w:hideMark/>
          </w:tcPr>
          <w:p w14:paraId="3E4E38A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82.59</w:t>
            </w:r>
          </w:p>
        </w:tc>
      </w:tr>
      <w:tr w:rsidR="00485294" w:rsidRPr="00B866B7" w14:paraId="52D27E87" w14:textId="77777777" w:rsidTr="00351C01">
        <w:trPr>
          <w:jc w:val="center"/>
        </w:trPr>
        <w:tc>
          <w:tcPr>
            <w:tcW w:w="557" w:type="dxa"/>
            <w:gridSpan w:val="2"/>
            <w:vMerge w:val="restart"/>
            <w:hideMark/>
          </w:tcPr>
          <w:p w14:paraId="2C51D863"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6.</w:t>
            </w:r>
          </w:p>
        </w:tc>
        <w:tc>
          <w:tcPr>
            <w:tcW w:w="3012" w:type="dxa"/>
            <w:vMerge w:val="restart"/>
          </w:tcPr>
          <w:p w14:paraId="5AE719B7"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Iprovalicarb 5.5 %                       </w:t>
            </w:r>
            <w:proofErr w:type="gramStart"/>
            <w:r w:rsidRPr="00B866B7">
              <w:rPr>
                <w:rFonts w:ascii="Times New Roman" w:hAnsi="Times New Roman" w:cs="Times New Roman"/>
                <w:sz w:val="24"/>
                <w:szCs w:val="24"/>
              </w:rPr>
              <w:t xml:space="preserve">   (</w:t>
            </w:r>
            <w:proofErr w:type="gramEnd"/>
            <w:r w:rsidRPr="00B866B7">
              <w:rPr>
                <w:rFonts w:ascii="Times New Roman" w:hAnsi="Times New Roman" w:cs="Times New Roman"/>
                <w:sz w:val="24"/>
                <w:szCs w:val="24"/>
              </w:rPr>
              <w:t>Melody Duo)+ Propineb</w:t>
            </w:r>
          </w:p>
          <w:p w14:paraId="6ED273D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61.25% WP</w:t>
            </w:r>
          </w:p>
          <w:p w14:paraId="1AB2202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E890C9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2AB4666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18.30</w:t>
            </w:r>
          </w:p>
        </w:tc>
        <w:tc>
          <w:tcPr>
            <w:tcW w:w="1704" w:type="dxa"/>
            <w:hideMark/>
          </w:tcPr>
          <w:p w14:paraId="65C85E3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79.66</w:t>
            </w:r>
          </w:p>
        </w:tc>
      </w:tr>
      <w:tr w:rsidR="00485294" w:rsidRPr="00B866B7" w14:paraId="68D8677F" w14:textId="77777777" w:rsidTr="00351C01">
        <w:trPr>
          <w:jc w:val="center"/>
        </w:trPr>
        <w:tc>
          <w:tcPr>
            <w:tcW w:w="557" w:type="dxa"/>
            <w:gridSpan w:val="2"/>
            <w:vMerge/>
            <w:hideMark/>
          </w:tcPr>
          <w:p w14:paraId="704CDD2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4FCC1DE5"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4A3AB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75E5781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45.50</w:t>
            </w:r>
          </w:p>
        </w:tc>
        <w:tc>
          <w:tcPr>
            <w:tcW w:w="1704" w:type="dxa"/>
            <w:hideMark/>
          </w:tcPr>
          <w:p w14:paraId="7F3D2C4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49.44</w:t>
            </w:r>
          </w:p>
        </w:tc>
      </w:tr>
      <w:tr w:rsidR="00485294" w:rsidRPr="00B866B7" w14:paraId="03BD2699" w14:textId="77777777" w:rsidTr="00351C01">
        <w:trPr>
          <w:jc w:val="center"/>
        </w:trPr>
        <w:tc>
          <w:tcPr>
            <w:tcW w:w="557" w:type="dxa"/>
            <w:gridSpan w:val="2"/>
            <w:vMerge/>
            <w:hideMark/>
          </w:tcPr>
          <w:p w14:paraId="51076CE5"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4E96D6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A16C49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468082D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45.83</w:t>
            </w:r>
          </w:p>
        </w:tc>
        <w:tc>
          <w:tcPr>
            <w:tcW w:w="1704" w:type="dxa"/>
            <w:hideMark/>
          </w:tcPr>
          <w:p w14:paraId="4B291FF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49.07</w:t>
            </w:r>
          </w:p>
        </w:tc>
      </w:tr>
      <w:tr w:rsidR="00485294" w:rsidRPr="00B866B7" w14:paraId="75F7B2B6" w14:textId="77777777" w:rsidTr="00351C01">
        <w:trPr>
          <w:jc w:val="center"/>
        </w:trPr>
        <w:tc>
          <w:tcPr>
            <w:tcW w:w="557" w:type="dxa"/>
            <w:gridSpan w:val="2"/>
            <w:vMerge/>
            <w:hideMark/>
          </w:tcPr>
          <w:p w14:paraId="0A7E6E7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2F60652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015838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74639D4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31.50</w:t>
            </w:r>
          </w:p>
        </w:tc>
        <w:tc>
          <w:tcPr>
            <w:tcW w:w="1704" w:type="dxa"/>
            <w:hideMark/>
          </w:tcPr>
          <w:p w14:paraId="2C9547F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65.00</w:t>
            </w:r>
          </w:p>
        </w:tc>
      </w:tr>
      <w:tr w:rsidR="00485294" w:rsidRPr="00B866B7" w14:paraId="52E5F1DF" w14:textId="77777777" w:rsidTr="00351C01">
        <w:trPr>
          <w:jc w:val="center"/>
        </w:trPr>
        <w:tc>
          <w:tcPr>
            <w:tcW w:w="557" w:type="dxa"/>
            <w:gridSpan w:val="2"/>
            <w:vMerge/>
            <w:hideMark/>
          </w:tcPr>
          <w:p w14:paraId="3A8FEF5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hideMark/>
          </w:tcPr>
          <w:p w14:paraId="3EDDED4B"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2E5266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0BFFBE5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25.13</w:t>
            </w:r>
          </w:p>
        </w:tc>
        <w:tc>
          <w:tcPr>
            <w:tcW w:w="1704" w:type="dxa"/>
            <w:hideMark/>
          </w:tcPr>
          <w:p w14:paraId="6D36304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72.07</w:t>
            </w:r>
          </w:p>
        </w:tc>
      </w:tr>
      <w:tr w:rsidR="00485294" w:rsidRPr="00B866B7" w14:paraId="1B26E56B" w14:textId="77777777" w:rsidTr="00351C01">
        <w:trPr>
          <w:gridBefore w:val="1"/>
          <w:wBefore w:w="17" w:type="dxa"/>
          <w:trHeight w:val="170"/>
          <w:jc w:val="center"/>
        </w:trPr>
        <w:tc>
          <w:tcPr>
            <w:tcW w:w="540" w:type="dxa"/>
            <w:vMerge w:val="restart"/>
            <w:hideMark/>
          </w:tcPr>
          <w:p w14:paraId="5A7CE422"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7. </w:t>
            </w:r>
          </w:p>
        </w:tc>
        <w:tc>
          <w:tcPr>
            <w:tcW w:w="3012" w:type="dxa"/>
            <w:vMerge w:val="restart"/>
          </w:tcPr>
          <w:p w14:paraId="0448CA51"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Azoxystrobin </w:t>
            </w:r>
          </w:p>
          <w:p w14:paraId="7786305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Amistar</w:t>
            </w:r>
            <w:proofErr w:type="spellEnd"/>
            <w:r w:rsidRPr="00B866B7">
              <w:rPr>
                <w:rFonts w:ascii="Times New Roman" w:hAnsi="Times New Roman" w:cs="Times New Roman"/>
                <w:sz w:val="24"/>
                <w:szCs w:val="24"/>
              </w:rPr>
              <w:t>) 23% SC</w:t>
            </w:r>
          </w:p>
          <w:p w14:paraId="71FA1655" w14:textId="77777777" w:rsidR="00485294" w:rsidRPr="00B866B7" w:rsidRDefault="00485294" w:rsidP="00CD23AA">
            <w:pPr>
              <w:spacing w:after="0" w:line="360" w:lineRule="auto"/>
              <w:jc w:val="right"/>
              <w:rPr>
                <w:rFonts w:ascii="Times New Roman" w:hAnsi="Times New Roman" w:cs="Times New Roman"/>
                <w:sz w:val="24"/>
                <w:szCs w:val="24"/>
              </w:rPr>
            </w:pPr>
          </w:p>
        </w:tc>
        <w:tc>
          <w:tcPr>
            <w:tcW w:w="1530" w:type="dxa"/>
            <w:hideMark/>
          </w:tcPr>
          <w:p w14:paraId="22379DB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AAA191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24.03</w:t>
            </w:r>
          </w:p>
        </w:tc>
        <w:tc>
          <w:tcPr>
            <w:tcW w:w="1704" w:type="dxa"/>
            <w:hideMark/>
          </w:tcPr>
          <w:p w14:paraId="7A90AC1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73.29</w:t>
            </w:r>
          </w:p>
        </w:tc>
      </w:tr>
      <w:tr w:rsidR="00485294" w:rsidRPr="00B866B7" w14:paraId="7947F403" w14:textId="77777777" w:rsidTr="00351C01">
        <w:trPr>
          <w:gridBefore w:val="1"/>
          <w:wBefore w:w="17" w:type="dxa"/>
          <w:trHeight w:val="134"/>
          <w:jc w:val="center"/>
        </w:trPr>
        <w:tc>
          <w:tcPr>
            <w:tcW w:w="540" w:type="dxa"/>
            <w:vMerge/>
            <w:hideMark/>
          </w:tcPr>
          <w:p w14:paraId="3E3C057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1FAAD75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814CD8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11E47A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27.16</w:t>
            </w:r>
          </w:p>
        </w:tc>
        <w:tc>
          <w:tcPr>
            <w:tcW w:w="1704" w:type="dxa"/>
            <w:hideMark/>
          </w:tcPr>
          <w:p w14:paraId="11AEC85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69.81</w:t>
            </w:r>
          </w:p>
        </w:tc>
      </w:tr>
      <w:tr w:rsidR="00485294" w:rsidRPr="00B866B7" w14:paraId="1B3F2598" w14:textId="77777777" w:rsidTr="00351C01">
        <w:trPr>
          <w:gridBefore w:val="1"/>
          <w:wBefore w:w="17" w:type="dxa"/>
          <w:trHeight w:val="116"/>
          <w:jc w:val="center"/>
        </w:trPr>
        <w:tc>
          <w:tcPr>
            <w:tcW w:w="540" w:type="dxa"/>
            <w:vMerge/>
            <w:hideMark/>
          </w:tcPr>
          <w:p w14:paraId="58690B7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0E93E6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F0CBAE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466B31E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27.16</w:t>
            </w:r>
          </w:p>
        </w:tc>
        <w:tc>
          <w:tcPr>
            <w:tcW w:w="1704" w:type="dxa"/>
            <w:hideMark/>
          </w:tcPr>
          <w:p w14:paraId="1966E3D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69.81</w:t>
            </w:r>
          </w:p>
        </w:tc>
      </w:tr>
      <w:tr w:rsidR="00485294" w:rsidRPr="00B866B7" w14:paraId="6C8ABB11" w14:textId="77777777" w:rsidTr="00351C01">
        <w:trPr>
          <w:gridBefore w:val="1"/>
          <w:wBefore w:w="17" w:type="dxa"/>
          <w:trHeight w:val="107"/>
          <w:jc w:val="center"/>
        </w:trPr>
        <w:tc>
          <w:tcPr>
            <w:tcW w:w="540" w:type="dxa"/>
            <w:vMerge/>
            <w:hideMark/>
          </w:tcPr>
          <w:p w14:paraId="6091E91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8A741D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3968B7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170EEF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23.66</w:t>
            </w:r>
          </w:p>
        </w:tc>
        <w:tc>
          <w:tcPr>
            <w:tcW w:w="1704" w:type="dxa"/>
            <w:hideMark/>
          </w:tcPr>
          <w:p w14:paraId="448CE71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73.70</w:t>
            </w:r>
          </w:p>
        </w:tc>
      </w:tr>
      <w:tr w:rsidR="00485294" w:rsidRPr="00B866B7" w14:paraId="5312AAA8" w14:textId="77777777" w:rsidTr="00351C01">
        <w:trPr>
          <w:gridBefore w:val="1"/>
          <w:wBefore w:w="17" w:type="dxa"/>
          <w:trHeight w:val="206"/>
          <w:jc w:val="center"/>
        </w:trPr>
        <w:tc>
          <w:tcPr>
            <w:tcW w:w="540" w:type="dxa"/>
            <w:vMerge/>
            <w:hideMark/>
          </w:tcPr>
          <w:p w14:paraId="21376739"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57FCCD9"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2E2842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76F5F9B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20.36</w:t>
            </w:r>
          </w:p>
        </w:tc>
        <w:tc>
          <w:tcPr>
            <w:tcW w:w="1704" w:type="dxa"/>
            <w:hideMark/>
          </w:tcPr>
          <w:p w14:paraId="557A621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77.37</w:t>
            </w:r>
          </w:p>
        </w:tc>
      </w:tr>
      <w:tr w:rsidR="00485294" w:rsidRPr="00B866B7" w14:paraId="70A40A83" w14:textId="77777777" w:rsidTr="00351C01">
        <w:trPr>
          <w:gridBefore w:val="1"/>
          <w:wBefore w:w="17" w:type="dxa"/>
          <w:trHeight w:val="260"/>
          <w:jc w:val="center"/>
        </w:trPr>
        <w:tc>
          <w:tcPr>
            <w:tcW w:w="540" w:type="dxa"/>
            <w:vMerge w:val="restart"/>
            <w:hideMark/>
          </w:tcPr>
          <w:p w14:paraId="0E29CAB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8.</w:t>
            </w:r>
          </w:p>
        </w:tc>
        <w:tc>
          <w:tcPr>
            <w:tcW w:w="3012" w:type="dxa"/>
            <w:vMerge w:val="restart"/>
          </w:tcPr>
          <w:p w14:paraId="7453C173"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Tebuconazole</w:t>
            </w:r>
          </w:p>
          <w:p w14:paraId="4C313E3B"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 xml:space="preserve"> (</w:t>
            </w:r>
            <w:proofErr w:type="spellStart"/>
            <w:r w:rsidRPr="00B866B7">
              <w:rPr>
                <w:rFonts w:ascii="Times New Roman" w:hAnsi="Times New Roman" w:cs="Times New Roman"/>
                <w:sz w:val="24"/>
                <w:szCs w:val="24"/>
              </w:rPr>
              <w:t>Bonous</w:t>
            </w:r>
            <w:proofErr w:type="spellEnd"/>
            <w:r w:rsidRPr="00B866B7">
              <w:rPr>
                <w:rFonts w:ascii="Times New Roman" w:hAnsi="Times New Roman" w:cs="Times New Roman"/>
                <w:sz w:val="24"/>
                <w:szCs w:val="24"/>
              </w:rPr>
              <w:t>) 38.39% w/w</w:t>
            </w:r>
          </w:p>
          <w:p w14:paraId="182D352D" w14:textId="77777777" w:rsidR="00485294" w:rsidRPr="00B866B7" w:rsidRDefault="00485294" w:rsidP="00CD23AA">
            <w:pPr>
              <w:spacing w:after="0" w:line="360" w:lineRule="auto"/>
              <w:jc w:val="right"/>
              <w:rPr>
                <w:rFonts w:ascii="Times New Roman" w:hAnsi="Times New Roman" w:cs="Times New Roman"/>
                <w:sz w:val="24"/>
                <w:szCs w:val="24"/>
              </w:rPr>
            </w:pPr>
          </w:p>
        </w:tc>
        <w:tc>
          <w:tcPr>
            <w:tcW w:w="1530" w:type="dxa"/>
            <w:hideMark/>
          </w:tcPr>
          <w:p w14:paraId="195DCD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3EAA0BE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12.16</w:t>
            </w:r>
          </w:p>
        </w:tc>
        <w:tc>
          <w:tcPr>
            <w:tcW w:w="1704" w:type="dxa"/>
            <w:hideMark/>
          </w:tcPr>
          <w:p w14:paraId="1C973A4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86.48</w:t>
            </w:r>
          </w:p>
        </w:tc>
      </w:tr>
      <w:tr w:rsidR="00485294" w:rsidRPr="00B866B7" w14:paraId="51DD3AFC" w14:textId="77777777" w:rsidTr="00351C01">
        <w:trPr>
          <w:gridBefore w:val="1"/>
          <w:wBefore w:w="17" w:type="dxa"/>
          <w:trHeight w:val="179"/>
          <w:jc w:val="center"/>
        </w:trPr>
        <w:tc>
          <w:tcPr>
            <w:tcW w:w="540" w:type="dxa"/>
            <w:vMerge/>
            <w:hideMark/>
          </w:tcPr>
          <w:p w14:paraId="6034376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4E3F49E8"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6D0326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2CD748E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7.93</w:t>
            </w:r>
          </w:p>
        </w:tc>
        <w:tc>
          <w:tcPr>
            <w:tcW w:w="1704" w:type="dxa"/>
            <w:hideMark/>
          </w:tcPr>
          <w:p w14:paraId="5A14250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91.18</w:t>
            </w:r>
          </w:p>
        </w:tc>
      </w:tr>
      <w:tr w:rsidR="00485294" w:rsidRPr="00B866B7" w14:paraId="47A1B647" w14:textId="77777777" w:rsidTr="00351C01">
        <w:trPr>
          <w:gridBefore w:val="1"/>
          <w:wBefore w:w="17" w:type="dxa"/>
          <w:trHeight w:val="170"/>
          <w:jc w:val="center"/>
        </w:trPr>
        <w:tc>
          <w:tcPr>
            <w:tcW w:w="540" w:type="dxa"/>
            <w:vMerge/>
            <w:hideMark/>
          </w:tcPr>
          <w:p w14:paraId="2F2CAD4A"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000BE42"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78FC3A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1523AD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7.70</w:t>
            </w:r>
          </w:p>
        </w:tc>
        <w:tc>
          <w:tcPr>
            <w:tcW w:w="1704" w:type="dxa"/>
            <w:hideMark/>
          </w:tcPr>
          <w:p w14:paraId="4AA8C53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91.44</w:t>
            </w:r>
          </w:p>
        </w:tc>
      </w:tr>
      <w:tr w:rsidR="00485294" w:rsidRPr="00B866B7" w14:paraId="58B678ED" w14:textId="77777777" w:rsidTr="00351C01">
        <w:trPr>
          <w:gridBefore w:val="1"/>
          <w:wBefore w:w="17" w:type="dxa"/>
          <w:trHeight w:val="161"/>
          <w:jc w:val="center"/>
        </w:trPr>
        <w:tc>
          <w:tcPr>
            <w:tcW w:w="540" w:type="dxa"/>
            <w:vMerge/>
            <w:hideMark/>
          </w:tcPr>
          <w:p w14:paraId="21DAA00E"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5B3AFFE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177C09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6A2551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6.73</w:t>
            </w:r>
          </w:p>
        </w:tc>
        <w:tc>
          <w:tcPr>
            <w:tcW w:w="1704" w:type="dxa"/>
            <w:hideMark/>
          </w:tcPr>
          <w:p w14:paraId="34BD2EB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92.51</w:t>
            </w:r>
          </w:p>
        </w:tc>
      </w:tr>
      <w:tr w:rsidR="00485294" w:rsidRPr="00B866B7" w14:paraId="2D074CDC" w14:textId="77777777" w:rsidTr="00351C01">
        <w:trPr>
          <w:gridBefore w:val="1"/>
          <w:wBefore w:w="17" w:type="dxa"/>
          <w:trHeight w:val="152"/>
          <w:jc w:val="center"/>
        </w:trPr>
        <w:tc>
          <w:tcPr>
            <w:tcW w:w="540" w:type="dxa"/>
            <w:vMerge/>
            <w:hideMark/>
          </w:tcPr>
          <w:p w14:paraId="6B49F064"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0E98136F"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7B2E3A6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37835A4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5.33</w:t>
            </w:r>
          </w:p>
        </w:tc>
        <w:tc>
          <w:tcPr>
            <w:tcW w:w="1704" w:type="dxa"/>
            <w:hideMark/>
          </w:tcPr>
          <w:p w14:paraId="452B667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94.07</w:t>
            </w:r>
          </w:p>
        </w:tc>
      </w:tr>
      <w:tr w:rsidR="00485294" w:rsidRPr="00B866B7" w14:paraId="35577D52" w14:textId="77777777" w:rsidTr="00351C01">
        <w:trPr>
          <w:gridBefore w:val="1"/>
          <w:wBefore w:w="17" w:type="dxa"/>
          <w:trHeight w:val="251"/>
          <w:jc w:val="center"/>
        </w:trPr>
        <w:tc>
          <w:tcPr>
            <w:tcW w:w="540" w:type="dxa"/>
            <w:vMerge w:val="restart"/>
            <w:hideMark/>
          </w:tcPr>
          <w:p w14:paraId="0C1C550A"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9.</w:t>
            </w:r>
          </w:p>
        </w:tc>
        <w:tc>
          <w:tcPr>
            <w:tcW w:w="3012" w:type="dxa"/>
            <w:vMerge w:val="restart"/>
          </w:tcPr>
          <w:p w14:paraId="35F70E31" w14:textId="77777777" w:rsidR="00485294" w:rsidRPr="00B866B7" w:rsidRDefault="00485294" w:rsidP="00CD23AA">
            <w:pPr>
              <w:spacing w:after="0" w:line="360" w:lineRule="auto"/>
              <w:rPr>
                <w:rFonts w:ascii="Times New Roman" w:hAnsi="Times New Roman" w:cs="Times New Roman"/>
                <w:sz w:val="24"/>
                <w:szCs w:val="24"/>
              </w:rPr>
            </w:pPr>
            <w:proofErr w:type="spellStart"/>
            <w:r w:rsidRPr="00B866B7">
              <w:rPr>
                <w:rFonts w:ascii="Times New Roman" w:hAnsi="Times New Roman" w:cs="Times New Roman"/>
                <w:sz w:val="24"/>
                <w:szCs w:val="24"/>
              </w:rPr>
              <w:t>Fluopyram</w:t>
            </w:r>
            <w:proofErr w:type="spellEnd"/>
            <w:r w:rsidRPr="00B866B7">
              <w:rPr>
                <w:rFonts w:ascii="Times New Roman" w:hAnsi="Times New Roman" w:cs="Times New Roman"/>
                <w:sz w:val="24"/>
                <w:szCs w:val="24"/>
              </w:rPr>
              <w:t xml:space="preserve"> 250g/l + </w:t>
            </w:r>
            <w:proofErr w:type="spellStart"/>
            <w:r w:rsidRPr="00B866B7">
              <w:rPr>
                <w:rFonts w:ascii="Times New Roman" w:hAnsi="Times New Roman" w:cs="Times New Roman"/>
                <w:sz w:val="24"/>
                <w:szCs w:val="24"/>
              </w:rPr>
              <w:t>Trifloxystrobin</w:t>
            </w:r>
            <w:proofErr w:type="spellEnd"/>
            <w:r w:rsidRPr="00B866B7">
              <w:rPr>
                <w:rFonts w:ascii="Times New Roman" w:hAnsi="Times New Roman" w:cs="Times New Roman"/>
                <w:sz w:val="24"/>
                <w:szCs w:val="24"/>
              </w:rPr>
              <w:t xml:space="preserve"> 250 g/l SC</w:t>
            </w:r>
          </w:p>
          <w:p w14:paraId="61E8320F"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(Luna sensation)</w:t>
            </w:r>
          </w:p>
        </w:tc>
        <w:tc>
          <w:tcPr>
            <w:tcW w:w="1530" w:type="dxa"/>
            <w:hideMark/>
          </w:tcPr>
          <w:p w14:paraId="23D5557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4A3DC02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13.50</w:t>
            </w:r>
          </w:p>
        </w:tc>
        <w:tc>
          <w:tcPr>
            <w:tcW w:w="1704" w:type="dxa"/>
            <w:hideMark/>
          </w:tcPr>
          <w:p w14:paraId="3E00876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85.00</w:t>
            </w:r>
          </w:p>
        </w:tc>
      </w:tr>
      <w:tr w:rsidR="00485294" w:rsidRPr="00B866B7" w14:paraId="2FD1878A" w14:textId="77777777" w:rsidTr="00351C01">
        <w:trPr>
          <w:gridBefore w:val="1"/>
          <w:wBefore w:w="17" w:type="dxa"/>
          <w:trHeight w:val="197"/>
          <w:jc w:val="center"/>
        </w:trPr>
        <w:tc>
          <w:tcPr>
            <w:tcW w:w="540" w:type="dxa"/>
            <w:vMerge/>
            <w:hideMark/>
          </w:tcPr>
          <w:p w14:paraId="786F72C6"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6931AC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477201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59168CA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13.33</w:t>
            </w:r>
          </w:p>
        </w:tc>
        <w:tc>
          <w:tcPr>
            <w:tcW w:w="1704" w:type="dxa"/>
            <w:hideMark/>
          </w:tcPr>
          <w:p w14:paraId="511F10B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85.18</w:t>
            </w:r>
          </w:p>
        </w:tc>
      </w:tr>
      <w:tr w:rsidR="00485294" w:rsidRPr="00B866B7" w14:paraId="2174FFA4" w14:textId="77777777" w:rsidTr="00351C01">
        <w:trPr>
          <w:gridBefore w:val="1"/>
          <w:wBefore w:w="17" w:type="dxa"/>
          <w:trHeight w:val="242"/>
          <w:jc w:val="center"/>
        </w:trPr>
        <w:tc>
          <w:tcPr>
            <w:tcW w:w="540" w:type="dxa"/>
            <w:vMerge/>
            <w:hideMark/>
          </w:tcPr>
          <w:p w14:paraId="1449760D"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1429E0C"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53B61D9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0C99B43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24.00</w:t>
            </w:r>
          </w:p>
        </w:tc>
        <w:tc>
          <w:tcPr>
            <w:tcW w:w="1704" w:type="dxa"/>
            <w:hideMark/>
          </w:tcPr>
          <w:p w14:paraId="7FA2BE8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73.33</w:t>
            </w:r>
          </w:p>
        </w:tc>
      </w:tr>
      <w:tr w:rsidR="00485294" w:rsidRPr="00B866B7" w14:paraId="2BE2DFE0" w14:textId="77777777" w:rsidTr="00351C01">
        <w:trPr>
          <w:gridBefore w:val="1"/>
          <w:wBefore w:w="17" w:type="dxa"/>
          <w:trHeight w:val="269"/>
          <w:jc w:val="center"/>
        </w:trPr>
        <w:tc>
          <w:tcPr>
            <w:tcW w:w="540" w:type="dxa"/>
            <w:vMerge/>
            <w:hideMark/>
          </w:tcPr>
          <w:p w14:paraId="207FF6F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6831568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47D0CD0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3057A0C0"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20.03</w:t>
            </w:r>
          </w:p>
        </w:tc>
        <w:tc>
          <w:tcPr>
            <w:tcW w:w="1704" w:type="dxa"/>
            <w:hideMark/>
          </w:tcPr>
          <w:p w14:paraId="2CBEB99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77.74</w:t>
            </w:r>
          </w:p>
        </w:tc>
      </w:tr>
      <w:tr w:rsidR="00485294" w:rsidRPr="00B866B7" w14:paraId="684F73F1" w14:textId="77777777" w:rsidTr="00351C01">
        <w:trPr>
          <w:gridBefore w:val="1"/>
          <w:wBefore w:w="17" w:type="dxa"/>
          <w:trHeight w:val="224"/>
          <w:jc w:val="center"/>
        </w:trPr>
        <w:tc>
          <w:tcPr>
            <w:tcW w:w="540" w:type="dxa"/>
            <w:vMerge/>
            <w:hideMark/>
          </w:tcPr>
          <w:p w14:paraId="39B35E2E"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3130E154"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3B412C7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4E534F4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10.83</w:t>
            </w:r>
          </w:p>
        </w:tc>
        <w:tc>
          <w:tcPr>
            <w:tcW w:w="1704" w:type="dxa"/>
            <w:hideMark/>
          </w:tcPr>
          <w:p w14:paraId="6D1561A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87.96</w:t>
            </w:r>
          </w:p>
        </w:tc>
      </w:tr>
      <w:tr w:rsidR="00485294" w:rsidRPr="00B866B7" w14:paraId="2D0C1A17" w14:textId="77777777" w:rsidTr="00351C01">
        <w:trPr>
          <w:gridBefore w:val="1"/>
          <w:wBefore w:w="17" w:type="dxa"/>
          <w:trHeight w:val="170"/>
          <w:jc w:val="center"/>
        </w:trPr>
        <w:tc>
          <w:tcPr>
            <w:tcW w:w="540" w:type="dxa"/>
            <w:vMerge w:val="restart"/>
            <w:hideMark/>
          </w:tcPr>
          <w:p w14:paraId="4B1FDA90"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10.</w:t>
            </w:r>
          </w:p>
        </w:tc>
        <w:tc>
          <w:tcPr>
            <w:tcW w:w="3012" w:type="dxa"/>
            <w:vMerge w:val="restart"/>
            <w:hideMark/>
          </w:tcPr>
          <w:p w14:paraId="2010A360"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Hexaconazole</w:t>
            </w:r>
          </w:p>
          <w:p w14:paraId="39586448" w14:textId="77777777" w:rsidR="00485294" w:rsidRPr="00B866B7" w:rsidRDefault="00485294" w:rsidP="00CD23AA">
            <w:pPr>
              <w:spacing w:after="0" w:line="360" w:lineRule="auto"/>
              <w:rPr>
                <w:rFonts w:ascii="Times New Roman" w:hAnsi="Times New Roman" w:cs="Times New Roman"/>
                <w:sz w:val="24"/>
                <w:szCs w:val="24"/>
              </w:rPr>
            </w:pPr>
            <w:r w:rsidRPr="00B866B7">
              <w:rPr>
                <w:rFonts w:ascii="Times New Roman" w:hAnsi="Times New Roman" w:cs="Times New Roman"/>
                <w:sz w:val="24"/>
                <w:szCs w:val="24"/>
              </w:rPr>
              <w:t>(</w:t>
            </w:r>
            <w:proofErr w:type="spellStart"/>
            <w:r w:rsidRPr="00B866B7">
              <w:rPr>
                <w:rFonts w:ascii="Times New Roman" w:hAnsi="Times New Roman" w:cs="Times New Roman"/>
                <w:sz w:val="24"/>
                <w:szCs w:val="24"/>
              </w:rPr>
              <w:t>contaf</w:t>
            </w:r>
            <w:proofErr w:type="spellEnd"/>
            <w:r w:rsidRPr="00B866B7">
              <w:rPr>
                <w:rFonts w:ascii="Times New Roman" w:hAnsi="Times New Roman" w:cs="Times New Roman"/>
                <w:sz w:val="24"/>
                <w:szCs w:val="24"/>
              </w:rPr>
              <w:t>)5%EC</w:t>
            </w:r>
          </w:p>
        </w:tc>
        <w:tc>
          <w:tcPr>
            <w:tcW w:w="1530" w:type="dxa"/>
            <w:hideMark/>
          </w:tcPr>
          <w:p w14:paraId="0F0BDFC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w:t>
            </w:r>
          </w:p>
        </w:tc>
        <w:tc>
          <w:tcPr>
            <w:tcW w:w="1980" w:type="dxa"/>
            <w:hideMark/>
          </w:tcPr>
          <w:p w14:paraId="55954D14"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36.73</w:t>
            </w:r>
          </w:p>
        </w:tc>
        <w:tc>
          <w:tcPr>
            <w:tcW w:w="1704" w:type="dxa"/>
            <w:hideMark/>
          </w:tcPr>
          <w:p w14:paraId="5BBAEC67"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59.18</w:t>
            </w:r>
          </w:p>
        </w:tc>
      </w:tr>
      <w:tr w:rsidR="00485294" w:rsidRPr="00B866B7" w14:paraId="5217D6A1" w14:textId="77777777" w:rsidTr="00351C01">
        <w:trPr>
          <w:gridBefore w:val="1"/>
          <w:wBefore w:w="17" w:type="dxa"/>
          <w:trHeight w:val="224"/>
          <w:jc w:val="center"/>
        </w:trPr>
        <w:tc>
          <w:tcPr>
            <w:tcW w:w="540" w:type="dxa"/>
            <w:vMerge/>
            <w:hideMark/>
          </w:tcPr>
          <w:p w14:paraId="4451A2B2"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0ADB654D"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DC9FE43"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100</w:t>
            </w:r>
          </w:p>
        </w:tc>
        <w:tc>
          <w:tcPr>
            <w:tcW w:w="1980" w:type="dxa"/>
            <w:hideMark/>
          </w:tcPr>
          <w:p w14:paraId="692C0829"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31.03</w:t>
            </w:r>
          </w:p>
        </w:tc>
        <w:tc>
          <w:tcPr>
            <w:tcW w:w="1704" w:type="dxa"/>
            <w:hideMark/>
          </w:tcPr>
          <w:p w14:paraId="5941F31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65.51</w:t>
            </w:r>
          </w:p>
        </w:tc>
      </w:tr>
      <w:tr w:rsidR="00485294" w:rsidRPr="00B866B7" w14:paraId="60F2E357" w14:textId="77777777" w:rsidTr="00351C01">
        <w:trPr>
          <w:gridBefore w:val="1"/>
          <w:wBefore w:w="17" w:type="dxa"/>
          <w:trHeight w:val="206"/>
          <w:jc w:val="center"/>
        </w:trPr>
        <w:tc>
          <w:tcPr>
            <w:tcW w:w="540" w:type="dxa"/>
            <w:vMerge/>
            <w:hideMark/>
          </w:tcPr>
          <w:p w14:paraId="7791C27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2DDD4EBB"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1E222225"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150</w:t>
            </w:r>
          </w:p>
        </w:tc>
        <w:tc>
          <w:tcPr>
            <w:tcW w:w="1980" w:type="dxa"/>
            <w:hideMark/>
          </w:tcPr>
          <w:p w14:paraId="1E84A07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28.00</w:t>
            </w:r>
          </w:p>
        </w:tc>
        <w:tc>
          <w:tcPr>
            <w:tcW w:w="1704" w:type="dxa"/>
            <w:hideMark/>
          </w:tcPr>
          <w:p w14:paraId="610D93F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68.88</w:t>
            </w:r>
          </w:p>
        </w:tc>
      </w:tr>
      <w:tr w:rsidR="00485294" w:rsidRPr="00B866B7" w14:paraId="3BCEE1CC" w14:textId="77777777" w:rsidTr="00351C01">
        <w:trPr>
          <w:gridBefore w:val="1"/>
          <w:wBefore w:w="17" w:type="dxa"/>
          <w:trHeight w:val="107"/>
          <w:jc w:val="center"/>
        </w:trPr>
        <w:tc>
          <w:tcPr>
            <w:tcW w:w="540" w:type="dxa"/>
            <w:vMerge/>
            <w:hideMark/>
          </w:tcPr>
          <w:p w14:paraId="610874AB"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1C70ABD3"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297C801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250</w:t>
            </w:r>
          </w:p>
        </w:tc>
        <w:tc>
          <w:tcPr>
            <w:tcW w:w="1980" w:type="dxa"/>
            <w:hideMark/>
          </w:tcPr>
          <w:p w14:paraId="284BB6CC"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25.33</w:t>
            </w:r>
          </w:p>
        </w:tc>
        <w:tc>
          <w:tcPr>
            <w:tcW w:w="1704" w:type="dxa"/>
            <w:hideMark/>
          </w:tcPr>
          <w:p w14:paraId="7BB076E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71.85</w:t>
            </w:r>
          </w:p>
        </w:tc>
      </w:tr>
      <w:tr w:rsidR="00485294" w:rsidRPr="00B866B7" w14:paraId="533652C3" w14:textId="77777777" w:rsidTr="00351C01">
        <w:trPr>
          <w:gridBefore w:val="1"/>
          <w:wBefore w:w="17" w:type="dxa"/>
          <w:trHeight w:val="188"/>
          <w:jc w:val="center"/>
        </w:trPr>
        <w:tc>
          <w:tcPr>
            <w:tcW w:w="540" w:type="dxa"/>
            <w:vMerge/>
            <w:hideMark/>
          </w:tcPr>
          <w:p w14:paraId="0AB93371" w14:textId="77777777" w:rsidR="00485294" w:rsidRPr="00B866B7" w:rsidRDefault="00485294" w:rsidP="00CD23AA">
            <w:pPr>
              <w:spacing w:after="0" w:line="360" w:lineRule="auto"/>
              <w:rPr>
                <w:rFonts w:ascii="Times New Roman" w:hAnsi="Times New Roman" w:cs="Times New Roman"/>
                <w:sz w:val="24"/>
                <w:szCs w:val="24"/>
              </w:rPr>
            </w:pPr>
          </w:p>
        </w:tc>
        <w:tc>
          <w:tcPr>
            <w:tcW w:w="3012" w:type="dxa"/>
            <w:vMerge/>
            <w:vAlign w:val="center"/>
            <w:hideMark/>
          </w:tcPr>
          <w:p w14:paraId="7DF731D7" w14:textId="77777777" w:rsidR="00485294" w:rsidRPr="00B866B7" w:rsidRDefault="00485294" w:rsidP="00CD23AA">
            <w:pPr>
              <w:spacing w:after="0" w:line="360" w:lineRule="auto"/>
              <w:rPr>
                <w:rFonts w:ascii="Times New Roman" w:hAnsi="Times New Roman" w:cs="Times New Roman"/>
                <w:sz w:val="24"/>
                <w:szCs w:val="24"/>
              </w:rPr>
            </w:pPr>
          </w:p>
        </w:tc>
        <w:tc>
          <w:tcPr>
            <w:tcW w:w="1530" w:type="dxa"/>
            <w:hideMark/>
          </w:tcPr>
          <w:p w14:paraId="0F40035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500</w:t>
            </w:r>
          </w:p>
        </w:tc>
        <w:tc>
          <w:tcPr>
            <w:tcW w:w="1980" w:type="dxa"/>
            <w:hideMark/>
          </w:tcPr>
          <w:p w14:paraId="25CDBCCF"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24.66</w:t>
            </w:r>
          </w:p>
        </w:tc>
        <w:tc>
          <w:tcPr>
            <w:tcW w:w="1704" w:type="dxa"/>
            <w:hideMark/>
          </w:tcPr>
          <w:p w14:paraId="60D1299D"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72.59</w:t>
            </w:r>
          </w:p>
        </w:tc>
      </w:tr>
      <w:tr w:rsidR="00485294" w:rsidRPr="00B866B7" w14:paraId="44E0194A" w14:textId="77777777" w:rsidTr="00351C01">
        <w:trPr>
          <w:gridBefore w:val="1"/>
          <w:wBefore w:w="17" w:type="dxa"/>
          <w:trHeight w:val="89"/>
          <w:jc w:val="center"/>
        </w:trPr>
        <w:tc>
          <w:tcPr>
            <w:tcW w:w="540" w:type="dxa"/>
            <w:hideMark/>
          </w:tcPr>
          <w:p w14:paraId="6611DDCD"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hideMark/>
          </w:tcPr>
          <w:p w14:paraId="5676EEF1"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Control</w:t>
            </w:r>
          </w:p>
        </w:tc>
        <w:tc>
          <w:tcPr>
            <w:tcW w:w="1980" w:type="dxa"/>
            <w:hideMark/>
          </w:tcPr>
          <w:p w14:paraId="2BB97BD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90.00</w:t>
            </w:r>
          </w:p>
        </w:tc>
        <w:tc>
          <w:tcPr>
            <w:tcW w:w="1704" w:type="dxa"/>
            <w:hideMark/>
          </w:tcPr>
          <w:p w14:paraId="05D12E0B"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0.00</w:t>
            </w:r>
          </w:p>
        </w:tc>
      </w:tr>
      <w:tr w:rsidR="00485294" w:rsidRPr="00B866B7" w14:paraId="75B960C4" w14:textId="77777777" w:rsidTr="00351C01">
        <w:trPr>
          <w:gridBefore w:val="1"/>
          <w:wBefore w:w="17" w:type="dxa"/>
          <w:trHeight w:val="170"/>
          <w:jc w:val="center"/>
        </w:trPr>
        <w:tc>
          <w:tcPr>
            <w:tcW w:w="540" w:type="dxa"/>
          </w:tcPr>
          <w:p w14:paraId="6436F5AF"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B7C378E"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SE(m) ±</w:t>
            </w:r>
          </w:p>
        </w:tc>
        <w:tc>
          <w:tcPr>
            <w:tcW w:w="1980" w:type="dxa"/>
          </w:tcPr>
          <w:p w14:paraId="576C1B86"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1.53</w:t>
            </w:r>
          </w:p>
        </w:tc>
        <w:tc>
          <w:tcPr>
            <w:tcW w:w="1704" w:type="dxa"/>
          </w:tcPr>
          <w:p w14:paraId="6968D4D2" w14:textId="77777777" w:rsidR="00485294" w:rsidRPr="00B866B7" w:rsidRDefault="00485294" w:rsidP="00CD23AA">
            <w:pPr>
              <w:spacing w:after="0" w:line="360" w:lineRule="auto"/>
              <w:jc w:val="center"/>
              <w:rPr>
                <w:rFonts w:ascii="Times New Roman" w:hAnsi="Times New Roman" w:cs="Times New Roman"/>
                <w:sz w:val="24"/>
                <w:szCs w:val="24"/>
              </w:rPr>
            </w:pPr>
          </w:p>
        </w:tc>
      </w:tr>
      <w:tr w:rsidR="00485294" w:rsidRPr="00B866B7" w14:paraId="09580A46" w14:textId="77777777" w:rsidTr="00351C01">
        <w:trPr>
          <w:gridBefore w:val="1"/>
          <w:wBefore w:w="17" w:type="dxa"/>
          <w:trHeight w:val="170"/>
          <w:jc w:val="center"/>
        </w:trPr>
        <w:tc>
          <w:tcPr>
            <w:tcW w:w="540" w:type="dxa"/>
          </w:tcPr>
          <w:p w14:paraId="63C22F4B"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B9D464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C.D. at 5%</w:t>
            </w:r>
          </w:p>
        </w:tc>
        <w:tc>
          <w:tcPr>
            <w:tcW w:w="1980" w:type="dxa"/>
          </w:tcPr>
          <w:p w14:paraId="4B9D2F0A"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4.30</w:t>
            </w:r>
          </w:p>
        </w:tc>
        <w:tc>
          <w:tcPr>
            <w:tcW w:w="1704" w:type="dxa"/>
          </w:tcPr>
          <w:p w14:paraId="68225D09" w14:textId="77777777" w:rsidR="00485294" w:rsidRPr="00B866B7" w:rsidRDefault="00485294" w:rsidP="00CD23AA">
            <w:pPr>
              <w:spacing w:after="0" w:line="360" w:lineRule="auto"/>
              <w:jc w:val="center"/>
              <w:rPr>
                <w:rFonts w:ascii="Times New Roman" w:hAnsi="Times New Roman" w:cs="Times New Roman"/>
                <w:sz w:val="24"/>
                <w:szCs w:val="24"/>
              </w:rPr>
            </w:pPr>
          </w:p>
        </w:tc>
      </w:tr>
      <w:tr w:rsidR="00485294" w:rsidRPr="00B866B7" w14:paraId="0B7C503F" w14:textId="77777777" w:rsidTr="00351C01">
        <w:trPr>
          <w:gridBefore w:val="1"/>
          <w:wBefore w:w="17" w:type="dxa"/>
          <w:trHeight w:val="71"/>
          <w:jc w:val="center"/>
        </w:trPr>
        <w:tc>
          <w:tcPr>
            <w:tcW w:w="540" w:type="dxa"/>
          </w:tcPr>
          <w:p w14:paraId="118ED767" w14:textId="77777777" w:rsidR="00485294" w:rsidRPr="00B866B7" w:rsidRDefault="00485294" w:rsidP="00CD23AA">
            <w:pPr>
              <w:spacing w:after="0" w:line="360" w:lineRule="auto"/>
              <w:rPr>
                <w:rFonts w:ascii="Times New Roman" w:hAnsi="Times New Roman" w:cs="Times New Roman"/>
                <w:sz w:val="24"/>
                <w:szCs w:val="24"/>
              </w:rPr>
            </w:pPr>
          </w:p>
        </w:tc>
        <w:tc>
          <w:tcPr>
            <w:tcW w:w="4542" w:type="dxa"/>
            <w:gridSpan w:val="2"/>
          </w:tcPr>
          <w:p w14:paraId="2FEA5832"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C.V. (%)</w:t>
            </w:r>
          </w:p>
        </w:tc>
        <w:tc>
          <w:tcPr>
            <w:tcW w:w="1980" w:type="dxa"/>
          </w:tcPr>
          <w:p w14:paraId="4C463E78" w14:textId="77777777" w:rsidR="00485294" w:rsidRPr="00B866B7" w:rsidRDefault="00485294" w:rsidP="00CD23AA">
            <w:pPr>
              <w:spacing w:after="0" w:line="360" w:lineRule="auto"/>
              <w:jc w:val="center"/>
              <w:rPr>
                <w:rFonts w:ascii="Times New Roman" w:hAnsi="Times New Roman" w:cs="Times New Roman"/>
                <w:sz w:val="24"/>
                <w:szCs w:val="24"/>
              </w:rPr>
            </w:pPr>
            <w:r w:rsidRPr="00B866B7">
              <w:rPr>
                <w:rFonts w:ascii="Times New Roman" w:hAnsi="Times New Roman" w:cs="Times New Roman"/>
                <w:sz w:val="24"/>
                <w:szCs w:val="24"/>
              </w:rPr>
              <w:t>2.17</w:t>
            </w:r>
          </w:p>
        </w:tc>
        <w:tc>
          <w:tcPr>
            <w:tcW w:w="1704" w:type="dxa"/>
          </w:tcPr>
          <w:p w14:paraId="3DD7664C" w14:textId="77777777" w:rsidR="00485294" w:rsidRPr="00B866B7" w:rsidRDefault="00485294" w:rsidP="00CD23AA">
            <w:pPr>
              <w:spacing w:after="0" w:line="360" w:lineRule="auto"/>
              <w:jc w:val="center"/>
              <w:rPr>
                <w:rFonts w:ascii="Times New Roman" w:hAnsi="Times New Roman" w:cs="Times New Roman"/>
                <w:sz w:val="24"/>
                <w:szCs w:val="24"/>
              </w:rPr>
            </w:pPr>
          </w:p>
        </w:tc>
      </w:tr>
    </w:tbl>
    <w:p w14:paraId="3B1F442C" w14:textId="77777777" w:rsidR="00116B62" w:rsidRPr="00B866B7" w:rsidRDefault="00116B62" w:rsidP="00CD23AA">
      <w:pPr>
        <w:pStyle w:val="Heading2"/>
        <w:spacing w:line="360" w:lineRule="auto"/>
        <w:jc w:val="both"/>
        <w:rPr>
          <w:rFonts w:ascii="Times New Roman" w:hAnsi="Times New Roman" w:cs="Times New Roman"/>
          <w:b w:val="0"/>
          <w:color w:val="auto"/>
          <w:sz w:val="24"/>
          <w:szCs w:val="24"/>
        </w:rPr>
      </w:pPr>
      <w:r w:rsidRPr="00B866B7">
        <w:rPr>
          <w:rFonts w:ascii="Times New Roman" w:hAnsi="Times New Roman" w:cs="Times New Roman"/>
          <w:b w:val="0"/>
          <w:color w:val="auto"/>
          <w:sz w:val="24"/>
          <w:szCs w:val="24"/>
        </w:rPr>
        <w:lastRenderedPageBreak/>
        <w:t xml:space="preserve">Javaid et al. (2004) identified Benomyl as the most potent fungicide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with </w:t>
      </w:r>
      <w:proofErr w:type="spellStart"/>
      <w:r w:rsidRPr="00B866B7">
        <w:rPr>
          <w:rFonts w:ascii="Times New Roman" w:hAnsi="Times New Roman" w:cs="Times New Roman"/>
          <w:b w:val="0"/>
          <w:color w:val="auto"/>
          <w:sz w:val="24"/>
          <w:szCs w:val="24"/>
        </w:rPr>
        <w:t>Ridomil</w:t>
      </w:r>
      <w:proofErr w:type="spellEnd"/>
      <w:r w:rsidRPr="00B866B7">
        <w:rPr>
          <w:rFonts w:ascii="Times New Roman" w:hAnsi="Times New Roman" w:cs="Times New Roman"/>
          <w:b w:val="0"/>
          <w:color w:val="auto"/>
          <w:sz w:val="24"/>
          <w:szCs w:val="24"/>
        </w:rPr>
        <w:t xml:space="preserve"> gold (</w:t>
      </w:r>
      <w:proofErr w:type="spellStart"/>
      <w:r w:rsidRPr="00B866B7">
        <w:rPr>
          <w:rFonts w:ascii="Times New Roman" w:hAnsi="Times New Roman" w:cs="Times New Roman"/>
          <w:b w:val="0"/>
          <w:color w:val="auto"/>
          <w:sz w:val="24"/>
          <w:szCs w:val="24"/>
        </w:rPr>
        <w:t>Metalaxyl</w:t>
      </w:r>
      <w:proofErr w:type="spellEnd"/>
      <w:r w:rsidRPr="00B866B7">
        <w:rPr>
          <w:rFonts w:ascii="Times New Roman" w:hAnsi="Times New Roman" w:cs="Times New Roman"/>
          <w:b w:val="0"/>
          <w:color w:val="auto"/>
          <w:sz w:val="24"/>
          <w:szCs w:val="24"/>
        </w:rPr>
        <w:t xml:space="preserve">) following closely. Mallesh and </w:t>
      </w:r>
      <w:proofErr w:type="spellStart"/>
      <w:r w:rsidRPr="00B866B7">
        <w:rPr>
          <w:rFonts w:ascii="Times New Roman" w:hAnsi="Times New Roman" w:cs="Times New Roman"/>
          <w:b w:val="0"/>
          <w:color w:val="auto"/>
          <w:sz w:val="24"/>
          <w:szCs w:val="24"/>
        </w:rPr>
        <w:t>Narendrappa</w:t>
      </w:r>
      <w:proofErr w:type="spellEnd"/>
      <w:r w:rsidRPr="00B866B7">
        <w:rPr>
          <w:rFonts w:ascii="Times New Roman" w:hAnsi="Times New Roman" w:cs="Times New Roman"/>
          <w:b w:val="0"/>
          <w:color w:val="auto"/>
          <w:sz w:val="24"/>
          <w:szCs w:val="24"/>
        </w:rPr>
        <w:t xml:space="preserve"> (2010) demonstrated that mancozeb and carbendazim achieved complete inhibition of </w:t>
      </w:r>
      <w:r w:rsidRPr="00B866B7">
        <w:rPr>
          <w:rFonts w:ascii="Times New Roman" w:hAnsi="Times New Roman" w:cs="Times New Roman"/>
          <w:b w:val="0"/>
          <w:i/>
          <w:color w:val="auto"/>
          <w:sz w:val="24"/>
          <w:szCs w:val="24"/>
        </w:rPr>
        <w:t xml:space="preserve">F.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across all tested concentrations </w:t>
      </w:r>
      <w:r w:rsidRPr="00B866B7">
        <w:rPr>
          <w:rFonts w:ascii="Times New Roman" w:hAnsi="Times New Roman" w:cs="Times New Roman"/>
          <w:b w:val="0"/>
          <w:i/>
          <w:color w:val="auto"/>
          <w:sz w:val="24"/>
          <w:szCs w:val="24"/>
        </w:rPr>
        <w:t>in vitro</w:t>
      </w:r>
      <w:r w:rsidRPr="00B866B7">
        <w:rPr>
          <w:rFonts w:ascii="Times New Roman" w:hAnsi="Times New Roman" w:cs="Times New Roman"/>
          <w:b w:val="0"/>
          <w:color w:val="auto"/>
          <w:sz w:val="24"/>
          <w:szCs w:val="24"/>
        </w:rPr>
        <w:t xml:space="preserve">. In a separate study by Muneeb et al. (2011), Carbendazim at concentrations of 100, 200, and 500 ppm was found to exert the highest percentage of inhibition on fungal pathogens, including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oxysporum</w:t>
      </w:r>
      <w:proofErr w:type="spellEnd"/>
      <w:r w:rsidRPr="00B866B7">
        <w:rPr>
          <w:rFonts w:ascii="Times New Roman" w:hAnsi="Times New Roman" w:cs="Times New Roman"/>
          <w:b w:val="0"/>
          <w:color w:val="auto"/>
          <w:sz w:val="24"/>
          <w:szCs w:val="24"/>
        </w:rPr>
        <w:t xml:space="preserve"> f. sp. </w:t>
      </w:r>
      <w:proofErr w:type="spellStart"/>
      <w:r w:rsidRPr="00B866B7">
        <w:rPr>
          <w:rFonts w:ascii="Times New Roman" w:hAnsi="Times New Roman" w:cs="Times New Roman"/>
          <w:b w:val="0"/>
          <w:i/>
          <w:color w:val="auto"/>
          <w:sz w:val="24"/>
          <w:szCs w:val="24"/>
        </w:rPr>
        <w:t>ciceri</w:t>
      </w:r>
      <w:proofErr w:type="spellEnd"/>
      <w:r w:rsidRPr="00B866B7">
        <w:rPr>
          <w:rFonts w:ascii="Times New Roman" w:hAnsi="Times New Roman" w:cs="Times New Roman"/>
          <w:b w:val="0"/>
          <w:i/>
          <w:color w:val="auto"/>
          <w:sz w:val="24"/>
          <w:szCs w:val="24"/>
        </w:rPr>
        <w:t xml:space="preserve">, 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and </w:t>
      </w:r>
      <w:r w:rsidRPr="00B866B7">
        <w:rPr>
          <w:rFonts w:ascii="Times New Roman" w:hAnsi="Times New Roman" w:cs="Times New Roman"/>
          <w:b w:val="0"/>
          <w:i/>
          <w:color w:val="auto"/>
          <w:sz w:val="24"/>
          <w:szCs w:val="24"/>
        </w:rPr>
        <w:t xml:space="preserve">Rhizoctonia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which were isolated from wilt-infected chickpea (</w:t>
      </w:r>
      <w:r w:rsidRPr="00B866B7">
        <w:rPr>
          <w:rFonts w:ascii="Times New Roman" w:hAnsi="Times New Roman" w:cs="Times New Roman"/>
          <w:b w:val="0"/>
          <w:i/>
          <w:color w:val="auto"/>
          <w:sz w:val="24"/>
          <w:szCs w:val="24"/>
        </w:rPr>
        <w:t>Cicer arietinum</w:t>
      </w:r>
      <w:r w:rsidRPr="00B866B7">
        <w:rPr>
          <w:rFonts w:ascii="Times New Roman" w:hAnsi="Times New Roman" w:cs="Times New Roman"/>
          <w:b w:val="0"/>
          <w:color w:val="auto"/>
          <w:sz w:val="24"/>
          <w:szCs w:val="24"/>
        </w:rPr>
        <w:t xml:space="preserve">) plants. Choudhari et al. (2012) evaluated five fungicides against </w:t>
      </w:r>
      <w:r w:rsidRPr="00B866B7">
        <w:rPr>
          <w:rFonts w:ascii="Times New Roman" w:hAnsi="Times New Roman" w:cs="Times New Roman"/>
          <w:b w:val="0"/>
          <w:i/>
          <w:color w:val="auto"/>
          <w:sz w:val="24"/>
          <w:szCs w:val="24"/>
        </w:rPr>
        <w:t xml:space="preserve">F.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w:t>
      </w:r>
      <w:r w:rsidRPr="00B866B7">
        <w:rPr>
          <w:rFonts w:ascii="Times New Roman" w:hAnsi="Times New Roman" w:cs="Times New Roman"/>
          <w:b w:val="0"/>
          <w:i/>
          <w:color w:val="auto"/>
          <w:sz w:val="24"/>
          <w:szCs w:val="24"/>
        </w:rPr>
        <w:t>in vitro</w:t>
      </w:r>
      <w:r w:rsidRPr="00B866B7">
        <w:rPr>
          <w:rFonts w:ascii="Times New Roman" w:hAnsi="Times New Roman" w:cs="Times New Roman"/>
          <w:b w:val="0"/>
          <w:color w:val="auto"/>
          <w:sz w:val="24"/>
          <w:szCs w:val="24"/>
        </w:rPr>
        <w:t xml:space="preserve"> and reported that Carbendazim completely inhibited fungal growth at concentrations of 100, 250, and 500 ppm. Additionally, Kumari et al. (2014) assessed four fungicides along with the biocontrol agent </w:t>
      </w:r>
      <w:r w:rsidRPr="00B866B7">
        <w:rPr>
          <w:rFonts w:ascii="Times New Roman" w:hAnsi="Times New Roman" w:cs="Times New Roman"/>
          <w:b w:val="0"/>
          <w:i/>
          <w:color w:val="auto"/>
          <w:sz w:val="24"/>
          <w:szCs w:val="24"/>
        </w:rPr>
        <w:t>Trichoderma viride</w:t>
      </w:r>
      <w:r w:rsidRPr="00B866B7">
        <w:rPr>
          <w:rFonts w:ascii="Times New Roman" w:hAnsi="Times New Roman" w:cs="Times New Roman"/>
          <w:b w:val="0"/>
          <w:color w:val="auto"/>
          <w:sz w:val="24"/>
          <w:szCs w:val="24"/>
        </w:rPr>
        <w:t xml:space="preserv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oxysporum</w:t>
      </w:r>
      <w:proofErr w:type="spellEnd"/>
      <w:r w:rsidRPr="00B866B7">
        <w:rPr>
          <w:rFonts w:ascii="Times New Roman" w:hAnsi="Times New Roman" w:cs="Times New Roman"/>
          <w:b w:val="0"/>
          <w:color w:val="auto"/>
          <w:sz w:val="24"/>
          <w:szCs w:val="24"/>
        </w:rPr>
        <w:t xml:space="preserve"> f. sp. </w:t>
      </w:r>
      <w:proofErr w:type="spellStart"/>
      <w:r w:rsidRPr="00B866B7">
        <w:rPr>
          <w:rFonts w:ascii="Times New Roman" w:hAnsi="Times New Roman" w:cs="Times New Roman"/>
          <w:b w:val="0"/>
          <w:i/>
          <w:color w:val="auto"/>
          <w:sz w:val="24"/>
          <w:szCs w:val="24"/>
        </w:rPr>
        <w:t>cubense</w:t>
      </w:r>
      <w:proofErr w:type="spellEnd"/>
      <w:r w:rsidRPr="00B866B7">
        <w:rPr>
          <w:rFonts w:ascii="Times New Roman" w:hAnsi="Times New Roman" w:cs="Times New Roman"/>
          <w:b w:val="0"/>
          <w:i/>
          <w:color w:val="auto"/>
          <w:sz w:val="24"/>
          <w:szCs w:val="24"/>
        </w:rPr>
        <w:t xml:space="preserve"> in vitro</w:t>
      </w:r>
      <w:r w:rsidRPr="00B866B7">
        <w:rPr>
          <w:rFonts w:ascii="Times New Roman" w:hAnsi="Times New Roman" w:cs="Times New Roman"/>
          <w:b w:val="0"/>
          <w:color w:val="auto"/>
          <w:sz w:val="24"/>
          <w:szCs w:val="24"/>
        </w:rPr>
        <w:t xml:space="preserve">, concluding that both carbendazim at all concentrations and </w:t>
      </w:r>
      <w:r w:rsidRPr="00B866B7">
        <w:rPr>
          <w:rFonts w:ascii="Times New Roman" w:hAnsi="Times New Roman" w:cs="Times New Roman"/>
          <w:b w:val="0"/>
          <w:i/>
          <w:color w:val="auto"/>
          <w:sz w:val="24"/>
          <w:szCs w:val="24"/>
        </w:rPr>
        <w:t>Trichoderma viride</w:t>
      </w:r>
      <w:r w:rsidRPr="00B866B7">
        <w:rPr>
          <w:rFonts w:ascii="Times New Roman" w:hAnsi="Times New Roman" w:cs="Times New Roman"/>
          <w:b w:val="0"/>
          <w:color w:val="auto"/>
          <w:sz w:val="24"/>
          <w:szCs w:val="24"/>
        </w:rPr>
        <w:t xml:space="preserve"> were significantly effective in entirely inhibiting the mycelial growth of the pathogen, thereby recommending their use for managing Fusarium wilt in banana. </w:t>
      </w:r>
      <w:r w:rsidR="00B46379" w:rsidRPr="00B866B7">
        <w:rPr>
          <w:rFonts w:ascii="Times New Roman" w:eastAsia="Times New Roman" w:hAnsi="Times New Roman" w:cs="Times New Roman"/>
          <w:b w:val="0"/>
          <w:color w:val="auto"/>
          <w:sz w:val="24"/>
          <w:szCs w:val="24"/>
        </w:rPr>
        <w:t xml:space="preserve">Gupta et al. (2020) </w:t>
      </w:r>
      <w:r w:rsidRPr="00B866B7">
        <w:rPr>
          <w:rFonts w:ascii="Times New Roman" w:hAnsi="Times New Roman" w:cs="Times New Roman"/>
          <w:b w:val="0"/>
          <w:color w:val="auto"/>
          <w:sz w:val="24"/>
          <w:szCs w:val="24"/>
        </w:rPr>
        <w:t xml:space="preserve">conducted a screening of seven fungicides targeting the root rot pathogen,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and identified Carbendazim as the most effective agent, achieving a 93% reduction in mycelial growth compared to the control, followed closely by Thiophanate methyl, which demonstrated an 89.7% inhibition at a concentration of 150 ppm. In a related investigation, Kumhar et al. (2015) found Copper oxychloride to be the most potent fungicide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achieving an 85.05% inhibition over the control. Dorugade et al. (2015) assessed the effectiveness of the fungicide Benomyl at various concentrations against the elephant foot yam pathogen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on potato dextrose agar (PDA), noting that isolate fd-9 from </w:t>
      </w:r>
      <w:proofErr w:type="spellStart"/>
      <w:r w:rsidRPr="00B866B7">
        <w:rPr>
          <w:rFonts w:ascii="Times New Roman" w:hAnsi="Times New Roman" w:cs="Times New Roman"/>
          <w:b w:val="0"/>
          <w:color w:val="auto"/>
          <w:sz w:val="24"/>
          <w:szCs w:val="24"/>
        </w:rPr>
        <w:t>Bidoor</w:t>
      </w:r>
      <w:proofErr w:type="spellEnd"/>
      <w:r w:rsidRPr="00B866B7">
        <w:rPr>
          <w:rFonts w:ascii="Times New Roman" w:hAnsi="Times New Roman" w:cs="Times New Roman"/>
          <w:b w:val="0"/>
          <w:color w:val="auto"/>
          <w:sz w:val="24"/>
          <w:szCs w:val="24"/>
        </w:rPr>
        <w:t xml:space="preserve"> was sensitive at 25 ppm, while isolate fs-3 exhibited high resistance at 100 ppm. </w:t>
      </w:r>
      <w:proofErr w:type="spellStart"/>
      <w:r w:rsidRPr="00B866B7">
        <w:rPr>
          <w:rFonts w:ascii="Times New Roman" w:hAnsi="Times New Roman" w:cs="Times New Roman"/>
          <w:b w:val="0"/>
          <w:color w:val="auto"/>
          <w:sz w:val="24"/>
          <w:szCs w:val="24"/>
        </w:rPr>
        <w:t>Ghante</w:t>
      </w:r>
      <w:proofErr w:type="spellEnd"/>
      <w:r w:rsidRPr="00B866B7">
        <w:rPr>
          <w:rFonts w:ascii="Times New Roman" w:hAnsi="Times New Roman" w:cs="Times New Roman"/>
          <w:b w:val="0"/>
          <w:color w:val="auto"/>
          <w:sz w:val="24"/>
          <w:szCs w:val="24"/>
        </w:rPr>
        <w:t xml:space="preserve"> et al. (201</w:t>
      </w:r>
      <w:r w:rsidR="00B866B7" w:rsidRPr="00B866B7">
        <w:rPr>
          <w:rFonts w:ascii="Times New Roman" w:hAnsi="Times New Roman" w:cs="Times New Roman"/>
          <w:b w:val="0"/>
          <w:color w:val="auto"/>
          <w:sz w:val="24"/>
          <w:szCs w:val="24"/>
        </w:rPr>
        <w:t>8</w:t>
      </w:r>
      <w:r w:rsidRPr="00B866B7">
        <w:rPr>
          <w:rFonts w:ascii="Times New Roman" w:hAnsi="Times New Roman" w:cs="Times New Roman"/>
          <w:b w:val="0"/>
          <w:color w:val="auto"/>
          <w:sz w:val="24"/>
          <w:szCs w:val="24"/>
        </w:rPr>
        <w:t xml:space="preserve">) reported that azoxystrobin, hexaconazole, and </w:t>
      </w:r>
      <w:proofErr w:type="spellStart"/>
      <w:r w:rsidRPr="00B866B7">
        <w:rPr>
          <w:rFonts w:ascii="Times New Roman" w:hAnsi="Times New Roman" w:cs="Times New Roman"/>
          <w:b w:val="0"/>
          <w:color w:val="auto"/>
          <w:sz w:val="24"/>
          <w:szCs w:val="24"/>
        </w:rPr>
        <w:t>difenconazole</w:t>
      </w:r>
      <w:proofErr w:type="spellEnd"/>
      <w:r w:rsidRPr="00B866B7">
        <w:rPr>
          <w:rFonts w:ascii="Times New Roman" w:hAnsi="Times New Roman" w:cs="Times New Roman"/>
          <w:b w:val="0"/>
          <w:color w:val="auto"/>
          <w:sz w:val="24"/>
          <w:szCs w:val="24"/>
        </w:rPr>
        <w:t xml:space="preserve"> were effective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udum</w:t>
      </w:r>
      <w:proofErr w:type="spellEnd"/>
      <w:r w:rsidRPr="00B866B7">
        <w:rPr>
          <w:rFonts w:ascii="Times New Roman" w:hAnsi="Times New Roman" w:cs="Times New Roman"/>
          <w:b w:val="0"/>
          <w:i/>
          <w:color w:val="auto"/>
          <w:sz w:val="24"/>
          <w:szCs w:val="24"/>
        </w:rPr>
        <w:t xml:space="preserve"> in vitro</w:t>
      </w:r>
      <w:r w:rsidRPr="00B866B7">
        <w:rPr>
          <w:rFonts w:ascii="Times New Roman" w:hAnsi="Times New Roman" w:cs="Times New Roman"/>
          <w:b w:val="0"/>
          <w:color w:val="auto"/>
          <w:sz w:val="24"/>
          <w:szCs w:val="24"/>
        </w:rPr>
        <w:t xml:space="preserve">. </w:t>
      </w:r>
      <w:proofErr w:type="spellStart"/>
      <w:r w:rsidRPr="00B866B7">
        <w:rPr>
          <w:rFonts w:ascii="Times New Roman" w:hAnsi="Times New Roman" w:cs="Times New Roman"/>
          <w:b w:val="0"/>
          <w:color w:val="auto"/>
          <w:sz w:val="24"/>
          <w:szCs w:val="24"/>
        </w:rPr>
        <w:t>Gadhave</w:t>
      </w:r>
      <w:proofErr w:type="spellEnd"/>
      <w:r w:rsidRPr="00B866B7">
        <w:rPr>
          <w:rFonts w:ascii="Times New Roman" w:hAnsi="Times New Roman" w:cs="Times New Roman"/>
          <w:b w:val="0"/>
          <w:color w:val="auto"/>
          <w:sz w:val="24"/>
          <w:szCs w:val="24"/>
        </w:rPr>
        <w:t xml:space="preserve"> et al. (2020) demonstrated that the inhibition percentages of Azoxystrobin at concentrations of 500 ppm, 750 ppm, and 1000 ppm were 31.29%, 45%, and 52.00%, respectively. </w:t>
      </w:r>
      <w:proofErr w:type="spellStart"/>
      <w:r w:rsidRPr="00B866B7">
        <w:rPr>
          <w:rFonts w:ascii="Times New Roman" w:hAnsi="Times New Roman" w:cs="Times New Roman"/>
          <w:b w:val="0"/>
          <w:color w:val="auto"/>
          <w:sz w:val="24"/>
          <w:szCs w:val="24"/>
        </w:rPr>
        <w:t>Difenconazole</w:t>
      </w:r>
      <w:proofErr w:type="spellEnd"/>
      <w:r w:rsidRPr="00B866B7">
        <w:rPr>
          <w:rFonts w:ascii="Times New Roman" w:hAnsi="Times New Roman" w:cs="Times New Roman"/>
          <w:b w:val="0"/>
          <w:color w:val="auto"/>
          <w:sz w:val="24"/>
          <w:szCs w:val="24"/>
        </w:rPr>
        <w:t xml:space="preserve"> showed inhibition rates of 72.59%, 82.82%, and 83.33% at the same </w:t>
      </w:r>
      <w:r w:rsidRPr="00B866B7">
        <w:rPr>
          <w:rFonts w:ascii="Times New Roman" w:hAnsi="Times New Roman" w:cs="Times New Roman"/>
          <w:b w:val="0"/>
          <w:bCs w:val="0"/>
          <w:color w:val="auto"/>
          <w:sz w:val="24"/>
          <w:szCs w:val="24"/>
        </w:rPr>
        <w:t>concentrations;</w:t>
      </w:r>
      <w:r w:rsidRPr="00B866B7">
        <w:rPr>
          <w:rFonts w:ascii="Times New Roman" w:hAnsi="Times New Roman" w:cs="Times New Roman"/>
          <w:b w:val="0"/>
          <w:color w:val="auto"/>
          <w:sz w:val="24"/>
          <w:szCs w:val="24"/>
        </w:rPr>
        <w:t xml:space="preserve"> while Carbendazim achieved complete inhibition (100%) at all tested concentrations against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lycopersici</w:t>
      </w:r>
      <w:proofErr w:type="spellEnd"/>
      <w:r w:rsidRPr="00B866B7">
        <w:rPr>
          <w:rFonts w:ascii="Times New Roman" w:hAnsi="Times New Roman" w:cs="Times New Roman"/>
          <w:b w:val="0"/>
          <w:color w:val="auto"/>
          <w:sz w:val="24"/>
          <w:szCs w:val="24"/>
        </w:rPr>
        <w:t>.</w:t>
      </w:r>
      <w:r w:rsidRPr="00B866B7">
        <w:rPr>
          <w:rFonts w:ascii="Times New Roman" w:hAnsi="Times New Roman" w:cs="Times New Roman"/>
          <w:b w:val="0"/>
          <w:bCs w:val="0"/>
          <w:color w:val="auto"/>
          <w:sz w:val="24"/>
          <w:szCs w:val="24"/>
        </w:rPr>
        <w:t xml:space="preserve"> </w:t>
      </w:r>
      <w:r w:rsidRPr="00B866B7">
        <w:rPr>
          <w:rFonts w:ascii="Times New Roman" w:hAnsi="Times New Roman" w:cs="Times New Roman"/>
          <w:b w:val="0"/>
          <w:color w:val="auto"/>
          <w:sz w:val="24"/>
          <w:szCs w:val="24"/>
        </w:rPr>
        <w:t>Gupta et al. (2020) conducted an assessment of the effectiveness of six fungicides at three distinct concentrations</w:t>
      </w:r>
      <w:r w:rsidRPr="00B866B7">
        <w:rPr>
          <w:rFonts w:ascii="Times New Roman" w:hAnsi="Times New Roman" w:cs="Times New Roman"/>
          <w:b w:val="0"/>
          <w:bCs w:val="0"/>
          <w:color w:val="auto"/>
          <w:sz w:val="24"/>
          <w:szCs w:val="24"/>
        </w:rPr>
        <w:t xml:space="preserve"> </w:t>
      </w:r>
      <w:r w:rsidRPr="00B866B7">
        <w:rPr>
          <w:rFonts w:ascii="Times New Roman" w:hAnsi="Times New Roman" w:cs="Times New Roman"/>
          <w:b w:val="0"/>
          <w:color w:val="auto"/>
          <w:sz w:val="24"/>
          <w:szCs w:val="24"/>
        </w:rPr>
        <w:t xml:space="preserve">50, </w:t>
      </w:r>
      <w:r w:rsidRPr="00B866B7">
        <w:rPr>
          <w:rFonts w:ascii="Times New Roman" w:hAnsi="Times New Roman" w:cs="Times New Roman"/>
          <w:b w:val="0"/>
          <w:bCs w:val="0"/>
          <w:color w:val="auto"/>
          <w:sz w:val="24"/>
          <w:szCs w:val="24"/>
        </w:rPr>
        <w:t xml:space="preserve">100, and 150 ppm </w:t>
      </w:r>
      <w:r w:rsidRPr="00B866B7">
        <w:rPr>
          <w:rFonts w:ascii="Times New Roman" w:hAnsi="Times New Roman" w:cs="Times New Roman"/>
          <w:b w:val="0"/>
          <w:color w:val="auto"/>
          <w:sz w:val="24"/>
          <w:szCs w:val="24"/>
        </w:rPr>
        <w:t xml:space="preserve">against five isolates of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xml:space="preserve"> using the poisoned food technique in vitro. Their findings indicated that while all six fungicides</w:t>
      </w:r>
      <w:r w:rsidR="0041276C" w:rsidRPr="00B866B7">
        <w:rPr>
          <w:rFonts w:ascii="Times New Roman" w:hAnsi="Times New Roman" w:cs="Times New Roman"/>
          <w:b w:val="0"/>
          <w:color w:val="auto"/>
          <w:sz w:val="24"/>
          <w:szCs w:val="24"/>
        </w:rPr>
        <w:t xml:space="preserve"> </w:t>
      </w:r>
      <w:r w:rsidRPr="00B866B7">
        <w:rPr>
          <w:rFonts w:ascii="Times New Roman" w:hAnsi="Times New Roman" w:cs="Times New Roman"/>
          <w:b w:val="0"/>
          <w:color w:val="auto"/>
          <w:sz w:val="24"/>
          <w:szCs w:val="24"/>
        </w:rPr>
        <w:t xml:space="preserve">significantly inhibited the mycelial </w:t>
      </w:r>
      <w:r w:rsidRPr="00B866B7">
        <w:rPr>
          <w:rFonts w:ascii="Times New Roman" w:hAnsi="Times New Roman" w:cs="Times New Roman"/>
          <w:b w:val="0"/>
          <w:color w:val="auto"/>
          <w:sz w:val="24"/>
          <w:szCs w:val="24"/>
        </w:rPr>
        <w:lastRenderedPageBreak/>
        <w:t xml:space="preserve">growth of the pathogen, Carbendazim 50% WP at a concentration of 150 ppm achieved the highest percentage of inhibition (95%) compared to the control, whereas Azoxystrobin exhibited the lowest inhibition rate, ranging from 70% to 74%. Furthermore, Kumar and Verma (2023) highlighted that the repeated application of chemical fungicides may lead to the development of resistance in </w:t>
      </w:r>
      <w:r w:rsidRPr="00B866B7">
        <w:rPr>
          <w:rFonts w:ascii="Times New Roman" w:hAnsi="Times New Roman" w:cs="Times New Roman"/>
          <w:b w:val="0"/>
          <w:i/>
          <w:color w:val="auto"/>
          <w:sz w:val="24"/>
          <w:szCs w:val="24"/>
        </w:rPr>
        <w:t xml:space="preserve">Fusarium </w:t>
      </w:r>
      <w:proofErr w:type="spellStart"/>
      <w:r w:rsidRPr="00B866B7">
        <w:rPr>
          <w:rFonts w:ascii="Times New Roman" w:hAnsi="Times New Roman" w:cs="Times New Roman"/>
          <w:b w:val="0"/>
          <w:i/>
          <w:color w:val="auto"/>
          <w:sz w:val="24"/>
          <w:szCs w:val="24"/>
        </w:rPr>
        <w:t>solani</w:t>
      </w:r>
      <w:proofErr w:type="spellEnd"/>
      <w:r w:rsidRPr="00B866B7">
        <w:rPr>
          <w:rFonts w:ascii="Times New Roman" w:hAnsi="Times New Roman" w:cs="Times New Roman"/>
          <w:b w:val="0"/>
          <w:color w:val="auto"/>
          <w:sz w:val="24"/>
          <w:szCs w:val="24"/>
        </w:rPr>
        <w:t>, thereby diminishing the efficacy of chemical control measures. In contrast, biological control agents employ a variety of mechanisms to suppress pathogens, which complicates the potential for resistance development and promotes sustained effectiveness.</w:t>
      </w:r>
    </w:p>
    <w:p w14:paraId="39872A2C" w14:textId="77777777" w:rsidR="00B2429D" w:rsidRPr="00B866B7" w:rsidRDefault="0041276C" w:rsidP="00CD23AA">
      <w:pPr>
        <w:pStyle w:val="ListParagraph"/>
        <w:numPr>
          <w:ilvl w:val="0"/>
          <w:numId w:val="4"/>
        </w:numPr>
        <w:spacing w:after="0" w:line="360" w:lineRule="auto"/>
        <w:jc w:val="both"/>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Conclusion</w:t>
      </w:r>
    </w:p>
    <w:p w14:paraId="116999D4" w14:textId="77777777" w:rsidR="00F02140" w:rsidRPr="00B866B7" w:rsidRDefault="00B2429D" w:rsidP="00CD23AA">
      <w:pPr>
        <w:spacing w:after="0" w:line="360" w:lineRule="auto"/>
        <w:jc w:val="both"/>
        <w:rPr>
          <w:rFonts w:ascii="Times New Roman" w:hAnsi="Times New Roman" w:cs="Times New Roman"/>
          <w:sz w:val="24"/>
          <w:szCs w:val="24"/>
        </w:rPr>
      </w:pPr>
      <w:r w:rsidRPr="00B866B7">
        <w:rPr>
          <w:rFonts w:ascii="Times New Roman" w:hAnsi="Times New Roman" w:cs="Times New Roman"/>
          <w:sz w:val="24"/>
          <w:szCs w:val="24"/>
        </w:rPr>
        <w:t xml:space="preserve">Fungicides are going to stay a crucial role in the management of plant diseases in the near future. Many significant plant diseases can be effectively controlled using new systemic compounds that operate efficiently at lower application rates. The findings reveal that the fungicides assessed successfully mitigated root rot disease caused by </w:t>
      </w:r>
      <w:r w:rsidRPr="00B866B7">
        <w:rPr>
          <w:rFonts w:ascii="Times New Roman" w:hAnsi="Times New Roman" w:cs="Times New Roman"/>
          <w:i/>
          <w:sz w:val="24"/>
          <w:szCs w:val="24"/>
        </w:rPr>
        <w:t xml:space="preserve">Fusarium </w:t>
      </w:r>
      <w:proofErr w:type="spellStart"/>
      <w:r w:rsidRPr="00B866B7">
        <w:rPr>
          <w:rFonts w:ascii="Times New Roman" w:hAnsi="Times New Roman" w:cs="Times New Roman"/>
          <w:i/>
          <w:sz w:val="24"/>
          <w:szCs w:val="24"/>
        </w:rPr>
        <w:t>solani</w:t>
      </w:r>
      <w:proofErr w:type="spellEnd"/>
      <w:r w:rsidRPr="00B866B7">
        <w:rPr>
          <w:rFonts w:ascii="Times New Roman" w:hAnsi="Times New Roman" w:cs="Times New Roman"/>
          <w:sz w:val="24"/>
          <w:szCs w:val="24"/>
        </w:rPr>
        <w:t xml:space="preserve">. Among all the fungicides tested, the combination of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and Mancozeb at a concentration of 100 ppm exhibited the greatest effectiveness, achieving complete suppression of fungal mycelial growth. Consequently, this study concludes that the </w:t>
      </w:r>
      <w:proofErr w:type="spellStart"/>
      <w:r w:rsidRPr="00B866B7">
        <w:rPr>
          <w:rFonts w:ascii="Times New Roman" w:hAnsi="Times New Roman" w:cs="Times New Roman"/>
          <w:sz w:val="24"/>
          <w:szCs w:val="24"/>
        </w:rPr>
        <w:t>Metalaxyl</w:t>
      </w:r>
      <w:proofErr w:type="spellEnd"/>
      <w:r w:rsidRPr="00B866B7">
        <w:rPr>
          <w:rFonts w:ascii="Times New Roman" w:hAnsi="Times New Roman" w:cs="Times New Roman"/>
          <w:sz w:val="24"/>
          <w:szCs w:val="24"/>
        </w:rPr>
        <w:t xml:space="preserve"> and Mancozeb combination warrants further investigation in large-scale field trials for the control of papaya root rot.</w:t>
      </w:r>
    </w:p>
    <w:p w14:paraId="070291B6" w14:textId="77777777" w:rsidR="00AD1AC6" w:rsidRDefault="00AD1AC6" w:rsidP="00CD23AA">
      <w:pPr>
        <w:spacing w:after="0" w:line="360" w:lineRule="auto"/>
        <w:rPr>
          <w:rFonts w:ascii="Times New Roman" w:eastAsia="Times New Roman" w:hAnsi="Times New Roman" w:cs="Times New Roman"/>
          <w:b/>
          <w:bCs/>
          <w:sz w:val="24"/>
          <w:szCs w:val="24"/>
          <w:lang w:bidi="ar-SA"/>
        </w:rPr>
      </w:pPr>
    </w:p>
    <w:p w14:paraId="5C5AA665" w14:textId="43ED7086" w:rsidR="00CD23AA" w:rsidRPr="00B866B7" w:rsidRDefault="00CD23AA" w:rsidP="00CD23AA">
      <w:pPr>
        <w:spacing w:after="0" w:line="360" w:lineRule="auto"/>
        <w:rPr>
          <w:rFonts w:ascii="Times New Roman" w:eastAsia="Times New Roman" w:hAnsi="Times New Roman" w:cs="Times New Roman"/>
          <w:b/>
          <w:bCs/>
          <w:sz w:val="24"/>
          <w:szCs w:val="24"/>
          <w:lang w:bidi="ar-SA"/>
        </w:rPr>
      </w:pPr>
      <w:r w:rsidRPr="00B866B7">
        <w:rPr>
          <w:rFonts w:ascii="Times New Roman" w:eastAsia="Times New Roman" w:hAnsi="Times New Roman" w:cs="Times New Roman"/>
          <w:b/>
          <w:bCs/>
          <w:sz w:val="24"/>
          <w:szCs w:val="24"/>
          <w:lang w:bidi="ar-SA"/>
        </w:rPr>
        <w:t>Disclaimer (artificial intelligence)</w:t>
      </w:r>
    </w:p>
    <w:p w14:paraId="1CAE685B" w14:textId="77777777" w:rsidR="00CD23AA" w:rsidRPr="00B866B7" w:rsidRDefault="00CD23AA" w:rsidP="00CD23AA">
      <w:pPr>
        <w:spacing w:before="120" w:after="0" w:line="360" w:lineRule="auto"/>
        <w:jc w:val="both"/>
        <w:rPr>
          <w:rFonts w:ascii="Times New Roman" w:hAnsi="Times New Roman" w:cs="Times New Roman"/>
          <w:b/>
          <w:bCs/>
          <w:sz w:val="24"/>
          <w:szCs w:val="24"/>
        </w:rPr>
      </w:pPr>
      <w:r w:rsidRPr="00B866B7">
        <w:rPr>
          <w:rFonts w:ascii="Times New Roman" w:eastAsia="Times New Roman" w:hAnsi="Times New Roman" w:cs="Times New Roman"/>
          <w:sz w:val="24"/>
          <w:szCs w:val="24"/>
          <w:lang w:bidi="ar-SA"/>
        </w:rPr>
        <w:t xml:space="preserve">Author(s) hereby </w:t>
      </w:r>
      <w:proofErr w:type="gramStart"/>
      <w:r w:rsidRPr="00B866B7">
        <w:rPr>
          <w:rFonts w:ascii="Times New Roman" w:eastAsia="Times New Roman" w:hAnsi="Times New Roman" w:cs="Times New Roman"/>
          <w:sz w:val="24"/>
          <w:szCs w:val="24"/>
          <w:lang w:bidi="ar-SA"/>
        </w:rPr>
        <w:t>declare</w:t>
      </w:r>
      <w:proofErr w:type="gramEnd"/>
      <w:r w:rsidRPr="00B866B7">
        <w:rPr>
          <w:rFonts w:ascii="Times New Roman" w:eastAsia="Times New Roman" w:hAnsi="Times New Roman" w:cs="Times New Roman"/>
          <w:sz w:val="24"/>
          <w:szCs w:val="24"/>
          <w:lang w:bidi="ar-SA"/>
        </w:rPr>
        <w:t xml:space="preserve"> that NO generative AI technologies such as Large Language Models (ChatGPT, COPILOT, </w:t>
      </w:r>
      <w:proofErr w:type="spellStart"/>
      <w:r w:rsidRPr="00B866B7">
        <w:rPr>
          <w:rFonts w:ascii="Times New Roman" w:eastAsia="Times New Roman" w:hAnsi="Times New Roman" w:cs="Times New Roman"/>
          <w:sz w:val="24"/>
          <w:szCs w:val="24"/>
          <w:lang w:bidi="ar-SA"/>
        </w:rPr>
        <w:t>etc</w:t>
      </w:r>
      <w:proofErr w:type="spellEnd"/>
      <w:r w:rsidRPr="00B866B7">
        <w:rPr>
          <w:rFonts w:ascii="Times New Roman" w:eastAsia="Times New Roman" w:hAnsi="Times New Roman" w:cs="Times New Roman"/>
          <w:sz w:val="24"/>
          <w:szCs w:val="24"/>
          <w:lang w:bidi="ar-SA"/>
        </w:rPr>
        <w:t>) and text-to-image generators have been used during writing or editing of this manuscript.</w:t>
      </w:r>
    </w:p>
    <w:p w14:paraId="7B1D78FE" w14:textId="77777777" w:rsidR="00AD1AC6" w:rsidRDefault="00AD1AC6" w:rsidP="00CD23AA">
      <w:pPr>
        <w:spacing w:before="120" w:after="0" w:line="360" w:lineRule="auto"/>
        <w:jc w:val="both"/>
        <w:rPr>
          <w:rFonts w:ascii="Times New Roman" w:hAnsi="Times New Roman" w:cs="Times New Roman"/>
          <w:b/>
          <w:sz w:val="24"/>
          <w:szCs w:val="24"/>
        </w:rPr>
      </w:pPr>
    </w:p>
    <w:p w14:paraId="69E6219B" w14:textId="089C9C1B" w:rsidR="00116B62" w:rsidRPr="00B866B7" w:rsidRDefault="00B2429D" w:rsidP="00CD23AA">
      <w:pPr>
        <w:spacing w:before="120" w:after="0" w:line="360" w:lineRule="auto"/>
        <w:jc w:val="both"/>
        <w:rPr>
          <w:rFonts w:ascii="Times New Roman" w:hAnsi="Times New Roman" w:cs="Times New Roman"/>
          <w:b/>
          <w:sz w:val="24"/>
          <w:szCs w:val="24"/>
        </w:rPr>
      </w:pPr>
      <w:r w:rsidRPr="00B866B7">
        <w:rPr>
          <w:rFonts w:ascii="Times New Roman" w:hAnsi="Times New Roman" w:cs="Times New Roman"/>
          <w:b/>
          <w:sz w:val="24"/>
          <w:szCs w:val="24"/>
        </w:rPr>
        <w:t>Reference</w:t>
      </w:r>
    </w:p>
    <w:p w14:paraId="3CA41A24" w14:textId="77777777" w:rsidR="000F1B14" w:rsidRDefault="000F1B14" w:rsidP="000F1B14">
      <w:pPr>
        <w:pStyle w:val="NormalWeb"/>
        <w:spacing w:before="0" w:beforeAutospacing="0" w:after="0" w:afterAutospacing="0" w:line="360" w:lineRule="auto"/>
        <w:ind w:left="720" w:hanging="720"/>
        <w:jc w:val="both"/>
      </w:pPr>
      <w:r>
        <w:t xml:space="preserve">Ademe, A., Ayalew, A., &amp; Woldetsadik, K., (2013). Evaluation of Antifungal Activity of Plant Extracts against Papaya Anthracnose (Colletotrichum </w:t>
      </w:r>
      <w:proofErr w:type="spellStart"/>
      <w:r>
        <w:t>gloeosporioides</w:t>
      </w:r>
      <w:proofErr w:type="spellEnd"/>
      <w:r>
        <w:t xml:space="preserve">). </w:t>
      </w:r>
      <w:r>
        <w:rPr>
          <w:i/>
          <w:iCs/>
        </w:rPr>
        <w:t>Journal of Plant Pathology &amp; Microbiology</w:t>
      </w:r>
      <w:r>
        <w:t>, 04(10), 1-4.</w:t>
      </w:r>
    </w:p>
    <w:p w14:paraId="7E8BA0F4" w14:textId="77777777" w:rsidR="000F1B14" w:rsidRDefault="000F1B14" w:rsidP="000F1B14">
      <w:pPr>
        <w:pStyle w:val="NormalWeb"/>
        <w:spacing w:before="0" w:beforeAutospacing="0" w:after="0" w:afterAutospacing="0" w:line="360" w:lineRule="auto"/>
        <w:ind w:left="720" w:hanging="720"/>
        <w:jc w:val="both"/>
      </w:pPr>
      <w:r>
        <w:t xml:space="preserve">Andrabi, M., Vaid, A., &amp; Razdan, V. (2011). Evaluation of different measures to control wilt causing pathogens in chickpea. </w:t>
      </w:r>
      <w:r>
        <w:rPr>
          <w:i/>
          <w:iCs/>
        </w:rPr>
        <w:t>Journal of Plant Protection Research</w:t>
      </w:r>
      <w:r>
        <w:t xml:space="preserve">, 51(1), 55-59. </w:t>
      </w:r>
    </w:p>
    <w:p w14:paraId="4DAAB497"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Choudhari, S.S, Solanke, N.S., &amp; Kareppa, B.M. (2012). Integrated management root rot disease of mulberry caused by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Multilogic</w:t>
      </w:r>
      <w:proofErr w:type="spellEnd"/>
      <w:r>
        <w:rPr>
          <w:rFonts w:ascii="Times New Roman" w:hAnsi="Times New Roman" w:cs="Times New Roman"/>
          <w:i/>
          <w:iCs/>
          <w:sz w:val="24"/>
          <w:szCs w:val="24"/>
        </w:rPr>
        <w:t xml:space="preserve"> in Science, </w:t>
      </w:r>
      <w:proofErr w:type="gramStart"/>
      <w:r>
        <w:rPr>
          <w:rFonts w:ascii="Times New Roman" w:hAnsi="Times New Roman" w:cs="Times New Roman"/>
          <w:i/>
          <w:iCs/>
          <w:sz w:val="24"/>
          <w:szCs w:val="24"/>
        </w:rPr>
        <w:t>An</w:t>
      </w:r>
      <w:proofErr w:type="gramEnd"/>
      <w:r>
        <w:rPr>
          <w:rFonts w:ascii="Times New Roman" w:hAnsi="Times New Roman" w:cs="Times New Roman"/>
          <w:i/>
          <w:iCs/>
          <w:sz w:val="24"/>
          <w:szCs w:val="24"/>
        </w:rPr>
        <w:t xml:space="preserve"> international Refereed and indexed Quarterly Journal</w:t>
      </w:r>
      <w:r>
        <w:rPr>
          <w:rFonts w:ascii="Times New Roman" w:hAnsi="Times New Roman" w:cs="Times New Roman"/>
          <w:sz w:val="24"/>
          <w:szCs w:val="24"/>
        </w:rPr>
        <w:t>, 2(2), 135-137.</w:t>
      </w:r>
    </w:p>
    <w:p w14:paraId="28DED9C0"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Dorugade, S. P., </w:t>
      </w:r>
      <w:proofErr w:type="spellStart"/>
      <w:r>
        <w:rPr>
          <w:rFonts w:ascii="Times New Roman" w:hAnsi="Times New Roman" w:cs="Times New Roman"/>
          <w:sz w:val="24"/>
          <w:szCs w:val="24"/>
        </w:rPr>
        <w:t>Walawade</w:t>
      </w:r>
      <w:proofErr w:type="spellEnd"/>
      <w:r>
        <w:rPr>
          <w:rFonts w:ascii="Times New Roman" w:hAnsi="Times New Roman" w:cs="Times New Roman"/>
          <w:sz w:val="24"/>
          <w:szCs w:val="24"/>
        </w:rPr>
        <w:t xml:space="preserve">, M. N., &amp; Kamble, S. S. (2015). Toxicity of fungicides on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causing dry rot of elephant foot yam. </w:t>
      </w:r>
      <w:r>
        <w:rPr>
          <w:rFonts w:ascii="Times New Roman" w:hAnsi="Times New Roman" w:cs="Times New Roman"/>
          <w:i/>
          <w:iCs/>
          <w:sz w:val="24"/>
          <w:szCs w:val="24"/>
        </w:rPr>
        <w:t>Int. J. Adv. Res</w:t>
      </w:r>
      <w:r>
        <w:rPr>
          <w:rFonts w:ascii="Times New Roman" w:hAnsi="Times New Roman" w:cs="Times New Roman"/>
          <w:sz w:val="24"/>
          <w:szCs w:val="24"/>
        </w:rPr>
        <w:t>, 3(6), 1501-1504.</w:t>
      </w:r>
    </w:p>
    <w:p w14:paraId="08546CE0" w14:textId="77777777" w:rsidR="000F1B14" w:rsidRDefault="000F1B14" w:rsidP="000F1B14">
      <w:pPr>
        <w:pStyle w:val="NormalWeb"/>
        <w:spacing w:before="0" w:beforeAutospacing="0" w:after="0" w:afterAutospacing="0" w:line="360" w:lineRule="auto"/>
        <w:ind w:left="720" w:hanging="720"/>
        <w:jc w:val="both"/>
      </w:pPr>
      <w:proofErr w:type="spellStart"/>
      <w:r>
        <w:rPr>
          <w:color w:val="212121"/>
          <w:shd w:val="clear" w:color="auto" w:fill="FFFFFF"/>
        </w:rPr>
        <w:t>Gadhave</w:t>
      </w:r>
      <w:proofErr w:type="spellEnd"/>
      <w:r>
        <w:rPr>
          <w:color w:val="212121"/>
          <w:shd w:val="clear" w:color="auto" w:fill="FFFFFF"/>
        </w:rPr>
        <w:t>, K.R., Gautam, S., Rasmussen, D.A., Srinivasan, R. (2020). Aphid Transmission of </w:t>
      </w:r>
      <w:r>
        <w:rPr>
          <w:i/>
          <w:iCs/>
        </w:rPr>
        <w:t>Potyvirus</w:t>
      </w:r>
      <w:r>
        <w:t xml:space="preserve">: The Largest Plant-Infecting RNA Virus Genus. </w:t>
      </w:r>
      <w:r>
        <w:rPr>
          <w:i/>
        </w:rPr>
        <w:t>Viruses</w:t>
      </w:r>
      <w:r>
        <w:t>. 12(7), 773.</w:t>
      </w:r>
    </w:p>
    <w:p w14:paraId="29E183D9" w14:textId="77777777" w:rsidR="000F1B14" w:rsidRDefault="000F1B14" w:rsidP="000F1B14">
      <w:pPr>
        <w:pStyle w:val="NormalWeb"/>
        <w:spacing w:before="0" w:beforeAutospacing="0" w:after="0" w:afterAutospacing="0" w:line="360" w:lineRule="auto"/>
        <w:ind w:left="720" w:hanging="720"/>
        <w:jc w:val="both"/>
      </w:pPr>
      <w:proofErr w:type="spellStart"/>
      <w:r>
        <w:t>Ghante</w:t>
      </w:r>
      <w:proofErr w:type="spellEnd"/>
      <w:r>
        <w:t xml:space="preserve">, P., </w:t>
      </w:r>
      <w:proofErr w:type="spellStart"/>
      <w:r>
        <w:t>Suryawanshi</w:t>
      </w:r>
      <w:proofErr w:type="spellEnd"/>
      <w:r>
        <w:t xml:space="preserve">, A., Kanase, K., </w:t>
      </w:r>
      <w:proofErr w:type="spellStart"/>
      <w:r>
        <w:t>Somwanshi</w:t>
      </w:r>
      <w:proofErr w:type="spellEnd"/>
      <w:r>
        <w:t xml:space="preserve">, S., &amp; </w:t>
      </w:r>
      <w:proofErr w:type="spellStart"/>
      <w:r>
        <w:t>Thaware</w:t>
      </w:r>
      <w:proofErr w:type="spellEnd"/>
      <w:r>
        <w:t xml:space="preserve">, D. (2018). Integrated Disease Management against Wilt Disease of </w:t>
      </w:r>
      <w:proofErr w:type="spellStart"/>
      <w:r>
        <w:t>Pigeonpea</w:t>
      </w:r>
      <w:proofErr w:type="spellEnd"/>
      <w:r>
        <w:t xml:space="preserve"> Caused by Fusarium </w:t>
      </w:r>
      <w:proofErr w:type="spellStart"/>
      <w:r>
        <w:t>oxysporum</w:t>
      </w:r>
      <w:proofErr w:type="spellEnd"/>
      <w:r>
        <w:t xml:space="preserve"> f. sp. </w:t>
      </w:r>
      <w:proofErr w:type="spellStart"/>
      <w:r>
        <w:t>udum</w:t>
      </w:r>
      <w:proofErr w:type="spellEnd"/>
      <w:r>
        <w:t xml:space="preserve">. </w:t>
      </w:r>
      <w:r>
        <w:rPr>
          <w:i/>
          <w:iCs/>
        </w:rPr>
        <w:t>International Journal of Current Microbiology and Applied Sciences</w:t>
      </w:r>
      <w:r>
        <w:t xml:space="preserve">, 7(10), 2123-2132. </w:t>
      </w:r>
    </w:p>
    <w:p w14:paraId="4B8BF7B2"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Gupta, P. K., Singh, S. K., &amp; Shikha, S. (2020). In vitro efficacy of different fungicides against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isolate causing root rot of Papaya (Carica papaya L.). </w:t>
      </w:r>
      <w:r>
        <w:rPr>
          <w:rFonts w:ascii="Times New Roman" w:hAnsi="Times New Roman" w:cs="Times New Roman"/>
          <w:i/>
          <w:iCs/>
          <w:sz w:val="24"/>
          <w:szCs w:val="24"/>
        </w:rPr>
        <w:t>Int J Chem Stud</w:t>
      </w:r>
      <w:r>
        <w:rPr>
          <w:rFonts w:ascii="Times New Roman" w:hAnsi="Times New Roman" w:cs="Times New Roman"/>
          <w:sz w:val="24"/>
          <w:szCs w:val="24"/>
        </w:rPr>
        <w:t>, 8(3), 221-224.</w:t>
      </w:r>
    </w:p>
    <w:p w14:paraId="53AA35AA"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Javaid, A., Bajwa, R., &amp; A. Tahmina. 2004. Tree dieback in Punjab, Pakistan. </w:t>
      </w:r>
      <w:proofErr w:type="spellStart"/>
      <w:r>
        <w:rPr>
          <w:rFonts w:ascii="Times New Roman" w:hAnsi="Times New Roman" w:cs="Times New Roman"/>
          <w:i/>
          <w:iCs/>
          <w:sz w:val="24"/>
          <w:szCs w:val="24"/>
        </w:rPr>
        <w:t>Mycopath</w:t>
      </w:r>
      <w:proofErr w:type="spellEnd"/>
      <w:r>
        <w:rPr>
          <w:rFonts w:ascii="Times New Roman" w:hAnsi="Times New Roman" w:cs="Times New Roman"/>
          <w:sz w:val="24"/>
          <w:szCs w:val="24"/>
        </w:rPr>
        <w:t>, 2(1) 1-5.</w:t>
      </w:r>
    </w:p>
    <w:p w14:paraId="43D997F8"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Jiao, M., Liu, C., Prieto, M. A., Lu, X., Wu, W., Sun, J., &amp; Li, N. (2022). Biological Functions and Utilization of Different Part of the Papaya: A Review. </w:t>
      </w:r>
      <w:r>
        <w:rPr>
          <w:rFonts w:ascii="Times New Roman" w:hAnsi="Times New Roman" w:cs="Times New Roman"/>
          <w:i/>
          <w:iCs/>
          <w:sz w:val="24"/>
          <w:szCs w:val="24"/>
        </w:rPr>
        <w:t>Food Reviews International</w:t>
      </w:r>
      <w:r>
        <w:rPr>
          <w:rFonts w:ascii="Times New Roman" w:hAnsi="Times New Roman" w:cs="Times New Roman"/>
          <w:sz w:val="24"/>
          <w:szCs w:val="24"/>
        </w:rPr>
        <w:t>, 39(9), 1-24.</w:t>
      </w:r>
    </w:p>
    <w:p w14:paraId="0DA7DD70"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K., Pal, G., Verma, A., Kumar, D., Shukla, P., &amp; Verma, S. K. (2023). Seed vectored bacterial endophyte Bacillus pumilus protect sorghum (Sorghum bicolor L.) seedlings from a fungal pathogen Rhizoctonia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w:t>
      </w:r>
      <w:r>
        <w:rPr>
          <w:rFonts w:ascii="Times New Roman" w:hAnsi="Times New Roman" w:cs="Times New Roman"/>
          <w:i/>
          <w:iCs/>
          <w:sz w:val="24"/>
          <w:szCs w:val="24"/>
        </w:rPr>
        <w:t>Biological Control</w:t>
      </w:r>
      <w:r>
        <w:rPr>
          <w:rFonts w:ascii="Times New Roman" w:hAnsi="Times New Roman" w:cs="Times New Roman"/>
          <w:sz w:val="24"/>
          <w:szCs w:val="24"/>
        </w:rPr>
        <w:t>, 183, 105249.</w:t>
      </w:r>
    </w:p>
    <w:p w14:paraId="7BE6CB14"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Kumari, A., Kumar, R., &amp; Kumar, H. (2014). Efficacy of fungicides and Trichoderma viride against Fusarium </w:t>
      </w:r>
      <w:proofErr w:type="spellStart"/>
      <w:r>
        <w:rPr>
          <w:rFonts w:ascii="Times New Roman" w:hAnsi="Times New Roman" w:cs="Times New Roman"/>
          <w:sz w:val="24"/>
          <w:szCs w:val="24"/>
        </w:rPr>
        <w:t>oxysporum</w:t>
      </w:r>
      <w:proofErr w:type="spellEnd"/>
      <w:r>
        <w:rPr>
          <w:rFonts w:ascii="Times New Roman" w:hAnsi="Times New Roman" w:cs="Times New Roman"/>
          <w:sz w:val="24"/>
          <w:szCs w:val="24"/>
        </w:rPr>
        <w:t xml:space="preserve"> f. sp. </w:t>
      </w:r>
      <w:proofErr w:type="spellStart"/>
      <w:r>
        <w:rPr>
          <w:rFonts w:ascii="Times New Roman" w:hAnsi="Times New Roman" w:cs="Times New Roman"/>
          <w:sz w:val="24"/>
          <w:szCs w:val="24"/>
        </w:rPr>
        <w:t>cubense</w:t>
      </w:r>
      <w:proofErr w:type="spellEnd"/>
      <w:r>
        <w:rPr>
          <w:rFonts w:ascii="Times New Roman" w:hAnsi="Times New Roman" w:cs="Times New Roman"/>
          <w:sz w:val="24"/>
          <w:szCs w:val="24"/>
        </w:rPr>
        <w:t xml:space="preserve"> in vitro. </w:t>
      </w:r>
      <w:r>
        <w:rPr>
          <w:rFonts w:ascii="Times New Roman" w:hAnsi="Times New Roman" w:cs="Times New Roman"/>
          <w:i/>
          <w:iCs/>
          <w:sz w:val="24"/>
          <w:szCs w:val="24"/>
        </w:rPr>
        <w:t>The Bioscan</w:t>
      </w:r>
      <w:r>
        <w:rPr>
          <w:rFonts w:ascii="Times New Roman" w:hAnsi="Times New Roman" w:cs="Times New Roman"/>
          <w:sz w:val="24"/>
          <w:szCs w:val="24"/>
        </w:rPr>
        <w:t>, 9(3), 1355-1358.</w:t>
      </w:r>
    </w:p>
    <w:p w14:paraId="6009C3B6"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Kumhar K.C., Babu A., </w:t>
      </w:r>
      <w:proofErr w:type="spellStart"/>
      <w:r>
        <w:rPr>
          <w:rFonts w:ascii="Times New Roman" w:hAnsi="Times New Roman" w:cs="Times New Roman"/>
          <w:sz w:val="24"/>
          <w:szCs w:val="24"/>
        </w:rPr>
        <w:t>Bordoli</w:t>
      </w:r>
      <w:proofErr w:type="spellEnd"/>
      <w:r>
        <w:rPr>
          <w:rFonts w:ascii="Times New Roman" w:hAnsi="Times New Roman" w:cs="Times New Roman"/>
          <w:sz w:val="24"/>
          <w:szCs w:val="24"/>
        </w:rPr>
        <w:t xml:space="preserve"> M., Banerjee P., &amp; Dey T. (2015). Biological and chemical control of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causing dieback disease of tea (Camellia sinensis L.) – An in vitro study. </w:t>
      </w:r>
      <w:r>
        <w:rPr>
          <w:rFonts w:ascii="Times New Roman" w:hAnsi="Times New Roman" w:cs="Times New Roman"/>
          <w:i/>
          <w:iCs/>
          <w:sz w:val="24"/>
          <w:szCs w:val="24"/>
        </w:rPr>
        <w:t xml:space="preserve">Int. J. Curr.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 xml:space="preserve"> Appl Sci</w:t>
      </w:r>
      <w:r>
        <w:rPr>
          <w:rFonts w:ascii="Times New Roman" w:hAnsi="Times New Roman" w:cs="Times New Roman"/>
          <w:sz w:val="24"/>
          <w:szCs w:val="24"/>
        </w:rPr>
        <w:t>., 4(8), 955-963.</w:t>
      </w:r>
    </w:p>
    <w:p w14:paraId="71A60A49" w14:textId="77777777" w:rsidR="000F1B14" w:rsidRDefault="000F1B14" w:rsidP="000F1B14">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Maitlo</w:t>
      </w:r>
      <w:proofErr w:type="spellEnd"/>
      <w:r>
        <w:rPr>
          <w:rFonts w:ascii="Times New Roman" w:hAnsi="Times New Roman" w:cs="Times New Roman"/>
          <w:sz w:val="24"/>
          <w:szCs w:val="24"/>
        </w:rPr>
        <w:t xml:space="preserve">, S. A., Syed, R. N., </w:t>
      </w:r>
      <w:proofErr w:type="spellStart"/>
      <w:r>
        <w:rPr>
          <w:rFonts w:ascii="Times New Roman" w:hAnsi="Times New Roman" w:cs="Times New Roman"/>
          <w:sz w:val="24"/>
          <w:szCs w:val="24"/>
        </w:rPr>
        <w:t>Rustamani</w:t>
      </w:r>
      <w:proofErr w:type="spellEnd"/>
      <w:r>
        <w:rPr>
          <w:rFonts w:ascii="Times New Roman" w:hAnsi="Times New Roman" w:cs="Times New Roman"/>
          <w:sz w:val="24"/>
          <w:szCs w:val="24"/>
        </w:rPr>
        <w:t xml:space="preserve">, M. A., Khuhro, R. D., &amp; Lodhi, A. M. (2014). Comparative efficacy of different fungicides against fusarium wilt of chickpea (Cicer arietinum L.). </w:t>
      </w:r>
      <w:r>
        <w:rPr>
          <w:rFonts w:ascii="Times New Roman" w:hAnsi="Times New Roman" w:cs="Times New Roman"/>
          <w:i/>
          <w:iCs/>
          <w:sz w:val="24"/>
          <w:szCs w:val="24"/>
        </w:rPr>
        <w:t>Pak. J. Bot.</w:t>
      </w:r>
      <w:r>
        <w:rPr>
          <w:rFonts w:ascii="Times New Roman" w:hAnsi="Times New Roman" w:cs="Times New Roman"/>
          <w:sz w:val="24"/>
          <w:szCs w:val="24"/>
        </w:rPr>
        <w:t>, 46(6), 2305-2312.</w:t>
      </w:r>
    </w:p>
    <w:p w14:paraId="09E58550" w14:textId="77777777" w:rsidR="000F1B14" w:rsidRDefault="000F1B14" w:rsidP="000F1B14">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Majeed, A., Abbasi, M. K., Hameed, S., Imran, A., &amp; Rahim, N. (2015). Isolation and characterization of plant growth-promoting rhizobacteria from wheat rhizosphere and their effect on plant growth promotion. </w:t>
      </w:r>
      <w:r>
        <w:rPr>
          <w:rFonts w:ascii="Times New Roman" w:hAnsi="Times New Roman" w:cs="Times New Roman"/>
          <w:i/>
          <w:iCs/>
          <w:color w:val="000000" w:themeColor="text1"/>
          <w:sz w:val="24"/>
          <w:szCs w:val="24"/>
        </w:rPr>
        <w:t>Frontiers in Microbiology</w:t>
      </w:r>
      <w:r>
        <w:rPr>
          <w:rFonts w:ascii="Times New Roman" w:hAnsi="Times New Roman" w:cs="Times New Roman"/>
          <w:color w:val="000000" w:themeColor="text1"/>
          <w:sz w:val="24"/>
          <w:szCs w:val="24"/>
        </w:rPr>
        <w:t>, 6, 198.</w:t>
      </w:r>
    </w:p>
    <w:p w14:paraId="45380C07"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Mallesh, S. B., </w:t>
      </w:r>
      <w:proofErr w:type="spellStart"/>
      <w:r>
        <w:rPr>
          <w:rFonts w:ascii="Times New Roman" w:hAnsi="Times New Roman" w:cs="Times New Roman"/>
          <w:sz w:val="24"/>
          <w:szCs w:val="24"/>
        </w:rPr>
        <w:t>Narendrappa</w:t>
      </w:r>
      <w:proofErr w:type="spellEnd"/>
      <w:r>
        <w:rPr>
          <w:rFonts w:ascii="Times New Roman" w:hAnsi="Times New Roman" w:cs="Times New Roman"/>
          <w:sz w:val="24"/>
          <w:szCs w:val="24"/>
        </w:rPr>
        <w:t xml:space="preserve">, T., &amp; Ramanujam, B. (2008). Evaluation of microbial antagonists and </w:t>
      </w:r>
      <w:proofErr w:type="spellStart"/>
      <w:r>
        <w:rPr>
          <w:rFonts w:ascii="Times New Roman" w:hAnsi="Times New Roman" w:cs="Times New Roman"/>
          <w:sz w:val="24"/>
          <w:szCs w:val="24"/>
        </w:rPr>
        <w:t>oragnic</w:t>
      </w:r>
      <w:proofErr w:type="spellEnd"/>
      <w:r>
        <w:rPr>
          <w:rFonts w:ascii="Times New Roman" w:hAnsi="Times New Roman" w:cs="Times New Roman"/>
          <w:sz w:val="24"/>
          <w:szCs w:val="24"/>
        </w:rPr>
        <w:t xml:space="preserve"> amendments on root rot of sage (Salvia officinalis) by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and Rhizoctonia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w:t>
      </w:r>
      <w:r>
        <w:rPr>
          <w:rFonts w:ascii="Times New Roman" w:hAnsi="Times New Roman" w:cs="Times New Roman"/>
          <w:i/>
          <w:iCs/>
          <w:sz w:val="24"/>
          <w:szCs w:val="24"/>
        </w:rPr>
        <w:t>Karnataka Journal of Agricultural Sciences</w:t>
      </w:r>
      <w:r>
        <w:rPr>
          <w:rFonts w:ascii="Times New Roman" w:hAnsi="Times New Roman" w:cs="Times New Roman"/>
          <w:sz w:val="24"/>
          <w:szCs w:val="24"/>
        </w:rPr>
        <w:t>, 21(2), 301-302.</w:t>
      </w:r>
    </w:p>
    <w:p w14:paraId="12324AB4"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Mckinney, H.H. 1923. Influence of soil temperature and moisture on infection of wheat seedling by </w:t>
      </w:r>
      <w:proofErr w:type="spellStart"/>
      <w:r>
        <w:rPr>
          <w:rFonts w:ascii="Times New Roman" w:hAnsi="Times New Roman" w:cs="Times New Roman"/>
          <w:sz w:val="24"/>
          <w:szCs w:val="24"/>
        </w:rPr>
        <w:t>Halminthosporium</w:t>
      </w:r>
      <w:proofErr w:type="spellEnd"/>
      <w:r>
        <w:rPr>
          <w:rFonts w:ascii="Times New Roman" w:hAnsi="Times New Roman" w:cs="Times New Roman"/>
          <w:sz w:val="24"/>
          <w:szCs w:val="24"/>
        </w:rPr>
        <w:t xml:space="preserve"> sativum. </w:t>
      </w:r>
      <w:r>
        <w:rPr>
          <w:rFonts w:ascii="Times New Roman" w:hAnsi="Times New Roman" w:cs="Times New Roman"/>
          <w:i/>
          <w:iCs/>
          <w:sz w:val="24"/>
          <w:szCs w:val="24"/>
        </w:rPr>
        <w:t>J. Agric. Res</w:t>
      </w:r>
      <w:r>
        <w:rPr>
          <w:rFonts w:ascii="Times New Roman" w:hAnsi="Times New Roman" w:cs="Times New Roman"/>
          <w:sz w:val="24"/>
          <w:szCs w:val="24"/>
        </w:rPr>
        <w:t>., 26, 195-210.</w:t>
      </w:r>
    </w:p>
    <w:p w14:paraId="2E688CEB"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Ministry of Agriculture and Farmers Welfare, Govt. of India, (2024-25), </w:t>
      </w:r>
      <w:hyperlink r:id="rId8" w:history="1">
        <w:r>
          <w:rPr>
            <w:rStyle w:val="Hyperlink"/>
            <w:rFonts w:ascii="Times New Roman" w:hAnsi="Times New Roman" w:cs="Times New Roman"/>
            <w:sz w:val="24"/>
            <w:szCs w:val="24"/>
          </w:rPr>
          <w:t>https://agricoop.nic.in/</w:t>
        </w:r>
      </w:hyperlink>
    </w:p>
    <w:p w14:paraId="7BF2EFAE"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Patel, R., &amp; Patel, M. (2022). Limitations of Current Management Strategies for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Root Rot in Papaya. Advances in Agricultural Research, 11(2), 195-204.</w:t>
      </w:r>
    </w:p>
    <w:p w14:paraId="31E1DE06" w14:textId="77777777" w:rsidR="000F1B14" w:rsidRDefault="000F1B14" w:rsidP="000F1B14">
      <w:pPr>
        <w:pStyle w:val="NormalWeb"/>
        <w:spacing w:before="0" w:beforeAutospacing="0" w:after="0" w:afterAutospacing="0" w:line="360" w:lineRule="auto"/>
        <w:ind w:left="720" w:hanging="720"/>
        <w:jc w:val="both"/>
      </w:pPr>
      <w:r>
        <w:t xml:space="preserve">Roberts, P. D., &amp; Trujillo, E. (1998). First Report of Phytophthora </w:t>
      </w:r>
      <w:proofErr w:type="spellStart"/>
      <w:r>
        <w:t>nicotianae</w:t>
      </w:r>
      <w:proofErr w:type="spellEnd"/>
      <w:r>
        <w:t xml:space="preserve"> Causing Leaf Blight, Fruit Rot, and Root Rot of Papaya in American Samoa. </w:t>
      </w:r>
      <w:r>
        <w:rPr>
          <w:i/>
          <w:iCs/>
        </w:rPr>
        <w:t>Plant Disease</w:t>
      </w:r>
      <w:r>
        <w:t xml:space="preserve">, 82(6), 712. </w:t>
      </w:r>
    </w:p>
    <w:p w14:paraId="410F50BD" w14:textId="77777777" w:rsidR="000F1B14" w:rsidRDefault="000F1B14" w:rsidP="000F1B14">
      <w:pPr>
        <w:pStyle w:val="NormalWeb"/>
        <w:spacing w:before="0" w:beforeAutospacing="0" w:after="0" w:afterAutospacing="0" w:line="360" w:lineRule="auto"/>
        <w:ind w:left="720" w:hanging="720"/>
        <w:jc w:val="both"/>
      </w:pPr>
      <w:r>
        <w:t xml:space="preserve">Rodriguez-Alvarado, G., Fernandez-Pavia, S. P., Geraldo-Verdugo, J. A., &amp; Landa-Hernandez, L. (2001). Pythium </w:t>
      </w:r>
      <w:proofErr w:type="spellStart"/>
      <w:r>
        <w:t>aphanidermatum</w:t>
      </w:r>
      <w:proofErr w:type="spellEnd"/>
      <w:r>
        <w:t xml:space="preserve"> Causing Collar Rot on Papaya in Baja California Sur, Mexico. </w:t>
      </w:r>
      <w:r>
        <w:rPr>
          <w:i/>
          <w:iCs/>
        </w:rPr>
        <w:t>Plant Disease</w:t>
      </w:r>
      <w:r>
        <w:t xml:space="preserve">, 85(4), 444. </w:t>
      </w:r>
    </w:p>
    <w:p w14:paraId="03994439"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Saran, P. L., Solanki, I. S., &amp; Choudhary, R. (2016). Papaya: biology, cultivation, Production and Uses. CRC Press.</w:t>
      </w:r>
    </w:p>
    <w:p w14:paraId="29DADEDA" w14:textId="77777777" w:rsidR="000F1B14" w:rsidRDefault="000F1B14" w:rsidP="000F1B14">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Sharvelle</w:t>
      </w:r>
      <w:proofErr w:type="spellEnd"/>
      <w:r>
        <w:rPr>
          <w:rFonts w:ascii="Times New Roman" w:hAnsi="Times New Roman" w:cs="Times New Roman"/>
          <w:sz w:val="24"/>
          <w:szCs w:val="24"/>
        </w:rPr>
        <w:t>, E. G., (1961). The Nature and Uses of Modern Fungicides. Burgers</w:t>
      </w:r>
      <w:r>
        <w:rPr>
          <w:rFonts w:ascii="Times New Roman" w:hAnsi="Times New Roman" w:cs="Times New Roman"/>
          <w:sz w:val="24"/>
          <w:szCs w:val="24"/>
        </w:rPr>
        <w:br/>
        <w:t>Publication Company Minneapolis, Minnesota, USA. pp. 308.</w:t>
      </w:r>
    </w:p>
    <w:p w14:paraId="4CA4281D"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S. K., &amp; Kumar, R. (2015). Etiology, symptomatology and molecular characterization of Papaya root rot–A new and serious threat. Indian Phytopathology, 68(3), 348-349.</w:t>
      </w:r>
    </w:p>
    <w:p w14:paraId="50A3AEFC"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R. J., Patel, V., &amp; Kumar, A. (2021). Fusarium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in Papaya: Understanding its Survival Mechanisms in Soil. </w:t>
      </w:r>
      <w:r>
        <w:rPr>
          <w:rFonts w:ascii="Times New Roman" w:hAnsi="Times New Roman" w:cs="Times New Roman"/>
          <w:i/>
          <w:iCs/>
          <w:sz w:val="24"/>
          <w:szCs w:val="24"/>
        </w:rPr>
        <w:t>Journal of Plant Pathology</w:t>
      </w:r>
      <w:r>
        <w:rPr>
          <w:rFonts w:ascii="Times New Roman" w:hAnsi="Times New Roman" w:cs="Times New Roman"/>
          <w:sz w:val="24"/>
          <w:szCs w:val="24"/>
        </w:rPr>
        <w:t>, 103(1), 27-34.</w:t>
      </w:r>
    </w:p>
    <w:p w14:paraId="327CDA35" w14:textId="77777777" w:rsidR="000F1B14" w:rsidRDefault="000F1B14" w:rsidP="000F1B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Wang, N., Wang, Y., Wang, X., Aslam, M. M., Li, W., &amp; Shao, Y. (2025). Identification of xylanase (CpXYN1) gene and its role in promoting pulp softening during papaya fruit storage, Scientia </w:t>
      </w:r>
      <w:proofErr w:type="spellStart"/>
      <w:r>
        <w:rPr>
          <w:rFonts w:ascii="Times New Roman" w:hAnsi="Times New Roman" w:cs="Times New Roman"/>
          <w:sz w:val="24"/>
          <w:szCs w:val="24"/>
        </w:rPr>
        <w:t>Horticulturae</w:t>
      </w:r>
      <w:proofErr w:type="spellEnd"/>
      <w:r>
        <w:rPr>
          <w:rFonts w:ascii="Times New Roman" w:hAnsi="Times New Roman" w:cs="Times New Roman"/>
          <w:sz w:val="24"/>
          <w:szCs w:val="24"/>
        </w:rPr>
        <w:t>, 342, 114037.  doi.org/10.1016/j.scienta.2025.114037.</w:t>
      </w:r>
    </w:p>
    <w:p w14:paraId="7ACBE2DD" w14:textId="77777777" w:rsidR="001F5F4E" w:rsidRPr="00B866B7" w:rsidRDefault="001F5F4E" w:rsidP="00C8488F">
      <w:pPr>
        <w:spacing w:line="360" w:lineRule="auto"/>
        <w:ind w:left="720" w:hanging="720"/>
        <w:jc w:val="both"/>
        <w:rPr>
          <w:rFonts w:ascii="Times New Roman" w:hAnsi="Times New Roman" w:cs="Times New Roman"/>
          <w:sz w:val="24"/>
          <w:szCs w:val="24"/>
        </w:rPr>
      </w:pPr>
    </w:p>
    <w:sectPr w:rsidR="001F5F4E" w:rsidRPr="00B866B7" w:rsidSect="009E08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6F4D" w14:textId="77777777" w:rsidR="0054712A" w:rsidRDefault="0054712A" w:rsidP="00C50622">
      <w:pPr>
        <w:spacing w:after="0" w:line="240" w:lineRule="auto"/>
      </w:pPr>
      <w:r>
        <w:separator/>
      </w:r>
    </w:p>
  </w:endnote>
  <w:endnote w:type="continuationSeparator" w:id="0">
    <w:p w14:paraId="5800A722" w14:textId="77777777" w:rsidR="0054712A" w:rsidRDefault="0054712A" w:rsidP="00C5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E5E2" w14:textId="77777777" w:rsidR="00AD1AC6" w:rsidRDefault="00AD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2AB2" w14:textId="77777777" w:rsidR="00AD1AC6" w:rsidRDefault="00AD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935C" w14:textId="77777777" w:rsidR="00AD1AC6" w:rsidRDefault="00AD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11BA" w14:textId="77777777" w:rsidR="0054712A" w:rsidRDefault="0054712A" w:rsidP="00C50622">
      <w:pPr>
        <w:spacing w:after="0" w:line="240" w:lineRule="auto"/>
      </w:pPr>
      <w:r>
        <w:separator/>
      </w:r>
    </w:p>
  </w:footnote>
  <w:footnote w:type="continuationSeparator" w:id="0">
    <w:p w14:paraId="1801519E" w14:textId="77777777" w:rsidR="0054712A" w:rsidRDefault="0054712A" w:rsidP="00C5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6043" w14:textId="586C9372" w:rsidR="00AD1AC6" w:rsidRDefault="00AD1AC6">
    <w:pPr>
      <w:pStyle w:val="Header"/>
    </w:pPr>
    <w:r>
      <w:rPr>
        <w:noProof/>
      </w:rPr>
      <w:pict w14:anchorId="72CA5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A2B7" w14:textId="7588D1D3" w:rsidR="00AD1AC6" w:rsidRDefault="00AD1AC6">
    <w:pPr>
      <w:pStyle w:val="Header"/>
    </w:pPr>
    <w:r>
      <w:rPr>
        <w:noProof/>
      </w:rPr>
      <w:pict w14:anchorId="100D9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5F9C" w14:textId="70F284DB" w:rsidR="00AD1AC6" w:rsidRDefault="00AD1AC6">
    <w:pPr>
      <w:pStyle w:val="Header"/>
    </w:pPr>
    <w:r>
      <w:rPr>
        <w:noProof/>
      </w:rPr>
      <w:pict w14:anchorId="2B8A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76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D68"/>
    <w:multiLevelType w:val="hybridMultilevel"/>
    <w:tmpl w:val="E0581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3E578C"/>
    <w:multiLevelType w:val="hybridMultilevel"/>
    <w:tmpl w:val="AF42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B6D86"/>
    <w:multiLevelType w:val="multilevel"/>
    <w:tmpl w:val="1BBE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CF6747"/>
    <w:multiLevelType w:val="multilevel"/>
    <w:tmpl w:val="301E3A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842279145">
    <w:abstractNumId w:val="2"/>
  </w:num>
  <w:num w:numId="2" w16cid:durableId="1809778125">
    <w:abstractNumId w:val="1"/>
  </w:num>
  <w:num w:numId="3" w16cid:durableId="196894044">
    <w:abstractNumId w:val="0"/>
  </w:num>
  <w:num w:numId="4" w16cid:durableId="1602831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94"/>
    <w:rsid w:val="00005BB3"/>
    <w:rsid w:val="0001092F"/>
    <w:rsid w:val="00063126"/>
    <w:rsid w:val="00066833"/>
    <w:rsid w:val="000C4ABF"/>
    <w:rsid w:val="000D5A3F"/>
    <w:rsid w:val="000E65B6"/>
    <w:rsid w:val="000F1B14"/>
    <w:rsid w:val="000F7F06"/>
    <w:rsid w:val="00116B62"/>
    <w:rsid w:val="00120865"/>
    <w:rsid w:val="00136735"/>
    <w:rsid w:val="0016031B"/>
    <w:rsid w:val="001A6745"/>
    <w:rsid w:val="001C1B6F"/>
    <w:rsid w:val="001D5605"/>
    <w:rsid w:val="001E4E9E"/>
    <w:rsid w:val="001F0E2B"/>
    <w:rsid w:val="001F1EA8"/>
    <w:rsid w:val="001F5F4E"/>
    <w:rsid w:val="0022373D"/>
    <w:rsid w:val="002558A5"/>
    <w:rsid w:val="00266120"/>
    <w:rsid w:val="002B0F1D"/>
    <w:rsid w:val="002D1D5A"/>
    <w:rsid w:val="00302AF8"/>
    <w:rsid w:val="0031507A"/>
    <w:rsid w:val="00351C01"/>
    <w:rsid w:val="00354BC8"/>
    <w:rsid w:val="003940C3"/>
    <w:rsid w:val="003A506E"/>
    <w:rsid w:val="003B2E1E"/>
    <w:rsid w:val="003B6A8B"/>
    <w:rsid w:val="0041276C"/>
    <w:rsid w:val="004540E5"/>
    <w:rsid w:val="004602EE"/>
    <w:rsid w:val="00485294"/>
    <w:rsid w:val="004E1B7F"/>
    <w:rsid w:val="00515886"/>
    <w:rsid w:val="005418F5"/>
    <w:rsid w:val="0054712A"/>
    <w:rsid w:val="00594957"/>
    <w:rsid w:val="005B2AE7"/>
    <w:rsid w:val="005D771A"/>
    <w:rsid w:val="00603D56"/>
    <w:rsid w:val="00614CC4"/>
    <w:rsid w:val="00614F57"/>
    <w:rsid w:val="00620236"/>
    <w:rsid w:val="00632C2C"/>
    <w:rsid w:val="006A0716"/>
    <w:rsid w:val="006B6F0A"/>
    <w:rsid w:val="006D65A2"/>
    <w:rsid w:val="006E7804"/>
    <w:rsid w:val="00710601"/>
    <w:rsid w:val="00765317"/>
    <w:rsid w:val="00777418"/>
    <w:rsid w:val="007912FB"/>
    <w:rsid w:val="007B248D"/>
    <w:rsid w:val="008402FC"/>
    <w:rsid w:val="00861B18"/>
    <w:rsid w:val="00884027"/>
    <w:rsid w:val="008854CF"/>
    <w:rsid w:val="008B5587"/>
    <w:rsid w:val="008C4290"/>
    <w:rsid w:val="008C4D9E"/>
    <w:rsid w:val="009147DF"/>
    <w:rsid w:val="00931CE5"/>
    <w:rsid w:val="0093322A"/>
    <w:rsid w:val="009523CA"/>
    <w:rsid w:val="009E0856"/>
    <w:rsid w:val="009E714E"/>
    <w:rsid w:val="00A0265B"/>
    <w:rsid w:val="00A052E8"/>
    <w:rsid w:val="00A24FA6"/>
    <w:rsid w:val="00A447B2"/>
    <w:rsid w:val="00A54028"/>
    <w:rsid w:val="00A654D9"/>
    <w:rsid w:val="00AD1AC6"/>
    <w:rsid w:val="00B2429D"/>
    <w:rsid w:val="00B46379"/>
    <w:rsid w:val="00B53031"/>
    <w:rsid w:val="00B866B7"/>
    <w:rsid w:val="00B92DCC"/>
    <w:rsid w:val="00BE07F0"/>
    <w:rsid w:val="00BF7DDC"/>
    <w:rsid w:val="00C50622"/>
    <w:rsid w:val="00C8488F"/>
    <w:rsid w:val="00CD23AA"/>
    <w:rsid w:val="00CF68ED"/>
    <w:rsid w:val="00D229A6"/>
    <w:rsid w:val="00D26B54"/>
    <w:rsid w:val="00D36E13"/>
    <w:rsid w:val="00D56DAF"/>
    <w:rsid w:val="00DB677E"/>
    <w:rsid w:val="00DC6531"/>
    <w:rsid w:val="00DD729D"/>
    <w:rsid w:val="00E33CCE"/>
    <w:rsid w:val="00EA3B22"/>
    <w:rsid w:val="00EC1818"/>
    <w:rsid w:val="00ED5AFA"/>
    <w:rsid w:val="00F02140"/>
    <w:rsid w:val="00F1110D"/>
    <w:rsid w:val="00F35520"/>
    <w:rsid w:val="00F70AFB"/>
    <w:rsid w:val="00F802CA"/>
    <w:rsid w:val="00FC7DEF"/>
    <w:rsid w:val="00FD07B0"/>
    <w:rsid w:val="00FD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208C"/>
  <w15:docId w15:val="{9637B8F4-C61C-4E93-99EE-925B1C3A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94"/>
    <w:pPr>
      <w:spacing w:after="160" w:line="259" w:lineRule="auto"/>
    </w:pPr>
    <w:rPr>
      <w:rFonts w:ascii="Calibri" w:eastAsia="Calibri" w:hAnsi="Calibri" w:cs="Calibri"/>
      <w:lang w:bidi="hi-IN"/>
    </w:rPr>
  </w:style>
  <w:style w:type="paragraph" w:styleId="Heading1">
    <w:name w:val="heading 1"/>
    <w:basedOn w:val="Normal"/>
    <w:next w:val="Normal"/>
    <w:link w:val="Heading1Char"/>
    <w:uiPriority w:val="9"/>
    <w:qFormat/>
    <w:rsid w:val="00C5062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85294"/>
    <w:pPr>
      <w:keepNext/>
      <w:keepLines/>
      <w:spacing w:before="200" w:after="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485294"/>
    <w:pPr>
      <w:autoSpaceDE w:val="0"/>
      <w:autoSpaceDN w:val="0"/>
      <w:adjustRightInd w:val="0"/>
    </w:pPr>
    <w:rPr>
      <w:rFonts w:ascii="Times New Roman" w:eastAsia="Calibri" w:hAnsi="Times New Roman" w:cs="Times New Roman"/>
      <w:color w:val="000000"/>
      <w:sz w:val="24"/>
      <w:szCs w:val="24"/>
      <w:lang w:val="en-IN"/>
    </w:rPr>
  </w:style>
  <w:style w:type="character" w:customStyle="1" w:styleId="Heading2Char">
    <w:name w:val="Heading 2 Char"/>
    <w:basedOn w:val="DefaultParagraphFont"/>
    <w:link w:val="Heading2"/>
    <w:uiPriority w:val="9"/>
    <w:rsid w:val="00485294"/>
    <w:rPr>
      <w:rFonts w:asciiTheme="majorHAnsi" w:eastAsiaTheme="majorEastAsia" w:hAnsiTheme="majorHAnsi" w:cs="Mangal"/>
      <w:b/>
      <w:bCs/>
      <w:color w:val="4F81BD" w:themeColor="accent1"/>
      <w:sz w:val="26"/>
      <w:szCs w:val="23"/>
      <w:lang w:bidi="hi-IN"/>
    </w:rPr>
  </w:style>
  <w:style w:type="paragraph" w:styleId="BalloonText">
    <w:name w:val="Balloon Text"/>
    <w:basedOn w:val="Normal"/>
    <w:link w:val="BalloonTextChar"/>
    <w:uiPriority w:val="99"/>
    <w:semiHidden/>
    <w:unhideWhenUsed/>
    <w:rsid w:val="0048529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85294"/>
    <w:rPr>
      <w:rFonts w:ascii="Tahoma" w:eastAsia="Calibri" w:hAnsi="Tahoma" w:cs="Mangal"/>
      <w:sz w:val="16"/>
      <w:szCs w:val="14"/>
      <w:lang w:bidi="hi-IN"/>
    </w:rPr>
  </w:style>
  <w:style w:type="character" w:customStyle="1" w:styleId="fontstyle01">
    <w:name w:val="fontstyle01"/>
    <w:basedOn w:val="DefaultParagraphFont"/>
    <w:rsid w:val="00302AF8"/>
    <w:rPr>
      <w:rFonts w:ascii="Times-BoldItalic" w:hAnsi="Times-BoldItalic" w:hint="default"/>
      <w:b/>
      <w:bCs/>
      <w:i/>
      <w:iCs/>
      <w:color w:val="000000"/>
      <w:sz w:val="32"/>
      <w:szCs w:val="32"/>
    </w:rPr>
  </w:style>
  <w:style w:type="character" w:customStyle="1" w:styleId="fontstyle21">
    <w:name w:val="fontstyle21"/>
    <w:basedOn w:val="DefaultParagraphFont"/>
    <w:rsid w:val="00302AF8"/>
    <w:rPr>
      <w:rFonts w:ascii="Times-Bold" w:hAnsi="Times-Bold" w:hint="default"/>
      <w:b/>
      <w:bCs/>
      <w:i w:val="0"/>
      <w:iCs w:val="0"/>
      <w:color w:val="000000"/>
      <w:sz w:val="32"/>
      <w:szCs w:val="32"/>
    </w:rPr>
  </w:style>
  <w:style w:type="character" w:customStyle="1" w:styleId="fontstyle31">
    <w:name w:val="fontstyle31"/>
    <w:basedOn w:val="DefaultParagraphFont"/>
    <w:rsid w:val="00302AF8"/>
    <w:rPr>
      <w:rFonts w:ascii="Times-Roman" w:hAnsi="Times-Roman" w:hint="default"/>
      <w:b w:val="0"/>
      <w:bCs w:val="0"/>
      <w:i w:val="0"/>
      <w:iCs w:val="0"/>
      <w:color w:val="000000"/>
      <w:sz w:val="18"/>
      <w:szCs w:val="18"/>
    </w:rPr>
  </w:style>
  <w:style w:type="character" w:customStyle="1" w:styleId="fontstyle41">
    <w:name w:val="fontstyle41"/>
    <w:basedOn w:val="DefaultParagraphFont"/>
    <w:rsid w:val="00302AF8"/>
    <w:rPr>
      <w:rFonts w:ascii="Times-Italic" w:hAnsi="Times-Italic" w:hint="default"/>
      <w:b w:val="0"/>
      <w:bCs w:val="0"/>
      <w:i/>
      <w:iCs/>
      <w:color w:val="000000"/>
      <w:sz w:val="18"/>
      <w:szCs w:val="18"/>
    </w:rPr>
  </w:style>
  <w:style w:type="character" w:customStyle="1" w:styleId="fontstyle11">
    <w:name w:val="fontstyle11"/>
    <w:basedOn w:val="DefaultParagraphFont"/>
    <w:rsid w:val="00302AF8"/>
    <w:rPr>
      <w:rFonts w:ascii="Times-Italic" w:hAnsi="Times-Italic" w:hint="default"/>
      <w:b w:val="0"/>
      <w:bCs w:val="0"/>
      <w:i/>
      <w:iCs/>
      <w:color w:val="000000"/>
      <w:sz w:val="18"/>
      <w:szCs w:val="18"/>
    </w:rPr>
  </w:style>
  <w:style w:type="character" w:customStyle="1" w:styleId="fontstyle51">
    <w:name w:val="fontstyle51"/>
    <w:basedOn w:val="DefaultParagraphFont"/>
    <w:rsid w:val="00DD729D"/>
    <w:rPr>
      <w:rFonts w:ascii="Times-BoldItalic" w:hAnsi="Times-BoldItalic" w:hint="default"/>
      <w:b/>
      <w:bCs/>
      <w:i/>
      <w:iCs/>
      <w:color w:val="000000"/>
      <w:sz w:val="20"/>
      <w:szCs w:val="20"/>
    </w:rPr>
  </w:style>
  <w:style w:type="character" w:customStyle="1" w:styleId="fontstyle61">
    <w:name w:val="fontstyle61"/>
    <w:basedOn w:val="DefaultParagraphFont"/>
    <w:rsid w:val="00DD729D"/>
    <w:rPr>
      <w:rFonts w:ascii="Times-BoldItalic" w:hAnsi="Times-BoldItalic" w:hint="default"/>
      <w:b/>
      <w:bCs/>
      <w:i/>
      <w:iCs/>
      <w:color w:val="000000"/>
      <w:sz w:val="18"/>
      <w:szCs w:val="18"/>
    </w:rPr>
  </w:style>
  <w:style w:type="character" w:styleId="Hyperlink">
    <w:name w:val="Hyperlink"/>
    <w:basedOn w:val="DefaultParagraphFont"/>
    <w:uiPriority w:val="99"/>
    <w:unhideWhenUsed/>
    <w:rsid w:val="00DC6531"/>
    <w:rPr>
      <w:color w:val="0000FF"/>
      <w:u w:val="single"/>
    </w:rPr>
  </w:style>
  <w:style w:type="character" w:customStyle="1" w:styleId="html-italic">
    <w:name w:val="html-italic"/>
    <w:basedOn w:val="DefaultParagraphFont"/>
    <w:rsid w:val="00DC6531"/>
  </w:style>
  <w:style w:type="character" w:styleId="Emphasis">
    <w:name w:val="Emphasis"/>
    <w:basedOn w:val="DefaultParagraphFont"/>
    <w:uiPriority w:val="20"/>
    <w:qFormat/>
    <w:rsid w:val="00DC6531"/>
    <w:rPr>
      <w:i/>
      <w:iCs/>
    </w:rPr>
  </w:style>
  <w:style w:type="paragraph" w:styleId="NormalWeb">
    <w:name w:val="Normal (Web)"/>
    <w:basedOn w:val="Normal"/>
    <w:uiPriority w:val="99"/>
    <w:unhideWhenUsed/>
    <w:rsid w:val="0006683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D5AFA"/>
    <w:pPr>
      <w:ind w:left="720"/>
      <w:contextualSpacing/>
    </w:pPr>
    <w:rPr>
      <w:rFonts w:cs="Mangal"/>
      <w:szCs w:val="20"/>
    </w:rPr>
  </w:style>
  <w:style w:type="paragraph" w:styleId="BodyText">
    <w:name w:val="Body Text"/>
    <w:basedOn w:val="Normal"/>
    <w:link w:val="BodyTextChar"/>
    <w:unhideWhenUsed/>
    <w:qFormat/>
    <w:rsid w:val="008854CF"/>
    <w:pPr>
      <w:spacing w:after="0" w:line="360" w:lineRule="auto"/>
      <w:jc w:val="both"/>
    </w:pPr>
    <w:rPr>
      <w:rFonts w:ascii="Times New Roman" w:eastAsiaTheme="minorEastAsia" w:hAnsi="Times New Roman" w:cs="Times New Roman"/>
      <w:b/>
      <w:bCs/>
      <w:sz w:val="24"/>
      <w:szCs w:val="24"/>
      <w:lang w:eastAsia="zh-CN" w:bidi="ar-SA"/>
    </w:rPr>
  </w:style>
  <w:style w:type="character" w:customStyle="1" w:styleId="BodyTextChar">
    <w:name w:val="Body Text Char"/>
    <w:basedOn w:val="DefaultParagraphFont"/>
    <w:link w:val="BodyText"/>
    <w:qFormat/>
    <w:rsid w:val="008854CF"/>
    <w:rPr>
      <w:rFonts w:ascii="Times New Roman" w:eastAsiaTheme="minorEastAsia" w:hAnsi="Times New Roman" w:cs="Times New Roman"/>
      <w:b/>
      <w:bCs/>
      <w:sz w:val="24"/>
      <w:szCs w:val="24"/>
      <w:lang w:eastAsia="zh-CN"/>
    </w:rPr>
  </w:style>
  <w:style w:type="paragraph" w:styleId="FootnoteText">
    <w:name w:val="footnote text"/>
    <w:basedOn w:val="Normal"/>
    <w:link w:val="FootnoteTextChar"/>
    <w:uiPriority w:val="99"/>
    <w:semiHidden/>
    <w:unhideWhenUsed/>
    <w:rsid w:val="00C50622"/>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C50622"/>
    <w:rPr>
      <w:rFonts w:ascii="Calibri" w:eastAsia="Calibri" w:hAnsi="Calibri" w:cs="Mangal"/>
      <w:sz w:val="20"/>
      <w:szCs w:val="18"/>
      <w:lang w:bidi="hi-IN"/>
    </w:rPr>
  </w:style>
  <w:style w:type="character" w:styleId="FootnoteReference">
    <w:name w:val="footnote reference"/>
    <w:basedOn w:val="DefaultParagraphFont"/>
    <w:uiPriority w:val="99"/>
    <w:semiHidden/>
    <w:unhideWhenUsed/>
    <w:rsid w:val="00C50622"/>
    <w:rPr>
      <w:vertAlign w:val="superscript"/>
    </w:rPr>
  </w:style>
  <w:style w:type="character" w:customStyle="1" w:styleId="Heading1Char">
    <w:name w:val="Heading 1 Char"/>
    <w:basedOn w:val="DefaultParagraphFont"/>
    <w:link w:val="Heading1"/>
    <w:uiPriority w:val="9"/>
    <w:rsid w:val="00C50622"/>
    <w:rPr>
      <w:rFonts w:asciiTheme="majorHAnsi" w:eastAsiaTheme="majorEastAsia" w:hAnsiTheme="majorHAnsi" w:cstheme="majorBidi"/>
      <w:b/>
      <w:bCs/>
      <w:color w:val="365F91" w:themeColor="accent1" w:themeShade="BF"/>
      <w:sz w:val="28"/>
      <w:szCs w:val="28"/>
      <w:lang w:bidi="en-US"/>
    </w:rPr>
  </w:style>
  <w:style w:type="paragraph" w:styleId="Header">
    <w:name w:val="header"/>
    <w:basedOn w:val="Normal"/>
    <w:link w:val="HeaderChar"/>
    <w:uiPriority w:val="99"/>
    <w:unhideWhenUsed/>
    <w:rsid w:val="00AD1AC6"/>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AD1AC6"/>
    <w:rPr>
      <w:rFonts w:ascii="Calibri" w:eastAsia="Calibri" w:hAnsi="Calibri" w:cs="Mangal"/>
      <w:szCs w:val="20"/>
      <w:lang w:bidi="hi-IN"/>
    </w:rPr>
  </w:style>
  <w:style w:type="paragraph" w:styleId="Footer">
    <w:name w:val="footer"/>
    <w:basedOn w:val="Normal"/>
    <w:link w:val="FooterChar"/>
    <w:uiPriority w:val="99"/>
    <w:unhideWhenUsed/>
    <w:rsid w:val="00AD1AC6"/>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D1AC6"/>
    <w:rPr>
      <w:rFonts w:ascii="Calibri" w:eastAsia="Calibri" w:hAnsi="Calibri"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5417">
      <w:bodyDiv w:val="1"/>
      <w:marLeft w:val="0"/>
      <w:marRight w:val="0"/>
      <w:marTop w:val="0"/>
      <w:marBottom w:val="0"/>
      <w:divBdr>
        <w:top w:val="none" w:sz="0" w:space="0" w:color="auto"/>
        <w:left w:val="none" w:sz="0" w:space="0" w:color="auto"/>
        <w:bottom w:val="none" w:sz="0" w:space="0" w:color="auto"/>
        <w:right w:val="none" w:sz="0" w:space="0" w:color="auto"/>
      </w:divBdr>
    </w:div>
    <w:div w:id="314141898">
      <w:bodyDiv w:val="1"/>
      <w:marLeft w:val="0"/>
      <w:marRight w:val="0"/>
      <w:marTop w:val="0"/>
      <w:marBottom w:val="0"/>
      <w:divBdr>
        <w:top w:val="none" w:sz="0" w:space="0" w:color="auto"/>
        <w:left w:val="none" w:sz="0" w:space="0" w:color="auto"/>
        <w:bottom w:val="none" w:sz="0" w:space="0" w:color="auto"/>
        <w:right w:val="none" w:sz="0" w:space="0" w:color="auto"/>
      </w:divBdr>
    </w:div>
    <w:div w:id="436869920">
      <w:bodyDiv w:val="1"/>
      <w:marLeft w:val="0"/>
      <w:marRight w:val="0"/>
      <w:marTop w:val="0"/>
      <w:marBottom w:val="0"/>
      <w:divBdr>
        <w:top w:val="none" w:sz="0" w:space="0" w:color="auto"/>
        <w:left w:val="none" w:sz="0" w:space="0" w:color="auto"/>
        <w:bottom w:val="none" w:sz="0" w:space="0" w:color="auto"/>
        <w:right w:val="none" w:sz="0" w:space="0" w:color="auto"/>
      </w:divBdr>
    </w:div>
    <w:div w:id="1035615321">
      <w:bodyDiv w:val="1"/>
      <w:marLeft w:val="0"/>
      <w:marRight w:val="0"/>
      <w:marTop w:val="0"/>
      <w:marBottom w:val="0"/>
      <w:divBdr>
        <w:top w:val="none" w:sz="0" w:space="0" w:color="auto"/>
        <w:left w:val="none" w:sz="0" w:space="0" w:color="auto"/>
        <w:bottom w:val="none" w:sz="0" w:space="0" w:color="auto"/>
        <w:right w:val="none" w:sz="0" w:space="0" w:color="auto"/>
      </w:divBdr>
    </w:div>
    <w:div w:id="1097603195">
      <w:bodyDiv w:val="1"/>
      <w:marLeft w:val="0"/>
      <w:marRight w:val="0"/>
      <w:marTop w:val="0"/>
      <w:marBottom w:val="0"/>
      <w:divBdr>
        <w:top w:val="none" w:sz="0" w:space="0" w:color="auto"/>
        <w:left w:val="none" w:sz="0" w:space="0" w:color="auto"/>
        <w:bottom w:val="none" w:sz="0" w:space="0" w:color="auto"/>
        <w:right w:val="none" w:sz="0" w:space="0" w:color="auto"/>
      </w:divBdr>
    </w:div>
    <w:div w:id="1356232803">
      <w:bodyDiv w:val="1"/>
      <w:marLeft w:val="0"/>
      <w:marRight w:val="0"/>
      <w:marTop w:val="0"/>
      <w:marBottom w:val="0"/>
      <w:divBdr>
        <w:top w:val="none" w:sz="0" w:space="0" w:color="auto"/>
        <w:left w:val="none" w:sz="0" w:space="0" w:color="auto"/>
        <w:bottom w:val="none" w:sz="0" w:space="0" w:color="auto"/>
        <w:right w:val="none" w:sz="0" w:space="0" w:color="auto"/>
      </w:divBdr>
    </w:div>
    <w:div w:id="1410544226">
      <w:bodyDiv w:val="1"/>
      <w:marLeft w:val="0"/>
      <w:marRight w:val="0"/>
      <w:marTop w:val="0"/>
      <w:marBottom w:val="0"/>
      <w:divBdr>
        <w:top w:val="none" w:sz="0" w:space="0" w:color="auto"/>
        <w:left w:val="none" w:sz="0" w:space="0" w:color="auto"/>
        <w:bottom w:val="none" w:sz="0" w:space="0" w:color="auto"/>
        <w:right w:val="none" w:sz="0" w:space="0" w:color="auto"/>
      </w:divBdr>
    </w:div>
    <w:div w:id="1451895353">
      <w:bodyDiv w:val="1"/>
      <w:marLeft w:val="0"/>
      <w:marRight w:val="0"/>
      <w:marTop w:val="0"/>
      <w:marBottom w:val="0"/>
      <w:divBdr>
        <w:top w:val="none" w:sz="0" w:space="0" w:color="auto"/>
        <w:left w:val="none" w:sz="0" w:space="0" w:color="auto"/>
        <w:bottom w:val="none" w:sz="0" w:space="0" w:color="auto"/>
        <w:right w:val="none" w:sz="0" w:space="0" w:color="auto"/>
      </w:divBdr>
    </w:div>
    <w:div w:id="1790707408">
      <w:bodyDiv w:val="1"/>
      <w:marLeft w:val="0"/>
      <w:marRight w:val="0"/>
      <w:marTop w:val="0"/>
      <w:marBottom w:val="0"/>
      <w:divBdr>
        <w:top w:val="none" w:sz="0" w:space="0" w:color="auto"/>
        <w:left w:val="none" w:sz="0" w:space="0" w:color="auto"/>
        <w:bottom w:val="none" w:sz="0" w:space="0" w:color="auto"/>
        <w:right w:val="none" w:sz="0" w:space="0" w:color="auto"/>
      </w:divBdr>
    </w:div>
    <w:div w:id="1799764998">
      <w:bodyDiv w:val="1"/>
      <w:marLeft w:val="0"/>
      <w:marRight w:val="0"/>
      <w:marTop w:val="0"/>
      <w:marBottom w:val="0"/>
      <w:divBdr>
        <w:top w:val="none" w:sz="0" w:space="0" w:color="auto"/>
        <w:left w:val="none" w:sz="0" w:space="0" w:color="auto"/>
        <w:bottom w:val="none" w:sz="0" w:space="0" w:color="auto"/>
        <w:right w:val="none" w:sz="0" w:space="0" w:color="auto"/>
      </w:divBdr>
    </w:div>
    <w:div w:id="2138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oop.nic.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D75E-E1DD-401E-B1B3-55BC7D4C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 Meena</dc:creator>
  <cp:lastModifiedBy>Editor-22</cp:lastModifiedBy>
  <cp:revision>38</cp:revision>
  <dcterms:created xsi:type="dcterms:W3CDTF">2025-03-10T18:10:00Z</dcterms:created>
  <dcterms:modified xsi:type="dcterms:W3CDTF">2025-03-25T08:56:00Z</dcterms:modified>
</cp:coreProperties>
</file>