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71804" w14:textId="3DB615C5" w:rsidR="00F8745C" w:rsidRPr="00233FF7" w:rsidRDefault="00F8745C" w:rsidP="008533B0">
      <w:pPr>
        <w:pStyle w:val="Title"/>
        <w:ind w:right="288"/>
        <w:jc w:val="right"/>
        <w:rPr>
          <w:rFonts w:ascii="Arial" w:hAnsi="Arial" w:cs="Arial"/>
          <w:b/>
          <w:bCs/>
          <w:sz w:val="36"/>
          <w:szCs w:val="36"/>
          <w:lang w:val="en-US"/>
        </w:rPr>
      </w:pPr>
      <w:r w:rsidRPr="00233FF7">
        <w:rPr>
          <w:rFonts w:ascii="Arial" w:hAnsi="Arial" w:cs="Arial"/>
          <w:b/>
          <w:bCs/>
          <w:sz w:val="36"/>
          <w:szCs w:val="36"/>
          <w:lang w:val="en-US"/>
        </w:rPr>
        <w:t xml:space="preserve">Assessment of heavy metal analysis on the medicinal plant </w:t>
      </w:r>
      <w:proofErr w:type="spellStart"/>
      <w:r w:rsidRPr="00233FF7">
        <w:rPr>
          <w:rFonts w:ascii="Arial" w:hAnsi="Arial" w:cs="Arial"/>
          <w:b/>
          <w:bCs/>
          <w:i/>
          <w:iCs/>
          <w:sz w:val="36"/>
          <w:szCs w:val="36"/>
          <w:lang w:val="en-US"/>
        </w:rPr>
        <w:t>Stylochaeton</w:t>
      </w:r>
      <w:proofErr w:type="spellEnd"/>
      <w:r w:rsidRPr="00233FF7">
        <w:rPr>
          <w:rFonts w:ascii="Arial" w:hAnsi="Arial" w:cs="Arial"/>
          <w:b/>
          <w:bCs/>
          <w:i/>
          <w:iCs/>
          <w:sz w:val="36"/>
          <w:szCs w:val="36"/>
          <w:lang w:val="en-US"/>
        </w:rPr>
        <w:t xml:space="preserve"> </w:t>
      </w:r>
      <w:proofErr w:type="spellStart"/>
      <w:r w:rsidRPr="00233FF7">
        <w:rPr>
          <w:rFonts w:ascii="Arial" w:hAnsi="Arial" w:cs="Arial"/>
          <w:b/>
          <w:bCs/>
          <w:i/>
          <w:iCs/>
          <w:sz w:val="36"/>
          <w:szCs w:val="36"/>
          <w:lang w:val="en-US"/>
        </w:rPr>
        <w:t>hypogaeus</w:t>
      </w:r>
      <w:proofErr w:type="spellEnd"/>
      <w:r w:rsidRPr="00233FF7">
        <w:rPr>
          <w:rFonts w:ascii="Arial" w:hAnsi="Arial" w:cs="Arial"/>
          <w:b/>
          <w:bCs/>
          <w:sz w:val="36"/>
          <w:szCs w:val="36"/>
          <w:lang w:val="en-US"/>
        </w:rPr>
        <w:t xml:space="preserve"> used for the treatment of prostate diseases in Casamance (Senegal): Implication for Human health</w:t>
      </w:r>
    </w:p>
    <w:p w14:paraId="217D6F53" w14:textId="77777777" w:rsidR="00C278F2" w:rsidRPr="008533B0" w:rsidRDefault="00C278F2" w:rsidP="008533B0">
      <w:pPr>
        <w:spacing w:line="240" w:lineRule="auto"/>
        <w:ind w:right="288"/>
        <w:jc w:val="right"/>
        <w:rPr>
          <w:rFonts w:ascii="Arial" w:hAnsi="Arial" w:cs="Arial"/>
          <w:sz w:val="20"/>
          <w:szCs w:val="20"/>
          <w:lang w:val="en-US"/>
        </w:rPr>
      </w:pPr>
    </w:p>
    <w:p w14:paraId="3BB9BE68" w14:textId="77777777" w:rsidR="00C278F2" w:rsidRPr="008533B0" w:rsidRDefault="00C278F2" w:rsidP="008533B0">
      <w:pPr>
        <w:spacing w:line="240" w:lineRule="auto"/>
        <w:rPr>
          <w:rFonts w:ascii="Arial" w:hAnsi="Arial" w:cs="Arial"/>
          <w:b/>
          <w:bCs/>
          <w:sz w:val="20"/>
          <w:szCs w:val="20"/>
          <w:lang w:val="en-US"/>
        </w:rPr>
      </w:pPr>
    </w:p>
    <w:p w14:paraId="23D8609A" w14:textId="5F73F954" w:rsidR="001C3437" w:rsidRDefault="00B72DBE" w:rsidP="008533B0">
      <w:pPr>
        <w:spacing w:line="240" w:lineRule="auto"/>
        <w:rPr>
          <w:rFonts w:ascii="Arial" w:hAnsi="Arial" w:cs="Arial"/>
          <w:b/>
          <w:bCs/>
          <w:sz w:val="22"/>
          <w:lang w:val="en-US"/>
        </w:rPr>
      </w:pPr>
      <w:r w:rsidRPr="00B72DBE">
        <w:rPr>
          <w:rFonts w:ascii="Arial" w:hAnsi="Arial" w:cs="Arial"/>
          <w:b/>
          <w:bCs/>
          <w:sz w:val="22"/>
          <w:lang w:val="en-US"/>
        </w:rPr>
        <w:t>ABSTRACT</w:t>
      </w:r>
    </w:p>
    <w:p w14:paraId="126B5F44" w14:textId="77777777" w:rsidR="00B72DBE" w:rsidRDefault="00B72DBE" w:rsidP="008533B0">
      <w:pPr>
        <w:spacing w:line="240" w:lineRule="auto"/>
        <w:rPr>
          <w:rFonts w:ascii="Arial" w:hAnsi="Arial" w:cs="Arial"/>
          <w:b/>
          <w:bCs/>
          <w:sz w:val="22"/>
          <w:lang w:val="en-US"/>
        </w:rPr>
      </w:pPr>
    </w:p>
    <w:tbl>
      <w:tblPr>
        <w:tblStyle w:val="TableGrid"/>
        <w:tblW w:w="0" w:type="auto"/>
        <w:shd w:val="clear" w:color="auto" w:fill="F2F2F2" w:themeFill="background1" w:themeFillShade="F2"/>
        <w:tblLook w:val="04A0" w:firstRow="1" w:lastRow="0" w:firstColumn="1" w:lastColumn="0" w:noHBand="0" w:noVBand="1"/>
      </w:tblPr>
      <w:tblGrid>
        <w:gridCol w:w="9607"/>
      </w:tblGrid>
      <w:tr w:rsidR="00B72DBE" w14:paraId="0086859A" w14:textId="77777777" w:rsidTr="007B232C">
        <w:tc>
          <w:tcPr>
            <w:tcW w:w="9607" w:type="dxa"/>
            <w:shd w:val="clear" w:color="auto" w:fill="F2F2F2" w:themeFill="background1" w:themeFillShade="F2"/>
          </w:tcPr>
          <w:p w14:paraId="209F9A4F" w14:textId="77777777" w:rsidR="00B72DBE" w:rsidRPr="008533B0" w:rsidRDefault="00B72DBE" w:rsidP="00B72DBE">
            <w:pPr>
              <w:rPr>
                <w:rFonts w:ascii="Arial" w:hAnsi="Arial" w:cs="Arial"/>
                <w:color w:val="000000" w:themeColor="text1"/>
                <w:sz w:val="20"/>
                <w:szCs w:val="20"/>
                <w:lang w:val="en-US"/>
              </w:rPr>
            </w:pPr>
            <w:r w:rsidRPr="008533B0">
              <w:rPr>
                <w:rFonts w:ascii="Arial" w:hAnsi="Arial" w:cs="Arial"/>
                <w:color w:val="000000" w:themeColor="text1"/>
                <w:sz w:val="20"/>
                <w:szCs w:val="20"/>
                <w:lang w:val="en-US"/>
              </w:rPr>
              <w:t>Monitoring the presence of minerals in medicinal plants has become a health emergency due to the widespread consumption of herbal products and the risk of long-term bioaccumulation of heavy metals.</w:t>
            </w:r>
          </w:p>
          <w:p w14:paraId="3222EA62" w14:textId="2E83D391" w:rsidR="00B72DBE" w:rsidRDefault="00B72DBE" w:rsidP="007B232C">
            <w:pPr>
              <w:rPr>
                <w:rFonts w:ascii="Arial" w:hAnsi="Arial" w:cs="Arial"/>
                <w:b/>
                <w:bCs/>
                <w:sz w:val="22"/>
                <w:lang w:val="en-US"/>
              </w:rPr>
            </w:pPr>
            <w:r w:rsidRPr="008533B0">
              <w:rPr>
                <w:rFonts w:ascii="Arial" w:hAnsi="Arial" w:cs="Arial"/>
                <w:color w:val="000000" w:themeColor="text1"/>
                <w:sz w:val="20"/>
                <w:szCs w:val="20"/>
                <w:lang w:val="en-US"/>
              </w:rPr>
              <w:t xml:space="preserve">This study aimed to determine the amount of heavy metals in the medicinal plant </w:t>
            </w:r>
            <w:proofErr w:type="spellStart"/>
            <w:r w:rsidRPr="008533B0">
              <w:rPr>
                <w:rFonts w:ascii="Arial" w:hAnsi="Arial" w:cs="Arial"/>
                <w:i/>
                <w:iCs/>
                <w:color w:val="000000" w:themeColor="text1"/>
                <w:sz w:val="20"/>
                <w:szCs w:val="20"/>
                <w:lang w:val="en-US"/>
              </w:rPr>
              <w:t>Stylochaeton</w:t>
            </w:r>
            <w:proofErr w:type="spellEnd"/>
            <w:r w:rsidRPr="008533B0">
              <w:rPr>
                <w:rFonts w:ascii="Arial" w:hAnsi="Arial" w:cs="Arial"/>
                <w:i/>
                <w:iCs/>
                <w:color w:val="000000" w:themeColor="text1"/>
                <w:sz w:val="20"/>
                <w:szCs w:val="20"/>
                <w:lang w:val="en-US"/>
              </w:rPr>
              <w:t xml:space="preserve"> </w:t>
            </w:r>
            <w:proofErr w:type="spellStart"/>
            <w:r w:rsidRPr="008533B0">
              <w:rPr>
                <w:rFonts w:ascii="Arial" w:hAnsi="Arial" w:cs="Arial"/>
                <w:i/>
                <w:iCs/>
                <w:color w:val="000000" w:themeColor="text1"/>
                <w:sz w:val="20"/>
                <w:szCs w:val="20"/>
                <w:lang w:val="en-US"/>
              </w:rPr>
              <w:t>hypogaeus</w:t>
            </w:r>
            <w:proofErr w:type="spellEnd"/>
            <w:r w:rsidRPr="008533B0">
              <w:rPr>
                <w:rFonts w:ascii="Arial" w:hAnsi="Arial" w:cs="Arial"/>
                <w:color w:val="000000" w:themeColor="text1"/>
                <w:sz w:val="20"/>
                <w:szCs w:val="20"/>
                <w:lang w:val="en-US"/>
              </w:rPr>
              <w:t xml:space="preserve">, used in Casamance (Senegal) to treat hemorrhoid and prostate diseases. Minerals concentrations in roots, stems and leaves of </w:t>
            </w:r>
            <w:proofErr w:type="spellStart"/>
            <w:r w:rsidRPr="008533B0">
              <w:rPr>
                <w:rFonts w:ascii="Arial" w:hAnsi="Arial" w:cs="Arial"/>
                <w:i/>
                <w:iCs/>
                <w:color w:val="000000" w:themeColor="text1"/>
                <w:sz w:val="20"/>
                <w:szCs w:val="20"/>
                <w:lang w:val="en-US"/>
              </w:rPr>
              <w:t>Stylochaeton</w:t>
            </w:r>
            <w:proofErr w:type="spellEnd"/>
            <w:r w:rsidRPr="008533B0">
              <w:rPr>
                <w:rFonts w:ascii="Arial" w:hAnsi="Arial" w:cs="Arial"/>
                <w:i/>
                <w:iCs/>
                <w:color w:val="000000" w:themeColor="text1"/>
                <w:sz w:val="20"/>
                <w:szCs w:val="20"/>
                <w:lang w:val="en-US"/>
              </w:rPr>
              <w:t xml:space="preserve"> </w:t>
            </w:r>
            <w:proofErr w:type="spellStart"/>
            <w:r w:rsidRPr="008533B0">
              <w:rPr>
                <w:rFonts w:ascii="Arial" w:hAnsi="Arial" w:cs="Arial"/>
                <w:i/>
                <w:iCs/>
                <w:color w:val="000000" w:themeColor="text1"/>
                <w:sz w:val="20"/>
                <w:szCs w:val="20"/>
                <w:lang w:val="en-US"/>
              </w:rPr>
              <w:t>hypogaeus</w:t>
            </w:r>
            <w:proofErr w:type="spellEnd"/>
            <w:r w:rsidRPr="008533B0">
              <w:rPr>
                <w:rFonts w:ascii="Arial" w:hAnsi="Arial" w:cs="Arial"/>
                <w:color w:val="000000" w:themeColor="text1"/>
                <w:sz w:val="20"/>
                <w:szCs w:val="20"/>
                <w:lang w:val="en-US"/>
              </w:rPr>
              <w:t xml:space="preserve"> were in the range of 401.1 to 3505.4 mg/kg for sodium, 9370.1 to 63359.9 mg/kg for potassium, 1824.1 to 6074.3 mg/kg for magnesium, 2136.8 to 11530.0 mg/kg for calcium, 0.1 to 4.6 mg/kg for chromium, 96.8 to 345.3 mg/kg for iron, 0.00 mg/kg for nickel, 3.5 to 3.7 mg/kg for copper, 19.6 to 38.9 mg/kg for zinc, 0.2 to 0.3 mg/kg for cadmium and 1.0 to 2.</w:t>
            </w:r>
            <w:bookmarkStart w:id="0" w:name="_GoBack"/>
            <w:bookmarkEnd w:id="0"/>
            <w:r w:rsidRPr="008533B0">
              <w:rPr>
                <w:rFonts w:ascii="Arial" w:hAnsi="Arial" w:cs="Arial"/>
                <w:color w:val="000000" w:themeColor="text1"/>
                <w:sz w:val="20"/>
                <w:szCs w:val="20"/>
                <w:lang w:val="en-US"/>
              </w:rPr>
              <w:t>4 mg/kg for lead. The levels of toxic heavy metal such as Cr, Fe, Cu, Zn, and Pb are higher in the roots with respective values ​​of 4.600±0.001 mg/kg, 345.300±0.019 mg/kg, 3.700±0.001 mg/kg, 38.900±0.005 mg/kg and 2.400±0.002 mg/kg. For cadmium, a value of 0.300±0.001 mg kg</w:t>
            </w:r>
            <w:r w:rsidRPr="008533B0">
              <w:rPr>
                <w:rFonts w:ascii="Arial" w:hAnsi="Arial" w:cs="Arial"/>
                <w:color w:val="000000" w:themeColor="text1"/>
                <w:sz w:val="20"/>
                <w:szCs w:val="20"/>
                <w:vertAlign w:val="superscript"/>
                <w:lang w:val="en-US"/>
              </w:rPr>
              <w:t>-1</w:t>
            </w:r>
            <w:r w:rsidRPr="008533B0">
              <w:rPr>
                <w:rFonts w:ascii="Arial" w:hAnsi="Arial" w:cs="Arial"/>
                <w:color w:val="000000" w:themeColor="text1"/>
                <w:sz w:val="20"/>
                <w:szCs w:val="20"/>
                <w:lang w:val="en-US"/>
              </w:rPr>
              <w:t xml:space="preserve"> is found for stems and leaves, while the roots have a content of 0.200±0.001 mg/kg. The average concentrations of some of the heavy metals analyzed are below the authorized limit in the roots, stems and leaves. The target hazard quotient (THQ) was less than 1 for all heavy metals in roots, stems, and leaves, suggesting that there are no obvious non-cancer health risks associated with the consumption of these medicinal plants, although prolonged use may lead to health risks. The overall hazard factor (HI) is greater than 1 for roots, indicating that the combined effects of heavy metal contaminants in preparation made from the roots of this plant pose a long-term health risk. However, the overall HI for leaves and stems remains less than 1, indicating no health risk for the consumption of preparations made from stems or leaves of this plant. Our current results suggest that medicinal plants contain an acceptable amount of heavy metals and that their use is therefore beneficial in addressing micronutrient deficiencies. Due to the high consumption of plant extracts and the risk of long-term bioaccumulation of heavy metals, monitoring heavy metal concentrations in medicinal plant preparations consumed by patients of traditional practitioners is a health emergency.</w:t>
            </w:r>
          </w:p>
        </w:tc>
      </w:tr>
    </w:tbl>
    <w:p w14:paraId="6435F357" w14:textId="77777777" w:rsidR="00B72DBE" w:rsidRPr="00B72DBE" w:rsidRDefault="00B72DBE" w:rsidP="008533B0">
      <w:pPr>
        <w:spacing w:line="240" w:lineRule="auto"/>
        <w:rPr>
          <w:rFonts w:ascii="Arial" w:hAnsi="Arial" w:cs="Arial"/>
          <w:b/>
          <w:bCs/>
          <w:sz w:val="22"/>
          <w:lang w:val="en-US"/>
        </w:rPr>
      </w:pPr>
    </w:p>
    <w:p w14:paraId="03A24CA2" w14:textId="4BD59D43" w:rsidR="000D2FA0" w:rsidRPr="001D4264" w:rsidRDefault="000D2FA0" w:rsidP="008533B0">
      <w:pPr>
        <w:spacing w:line="240" w:lineRule="auto"/>
        <w:rPr>
          <w:rFonts w:ascii="Arial" w:hAnsi="Arial" w:cs="Arial"/>
          <w:i/>
          <w:iCs/>
          <w:sz w:val="20"/>
          <w:szCs w:val="20"/>
          <w:lang w:val="en-US"/>
        </w:rPr>
      </w:pPr>
      <w:r w:rsidRPr="001D4264">
        <w:rPr>
          <w:rFonts w:ascii="Arial" w:hAnsi="Arial" w:cs="Arial"/>
          <w:i/>
          <w:iCs/>
          <w:sz w:val="20"/>
          <w:szCs w:val="20"/>
          <w:lang w:val="en-US"/>
        </w:rPr>
        <w:t xml:space="preserve">Keywords: </w:t>
      </w:r>
      <w:proofErr w:type="spellStart"/>
      <w:r w:rsidR="00143847" w:rsidRPr="001D4264">
        <w:rPr>
          <w:rFonts w:ascii="Arial" w:hAnsi="Arial" w:cs="Arial"/>
          <w:i/>
          <w:iCs/>
          <w:color w:val="000000" w:themeColor="text1"/>
          <w:sz w:val="20"/>
          <w:szCs w:val="20"/>
          <w:lang w:val="en-US"/>
        </w:rPr>
        <w:t>Stylochaeton</w:t>
      </w:r>
      <w:proofErr w:type="spellEnd"/>
      <w:r w:rsidR="00143847" w:rsidRPr="001D4264">
        <w:rPr>
          <w:rFonts w:ascii="Arial" w:hAnsi="Arial" w:cs="Arial"/>
          <w:i/>
          <w:iCs/>
          <w:color w:val="000000" w:themeColor="text1"/>
          <w:sz w:val="20"/>
          <w:szCs w:val="20"/>
          <w:lang w:val="en-US"/>
        </w:rPr>
        <w:t xml:space="preserve"> </w:t>
      </w:r>
      <w:proofErr w:type="spellStart"/>
      <w:r w:rsidR="00143847" w:rsidRPr="001D4264">
        <w:rPr>
          <w:rFonts w:ascii="Arial" w:hAnsi="Arial" w:cs="Arial"/>
          <w:i/>
          <w:iCs/>
          <w:color w:val="000000" w:themeColor="text1"/>
          <w:sz w:val="20"/>
          <w:szCs w:val="20"/>
          <w:lang w:val="en-US"/>
        </w:rPr>
        <w:t>hypogaeus</w:t>
      </w:r>
      <w:proofErr w:type="spellEnd"/>
      <w:r w:rsidR="00143847" w:rsidRPr="001D4264">
        <w:rPr>
          <w:rFonts w:ascii="Arial" w:hAnsi="Arial" w:cs="Arial"/>
          <w:i/>
          <w:iCs/>
          <w:sz w:val="20"/>
          <w:szCs w:val="20"/>
          <w:lang w:val="en-US"/>
        </w:rPr>
        <w:t xml:space="preserve">, </w:t>
      </w:r>
      <w:r w:rsidR="00F10B0D" w:rsidRPr="001D4264">
        <w:rPr>
          <w:rFonts w:ascii="Arial" w:hAnsi="Arial" w:cs="Arial"/>
          <w:i/>
          <w:iCs/>
          <w:sz w:val="20"/>
          <w:szCs w:val="20"/>
          <w:lang w:val="en-US"/>
        </w:rPr>
        <w:t>m</w:t>
      </w:r>
      <w:r w:rsidRPr="001D4264">
        <w:rPr>
          <w:rFonts w:ascii="Arial" w:hAnsi="Arial" w:cs="Arial"/>
          <w:i/>
          <w:iCs/>
          <w:sz w:val="20"/>
          <w:szCs w:val="20"/>
          <w:lang w:val="en-US"/>
        </w:rPr>
        <w:t>edicinal plants, heavy metal, health</w:t>
      </w:r>
      <w:r w:rsidR="004469E6" w:rsidRPr="001D4264">
        <w:rPr>
          <w:rFonts w:ascii="Arial" w:hAnsi="Arial" w:cs="Arial"/>
          <w:i/>
          <w:iCs/>
          <w:sz w:val="20"/>
          <w:szCs w:val="20"/>
          <w:lang w:val="en-US"/>
        </w:rPr>
        <w:t xml:space="preserve"> risk</w:t>
      </w:r>
      <w:r w:rsidR="00FF2C3E" w:rsidRPr="001D4264">
        <w:rPr>
          <w:rFonts w:ascii="Arial" w:hAnsi="Arial" w:cs="Arial"/>
          <w:i/>
          <w:iCs/>
          <w:sz w:val="20"/>
          <w:szCs w:val="20"/>
          <w:lang w:val="en-US"/>
        </w:rPr>
        <w:t xml:space="preserve">, </w:t>
      </w:r>
      <w:r w:rsidR="00FF2C3E" w:rsidRPr="001D4264">
        <w:rPr>
          <w:rFonts w:ascii="Arial" w:hAnsi="Arial" w:cs="Arial"/>
          <w:i/>
          <w:iCs/>
          <w:sz w:val="20"/>
          <w:szCs w:val="20"/>
        </w:rPr>
        <w:t>potassium–sodium ratio</w:t>
      </w:r>
      <w:r w:rsidR="00F10B0D" w:rsidRPr="001D4264">
        <w:rPr>
          <w:rFonts w:ascii="Arial" w:hAnsi="Arial" w:cs="Arial"/>
          <w:i/>
          <w:iCs/>
          <w:sz w:val="20"/>
          <w:szCs w:val="20"/>
        </w:rPr>
        <w:t>, calcium–magnesium ratio</w:t>
      </w:r>
      <w:r w:rsidR="004469E6" w:rsidRPr="001D4264">
        <w:rPr>
          <w:rFonts w:ascii="Arial" w:hAnsi="Arial" w:cs="Arial"/>
          <w:i/>
          <w:iCs/>
          <w:sz w:val="20"/>
          <w:szCs w:val="20"/>
          <w:lang w:val="en-US"/>
        </w:rPr>
        <w:t>.</w:t>
      </w:r>
    </w:p>
    <w:p w14:paraId="56365A4A" w14:textId="77777777" w:rsidR="000D2FA0" w:rsidRPr="008533B0" w:rsidRDefault="000D2FA0" w:rsidP="008533B0">
      <w:pPr>
        <w:spacing w:line="240" w:lineRule="auto"/>
        <w:rPr>
          <w:rFonts w:ascii="Arial" w:hAnsi="Arial" w:cs="Arial"/>
          <w:sz w:val="20"/>
          <w:szCs w:val="20"/>
          <w:lang w:val="en-US"/>
        </w:rPr>
      </w:pPr>
    </w:p>
    <w:p w14:paraId="77E3B18D" w14:textId="04629D3A" w:rsidR="00B22223" w:rsidRPr="007248BF" w:rsidRDefault="00B03FD2" w:rsidP="00D81359">
      <w:pPr>
        <w:pStyle w:val="Heading1"/>
      </w:pPr>
      <w:r w:rsidRPr="007248BF">
        <w:t>Introduction</w:t>
      </w:r>
    </w:p>
    <w:p w14:paraId="28A136E3" w14:textId="01AD5223" w:rsidR="00CA4701" w:rsidRPr="008533B0" w:rsidRDefault="00CA4701" w:rsidP="008533B0">
      <w:pPr>
        <w:spacing w:line="240" w:lineRule="auto"/>
        <w:rPr>
          <w:rFonts w:ascii="Arial" w:hAnsi="Arial" w:cs="Arial"/>
          <w:sz w:val="20"/>
          <w:szCs w:val="20"/>
          <w:lang w:val="en-US"/>
        </w:rPr>
      </w:pPr>
      <w:r w:rsidRPr="008533B0">
        <w:rPr>
          <w:rFonts w:ascii="Arial" w:hAnsi="Arial" w:cs="Arial"/>
          <w:sz w:val="20"/>
          <w:szCs w:val="20"/>
          <w:lang w:val="en-US"/>
        </w:rPr>
        <w:t>Human activities such as agriculture, chemical industry, and major communication routes generate significant pollution that contributes to environmental degradation</w:t>
      </w:r>
      <w:r w:rsidR="00C66BFE" w:rsidRPr="008533B0">
        <w:rPr>
          <w:rFonts w:ascii="Arial" w:hAnsi="Arial" w:cs="Arial"/>
          <w:sz w:val="20"/>
          <w:szCs w:val="20"/>
          <w:lang w:val="en-US"/>
        </w:rPr>
        <w:t xml:space="preserve"> [1–4</w:t>
      </w:r>
      <w:proofErr w:type="gramStart"/>
      <w:r w:rsidR="00C66BFE" w:rsidRPr="008533B0">
        <w:rPr>
          <w:rFonts w:ascii="Arial" w:hAnsi="Arial" w:cs="Arial"/>
          <w:sz w:val="20"/>
          <w:szCs w:val="20"/>
          <w:lang w:val="en-US"/>
        </w:rPr>
        <w:t xml:space="preserve">] </w:t>
      </w:r>
      <w:r w:rsidR="00A60E5C" w:rsidRPr="008533B0">
        <w:rPr>
          <w:rFonts w:ascii="Arial" w:hAnsi="Arial" w:cs="Arial"/>
          <w:sz w:val="20"/>
          <w:szCs w:val="20"/>
          <w:lang w:val="en-US"/>
        </w:rPr>
        <w:t>.</w:t>
      </w:r>
      <w:proofErr w:type="gramEnd"/>
      <w:r w:rsidRPr="008533B0">
        <w:rPr>
          <w:rFonts w:ascii="Arial" w:hAnsi="Arial" w:cs="Arial"/>
          <w:sz w:val="20"/>
          <w:szCs w:val="20"/>
          <w:lang w:val="en-US"/>
        </w:rPr>
        <w:t xml:space="preserve"> This pollution causes negative changes in humans, animals, and plants. Depending on the type of activity carried out in a given area, the impact of pollutants can be more or less serious. The nature of the pollutants and their concentration determine the severity of the harmful effects on human health</w:t>
      </w:r>
      <w:r w:rsidR="00C66BFE" w:rsidRPr="008533B0">
        <w:rPr>
          <w:rFonts w:ascii="Arial" w:hAnsi="Arial" w:cs="Arial"/>
          <w:sz w:val="20"/>
          <w:szCs w:val="20"/>
          <w:lang w:val="en-US"/>
        </w:rPr>
        <w:t xml:space="preserve"> [5, 6]</w:t>
      </w:r>
      <w:r w:rsidRPr="008533B0">
        <w:rPr>
          <w:rFonts w:ascii="Arial" w:hAnsi="Arial" w:cs="Arial"/>
          <w:sz w:val="20"/>
          <w:szCs w:val="20"/>
          <w:lang w:val="en-US"/>
        </w:rPr>
        <w:t>. Persistent pollutants have specific characteristics that are manifested by their persistence, their harmfulness through bioaccumulation, and their ability to be transported by air or water</w:t>
      </w:r>
      <w:r w:rsidR="00014C5D" w:rsidRPr="008533B0">
        <w:rPr>
          <w:rFonts w:ascii="Arial" w:hAnsi="Arial" w:cs="Arial"/>
          <w:sz w:val="20"/>
          <w:szCs w:val="20"/>
          <w:lang w:val="en-US"/>
        </w:rPr>
        <w:t xml:space="preserve"> </w:t>
      </w:r>
      <w:r w:rsidR="00C66BFE" w:rsidRPr="008533B0">
        <w:rPr>
          <w:rFonts w:ascii="Arial" w:hAnsi="Arial" w:cs="Arial"/>
          <w:sz w:val="20"/>
          <w:szCs w:val="20"/>
          <w:lang w:val="en-US"/>
        </w:rPr>
        <w:t>[7–9]</w:t>
      </w:r>
      <w:r w:rsidRPr="008533B0">
        <w:rPr>
          <w:rFonts w:ascii="Arial" w:hAnsi="Arial" w:cs="Arial"/>
          <w:sz w:val="20"/>
          <w:szCs w:val="20"/>
          <w:lang w:val="en-US"/>
        </w:rPr>
        <w:t>. Among these pollutants, heavy metals, which are non-biodegradable, can accumulate in soils, crops, and animals and end up in the food chain, thus affecting the health of consumers</w:t>
      </w:r>
      <w:r w:rsidR="00C66BFE" w:rsidRPr="008533B0">
        <w:rPr>
          <w:rFonts w:ascii="Arial" w:hAnsi="Arial" w:cs="Arial"/>
          <w:sz w:val="20"/>
          <w:szCs w:val="20"/>
          <w:lang w:val="en-US"/>
        </w:rPr>
        <w:t xml:space="preserve"> [10, 11]</w:t>
      </w:r>
      <w:r w:rsidR="00C51FF9" w:rsidRPr="008533B0">
        <w:rPr>
          <w:rFonts w:ascii="Arial" w:hAnsi="Arial" w:cs="Arial"/>
          <w:sz w:val="20"/>
          <w:szCs w:val="20"/>
          <w:lang w:val="en-US"/>
        </w:rPr>
        <w:t>.</w:t>
      </w:r>
      <w:r w:rsidRPr="008533B0">
        <w:rPr>
          <w:rFonts w:ascii="Arial" w:hAnsi="Arial" w:cs="Arial"/>
          <w:sz w:val="20"/>
          <w:szCs w:val="20"/>
          <w:lang w:val="en-US"/>
        </w:rPr>
        <w:t xml:space="preserve"> Several sources of pollution are listed. Indeed, wastewater discharge areas, busy roadsides, industrial areas and public landfills are often heavily loaded with heavy metals and medicinal plants grow there in an uncontrolled manner. Added to this is the use of phosphate fertilizers, sewage sludge and organic compost which contain heavy metals. Toxic elements such as chromium, cobalt, nickel, copper, zinc, cadmium, lead and arsenic are often found in cultivated soils on which plants used by traditional practitioners also grow</w:t>
      </w:r>
      <w:r w:rsidR="00C66BFE" w:rsidRPr="008533B0">
        <w:rPr>
          <w:rFonts w:ascii="Arial" w:hAnsi="Arial" w:cs="Arial"/>
          <w:sz w:val="20"/>
          <w:szCs w:val="20"/>
          <w:lang w:val="en-US"/>
        </w:rPr>
        <w:t xml:space="preserve"> [12–14]</w:t>
      </w:r>
      <w:r w:rsidRPr="008533B0">
        <w:rPr>
          <w:rFonts w:ascii="Arial" w:hAnsi="Arial" w:cs="Arial"/>
          <w:sz w:val="20"/>
          <w:szCs w:val="20"/>
          <w:lang w:val="en-US"/>
        </w:rPr>
        <w:t xml:space="preserve">. These heavy metals are not biodegradable and persist strongly in contaminated soils and waters long after their introduction and are bioavailable for absorption by plants. Harvests can be significantly affected by </w:t>
      </w:r>
      <w:r w:rsidRPr="008533B0">
        <w:rPr>
          <w:rFonts w:ascii="Arial" w:hAnsi="Arial" w:cs="Arial"/>
          <w:sz w:val="20"/>
          <w:szCs w:val="20"/>
          <w:lang w:val="en-US"/>
        </w:rPr>
        <w:lastRenderedPageBreak/>
        <w:t>the presence of heavy metals and consequently, human and animal health can be seriously impacted by the consumption of these products</w:t>
      </w:r>
      <w:r w:rsidR="00C66BFE" w:rsidRPr="008533B0">
        <w:rPr>
          <w:rFonts w:ascii="Arial" w:hAnsi="Arial" w:cs="Arial"/>
          <w:sz w:val="20"/>
          <w:szCs w:val="20"/>
          <w:lang w:val="en-US"/>
        </w:rPr>
        <w:t xml:space="preserve"> [15–17]</w:t>
      </w:r>
      <w:r w:rsidR="00187EFA" w:rsidRPr="008533B0">
        <w:rPr>
          <w:rFonts w:ascii="Arial" w:hAnsi="Arial" w:cs="Arial"/>
          <w:sz w:val="20"/>
          <w:szCs w:val="20"/>
          <w:lang w:val="en-US"/>
        </w:rPr>
        <w:t>.</w:t>
      </w:r>
      <w:r w:rsidRPr="008533B0">
        <w:rPr>
          <w:rFonts w:ascii="Arial" w:hAnsi="Arial" w:cs="Arial"/>
          <w:sz w:val="20"/>
          <w:szCs w:val="20"/>
          <w:lang w:val="en-US"/>
        </w:rPr>
        <w:t xml:space="preserve"> The high tolerance of certain plants to heavy metals gives them a special status for use in the purification of contaminated water or soil through phytoremediation</w:t>
      </w:r>
      <w:r w:rsidR="00E56670" w:rsidRPr="008533B0">
        <w:rPr>
          <w:rFonts w:ascii="Arial" w:hAnsi="Arial" w:cs="Arial"/>
          <w:sz w:val="20"/>
          <w:szCs w:val="20"/>
          <w:lang w:val="en-US"/>
        </w:rPr>
        <w:t xml:space="preserve"> [18, 19]</w:t>
      </w:r>
      <w:r w:rsidRPr="008533B0">
        <w:rPr>
          <w:rFonts w:ascii="Arial" w:hAnsi="Arial" w:cs="Arial"/>
          <w:sz w:val="20"/>
          <w:szCs w:val="20"/>
          <w:lang w:val="en-US"/>
        </w:rPr>
        <w:t>. Indeed, these plants can absorb large quantities of heavy metals without affecting their health. Daily practice shows that plants are widely used in the treatment of certain diseases by the pharmaceutical industry, paramedical professionals, and traditional practitioners</w:t>
      </w:r>
      <w:r w:rsidR="006615E0" w:rsidRPr="008533B0">
        <w:rPr>
          <w:rFonts w:ascii="Arial" w:hAnsi="Arial" w:cs="Arial"/>
          <w:sz w:val="20"/>
          <w:szCs w:val="20"/>
          <w:lang w:val="en-US"/>
        </w:rPr>
        <w:t xml:space="preserve"> </w:t>
      </w:r>
      <w:r w:rsidR="00E56670" w:rsidRPr="008533B0">
        <w:rPr>
          <w:rFonts w:ascii="Arial" w:hAnsi="Arial" w:cs="Arial"/>
          <w:sz w:val="20"/>
          <w:szCs w:val="20"/>
          <w:lang w:val="en-US"/>
        </w:rPr>
        <w:t>[20–22]</w:t>
      </w:r>
      <w:r w:rsidRPr="008533B0">
        <w:rPr>
          <w:rFonts w:ascii="Arial" w:hAnsi="Arial" w:cs="Arial"/>
          <w:sz w:val="20"/>
          <w:szCs w:val="20"/>
          <w:lang w:val="en-US"/>
        </w:rPr>
        <w:t>.</w:t>
      </w:r>
      <w:r w:rsidR="00643297" w:rsidRPr="008533B0">
        <w:rPr>
          <w:rFonts w:ascii="Arial" w:hAnsi="Arial" w:cs="Arial"/>
          <w:sz w:val="20"/>
          <w:szCs w:val="20"/>
          <w:lang w:val="en-US"/>
        </w:rPr>
        <w:t xml:space="preserve"> </w:t>
      </w:r>
      <w:r w:rsidRPr="008533B0">
        <w:rPr>
          <w:rFonts w:ascii="Arial" w:hAnsi="Arial" w:cs="Arial"/>
          <w:sz w:val="20"/>
          <w:szCs w:val="20"/>
          <w:lang w:val="en-US"/>
        </w:rPr>
        <w:t>In recent decades, consumers have shown a growing interest in so-called natural medicine, consuming plants alone or in mixtures of plants without any precautions. However, the quality of these plant products can be significantly affected by the quality of the soil and water used to grow them. Several types of pollutants, such as heavy metals, pesticides, herbicides, and fertilizers, can significantly alter the quality of products placed on the market. Several studies have reported the effects of heavy metal toxicity on medicinal plants used by traditional practitioners around the world</w:t>
      </w:r>
      <w:r w:rsidR="00E56670" w:rsidRPr="008533B0">
        <w:rPr>
          <w:rFonts w:ascii="Arial" w:hAnsi="Arial" w:cs="Arial"/>
          <w:sz w:val="20"/>
          <w:szCs w:val="20"/>
          <w:lang w:val="en-US"/>
        </w:rPr>
        <w:t xml:space="preserve"> [23–26]</w:t>
      </w:r>
      <w:r w:rsidR="00014C5D" w:rsidRPr="008533B0">
        <w:rPr>
          <w:rFonts w:ascii="Arial" w:hAnsi="Arial" w:cs="Arial"/>
          <w:sz w:val="20"/>
          <w:szCs w:val="20"/>
          <w:lang w:val="en-US"/>
        </w:rPr>
        <w:t>.</w:t>
      </w:r>
      <w:r w:rsidRPr="008533B0">
        <w:rPr>
          <w:rFonts w:ascii="Arial" w:hAnsi="Arial" w:cs="Arial"/>
          <w:sz w:val="20"/>
          <w:szCs w:val="20"/>
          <w:lang w:val="en-US"/>
        </w:rPr>
        <w:t xml:space="preserve"> In Senegal, where medicinal plants are used by all segments of the population, careful analysis must be conducted to rigorously monitor the concentrations of heavy metals present in these plants. In this context, our work aims to assess the heavy metal levels in the medicinal plant </w:t>
      </w:r>
      <w:proofErr w:type="spellStart"/>
      <w:r w:rsidRPr="008533B0">
        <w:rPr>
          <w:rFonts w:ascii="Arial" w:hAnsi="Arial" w:cs="Arial"/>
          <w:i/>
          <w:iCs/>
          <w:sz w:val="20"/>
          <w:szCs w:val="20"/>
          <w:lang w:val="en-US"/>
        </w:rPr>
        <w:t>Stylochaeton</w:t>
      </w:r>
      <w:proofErr w:type="spellEnd"/>
      <w:r w:rsidRPr="008533B0">
        <w:rPr>
          <w:rFonts w:ascii="Arial" w:hAnsi="Arial" w:cs="Arial"/>
          <w:i/>
          <w:iCs/>
          <w:sz w:val="20"/>
          <w:szCs w:val="20"/>
          <w:lang w:val="en-US"/>
        </w:rPr>
        <w:t xml:space="preserve"> </w:t>
      </w:r>
      <w:proofErr w:type="spellStart"/>
      <w:r w:rsidRPr="008533B0">
        <w:rPr>
          <w:rFonts w:ascii="Arial" w:hAnsi="Arial" w:cs="Arial"/>
          <w:i/>
          <w:iCs/>
          <w:sz w:val="20"/>
          <w:szCs w:val="20"/>
          <w:lang w:val="en-US"/>
        </w:rPr>
        <w:t>hypogaeus</w:t>
      </w:r>
      <w:proofErr w:type="spellEnd"/>
      <w:r w:rsidRPr="008533B0">
        <w:rPr>
          <w:rFonts w:ascii="Arial" w:hAnsi="Arial" w:cs="Arial"/>
          <w:sz w:val="20"/>
          <w:szCs w:val="20"/>
          <w:lang w:val="en-US"/>
        </w:rPr>
        <w:t xml:space="preserve">, used in the treatment of prostate </w:t>
      </w:r>
      <w:r w:rsidR="0059222D" w:rsidRPr="008533B0">
        <w:rPr>
          <w:rFonts w:ascii="Arial" w:hAnsi="Arial" w:cs="Arial"/>
          <w:sz w:val="20"/>
          <w:szCs w:val="20"/>
          <w:lang w:val="en-US"/>
        </w:rPr>
        <w:t>disease</w:t>
      </w:r>
      <w:r w:rsidRPr="008533B0">
        <w:rPr>
          <w:rFonts w:ascii="Arial" w:hAnsi="Arial" w:cs="Arial"/>
          <w:sz w:val="20"/>
          <w:szCs w:val="20"/>
          <w:lang w:val="en-US"/>
        </w:rPr>
        <w:t>s. The frequent use of medicinal plants to improve health, in the current context of pollution, requires special attention, as they may contain heavy metals, which can pose hazards and risks to human health when contaminated medicinal plants are subsequently consumed, such as teas, other beverages, and cosmetics.</w:t>
      </w:r>
    </w:p>
    <w:p w14:paraId="153A636D" w14:textId="77777777" w:rsidR="002737FE" w:rsidRPr="008533B0" w:rsidRDefault="002737FE" w:rsidP="008533B0">
      <w:pPr>
        <w:spacing w:line="240" w:lineRule="auto"/>
        <w:rPr>
          <w:rFonts w:ascii="Arial" w:hAnsi="Arial" w:cs="Arial"/>
          <w:sz w:val="20"/>
          <w:szCs w:val="20"/>
          <w:lang w:val="en-US"/>
        </w:rPr>
      </w:pPr>
    </w:p>
    <w:p w14:paraId="79EC131F" w14:textId="77777777" w:rsidR="00E85C0B" w:rsidRPr="008533B0" w:rsidRDefault="00E85C0B" w:rsidP="00D81359">
      <w:pPr>
        <w:pStyle w:val="Heading1"/>
      </w:pPr>
      <w:r w:rsidRPr="008533B0">
        <w:t>Materials and methods</w:t>
      </w:r>
    </w:p>
    <w:p w14:paraId="70A6833F" w14:textId="77777777" w:rsidR="00E85C0B" w:rsidRPr="008533B0" w:rsidRDefault="00E85C0B" w:rsidP="00D81359">
      <w:pPr>
        <w:pStyle w:val="Heading2"/>
      </w:pPr>
      <w:r w:rsidRPr="008533B0">
        <w:t>Instrumentation</w:t>
      </w:r>
    </w:p>
    <w:p w14:paraId="3F05F2CF"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p>
    <w:p w14:paraId="6240D0D4"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r w:rsidRPr="008533B0">
        <w:rPr>
          <w:rFonts w:ascii="Arial" w:eastAsia="CharisSIL" w:hAnsi="Arial" w:cs="Arial"/>
          <w:kern w:val="0"/>
          <w:sz w:val="20"/>
          <w:szCs w:val="20"/>
          <w:lang w:val="en-US"/>
        </w:rPr>
        <w:t>All experiments were carried out using a Thermo Fischer Atomic Absorption 3000. The samples were run in triplicates and the values reported are mean of triplicates.</w:t>
      </w:r>
    </w:p>
    <w:p w14:paraId="6B9848DA"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p>
    <w:p w14:paraId="4C2FCC5B" w14:textId="77777777" w:rsidR="00E85C0B" w:rsidRPr="008533B0" w:rsidRDefault="00E85C0B" w:rsidP="00D81359">
      <w:pPr>
        <w:pStyle w:val="Heading2"/>
      </w:pPr>
      <w:proofErr w:type="spellStart"/>
      <w:r w:rsidRPr="008533B0">
        <w:t>Reagents</w:t>
      </w:r>
      <w:proofErr w:type="spellEnd"/>
      <w:r w:rsidRPr="008533B0">
        <w:t xml:space="preserve"> and standards</w:t>
      </w:r>
    </w:p>
    <w:p w14:paraId="60BF8DF5"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p>
    <w:p w14:paraId="2FB5D41C" w14:textId="68DD6F58"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r w:rsidRPr="008533B0">
        <w:rPr>
          <w:rFonts w:ascii="Arial" w:eastAsia="CharisSIL" w:hAnsi="Arial" w:cs="Arial"/>
          <w:kern w:val="0"/>
          <w:sz w:val="20"/>
          <w:szCs w:val="20"/>
          <w:lang w:val="en-US"/>
        </w:rPr>
        <w:t>All solutions were prepared with distilled-deionized water (18</w:t>
      </w:r>
      <w:r w:rsidR="00BD382F" w:rsidRPr="008533B0">
        <w:rPr>
          <w:rFonts w:ascii="Arial" w:eastAsia="CharisSIL" w:hAnsi="Arial" w:cs="Arial"/>
          <w:kern w:val="0"/>
          <w:sz w:val="20"/>
          <w:szCs w:val="20"/>
          <w:lang w:val="en-US"/>
        </w:rPr>
        <w:t xml:space="preserve"> </w:t>
      </w:r>
      <w:proofErr w:type="spellStart"/>
      <w:r w:rsidRPr="008533B0">
        <w:rPr>
          <w:rFonts w:ascii="Arial" w:eastAsia="CharisSIL" w:hAnsi="Arial" w:cs="Arial"/>
          <w:kern w:val="0"/>
          <w:sz w:val="20"/>
          <w:szCs w:val="20"/>
          <w:lang w:val="en-US"/>
        </w:rPr>
        <w:t>MΩcm</w:t>
      </w:r>
      <w:proofErr w:type="spellEnd"/>
      <w:r w:rsidRPr="008533B0">
        <w:rPr>
          <w:rFonts w:ascii="Arial" w:eastAsia="CharisSIL" w:hAnsi="Arial" w:cs="Arial"/>
          <w:kern w:val="0"/>
          <w:sz w:val="20"/>
          <w:szCs w:val="20"/>
          <w:lang w:val="en-US"/>
        </w:rPr>
        <w:t>, Milli-Q, Millipore, Bedford, MA, USA). Sulfuric acid (H</w:t>
      </w:r>
      <w:r w:rsidRPr="008533B0">
        <w:rPr>
          <w:rFonts w:ascii="Arial" w:eastAsia="CharisSIL" w:hAnsi="Arial" w:cs="Arial"/>
          <w:kern w:val="0"/>
          <w:sz w:val="20"/>
          <w:szCs w:val="20"/>
          <w:vertAlign w:val="subscript"/>
          <w:lang w:val="en-US"/>
        </w:rPr>
        <w:t>2</w:t>
      </w:r>
      <w:r w:rsidRPr="008533B0">
        <w:rPr>
          <w:rFonts w:ascii="Arial" w:eastAsia="CharisSIL" w:hAnsi="Arial" w:cs="Arial"/>
          <w:kern w:val="0"/>
          <w:sz w:val="20"/>
          <w:szCs w:val="20"/>
          <w:lang w:val="en-US"/>
        </w:rPr>
        <w:t>SO</w:t>
      </w:r>
      <w:r w:rsidRPr="008533B0">
        <w:rPr>
          <w:rFonts w:ascii="Arial" w:eastAsia="CharisSIL" w:hAnsi="Arial" w:cs="Arial"/>
          <w:kern w:val="0"/>
          <w:sz w:val="20"/>
          <w:szCs w:val="20"/>
          <w:vertAlign w:val="subscript"/>
          <w:lang w:val="en-US"/>
        </w:rPr>
        <w:t>4</w:t>
      </w:r>
      <w:r w:rsidRPr="008533B0">
        <w:rPr>
          <w:rFonts w:ascii="Arial" w:eastAsia="CharisSIL" w:hAnsi="Arial" w:cs="Arial"/>
          <w:kern w:val="0"/>
          <w:sz w:val="20"/>
          <w:szCs w:val="20"/>
          <w:lang w:val="en-US"/>
        </w:rPr>
        <w:t>, 98%), perchloric acid (HClO</w:t>
      </w:r>
      <w:r w:rsidRPr="008533B0">
        <w:rPr>
          <w:rFonts w:ascii="Arial" w:eastAsia="CharisSIL" w:hAnsi="Arial" w:cs="Arial"/>
          <w:kern w:val="0"/>
          <w:sz w:val="20"/>
          <w:szCs w:val="20"/>
          <w:vertAlign w:val="subscript"/>
          <w:lang w:val="en-US"/>
        </w:rPr>
        <w:t>4</w:t>
      </w:r>
      <w:r w:rsidRPr="008533B0">
        <w:rPr>
          <w:rFonts w:ascii="Arial" w:eastAsia="CharisSIL" w:hAnsi="Arial" w:cs="Arial"/>
          <w:kern w:val="0"/>
          <w:sz w:val="20"/>
          <w:szCs w:val="20"/>
          <w:lang w:val="en-US"/>
        </w:rPr>
        <w:t>, 70%) and nitric acid (HNO</w:t>
      </w:r>
      <w:r w:rsidRPr="008533B0">
        <w:rPr>
          <w:rFonts w:ascii="Arial" w:eastAsia="CharisSIL" w:hAnsi="Arial" w:cs="Arial"/>
          <w:kern w:val="0"/>
          <w:sz w:val="20"/>
          <w:szCs w:val="20"/>
          <w:vertAlign w:val="subscript"/>
          <w:lang w:val="en-US"/>
        </w:rPr>
        <w:t xml:space="preserve">3 </w:t>
      </w:r>
      <w:r w:rsidRPr="008533B0">
        <w:rPr>
          <w:rFonts w:ascii="Arial" w:eastAsia="CharisSIL" w:hAnsi="Arial" w:cs="Arial"/>
          <w:kern w:val="0"/>
          <w:sz w:val="20"/>
          <w:szCs w:val="20"/>
          <w:lang w:val="en-US"/>
        </w:rPr>
        <w:t xml:space="preserve">65%), from Sigma-Aldrich France, were used in the procedure of digestion of the samples. The analytical solutions were prepared from standard solution dilutions 1000 </w:t>
      </w:r>
      <w:r w:rsidRPr="008533B0">
        <w:rPr>
          <w:rFonts w:ascii="Arial" w:eastAsia="CharisSIL" w:hAnsi="Arial" w:cs="Arial"/>
          <w:kern w:val="0"/>
          <w:sz w:val="20"/>
          <w:szCs w:val="20"/>
          <w:lang w:val="en-US"/>
        </w:rPr>
        <w:sym w:font="Symbol" w:char="F06D"/>
      </w:r>
      <w:r w:rsidRPr="008533B0">
        <w:rPr>
          <w:rFonts w:ascii="Arial" w:eastAsia="CharisSIL" w:hAnsi="Arial" w:cs="Arial"/>
          <w:kern w:val="0"/>
          <w:sz w:val="20"/>
          <w:szCs w:val="20"/>
          <w:lang w:val="en-US"/>
        </w:rPr>
        <w:t>gmL</w:t>
      </w:r>
      <w:r w:rsidRPr="008533B0">
        <w:rPr>
          <w:rFonts w:ascii="Arial" w:eastAsia="CharisSIL" w:hAnsi="Arial" w:cs="Arial"/>
          <w:kern w:val="0"/>
          <w:sz w:val="20"/>
          <w:szCs w:val="20"/>
          <w:vertAlign w:val="superscript"/>
          <w:lang w:val="en-US"/>
        </w:rPr>
        <w:t xml:space="preserve">-1 </w:t>
      </w:r>
      <w:r w:rsidRPr="008533B0">
        <w:rPr>
          <w:rFonts w:ascii="Arial" w:eastAsia="CharisSIL" w:hAnsi="Arial" w:cs="Arial"/>
          <w:kern w:val="0"/>
          <w:sz w:val="20"/>
          <w:szCs w:val="20"/>
          <w:lang w:val="en-US"/>
        </w:rPr>
        <w:t xml:space="preserve">of Na, </w:t>
      </w:r>
      <w:proofErr w:type="gramStart"/>
      <w:r w:rsidRPr="008533B0">
        <w:rPr>
          <w:rFonts w:ascii="Arial" w:eastAsia="CharisSIL" w:hAnsi="Arial" w:cs="Arial"/>
          <w:kern w:val="0"/>
          <w:sz w:val="20"/>
          <w:szCs w:val="20"/>
          <w:lang w:val="en-US"/>
        </w:rPr>
        <w:t xml:space="preserve">K </w:t>
      </w:r>
      <w:r w:rsidRPr="008533B0">
        <w:rPr>
          <w:rFonts w:ascii="Arial" w:hAnsi="Arial" w:cs="Arial"/>
          <w:sz w:val="20"/>
          <w:szCs w:val="20"/>
          <w:lang w:val="en-US"/>
        </w:rPr>
        <w:t>,</w:t>
      </w:r>
      <w:proofErr w:type="gramEnd"/>
      <w:r w:rsidRPr="008533B0">
        <w:rPr>
          <w:rFonts w:ascii="Arial" w:hAnsi="Arial" w:cs="Arial"/>
          <w:sz w:val="20"/>
          <w:szCs w:val="20"/>
          <w:lang w:val="en-US"/>
        </w:rPr>
        <w:t xml:space="preserve"> Mg, Ca, Cr, Fe, Ni, Cu, Zn, Cd and Pb </w:t>
      </w:r>
      <w:r w:rsidRPr="008533B0">
        <w:rPr>
          <w:rFonts w:ascii="Arial" w:eastAsia="CharisSIL" w:hAnsi="Arial" w:cs="Arial"/>
          <w:kern w:val="0"/>
          <w:sz w:val="20"/>
          <w:szCs w:val="20"/>
          <w:lang w:val="en-US"/>
        </w:rPr>
        <w:t xml:space="preserve">(Aldrich, France). All materials used were decontaminated in nitric acid solution 10% v/v by 24 h. </w:t>
      </w:r>
      <w:r w:rsidR="002D20AF" w:rsidRPr="008533B0">
        <w:rPr>
          <w:rFonts w:ascii="Arial" w:hAnsi="Arial" w:cs="Arial"/>
          <w:sz w:val="20"/>
          <w:szCs w:val="20"/>
          <w:lang w:val="en-US"/>
        </w:rPr>
        <w:t xml:space="preserve">The medicinal plant </w:t>
      </w:r>
      <w:r w:rsidRPr="008533B0">
        <w:rPr>
          <w:rFonts w:ascii="Arial" w:hAnsi="Arial" w:cs="Arial"/>
          <w:sz w:val="20"/>
          <w:szCs w:val="20"/>
          <w:lang w:val="en-US"/>
        </w:rPr>
        <w:t>samples were purchased from the market of Dakar situated in the center of the town.</w:t>
      </w:r>
    </w:p>
    <w:p w14:paraId="6D97036C" w14:textId="77777777" w:rsidR="00E85C0B" w:rsidRPr="008533B0" w:rsidRDefault="00E85C0B" w:rsidP="008533B0">
      <w:pPr>
        <w:autoSpaceDE w:val="0"/>
        <w:autoSpaceDN w:val="0"/>
        <w:adjustRightInd w:val="0"/>
        <w:spacing w:line="240" w:lineRule="auto"/>
        <w:rPr>
          <w:rFonts w:ascii="Arial" w:eastAsia="CharisSIL" w:hAnsi="Arial" w:cs="Arial"/>
          <w:kern w:val="0"/>
          <w:sz w:val="20"/>
          <w:szCs w:val="20"/>
          <w:lang w:val="en-US"/>
        </w:rPr>
      </w:pPr>
    </w:p>
    <w:p w14:paraId="556B2A7D" w14:textId="5EE1AC83" w:rsidR="00E85C0B" w:rsidRPr="002C36CD" w:rsidRDefault="00E85C0B" w:rsidP="00D81359">
      <w:pPr>
        <w:pStyle w:val="Heading2"/>
        <w:rPr>
          <w:lang w:val="en-US"/>
        </w:rPr>
      </w:pPr>
      <w:r w:rsidRPr="002C36CD">
        <w:rPr>
          <w:lang w:val="en-US"/>
        </w:rPr>
        <w:t xml:space="preserve">Extraction of </w:t>
      </w:r>
      <w:r w:rsidR="00707622" w:rsidRPr="002C36CD">
        <w:rPr>
          <w:lang w:val="en-US"/>
        </w:rPr>
        <w:t xml:space="preserve">minerals </w:t>
      </w:r>
      <w:r w:rsidR="00A13828" w:rsidRPr="002C36CD">
        <w:rPr>
          <w:lang w:val="en-US"/>
        </w:rPr>
        <w:t>from</w:t>
      </w:r>
      <w:r w:rsidR="006030A5" w:rsidRPr="002C36CD">
        <w:rPr>
          <w:lang w:val="en-US"/>
        </w:rPr>
        <w:t xml:space="preserve"> roots, stems or leaves of </w:t>
      </w:r>
      <w:proofErr w:type="spellStart"/>
      <w:r w:rsidR="006030A5" w:rsidRPr="002C36CD">
        <w:rPr>
          <w:i/>
          <w:iCs/>
          <w:lang w:val="en-US"/>
        </w:rPr>
        <w:t>Stylochaeton</w:t>
      </w:r>
      <w:proofErr w:type="spellEnd"/>
      <w:r w:rsidR="006030A5" w:rsidRPr="002C36CD">
        <w:rPr>
          <w:i/>
          <w:iCs/>
          <w:lang w:val="en-US"/>
        </w:rPr>
        <w:t xml:space="preserve"> </w:t>
      </w:r>
      <w:proofErr w:type="spellStart"/>
      <w:r w:rsidR="006030A5" w:rsidRPr="002C36CD">
        <w:rPr>
          <w:i/>
          <w:iCs/>
          <w:lang w:val="en-US"/>
        </w:rPr>
        <w:t>hypogaeus</w:t>
      </w:r>
      <w:proofErr w:type="spellEnd"/>
    </w:p>
    <w:p w14:paraId="0B49D8C0" w14:textId="77777777" w:rsidR="00E85C0B" w:rsidRPr="008533B0" w:rsidRDefault="00E85C0B" w:rsidP="008533B0">
      <w:pPr>
        <w:spacing w:line="240" w:lineRule="auto"/>
        <w:rPr>
          <w:rFonts w:ascii="Arial" w:hAnsi="Arial" w:cs="Arial"/>
          <w:sz w:val="20"/>
          <w:szCs w:val="20"/>
          <w:lang w:val="en-US"/>
        </w:rPr>
      </w:pPr>
    </w:p>
    <w:p w14:paraId="2B0D0156" w14:textId="46BA772A" w:rsidR="00E85C0B" w:rsidRPr="008533B0" w:rsidRDefault="00E85C0B" w:rsidP="008533B0">
      <w:pPr>
        <w:spacing w:line="240" w:lineRule="auto"/>
        <w:rPr>
          <w:rFonts w:ascii="Arial" w:hAnsi="Arial" w:cs="Arial"/>
          <w:sz w:val="20"/>
          <w:szCs w:val="20"/>
          <w:lang w:val="en-US"/>
        </w:rPr>
      </w:pPr>
      <w:r w:rsidRPr="008533B0">
        <w:rPr>
          <w:rFonts w:ascii="Arial" w:hAnsi="Arial" w:cs="Arial"/>
          <w:sz w:val="20"/>
          <w:szCs w:val="20"/>
          <w:lang w:val="en-US"/>
        </w:rPr>
        <w:t xml:space="preserve">Five grams of </w:t>
      </w:r>
      <w:r w:rsidR="001D098E" w:rsidRPr="008533B0">
        <w:rPr>
          <w:rFonts w:ascii="Arial" w:hAnsi="Arial" w:cs="Arial"/>
          <w:sz w:val="20"/>
          <w:szCs w:val="20"/>
          <w:lang w:val="en-US"/>
        </w:rPr>
        <w:t xml:space="preserve">roots, stems or leaves of </w:t>
      </w:r>
      <w:proofErr w:type="spellStart"/>
      <w:r w:rsidR="001D098E" w:rsidRPr="008533B0">
        <w:rPr>
          <w:rFonts w:ascii="Arial" w:hAnsi="Arial" w:cs="Arial"/>
          <w:i/>
          <w:iCs/>
          <w:sz w:val="20"/>
          <w:szCs w:val="20"/>
          <w:lang w:val="en-US"/>
        </w:rPr>
        <w:t>Stylochaeton</w:t>
      </w:r>
      <w:proofErr w:type="spellEnd"/>
      <w:r w:rsidR="001D098E" w:rsidRPr="008533B0">
        <w:rPr>
          <w:rFonts w:ascii="Arial" w:hAnsi="Arial" w:cs="Arial"/>
          <w:i/>
          <w:iCs/>
          <w:sz w:val="20"/>
          <w:szCs w:val="20"/>
          <w:lang w:val="en-US"/>
        </w:rPr>
        <w:t xml:space="preserve"> </w:t>
      </w:r>
      <w:proofErr w:type="spellStart"/>
      <w:r w:rsidR="001D098E" w:rsidRPr="008533B0">
        <w:rPr>
          <w:rFonts w:ascii="Arial" w:hAnsi="Arial" w:cs="Arial"/>
          <w:i/>
          <w:iCs/>
          <w:sz w:val="20"/>
          <w:szCs w:val="20"/>
          <w:lang w:val="en-US"/>
        </w:rPr>
        <w:t>hypogaeus</w:t>
      </w:r>
      <w:proofErr w:type="spellEnd"/>
      <w:r w:rsidRPr="008533B0">
        <w:rPr>
          <w:rFonts w:ascii="Arial" w:hAnsi="Arial" w:cs="Arial"/>
          <w:sz w:val="20"/>
          <w:szCs w:val="20"/>
          <w:lang w:val="en-US"/>
        </w:rPr>
        <w:t xml:space="preserve"> were weighed </w:t>
      </w:r>
      <w:r w:rsidR="00C263FD" w:rsidRPr="008533B0">
        <w:rPr>
          <w:rFonts w:ascii="Arial" w:hAnsi="Arial" w:cs="Arial"/>
          <w:sz w:val="20"/>
          <w:szCs w:val="20"/>
          <w:lang w:val="en-US"/>
        </w:rPr>
        <w:t xml:space="preserve">dried in the shade for two days before completing the drying in an oven at 50°C for two days. The </w:t>
      </w:r>
      <w:r w:rsidR="006030A5" w:rsidRPr="008533B0">
        <w:rPr>
          <w:rFonts w:ascii="Arial" w:hAnsi="Arial" w:cs="Arial"/>
          <w:sz w:val="20"/>
          <w:szCs w:val="20"/>
          <w:lang w:val="en-US"/>
        </w:rPr>
        <w:t>vegetal</w:t>
      </w:r>
      <w:r w:rsidR="00C263FD" w:rsidRPr="008533B0">
        <w:rPr>
          <w:rFonts w:ascii="Arial" w:hAnsi="Arial" w:cs="Arial"/>
          <w:sz w:val="20"/>
          <w:szCs w:val="20"/>
          <w:lang w:val="en-US"/>
        </w:rPr>
        <w:t xml:space="preserve"> are then finely ground using a blender. For each sample, 5 g of </w:t>
      </w:r>
      <w:r w:rsidR="00AB50AC" w:rsidRPr="008533B0">
        <w:rPr>
          <w:rFonts w:ascii="Arial" w:hAnsi="Arial" w:cs="Arial"/>
          <w:sz w:val="20"/>
          <w:szCs w:val="20"/>
          <w:lang w:val="en-US"/>
        </w:rPr>
        <w:t>vegetal</w:t>
      </w:r>
      <w:r w:rsidR="00C263FD" w:rsidRPr="008533B0">
        <w:rPr>
          <w:rFonts w:ascii="Arial" w:hAnsi="Arial" w:cs="Arial"/>
          <w:sz w:val="20"/>
          <w:szCs w:val="20"/>
          <w:lang w:val="en-US"/>
        </w:rPr>
        <w:t xml:space="preserve"> are mixed with 10 mL of a 1:1 mixture of ethanol and glycerol before being calcined at 500°C for 24</w:t>
      </w:r>
      <w:r w:rsidR="00457806" w:rsidRPr="008533B0">
        <w:rPr>
          <w:rFonts w:ascii="Arial" w:hAnsi="Arial" w:cs="Arial"/>
          <w:sz w:val="20"/>
          <w:szCs w:val="20"/>
          <w:lang w:val="en-US"/>
        </w:rPr>
        <w:t xml:space="preserve"> hours. After cooling, the ashes are collected and then treated with concentrated HNO</w:t>
      </w:r>
      <w:r w:rsidR="00457806" w:rsidRPr="008533B0">
        <w:rPr>
          <w:rFonts w:ascii="Arial" w:hAnsi="Arial" w:cs="Arial"/>
          <w:sz w:val="20"/>
          <w:szCs w:val="20"/>
          <w:vertAlign w:val="subscript"/>
          <w:lang w:val="en-US"/>
        </w:rPr>
        <w:t>3</w:t>
      </w:r>
      <w:r w:rsidR="00457806" w:rsidRPr="008533B0">
        <w:rPr>
          <w:rFonts w:ascii="Arial" w:hAnsi="Arial" w:cs="Arial"/>
          <w:sz w:val="20"/>
          <w:szCs w:val="20"/>
          <w:lang w:val="en-US"/>
        </w:rPr>
        <w:t xml:space="preserve"> to dissolve the different metal ions present in the matrix. The suspensions were filtered into a graduated flask before making up to 100 mL with ultrapure water</w:t>
      </w:r>
      <w:r w:rsidR="000909BD" w:rsidRPr="008533B0">
        <w:rPr>
          <w:rFonts w:ascii="Arial" w:hAnsi="Arial" w:cs="Arial"/>
          <w:sz w:val="20"/>
          <w:szCs w:val="20"/>
          <w:lang w:val="en-US"/>
        </w:rPr>
        <w:t xml:space="preserve"> </w:t>
      </w:r>
      <w:r w:rsidR="00E56670" w:rsidRPr="008533B0">
        <w:rPr>
          <w:rFonts w:ascii="Arial" w:hAnsi="Arial" w:cs="Arial"/>
          <w:sz w:val="20"/>
          <w:szCs w:val="20"/>
          <w:lang w:val="en-US"/>
        </w:rPr>
        <w:t>[27]</w:t>
      </w:r>
      <w:r w:rsidR="003135E1" w:rsidRPr="008533B0">
        <w:rPr>
          <w:rFonts w:ascii="Arial" w:hAnsi="Arial" w:cs="Arial"/>
          <w:sz w:val="20"/>
          <w:szCs w:val="20"/>
          <w:lang w:val="en-US"/>
        </w:rPr>
        <w:t>.</w:t>
      </w:r>
    </w:p>
    <w:p w14:paraId="163E9C68" w14:textId="77777777" w:rsidR="002737FE" w:rsidRDefault="002737FE" w:rsidP="008533B0">
      <w:pPr>
        <w:spacing w:line="240" w:lineRule="auto"/>
        <w:rPr>
          <w:rFonts w:ascii="Arial" w:hAnsi="Arial" w:cs="Arial"/>
          <w:sz w:val="20"/>
          <w:szCs w:val="20"/>
          <w:lang w:val="en-US"/>
        </w:rPr>
      </w:pPr>
    </w:p>
    <w:p w14:paraId="3B4F2FDE" w14:textId="77777777" w:rsidR="002C36CD" w:rsidRDefault="002C36CD" w:rsidP="008533B0">
      <w:pPr>
        <w:spacing w:line="240" w:lineRule="auto"/>
        <w:rPr>
          <w:rFonts w:ascii="Arial" w:hAnsi="Arial" w:cs="Arial"/>
          <w:sz w:val="20"/>
          <w:szCs w:val="20"/>
          <w:lang w:val="en-US"/>
        </w:rPr>
      </w:pPr>
    </w:p>
    <w:p w14:paraId="6C612C80" w14:textId="77777777" w:rsidR="002C36CD" w:rsidRPr="008533B0" w:rsidRDefault="002C36CD" w:rsidP="008533B0">
      <w:pPr>
        <w:spacing w:line="240" w:lineRule="auto"/>
        <w:rPr>
          <w:rFonts w:ascii="Arial" w:hAnsi="Arial" w:cs="Arial"/>
          <w:sz w:val="20"/>
          <w:szCs w:val="20"/>
          <w:lang w:val="en-US"/>
        </w:rPr>
      </w:pPr>
    </w:p>
    <w:p w14:paraId="04AD0051" w14:textId="77777777" w:rsidR="00EE52F7" w:rsidRPr="008533B0" w:rsidRDefault="00EE52F7" w:rsidP="008533B0">
      <w:pPr>
        <w:spacing w:line="240" w:lineRule="auto"/>
        <w:rPr>
          <w:rFonts w:ascii="Arial" w:hAnsi="Arial" w:cs="Arial"/>
          <w:sz w:val="20"/>
          <w:szCs w:val="20"/>
          <w:lang w:val="en-US"/>
        </w:rPr>
      </w:pPr>
    </w:p>
    <w:p w14:paraId="7BF1CFA1" w14:textId="77777777" w:rsidR="00EE52F7" w:rsidRPr="008533B0" w:rsidRDefault="00EE52F7" w:rsidP="008533B0">
      <w:pPr>
        <w:spacing w:line="240" w:lineRule="auto"/>
        <w:rPr>
          <w:rFonts w:ascii="Arial" w:hAnsi="Arial" w:cs="Arial"/>
          <w:b/>
          <w:bCs/>
          <w:sz w:val="20"/>
          <w:szCs w:val="20"/>
          <w:lang w:val="en-US"/>
        </w:rPr>
      </w:pPr>
      <w:r w:rsidRPr="008533B0">
        <w:rPr>
          <w:rFonts w:ascii="Arial" w:hAnsi="Arial" w:cs="Arial"/>
          <w:b/>
          <w:bCs/>
          <w:sz w:val="20"/>
          <w:szCs w:val="20"/>
        </w:rPr>
        <w:t xml:space="preserve">Table </w:t>
      </w:r>
      <w:proofErr w:type="gramStart"/>
      <w:r w:rsidRPr="008533B0">
        <w:rPr>
          <w:rFonts w:ascii="Arial" w:hAnsi="Arial" w:cs="Arial"/>
          <w:b/>
          <w:bCs/>
          <w:sz w:val="20"/>
          <w:szCs w:val="20"/>
        </w:rPr>
        <w:t xml:space="preserve">1 </w:t>
      </w:r>
      <w:r w:rsidRPr="008533B0">
        <w:rPr>
          <w:rFonts w:ascii="Arial" w:hAnsi="Arial" w:cs="Arial"/>
          <w:b/>
          <w:bCs/>
          <w:sz w:val="20"/>
          <w:szCs w:val="20"/>
          <w:lang w:val="en-US"/>
        </w:rPr>
        <w:t>:</w:t>
      </w:r>
      <w:proofErr w:type="gramEnd"/>
      <w:r w:rsidRPr="008533B0">
        <w:rPr>
          <w:rFonts w:ascii="Arial" w:hAnsi="Arial" w:cs="Arial"/>
          <w:b/>
          <w:bCs/>
          <w:sz w:val="20"/>
          <w:szCs w:val="20"/>
          <w:lang w:val="en-US"/>
        </w:rPr>
        <w:t xml:space="preserve"> Analytical conditions and calibration curves for Na, K, Mg, Ca, Cr, Fe, Ni, Cu, Zn, Cd and Pb</w:t>
      </w:r>
      <w:r w:rsidRPr="008533B0">
        <w:rPr>
          <w:rFonts w:ascii="Arial" w:hAnsi="Arial" w:cs="Arial"/>
          <w:b/>
          <w:bCs/>
          <w:sz w:val="20"/>
          <w:szCs w:val="20"/>
        </w:rPr>
        <w:t xml:space="preserve"> </w:t>
      </w:r>
      <w:r w:rsidRPr="008533B0">
        <w:rPr>
          <w:rFonts w:ascii="Arial" w:hAnsi="Arial" w:cs="Arial"/>
          <w:b/>
          <w:bCs/>
          <w:sz w:val="20"/>
          <w:szCs w:val="20"/>
          <w:lang w:val="en-US"/>
        </w:rPr>
        <w:t>analysis by Atomic Absorption Spectroscopy.</w:t>
      </w:r>
    </w:p>
    <w:tbl>
      <w:tblPr>
        <w:tblStyle w:val="TableGrid"/>
        <w:tblW w:w="103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843"/>
        <w:gridCol w:w="284"/>
        <w:gridCol w:w="1417"/>
        <w:gridCol w:w="284"/>
        <w:gridCol w:w="2834"/>
        <w:gridCol w:w="284"/>
      </w:tblGrid>
      <w:tr w:rsidR="00EE52F7" w:rsidRPr="008533B0" w14:paraId="62D3BD31" w14:textId="77777777" w:rsidTr="002F484E">
        <w:trPr>
          <w:trHeight w:val="854"/>
        </w:trPr>
        <w:tc>
          <w:tcPr>
            <w:tcW w:w="1701" w:type="dxa"/>
            <w:tcBorders>
              <w:top w:val="single" w:sz="12" w:space="0" w:color="auto"/>
              <w:bottom w:val="single" w:sz="12" w:space="0" w:color="auto"/>
            </w:tcBorders>
            <w:vAlign w:val="center"/>
          </w:tcPr>
          <w:p w14:paraId="06B75A23"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sz w:val="20"/>
                <w:szCs w:val="20"/>
                <w:lang w:val="en-US"/>
              </w:rPr>
              <w:t>Mineral</w:t>
            </w:r>
          </w:p>
        </w:tc>
        <w:tc>
          <w:tcPr>
            <w:tcW w:w="1701" w:type="dxa"/>
            <w:tcBorders>
              <w:top w:val="single" w:sz="12" w:space="0" w:color="auto"/>
              <w:bottom w:val="single" w:sz="12" w:space="0" w:color="auto"/>
            </w:tcBorders>
            <w:vAlign w:val="center"/>
          </w:tcPr>
          <w:p w14:paraId="4309B3ED" w14:textId="77777777" w:rsidR="00EE52F7" w:rsidRPr="008533B0" w:rsidRDefault="00EE52F7" w:rsidP="008533B0">
            <w:pPr>
              <w:autoSpaceDE w:val="0"/>
              <w:autoSpaceDN w:val="0"/>
              <w:adjustRightInd w:val="0"/>
              <w:ind w:left="-111" w:right="-111"/>
              <w:rPr>
                <w:rFonts w:ascii="Arial" w:hAnsi="Arial" w:cs="Arial"/>
                <w:iCs/>
                <w:sz w:val="20"/>
                <w:szCs w:val="20"/>
                <w:lang w:val="en-US"/>
              </w:rPr>
            </w:pPr>
            <w:r w:rsidRPr="008533B0">
              <w:rPr>
                <w:rFonts w:ascii="Arial" w:hAnsi="Arial" w:cs="Arial"/>
                <w:iCs/>
                <w:sz w:val="20"/>
                <w:szCs w:val="20"/>
                <w:lang w:val="en-US"/>
              </w:rPr>
              <w:t>Wavelength (nm)</w:t>
            </w:r>
          </w:p>
        </w:tc>
        <w:tc>
          <w:tcPr>
            <w:tcW w:w="2127" w:type="dxa"/>
            <w:gridSpan w:val="2"/>
            <w:tcBorders>
              <w:top w:val="single" w:sz="12" w:space="0" w:color="auto"/>
              <w:bottom w:val="single" w:sz="12" w:space="0" w:color="auto"/>
            </w:tcBorders>
            <w:vAlign w:val="center"/>
          </w:tcPr>
          <w:p w14:paraId="66486250" w14:textId="35937720"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Range of detection</w:t>
            </w:r>
            <w:r w:rsidR="00477BFB" w:rsidRPr="008533B0">
              <w:rPr>
                <w:rFonts w:ascii="Arial" w:hAnsi="Arial" w:cs="Arial"/>
                <w:iCs/>
                <w:sz w:val="20"/>
                <w:szCs w:val="20"/>
                <w:lang w:val="en-US"/>
              </w:rPr>
              <w:t xml:space="preserve"> (mg/</w:t>
            </w:r>
            <w:r w:rsidR="003B6921" w:rsidRPr="008533B0">
              <w:rPr>
                <w:rFonts w:ascii="Arial" w:hAnsi="Arial" w:cs="Arial"/>
                <w:iCs/>
                <w:sz w:val="20"/>
                <w:szCs w:val="20"/>
                <w:lang w:val="en-US"/>
              </w:rPr>
              <w:t>L)</w:t>
            </w:r>
          </w:p>
        </w:tc>
        <w:tc>
          <w:tcPr>
            <w:tcW w:w="1701" w:type="dxa"/>
            <w:gridSpan w:val="2"/>
            <w:tcBorders>
              <w:top w:val="single" w:sz="12" w:space="0" w:color="auto"/>
              <w:bottom w:val="single" w:sz="12" w:space="0" w:color="auto"/>
            </w:tcBorders>
            <w:vAlign w:val="center"/>
          </w:tcPr>
          <w:p w14:paraId="01F08164" w14:textId="77777777" w:rsidR="00EE52F7" w:rsidRPr="008533B0" w:rsidRDefault="00EE52F7" w:rsidP="008533B0">
            <w:pPr>
              <w:autoSpaceDE w:val="0"/>
              <w:autoSpaceDN w:val="0"/>
              <w:adjustRightInd w:val="0"/>
              <w:ind w:right="-108"/>
              <w:rPr>
                <w:rFonts w:ascii="Arial" w:hAnsi="Arial" w:cs="Arial"/>
                <w:iCs/>
                <w:sz w:val="20"/>
                <w:szCs w:val="20"/>
                <w:lang w:val="en-US"/>
              </w:rPr>
            </w:pPr>
            <w:r w:rsidRPr="008533B0">
              <w:rPr>
                <w:rFonts w:ascii="Arial" w:hAnsi="Arial" w:cs="Arial"/>
                <w:iCs/>
                <w:sz w:val="20"/>
                <w:szCs w:val="20"/>
                <w:lang w:val="en-US"/>
              </w:rPr>
              <w:t>Correlation coefficient (R</w:t>
            </w:r>
            <w:r w:rsidRPr="008533B0">
              <w:rPr>
                <w:rFonts w:ascii="Arial" w:hAnsi="Arial" w:cs="Arial"/>
                <w:iCs/>
                <w:sz w:val="20"/>
                <w:szCs w:val="20"/>
                <w:vertAlign w:val="superscript"/>
                <w:lang w:val="en-US"/>
              </w:rPr>
              <w:t>2</w:t>
            </w:r>
            <w:r w:rsidRPr="008533B0">
              <w:rPr>
                <w:rFonts w:ascii="Arial" w:hAnsi="Arial" w:cs="Arial"/>
                <w:iCs/>
                <w:sz w:val="20"/>
                <w:szCs w:val="20"/>
                <w:lang w:val="en-US"/>
              </w:rPr>
              <w:t>)</w:t>
            </w:r>
          </w:p>
        </w:tc>
        <w:tc>
          <w:tcPr>
            <w:tcW w:w="3118" w:type="dxa"/>
            <w:gridSpan w:val="2"/>
            <w:tcBorders>
              <w:top w:val="single" w:sz="12" w:space="0" w:color="auto"/>
              <w:bottom w:val="single" w:sz="12" w:space="0" w:color="auto"/>
            </w:tcBorders>
            <w:vAlign w:val="center"/>
          </w:tcPr>
          <w:p w14:paraId="02A08324"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Calibration curve equation</w:t>
            </w:r>
          </w:p>
        </w:tc>
      </w:tr>
      <w:tr w:rsidR="00EE52F7" w:rsidRPr="008533B0" w14:paraId="1B86D8F1" w14:textId="77777777" w:rsidTr="002F484E">
        <w:trPr>
          <w:gridAfter w:val="1"/>
          <w:wAfter w:w="284" w:type="dxa"/>
          <w:trHeight w:val="321"/>
        </w:trPr>
        <w:tc>
          <w:tcPr>
            <w:tcW w:w="1701" w:type="dxa"/>
            <w:tcBorders>
              <w:top w:val="single" w:sz="12" w:space="0" w:color="auto"/>
            </w:tcBorders>
          </w:tcPr>
          <w:p w14:paraId="700DEBB7"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lastRenderedPageBreak/>
              <w:t>Sodium</w:t>
            </w:r>
          </w:p>
        </w:tc>
        <w:tc>
          <w:tcPr>
            <w:tcW w:w="1701" w:type="dxa"/>
            <w:tcBorders>
              <w:top w:val="single" w:sz="12" w:space="0" w:color="auto"/>
            </w:tcBorders>
          </w:tcPr>
          <w:p w14:paraId="6118CBC2"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598</w:t>
            </w:r>
          </w:p>
        </w:tc>
        <w:tc>
          <w:tcPr>
            <w:tcW w:w="1843" w:type="dxa"/>
            <w:tcBorders>
              <w:top w:val="single" w:sz="12" w:space="0" w:color="auto"/>
            </w:tcBorders>
          </w:tcPr>
          <w:p w14:paraId="0F4DAA1F" w14:textId="77777777" w:rsidR="00EE52F7" w:rsidRPr="008533B0" w:rsidRDefault="00EE52F7" w:rsidP="008533B0">
            <w:pPr>
              <w:autoSpaceDE w:val="0"/>
              <w:autoSpaceDN w:val="0"/>
              <w:adjustRightInd w:val="0"/>
              <w:rPr>
                <w:rFonts w:ascii="Arial" w:hAnsi="Arial" w:cs="Arial"/>
                <w:sz w:val="20"/>
                <w:szCs w:val="20"/>
                <w:lang w:val="en-US"/>
              </w:rPr>
            </w:pPr>
            <w:r w:rsidRPr="008533B0">
              <w:rPr>
                <w:rFonts w:ascii="Arial" w:hAnsi="Arial" w:cs="Arial"/>
                <w:sz w:val="20"/>
                <w:szCs w:val="20"/>
                <w:lang w:val="en-US"/>
              </w:rPr>
              <w:t>0.02-0.8</w:t>
            </w:r>
          </w:p>
        </w:tc>
        <w:tc>
          <w:tcPr>
            <w:tcW w:w="1701" w:type="dxa"/>
            <w:gridSpan w:val="2"/>
            <w:tcBorders>
              <w:top w:val="single" w:sz="12" w:space="0" w:color="auto"/>
            </w:tcBorders>
          </w:tcPr>
          <w:p w14:paraId="3184162B"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sz w:val="20"/>
                <w:szCs w:val="20"/>
                <w:lang w:val="en-US"/>
              </w:rPr>
              <w:t>0.9960</w:t>
            </w:r>
          </w:p>
        </w:tc>
        <w:tc>
          <w:tcPr>
            <w:tcW w:w="3118" w:type="dxa"/>
            <w:gridSpan w:val="2"/>
            <w:tcBorders>
              <w:top w:val="single" w:sz="12" w:space="0" w:color="auto"/>
            </w:tcBorders>
          </w:tcPr>
          <w:p w14:paraId="33533E39"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123.66x +14.486</w:t>
            </w:r>
          </w:p>
        </w:tc>
      </w:tr>
      <w:tr w:rsidR="00EE52F7" w:rsidRPr="008533B0" w14:paraId="69414B9E" w14:textId="77777777" w:rsidTr="002F484E">
        <w:trPr>
          <w:gridAfter w:val="1"/>
          <w:wAfter w:w="284" w:type="dxa"/>
          <w:trHeight w:val="278"/>
        </w:trPr>
        <w:tc>
          <w:tcPr>
            <w:tcW w:w="1701" w:type="dxa"/>
          </w:tcPr>
          <w:p w14:paraId="1F3D4CED"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Potassium</w:t>
            </w:r>
          </w:p>
        </w:tc>
        <w:tc>
          <w:tcPr>
            <w:tcW w:w="1701" w:type="dxa"/>
          </w:tcPr>
          <w:p w14:paraId="0DBCDC7E"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766.5</w:t>
            </w:r>
          </w:p>
        </w:tc>
        <w:tc>
          <w:tcPr>
            <w:tcW w:w="1843" w:type="dxa"/>
          </w:tcPr>
          <w:p w14:paraId="216390B0"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0.03-1.6</w:t>
            </w:r>
          </w:p>
        </w:tc>
        <w:tc>
          <w:tcPr>
            <w:tcW w:w="1701" w:type="dxa"/>
            <w:gridSpan w:val="2"/>
          </w:tcPr>
          <w:p w14:paraId="03B26B49"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0.9969</w:t>
            </w:r>
          </w:p>
        </w:tc>
        <w:tc>
          <w:tcPr>
            <w:tcW w:w="3118" w:type="dxa"/>
            <w:gridSpan w:val="2"/>
          </w:tcPr>
          <w:p w14:paraId="6ECA7D99"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0.1621x +0.0096</w:t>
            </w:r>
          </w:p>
        </w:tc>
      </w:tr>
      <w:tr w:rsidR="00EE52F7" w:rsidRPr="008533B0" w14:paraId="39DD80AD" w14:textId="77777777" w:rsidTr="002F484E">
        <w:trPr>
          <w:gridAfter w:val="1"/>
          <w:wAfter w:w="284" w:type="dxa"/>
          <w:trHeight w:val="109"/>
        </w:trPr>
        <w:tc>
          <w:tcPr>
            <w:tcW w:w="1701" w:type="dxa"/>
          </w:tcPr>
          <w:p w14:paraId="08FEE21D"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Magnesium</w:t>
            </w:r>
          </w:p>
        </w:tc>
        <w:tc>
          <w:tcPr>
            <w:tcW w:w="1701" w:type="dxa"/>
          </w:tcPr>
          <w:p w14:paraId="353533B9"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285.2</w:t>
            </w:r>
          </w:p>
        </w:tc>
        <w:tc>
          <w:tcPr>
            <w:tcW w:w="1843" w:type="dxa"/>
          </w:tcPr>
          <w:p w14:paraId="550E1B18"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0.003-0.6</w:t>
            </w:r>
          </w:p>
        </w:tc>
        <w:tc>
          <w:tcPr>
            <w:tcW w:w="1701" w:type="dxa"/>
            <w:gridSpan w:val="2"/>
          </w:tcPr>
          <w:p w14:paraId="19324E39"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0.9955</w:t>
            </w:r>
          </w:p>
        </w:tc>
        <w:tc>
          <w:tcPr>
            <w:tcW w:w="3118" w:type="dxa"/>
            <w:gridSpan w:val="2"/>
          </w:tcPr>
          <w:p w14:paraId="39EFA6C4"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0.5648x +0.0109</w:t>
            </w:r>
          </w:p>
        </w:tc>
      </w:tr>
      <w:tr w:rsidR="00EE52F7" w:rsidRPr="008533B0" w14:paraId="7E386978" w14:textId="77777777" w:rsidTr="002F484E">
        <w:trPr>
          <w:gridAfter w:val="1"/>
          <w:wAfter w:w="284" w:type="dxa"/>
          <w:trHeight w:val="256"/>
        </w:trPr>
        <w:tc>
          <w:tcPr>
            <w:tcW w:w="1701" w:type="dxa"/>
          </w:tcPr>
          <w:p w14:paraId="019E2DAA"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Calcium</w:t>
            </w:r>
          </w:p>
        </w:tc>
        <w:tc>
          <w:tcPr>
            <w:tcW w:w="1701" w:type="dxa"/>
          </w:tcPr>
          <w:p w14:paraId="2C4A8ACE"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422.7</w:t>
            </w:r>
          </w:p>
        </w:tc>
        <w:tc>
          <w:tcPr>
            <w:tcW w:w="1843" w:type="dxa"/>
          </w:tcPr>
          <w:p w14:paraId="42BBD595"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0.005-4</w:t>
            </w:r>
          </w:p>
        </w:tc>
        <w:tc>
          <w:tcPr>
            <w:tcW w:w="1701" w:type="dxa"/>
            <w:gridSpan w:val="2"/>
          </w:tcPr>
          <w:p w14:paraId="3AFD84D1"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0.9918</w:t>
            </w:r>
          </w:p>
        </w:tc>
        <w:tc>
          <w:tcPr>
            <w:tcW w:w="3118" w:type="dxa"/>
            <w:gridSpan w:val="2"/>
          </w:tcPr>
          <w:p w14:paraId="2ADD1341"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0.0052x +0.0018</w:t>
            </w:r>
          </w:p>
        </w:tc>
      </w:tr>
      <w:tr w:rsidR="00EE52F7" w:rsidRPr="008533B0" w14:paraId="76EC0502" w14:textId="77777777" w:rsidTr="002F484E">
        <w:trPr>
          <w:gridAfter w:val="1"/>
          <w:wAfter w:w="284" w:type="dxa"/>
          <w:trHeight w:val="121"/>
        </w:trPr>
        <w:tc>
          <w:tcPr>
            <w:tcW w:w="1701" w:type="dxa"/>
          </w:tcPr>
          <w:p w14:paraId="55331E06"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Chromium</w:t>
            </w:r>
          </w:p>
        </w:tc>
        <w:tc>
          <w:tcPr>
            <w:tcW w:w="1701" w:type="dxa"/>
          </w:tcPr>
          <w:p w14:paraId="2513A8B8"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357.9</w:t>
            </w:r>
          </w:p>
        </w:tc>
        <w:tc>
          <w:tcPr>
            <w:tcW w:w="1843" w:type="dxa"/>
          </w:tcPr>
          <w:p w14:paraId="7E3C5AD4"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0.03-10</w:t>
            </w:r>
          </w:p>
        </w:tc>
        <w:tc>
          <w:tcPr>
            <w:tcW w:w="1701" w:type="dxa"/>
            <w:gridSpan w:val="2"/>
          </w:tcPr>
          <w:p w14:paraId="6C757BDC"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0.9966</w:t>
            </w:r>
          </w:p>
        </w:tc>
        <w:tc>
          <w:tcPr>
            <w:tcW w:w="3118" w:type="dxa"/>
            <w:gridSpan w:val="2"/>
          </w:tcPr>
          <w:p w14:paraId="721DA912"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0.0133x +0.0029</w:t>
            </w:r>
          </w:p>
        </w:tc>
      </w:tr>
      <w:tr w:rsidR="00EE52F7" w:rsidRPr="008533B0" w14:paraId="76A52D75" w14:textId="77777777" w:rsidTr="002F484E">
        <w:trPr>
          <w:gridAfter w:val="1"/>
          <w:wAfter w:w="284" w:type="dxa"/>
          <w:trHeight w:val="97"/>
        </w:trPr>
        <w:tc>
          <w:tcPr>
            <w:tcW w:w="1701" w:type="dxa"/>
          </w:tcPr>
          <w:p w14:paraId="5789061A"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Iron</w:t>
            </w:r>
          </w:p>
        </w:tc>
        <w:tc>
          <w:tcPr>
            <w:tcW w:w="1701" w:type="dxa"/>
          </w:tcPr>
          <w:p w14:paraId="3EBBEE55"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248.3</w:t>
            </w:r>
          </w:p>
        </w:tc>
        <w:tc>
          <w:tcPr>
            <w:tcW w:w="1843" w:type="dxa"/>
          </w:tcPr>
          <w:p w14:paraId="4AB31961"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0.05-0.8</w:t>
            </w:r>
          </w:p>
        </w:tc>
        <w:tc>
          <w:tcPr>
            <w:tcW w:w="1701" w:type="dxa"/>
            <w:gridSpan w:val="2"/>
          </w:tcPr>
          <w:p w14:paraId="53E18AA9"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0.9979</w:t>
            </w:r>
          </w:p>
        </w:tc>
        <w:tc>
          <w:tcPr>
            <w:tcW w:w="3118" w:type="dxa"/>
            <w:gridSpan w:val="2"/>
          </w:tcPr>
          <w:p w14:paraId="0E9148DE"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0.031x +0.0042</w:t>
            </w:r>
          </w:p>
        </w:tc>
      </w:tr>
      <w:tr w:rsidR="00EE52F7" w:rsidRPr="008533B0" w14:paraId="311DA6BC" w14:textId="77777777" w:rsidTr="002F484E">
        <w:trPr>
          <w:gridAfter w:val="1"/>
          <w:wAfter w:w="284" w:type="dxa"/>
          <w:trHeight w:val="97"/>
        </w:trPr>
        <w:tc>
          <w:tcPr>
            <w:tcW w:w="1701" w:type="dxa"/>
          </w:tcPr>
          <w:p w14:paraId="39CDE647"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Nickel</w:t>
            </w:r>
          </w:p>
        </w:tc>
        <w:tc>
          <w:tcPr>
            <w:tcW w:w="1701" w:type="dxa"/>
          </w:tcPr>
          <w:p w14:paraId="2B08068A"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232</w:t>
            </w:r>
          </w:p>
        </w:tc>
        <w:tc>
          <w:tcPr>
            <w:tcW w:w="1843" w:type="dxa"/>
          </w:tcPr>
          <w:p w14:paraId="6DEFA051"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0.09-8</w:t>
            </w:r>
          </w:p>
        </w:tc>
        <w:tc>
          <w:tcPr>
            <w:tcW w:w="1701" w:type="dxa"/>
            <w:gridSpan w:val="2"/>
          </w:tcPr>
          <w:p w14:paraId="1CE62882"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0.9906</w:t>
            </w:r>
          </w:p>
        </w:tc>
        <w:tc>
          <w:tcPr>
            <w:tcW w:w="3118" w:type="dxa"/>
            <w:gridSpan w:val="2"/>
          </w:tcPr>
          <w:p w14:paraId="44ACB80D"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0.0451x +0.0173</w:t>
            </w:r>
          </w:p>
        </w:tc>
      </w:tr>
      <w:tr w:rsidR="00EE52F7" w:rsidRPr="008533B0" w14:paraId="3D96DECA" w14:textId="77777777" w:rsidTr="002F484E">
        <w:trPr>
          <w:gridAfter w:val="1"/>
          <w:wAfter w:w="284" w:type="dxa"/>
          <w:trHeight w:val="85"/>
        </w:trPr>
        <w:tc>
          <w:tcPr>
            <w:tcW w:w="1701" w:type="dxa"/>
          </w:tcPr>
          <w:p w14:paraId="5992563C"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Copper</w:t>
            </w:r>
          </w:p>
        </w:tc>
        <w:tc>
          <w:tcPr>
            <w:tcW w:w="1701" w:type="dxa"/>
          </w:tcPr>
          <w:p w14:paraId="5E0310C4"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324</w:t>
            </w:r>
            <w:r w:rsidRPr="008533B0">
              <w:rPr>
                <w:rFonts w:ascii="Arial" w:hAnsi="Arial" w:cs="Arial"/>
                <w:iCs/>
                <w:color w:val="000000" w:themeColor="text1"/>
                <w:sz w:val="20"/>
                <w:szCs w:val="20"/>
                <w:lang w:val="en-US"/>
              </w:rPr>
              <w:t>.8</w:t>
            </w:r>
          </w:p>
        </w:tc>
        <w:tc>
          <w:tcPr>
            <w:tcW w:w="1843" w:type="dxa"/>
          </w:tcPr>
          <w:p w14:paraId="36A7084B"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0.01-4</w:t>
            </w:r>
          </w:p>
        </w:tc>
        <w:tc>
          <w:tcPr>
            <w:tcW w:w="1701" w:type="dxa"/>
            <w:gridSpan w:val="2"/>
          </w:tcPr>
          <w:p w14:paraId="40F5FDF6"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0.9975</w:t>
            </w:r>
          </w:p>
        </w:tc>
        <w:tc>
          <w:tcPr>
            <w:tcW w:w="3118" w:type="dxa"/>
            <w:gridSpan w:val="2"/>
          </w:tcPr>
          <w:p w14:paraId="381CA29B"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0.1418x +0.0078</w:t>
            </w:r>
          </w:p>
        </w:tc>
      </w:tr>
      <w:tr w:rsidR="00EE52F7" w:rsidRPr="008533B0" w14:paraId="432F4A4B" w14:textId="77777777" w:rsidTr="002F484E">
        <w:trPr>
          <w:gridAfter w:val="1"/>
          <w:wAfter w:w="284" w:type="dxa"/>
          <w:trHeight w:val="85"/>
        </w:trPr>
        <w:tc>
          <w:tcPr>
            <w:tcW w:w="1701" w:type="dxa"/>
          </w:tcPr>
          <w:p w14:paraId="5FEDB3FD"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Zinc</w:t>
            </w:r>
          </w:p>
        </w:tc>
        <w:tc>
          <w:tcPr>
            <w:tcW w:w="1701" w:type="dxa"/>
          </w:tcPr>
          <w:p w14:paraId="3D1ECB20"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213.9</w:t>
            </w:r>
          </w:p>
        </w:tc>
        <w:tc>
          <w:tcPr>
            <w:tcW w:w="1843" w:type="dxa"/>
          </w:tcPr>
          <w:p w14:paraId="616358C6"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0.005-1.6</w:t>
            </w:r>
          </w:p>
        </w:tc>
        <w:tc>
          <w:tcPr>
            <w:tcW w:w="1701" w:type="dxa"/>
            <w:gridSpan w:val="2"/>
          </w:tcPr>
          <w:p w14:paraId="3B518F14"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0.9958</w:t>
            </w:r>
          </w:p>
        </w:tc>
        <w:tc>
          <w:tcPr>
            <w:tcW w:w="3118" w:type="dxa"/>
            <w:gridSpan w:val="2"/>
          </w:tcPr>
          <w:p w14:paraId="42EAC25D"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0.2175x +0.0040</w:t>
            </w:r>
          </w:p>
        </w:tc>
      </w:tr>
      <w:tr w:rsidR="00EE52F7" w:rsidRPr="008533B0" w14:paraId="0EB9709F" w14:textId="77777777" w:rsidTr="002F484E">
        <w:trPr>
          <w:gridAfter w:val="1"/>
          <w:wAfter w:w="284" w:type="dxa"/>
          <w:trHeight w:val="85"/>
        </w:trPr>
        <w:tc>
          <w:tcPr>
            <w:tcW w:w="1701" w:type="dxa"/>
            <w:tcBorders>
              <w:bottom w:val="nil"/>
            </w:tcBorders>
          </w:tcPr>
          <w:p w14:paraId="0841F74A"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Cadmium</w:t>
            </w:r>
          </w:p>
        </w:tc>
        <w:tc>
          <w:tcPr>
            <w:tcW w:w="1701" w:type="dxa"/>
            <w:tcBorders>
              <w:bottom w:val="nil"/>
            </w:tcBorders>
          </w:tcPr>
          <w:p w14:paraId="65B895C4"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228.8</w:t>
            </w:r>
          </w:p>
        </w:tc>
        <w:tc>
          <w:tcPr>
            <w:tcW w:w="1843" w:type="dxa"/>
            <w:tcBorders>
              <w:bottom w:val="nil"/>
            </w:tcBorders>
          </w:tcPr>
          <w:p w14:paraId="75566FC5"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0.004-1.8</w:t>
            </w:r>
          </w:p>
        </w:tc>
        <w:tc>
          <w:tcPr>
            <w:tcW w:w="1701" w:type="dxa"/>
            <w:gridSpan w:val="2"/>
            <w:tcBorders>
              <w:bottom w:val="nil"/>
            </w:tcBorders>
          </w:tcPr>
          <w:p w14:paraId="100AC42B"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0.9971</w:t>
            </w:r>
          </w:p>
        </w:tc>
        <w:tc>
          <w:tcPr>
            <w:tcW w:w="3118" w:type="dxa"/>
            <w:gridSpan w:val="2"/>
            <w:tcBorders>
              <w:bottom w:val="nil"/>
            </w:tcBorders>
          </w:tcPr>
          <w:p w14:paraId="081452CE"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0.1947x +0.0006</w:t>
            </w:r>
          </w:p>
        </w:tc>
      </w:tr>
      <w:tr w:rsidR="00EE52F7" w:rsidRPr="008533B0" w14:paraId="377575FE" w14:textId="77777777" w:rsidTr="002F484E">
        <w:trPr>
          <w:gridAfter w:val="1"/>
          <w:wAfter w:w="284" w:type="dxa"/>
          <w:trHeight w:val="85"/>
        </w:trPr>
        <w:tc>
          <w:tcPr>
            <w:tcW w:w="1701" w:type="dxa"/>
            <w:tcBorders>
              <w:top w:val="nil"/>
              <w:bottom w:val="single" w:sz="12" w:space="0" w:color="auto"/>
            </w:tcBorders>
          </w:tcPr>
          <w:p w14:paraId="7B2237AF"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Lead</w:t>
            </w:r>
          </w:p>
        </w:tc>
        <w:tc>
          <w:tcPr>
            <w:tcW w:w="1701" w:type="dxa"/>
            <w:tcBorders>
              <w:top w:val="nil"/>
              <w:bottom w:val="single" w:sz="12" w:space="0" w:color="auto"/>
            </w:tcBorders>
          </w:tcPr>
          <w:p w14:paraId="6ABF300E" w14:textId="77777777" w:rsidR="00EE52F7" w:rsidRPr="008533B0" w:rsidRDefault="00EE52F7" w:rsidP="008533B0">
            <w:pPr>
              <w:autoSpaceDE w:val="0"/>
              <w:autoSpaceDN w:val="0"/>
              <w:adjustRightInd w:val="0"/>
              <w:ind w:left="-111" w:right="-186"/>
              <w:rPr>
                <w:rFonts w:ascii="Arial" w:hAnsi="Arial" w:cs="Arial"/>
                <w:iCs/>
                <w:sz w:val="20"/>
                <w:szCs w:val="20"/>
                <w:lang w:val="en-US"/>
              </w:rPr>
            </w:pPr>
            <w:r w:rsidRPr="008533B0">
              <w:rPr>
                <w:rFonts w:ascii="Arial" w:hAnsi="Arial" w:cs="Arial"/>
                <w:iCs/>
                <w:sz w:val="20"/>
                <w:szCs w:val="20"/>
                <w:lang w:val="en-US"/>
              </w:rPr>
              <w:t>217</w:t>
            </w:r>
          </w:p>
        </w:tc>
        <w:tc>
          <w:tcPr>
            <w:tcW w:w="1843" w:type="dxa"/>
            <w:tcBorders>
              <w:top w:val="nil"/>
              <w:bottom w:val="single" w:sz="12" w:space="0" w:color="auto"/>
            </w:tcBorders>
          </w:tcPr>
          <w:p w14:paraId="43A3701D" w14:textId="77777777" w:rsidR="00EE52F7" w:rsidRPr="008533B0" w:rsidRDefault="00EE52F7" w:rsidP="008533B0">
            <w:pPr>
              <w:autoSpaceDE w:val="0"/>
              <w:autoSpaceDN w:val="0"/>
              <w:adjustRightInd w:val="0"/>
              <w:rPr>
                <w:rFonts w:ascii="Arial" w:hAnsi="Arial" w:cs="Arial"/>
                <w:iCs/>
                <w:sz w:val="20"/>
                <w:szCs w:val="20"/>
                <w:lang w:val="en-US"/>
              </w:rPr>
            </w:pPr>
            <w:r w:rsidRPr="008533B0">
              <w:rPr>
                <w:rFonts w:ascii="Arial" w:hAnsi="Arial" w:cs="Arial"/>
                <w:iCs/>
                <w:sz w:val="20"/>
                <w:szCs w:val="20"/>
                <w:lang w:val="en-US"/>
              </w:rPr>
              <w:t>0.1-12</w:t>
            </w:r>
          </w:p>
        </w:tc>
        <w:tc>
          <w:tcPr>
            <w:tcW w:w="1701" w:type="dxa"/>
            <w:gridSpan w:val="2"/>
            <w:tcBorders>
              <w:top w:val="nil"/>
              <w:bottom w:val="single" w:sz="12" w:space="0" w:color="auto"/>
            </w:tcBorders>
          </w:tcPr>
          <w:p w14:paraId="7010D901" w14:textId="77777777" w:rsidR="00EE52F7" w:rsidRPr="008533B0" w:rsidRDefault="00EE52F7" w:rsidP="008533B0">
            <w:pPr>
              <w:autoSpaceDE w:val="0"/>
              <w:autoSpaceDN w:val="0"/>
              <w:adjustRightInd w:val="0"/>
              <w:ind w:right="-250"/>
              <w:jc w:val="center"/>
              <w:rPr>
                <w:rFonts w:ascii="Arial" w:hAnsi="Arial" w:cs="Arial"/>
                <w:iCs/>
                <w:sz w:val="20"/>
                <w:szCs w:val="20"/>
                <w:lang w:val="en-US"/>
              </w:rPr>
            </w:pPr>
            <w:r w:rsidRPr="008533B0">
              <w:rPr>
                <w:rFonts w:ascii="Arial" w:hAnsi="Arial" w:cs="Arial"/>
                <w:iCs/>
                <w:sz w:val="20"/>
                <w:szCs w:val="20"/>
                <w:lang w:val="en-US"/>
              </w:rPr>
              <w:t>0.9992</w:t>
            </w:r>
          </w:p>
        </w:tc>
        <w:tc>
          <w:tcPr>
            <w:tcW w:w="3118" w:type="dxa"/>
            <w:gridSpan w:val="2"/>
            <w:tcBorders>
              <w:top w:val="nil"/>
              <w:bottom w:val="single" w:sz="12" w:space="0" w:color="auto"/>
            </w:tcBorders>
          </w:tcPr>
          <w:p w14:paraId="5161FEB6" w14:textId="77777777" w:rsidR="00EE52F7" w:rsidRPr="008533B0" w:rsidRDefault="00EE52F7" w:rsidP="008533B0">
            <w:pPr>
              <w:autoSpaceDE w:val="0"/>
              <w:autoSpaceDN w:val="0"/>
              <w:adjustRightInd w:val="0"/>
              <w:jc w:val="center"/>
              <w:rPr>
                <w:rFonts w:ascii="Arial" w:hAnsi="Arial" w:cs="Arial"/>
                <w:iCs/>
                <w:sz w:val="20"/>
                <w:szCs w:val="20"/>
                <w:lang w:val="en-US"/>
              </w:rPr>
            </w:pPr>
            <w:r w:rsidRPr="008533B0">
              <w:rPr>
                <w:rFonts w:ascii="Arial" w:hAnsi="Arial" w:cs="Arial"/>
                <w:sz w:val="20"/>
                <w:szCs w:val="20"/>
                <w:lang w:val="en-US"/>
              </w:rPr>
              <w:t>y = 0.0253x +0.0005</w:t>
            </w:r>
          </w:p>
        </w:tc>
      </w:tr>
    </w:tbl>
    <w:p w14:paraId="303C5E00" w14:textId="77777777" w:rsidR="00EE52F7" w:rsidRPr="008533B0" w:rsidRDefault="00EE52F7" w:rsidP="008533B0">
      <w:pPr>
        <w:spacing w:line="240" w:lineRule="auto"/>
        <w:rPr>
          <w:rFonts w:ascii="Arial" w:hAnsi="Arial" w:cs="Arial"/>
          <w:sz w:val="20"/>
          <w:szCs w:val="20"/>
          <w:lang w:val="en-US"/>
        </w:rPr>
      </w:pPr>
    </w:p>
    <w:p w14:paraId="432D35C5" w14:textId="77777777" w:rsidR="00766BFE" w:rsidRPr="008533B0" w:rsidRDefault="00766BFE" w:rsidP="00D81359">
      <w:pPr>
        <w:pStyle w:val="Heading2"/>
      </w:pPr>
      <w:r w:rsidRPr="008533B0">
        <w:t xml:space="preserve">Human </w:t>
      </w:r>
      <w:proofErr w:type="spellStart"/>
      <w:r w:rsidRPr="008533B0">
        <w:t>Health</w:t>
      </w:r>
      <w:proofErr w:type="spellEnd"/>
      <w:r w:rsidRPr="008533B0">
        <w:t xml:space="preserve"> Risk </w:t>
      </w:r>
      <w:proofErr w:type="spellStart"/>
      <w:r w:rsidRPr="008533B0">
        <w:t>Assessment</w:t>
      </w:r>
      <w:proofErr w:type="spellEnd"/>
    </w:p>
    <w:p w14:paraId="387493D1" w14:textId="773A2504" w:rsidR="00766BFE" w:rsidRPr="008533B0" w:rsidRDefault="00766BFE" w:rsidP="008533B0">
      <w:pPr>
        <w:spacing w:line="240" w:lineRule="auto"/>
        <w:rPr>
          <w:rFonts w:ascii="Arial" w:hAnsi="Arial" w:cs="Arial"/>
          <w:sz w:val="20"/>
          <w:szCs w:val="20"/>
          <w:lang w:val="en-US"/>
        </w:rPr>
      </w:pPr>
      <w:r w:rsidRPr="008533B0">
        <w:rPr>
          <w:rFonts w:ascii="Arial" w:hAnsi="Arial" w:cs="Arial"/>
          <w:sz w:val="20"/>
          <w:szCs w:val="20"/>
          <w:lang w:val="en-US"/>
        </w:rPr>
        <w:t>Consumption of herbal preparations containing heavy metals may pose a risk to human health. This risk can be assessed based on the estimated daily intake (EDI) (equation 1) of heavy metals, the target hazard quotient (THQ) (equation 2) and the hazard index (HI) (equation 3). To estimate the daily metal burden in the body of a consumer of a given body weight, the estimated daily intake (EDI) was calculated using the following equation 1</w:t>
      </w:r>
      <w:r w:rsidR="00E56670" w:rsidRPr="008533B0">
        <w:rPr>
          <w:rFonts w:ascii="Arial" w:hAnsi="Arial" w:cs="Arial"/>
          <w:sz w:val="20"/>
          <w:szCs w:val="20"/>
          <w:lang w:val="en-US"/>
        </w:rPr>
        <w:t xml:space="preserve"> [28</w:t>
      </w:r>
      <w:r w:rsidR="00A70EAA" w:rsidRPr="008533B0">
        <w:rPr>
          <w:rFonts w:ascii="Arial" w:hAnsi="Arial" w:cs="Arial"/>
          <w:sz w:val="20"/>
          <w:szCs w:val="20"/>
          <w:lang w:val="en-US"/>
        </w:rPr>
        <w:t xml:space="preserve">, </w:t>
      </w:r>
      <w:r w:rsidR="00E56670" w:rsidRPr="008533B0">
        <w:rPr>
          <w:rFonts w:ascii="Arial" w:hAnsi="Arial" w:cs="Arial"/>
          <w:sz w:val="20"/>
          <w:szCs w:val="20"/>
          <w:lang w:val="en-US"/>
        </w:rPr>
        <w:t>29]</w:t>
      </w:r>
      <w:r w:rsidRPr="008533B0">
        <w:rPr>
          <w:rFonts w:ascii="Arial" w:hAnsi="Arial" w:cs="Arial"/>
          <w:sz w:val="20"/>
          <w:szCs w:val="20"/>
          <w:lang w:val="en-US"/>
        </w:rPr>
        <w:t>.</w:t>
      </w:r>
    </w:p>
    <w:p w14:paraId="6B579D2D" w14:textId="77777777" w:rsidR="00766BFE" w:rsidRDefault="00766BFE" w:rsidP="008533B0">
      <w:pPr>
        <w:spacing w:line="240" w:lineRule="auto"/>
        <w:jc w:val="center"/>
        <w:rPr>
          <w:rFonts w:ascii="Arial" w:eastAsiaTheme="minorEastAsia" w:hAnsi="Arial" w:cs="Arial"/>
          <w:sz w:val="20"/>
          <w:szCs w:val="20"/>
          <w:lang w:val="en-US"/>
        </w:rPr>
      </w:pPr>
      <w:r w:rsidRPr="008533B0">
        <w:rPr>
          <w:rFonts w:ascii="Arial" w:eastAsiaTheme="minorEastAsia" w:hAnsi="Arial" w:cs="Arial"/>
          <w:i/>
          <w:iCs/>
          <w:sz w:val="20"/>
          <w:szCs w:val="20"/>
          <w:lang w:val="en-US"/>
        </w:rPr>
        <w:t>EDI</w:t>
      </w:r>
      <w:r w:rsidRPr="008533B0">
        <w:rPr>
          <w:rFonts w:ascii="Arial" w:eastAsiaTheme="minorEastAsia" w:hAnsi="Arial" w:cs="Arial"/>
          <w:sz w:val="20"/>
          <w:szCs w:val="20"/>
          <w:lang w:val="en-US"/>
        </w:rPr>
        <w:t xml:space="preserve"> = </w:t>
      </w:r>
      <m:oMath>
        <m:f>
          <m:fPr>
            <m:ctrlPr>
              <w:rPr>
                <w:rFonts w:ascii="Cambria Math" w:hAnsi="Cambria Math" w:cs="Arial"/>
                <w:i/>
                <w:sz w:val="20"/>
                <w:szCs w:val="20"/>
                <w:lang w:val="en-US"/>
              </w:rPr>
            </m:ctrlPr>
          </m:fPr>
          <m:num>
            <m:r>
              <w:rPr>
                <w:rFonts w:ascii="Cambria Math" w:hAnsi="Cambria Math" w:cs="Arial"/>
                <w:sz w:val="20"/>
                <w:szCs w:val="20"/>
                <w:lang w:val="en-US"/>
              </w:rPr>
              <m:t>Cn*IR*EF*ED</m:t>
            </m:r>
          </m:num>
          <m:den>
            <m:r>
              <w:rPr>
                <w:rFonts w:ascii="Cambria Math" w:hAnsi="Cambria Math" w:cs="Arial"/>
                <w:sz w:val="20"/>
                <w:szCs w:val="20"/>
                <w:lang w:val="en-US"/>
              </w:rPr>
              <m:t>BW*AT*1000</m:t>
            </m:r>
          </m:den>
        </m:f>
      </m:oMath>
      <w:r w:rsidRPr="008533B0">
        <w:rPr>
          <w:rFonts w:ascii="Arial" w:eastAsiaTheme="minorEastAsia" w:hAnsi="Arial" w:cs="Arial"/>
          <w:sz w:val="20"/>
          <w:szCs w:val="20"/>
          <w:lang w:val="en-US"/>
        </w:rPr>
        <w:tab/>
      </w:r>
      <w:r w:rsidRPr="008533B0">
        <w:rPr>
          <w:rFonts w:ascii="Arial" w:eastAsiaTheme="minorEastAsia" w:hAnsi="Arial" w:cs="Arial"/>
          <w:sz w:val="20"/>
          <w:szCs w:val="20"/>
          <w:lang w:val="en-US"/>
        </w:rPr>
        <w:tab/>
      </w:r>
      <w:r w:rsidRPr="008533B0">
        <w:rPr>
          <w:rFonts w:ascii="Arial" w:eastAsiaTheme="minorEastAsia" w:hAnsi="Arial" w:cs="Arial"/>
          <w:sz w:val="20"/>
          <w:szCs w:val="20"/>
          <w:lang w:val="en-US"/>
        </w:rPr>
        <w:tab/>
        <w:t>equation 1</w:t>
      </w:r>
    </w:p>
    <w:p w14:paraId="1C8D2E9C" w14:textId="77777777" w:rsidR="00703870" w:rsidRPr="008533B0" w:rsidRDefault="00703870" w:rsidP="008533B0">
      <w:pPr>
        <w:spacing w:line="240" w:lineRule="auto"/>
        <w:jc w:val="center"/>
        <w:rPr>
          <w:rFonts w:ascii="Arial" w:eastAsiaTheme="minorEastAsia" w:hAnsi="Arial" w:cs="Arial"/>
          <w:sz w:val="20"/>
          <w:szCs w:val="20"/>
          <w:lang w:val="en-US"/>
        </w:rPr>
      </w:pPr>
    </w:p>
    <w:p w14:paraId="1B35C8E7" w14:textId="5DF5BA32" w:rsidR="00766BFE" w:rsidRPr="008533B0" w:rsidRDefault="00766BFE" w:rsidP="008533B0">
      <w:pPr>
        <w:spacing w:line="240" w:lineRule="auto"/>
        <w:rPr>
          <w:rFonts w:ascii="Arial" w:hAnsi="Arial" w:cs="Arial"/>
          <w:sz w:val="20"/>
          <w:szCs w:val="20"/>
          <w:lang w:val="en-US"/>
        </w:rPr>
      </w:pPr>
      <w:r w:rsidRPr="008533B0">
        <w:rPr>
          <w:rFonts w:ascii="Arial" w:hAnsi="Arial" w:cs="Arial"/>
          <w:sz w:val="20"/>
          <w:szCs w:val="20"/>
          <w:lang w:val="en-US"/>
        </w:rPr>
        <w:t>(</w:t>
      </w:r>
      <w:r w:rsidRPr="008533B0">
        <w:rPr>
          <w:rFonts w:ascii="Arial" w:hAnsi="Arial" w:cs="Arial"/>
          <w:i/>
          <w:iCs/>
          <w:sz w:val="20"/>
          <w:szCs w:val="20"/>
          <w:lang w:val="en-US"/>
        </w:rPr>
        <w:t>EDI</w:t>
      </w:r>
      <w:r w:rsidRPr="008533B0">
        <w:rPr>
          <w:rFonts w:ascii="Arial" w:hAnsi="Arial" w:cs="Arial"/>
          <w:sz w:val="20"/>
          <w:szCs w:val="20"/>
          <w:lang w:val="en-US"/>
        </w:rPr>
        <w:t xml:space="preserve"> is the estimated daily intake of heavy metals ingested from a medicinal plant in mg/kg day, </w:t>
      </w:r>
      <w:r w:rsidRPr="008533B0">
        <w:rPr>
          <w:rFonts w:ascii="Arial" w:hAnsi="Arial" w:cs="Arial"/>
          <w:i/>
          <w:iCs/>
          <w:sz w:val="20"/>
          <w:szCs w:val="20"/>
          <w:lang w:val="en-US"/>
        </w:rPr>
        <w:t>Cn</w:t>
      </w:r>
      <w:r w:rsidRPr="008533B0">
        <w:rPr>
          <w:rFonts w:ascii="Arial" w:hAnsi="Arial" w:cs="Arial"/>
          <w:sz w:val="20"/>
          <w:szCs w:val="20"/>
          <w:lang w:val="en-US"/>
        </w:rPr>
        <w:t xml:space="preserve"> is the concentration of heavy metal in medicinal plants measured in mg/kg, </w:t>
      </w:r>
      <w:r w:rsidRPr="008533B0">
        <w:rPr>
          <w:rFonts w:ascii="Arial" w:hAnsi="Arial" w:cs="Arial"/>
          <w:i/>
          <w:iCs/>
          <w:sz w:val="20"/>
          <w:szCs w:val="20"/>
          <w:lang w:val="en-US"/>
        </w:rPr>
        <w:t>IR</w:t>
      </w:r>
      <w:r w:rsidRPr="008533B0">
        <w:rPr>
          <w:rFonts w:ascii="Arial" w:hAnsi="Arial" w:cs="Arial"/>
          <w:sz w:val="20"/>
          <w:szCs w:val="20"/>
          <w:lang w:val="en-US"/>
        </w:rPr>
        <w:t xml:space="preserve"> is the ingestion rate which is measured in mg/day, </w:t>
      </w:r>
      <w:r w:rsidRPr="008533B0">
        <w:rPr>
          <w:rFonts w:ascii="Arial" w:hAnsi="Arial" w:cs="Arial"/>
          <w:i/>
          <w:iCs/>
          <w:sz w:val="20"/>
          <w:szCs w:val="20"/>
          <w:lang w:val="en-US"/>
        </w:rPr>
        <w:t xml:space="preserve">EF </w:t>
      </w:r>
      <w:r w:rsidRPr="008533B0">
        <w:rPr>
          <w:rFonts w:ascii="Arial" w:hAnsi="Arial" w:cs="Arial"/>
          <w:sz w:val="20"/>
          <w:szCs w:val="20"/>
          <w:lang w:val="en-US"/>
        </w:rPr>
        <w:t xml:space="preserve">is the exposure frequency in days/year, </w:t>
      </w:r>
      <w:r w:rsidRPr="008533B0">
        <w:rPr>
          <w:rFonts w:ascii="Arial" w:hAnsi="Arial" w:cs="Arial"/>
          <w:i/>
          <w:iCs/>
          <w:sz w:val="20"/>
          <w:szCs w:val="20"/>
          <w:lang w:val="en-US"/>
        </w:rPr>
        <w:t>ED</w:t>
      </w:r>
      <w:r w:rsidRPr="008533B0">
        <w:rPr>
          <w:rFonts w:ascii="Arial" w:hAnsi="Arial" w:cs="Arial"/>
          <w:sz w:val="20"/>
          <w:szCs w:val="20"/>
          <w:lang w:val="en-US"/>
        </w:rPr>
        <w:t xml:space="preserve"> is the exposure duration over years, </w:t>
      </w:r>
      <w:r w:rsidRPr="008533B0">
        <w:rPr>
          <w:rFonts w:ascii="Arial" w:hAnsi="Arial" w:cs="Arial"/>
          <w:i/>
          <w:iCs/>
          <w:sz w:val="20"/>
          <w:szCs w:val="20"/>
          <w:lang w:val="en-US"/>
        </w:rPr>
        <w:t>BW</w:t>
      </w:r>
      <w:r w:rsidRPr="008533B0">
        <w:rPr>
          <w:rFonts w:ascii="Arial" w:hAnsi="Arial" w:cs="Arial"/>
          <w:sz w:val="20"/>
          <w:szCs w:val="20"/>
          <w:lang w:val="en-US"/>
        </w:rPr>
        <w:t xml:space="preserve"> is the body weight of the exposed individual in kg, </w:t>
      </w:r>
      <w:r w:rsidRPr="008533B0">
        <w:rPr>
          <w:rFonts w:ascii="Arial" w:hAnsi="Arial" w:cs="Arial"/>
          <w:i/>
          <w:iCs/>
          <w:sz w:val="20"/>
          <w:szCs w:val="20"/>
          <w:lang w:val="en-US"/>
        </w:rPr>
        <w:t>AT</w:t>
      </w:r>
      <w:r w:rsidRPr="008533B0">
        <w:rPr>
          <w:rFonts w:ascii="Arial" w:hAnsi="Arial" w:cs="Arial"/>
          <w:sz w:val="20"/>
          <w:szCs w:val="20"/>
          <w:lang w:val="en-US"/>
        </w:rPr>
        <w:t xml:space="preserve"> is the time period over which the dose is averaged in days as seen in Table </w:t>
      </w:r>
      <w:r w:rsidR="00B66510" w:rsidRPr="008533B0">
        <w:rPr>
          <w:rFonts w:ascii="Arial" w:hAnsi="Arial" w:cs="Arial"/>
          <w:sz w:val="20"/>
          <w:szCs w:val="20"/>
          <w:lang w:val="en-US"/>
        </w:rPr>
        <w:t>2</w:t>
      </w:r>
      <w:r w:rsidRPr="008533B0">
        <w:rPr>
          <w:rFonts w:ascii="Arial" w:hAnsi="Arial" w:cs="Arial"/>
          <w:sz w:val="20"/>
          <w:szCs w:val="20"/>
          <w:lang w:val="en-US"/>
        </w:rPr>
        <w:t>).</w:t>
      </w:r>
    </w:p>
    <w:p w14:paraId="7968FBA3" w14:textId="77777777" w:rsidR="00766BFE" w:rsidRPr="008533B0" w:rsidRDefault="00766BFE" w:rsidP="008533B0">
      <w:pPr>
        <w:spacing w:line="240" w:lineRule="auto"/>
        <w:rPr>
          <w:rFonts w:ascii="Arial" w:hAnsi="Arial" w:cs="Arial"/>
          <w:sz w:val="20"/>
          <w:szCs w:val="20"/>
          <w:lang w:val="en-US"/>
        </w:rPr>
      </w:pPr>
    </w:p>
    <w:p w14:paraId="4B8AA57C" w14:textId="4D7E73BE" w:rsidR="00766BFE" w:rsidRPr="008533B0" w:rsidRDefault="00766BFE" w:rsidP="008533B0">
      <w:pPr>
        <w:spacing w:line="240" w:lineRule="auto"/>
        <w:rPr>
          <w:rFonts w:ascii="Arial" w:hAnsi="Arial" w:cs="Arial"/>
          <w:b/>
          <w:bCs/>
          <w:sz w:val="20"/>
          <w:szCs w:val="20"/>
          <w:lang w:val="en-US"/>
        </w:rPr>
      </w:pPr>
      <w:r w:rsidRPr="008533B0">
        <w:rPr>
          <w:rFonts w:ascii="Arial" w:hAnsi="Arial" w:cs="Arial"/>
          <w:b/>
          <w:bCs/>
          <w:sz w:val="20"/>
          <w:szCs w:val="20"/>
          <w:lang w:val="en-US"/>
        </w:rPr>
        <w:t xml:space="preserve">Table </w:t>
      </w:r>
      <w:r w:rsidR="00B66510" w:rsidRPr="008533B0">
        <w:rPr>
          <w:rFonts w:ascii="Arial" w:hAnsi="Arial" w:cs="Arial"/>
          <w:b/>
          <w:bCs/>
          <w:sz w:val="20"/>
          <w:szCs w:val="20"/>
          <w:lang w:val="en-US"/>
        </w:rPr>
        <w:t>2</w:t>
      </w:r>
      <w:r w:rsidRPr="008533B0">
        <w:rPr>
          <w:rFonts w:ascii="Arial" w:hAnsi="Arial" w:cs="Arial"/>
          <w:b/>
          <w:bCs/>
          <w:sz w:val="20"/>
          <w:szCs w:val="20"/>
          <w:lang w:val="en-US"/>
        </w:rPr>
        <w:t xml:space="preserve">. Exposure parameters for </w:t>
      </w:r>
      <w:r w:rsidR="00703870" w:rsidRPr="008533B0">
        <w:rPr>
          <w:rFonts w:ascii="Arial" w:hAnsi="Arial" w:cs="Arial"/>
          <w:b/>
          <w:bCs/>
          <w:sz w:val="20"/>
          <w:szCs w:val="20"/>
          <w:lang w:val="en-US"/>
        </w:rPr>
        <w:t>health</w:t>
      </w:r>
      <w:r w:rsidRPr="008533B0">
        <w:rPr>
          <w:rFonts w:ascii="Arial" w:hAnsi="Arial" w:cs="Arial"/>
          <w:b/>
          <w:bCs/>
          <w:sz w:val="20"/>
          <w:szCs w:val="20"/>
          <w:lang w:val="en-US"/>
        </w:rPr>
        <w:t xml:space="preserve"> risk assessment through various exposure pathways for plants</w:t>
      </w:r>
      <w:r w:rsidR="0019713F" w:rsidRPr="008533B0">
        <w:rPr>
          <w:rFonts w:ascii="Arial" w:hAnsi="Arial" w:cs="Arial"/>
          <w:b/>
          <w:bCs/>
          <w:sz w:val="20"/>
          <w:szCs w:val="20"/>
          <w:lang w:val="en-US"/>
        </w:rPr>
        <w:t xml:space="preserve"> </w:t>
      </w:r>
      <w:r w:rsidR="00E56670" w:rsidRPr="008533B0">
        <w:rPr>
          <w:rFonts w:ascii="Arial" w:hAnsi="Arial" w:cs="Arial"/>
          <w:sz w:val="20"/>
          <w:szCs w:val="20"/>
          <w:lang w:val="en-US"/>
        </w:rPr>
        <w:t>[30]</w:t>
      </w:r>
      <w:r w:rsidR="00A70EAA" w:rsidRPr="008533B0">
        <w:rPr>
          <w:rFonts w:ascii="Arial" w:hAnsi="Arial" w:cs="Arial"/>
          <w:sz w:val="20"/>
          <w:szCs w:val="20"/>
          <w:lang w:val="en-US"/>
        </w:rPr>
        <w:t>.</w:t>
      </w:r>
      <w:r w:rsidR="00A70EAA" w:rsidRPr="008533B0">
        <w:rPr>
          <w:rFonts w:ascii="Arial" w:hAnsi="Arial" w:cs="Arial"/>
          <w:b/>
          <w:bCs/>
          <w:sz w:val="20"/>
          <w:szCs w:val="20"/>
          <w:lang w:val="en-US"/>
        </w:rPr>
        <w:t xml:space="preserve"> </w:t>
      </w:r>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984"/>
        <w:gridCol w:w="1559"/>
      </w:tblGrid>
      <w:tr w:rsidR="00766BFE" w:rsidRPr="008533B0" w14:paraId="7E52DAB3" w14:textId="77777777" w:rsidTr="007100D8">
        <w:tc>
          <w:tcPr>
            <w:tcW w:w="5387" w:type="dxa"/>
            <w:tcBorders>
              <w:top w:val="single" w:sz="12" w:space="0" w:color="auto"/>
              <w:bottom w:val="single" w:sz="12" w:space="0" w:color="auto"/>
            </w:tcBorders>
          </w:tcPr>
          <w:p w14:paraId="20FB56E6"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Parameter</w:t>
            </w:r>
          </w:p>
        </w:tc>
        <w:tc>
          <w:tcPr>
            <w:tcW w:w="1984" w:type="dxa"/>
            <w:tcBorders>
              <w:top w:val="single" w:sz="12" w:space="0" w:color="auto"/>
              <w:bottom w:val="single" w:sz="12" w:space="0" w:color="auto"/>
            </w:tcBorders>
          </w:tcPr>
          <w:p w14:paraId="654168A7"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Unit</w:t>
            </w:r>
          </w:p>
        </w:tc>
        <w:tc>
          <w:tcPr>
            <w:tcW w:w="1559" w:type="dxa"/>
            <w:tcBorders>
              <w:top w:val="single" w:sz="12" w:space="0" w:color="auto"/>
              <w:bottom w:val="single" w:sz="12" w:space="0" w:color="auto"/>
            </w:tcBorders>
          </w:tcPr>
          <w:p w14:paraId="1958CA3A"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Adult</w:t>
            </w:r>
          </w:p>
        </w:tc>
      </w:tr>
      <w:tr w:rsidR="00766BFE" w:rsidRPr="008533B0" w14:paraId="2C937326" w14:textId="77777777" w:rsidTr="007100D8">
        <w:tc>
          <w:tcPr>
            <w:tcW w:w="5387" w:type="dxa"/>
            <w:tcBorders>
              <w:top w:val="single" w:sz="12" w:space="0" w:color="auto"/>
            </w:tcBorders>
          </w:tcPr>
          <w:p w14:paraId="4B9CF7BE"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Body weight</w:t>
            </w:r>
          </w:p>
        </w:tc>
        <w:tc>
          <w:tcPr>
            <w:tcW w:w="1984" w:type="dxa"/>
            <w:tcBorders>
              <w:top w:val="single" w:sz="12" w:space="0" w:color="auto"/>
            </w:tcBorders>
          </w:tcPr>
          <w:p w14:paraId="5FD91175"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Kg</w:t>
            </w:r>
          </w:p>
        </w:tc>
        <w:tc>
          <w:tcPr>
            <w:tcW w:w="1559" w:type="dxa"/>
            <w:tcBorders>
              <w:top w:val="single" w:sz="12" w:space="0" w:color="auto"/>
            </w:tcBorders>
          </w:tcPr>
          <w:p w14:paraId="257FA2C0"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70</w:t>
            </w:r>
          </w:p>
        </w:tc>
      </w:tr>
      <w:tr w:rsidR="00766BFE" w:rsidRPr="008533B0" w14:paraId="46FDFA3E" w14:textId="77777777" w:rsidTr="007100D8">
        <w:tc>
          <w:tcPr>
            <w:tcW w:w="5387" w:type="dxa"/>
          </w:tcPr>
          <w:p w14:paraId="2FB532A7"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 xml:space="preserve">Exposure frequency (EF) </w:t>
            </w:r>
          </w:p>
        </w:tc>
        <w:tc>
          <w:tcPr>
            <w:tcW w:w="1984" w:type="dxa"/>
          </w:tcPr>
          <w:p w14:paraId="5564ECD6"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days/year</w:t>
            </w:r>
          </w:p>
        </w:tc>
        <w:tc>
          <w:tcPr>
            <w:tcW w:w="1559" w:type="dxa"/>
          </w:tcPr>
          <w:p w14:paraId="1BDEA21D"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350</w:t>
            </w:r>
          </w:p>
        </w:tc>
      </w:tr>
      <w:tr w:rsidR="00766BFE" w:rsidRPr="008533B0" w14:paraId="44AB71ED" w14:textId="77777777" w:rsidTr="007100D8">
        <w:tc>
          <w:tcPr>
            <w:tcW w:w="5387" w:type="dxa"/>
          </w:tcPr>
          <w:p w14:paraId="1875EFD9"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Exposure duration (ED)</w:t>
            </w:r>
          </w:p>
        </w:tc>
        <w:tc>
          <w:tcPr>
            <w:tcW w:w="1984" w:type="dxa"/>
          </w:tcPr>
          <w:p w14:paraId="7F7F0AB4"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year</w:t>
            </w:r>
          </w:p>
        </w:tc>
        <w:tc>
          <w:tcPr>
            <w:tcW w:w="1559" w:type="dxa"/>
          </w:tcPr>
          <w:p w14:paraId="47CAA868"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30</w:t>
            </w:r>
          </w:p>
        </w:tc>
      </w:tr>
      <w:tr w:rsidR="00766BFE" w:rsidRPr="008533B0" w14:paraId="61120ED9" w14:textId="77777777" w:rsidTr="007100D8">
        <w:tc>
          <w:tcPr>
            <w:tcW w:w="5387" w:type="dxa"/>
          </w:tcPr>
          <w:p w14:paraId="003E6A44"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Ingestion rate (IR)</w:t>
            </w:r>
          </w:p>
        </w:tc>
        <w:tc>
          <w:tcPr>
            <w:tcW w:w="1984" w:type="dxa"/>
          </w:tcPr>
          <w:p w14:paraId="757F6C05"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mg/day</w:t>
            </w:r>
          </w:p>
        </w:tc>
        <w:tc>
          <w:tcPr>
            <w:tcW w:w="1559" w:type="dxa"/>
          </w:tcPr>
          <w:p w14:paraId="345FFA4C"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100</w:t>
            </w:r>
          </w:p>
        </w:tc>
      </w:tr>
      <w:tr w:rsidR="00766BFE" w:rsidRPr="008533B0" w14:paraId="5F2375A2" w14:textId="77777777" w:rsidTr="007100D8">
        <w:tc>
          <w:tcPr>
            <w:tcW w:w="5387" w:type="dxa"/>
          </w:tcPr>
          <w:p w14:paraId="0CD0817D"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Plant adherence factor (AF)</w:t>
            </w:r>
          </w:p>
        </w:tc>
        <w:tc>
          <w:tcPr>
            <w:tcW w:w="1984" w:type="dxa"/>
          </w:tcPr>
          <w:p w14:paraId="3604460B"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mg/cm</w:t>
            </w:r>
            <w:r w:rsidRPr="008533B0">
              <w:rPr>
                <w:rFonts w:ascii="Arial" w:hAnsi="Arial" w:cs="Arial"/>
                <w:sz w:val="20"/>
                <w:szCs w:val="20"/>
                <w:vertAlign w:val="superscript"/>
                <w:lang w:val="en-US"/>
              </w:rPr>
              <w:t>2</w:t>
            </w:r>
          </w:p>
        </w:tc>
        <w:tc>
          <w:tcPr>
            <w:tcW w:w="1559" w:type="dxa"/>
          </w:tcPr>
          <w:p w14:paraId="5CFFDF39"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0.07</w:t>
            </w:r>
          </w:p>
        </w:tc>
      </w:tr>
      <w:tr w:rsidR="00766BFE" w:rsidRPr="008533B0" w14:paraId="4086353D" w14:textId="77777777" w:rsidTr="007100D8">
        <w:tc>
          <w:tcPr>
            <w:tcW w:w="5387" w:type="dxa"/>
          </w:tcPr>
          <w:p w14:paraId="6E649F37"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Dermal absorption factor (ABS)</w:t>
            </w:r>
          </w:p>
        </w:tc>
        <w:tc>
          <w:tcPr>
            <w:tcW w:w="1984" w:type="dxa"/>
          </w:tcPr>
          <w:p w14:paraId="253CF93E"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None</w:t>
            </w:r>
          </w:p>
        </w:tc>
        <w:tc>
          <w:tcPr>
            <w:tcW w:w="1559" w:type="dxa"/>
          </w:tcPr>
          <w:p w14:paraId="2F328788"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0.1</w:t>
            </w:r>
          </w:p>
        </w:tc>
      </w:tr>
      <w:tr w:rsidR="00766BFE" w:rsidRPr="008533B0" w14:paraId="42FDC830" w14:textId="77777777" w:rsidTr="007100D8">
        <w:tc>
          <w:tcPr>
            <w:tcW w:w="5387" w:type="dxa"/>
          </w:tcPr>
          <w:p w14:paraId="77B52DEA"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Dermal exposure ratio (FE)</w:t>
            </w:r>
          </w:p>
        </w:tc>
        <w:tc>
          <w:tcPr>
            <w:tcW w:w="1984" w:type="dxa"/>
          </w:tcPr>
          <w:p w14:paraId="7CAF5228"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None</w:t>
            </w:r>
          </w:p>
        </w:tc>
        <w:tc>
          <w:tcPr>
            <w:tcW w:w="1559" w:type="dxa"/>
          </w:tcPr>
          <w:p w14:paraId="6CEFB4F3"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0.61</w:t>
            </w:r>
          </w:p>
        </w:tc>
      </w:tr>
      <w:tr w:rsidR="00766BFE" w:rsidRPr="008533B0" w14:paraId="5B030352" w14:textId="77777777" w:rsidTr="007100D8">
        <w:tc>
          <w:tcPr>
            <w:tcW w:w="5387" w:type="dxa"/>
          </w:tcPr>
          <w:p w14:paraId="1CF5A14C"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 xml:space="preserve">Average time (AT): For carcinogens </w:t>
            </w:r>
          </w:p>
        </w:tc>
        <w:tc>
          <w:tcPr>
            <w:tcW w:w="1984" w:type="dxa"/>
          </w:tcPr>
          <w:p w14:paraId="16399B82"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Days</w:t>
            </w:r>
          </w:p>
        </w:tc>
        <w:tc>
          <w:tcPr>
            <w:tcW w:w="1559" w:type="dxa"/>
          </w:tcPr>
          <w:p w14:paraId="3B0F74DD"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365 x 70</w:t>
            </w:r>
          </w:p>
        </w:tc>
      </w:tr>
      <w:tr w:rsidR="00766BFE" w:rsidRPr="008533B0" w14:paraId="3038ADB0" w14:textId="77777777" w:rsidTr="007100D8">
        <w:tc>
          <w:tcPr>
            <w:tcW w:w="5387" w:type="dxa"/>
            <w:tcBorders>
              <w:bottom w:val="single" w:sz="12" w:space="0" w:color="auto"/>
            </w:tcBorders>
          </w:tcPr>
          <w:p w14:paraId="1DA3541B"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For Non-carcinogens</w:t>
            </w:r>
          </w:p>
        </w:tc>
        <w:tc>
          <w:tcPr>
            <w:tcW w:w="1984" w:type="dxa"/>
            <w:tcBorders>
              <w:bottom w:val="single" w:sz="12" w:space="0" w:color="auto"/>
            </w:tcBorders>
          </w:tcPr>
          <w:p w14:paraId="1DDE5831"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Days</w:t>
            </w:r>
          </w:p>
        </w:tc>
        <w:tc>
          <w:tcPr>
            <w:tcW w:w="1559" w:type="dxa"/>
            <w:tcBorders>
              <w:bottom w:val="single" w:sz="12" w:space="0" w:color="auto"/>
            </w:tcBorders>
          </w:tcPr>
          <w:p w14:paraId="75EA151B" w14:textId="77777777" w:rsidR="00766BFE" w:rsidRPr="008533B0" w:rsidRDefault="00766BFE" w:rsidP="008533B0">
            <w:pPr>
              <w:rPr>
                <w:rFonts w:ascii="Arial" w:hAnsi="Arial" w:cs="Arial"/>
                <w:sz w:val="20"/>
                <w:szCs w:val="20"/>
                <w:lang w:val="en-US"/>
              </w:rPr>
            </w:pPr>
            <w:r w:rsidRPr="008533B0">
              <w:rPr>
                <w:rFonts w:ascii="Arial" w:hAnsi="Arial" w:cs="Arial"/>
                <w:sz w:val="20"/>
                <w:szCs w:val="20"/>
                <w:lang w:val="en-US"/>
              </w:rPr>
              <w:t>365 x ED</w:t>
            </w:r>
          </w:p>
        </w:tc>
      </w:tr>
    </w:tbl>
    <w:p w14:paraId="096BFC9A" w14:textId="77777777" w:rsidR="00766BFE" w:rsidRPr="008533B0" w:rsidRDefault="00766BFE" w:rsidP="008533B0">
      <w:pPr>
        <w:spacing w:line="240" w:lineRule="auto"/>
        <w:rPr>
          <w:rFonts w:ascii="Arial" w:hAnsi="Arial" w:cs="Arial"/>
          <w:sz w:val="20"/>
          <w:szCs w:val="20"/>
          <w:lang w:val="en-US"/>
        </w:rPr>
      </w:pPr>
    </w:p>
    <w:p w14:paraId="71BD5577" w14:textId="77777777" w:rsidR="00766BFE" w:rsidRPr="008533B0" w:rsidRDefault="00766BFE" w:rsidP="00D81359">
      <w:pPr>
        <w:pStyle w:val="Heading2"/>
      </w:pPr>
      <w:r w:rsidRPr="008533B0">
        <w:t>Target Hazard Quotient (THQ)</w:t>
      </w:r>
    </w:p>
    <w:p w14:paraId="0784AEF2" w14:textId="2AAE17D2" w:rsidR="00766BFE" w:rsidRPr="008533B0" w:rsidRDefault="00766BFE" w:rsidP="008533B0">
      <w:pPr>
        <w:spacing w:line="240" w:lineRule="auto"/>
        <w:rPr>
          <w:rFonts w:ascii="Arial" w:hAnsi="Arial" w:cs="Arial"/>
          <w:sz w:val="20"/>
          <w:szCs w:val="20"/>
          <w:lang w:val="en-US"/>
        </w:rPr>
      </w:pPr>
      <w:r w:rsidRPr="008533B0">
        <w:rPr>
          <w:rFonts w:ascii="Arial" w:hAnsi="Arial" w:cs="Arial"/>
          <w:sz w:val="20"/>
          <w:szCs w:val="20"/>
          <w:lang w:val="en-US"/>
        </w:rPr>
        <w:t xml:space="preserve">Prolonged exposure to heavy metals from medicinal plants may pose a carcinogenic risk to consumers. This risk is assessed using the target hazard quotient (THQ) method calculated, according to equation 2, as a percentage of the determined dose relative to the reference dose (RFD) </w:t>
      </w:r>
      <w:r w:rsidR="00E56670" w:rsidRPr="008533B0">
        <w:rPr>
          <w:rFonts w:ascii="Arial" w:hAnsi="Arial" w:cs="Arial"/>
          <w:sz w:val="20"/>
          <w:szCs w:val="20"/>
          <w:lang w:val="en-US"/>
        </w:rPr>
        <w:t>[31</w:t>
      </w:r>
      <w:r w:rsidR="0074670B" w:rsidRPr="008533B0">
        <w:rPr>
          <w:rFonts w:ascii="Arial" w:hAnsi="Arial" w:cs="Arial"/>
          <w:sz w:val="20"/>
          <w:szCs w:val="20"/>
          <w:lang w:val="en-US"/>
        </w:rPr>
        <w:t>]</w:t>
      </w:r>
      <w:r w:rsidRPr="008533B0">
        <w:rPr>
          <w:rFonts w:ascii="Arial" w:hAnsi="Arial" w:cs="Arial"/>
          <w:sz w:val="20"/>
          <w:szCs w:val="20"/>
          <w:lang w:val="en-US"/>
        </w:rPr>
        <w:t>. If the THQ is less than 1, no risk to human health is expected; if the THQ is greater than 1, adverse health effects could occur. The THQ is calculated as the ratio of the average daily intake (EDI) to the reference dose (RFD, Table 3) (equation 2</w:t>
      </w:r>
      <w:proofErr w:type="gramStart"/>
      <w:r w:rsidRPr="008533B0">
        <w:rPr>
          <w:rFonts w:ascii="Arial" w:hAnsi="Arial" w:cs="Arial"/>
          <w:sz w:val="20"/>
          <w:szCs w:val="20"/>
          <w:lang w:val="en-US"/>
        </w:rPr>
        <w:t>) :</w:t>
      </w:r>
      <w:proofErr w:type="gramEnd"/>
    </w:p>
    <w:p w14:paraId="55F53564" w14:textId="77777777" w:rsidR="0074670B" w:rsidRPr="008533B0" w:rsidRDefault="0074670B" w:rsidP="008533B0">
      <w:pPr>
        <w:spacing w:line="240" w:lineRule="auto"/>
        <w:rPr>
          <w:rFonts w:ascii="Arial" w:hAnsi="Arial" w:cs="Arial"/>
          <w:sz w:val="20"/>
          <w:szCs w:val="20"/>
          <w:lang w:val="en-US"/>
        </w:rPr>
      </w:pPr>
    </w:p>
    <w:p w14:paraId="08381F02" w14:textId="77777777" w:rsidR="00766BFE" w:rsidRPr="008533B0" w:rsidRDefault="00766BFE" w:rsidP="008533B0">
      <w:pPr>
        <w:spacing w:line="240" w:lineRule="auto"/>
        <w:jc w:val="center"/>
        <w:rPr>
          <w:rFonts w:ascii="Arial" w:eastAsiaTheme="minorEastAsia" w:hAnsi="Arial" w:cs="Arial"/>
          <w:sz w:val="20"/>
          <w:szCs w:val="20"/>
        </w:rPr>
      </w:pPr>
      <m:oMath>
        <m:r>
          <w:rPr>
            <w:rFonts w:ascii="Cambria Math" w:hAnsi="Cambria Math" w:cs="Arial"/>
            <w:sz w:val="20"/>
            <w:szCs w:val="20"/>
          </w:rPr>
          <m:t xml:space="preserve">THQ= </m:t>
        </m:r>
        <m:f>
          <m:fPr>
            <m:ctrlPr>
              <w:rPr>
                <w:rFonts w:ascii="Cambria Math" w:hAnsi="Cambria Math" w:cs="Arial"/>
                <w:i/>
                <w:sz w:val="20"/>
                <w:szCs w:val="20"/>
              </w:rPr>
            </m:ctrlPr>
          </m:fPr>
          <m:num>
            <m:r>
              <w:rPr>
                <w:rFonts w:ascii="Cambria Math" w:hAnsi="Cambria Math" w:cs="Arial"/>
                <w:sz w:val="20"/>
                <w:szCs w:val="20"/>
              </w:rPr>
              <m:t>EDI</m:t>
            </m:r>
          </m:num>
          <m:den>
            <m:r>
              <w:rPr>
                <w:rFonts w:ascii="Cambria Math" w:hAnsi="Cambria Math" w:cs="Arial"/>
                <w:sz w:val="20"/>
                <w:szCs w:val="20"/>
              </w:rPr>
              <m:t>RFD</m:t>
            </m:r>
          </m:den>
        </m:f>
      </m:oMath>
      <w:r w:rsidRPr="008533B0">
        <w:rPr>
          <w:rFonts w:ascii="Arial" w:eastAsiaTheme="minorEastAsia" w:hAnsi="Arial" w:cs="Arial"/>
          <w:sz w:val="20"/>
          <w:szCs w:val="20"/>
        </w:rPr>
        <w:tab/>
      </w:r>
      <w:r w:rsidRPr="008533B0">
        <w:rPr>
          <w:rFonts w:ascii="Arial" w:eastAsiaTheme="minorEastAsia" w:hAnsi="Arial" w:cs="Arial"/>
          <w:sz w:val="20"/>
          <w:szCs w:val="20"/>
        </w:rPr>
        <w:tab/>
      </w:r>
      <w:r w:rsidRPr="008533B0">
        <w:rPr>
          <w:rFonts w:ascii="Arial" w:eastAsiaTheme="minorEastAsia" w:hAnsi="Arial" w:cs="Arial"/>
          <w:sz w:val="20"/>
          <w:szCs w:val="20"/>
        </w:rPr>
        <w:tab/>
      </w:r>
      <w:r w:rsidRPr="008533B0">
        <w:rPr>
          <w:rFonts w:ascii="Arial" w:eastAsiaTheme="minorEastAsia" w:hAnsi="Arial" w:cs="Arial"/>
          <w:sz w:val="20"/>
          <w:szCs w:val="20"/>
          <w:lang w:val="en-US"/>
        </w:rPr>
        <w:t>equation 2</w:t>
      </w:r>
    </w:p>
    <w:p w14:paraId="6C0A3FD4" w14:textId="77777777" w:rsidR="00766BFE" w:rsidRPr="008533B0" w:rsidRDefault="00766BFE" w:rsidP="008533B0">
      <w:pPr>
        <w:spacing w:line="240" w:lineRule="auto"/>
        <w:rPr>
          <w:rFonts w:ascii="Arial" w:hAnsi="Arial" w:cs="Arial"/>
          <w:b/>
          <w:bCs/>
          <w:sz w:val="20"/>
          <w:szCs w:val="20"/>
        </w:rPr>
      </w:pPr>
    </w:p>
    <w:p w14:paraId="603F9961" w14:textId="0CEA9B3F" w:rsidR="00766BFE" w:rsidRPr="008533B0" w:rsidRDefault="00766BFE" w:rsidP="008533B0">
      <w:pPr>
        <w:spacing w:line="240" w:lineRule="auto"/>
        <w:rPr>
          <w:rFonts w:ascii="Arial" w:hAnsi="Arial" w:cs="Arial"/>
          <w:b/>
          <w:bCs/>
          <w:sz w:val="20"/>
          <w:szCs w:val="20"/>
        </w:rPr>
      </w:pPr>
      <w:r w:rsidRPr="008533B0">
        <w:rPr>
          <w:rFonts w:ascii="Arial" w:hAnsi="Arial" w:cs="Arial"/>
          <w:b/>
          <w:bCs/>
          <w:sz w:val="20"/>
          <w:szCs w:val="20"/>
        </w:rPr>
        <w:t>Table 3. Reference doses (RFD) used for Cr, Ni, Cu, Zn and Pb</w:t>
      </w:r>
      <w:r w:rsidR="001D7395" w:rsidRPr="008533B0">
        <w:rPr>
          <w:rFonts w:ascii="Arial" w:hAnsi="Arial" w:cs="Arial"/>
          <w:b/>
          <w:bCs/>
          <w:sz w:val="20"/>
          <w:szCs w:val="20"/>
        </w:rPr>
        <w:t xml:space="preserve"> </w:t>
      </w:r>
      <w:r w:rsidR="00E56670" w:rsidRPr="008533B0">
        <w:rPr>
          <w:rFonts w:ascii="Arial" w:hAnsi="Arial" w:cs="Arial"/>
          <w:sz w:val="20"/>
          <w:szCs w:val="20"/>
          <w:lang w:val="en-US"/>
        </w:rPr>
        <w:t>[32]</w:t>
      </w:r>
      <w:r w:rsidRPr="008533B0">
        <w:rPr>
          <w:rFonts w:ascii="Arial" w:hAnsi="Arial" w:cs="Arial"/>
          <w:b/>
          <w:bCs/>
          <w:sz w:val="20"/>
          <w:szCs w:val="20"/>
        </w:rPr>
        <w:t>.</w:t>
      </w:r>
    </w:p>
    <w:tbl>
      <w:tblPr>
        <w:tblStyle w:val="TableGrid"/>
        <w:tblW w:w="0" w:type="auto"/>
        <w:tblLook w:val="04A0" w:firstRow="1" w:lastRow="0" w:firstColumn="1" w:lastColumn="0" w:noHBand="0" w:noVBand="1"/>
      </w:tblPr>
      <w:tblGrid>
        <w:gridCol w:w="1372"/>
        <w:gridCol w:w="1372"/>
        <w:gridCol w:w="1372"/>
        <w:gridCol w:w="1372"/>
        <w:gridCol w:w="1373"/>
        <w:gridCol w:w="1373"/>
        <w:gridCol w:w="1373"/>
      </w:tblGrid>
      <w:tr w:rsidR="00766BFE" w:rsidRPr="008533B0" w14:paraId="559306E0" w14:textId="77777777" w:rsidTr="007100D8">
        <w:tc>
          <w:tcPr>
            <w:tcW w:w="1372" w:type="dxa"/>
          </w:tcPr>
          <w:p w14:paraId="02EC17B3" w14:textId="77777777" w:rsidR="00766BFE" w:rsidRPr="008533B0" w:rsidRDefault="00766BFE" w:rsidP="008533B0">
            <w:pPr>
              <w:rPr>
                <w:rFonts w:ascii="Arial" w:hAnsi="Arial" w:cs="Arial"/>
                <w:b/>
                <w:bCs/>
                <w:sz w:val="20"/>
                <w:szCs w:val="20"/>
              </w:rPr>
            </w:pPr>
            <w:r w:rsidRPr="008533B0">
              <w:rPr>
                <w:rFonts w:ascii="Arial" w:hAnsi="Arial" w:cs="Arial"/>
                <w:b/>
                <w:bCs/>
                <w:sz w:val="20"/>
                <w:szCs w:val="20"/>
              </w:rPr>
              <w:t>Metal</w:t>
            </w:r>
          </w:p>
        </w:tc>
        <w:tc>
          <w:tcPr>
            <w:tcW w:w="1372" w:type="dxa"/>
          </w:tcPr>
          <w:p w14:paraId="3655F25D" w14:textId="77777777" w:rsidR="00766BFE" w:rsidRPr="008533B0" w:rsidRDefault="00766BFE" w:rsidP="008533B0">
            <w:pPr>
              <w:rPr>
                <w:rFonts w:ascii="Arial" w:hAnsi="Arial" w:cs="Arial"/>
                <w:sz w:val="20"/>
                <w:szCs w:val="20"/>
              </w:rPr>
            </w:pPr>
            <w:r w:rsidRPr="008533B0">
              <w:rPr>
                <w:rFonts w:ascii="Arial" w:hAnsi="Arial" w:cs="Arial"/>
                <w:sz w:val="20"/>
                <w:szCs w:val="20"/>
              </w:rPr>
              <w:t>Cr</w:t>
            </w:r>
          </w:p>
        </w:tc>
        <w:tc>
          <w:tcPr>
            <w:tcW w:w="1372" w:type="dxa"/>
          </w:tcPr>
          <w:p w14:paraId="1A3FA671" w14:textId="77777777" w:rsidR="00766BFE" w:rsidRPr="008533B0" w:rsidRDefault="00766BFE" w:rsidP="008533B0">
            <w:pPr>
              <w:rPr>
                <w:rFonts w:ascii="Arial" w:hAnsi="Arial" w:cs="Arial"/>
                <w:sz w:val="20"/>
                <w:szCs w:val="20"/>
              </w:rPr>
            </w:pPr>
            <w:r w:rsidRPr="008533B0">
              <w:rPr>
                <w:rFonts w:ascii="Arial" w:hAnsi="Arial" w:cs="Arial"/>
                <w:sz w:val="20"/>
                <w:szCs w:val="20"/>
              </w:rPr>
              <w:t>Ni</w:t>
            </w:r>
          </w:p>
        </w:tc>
        <w:tc>
          <w:tcPr>
            <w:tcW w:w="1372" w:type="dxa"/>
          </w:tcPr>
          <w:p w14:paraId="16E10090" w14:textId="77777777" w:rsidR="00766BFE" w:rsidRPr="008533B0" w:rsidRDefault="00766BFE" w:rsidP="008533B0">
            <w:pPr>
              <w:rPr>
                <w:rFonts w:ascii="Arial" w:hAnsi="Arial" w:cs="Arial"/>
                <w:sz w:val="20"/>
                <w:szCs w:val="20"/>
              </w:rPr>
            </w:pPr>
            <w:r w:rsidRPr="008533B0">
              <w:rPr>
                <w:rFonts w:ascii="Arial" w:hAnsi="Arial" w:cs="Arial"/>
                <w:sz w:val="20"/>
                <w:szCs w:val="20"/>
              </w:rPr>
              <w:t>Cu</w:t>
            </w:r>
          </w:p>
        </w:tc>
        <w:tc>
          <w:tcPr>
            <w:tcW w:w="1373" w:type="dxa"/>
          </w:tcPr>
          <w:p w14:paraId="50DF610A" w14:textId="77777777" w:rsidR="00766BFE" w:rsidRPr="008533B0" w:rsidRDefault="00766BFE" w:rsidP="008533B0">
            <w:pPr>
              <w:rPr>
                <w:rFonts w:ascii="Arial" w:hAnsi="Arial" w:cs="Arial"/>
                <w:sz w:val="20"/>
                <w:szCs w:val="20"/>
              </w:rPr>
            </w:pPr>
            <w:r w:rsidRPr="008533B0">
              <w:rPr>
                <w:rFonts w:ascii="Arial" w:hAnsi="Arial" w:cs="Arial"/>
                <w:sz w:val="20"/>
                <w:szCs w:val="20"/>
              </w:rPr>
              <w:t>Zn</w:t>
            </w:r>
          </w:p>
        </w:tc>
        <w:tc>
          <w:tcPr>
            <w:tcW w:w="1373" w:type="dxa"/>
          </w:tcPr>
          <w:p w14:paraId="249A9679" w14:textId="77777777" w:rsidR="00766BFE" w:rsidRPr="008533B0" w:rsidRDefault="00766BFE" w:rsidP="008533B0">
            <w:pPr>
              <w:rPr>
                <w:rFonts w:ascii="Arial" w:hAnsi="Arial" w:cs="Arial"/>
                <w:sz w:val="20"/>
                <w:szCs w:val="20"/>
              </w:rPr>
            </w:pPr>
            <w:r w:rsidRPr="008533B0">
              <w:rPr>
                <w:rFonts w:ascii="Arial" w:hAnsi="Arial" w:cs="Arial"/>
                <w:sz w:val="20"/>
                <w:szCs w:val="20"/>
              </w:rPr>
              <w:t xml:space="preserve">Cd </w:t>
            </w:r>
          </w:p>
        </w:tc>
        <w:tc>
          <w:tcPr>
            <w:tcW w:w="1373" w:type="dxa"/>
          </w:tcPr>
          <w:p w14:paraId="598B71A1" w14:textId="77777777" w:rsidR="00766BFE" w:rsidRPr="008533B0" w:rsidRDefault="00766BFE" w:rsidP="008533B0">
            <w:pPr>
              <w:rPr>
                <w:rFonts w:ascii="Arial" w:hAnsi="Arial" w:cs="Arial"/>
                <w:sz w:val="20"/>
                <w:szCs w:val="20"/>
              </w:rPr>
            </w:pPr>
            <w:r w:rsidRPr="008533B0">
              <w:rPr>
                <w:rFonts w:ascii="Arial" w:hAnsi="Arial" w:cs="Arial"/>
                <w:sz w:val="20"/>
                <w:szCs w:val="20"/>
              </w:rPr>
              <w:t>Pb</w:t>
            </w:r>
          </w:p>
        </w:tc>
      </w:tr>
      <w:tr w:rsidR="00766BFE" w:rsidRPr="008533B0" w14:paraId="73B7DD76" w14:textId="77777777" w:rsidTr="007100D8">
        <w:tc>
          <w:tcPr>
            <w:tcW w:w="1372" w:type="dxa"/>
          </w:tcPr>
          <w:p w14:paraId="047BB3F8" w14:textId="77777777" w:rsidR="00766BFE" w:rsidRPr="008533B0" w:rsidRDefault="00766BFE" w:rsidP="008533B0">
            <w:pPr>
              <w:rPr>
                <w:rFonts w:ascii="Arial" w:hAnsi="Arial" w:cs="Arial"/>
                <w:b/>
                <w:bCs/>
                <w:sz w:val="20"/>
                <w:szCs w:val="20"/>
              </w:rPr>
            </w:pPr>
            <w:r w:rsidRPr="008533B0">
              <w:rPr>
                <w:rFonts w:ascii="Arial" w:hAnsi="Arial" w:cs="Arial"/>
                <w:b/>
                <w:bCs/>
                <w:sz w:val="20"/>
                <w:szCs w:val="20"/>
              </w:rPr>
              <w:t>RFD</w:t>
            </w:r>
          </w:p>
        </w:tc>
        <w:tc>
          <w:tcPr>
            <w:tcW w:w="1372" w:type="dxa"/>
          </w:tcPr>
          <w:p w14:paraId="18B3D67C" w14:textId="77777777" w:rsidR="00766BFE" w:rsidRPr="008533B0" w:rsidRDefault="00766BFE" w:rsidP="008533B0">
            <w:pPr>
              <w:rPr>
                <w:rFonts w:ascii="Arial" w:hAnsi="Arial" w:cs="Arial"/>
                <w:sz w:val="20"/>
                <w:szCs w:val="20"/>
              </w:rPr>
            </w:pPr>
            <w:r w:rsidRPr="008533B0">
              <w:rPr>
                <w:rFonts w:ascii="Arial" w:hAnsi="Arial" w:cs="Arial"/>
                <w:sz w:val="20"/>
                <w:szCs w:val="20"/>
              </w:rPr>
              <w:t>0.003</w:t>
            </w:r>
          </w:p>
        </w:tc>
        <w:tc>
          <w:tcPr>
            <w:tcW w:w="1372" w:type="dxa"/>
          </w:tcPr>
          <w:p w14:paraId="46381F06" w14:textId="77777777" w:rsidR="00766BFE" w:rsidRPr="008533B0" w:rsidRDefault="00766BFE" w:rsidP="008533B0">
            <w:pPr>
              <w:rPr>
                <w:rFonts w:ascii="Arial" w:hAnsi="Arial" w:cs="Arial"/>
                <w:sz w:val="20"/>
                <w:szCs w:val="20"/>
              </w:rPr>
            </w:pPr>
            <w:r w:rsidRPr="008533B0">
              <w:rPr>
                <w:rFonts w:ascii="Arial" w:hAnsi="Arial" w:cs="Arial"/>
                <w:sz w:val="20"/>
                <w:szCs w:val="20"/>
              </w:rPr>
              <w:t>0.02</w:t>
            </w:r>
          </w:p>
        </w:tc>
        <w:tc>
          <w:tcPr>
            <w:tcW w:w="1372" w:type="dxa"/>
          </w:tcPr>
          <w:p w14:paraId="720B0A0F" w14:textId="77777777" w:rsidR="00766BFE" w:rsidRPr="008533B0" w:rsidRDefault="00766BFE" w:rsidP="008533B0">
            <w:pPr>
              <w:rPr>
                <w:rFonts w:ascii="Arial" w:hAnsi="Arial" w:cs="Arial"/>
                <w:sz w:val="20"/>
                <w:szCs w:val="20"/>
              </w:rPr>
            </w:pPr>
            <w:r w:rsidRPr="008533B0">
              <w:rPr>
                <w:rFonts w:ascii="Arial" w:hAnsi="Arial" w:cs="Arial"/>
                <w:sz w:val="20"/>
                <w:szCs w:val="20"/>
              </w:rPr>
              <w:t>0.04</w:t>
            </w:r>
          </w:p>
        </w:tc>
        <w:tc>
          <w:tcPr>
            <w:tcW w:w="1373" w:type="dxa"/>
          </w:tcPr>
          <w:p w14:paraId="2C8DDC55" w14:textId="77777777" w:rsidR="00766BFE" w:rsidRPr="008533B0" w:rsidRDefault="00766BFE" w:rsidP="008533B0">
            <w:pPr>
              <w:rPr>
                <w:rFonts w:ascii="Arial" w:hAnsi="Arial" w:cs="Arial"/>
                <w:sz w:val="20"/>
                <w:szCs w:val="20"/>
              </w:rPr>
            </w:pPr>
            <w:r w:rsidRPr="008533B0">
              <w:rPr>
                <w:rFonts w:ascii="Arial" w:hAnsi="Arial" w:cs="Arial"/>
                <w:sz w:val="20"/>
                <w:szCs w:val="20"/>
              </w:rPr>
              <w:t>0.3</w:t>
            </w:r>
          </w:p>
        </w:tc>
        <w:tc>
          <w:tcPr>
            <w:tcW w:w="1373" w:type="dxa"/>
          </w:tcPr>
          <w:p w14:paraId="594A7E85" w14:textId="77777777" w:rsidR="00766BFE" w:rsidRPr="008533B0" w:rsidRDefault="00766BFE" w:rsidP="008533B0">
            <w:pPr>
              <w:rPr>
                <w:rFonts w:ascii="Arial" w:hAnsi="Arial" w:cs="Arial"/>
                <w:sz w:val="20"/>
                <w:szCs w:val="20"/>
              </w:rPr>
            </w:pPr>
            <w:r w:rsidRPr="008533B0">
              <w:rPr>
                <w:rFonts w:ascii="Arial" w:hAnsi="Arial" w:cs="Arial"/>
                <w:sz w:val="20"/>
                <w:szCs w:val="20"/>
              </w:rPr>
              <w:t>0.001</w:t>
            </w:r>
          </w:p>
        </w:tc>
        <w:tc>
          <w:tcPr>
            <w:tcW w:w="1373" w:type="dxa"/>
          </w:tcPr>
          <w:p w14:paraId="19E4A5C3" w14:textId="77777777" w:rsidR="00766BFE" w:rsidRPr="008533B0" w:rsidRDefault="00766BFE" w:rsidP="008533B0">
            <w:pPr>
              <w:rPr>
                <w:rFonts w:ascii="Arial" w:hAnsi="Arial" w:cs="Arial"/>
                <w:sz w:val="20"/>
                <w:szCs w:val="20"/>
              </w:rPr>
            </w:pPr>
            <w:r w:rsidRPr="008533B0">
              <w:rPr>
                <w:rFonts w:ascii="Arial" w:hAnsi="Arial" w:cs="Arial"/>
                <w:sz w:val="20"/>
                <w:szCs w:val="20"/>
              </w:rPr>
              <w:t>0.004</w:t>
            </w:r>
          </w:p>
        </w:tc>
      </w:tr>
    </w:tbl>
    <w:p w14:paraId="0091F242" w14:textId="77777777" w:rsidR="00766BFE" w:rsidRPr="008533B0" w:rsidRDefault="00766BFE" w:rsidP="008533B0">
      <w:pPr>
        <w:spacing w:line="240" w:lineRule="auto"/>
        <w:rPr>
          <w:rFonts w:ascii="Arial" w:hAnsi="Arial" w:cs="Arial"/>
          <w:sz w:val="20"/>
          <w:szCs w:val="20"/>
        </w:rPr>
      </w:pPr>
    </w:p>
    <w:p w14:paraId="7A0776A9" w14:textId="77777777" w:rsidR="00766BFE" w:rsidRPr="008533B0" w:rsidRDefault="00766BFE" w:rsidP="008533B0">
      <w:pPr>
        <w:spacing w:line="240" w:lineRule="auto"/>
        <w:rPr>
          <w:rFonts w:ascii="Arial" w:hAnsi="Arial" w:cs="Arial"/>
          <w:b/>
          <w:bCs/>
          <w:sz w:val="20"/>
          <w:szCs w:val="20"/>
        </w:rPr>
      </w:pPr>
      <w:r w:rsidRPr="008533B0">
        <w:rPr>
          <w:rFonts w:ascii="Arial" w:hAnsi="Arial" w:cs="Arial"/>
          <w:b/>
          <w:bCs/>
          <w:sz w:val="20"/>
          <w:szCs w:val="20"/>
        </w:rPr>
        <w:t>Hazard Index</w:t>
      </w:r>
    </w:p>
    <w:p w14:paraId="0B602371" w14:textId="77777777" w:rsidR="00766BFE" w:rsidRPr="008533B0" w:rsidRDefault="00766BFE" w:rsidP="008533B0">
      <w:pPr>
        <w:spacing w:line="240" w:lineRule="auto"/>
        <w:rPr>
          <w:rFonts w:ascii="Arial" w:hAnsi="Arial" w:cs="Arial"/>
          <w:sz w:val="20"/>
          <w:szCs w:val="20"/>
          <w:lang w:val="en-US"/>
        </w:rPr>
      </w:pPr>
      <w:r w:rsidRPr="008533B0">
        <w:rPr>
          <w:rFonts w:ascii="Arial" w:hAnsi="Arial" w:cs="Arial"/>
          <w:sz w:val="20"/>
          <w:szCs w:val="20"/>
          <w:lang w:val="en-US"/>
        </w:rPr>
        <w:t>The consumption of medicinal plants containing several heavy metals can pose a significant risk to the consumer's health. Indeed, the effects of these different toxic metals can be additive. The hazard index (HI) is a tool for assessing the total non-carcinogenic risk induced by these metals on human health. The HI is calculated according to equation 3 using the sum of the individual THQ of each metal hazardous to human health. The health risk level is low if HI &lt; 1, while the health risk is high if HI &gt; 1.</w:t>
      </w:r>
    </w:p>
    <w:p w14:paraId="533B450F" w14:textId="77777777" w:rsidR="0074670B" w:rsidRPr="008533B0" w:rsidRDefault="0074670B" w:rsidP="008533B0">
      <w:pPr>
        <w:spacing w:line="240" w:lineRule="auto"/>
        <w:rPr>
          <w:rFonts w:ascii="Arial" w:hAnsi="Arial" w:cs="Arial"/>
          <w:sz w:val="20"/>
          <w:szCs w:val="20"/>
          <w:lang w:val="en-US"/>
        </w:rPr>
      </w:pPr>
    </w:p>
    <w:p w14:paraId="023C503D" w14:textId="77777777" w:rsidR="00766BFE" w:rsidRPr="008533B0" w:rsidRDefault="00766BFE" w:rsidP="008533B0">
      <w:pPr>
        <w:spacing w:line="240" w:lineRule="auto"/>
        <w:jc w:val="center"/>
        <w:rPr>
          <w:rFonts w:ascii="Arial" w:eastAsiaTheme="minorEastAsia" w:hAnsi="Arial" w:cs="Arial"/>
          <w:sz w:val="20"/>
          <w:szCs w:val="20"/>
        </w:rPr>
      </w:pPr>
      <m:oMath>
        <m:r>
          <w:rPr>
            <w:rFonts w:ascii="Cambria Math" w:eastAsiaTheme="minorEastAsia" w:hAnsi="Cambria Math" w:cs="Arial"/>
            <w:sz w:val="20"/>
            <w:szCs w:val="20"/>
          </w:rPr>
          <m:t>HI=</m:t>
        </m:r>
        <m:nary>
          <m:naryPr>
            <m:chr m:val="∑"/>
            <m:limLoc m:val="undOvr"/>
            <m:subHide m:val="1"/>
            <m:supHide m:val="1"/>
            <m:ctrlPr>
              <w:rPr>
                <w:rFonts w:ascii="Cambria Math" w:eastAsiaTheme="minorEastAsia" w:hAnsi="Cambria Math" w:cs="Arial"/>
                <w:i/>
                <w:sz w:val="20"/>
                <w:szCs w:val="20"/>
              </w:rPr>
            </m:ctrlPr>
          </m:naryPr>
          <m:sub/>
          <m:sup/>
          <m:e>
            <m:r>
              <w:rPr>
                <w:rFonts w:ascii="Cambria Math" w:eastAsiaTheme="minorEastAsia" w:hAnsi="Cambria Math" w:cs="Arial"/>
                <w:sz w:val="20"/>
                <w:szCs w:val="20"/>
              </w:rPr>
              <m:t>THQ</m:t>
            </m:r>
          </m:e>
        </m:nary>
      </m:oMath>
      <w:r w:rsidRPr="008533B0">
        <w:rPr>
          <w:rFonts w:ascii="Arial" w:eastAsiaTheme="minorEastAsia" w:hAnsi="Arial" w:cs="Arial"/>
          <w:sz w:val="20"/>
          <w:szCs w:val="20"/>
        </w:rPr>
        <w:tab/>
      </w:r>
      <w:r w:rsidRPr="008533B0">
        <w:rPr>
          <w:rFonts w:ascii="Arial" w:eastAsiaTheme="minorEastAsia" w:hAnsi="Arial" w:cs="Arial"/>
          <w:sz w:val="20"/>
          <w:szCs w:val="20"/>
        </w:rPr>
        <w:tab/>
      </w:r>
      <w:r w:rsidRPr="008533B0">
        <w:rPr>
          <w:rFonts w:ascii="Arial" w:eastAsiaTheme="minorEastAsia" w:hAnsi="Arial" w:cs="Arial"/>
          <w:sz w:val="20"/>
          <w:szCs w:val="20"/>
        </w:rPr>
        <w:tab/>
      </w:r>
      <w:r w:rsidRPr="008533B0">
        <w:rPr>
          <w:rFonts w:ascii="Arial" w:eastAsiaTheme="minorEastAsia" w:hAnsi="Arial" w:cs="Arial"/>
          <w:sz w:val="20"/>
          <w:szCs w:val="20"/>
          <w:lang w:val="en-US"/>
        </w:rPr>
        <w:t>equation 3</w:t>
      </w:r>
    </w:p>
    <w:p w14:paraId="5EDEF1C0" w14:textId="77777777" w:rsidR="00766BFE" w:rsidRPr="008533B0" w:rsidRDefault="00766BFE" w:rsidP="008533B0">
      <w:pPr>
        <w:spacing w:line="240" w:lineRule="auto"/>
        <w:rPr>
          <w:rFonts w:ascii="Arial" w:hAnsi="Arial" w:cs="Arial"/>
          <w:sz w:val="20"/>
          <w:szCs w:val="20"/>
        </w:rPr>
      </w:pPr>
    </w:p>
    <w:p w14:paraId="4E17FA49" w14:textId="70DFE12F" w:rsidR="00940D48" w:rsidRPr="008533B0" w:rsidRDefault="00940D48" w:rsidP="00D81359">
      <w:pPr>
        <w:pStyle w:val="Heading1"/>
      </w:pPr>
      <w:r w:rsidRPr="008533B0">
        <w:t>Results and Discussion</w:t>
      </w:r>
    </w:p>
    <w:p w14:paraId="3D845ABE" w14:textId="31A6EB59" w:rsidR="00940D48" w:rsidRPr="002C36CD" w:rsidRDefault="00790D9B" w:rsidP="004256BB">
      <w:pPr>
        <w:pStyle w:val="Heading3"/>
        <w:rPr>
          <w:lang w:val="en-US"/>
        </w:rPr>
      </w:pPr>
      <w:r w:rsidRPr="002C36CD">
        <w:rPr>
          <w:lang w:val="en-US"/>
        </w:rPr>
        <w:t xml:space="preserve">Concentration of Metals in roots, </w:t>
      </w:r>
      <w:r w:rsidR="00857B49" w:rsidRPr="002C36CD">
        <w:rPr>
          <w:lang w:val="en-US"/>
        </w:rPr>
        <w:t xml:space="preserve">stems, </w:t>
      </w:r>
      <w:r w:rsidRPr="002C36CD">
        <w:rPr>
          <w:lang w:val="en-US"/>
        </w:rPr>
        <w:t xml:space="preserve">and leaves of </w:t>
      </w:r>
      <w:proofErr w:type="spellStart"/>
      <w:r w:rsidRPr="002C36CD">
        <w:rPr>
          <w:lang w:val="en-US"/>
        </w:rPr>
        <w:t>Stylochaeton</w:t>
      </w:r>
      <w:proofErr w:type="spellEnd"/>
      <w:r w:rsidRPr="002C36CD">
        <w:rPr>
          <w:lang w:val="en-US"/>
        </w:rPr>
        <w:t xml:space="preserve"> </w:t>
      </w:r>
      <w:proofErr w:type="spellStart"/>
      <w:r w:rsidRPr="002C36CD">
        <w:rPr>
          <w:lang w:val="en-US"/>
        </w:rPr>
        <w:t>hypogaeus</w:t>
      </w:r>
      <w:proofErr w:type="spellEnd"/>
    </w:p>
    <w:p w14:paraId="586BC132" w14:textId="66F51F89" w:rsidR="0068593C" w:rsidRPr="008533B0" w:rsidRDefault="0068593C" w:rsidP="008533B0">
      <w:pPr>
        <w:spacing w:line="240" w:lineRule="auto"/>
        <w:rPr>
          <w:rFonts w:ascii="Arial" w:hAnsi="Arial" w:cs="Arial"/>
          <w:sz w:val="20"/>
          <w:szCs w:val="20"/>
          <w:lang w:val="en-US"/>
        </w:rPr>
      </w:pPr>
      <w:r w:rsidRPr="008533B0">
        <w:rPr>
          <w:rFonts w:ascii="Arial" w:hAnsi="Arial" w:cs="Arial"/>
          <w:color w:val="000000" w:themeColor="text1"/>
          <w:sz w:val="20"/>
          <w:szCs w:val="20"/>
          <w:lang w:val="en-US"/>
        </w:rPr>
        <w:t xml:space="preserve">Table </w:t>
      </w:r>
      <w:r w:rsidR="00B66510" w:rsidRPr="008533B0">
        <w:rPr>
          <w:rFonts w:ascii="Arial" w:hAnsi="Arial" w:cs="Arial"/>
          <w:color w:val="000000" w:themeColor="text1"/>
          <w:sz w:val="20"/>
          <w:szCs w:val="20"/>
          <w:lang w:val="en-US"/>
        </w:rPr>
        <w:t>4</w:t>
      </w:r>
      <w:r w:rsidRPr="008533B0">
        <w:rPr>
          <w:rFonts w:ascii="Arial" w:hAnsi="Arial" w:cs="Arial"/>
          <w:color w:val="000000" w:themeColor="text1"/>
          <w:sz w:val="20"/>
          <w:szCs w:val="20"/>
          <w:lang w:val="en-US"/>
        </w:rPr>
        <w:t xml:space="preserve"> summarize</w:t>
      </w:r>
      <w:r w:rsidR="00857B49" w:rsidRPr="008533B0">
        <w:rPr>
          <w:rFonts w:ascii="Arial" w:hAnsi="Arial" w:cs="Arial"/>
          <w:color w:val="000000" w:themeColor="text1"/>
          <w:sz w:val="20"/>
          <w:szCs w:val="20"/>
          <w:lang w:val="en-US"/>
        </w:rPr>
        <w:t>s the mean concentration</w:t>
      </w:r>
      <w:r w:rsidR="00BB6DB5" w:rsidRPr="008533B0">
        <w:rPr>
          <w:rFonts w:ascii="Arial" w:hAnsi="Arial" w:cs="Arial"/>
          <w:color w:val="000000" w:themeColor="text1"/>
          <w:sz w:val="20"/>
          <w:szCs w:val="20"/>
          <w:lang w:val="en-US"/>
        </w:rPr>
        <w:t>s</w:t>
      </w:r>
      <w:r w:rsidR="00857B49" w:rsidRPr="008533B0">
        <w:rPr>
          <w:rFonts w:ascii="Arial" w:hAnsi="Arial" w:cs="Arial"/>
          <w:color w:val="000000" w:themeColor="text1"/>
          <w:sz w:val="20"/>
          <w:szCs w:val="20"/>
          <w:lang w:val="en-US"/>
        </w:rPr>
        <w:t xml:space="preserve"> of Na, </w:t>
      </w:r>
      <w:r w:rsidR="00023D7C" w:rsidRPr="008533B0">
        <w:rPr>
          <w:rFonts w:ascii="Arial" w:hAnsi="Arial" w:cs="Arial"/>
          <w:sz w:val="20"/>
          <w:szCs w:val="20"/>
          <w:lang w:val="en-US"/>
        </w:rPr>
        <w:t>K, Mg, Ca, Cr, Fe, Ni, Cu, Zn, Cd and Pb</w:t>
      </w:r>
      <w:r w:rsidR="001C02E8" w:rsidRPr="008533B0">
        <w:rPr>
          <w:rFonts w:ascii="Arial" w:hAnsi="Arial" w:cs="Arial"/>
          <w:sz w:val="20"/>
          <w:szCs w:val="20"/>
          <w:lang w:val="en-US"/>
        </w:rPr>
        <w:t xml:space="preserve"> (mg</w:t>
      </w:r>
      <w:r w:rsidR="00F17163" w:rsidRPr="008533B0">
        <w:rPr>
          <w:rFonts w:ascii="Arial" w:hAnsi="Arial" w:cs="Arial"/>
          <w:sz w:val="20"/>
          <w:szCs w:val="20"/>
          <w:lang w:val="en-US"/>
        </w:rPr>
        <w:t>/</w:t>
      </w:r>
      <w:r w:rsidR="001C02E8" w:rsidRPr="008533B0">
        <w:rPr>
          <w:rFonts w:ascii="Arial" w:hAnsi="Arial" w:cs="Arial"/>
          <w:sz w:val="20"/>
          <w:szCs w:val="20"/>
          <w:lang w:val="en-US"/>
        </w:rPr>
        <w:t>Kg)</w:t>
      </w:r>
      <w:r w:rsidR="00F17163" w:rsidRPr="008533B0">
        <w:rPr>
          <w:rFonts w:ascii="Arial" w:hAnsi="Arial" w:cs="Arial"/>
          <w:sz w:val="20"/>
          <w:szCs w:val="20"/>
          <w:lang w:val="en-US"/>
        </w:rPr>
        <w:t xml:space="preserve"> in the different </w:t>
      </w:r>
      <w:r w:rsidR="00FC1638" w:rsidRPr="008533B0">
        <w:rPr>
          <w:rFonts w:ascii="Arial" w:hAnsi="Arial" w:cs="Arial"/>
          <w:sz w:val="20"/>
          <w:szCs w:val="20"/>
          <w:lang w:val="en-US"/>
        </w:rPr>
        <w:t xml:space="preserve">parts </w:t>
      </w:r>
      <w:r w:rsidR="00F17163" w:rsidRPr="008533B0">
        <w:rPr>
          <w:rFonts w:ascii="Arial" w:hAnsi="Arial" w:cs="Arial"/>
          <w:sz w:val="20"/>
          <w:szCs w:val="20"/>
          <w:lang w:val="en-US"/>
        </w:rPr>
        <w:t xml:space="preserve">of the </w:t>
      </w:r>
      <w:r w:rsidR="00BB6DB5" w:rsidRPr="008533B0">
        <w:rPr>
          <w:rFonts w:ascii="Arial" w:hAnsi="Arial" w:cs="Arial"/>
          <w:sz w:val="20"/>
          <w:szCs w:val="20"/>
          <w:lang w:val="en-US"/>
        </w:rPr>
        <w:t>plant studied in this work</w:t>
      </w:r>
      <w:r w:rsidR="00FC1638" w:rsidRPr="008533B0">
        <w:rPr>
          <w:rFonts w:ascii="Arial" w:hAnsi="Arial" w:cs="Arial"/>
          <w:sz w:val="20"/>
          <w:szCs w:val="20"/>
          <w:lang w:val="en-US"/>
        </w:rPr>
        <w:t>.</w:t>
      </w:r>
    </w:p>
    <w:p w14:paraId="31A24402" w14:textId="33208C76" w:rsidR="009D023C" w:rsidRPr="008533B0" w:rsidRDefault="0006714D"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Na concentration </w:t>
      </w:r>
      <w:r w:rsidR="006848F7" w:rsidRPr="008533B0">
        <w:rPr>
          <w:rFonts w:ascii="Arial" w:hAnsi="Arial" w:cs="Arial"/>
          <w:sz w:val="20"/>
          <w:szCs w:val="20"/>
          <w:lang w:val="en-US"/>
        </w:rPr>
        <w:t xml:space="preserve">in the samples varied from 401.1 to </w:t>
      </w:r>
      <w:r w:rsidR="00AF5C1B" w:rsidRPr="008533B0">
        <w:rPr>
          <w:rFonts w:ascii="Arial" w:hAnsi="Arial" w:cs="Arial"/>
          <w:sz w:val="20"/>
          <w:szCs w:val="20"/>
          <w:lang w:val="en-US"/>
        </w:rPr>
        <w:t xml:space="preserve">3505.4 mg/Kg. The stems show </w:t>
      </w:r>
      <w:r w:rsidR="003C3FDF" w:rsidRPr="008533B0">
        <w:rPr>
          <w:rFonts w:ascii="Arial" w:hAnsi="Arial" w:cs="Arial"/>
          <w:sz w:val="20"/>
          <w:szCs w:val="20"/>
          <w:lang w:val="en-US"/>
        </w:rPr>
        <w:t>higher</w:t>
      </w:r>
      <w:r w:rsidR="007C0E1A" w:rsidRPr="008533B0">
        <w:rPr>
          <w:rFonts w:ascii="Arial" w:hAnsi="Arial" w:cs="Arial"/>
          <w:sz w:val="20"/>
          <w:szCs w:val="20"/>
          <w:lang w:val="en-US"/>
        </w:rPr>
        <w:t xml:space="preserve"> concentration while the roots show </w:t>
      </w:r>
      <w:r w:rsidR="005866CB" w:rsidRPr="008533B0">
        <w:rPr>
          <w:rFonts w:ascii="Arial" w:hAnsi="Arial" w:cs="Arial"/>
          <w:sz w:val="20"/>
          <w:szCs w:val="20"/>
          <w:lang w:val="en-US"/>
        </w:rPr>
        <w:t>lower</w:t>
      </w:r>
      <w:r w:rsidR="007C0E1A" w:rsidRPr="008533B0">
        <w:rPr>
          <w:rFonts w:ascii="Arial" w:hAnsi="Arial" w:cs="Arial"/>
          <w:sz w:val="20"/>
          <w:szCs w:val="20"/>
          <w:lang w:val="en-US"/>
        </w:rPr>
        <w:t xml:space="preserve"> concentration. </w:t>
      </w:r>
      <w:r w:rsidR="003E678B" w:rsidRPr="008533B0">
        <w:rPr>
          <w:rFonts w:ascii="Arial" w:hAnsi="Arial" w:cs="Arial"/>
          <w:sz w:val="20"/>
          <w:szCs w:val="20"/>
          <w:lang w:val="en-US"/>
        </w:rPr>
        <w:t>The K concentration in samples ranged from 9370.1 to 63</w:t>
      </w:r>
      <w:r w:rsidR="00FD111B" w:rsidRPr="008533B0">
        <w:rPr>
          <w:rFonts w:ascii="Arial" w:hAnsi="Arial" w:cs="Arial"/>
          <w:sz w:val="20"/>
          <w:szCs w:val="20"/>
          <w:lang w:val="en-US"/>
        </w:rPr>
        <w:t>359.9 mg/Kg. As observed</w:t>
      </w:r>
      <w:r w:rsidR="00BD7921" w:rsidRPr="008533B0">
        <w:rPr>
          <w:rFonts w:ascii="Arial" w:hAnsi="Arial" w:cs="Arial"/>
          <w:sz w:val="20"/>
          <w:szCs w:val="20"/>
          <w:lang w:val="en-US"/>
        </w:rPr>
        <w:t xml:space="preserve"> </w:t>
      </w:r>
      <w:r w:rsidR="00703870" w:rsidRPr="008533B0">
        <w:rPr>
          <w:rFonts w:ascii="Arial" w:hAnsi="Arial" w:cs="Arial"/>
          <w:sz w:val="20"/>
          <w:szCs w:val="20"/>
          <w:lang w:val="en-US"/>
        </w:rPr>
        <w:t>by</w:t>
      </w:r>
      <w:r w:rsidR="00FD111B" w:rsidRPr="008533B0">
        <w:rPr>
          <w:rFonts w:ascii="Arial" w:hAnsi="Arial" w:cs="Arial"/>
          <w:sz w:val="20"/>
          <w:szCs w:val="20"/>
          <w:lang w:val="en-US"/>
        </w:rPr>
        <w:t xml:space="preserve"> </w:t>
      </w:r>
      <w:r w:rsidR="00BD7921" w:rsidRPr="008533B0">
        <w:rPr>
          <w:rFonts w:ascii="Arial" w:hAnsi="Arial" w:cs="Arial"/>
          <w:sz w:val="20"/>
          <w:szCs w:val="20"/>
          <w:lang w:val="en-US"/>
        </w:rPr>
        <w:t xml:space="preserve">the </w:t>
      </w:r>
      <w:r w:rsidR="00FD111B" w:rsidRPr="008533B0">
        <w:rPr>
          <w:rFonts w:ascii="Arial" w:hAnsi="Arial" w:cs="Arial"/>
          <w:sz w:val="20"/>
          <w:szCs w:val="20"/>
          <w:lang w:val="en-US"/>
        </w:rPr>
        <w:t>Na, the stems show higher concentration of K</w:t>
      </w:r>
      <w:r w:rsidR="00760696" w:rsidRPr="008533B0">
        <w:rPr>
          <w:rFonts w:ascii="Arial" w:hAnsi="Arial" w:cs="Arial"/>
          <w:sz w:val="20"/>
          <w:szCs w:val="20"/>
          <w:lang w:val="en-US"/>
        </w:rPr>
        <w:t xml:space="preserve">, </w:t>
      </w:r>
      <w:r w:rsidR="00FD111B" w:rsidRPr="008533B0">
        <w:rPr>
          <w:rFonts w:ascii="Arial" w:hAnsi="Arial" w:cs="Arial"/>
          <w:sz w:val="20"/>
          <w:szCs w:val="20"/>
          <w:lang w:val="en-US"/>
        </w:rPr>
        <w:t>while the roots show lower concentration</w:t>
      </w:r>
      <w:r w:rsidR="00760696" w:rsidRPr="008533B0">
        <w:rPr>
          <w:rFonts w:ascii="Arial" w:hAnsi="Arial" w:cs="Arial"/>
          <w:sz w:val="20"/>
          <w:szCs w:val="20"/>
          <w:lang w:val="en-US"/>
        </w:rPr>
        <w:t xml:space="preserve"> of K. </w:t>
      </w:r>
      <w:r w:rsidR="00841655" w:rsidRPr="008533B0">
        <w:rPr>
          <w:rFonts w:ascii="Arial" w:hAnsi="Arial" w:cs="Arial"/>
          <w:sz w:val="20"/>
          <w:szCs w:val="20"/>
          <w:lang w:val="en-US"/>
        </w:rPr>
        <w:t xml:space="preserve">The Na and K concentrations are comparable to those </w:t>
      </w:r>
      <w:proofErr w:type="gramStart"/>
      <w:r w:rsidR="00841655" w:rsidRPr="008533B0">
        <w:rPr>
          <w:rFonts w:ascii="Arial" w:hAnsi="Arial" w:cs="Arial"/>
          <w:sz w:val="20"/>
          <w:szCs w:val="20"/>
          <w:lang w:val="en-US"/>
        </w:rPr>
        <w:t xml:space="preserve">reported </w:t>
      </w:r>
      <w:r w:rsidR="00BA646B" w:rsidRPr="008533B0">
        <w:rPr>
          <w:rFonts w:ascii="Arial" w:hAnsi="Arial" w:cs="Arial"/>
          <w:sz w:val="20"/>
          <w:szCs w:val="20"/>
          <w:lang w:val="en-US"/>
        </w:rPr>
        <w:t xml:space="preserve"> for</w:t>
      </w:r>
      <w:proofErr w:type="gramEnd"/>
      <w:r w:rsidR="00BA646B" w:rsidRPr="008533B0">
        <w:rPr>
          <w:rFonts w:ascii="Arial" w:hAnsi="Arial" w:cs="Arial"/>
          <w:sz w:val="20"/>
          <w:szCs w:val="20"/>
          <w:lang w:val="en-US"/>
        </w:rPr>
        <w:t xml:space="preserve"> several plant drugs examined by </w:t>
      </w:r>
      <w:proofErr w:type="spellStart"/>
      <w:r w:rsidR="00207488" w:rsidRPr="008533B0">
        <w:rPr>
          <w:rFonts w:ascii="Arial" w:hAnsi="Arial" w:cs="Arial"/>
          <w:sz w:val="20"/>
          <w:szCs w:val="20"/>
        </w:rPr>
        <w:t>Szentmih</w:t>
      </w:r>
      <w:r w:rsidR="007A37C3" w:rsidRPr="008533B0">
        <w:rPr>
          <w:rFonts w:ascii="Arial" w:hAnsi="Arial" w:cs="Arial"/>
          <w:sz w:val="20"/>
          <w:szCs w:val="20"/>
        </w:rPr>
        <w:t>á</w:t>
      </w:r>
      <w:r w:rsidR="00207488" w:rsidRPr="008533B0">
        <w:rPr>
          <w:rFonts w:ascii="Arial" w:hAnsi="Arial" w:cs="Arial"/>
          <w:sz w:val="20"/>
          <w:szCs w:val="20"/>
        </w:rPr>
        <w:t>lyi</w:t>
      </w:r>
      <w:proofErr w:type="spellEnd"/>
      <w:r w:rsidR="00207488" w:rsidRPr="008533B0">
        <w:rPr>
          <w:rFonts w:ascii="Arial" w:hAnsi="Arial" w:cs="Arial"/>
          <w:sz w:val="20"/>
          <w:szCs w:val="20"/>
        </w:rPr>
        <w:t xml:space="preserve"> </w:t>
      </w:r>
      <w:r w:rsidR="00207488" w:rsidRPr="008533B0">
        <w:rPr>
          <w:rFonts w:ascii="Arial" w:hAnsi="Arial" w:cs="Arial"/>
          <w:i/>
          <w:iCs/>
          <w:sz w:val="20"/>
          <w:szCs w:val="20"/>
        </w:rPr>
        <w:t>et al</w:t>
      </w:r>
      <w:r w:rsidR="00207488" w:rsidRPr="008533B0">
        <w:rPr>
          <w:rFonts w:ascii="Arial" w:hAnsi="Arial" w:cs="Arial"/>
          <w:sz w:val="20"/>
          <w:szCs w:val="20"/>
        </w:rPr>
        <w:t>.</w:t>
      </w:r>
      <w:r w:rsidR="003A28D2" w:rsidRPr="008533B0">
        <w:rPr>
          <w:rFonts w:ascii="Arial" w:hAnsi="Arial" w:cs="Arial"/>
          <w:sz w:val="20"/>
          <w:szCs w:val="20"/>
        </w:rPr>
        <w:t xml:space="preserve"> </w:t>
      </w:r>
      <w:r w:rsidR="00E56670" w:rsidRPr="008533B0">
        <w:rPr>
          <w:rFonts w:ascii="Arial" w:hAnsi="Arial" w:cs="Arial"/>
          <w:sz w:val="20"/>
          <w:szCs w:val="20"/>
          <w:lang w:val="en-US"/>
        </w:rPr>
        <w:t>[33]</w:t>
      </w:r>
      <w:r w:rsidR="00EF6895" w:rsidRPr="008533B0">
        <w:rPr>
          <w:rFonts w:ascii="Arial" w:hAnsi="Arial" w:cs="Arial"/>
          <w:sz w:val="20"/>
          <w:szCs w:val="20"/>
        </w:rPr>
        <w:t xml:space="preserve"> and </w:t>
      </w:r>
      <w:proofErr w:type="spellStart"/>
      <w:r w:rsidR="00BA1CB7" w:rsidRPr="008533B0">
        <w:rPr>
          <w:rFonts w:ascii="Arial" w:hAnsi="Arial" w:cs="Arial"/>
          <w:sz w:val="20"/>
          <w:szCs w:val="20"/>
        </w:rPr>
        <w:t>Damame</w:t>
      </w:r>
      <w:proofErr w:type="spellEnd"/>
      <w:r w:rsidR="00BA1CB7" w:rsidRPr="008533B0">
        <w:rPr>
          <w:rFonts w:ascii="Arial" w:hAnsi="Arial" w:cs="Arial"/>
          <w:sz w:val="20"/>
          <w:szCs w:val="20"/>
        </w:rPr>
        <w:t xml:space="preserve"> </w:t>
      </w:r>
      <w:r w:rsidR="00BA1CB7" w:rsidRPr="008533B0">
        <w:rPr>
          <w:rFonts w:ascii="Arial" w:hAnsi="Arial" w:cs="Arial"/>
          <w:i/>
          <w:iCs/>
          <w:sz w:val="20"/>
          <w:szCs w:val="20"/>
        </w:rPr>
        <w:t>et al</w:t>
      </w:r>
      <w:r w:rsidR="00BA1CB7" w:rsidRPr="008533B0">
        <w:rPr>
          <w:rFonts w:ascii="Arial" w:hAnsi="Arial" w:cs="Arial"/>
          <w:sz w:val="20"/>
          <w:szCs w:val="20"/>
        </w:rPr>
        <w:t xml:space="preserve">. </w:t>
      </w:r>
      <w:r w:rsidR="00E56670" w:rsidRPr="008533B0">
        <w:rPr>
          <w:rFonts w:ascii="Arial" w:hAnsi="Arial" w:cs="Arial"/>
          <w:sz w:val="20"/>
          <w:szCs w:val="20"/>
          <w:lang w:val="en-US"/>
        </w:rPr>
        <w:t>[34]</w:t>
      </w:r>
      <w:r w:rsidR="0077756E" w:rsidRPr="008533B0">
        <w:rPr>
          <w:rFonts w:ascii="Arial" w:hAnsi="Arial" w:cs="Arial"/>
          <w:sz w:val="20"/>
          <w:szCs w:val="20"/>
        </w:rPr>
        <w:t>.</w:t>
      </w:r>
      <w:r w:rsidR="00B37058" w:rsidRPr="008533B0">
        <w:rPr>
          <w:rFonts w:ascii="Arial" w:hAnsi="Arial" w:cs="Arial"/>
          <w:sz w:val="20"/>
          <w:szCs w:val="20"/>
        </w:rPr>
        <w:t xml:space="preserve"> </w:t>
      </w:r>
      <w:r w:rsidR="00466044" w:rsidRPr="008533B0">
        <w:rPr>
          <w:rFonts w:ascii="Arial" w:hAnsi="Arial" w:cs="Arial"/>
          <w:sz w:val="20"/>
          <w:szCs w:val="20"/>
          <w:lang w:val="en-US"/>
        </w:rPr>
        <w:t xml:space="preserve">Sodium and potassium are important minerals needed to maintain the osmotic balance of body fluids, body pH, proper functioning of the muscular and nervous systems, glucose absorption, and normal protein retention during growth </w:t>
      </w:r>
      <w:r w:rsidR="00E56670" w:rsidRPr="008533B0">
        <w:rPr>
          <w:rFonts w:ascii="Arial" w:hAnsi="Arial" w:cs="Arial"/>
          <w:sz w:val="20"/>
          <w:szCs w:val="20"/>
          <w:lang w:val="en-US"/>
        </w:rPr>
        <w:t>[35]</w:t>
      </w:r>
      <w:r w:rsidR="00886AA2" w:rsidRPr="008533B0">
        <w:rPr>
          <w:rFonts w:ascii="Arial" w:hAnsi="Arial" w:cs="Arial"/>
          <w:sz w:val="20"/>
          <w:szCs w:val="20"/>
          <w:lang w:val="en-US"/>
        </w:rPr>
        <w:t xml:space="preserve">. </w:t>
      </w:r>
      <w:r w:rsidR="00E41BA1" w:rsidRPr="008533B0">
        <w:rPr>
          <w:rFonts w:ascii="Arial" w:hAnsi="Arial" w:cs="Arial"/>
          <w:sz w:val="20"/>
          <w:szCs w:val="20"/>
          <w:lang w:val="en-US"/>
        </w:rPr>
        <w:t xml:space="preserve">The sodium/potassium ratio is an important factor in preventing high blood pressure and the recommended K/Na ratio should be greater than 1. </w:t>
      </w:r>
      <w:r w:rsidR="009D023C" w:rsidRPr="008533B0">
        <w:rPr>
          <w:rFonts w:ascii="Arial" w:hAnsi="Arial" w:cs="Arial"/>
          <w:sz w:val="20"/>
          <w:szCs w:val="20"/>
          <w:lang w:val="en-US"/>
        </w:rPr>
        <w:t xml:space="preserve">The potassium-sodium ratio calculated by the recommended </w:t>
      </w:r>
      <w:r w:rsidR="000B7196" w:rsidRPr="008533B0">
        <w:rPr>
          <w:rFonts w:ascii="Arial" w:hAnsi="Arial" w:cs="Arial"/>
          <w:sz w:val="20"/>
          <w:szCs w:val="20"/>
          <w:lang w:val="en-US"/>
        </w:rPr>
        <w:t>dietary allowances</w:t>
      </w:r>
      <w:r w:rsidR="009D023C" w:rsidRPr="008533B0">
        <w:rPr>
          <w:rFonts w:ascii="Arial" w:hAnsi="Arial" w:cs="Arial"/>
          <w:sz w:val="20"/>
          <w:szCs w:val="20"/>
          <w:lang w:val="en-US"/>
        </w:rPr>
        <w:t xml:space="preserve"> (RD</w:t>
      </w:r>
      <w:r w:rsidR="000B7196" w:rsidRPr="008533B0">
        <w:rPr>
          <w:rFonts w:ascii="Arial" w:hAnsi="Arial" w:cs="Arial"/>
          <w:sz w:val="20"/>
          <w:szCs w:val="20"/>
          <w:lang w:val="en-US"/>
        </w:rPr>
        <w:t>A</w:t>
      </w:r>
      <w:r w:rsidR="009D023C" w:rsidRPr="008533B0">
        <w:rPr>
          <w:rFonts w:ascii="Arial" w:hAnsi="Arial" w:cs="Arial"/>
          <w:sz w:val="20"/>
          <w:szCs w:val="20"/>
          <w:lang w:val="en-US"/>
        </w:rPr>
        <w:t>) which are 23.6:1 (roots), 18.07:1 (stems) and 18.12:1 (leaves)</w:t>
      </w:r>
      <w:r w:rsidR="00180ABE" w:rsidRPr="008533B0">
        <w:rPr>
          <w:rFonts w:ascii="Arial" w:hAnsi="Arial" w:cs="Arial"/>
          <w:sz w:val="20"/>
          <w:szCs w:val="20"/>
          <w:lang w:val="en-US"/>
        </w:rPr>
        <w:t>, suggest that the consumption of the different parts of this plant can have a beneficial effect on high blood pressure.</w:t>
      </w:r>
    </w:p>
    <w:p w14:paraId="39DF6299" w14:textId="34455B91" w:rsidR="00BB6DB5" w:rsidRPr="008533B0" w:rsidRDefault="00B578A3" w:rsidP="008533B0">
      <w:pPr>
        <w:spacing w:line="240" w:lineRule="auto"/>
        <w:rPr>
          <w:rFonts w:ascii="Arial" w:hAnsi="Arial" w:cs="Arial"/>
          <w:sz w:val="20"/>
          <w:szCs w:val="20"/>
          <w:lang w:val="en-US"/>
        </w:rPr>
      </w:pPr>
      <w:bookmarkStart w:id="1" w:name="_Hlk195797072"/>
      <w:r w:rsidRPr="008533B0">
        <w:rPr>
          <w:rFonts w:ascii="Arial" w:hAnsi="Arial" w:cs="Arial"/>
          <w:sz w:val="20"/>
          <w:szCs w:val="20"/>
          <w:lang w:val="en-US"/>
        </w:rPr>
        <w:t xml:space="preserve">The </w:t>
      </w:r>
      <w:r w:rsidR="001C79DB" w:rsidRPr="008533B0">
        <w:rPr>
          <w:rFonts w:ascii="Arial" w:hAnsi="Arial" w:cs="Arial"/>
          <w:sz w:val="20"/>
          <w:szCs w:val="20"/>
          <w:lang w:val="en-US"/>
        </w:rPr>
        <w:t>Ca</w:t>
      </w:r>
      <w:r w:rsidRPr="008533B0">
        <w:rPr>
          <w:rFonts w:ascii="Arial" w:hAnsi="Arial" w:cs="Arial"/>
          <w:sz w:val="20"/>
          <w:szCs w:val="20"/>
          <w:lang w:val="en-US"/>
        </w:rPr>
        <w:t xml:space="preserve"> concentrations </w:t>
      </w:r>
      <w:r w:rsidR="000B32EC" w:rsidRPr="008533B0">
        <w:rPr>
          <w:rFonts w:ascii="Arial" w:hAnsi="Arial" w:cs="Arial"/>
          <w:sz w:val="20"/>
          <w:szCs w:val="20"/>
          <w:lang w:val="en-US"/>
        </w:rPr>
        <w:t>in</w:t>
      </w:r>
      <w:r w:rsidRPr="008533B0">
        <w:rPr>
          <w:rFonts w:ascii="Arial" w:hAnsi="Arial" w:cs="Arial"/>
          <w:sz w:val="20"/>
          <w:szCs w:val="20"/>
          <w:lang w:val="en-US"/>
        </w:rPr>
        <w:t xml:space="preserve"> the </w:t>
      </w:r>
      <w:r w:rsidR="00900CA6" w:rsidRPr="008533B0">
        <w:rPr>
          <w:rFonts w:ascii="Arial" w:hAnsi="Arial" w:cs="Arial"/>
          <w:sz w:val="20"/>
          <w:szCs w:val="20"/>
          <w:lang w:val="en-US"/>
        </w:rPr>
        <w:t xml:space="preserve">roots (11530 mg/Kg) </w:t>
      </w:r>
      <w:r w:rsidR="00A92765" w:rsidRPr="008533B0">
        <w:rPr>
          <w:rFonts w:ascii="Arial" w:hAnsi="Arial" w:cs="Arial"/>
          <w:sz w:val="20"/>
          <w:szCs w:val="20"/>
          <w:lang w:val="en-US"/>
        </w:rPr>
        <w:t xml:space="preserve">is higher than the calcium concentrations </w:t>
      </w:r>
      <w:r w:rsidR="000B32EC" w:rsidRPr="008533B0">
        <w:rPr>
          <w:rFonts w:ascii="Arial" w:hAnsi="Arial" w:cs="Arial"/>
          <w:sz w:val="20"/>
          <w:szCs w:val="20"/>
          <w:lang w:val="en-US"/>
        </w:rPr>
        <w:t>in</w:t>
      </w:r>
      <w:r w:rsidR="00A92765" w:rsidRPr="008533B0">
        <w:rPr>
          <w:rFonts w:ascii="Arial" w:hAnsi="Arial" w:cs="Arial"/>
          <w:sz w:val="20"/>
          <w:szCs w:val="20"/>
          <w:lang w:val="en-US"/>
        </w:rPr>
        <w:t xml:space="preserve"> the stems</w:t>
      </w:r>
      <w:r w:rsidR="000B32EC" w:rsidRPr="008533B0">
        <w:rPr>
          <w:rFonts w:ascii="Arial" w:hAnsi="Arial" w:cs="Arial"/>
          <w:sz w:val="20"/>
          <w:szCs w:val="20"/>
          <w:lang w:val="en-US"/>
        </w:rPr>
        <w:t xml:space="preserve"> (4596.1</w:t>
      </w:r>
      <w:r w:rsidR="00E766B7" w:rsidRPr="008533B0">
        <w:rPr>
          <w:rFonts w:ascii="Arial" w:hAnsi="Arial" w:cs="Arial"/>
          <w:sz w:val="20"/>
          <w:szCs w:val="20"/>
          <w:lang w:val="en-US"/>
        </w:rPr>
        <w:t xml:space="preserve"> </w:t>
      </w:r>
      <w:r w:rsidR="000B32EC" w:rsidRPr="008533B0">
        <w:rPr>
          <w:rFonts w:ascii="Arial" w:hAnsi="Arial" w:cs="Arial"/>
          <w:sz w:val="20"/>
          <w:szCs w:val="20"/>
          <w:lang w:val="en-US"/>
        </w:rPr>
        <w:t>mg/Kg)</w:t>
      </w:r>
      <w:r w:rsidR="00A92765" w:rsidRPr="008533B0">
        <w:rPr>
          <w:rFonts w:ascii="Arial" w:hAnsi="Arial" w:cs="Arial"/>
          <w:sz w:val="20"/>
          <w:szCs w:val="20"/>
          <w:lang w:val="en-US"/>
        </w:rPr>
        <w:t xml:space="preserve"> and the leaves (</w:t>
      </w:r>
      <w:r w:rsidR="000B32EC" w:rsidRPr="008533B0">
        <w:rPr>
          <w:rFonts w:ascii="Arial" w:hAnsi="Arial" w:cs="Arial"/>
          <w:sz w:val="20"/>
          <w:szCs w:val="20"/>
          <w:lang w:val="en-US"/>
        </w:rPr>
        <w:t>2136.8 mg/Kg</w:t>
      </w:r>
      <w:r w:rsidR="00A92765" w:rsidRPr="008533B0">
        <w:rPr>
          <w:rFonts w:ascii="Arial" w:hAnsi="Arial" w:cs="Arial"/>
          <w:sz w:val="20"/>
          <w:szCs w:val="20"/>
          <w:lang w:val="en-US"/>
        </w:rPr>
        <w:t>)</w:t>
      </w:r>
      <w:r w:rsidR="000B32EC" w:rsidRPr="008533B0">
        <w:rPr>
          <w:rFonts w:ascii="Arial" w:hAnsi="Arial" w:cs="Arial"/>
          <w:sz w:val="20"/>
          <w:szCs w:val="20"/>
          <w:lang w:val="en-US"/>
        </w:rPr>
        <w:t xml:space="preserve">. </w:t>
      </w:r>
      <w:r w:rsidR="001C79DB" w:rsidRPr="008533B0">
        <w:rPr>
          <w:rFonts w:ascii="Arial" w:hAnsi="Arial" w:cs="Arial"/>
          <w:sz w:val="20"/>
          <w:szCs w:val="20"/>
          <w:lang w:val="en-US"/>
        </w:rPr>
        <w:t>The Mg concentrations in the roots (1</w:t>
      </w:r>
      <w:r w:rsidR="00C145FE" w:rsidRPr="008533B0">
        <w:rPr>
          <w:rFonts w:ascii="Arial" w:hAnsi="Arial" w:cs="Arial"/>
          <w:sz w:val="20"/>
          <w:szCs w:val="20"/>
          <w:lang w:val="en-US"/>
        </w:rPr>
        <w:t>824.1</w:t>
      </w:r>
      <w:r w:rsidR="001C79DB" w:rsidRPr="008533B0">
        <w:rPr>
          <w:rFonts w:ascii="Arial" w:hAnsi="Arial" w:cs="Arial"/>
          <w:sz w:val="20"/>
          <w:szCs w:val="20"/>
          <w:lang w:val="en-US"/>
        </w:rPr>
        <w:t xml:space="preserve"> mg/Kg) is </w:t>
      </w:r>
      <w:r w:rsidR="00C145FE" w:rsidRPr="008533B0">
        <w:rPr>
          <w:rFonts w:ascii="Arial" w:hAnsi="Arial" w:cs="Arial"/>
          <w:sz w:val="20"/>
          <w:szCs w:val="20"/>
          <w:lang w:val="en-US"/>
        </w:rPr>
        <w:t>low</w:t>
      </w:r>
      <w:r w:rsidR="001C79DB" w:rsidRPr="008533B0">
        <w:rPr>
          <w:rFonts w:ascii="Arial" w:hAnsi="Arial" w:cs="Arial"/>
          <w:sz w:val="20"/>
          <w:szCs w:val="20"/>
          <w:lang w:val="en-US"/>
        </w:rPr>
        <w:t xml:space="preserve">er than the </w:t>
      </w:r>
      <w:r w:rsidR="002F3D8A" w:rsidRPr="008533B0">
        <w:rPr>
          <w:rFonts w:ascii="Arial" w:hAnsi="Arial" w:cs="Arial"/>
          <w:sz w:val="20"/>
          <w:szCs w:val="20"/>
          <w:lang w:val="en-US"/>
        </w:rPr>
        <w:t>magn</w:t>
      </w:r>
      <w:r w:rsidR="00AC763C" w:rsidRPr="008533B0">
        <w:rPr>
          <w:rFonts w:ascii="Arial" w:hAnsi="Arial" w:cs="Arial"/>
          <w:sz w:val="20"/>
          <w:szCs w:val="20"/>
          <w:lang w:val="en-US"/>
        </w:rPr>
        <w:t>es</w:t>
      </w:r>
      <w:r w:rsidR="001C79DB" w:rsidRPr="008533B0">
        <w:rPr>
          <w:rFonts w:ascii="Arial" w:hAnsi="Arial" w:cs="Arial"/>
          <w:sz w:val="20"/>
          <w:szCs w:val="20"/>
          <w:lang w:val="en-US"/>
        </w:rPr>
        <w:t>ium concentrations in the stems (</w:t>
      </w:r>
      <w:r w:rsidR="00C145FE" w:rsidRPr="008533B0">
        <w:rPr>
          <w:rFonts w:ascii="Arial" w:hAnsi="Arial" w:cs="Arial"/>
          <w:sz w:val="20"/>
          <w:szCs w:val="20"/>
          <w:lang w:val="en-US"/>
        </w:rPr>
        <w:t>27</w:t>
      </w:r>
      <w:r w:rsidR="00E766B7" w:rsidRPr="008533B0">
        <w:rPr>
          <w:rFonts w:ascii="Arial" w:hAnsi="Arial" w:cs="Arial"/>
          <w:sz w:val="20"/>
          <w:szCs w:val="20"/>
          <w:lang w:val="en-US"/>
        </w:rPr>
        <w:t xml:space="preserve">46.6 </w:t>
      </w:r>
      <w:r w:rsidR="001C79DB" w:rsidRPr="008533B0">
        <w:rPr>
          <w:rFonts w:ascii="Arial" w:hAnsi="Arial" w:cs="Arial"/>
          <w:sz w:val="20"/>
          <w:szCs w:val="20"/>
          <w:lang w:val="en-US"/>
        </w:rPr>
        <w:t>mg/Kg) and the leaves (</w:t>
      </w:r>
      <w:r w:rsidR="00E766B7" w:rsidRPr="008533B0">
        <w:rPr>
          <w:rFonts w:ascii="Arial" w:hAnsi="Arial" w:cs="Arial"/>
          <w:sz w:val="20"/>
          <w:szCs w:val="20"/>
          <w:lang w:val="en-US"/>
        </w:rPr>
        <w:t>6074.3</w:t>
      </w:r>
      <w:r w:rsidR="001C79DB" w:rsidRPr="008533B0">
        <w:rPr>
          <w:rFonts w:ascii="Arial" w:hAnsi="Arial" w:cs="Arial"/>
          <w:sz w:val="20"/>
          <w:szCs w:val="20"/>
          <w:lang w:val="en-US"/>
        </w:rPr>
        <w:t xml:space="preserve"> mg/Kg).</w:t>
      </w:r>
      <w:r w:rsidR="00F560B4" w:rsidRPr="008533B0">
        <w:rPr>
          <w:rFonts w:ascii="Arial" w:hAnsi="Arial" w:cs="Arial"/>
          <w:sz w:val="20"/>
          <w:szCs w:val="20"/>
          <w:lang w:val="en-US"/>
        </w:rPr>
        <w:t xml:space="preserve"> </w:t>
      </w:r>
      <w:r w:rsidR="00CB1542" w:rsidRPr="008533B0">
        <w:rPr>
          <w:rFonts w:ascii="Arial" w:hAnsi="Arial" w:cs="Arial"/>
          <w:sz w:val="20"/>
          <w:szCs w:val="20"/>
          <w:lang w:val="en-US"/>
        </w:rPr>
        <w:t>The Ca and Mg concentrations are lo</w:t>
      </w:r>
      <w:r w:rsidR="00907231" w:rsidRPr="008533B0">
        <w:rPr>
          <w:rFonts w:ascii="Arial" w:hAnsi="Arial" w:cs="Arial"/>
          <w:sz w:val="20"/>
          <w:szCs w:val="20"/>
          <w:lang w:val="en-US"/>
        </w:rPr>
        <w:t xml:space="preserve">wer than </w:t>
      </w:r>
      <w:r w:rsidR="00264656" w:rsidRPr="008533B0">
        <w:rPr>
          <w:rFonts w:ascii="Arial" w:hAnsi="Arial" w:cs="Arial"/>
          <w:sz w:val="20"/>
          <w:szCs w:val="20"/>
          <w:lang w:val="en-US"/>
        </w:rPr>
        <w:t>there</w:t>
      </w:r>
      <w:r w:rsidR="00907231" w:rsidRPr="008533B0">
        <w:rPr>
          <w:rFonts w:ascii="Arial" w:hAnsi="Arial" w:cs="Arial"/>
          <w:sz w:val="20"/>
          <w:szCs w:val="20"/>
          <w:lang w:val="en-US"/>
        </w:rPr>
        <w:t xml:space="preserve"> reported for </w:t>
      </w:r>
      <w:proofErr w:type="spellStart"/>
      <w:r w:rsidR="00CB1542" w:rsidRPr="008533B0">
        <w:rPr>
          <w:rFonts w:ascii="Arial" w:hAnsi="Arial" w:cs="Arial"/>
          <w:i/>
          <w:iCs/>
          <w:sz w:val="20"/>
          <w:szCs w:val="20"/>
        </w:rPr>
        <w:t>Urticae</w:t>
      </w:r>
      <w:proofErr w:type="spellEnd"/>
      <w:r w:rsidR="00CB1542" w:rsidRPr="008533B0">
        <w:rPr>
          <w:rFonts w:ascii="Arial" w:hAnsi="Arial" w:cs="Arial"/>
          <w:i/>
          <w:iCs/>
          <w:sz w:val="20"/>
          <w:szCs w:val="20"/>
        </w:rPr>
        <w:t xml:space="preserve"> folium</w:t>
      </w:r>
      <w:r w:rsidR="00907231" w:rsidRPr="008533B0">
        <w:rPr>
          <w:rFonts w:ascii="Arial" w:hAnsi="Arial" w:cs="Arial"/>
          <w:sz w:val="20"/>
          <w:szCs w:val="20"/>
        </w:rPr>
        <w:t xml:space="preserve"> medicinal plant </w:t>
      </w:r>
      <w:r w:rsidR="00802CCB" w:rsidRPr="008533B0">
        <w:rPr>
          <w:rFonts w:ascii="Arial" w:hAnsi="Arial" w:cs="Arial"/>
          <w:sz w:val="20"/>
          <w:szCs w:val="20"/>
        </w:rPr>
        <w:t xml:space="preserve">which shows Ca and concentrations </w:t>
      </w:r>
      <w:r w:rsidR="0046525F" w:rsidRPr="008533B0">
        <w:rPr>
          <w:rFonts w:ascii="Arial" w:hAnsi="Arial" w:cs="Arial"/>
          <w:sz w:val="20"/>
          <w:szCs w:val="20"/>
        </w:rPr>
        <w:t xml:space="preserve">of </w:t>
      </w:r>
      <w:r w:rsidR="007A1BFF" w:rsidRPr="008533B0">
        <w:rPr>
          <w:rFonts w:ascii="Arial" w:hAnsi="Arial" w:cs="Arial"/>
          <w:sz w:val="20"/>
          <w:szCs w:val="20"/>
        </w:rPr>
        <w:t>41210 mg/Kg and 6275 mg/</w:t>
      </w:r>
      <w:r w:rsidR="0046525F" w:rsidRPr="008533B0">
        <w:rPr>
          <w:rFonts w:ascii="Arial" w:hAnsi="Arial" w:cs="Arial"/>
          <w:sz w:val="20"/>
          <w:szCs w:val="20"/>
        </w:rPr>
        <w:t>K</w:t>
      </w:r>
      <w:r w:rsidR="007A1BFF" w:rsidRPr="008533B0">
        <w:rPr>
          <w:rFonts w:ascii="Arial" w:hAnsi="Arial" w:cs="Arial"/>
          <w:sz w:val="20"/>
          <w:szCs w:val="20"/>
        </w:rPr>
        <w:t>g</w:t>
      </w:r>
      <w:r w:rsidR="0046525F" w:rsidRPr="008533B0">
        <w:rPr>
          <w:rFonts w:ascii="Arial" w:hAnsi="Arial" w:cs="Arial"/>
          <w:sz w:val="20"/>
          <w:szCs w:val="20"/>
        </w:rPr>
        <w:t xml:space="preserve">, respectively </w:t>
      </w:r>
      <w:r w:rsidR="00E56670" w:rsidRPr="008533B0">
        <w:rPr>
          <w:rFonts w:ascii="Arial" w:hAnsi="Arial" w:cs="Arial"/>
          <w:sz w:val="20"/>
          <w:szCs w:val="20"/>
          <w:lang w:val="en-US"/>
        </w:rPr>
        <w:t>[</w:t>
      </w:r>
      <w:r w:rsidR="00590A84" w:rsidRPr="008533B0">
        <w:rPr>
          <w:rFonts w:ascii="Arial" w:hAnsi="Arial" w:cs="Arial"/>
          <w:sz w:val="20"/>
          <w:szCs w:val="20"/>
          <w:lang w:val="en-US"/>
        </w:rPr>
        <w:t>36</w:t>
      </w:r>
      <w:r w:rsidR="00E56670" w:rsidRPr="008533B0">
        <w:rPr>
          <w:rFonts w:ascii="Arial" w:hAnsi="Arial" w:cs="Arial"/>
          <w:sz w:val="20"/>
          <w:szCs w:val="20"/>
          <w:lang w:val="en-US"/>
        </w:rPr>
        <w:t>]</w:t>
      </w:r>
      <w:r w:rsidR="0046525F" w:rsidRPr="008533B0">
        <w:rPr>
          <w:rFonts w:ascii="Arial" w:hAnsi="Arial" w:cs="Arial"/>
          <w:sz w:val="20"/>
          <w:szCs w:val="20"/>
        </w:rPr>
        <w:t>.</w:t>
      </w:r>
      <w:r w:rsidR="0097632B" w:rsidRPr="008533B0">
        <w:rPr>
          <w:rFonts w:ascii="Arial" w:hAnsi="Arial" w:cs="Arial"/>
          <w:sz w:val="20"/>
          <w:szCs w:val="20"/>
        </w:rPr>
        <w:t xml:space="preserve"> </w:t>
      </w:r>
      <w:r w:rsidR="00F560B4" w:rsidRPr="008533B0">
        <w:rPr>
          <w:rFonts w:ascii="Arial" w:hAnsi="Arial" w:cs="Arial"/>
          <w:sz w:val="20"/>
          <w:szCs w:val="20"/>
          <w:lang w:val="en-US"/>
        </w:rPr>
        <w:t xml:space="preserve">The calcium and magnesium levels in different parts of the plant can contribute significantly to ensuring the necessary daily intake of these two micronutrients, which are essential for the development and maintenance of normal bones and teeth, normal muscle function, and energy and cellular metabolism. A Ca/Mg ratio of between 2 and 1 is recommended for a good balance. The Ca/Mg ratios are outside the recommended value for the roots (6.32) and leaves (0.35). These two parts of the plant are not suitable for human consumption. The stems have a Ca/Mg ratio of 1.67, which is within the recommended range for this ratio, suggesting that the consumer can use </w:t>
      </w:r>
      <w:proofErr w:type="spellStart"/>
      <w:r w:rsidR="00F560B4" w:rsidRPr="008533B0">
        <w:rPr>
          <w:rFonts w:ascii="Arial" w:hAnsi="Arial" w:cs="Arial"/>
          <w:i/>
          <w:iCs/>
          <w:sz w:val="20"/>
          <w:szCs w:val="20"/>
          <w:lang w:val="en-US"/>
        </w:rPr>
        <w:t>Stylochaeton</w:t>
      </w:r>
      <w:proofErr w:type="spellEnd"/>
      <w:r w:rsidR="00F560B4" w:rsidRPr="008533B0">
        <w:rPr>
          <w:rFonts w:ascii="Arial" w:hAnsi="Arial" w:cs="Arial"/>
          <w:i/>
          <w:iCs/>
          <w:sz w:val="20"/>
          <w:szCs w:val="20"/>
          <w:lang w:val="en-US"/>
        </w:rPr>
        <w:t xml:space="preserve"> </w:t>
      </w:r>
      <w:proofErr w:type="spellStart"/>
      <w:r w:rsidR="00F560B4" w:rsidRPr="008533B0">
        <w:rPr>
          <w:rFonts w:ascii="Arial" w:hAnsi="Arial" w:cs="Arial"/>
          <w:i/>
          <w:iCs/>
          <w:sz w:val="20"/>
          <w:szCs w:val="20"/>
          <w:lang w:val="en-US"/>
        </w:rPr>
        <w:t>hypogaeus</w:t>
      </w:r>
      <w:proofErr w:type="spellEnd"/>
      <w:r w:rsidR="00F560B4" w:rsidRPr="008533B0">
        <w:rPr>
          <w:rFonts w:ascii="Arial" w:hAnsi="Arial" w:cs="Arial"/>
          <w:sz w:val="20"/>
          <w:szCs w:val="20"/>
          <w:lang w:val="en-US"/>
        </w:rPr>
        <w:t xml:space="preserve"> stem preparations without risk.</w:t>
      </w:r>
    </w:p>
    <w:p w14:paraId="0814CC5F" w14:textId="77777777" w:rsidR="00B13B59" w:rsidRPr="008533B0" w:rsidRDefault="00B13B59" w:rsidP="008533B0">
      <w:pPr>
        <w:spacing w:line="240" w:lineRule="auto"/>
        <w:rPr>
          <w:rFonts w:ascii="Arial" w:hAnsi="Arial" w:cs="Arial"/>
          <w:sz w:val="20"/>
          <w:szCs w:val="20"/>
          <w:lang w:val="en-US"/>
        </w:rPr>
      </w:pPr>
    </w:p>
    <w:p w14:paraId="3EA0F236" w14:textId="59C32A86" w:rsidR="00BB6DB5" w:rsidRPr="008533B0" w:rsidRDefault="00BB7B16"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Cr concentrations </w:t>
      </w:r>
      <w:r w:rsidR="003D622C" w:rsidRPr="008533B0">
        <w:rPr>
          <w:rFonts w:ascii="Arial" w:hAnsi="Arial" w:cs="Arial"/>
          <w:sz w:val="20"/>
          <w:szCs w:val="20"/>
          <w:lang w:val="en-US"/>
        </w:rPr>
        <w:t>ranged</w:t>
      </w:r>
      <w:r w:rsidR="009D0EDE" w:rsidRPr="008533B0">
        <w:rPr>
          <w:rFonts w:ascii="Arial" w:hAnsi="Arial" w:cs="Arial"/>
          <w:sz w:val="20"/>
          <w:szCs w:val="20"/>
          <w:lang w:val="en-US"/>
        </w:rPr>
        <w:t xml:space="preserve"> from 0.1 to 4.6 mg</w:t>
      </w:r>
      <w:r w:rsidR="00964140" w:rsidRPr="008533B0">
        <w:rPr>
          <w:rFonts w:ascii="Arial" w:hAnsi="Arial" w:cs="Arial"/>
          <w:sz w:val="20"/>
          <w:szCs w:val="20"/>
          <w:lang w:val="en-US"/>
        </w:rPr>
        <w:t xml:space="preserve">/Kg. The roots </w:t>
      </w:r>
      <w:r w:rsidR="00385980" w:rsidRPr="008533B0">
        <w:rPr>
          <w:rFonts w:ascii="Arial" w:hAnsi="Arial" w:cs="Arial"/>
          <w:sz w:val="20"/>
          <w:szCs w:val="20"/>
          <w:lang w:val="en-US"/>
        </w:rPr>
        <w:t>contained the highest values of 4.6 mg/Kg of chromium</w:t>
      </w:r>
      <w:r w:rsidR="003D622C" w:rsidRPr="008533B0">
        <w:rPr>
          <w:rFonts w:ascii="Arial" w:hAnsi="Arial" w:cs="Arial"/>
          <w:sz w:val="20"/>
          <w:szCs w:val="20"/>
          <w:lang w:val="en-US"/>
        </w:rPr>
        <w:t xml:space="preserve">. </w:t>
      </w:r>
      <w:r w:rsidRPr="008533B0">
        <w:rPr>
          <w:rFonts w:ascii="Arial" w:hAnsi="Arial" w:cs="Arial"/>
          <w:sz w:val="20"/>
          <w:szCs w:val="20"/>
          <w:lang w:val="en-US"/>
        </w:rPr>
        <w:t xml:space="preserve"> </w:t>
      </w:r>
      <w:r w:rsidR="00B84235" w:rsidRPr="008533B0">
        <w:rPr>
          <w:rFonts w:ascii="Arial" w:hAnsi="Arial" w:cs="Arial"/>
          <w:sz w:val="20"/>
          <w:szCs w:val="20"/>
          <w:lang w:val="en-US"/>
        </w:rPr>
        <w:t xml:space="preserve">Chromium is a micronutrient necessary for the proper functioning of the body at low concentrations below 0.03 mg/kg. Its bio accumulation can lead to dysfunctions and lead to chronic hypoglycemia, cardiovascular problems or </w:t>
      </w:r>
      <w:r w:rsidR="00A91E2E" w:rsidRPr="008533B0">
        <w:rPr>
          <w:rFonts w:ascii="Arial" w:hAnsi="Arial" w:cs="Arial"/>
          <w:sz w:val="20"/>
          <w:szCs w:val="20"/>
          <w:lang w:val="en-US"/>
        </w:rPr>
        <w:t>alimentary</w:t>
      </w:r>
      <w:r w:rsidR="00B84235" w:rsidRPr="008533B0">
        <w:rPr>
          <w:rFonts w:ascii="Arial" w:hAnsi="Arial" w:cs="Arial"/>
          <w:sz w:val="20"/>
          <w:szCs w:val="20"/>
          <w:lang w:val="en-US"/>
        </w:rPr>
        <w:t xml:space="preserve"> disorders</w:t>
      </w:r>
      <w:r w:rsidR="00717878" w:rsidRPr="008533B0">
        <w:rPr>
          <w:rFonts w:ascii="Arial" w:hAnsi="Arial" w:cs="Arial"/>
          <w:sz w:val="20"/>
          <w:szCs w:val="20"/>
          <w:lang w:val="en-US"/>
        </w:rPr>
        <w:t xml:space="preserve">, </w:t>
      </w:r>
      <w:r w:rsidR="00433729" w:rsidRPr="008533B0">
        <w:rPr>
          <w:rFonts w:ascii="Arial" w:hAnsi="Arial" w:cs="Arial"/>
          <w:sz w:val="20"/>
          <w:szCs w:val="20"/>
          <w:lang w:val="en-US"/>
        </w:rPr>
        <w:t>dermatitis</w:t>
      </w:r>
      <w:r w:rsidR="00717878" w:rsidRPr="008533B0">
        <w:rPr>
          <w:rFonts w:ascii="Arial" w:hAnsi="Arial" w:cs="Arial"/>
          <w:sz w:val="20"/>
          <w:szCs w:val="20"/>
          <w:lang w:val="en-US"/>
        </w:rPr>
        <w:t xml:space="preserve">, </w:t>
      </w:r>
      <w:r w:rsidR="00B608A7" w:rsidRPr="008533B0">
        <w:rPr>
          <w:rFonts w:ascii="Arial" w:hAnsi="Arial" w:cs="Arial"/>
          <w:sz w:val="20"/>
          <w:szCs w:val="20"/>
          <w:lang w:val="en-US"/>
        </w:rPr>
        <w:t>lung cancer</w:t>
      </w:r>
      <w:r w:rsidR="00433729" w:rsidRPr="008533B0">
        <w:rPr>
          <w:rFonts w:ascii="Arial" w:hAnsi="Arial" w:cs="Arial"/>
          <w:sz w:val="20"/>
          <w:szCs w:val="20"/>
          <w:lang w:val="en-US"/>
        </w:rPr>
        <w:t xml:space="preserve"> and </w:t>
      </w:r>
      <w:r w:rsidR="00B608A7" w:rsidRPr="008533B0">
        <w:rPr>
          <w:rFonts w:ascii="Arial" w:hAnsi="Arial" w:cs="Arial"/>
          <w:sz w:val="20"/>
          <w:szCs w:val="20"/>
          <w:lang w:val="en-US"/>
        </w:rPr>
        <w:t>per</w:t>
      </w:r>
      <w:r w:rsidR="00433729" w:rsidRPr="008533B0">
        <w:rPr>
          <w:rFonts w:ascii="Arial" w:hAnsi="Arial" w:cs="Arial"/>
          <w:sz w:val="20"/>
          <w:szCs w:val="20"/>
          <w:lang w:val="en-US"/>
        </w:rPr>
        <w:t>m</w:t>
      </w:r>
      <w:r w:rsidR="00B608A7" w:rsidRPr="008533B0">
        <w:rPr>
          <w:rFonts w:ascii="Arial" w:hAnsi="Arial" w:cs="Arial"/>
          <w:sz w:val="20"/>
          <w:szCs w:val="20"/>
          <w:lang w:val="en-US"/>
        </w:rPr>
        <w:t>ane</w:t>
      </w:r>
      <w:r w:rsidR="00433729" w:rsidRPr="008533B0">
        <w:rPr>
          <w:rFonts w:ascii="Arial" w:hAnsi="Arial" w:cs="Arial"/>
          <w:sz w:val="20"/>
          <w:szCs w:val="20"/>
          <w:lang w:val="en-US"/>
        </w:rPr>
        <w:t>n</w:t>
      </w:r>
      <w:r w:rsidR="00B608A7" w:rsidRPr="008533B0">
        <w:rPr>
          <w:rFonts w:ascii="Arial" w:hAnsi="Arial" w:cs="Arial"/>
          <w:sz w:val="20"/>
          <w:szCs w:val="20"/>
          <w:lang w:val="en-US"/>
        </w:rPr>
        <w:t>t nose damage</w:t>
      </w:r>
      <w:r w:rsidR="00590A84" w:rsidRPr="008533B0">
        <w:rPr>
          <w:rFonts w:ascii="Arial" w:hAnsi="Arial" w:cs="Arial"/>
          <w:sz w:val="20"/>
          <w:szCs w:val="20"/>
          <w:lang w:val="en-US"/>
        </w:rPr>
        <w:t xml:space="preserve"> [37, 38]</w:t>
      </w:r>
      <w:r w:rsidR="005C6D57" w:rsidRPr="008533B0">
        <w:rPr>
          <w:rFonts w:ascii="Arial" w:hAnsi="Arial" w:cs="Arial"/>
          <w:sz w:val="20"/>
          <w:szCs w:val="20"/>
          <w:lang w:val="en-US"/>
        </w:rPr>
        <w:t>.</w:t>
      </w:r>
      <w:r w:rsidR="00B84235" w:rsidRPr="008533B0">
        <w:rPr>
          <w:rFonts w:ascii="Arial" w:hAnsi="Arial" w:cs="Arial"/>
          <w:sz w:val="20"/>
          <w:szCs w:val="20"/>
          <w:lang w:val="en-US"/>
        </w:rPr>
        <w:t xml:space="preserve"> The permissible limit of chromium in plant raw materials is 2.0 ppm and that of finished products is 0.02 mg/day </w:t>
      </w:r>
      <w:r w:rsidR="00590A84" w:rsidRPr="008533B0">
        <w:rPr>
          <w:rFonts w:ascii="Arial" w:hAnsi="Arial" w:cs="Arial"/>
          <w:sz w:val="20"/>
          <w:szCs w:val="20"/>
          <w:lang w:val="en-US"/>
        </w:rPr>
        <w:t>[39</w:t>
      </w:r>
      <w:r w:rsidR="00B84235" w:rsidRPr="008533B0">
        <w:rPr>
          <w:rFonts w:ascii="Arial" w:hAnsi="Arial" w:cs="Arial"/>
          <w:strike/>
          <w:sz w:val="20"/>
          <w:szCs w:val="20"/>
        </w:rPr>
        <w:t>]</w:t>
      </w:r>
      <w:r w:rsidR="00B84235" w:rsidRPr="008533B0">
        <w:rPr>
          <w:rFonts w:ascii="Arial" w:hAnsi="Arial" w:cs="Arial"/>
          <w:sz w:val="20"/>
          <w:szCs w:val="20"/>
          <w:lang w:val="en-US"/>
        </w:rPr>
        <w:t>. Our results show that Cr levels are higher than the reference values ​​defined by the WHO, for all organs of the plant studied.</w:t>
      </w:r>
    </w:p>
    <w:p w14:paraId="3640FB72" w14:textId="77777777" w:rsidR="00B13B59" w:rsidRPr="008533B0" w:rsidRDefault="00B13B59" w:rsidP="008533B0">
      <w:pPr>
        <w:spacing w:line="240" w:lineRule="auto"/>
        <w:rPr>
          <w:rFonts w:ascii="Arial" w:hAnsi="Arial" w:cs="Arial"/>
          <w:b/>
          <w:bCs/>
          <w:sz w:val="20"/>
          <w:szCs w:val="20"/>
          <w:lang w:val="en-US"/>
        </w:rPr>
      </w:pPr>
    </w:p>
    <w:p w14:paraId="365887B9" w14:textId="000D9D8A" w:rsidR="006407D4" w:rsidRPr="008533B0" w:rsidRDefault="00B674B4" w:rsidP="008533B0">
      <w:pPr>
        <w:spacing w:line="240" w:lineRule="auto"/>
        <w:rPr>
          <w:rFonts w:ascii="Arial" w:hAnsi="Arial" w:cs="Arial"/>
          <w:sz w:val="20"/>
          <w:szCs w:val="20"/>
          <w:lang w:val="en-US"/>
        </w:rPr>
      </w:pPr>
      <w:r w:rsidRPr="008533B0">
        <w:rPr>
          <w:rFonts w:ascii="Arial" w:hAnsi="Arial" w:cs="Arial"/>
          <w:sz w:val="20"/>
          <w:szCs w:val="20"/>
          <w:lang w:val="en-US"/>
        </w:rPr>
        <w:t>Iron is a vital component of hemoglobin and also plays a fundamental role in the metabolism of living organisms</w:t>
      </w:r>
      <w:r w:rsidR="00590A84" w:rsidRPr="008533B0">
        <w:rPr>
          <w:rFonts w:ascii="Arial" w:hAnsi="Arial" w:cs="Arial"/>
          <w:sz w:val="20"/>
          <w:szCs w:val="20"/>
          <w:lang w:val="en-US"/>
        </w:rPr>
        <w:t xml:space="preserve"> [40, 41]</w:t>
      </w:r>
      <w:r w:rsidR="00820504" w:rsidRPr="008533B0">
        <w:rPr>
          <w:rFonts w:ascii="Arial" w:hAnsi="Arial" w:cs="Arial"/>
          <w:sz w:val="20"/>
          <w:szCs w:val="20"/>
          <w:lang w:val="en-US"/>
        </w:rPr>
        <w:t>.</w:t>
      </w:r>
      <w:r w:rsidR="00AF2A79" w:rsidRPr="008533B0">
        <w:rPr>
          <w:rFonts w:ascii="Arial" w:hAnsi="Arial" w:cs="Arial"/>
          <w:sz w:val="20"/>
          <w:szCs w:val="20"/>
          <w:lang w:val="en-US"/>
        </w:rPr>
        <w:t xml:space="preserve"> </w:t>
      </w:r>
      <w:r w:rsidRPr="008533B0">
        <w:rPr>
          <w:rFonts w:ascii="Arial" w:hAnsi="Arial" w:cs="Arial"/>
          <w:sz w:val="20"/>
          <w:szCs w:val="20"/>
          <w:lang w:val="en-US"/>
        </w:rPr>
        <w:t>The iron content permitted by WHO (2007) in edible plants is 15 mg/Kg</w:t>
      </w:r>
      <w:r w:rsidR="00CB0267" w:rsidRPr="008533B0">
        <w:rPr>
          <w:rFonts w:ascii="Arial" w:hAnsi="Arial" w:cs="Arial"/>
          <w:sz w:val="20"/>
          <w:szCs w:val="20"/>
          <w:lang w:val="en-US"/>
        </w:rPr>
        <w:t xml:space="preserve"> [39</w:t>
      </w:r>
      <w:r w:rsidR="00925FBB" w:rsidRPr="008533B0">
        <w:rPr>
          <w:rFonts w:ascii="Arial" w:hAnsi="Arial" w:cs="Arial"/>
          <w:sz w:val="20"/>
          <w:szCs w:val="20"/>
          <w:lang w:val="en-US"/>
        </w:rPr>
        <w:t>, 42, 43</w:t>
      </w:r>
      <w:r w:rsidR="00CB0267" w:rsidRPr="008533B0">
        <w:rPr>
          <w:rFonts w:ascii="Arial" w:hAnsi="Arial" w:cs="Arial"/>
          <w:sz w:val="20"/>
          <w:szCs w:val="20"/>
          <w:lang w:val="en-US"/>
        </w:rPr>
        <w:t>]</w:t>
      </w:r>
      <w:r w:rsidRPr="008533B0">
        <w:rPr>
          <w:rFonts w:ascii="Arial" w:hAnsi="Arial" w:cs="Arial"/>
          <w:sz w:val="20"/>
          <w:szCs w:val="20"/>
          <w:lang w:val="en-US"/>
        </w:rPr>
        <w:t xml:space="preserve">. Consumption of medicinal plants with high iron content can lead to iron accumulation in the human body and cause serious damage to the pancreas, heart, liver, or lungs </w:t>
      </w:r>
      <w:r w:rsidR="008D1BBC" w:rsidRPr="008533B0">
        <w:rPr>
          <w:rFonts w:ascii="Arial" w:hAnsi="Arial" w:cs="Arial"/>
          <w:sz w:val="20"/>
          <w:szCs w:val="20"/>
          <w:lang w:val="en-US"/>
        </w:rPr>
        <w:t>[44]</w:t>
      </w:r>
      <w:r w:rsidRPr="008533B0">
        <w:rPr>
          <w:rFonts w:ascii="Arial" w:hAnsi="Arial" w:cs="Arial"/>
          <w:sz w:val="20"/>
          <w:szCs w:val="20"/>
          <w:lang w:val="en-US"/>
        </w:rPr>
        <w:t>. The recommended dietary intake of iron for human consumption is 8 to 11 mg/day</w:t>
      </w:r>
      <w:r w:rsidR="008D1BBC" w:rsidRPr="008533B0">
        <w:rPr>
          <w:rFonts w:ascii="Arial" w:hAnsi="Arial" w:cs="Arial"/>
          <w:sz w:val="20"/>
          <w:szCs w:val="20"/>
          <w:lang w:val="en-US"/>
        </w:rPr>
        <w:t xml:space="preserve"> [45]</w:t>
      </w:r>
      <w:r w:rsidR="00453383" w:rsidRPr="008533B0">
        <w:rPr>
          <w:rFonts w:ascii="Arial" w:hAnsi="Arial" w:cs="Arial"/>
          <w:sz w:val="20"/>
          <w:szCs w:val="20"/>
          <w:lang w:val="en-US"/>
        </w:rPr>
        <w:t xml:space="preserve">. </w:t>
      </w:r>
      <w:r w:rsidRPr="008533B0">
        <w:rPr>
          <w:rFonts w:ascii="Arial" w:hAnsi="Arial" w:cs="Arial"/>
          <w:sz w:val="20"/>
          <w:szCs w:val="20"/>
          <w:lang w:val="en-US"/>
        </w:rPr>
        <w:t>Iron concentrations in the roots, stems, and leaves of this medicinal plant range from 96.8 to 345.3 mg/kg and are well above the WHO guideline values.</w:t>
      </w:r>
      <w:r w:rsidR="00684896" w:rsidRPr="008533B0">
        <w:rPr>
          <w:rFonts w:ascii="Arial" w:hAnsi="Arial" w:cs="Arial"/>
          <w:sz w:val="20"/>
          <w:szCs w:val="20"/>
          <w:lang w:val="en-US"/>
        </w:rPr>
        <w:t xml:space="preserve"> </w:t>
      </w:r>
      <w:r w:rsidRPr="008533B0">
        <w:rPr>
          <w:rFonts w:ascii="Arial" w:hAnsi="Arial" w:cs="Arial"/>
          <w:sz w:val="20"/>
          <w:szCs w:val="20"/>
          <w:lang w:val="en-US"/>
        </w:rPr>
        <w:t>These high levels of iron are found in medicinal plants such as</w:t>
      </w:r>
      <w:r w:rsidR="00684896" w:rsidRPr="008533B0">
        <w:rPr>
          <w:rFonts w:ascii="Arial" w:hAnsi="Arial" w:cs="Arial"/>
          <w:sz w:val="20"/>
          <w:szCs w:val="20"/>
          <w:lang w:val="en-US"/>
        </w:rPr>
        <w:t>:</w:t>
      </w:r>
      <w:r w:rsidRPr="008533B0">
        <w:rPr>
          <w:rFonts w:ascii="Arial" w:hAnsi="Arial" w:cs="Arial"/>
          <w:sz w:val="20"/>
          <w:szCs w:val="20"/>
          <w:lang w:val="en-US"/>
        </w:rPr>
        <w:t xml:space="preserve"> </w:t>
      </w:r>
      <w:r w:rsidRPr="008533B0">
        <w:rPr>
          <w:rFonts w:ascii="Arial" w:hAnsi="Arial" w:cs="Arial"/>
          <w:i/>
          <w:iCs/>
          <w:sz w:val="20"/>
          <w:szCs w:val="20"/>
          <w:lang w:val="en-US"/>
        </w:rPr>
        <w:t>T</w:t>
      </w:r>
      <w:r w:rsidRPr="008533B0">
        <w:rPr>
          <w:rFonts w:ascii="Arial" w:hAnsi="Arial" w:cs="Arial"/>
          <w:sz w:val="20"/>
          <w:szCs w:val="20"/>
          <w:lang w:val="en-US"/>
        </w:rPr>
        <w:t xml:space="preserve">. </w:t>
      </w:r>
      <w:proofErr w:type="spellStart"/>
      <w:r w:rsidRPr="008533B0">
        <w:rPr>
          <w:rFonts w:ascii="Arial" w:hAnsi="Arial" w:cs="Arial"/>
          <w:i/>
          <w:iCs/>
          <w:sz w:val="20"/>
          <w:szCs w:val="20"/>
          <w:lang w:val="en-US"/>
        </w:rPr>
        <w:t>heterophylla</w:t>
      </w:r>
      <w:proofErr w:type="spellEnd"/>
      <w:r w:rsidRPr="008533B0">
        <w:rPr>
          <w:rFonts w:ascii="Arial" w:hAnsi="Arial" w:cs="Arial"/>
          <w:sz w:val="20"/>
          <w:szCs w:val="20"/>
          <w:lang w:val="en-US"/>
        </w:rPr>
        <w:t xml:space="preserve"> (391 </w:t>
      </w:r>
      <w:r w:rsidR="002A2F78" w:rsidRPr="008533B0">
        <w:rPr>
          <w:rFonts w:ascii="Arial" w:hAnsi="Arial" w:cs="Arial"/>
          <w:sz w:val="20"/>
          <w:szCs w:val="20"/>
          <w:lang w:val="en-US"/>
        </w:rPr>
        <w:t>m</w:t>
      </w:r>
      <w:r w:rsidRPr="008533B0">
        <w:rPr>
          <w:rFonts w:ascii="Arial" w:hAnsi="Arial" w:cs="Arial"/>
          <w:sz w:val="20"/>
          <w:szCs w:val="20"/>
          <w:lang w:val="en-US"/>
        </w:rPr>
        <w:t xml:space="preserve">g/Kg), </w:t>
      </w:r>
      <w:r w:rsidRPr="008533B0">
        <w:rPr>
          <w:rFonts w:ascii="Arial" w:hAnsi="Arial" w:cs="Arial"/>
          <w:i/>
          <w:iCs/>
          <w:sz w:val="20"/>
          <w:szCs w:val="20"/>
          <w:lang w:val="en-US"/>
        </w:rPr>
        <w:t>R. vomitoria</w:t>
      </w:r>
      <w:r w:rsidRPr="008533B0">
        <w:rPr>
          <w:rFonts w:ascii="Arial" w:hAnsi="Arial" w:cs="Arial"/>
          <w:sz w:val="20"/>
          <w:szCs w:val="20"/>
          <w:lang w:val="en-US"/>
        </w:rPr>
        <w:t xml:space="preserve"> (574 mg/Kg), </w:t>
      </w:r>
      <w:r w:rsidRPr="008533B0">
        <w:rPr>
          <w:rFonts w:ascii="Arial" w:hAnsi="Arial" w:cs="Arial"/>
          <w:i/>
          <w:iCs/>
          <w:sz w:val="20"/>
          <w:szCs w:val="20"/>
          <w:lang w:val="en-US"/>
        </w:rPr>
        <w:t xml:space="preserve">C. </w:t>
      </w:r>
      <w:proofErr w:type="spellStart"/>
      <w:r w:rsidRPr="008533B0">
        <w:rPr>
          <w:rFonts w:ascii="Arial" w:hAnsi="Arial" w:cs="Arial"/>
          <w:i/>
          <w:iCs/>
          <w:sz w:val="20"/>
          <w:szCs w:val="20"/>
          <w:lang w:val="en-US"/>
        </w:rPr>
        <w:t>anisata</w:t>
      </w:r>
      <w:proofErr w:type="spellEnd"/>
      <w:r w:rsidRPr="008533B0">
        <w:rPr>
          <w:rFonts w:ascii="Arial" w:hAnsi="Arial" w:cs="Arial"/>
          <w:sz w:val="20"/>
          <w:szCs w:val="20"/>
          <w:lang w:val="en-US"/>
        </w:rPr>
        <w:t xml:space="preserve"> (639.5 mg/</w:t>
      </w:r>
      <w:r w:rsidR="002A2F78" w:rsidRPr="008533B0">
        <w:rPr>
          <w:rFonts w:ascii="Arial" w:hAnsi="Arial" w:cs="Arial"/>
          <w:sz w:val="20"/>
          <w:szCs w:val="20"/>
          <w:lang w:val="en-US"/>
        </w:rPr>
        <w:t>K</w:t>
      </w:r>
      <w:r w:rsidRPr="008533B0">
        <w:rPr>
          <w:rFonts w:ascii="Arial" w:hAnsi="Arial" w:cs="Arial"/>
          <w:sz w:val="20"/>
          <w:szCs w:val="20"/>
          <w:lang w:val="en-US"/>
        </w:rPr>
        <w:t xml:space="preserve">g), </w:t>
      </w:r>
      <w:r w:rsidRPr="008533B0">
        <w:rPr>
          <w:rFonts w:ascii="Arial" w:hAnsi="Arial" w:cs="Arial"/>
          <w:i/>
          <w:iCs/>
          <w:sz w:val="20"/>
          <w:szCs w:val="20"/>
          <w:lang w:val="en-US"/>
        </w:rPr>
        <w:t xml:space="preserve">G. </w:t>
      </w:r>
      <w:proofErr w:type="spellStart"/>
      <w:r w:rsidRPr="008533B0">
        <w:rPr>
          <w:rFonts w:ascii="Arial" w:hAnsi="Arial" w:cs="Arial"/>
          <w:i/>
          <w:iCs/>
          <w:sz w:val="20"/>
          <w:szCs w:val="20"/>
          <w:lang w:val="en-US"/>
        </w:rPr>
        <w:t>sylvestre</w:t>
      </w:r>
      <w:proofErr w:type="spellEnd"/>
      <w:r w:rsidRPr="008533B0">
        <w:rPr>
          <w:rFonts w:ascii="Arial" w:hAnsi="Arial" w:cs="Arial"/>
          <w:sz w:val="20"/>
          <w:szCs w:val="20"/>
          <w:lang w:val="en-US"/>
        </w:rPr>
        <w:t xml:space="preserve"> (105 mg/Kg)</w:t>
      </w:r>
      <w:r w:rsidR="00DA2A29" w:rsidRPr="008533B0">
        <w:rPr>
          <w:rFonts w:ascii="Arial" w:hAnsi="Arial" w:cs="Arial"/>
          <w:sz w:val="20"/>
          <w:szCs w:val="20"/>
          <w:lang w:val="en-US"/>
        </w:rPr>
        <w:t xml:space="preserve"> [46]</w:t>
      </w:r>
      <w:r w:rsidR="00E80EC6" w:rsidRPr="008533B0">
        <w:rPr>
          <w:rFonts w:ascii="Arial" w:hAnsi="Arial" w:cs="Arial"/>
          <w:sz w:val="20"/>
          <w:szCs w:val="20"/>
          <w:lang w:val="en-US"/>
        </w:rPr>
        <w:t>.</w:t>
      </w:r>
    </w:p>
    <w:p w14:paraId="1A8D2F3D" w14:textId="77777777" w:rsidR="00B674B4" w:rsidRPr="008533B0" w:rsidRDefault="00B674B4" w:rsidP="008533B0">
      <w:pPr>
        <w:spacing w:line="240" w:lineRule="auto"/>
        <w:rPr>
          <w:rFonts w:ascii="Arial" w:hAnsi="Arial" w:cs="Arial"/>
          <w:b/>
          <w:bCs/>
          <w:sz w:val="20"/>
          <w:szCs w:val="20"/>
          <w:lang w:val="en-US"/>
        </w:rPr>
      </w:pPr>
    </w:p>
    <w:p w14:paraId="16EEFFD8" w14:textId="613CAB78" w:rsidR="00EE52F7" w:rsidRPr="008533B0" w:rsidRDefault="00EE52F7" w:rsidP="008533B0">
      <w:pPr>
        <w:spacing w:line="240" w:lineRule="auto"/>
        <w:rPr>
          <w:rFonts w:ascii="Arial" w:hAnsi="Arial" w:cs="Arial"/>
          <w:b/>
          <w:bCs/>
          <w:sz w:val="20"/>
          <w:szCs w:val="20"/>
          <w:lang w:val="en-US"/>
        </w:rPr>
      </w:pPr>
      <w:r w:rsidRPr="008533B0">
        <w:rPr>
          <w:rFonts w:ascii="Arial" w:hAnsi="Arial" w:cs="Arial"/>
          <w:b/>
          <w:bCs/>
          <w:sz w:val="20"/>
          <w:szCs w:val="20"/>
          <w:lang w:val="en-US"/>
        </w:rPr>
        <w:t xml:space="preserve">Table </w:t>
      </w:r>
      <w:r w:rsidR="00B66510" w:rsidRPr="008533B0">
        <w:rPr>
          <w:rFonts w:ascii="Arial" w:hAnsi="Arial" w:cs="Arial"/>
          <w:b/>
          <w:bCs/>
          <w:sz w:val="20"/>
          <w:szCs w:val="20"/>
          <w:lang w:val="en-US"/>
        </w:rPr>
        <w:t>4</w:t>
      </w:r>
      <w:r w:rsidRPr="008533B0">
        <w:rPr>
          <w:rFonts w:ascii="Arial" w:hAnsi="Arial" w:cs="Arial"/>
          <w:b/>
          <w:bCs/>
          <w:sz w:val="20"/>
          <w:szCs w:val="20"/>
          <w:lang w:val="en-US"/>
        </w:rPr>
        <w:t>. Metal level in triplicate (mg/Kg) and Provisional Tolerable Weekly Intake (PTWI) values for metals</w:t>
      </w:r>
      <w:r w:rsidR="00E37E3D" w:rsidRPr="008533B0">
        <w:rPr>
          <w:rFonts w:ascii="Arial" w:hAnsi="Arial" w:cs="Arial"/>
          <w:b/>
          <w:bCs/>
          <w:sz w:val="20"/>
          <w:szCs w:val="20"/>
          <w:lang w:val="en-US"/>
        </w:rPr>
        <w:t xml:space="preserve"> </w:t>
      </w:r>
      <w:r w:rsidR="00E37E3D" w:rsidRPr="008533B0">
        <w:rPr>
          <w:rFonts w:ascii="Arial" w:hAnsi="Arial" w:cs="Arial"/>
          <w:sz w:val="20"/>
          <w:szCs w:val="20"/>
          <w:lang w:val="en-US"/>
        </w:rPr>
        <w:t>[47, 48]</w:t>
      </w:r>
      <w:r w:rsidRPr="008533B0">
        <w:rPr>
          <w:rFonts w:ascii="Arial" w:hAnsi="Arial" w:cs="Arial"/>
          <w:b/>
          <w:bCs/>
          <w:sz w:val="20"/>
          <w:szCs w:val="20"/>
          <w:lang w:val="en-US"/>
        </w:rPr>
        <w: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675"/>
        <w:gridCol w:w="1727"/>
        <w:gridCol w:w="1701"/>
        <w:gridCol w:w="2127"/>
        <w:gridCol w:w="1417"/>
      </w:tblGrid>
      <w:tr w:rsidR="007A44F5" w:rsidRPr="008533B0" w14:paraId="4DB3BEE8" w14:textId="77777777" w:rsidTr="00E36938">
        <w:trPr>
          <w:trHeight w:val="838"/>
        </w:trPr>
        <w:tc>
          <w:tcPr>
            <w:tcW w:w="1129" w:type="dxa"/>
            <w:tcBorders>
              <w:top w:val="single" w:sz="4" w:space="0" w:color="auto"/>
              <w:left w:val="single" w:sz="4" w:space="0" w:color="auto"/>
              <w:bottom w:val="single" w:sz="4" w:space="0" w:color="auto"/>
              <w:right w:val="single" w:sz="4" w:space="0" w:color="auto"/>
            </w:tcBorders>
            <w:vAlign w:val="center"/>
          </w:tcPr>
          <w:p w14:paraId="12000704" w14:textId="77777777" w:rsidR="007A44F5" w:rsidRPr="008533B0" w:rsidRDefault="007A44F5" w:rsidP="008533B0">
            <w:pPr>
              <w:jc w:val="center"/>
              <w:rPr>
                <w:rFonts w:ascii="Arial" w:hAnsi="Arial" w:cs="Arial"/>
                <w:sz w:val="20"/>
                <w:szCs w:val="20"/>
                <w:lang w:val="en-US"/>
              </w:rPr>
            </w:pPr>
            <w:bookmarkStart w:id="2" w:name="_Hlk196057481"/>
            <w:bookmarkEnd w:id="1"/>
            <w:r w:rsidRPr="008533B0">
              <w:rPr>
                <w:rFonts w:ascii="Arial" w:hAnsi="Arial" w:cs="Arial"/>
                <w:sz w:val="20"/>
                <w:szCs w:val="20"/>
                <w:lang w:val="en-US"/>
              </w:rPr>
              <w:t>Element (mg/Kg)</w:t>
            </w:r>
          </w:p>
        </w:tc>
        <w:tc>
          <w:tcPr>
            <w:tcW w:w="1675" w:type="dxa"/>
            <w:tcBorders>
              <w:top w:val="single" w:sz="4" w:space="0" w:color="auto"/>
              <w:left w:val="single" w:sz="4" w:space="0" w:color="auto"/>
              <w:bottom w:val="single" w:sz="4" w:space="0" w:color="auto"/>
              <w:right w:val="single" w:sz="4" w:space="0" w:color="auto"/>
            </w:tcBorders>
            <w:vAlign w:val="center"/>
          </w:tcPr>
          <w:p w14:paraId="2619CD11"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Roots</w:t>
            </w:r>
          </w:p>
        </w:tc>
        <w:tc>
          <w:tcPr>
            <w:tcW w:w="1727" w:type="dxa"/>
            <w:tcBorders>
              <w:top w:val="single" w:sz="4" w:space="0" w:color="auto"/>
              <w:left w:val="single" w:sz="4" w:space="0" w:color="auto"/>
              <w:bottom w:val="single" w:sz="4" w:space="0" w:color="auto"/>
              <w:right w:val="single" w:sz="4" w:space="0" w:color="auto"/>
            </w:tcBorders>
            <w:vAlign w:val="center"/>
          </w:tcPr>
          <w:p w14:paraId="46DCC9E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Stems</w:t>
            </w:r>
          </w:p>
        </w:tc>
        <w:tc>
          <w:tcPr>
            <w:tcW w:w="1701" w:type="dxa"/>
            <w:tcBorders>
              <w:top w:val="single" w:sz="4" w:space="0" w:color="auto"/>
              <w:left w:val="single" w:sz="4" w:space="0" w:color="auto"/>
              <w:bottom w:val="single" w:sz="4" w:space="0" w:color="auto"/>
              <w:right w:val="single" w:sz="4" w:space="0" w:color="auto"/>
            </w:tcBorders>
            <w:vAlign w:val="center"/>
          </w:tcPr>
          <w:p w14:paraId="1F39D299"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Leaves</w:t>
            </w:r>
          </w:p>
        </w:tc>
        <w:tc>
          <w:tcPr>
            <w:tcW w:w="2127" w:type="dxa"/>
            <w:tcBorders>
              <w:top w:val="single" w:sz="4" w:space="0" w:color="auto"/>
              <w:left w:val="single" w:sz="4" w:space="0" w:color="auto"/>
              <w:bottom w:val="single" w:sz="4" w:space="0" w:color="auto"/>
              <w:right w:val="single" w:sz="4" w:space="0" w:color="auto"/>
            </w:tcBorders>
            <w:vAlign w:val="center"/>
          </w:tcPr>
          <w:p w14:paraId="0850F5DA" w14:textId="77777777" w:rsidR="007A44F5" w:rsidRPr="008533B0" w:rsidRDefault="007A44F5" w:rsidP="008533B0">
            <w:pPr>
              <w:rPr>
                <w:rFonts w:ascii="Arial" w:hAnsi="Arial" w:cs="Arial"/>
                <w:sz w:val="20"/>
                <w:szCs w:val="20"/>
                <w:highlight w:val="yellow"/>
                <w:lang w:val="en-US"/>
              </w:rPr>
            </w:pPr>
            <w:r w:rsidRPr="008533B0">
              <w:rPr>
                <w:rFonts w:ascii="Arial" w:hAnsi="Arial" w:cs="Arial"/>
                <w:sz w:val="20"/>
                <w:szCs w:val="20"/>
                <w:lang w:val="en-US"/>
              </w:rPr>
              <w:t>PTWI for a 70-kg Individual (mg/week)</w:t>
            </w:r>
          </w:p>
        </w:tc>
        <w:tc>
          <w:tcPr>
            <w:tcW w:w="1417" w:type="dxa"/>
            <w:tcBorders>
              <w:top w:val="single" w:sz="4" w:space="0" w:color="auto"/>
              <w:left w:val="single" w:sz="4" w:space="0" w:color="auto"/>
              <w:bottom w:val="single" w:sz="4" w:space="0" w:color="auto"/>
              <w:right w:val="single" w:sz="4" w:space="0" w:color="auto"/>
            </w:tcBorders>
            <w:vAlign w:val="center"/>
          </w:tcPr>
          <w:p w14:paraId="24F45D80" w14:textId="77777777" w:rsidR="007A44F5" w:rsidRPr="008533B0" w:rsidRDefault="007A44F5" w:rsidP="008533B0">
            <w:pPr>
              <w:jc w:val="center"/>
              <w:rPr>
                <w:rFonts w:ascii="Arial" w:hAnsi="Arial" w:cs="Arial"/>
                <w:sz w:val="20"/>
                <w:szCs w:val="20"/>
                <w:lang w:val="en-US"/>
              </w:rPr>
            </w:pPr>
            <w:r w:rsidRPr="008533B0">
              <w:rPr>
                <w:rFonts w:ascii="Arial" w:hAnsi="Arial" w:cs="Arial"/>
                <w:sz w:val="20"/>
                <w:szCs w:val="20"/>
                <w:lang w:val="en-US"/>
              </w:rPr>
              <w:t>LOD (mg/l)</w:t>
            </w:r>
          </w:p>
        </w:tc>
      </w:tr>
      <w:tr w:rsidR="007A44F5" w:rsidRPr="008533B0" w14:paraId="30BA0776" w14:textId="77777777" w:rsidTr="00E36938">
        <w:tc>
          <w:tcPr>
            <w:tcW w:w="1129" w:type="dxa"/>
            <w:tcBorders>
              <w:top w:val="single" w:sz="4" w:space="0" w:color="auto"/>
              <w:left w:val="single" w:sz="4" w:space="0" w:color="auto"/>
              <w:bottom w:val="single" w:sz="4" w:space="0" w:color="auto"/>
              <w:right w:val="single" w:sz="4" w:space="0" w:color="auto"/>
            </w:tcBorders>
          </w:tcPr>
          <w:p w14:paraId="03AFA81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Na</w:t>
            </w:r>
          </w:p>
        </w:tc>
        <w:tc>
          <w:tcPr>
            <w:tcW w:w="1675" w:type="dxa"/>
            <w:tcBorders>
              <w:top w:val="single" w:sz="4" w:space="0" w:color="auto"/>
              <w:left w:val="single" w:sz="4" w:space="0" w:color="auto"/>
              <w:bottom w:val="single" w:sz="4" w:space="0" w:color="auto"/>
              <w:right w:val="single" w:sz="4" w:space="0" w:color="auto"/>
            </w:tcBorders>
            <w:vAlign w:val="center"/>
          </w:tcPr>
          <w:p w14:paraId="04D06415"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401.1±0.0171</w:t>
            </w:r>
          </w:p>
        </w:tc>
        <w:tc>
          <w:tcPr>
            <w:tcW w:w="1727" w:type="dxa"/>
            <w:tcBorders>
              <w:top w:val="single" w:sz="4" w:space="0" w:color="auto"/>
              <w:left w:val="single" w:sz="4" w:space="0" w:color="auto"/>
              <w:bottom w:val="single" w:sz="4" w:space="0" w:color="auto"/>
              <w:right w:val="single" w:sz="4" w:space="0" w:color="auto"/>
            </w:tcBorders>
            <w:vAlign w:val="center"/>
          </w:tcPr>
          <w:p w14:paraId="499C386B"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3505.4±0.0088</w:t>
            </w:r>
          </w:p>
        </w:tc>
        <w:tc>
          <w:tcPr>
            <w:tcW w:w="1701" w:type="dxa"/>
            <w:tcBorders>
              <w:top w:val="single" w:sz="4" w:space="0" w:color="auto"/>
              <w:left w:val="single" w:sz="4" w:space="0" w:color="auto"/>
              <w:bottom w:val="single" w:sz="4" w:space="0" w:color="auto"/>
              <w:right w:val="single" w:sz="4" w:space="0" w:color="auto"/>
            </w:tcBorders>
            <w:vAlign w:val="center"/>
          </w:tcPr>
          <w:p w14:paraId="092D42F5"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2283.5±0.0090</w:t>
            </w:r>
          </w:p>
        </w:tc>
        <w:tc>
          <w:tcPr>
            <w:tcW w:w="2127" w:type="dxa"/>
            <w:tcBorders>
              <w:top w:val="single" w:sz="4" w:space="0" w:color="auto"/>
              <w:left w:val="single" w:sz="4" w:space="0" w:color="auto"/>
              <w:bottom w:val="single" w:sz="4" w:space="0" w:color="auto"/>
              <w:right w:val="single" w:sz="4" w:space="0" w:color="auto"/>
            </w:tcBorders>
          </w:tcPr>
          <w:p w14:paraId="286E5B91" w14:textId="3A839CCA"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14000</w:t>
            </w:r>
            <w:r w:rsidR="00DA2A29" w:rsidRPr="008533B0">
              <w:rPr>
                <w:rFonts w:ascii="Arial" w:hAnsi="Arial" w:cs="Arial"/>
                <w:sz w:val="20"/>
                <w:szCs w:val="20"/>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2CBB83B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0.030</w:t>
            </w:r>
          </w:p>
        </w:tc>
      </w:tr>
      <w:tr w:rsidR="007A44F5" w:rsidRPr="008533B0" w14:paraId="5D0B6029" w14:textId="77777777" w:rsidTr="00E36938">
        <w:tc>
          <w:tcPr>
            <w:tcW w:w="1129" w:type="dxa"/>
            <w:tcBorders>
              <w:top w:val="single" w:sz="4" w:space="0" w:color="auto"/>
              <w:left w:val="single" w:sz="4" w:space="0" w:color="auto"/>
              <w:bottom w:val="single" w:sz="4" w:space="0" w:color="auto"/>
              <w:right w:val="single" w:sz="4" w:space="0" w:color="auto"/>
            </w:tcBorders>
          </w:tcPr>
          <w:p w14:paraId="6BBD01D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K</w:t>
            </w:r>
          </w:p>
        </w:tc>
        <w:tc>
          <w:tcPr>
            <w:tcW w:w="1675" w:type="dxa"/>
            <w:tcBorders>
              <w:top w:val="single" w:sz="4" w:space="0" w:color="auto"/>
              <w:left w:val="single" w:sz="4" w:space="0" w:color="auto"/>
              <w:bottom w:val="single" w:sz="4" w:space="0" w:color="auto"/>
              <w:right w:val="single" w:sz="4" w:space="0" w:color="auto"/>
            </w:tcBorders>
          </w:tcPr>
          <w:p w14:paraId="4CFDB734"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9370.1±0.0001</w:t>
            </w:r>
          </w:p>
        </w:tc>
        <w:tc>
          <w:tcPr>
            <w:tcW w:w="1727" w:type="dxa"/>
            <w:tcBorders>
              <w:top w:val="single" w:sz="4" w:space="0" w:color="auto"/>
              <w:left w:val="single" w:sz="4" w:space="0" w:color="auto"/>
              <w:bottom w:val="single" w:sz="4" w:space="0" w:color="auto"/>
              <w:right w:val="single" w:sz="4" w:space="0" w:color="auto"/>
            </w:tcBorders>
          </w:tcPr>
          <w:p w14:paraId="3C6A350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63359.9±0.4445</w:t>
            </w:r>
          </w:p>
        </w:tc>
        <w:tc>
          <w:tcPr>
            <w:tcW w:w="1701" w:type="dxa"/>
            <w:tcBorders>
              <w:top w:val="single" w:sz="4" w:space="0" w:color="auto"/>
              <w:left w:val="single" w:sz="4" w:space="0" w:color="auto"/>
              <w:bottom w:val="single" w:sz="4" w:space="0" w:color="auto"/>
              <w:right w:val="single" w:sz="4" w:space="0" w:color="auto"/>
            </w:tcBorders>
          </w:tcPr>
          <w:p w14:paraId="518075E0"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41378.7±0.1979</w:t>
            </w:r>
          </w:p>
        </w:tc>
        <w:tc>
          <w:tcPr>
            <w:tcW w:w="2127" w:type="dxa"/>
            <w:tcBorders>
              <w:top w:val="single" w:sz="4" w:space="0" w:color="auto"/>
              <w:left w:val="single" w:sz="4" w:space="0" w:color="auto"/>
              <w:bottom w:val="single" w:sz="4" w:space="0" w:color="auto"/>
              <w:right w:val="single" w:sz="4" w:space="0" w:color="auto"/>
            </w:tcBorders>
          </w:tcPr>
          <w:p w14:paraId="4836FEA5" w14:textId="650E867A"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24500</w:t>
            </w:r>
          </w:p>
        </w:tc>
        <w:tc>
          <w:tcPr>
            <w:tcW w:w="1417" w:type="dxa"/>
            <w:tcBorders>
              <w:top w:val="single" w:sz="4" w:space="0" w:color="auto"/>
              <w:left w:val="single" w:sz="4" w:space="0" w:color="auto"/>
              <w:bottom w:val="single" w:sz="4" w:space="0" w:color="auto"/>
              <w:right w:val="single" w:sz="4" w:space="0" w:color="auto"/>
            </w:tcBorders>
          </w:tcPr>
          <w:p w14:paraId="00D3EBD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0.2</w:t>
            </w:r>
          </w:p>
        </w:tc>
      </w:tr>
      <w:tr w:rsidR="007A44F5" w:rsidRPr="008533B0" w14:paraId="5621CD2B" w14:textId="77777777" w:rsidTr="00E36938">
        <w:tc>
          <w:tcPr>
            <w:tcW w:w="1129" w:type="dxa"/>
            <w:tcBorders>
              <w:top w:val="single" w:sz="4" w:space="0" w:color="auto"/>
              <w:left w:val="single" w:sz="4" w:space="0" w:color="auto"/>
              <w:bottom w:val="single" w:sz="4" w:space="0" w:color="auto"/>
              <w:right w:val="single" w:sz="4" w:space="0" w:color="auto"/>
            </w:tcBorders>
          </w:tcPr>
          <w:p w14:paraId="1874E28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Mg</w:t>
            </w:r>
          </w:p>
        </w:tc>
        <w:tc>
          <w:tcPr>
            <w:tcW w:w="1675" w:type="dxa"/>
            <w:tcBorders>
              <w:top w:val="single" w:sz="4" w:space="0" w:color="auto"/>
              <w:left w:val="single" w:sz="4" w:space="0" w:color="auto"/>
              <w:bottom w:val="single" w:sz="4" w:space="0" w:color="auto"/>
              <w:right w:val="single" w:sz="4" w:space="0" w:color="auto"/>
            </w:tcBorders>
          </w:tcPr>
          <w:p w14:paraId="572448D6"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1824.1±0.000</w:t>
            </w:r>
          </w:p>
        </w:tc>
        <w:tc>
          <w:tcPr>
            <w:tcW w:w="1727" w:type="dxa"/>
            <w:tcBorders>
              <w:top w:val="single" w:sz="4" w:space="0" w:color="auto"/>
              <w:left w:val="single" w:sz="4" w:space="0" w:color="auto"/>
              <w:bottom w:val="single" w:sz="4" w:space="0" w:color="auto"/>
              <w:right w:val="single" w:sz="4" w:space="0" w:color="auto"/>
            </w:tcBorders>
          </w:tcPr>
          <w:p w14:paraId="260B1F1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2746.6±0.0096</w:t>
            </w:r>
          </w:p>
        </w:tc>
        <w:tc>
          <w:tcPr>
            <w:tcW w:w="1701" w:type="dxa"/>
            <w:tcBorders>
              <w:top w:val="single" w:sz="4" w:space="0" w:color="auto"/>
              <w:left w:val="single" w:sz="4" w:space="0" w:color="auto"/>
              <w:bottom w:val="single" w:sz="4" w:space="0" w:color="auto"/>
              <w:right w:val="single" w:sz="4" w:space="0" w:color="auto"/>
            </w:tcBorders>
          </w:tcPr>
          <w:p w14:paraId="13B5B8E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6074.3±0.0027</w:t>
            </w:r>
          </w:p>
        </w:tc>
        <w:tc>
          <w:tcPr>
            <w:tcW w:w="2127" w:type="dxa"/>
            <w:tcBorders>
              <w:top w:val="single" w:sz="4" w:space="0" w:color="auto"/>
              <w:left w:val="single" w:sz="4" w:space="0" w:color="auto"/>
              <w:bottom w:val="single" w:sz="4" w:space="0" w:color="auto"/>
              <w:right w:val="single" w:sz="4" w:space="0" w:color="auto"/>
            </w:tcBorders>
          </w:tcPr>
          <w:p w14:paraId="3D82A106" w14:textId="05DCE75B"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2940</w:t>
            </w:r>
          </w:p>
        </w:tc>
        <w:tc>
          <w:tcPr>
            <w:tcW w:w="1417" w:type="dxa"/>
            <w:tcBorders>
              <w:top w:val="single" w:sz="4" w:space="0" w:color="auto"/>
              <w:left w:val="single" w:sz="4" w:space="0" w:color="auto"/>
              <w:bottom w:val="single" w:sz="4" w:space="0" w:color="auto"/>
              <w:right w:val="single" w:sz="4" w:space="0" w:color="auto"/>
            </w:tcBorders>
          </w:tcPr>
          <w:p w14:paraId="576844BC"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0.0008</w:t>
            </w:r>
          </w:p>
        </w:tc>
      </w:tr>
      <w:tr w:rsidR="007A44F5" w:rsidRPr="008533B0" w14:paraId="7932D1BE" w14:textId="77777777" w:rsidTr="00E36938">
        <w:tc>
          <w:tcPr>
            <w:tcW w:w="1129" w:type="dxa"/>
            <w:tcBorders>
              <w:top w:val="single" w:sz="4" w:space="0" w:color="auto"/>
              <w:left w:val="single" w:sz="4" w:space="0" w:color="auto"/>
              <w:bottom w:val="single" w:sz="4" w:space="0" w:color="auto"/>
              <w:right w:val="single" w:sz="4" w:space="0" w:color="auto"/>
            </w:tcBorders>
          </w:tcPr>
          <w:p w14:paraId="69C8C189"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Ca</w:t>
            </w:r>
          </w:p>
        </w:tc>
        <w:tc>
          <w:tcPr>
            <w:tcW w:w="1675" w:type="dxa"/>
            <w:tcBorders>
              <w:top w:val="single" w:sz="4" w:space="0" w:color="auto"/>
              <w:left w:val="single" w:sz="4" w:space="0" w:color="auto"/>
              <w:bottom w:val="single" w:sz="4" w:space="0" w:color="auto"/>
              <w:right w:val="single" w:sz="4" w:space="0" w:color="auto"/>
            </w:tcBorders>
          </w:tcPr>
          <w:p w14:paraId="55B59995"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11530.00±0.001</w:t>
            </w:r>
          </w:p>
        </w:tc>
        <w:tc>
          <w:tcPr>
            <w:tcW w:w="1727" w:type="dxa"/>
            <w:tcBorders>
              <w:top w:val="single" w:sz="4" w:space="0" w:color="auto"/>
              <w:left w:val="single" w:sz="4" w:space="0" w:color="auto"/>
              <w:bottom w:val="single" w:sz="4" w:space="0" w:color="auto"/>
              <w:right w:val="single" w:sz="4" w:space="0" w:color="auto"/>
            </w:tcBorders>
          </w:tcPr>
          <w:p w14:paraId="32D1C9CA"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4596.1±1.0475</w:t>
            </w:r>
          </w:p>
        </w:tc>
        <w:tc>
          <w:tcPr>
            <w:tcW w:w="1701" w:type="dxa"/>
            <w:tcBorders>
              <w:top w:val="single" w:sz="4" w:space="0" w:color="auto"/>
              <w:left w:val="single" w:sz="4" w:space="0" w:color="auto"/>
              <w:bottom w:val="single" w:sz="4" w:space="0" w:color="auto"/>
              <w:right w:val="single" w:sz="4" w:space="0" w:color="auto"/>
            </w:tcBorders>
          </w:tcPr>
          <w:p w14:paraId="353709FF"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2136.8±0.001</w:t>
            </w:r>
          </w:p>
        </w:tc>
        <w:tc>
          <w:tcPr>
            <w:tcW w:w="2127" w:type="dxa"/>
            <w:tcBorders>
              <w:top w:val="single" w:sz="4" w:space="0" w:color="auto"/>
              <w:left w:val="single" w:sz="4" w:space="0" w:color="auto"/>
              <w:bottom w:val="single" w:sz="4" w:space="0" w:color="auto"/>
              <w:right w:val="single" w:sz="4" w:space="0" w:color="auto"/>
            </w:tcBorders>
          </w:tcPr>
          <w:p w14:paraId="1B875DA5" w14:textId="4885A0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8400</w:t>
            </w:r>
          </w:p>
        </w:tc>
        <w:tc>
          <w:tcPr>
            <w:tcW w:w="1417" w:type="dxa"/>
            <w:tcBorders>
              <w:top w:val="single" w:sz="4" w:space="0" w:color="auto"/>
              <w:left w:val="single" w:sz="4" w:space="0" w:color="auto"/>
              <w:bottom w:val="single" w:sz="4" w:space="0" w:color="auto"/>
              <w:right w:val="single" w:sz="4" w:space="0" w:color="auto"/>
            </w:tcBorders>
          </w:tcPr>
          <w:p w14:paraId="33204CE6"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0.0007</w:t>
            </w:r>
          </w:p>
        </w:tc>
      </w:tr>
      <w:tr w:rsidR="007A44F5" w:rsidRPr="008533B0" w14:paraId="78ADD3F8" w14:textId="77777777" w:rsidTr="00E36938">
        <w:tc>
          <w:tcPr>
            <w:tcW w:w="1129" w:type="dxa"/>
            <w:tcBorders>
              <w:top w:val="single" w:sz="4" w:space="0" w:color="auto"/>
              <w:left w:val="single" w:sz="4" w:space="0" w:color="auto"/>
              <w:bottom w:val="single" w:sz="4" w:space="0" w:color="auto"/>
              <w:right w:val="single" w:sz="4" w:space="0" w:color="auto"/>
            </w:tcBorders>
          </w:tcPr>
          <w:p w14:paraId="2DA55D16"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Cr</w:t>
            </w:r>
          </w:p>
        </w:tc>
        <w:tc>
          <w:tcPr>
            <w:tcW w:w="1675" w:type="dxa"/>
            <w:tcBorders>
              <w:top w:val="single" w:sz="4" w:space="0" w:color="auto"/>
              <w:left w:val="single" w:sz="4" w:space="0" w:color="auto"/>
              <w:bottom w:val="single" w:sz="4" w:space="0" w:color="auto"/>
              <w:right w:val="single" w:sz="4" w:space="0" w:color="auto"/>
            </w:tcBorders>
          </w:tcPr>
          <w:p w14:paraId="3BF0E09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4.600±0.001</w:t>
            </w:r>
          </w:p>
        </w:tc>
        <w:tc>
          <w:tcPr>
            <w:tcW w:w="1727" w:type="dxa"/>
            <w:tcBorders>
              <w:top w:val="single" w:sz="4" w:space="0" w:color="auto"/>
              <w:left w:val="single" w:sz="4" w:space="0" w:color="auto"/>
              <w:bottom w:val="single" w:sz="4" w:space="0" w:color="auto"/>
              <w:right w:val="single" w:sz="4" w:space="0" w:color="auto"/>
            </w:tcBorders>
          </w:tcPr>
          <w:p w14:paraId="22E50BA0"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0.1±0.000</w:t>
            </w:r>
          </w:p>
        </w:tc>
        <w:tc>
          <w:tcPr>
            <w:tcW w:w="1701" w:type="dxa"/>
            <w:tcBorders>
              <w:top w:val="single" w:sz="4" w:space="0" w:color="auto"/>
              <w:left w:val="single" w:sz="4" w:space="0" w:color="auto"/>
              <w:bottom w:val="single" w:sz="4" w:space="0" w:color="auto"/>
              <w:right w:val="single" w:sz="4" w:space="0" w:color="auto"/>
            </w:tcBorders>
          </w:tcPr>
          <w:p w14:paraId="47FBBBE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0.9±0.000</w:t>
            </w:r>
          </w:p>
        </w:tc>
        <w:tc>
          <w:tcPr>
            <w:tcW w:w="2127" w:type="dxa"/>
            <w:tcBorders>
              <w:top w:val="single" w:sz="4" w:space="0" w:color="auto"/>
              <w:left w:val="single" w:sz="4" w:space="0" w:color="auto"/>
              <w:bottom w:val="single" w:sz="4" w:space="0" w:color="auto"/>
              <w:right w:val="single" w:sz="4" w:space="0" w:color="auto"/>
            </w:tcBorders>
          </w:tcPr>
          <w:p w14:paraId="1F63C73D" w14:textId="6E4002AC"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1.63</w:t>
            </w:r>
            <w:r w:rsidR="00E37E3D" w:rsidRPr="008533B0">
              <w:rPr>
                <w:rFonts w:ascii="Arial" w:hAnsi="Arial" w:cs="Arial"/>
                <w:sz w:val="20"/>
                <w:szCs w:val="20"/>
                <w:lang w:val="en-US"/>
              </w:rPr>
              <w:t>1</w:t>
            </w:r>
          </w:p>
        </w:tc>
        <w:tc>
          <w:tcPr>
            <w:tcW w:w="1417" w:type="dxa"/>
            <w:tcBorders>
              <w:top w:val="single" w:sz="4" w:space="0" w:color="auto"/>
              <w:left w:val="single" w:sz="4" w:space="0" w:color="auto"/>
              <w:bottom w:val="single" w:sz="4" w:space="0" w:color="auto"/>
              <w:right w:val="single" w:sz="4" w:space="0" w:color="auto"/>
            </w:tcBorders>
          </w:tcPr>
          <w:p w14:paraId="51DF257B"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0.005</w:t>
            </w:r>
          </w:p>
        </w:tc>
      </w:tr>
      <w:tr w:rsidR="007A44F5" w:rsidRPr="008533B0" w14:paraId="650D1490" w14:textId="77777777" w:rsidTr="00E36938">
        <w:tc>
          <w:tcPr>
            <w:tcW w:w="1129" w:type="dxa"/>
            <w:tcBorders>
              <w:top w:val="single" w:sz="4" w:space="0" w:color="auto"/>
              <w:left w:val="single" w:sz="4" w:space="0" w:color="auto"/>
              <w:bottom w:val="single" w:sz="4" w:space="0" w:color="auto"/>
              <w:right w:val="single" w:sz="4" w:space="0" w:color="auto"/>
            </w:tcBorders>
          </w:tcPr>
          <w:p w14:paraId="3FA9CDB3"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Fe</w:t>
            </w:r>
          </w:p>
        </w:tc>
        <w:tc>
          <w:tcPr>
            <w:tcW w:w="1675" w:type="dxa"/>
            <w:tcBorders>
              <w:top w:val="single" w:sz="4" w:space="0" w:color="auto"/>
              <w:left w:val="single" w:sz="4" w:space="0" w:color="auto"/>
              <w:bottom w:val="single" w:sz="4" w:space="0" w:color="auto"/>
              <w:right w:val="single" w:sz="4" w:space="0" w:color="auto"/>
            </w:tcBorders>
          </w:tcPr>
          <w:p w14:paraId="70452890"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345.300±0.019</w:t>
            </w:r>
          </w:p>
        </w:tc>
        <w:tc>
          <w:tcPr>
            <w:tcW w:w="1727" w:type="dxa"/>
            <w:tcBorders>
              <w:top w:val="single" w:sz="4" w:space="0" w:color="auto"/>
              <w:left w:val="single" w:sz="4" w:space="0" w:color="auto"/>
              <w:bottom w:val="single" w:sz="4" w:space="0" w:color="auto"/>
              <w:right w:val="single" w:sz="4" w:space="0" w:color="auto"/>
            </w:tcBorders>
          </w:tcPr>
          <w:p w14:paraId="283202AB"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96.8±0.00</w:t>
            </w:r>
          </w:p>
        </w:tc>
        <w:tc>
          <w:tcPr>
            <w:tcW w:w="1701" w:type="dxa"/>
            <w:tcBorders>
              <w:top w:val="single" w:sz="4" w:space="0" w:color="auto"/>
              <w:left w:val="single" w:sz="4" w:space="0" w:color="auto"/>
              <w:bottom w:val="single" w:sz="4" w:space="0" w:color="auto"/>
              <w:right w:val="single" w:sz="4" w:space="0" w:color="auto"/>
            </w:tcBorders>
          </w:tcPr>
          <w:p w14:paraId="219D1265"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204.8±0.021</w:t>
            </w:r>
          </w:p>
        </w:tc>
        <w:tc>
          <w:tcPr>
            <w:tcW w:w="2127" w:type="dxa"/>
            <w:tcBorders>
              <w:top w:val="single" w:sz="4" w:space="0" w:color="auto"/>
              <w:left w:val="single" w:sz="4" w:space="0" w:color="auto"/>
              <w:bottom w:val="single" w:sz="4" w:space="0" w:color="auto"/>
              <w:right w:val="single" w:sz="4" w:space="0" w:color="auto"/>
            </w:tcBorders>
          </w:tcPr>
          <w:p w14:paraId="21D76FFB" w14:textId="0DD09CBC"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392</w:t>
            </w:r>
          </w:p>
        </w:tc>
        <w:tc>
          <w:tcPr>
            <w:tcW w:w="1417" w:type="dxa"/>
            <w:tcBorders>
              <w:top w:val="single" w:sz="4" w:space="0" w:color="auto"/>
              <w:left w:val="single" w:sz="4" w:space="0" w:color="auto"/>
              <w:bottom w:val="single" w:sz="4" w:space="0" w:color="auto"/>
              <w:right w:val="single" w:sz="4" w:space="0" w:color="auto"/>
            </w:tcBorders>
          </w:tcPr>
          <w:p w14:paraId="60EFA801"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0.001</w:t>
            </w:r>
          </w:p>
        </w:tc>
      </w:tr>
      <w:tr w:rsidR="007A44F5" w:rsidRPr="008533B0" w14:paraId="3715567E" w14:textId="77777777" w:rsidTr="00E36938">
        <w:tc>
          <w:tcPr>
            <w:tcW w:w="1129" w:type="dxa"/>
            <w:tcBorders>
              <w:top w:val="single" w:sz="4" w:space="0" w:color="auto"/>
              <w:left w:val="single" w:sz="4" w:space="0" w:color="auto"/>
              <w:bottom w:val="single" w:sz="4" w:space="0" w:color="auto"/>
              <w:right w:val="single" w:sz="4" w:space="0" w:color="auto"/>
            </w:tcBorders>
          </w:tcPr>
          <w:p w14:paraId="41DACF39"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Ni</w:t>
            </w:r>
          </w:p>
        </w:tc>
        <w:tc>
          <w:tcPr>
            <w:tcW w:w="1675" w:type="dxa"/>
            <w:tcBorders>
              <w:top w:val="single" w:sz="4" w:space="0" w:color="auto"/>
              <w:left w:val="single" w:sz="4" w:space="0" w:color="auto"/>
              <w:bottom w:val="single" w:sz="4" w:space="0" w:color="auto"/>
              <w:right w:val="single" w:sz="4" w:space="0" w:color="auto"/>
            </w:tcBorders>
          </w:tcPr>
          <w:p w14:paraId="024CA1AA"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w:t>
            </w:r>
          </w:p>
        </w:tc>
        <w:tc>
          <w:tcPr>
            <w:tcW w:w="1727" w:type="dxa"/>
            <w:tcBorders>
              <w:top w:val="single" w:sz="4" w:space="0" w:color="auto"/>
              <w:left w:val="single" w:sz="4" w:space="0" w:color="auto"/>
              <w:bottom w:val="single" w:sz="4" w:space="0" w:color="auto"/>
              <w:right w:val="single" w:sz="4" w:space="0" w:color="auto"/>
            </w:tcBorders>
          </w:tcPr>
          <w:p w14:paraId="50E2B612"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w:t>
            </w:r>
          </w:p>
        </w:tc>
        <w:tc>
          <w:tcPr>
            <w:tcW w:w="1701" w:type="dxa"/>
            <w:tcBorders>
              <w:top w:val="single" w:sz="4" w:space="0" w:color="auto"/>
              <w:left w:val="single" w:sz="4" w:space="0" w:color="auto"/>
              <w:bottom w:val="single" w:sz="4" w:space="0" w:color="auto"/>
              <w:right w:val="single" w:sz="4" w:space="0" w:color="auto"/>
            </w:tcBorders>
          </w:tcPr>
          <w:p w14:paraId="246FBD0A"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w:t>
            </w:r>
          </w:p>
        </w:tc>
        <w:tc>
          <w:tcPr>
            <w:tcW w:w="2127" w:type="dxa"/>
            <w:tcBorders>
              <w:top w:val="single" w:sz="4" w:space="0" w:color="auto"/>
              <w:left w:val="single" w:sz="4" w:space="0" w:color="auto"/>
              <w:bottom w:val="single" w:sz="4" w:space="0" w:color="auto"/>
              <w:right w:val="single" w:sz="4" w:space="0" w:color="auto"/>
            </w:tcBorders>
          </w:tcPr>
          <w:p w14:paraId="6DB3F3B5" w14:textId="52D49EC0"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2.450</w:t>
            </w:r>
          </w:p>
        </w:tc>
        <w:tc>
          <w:tcPr>
            <w:tcW w:w="1417" w:type="dxa"/>
            <w:tcBorders>
              <w:top w:val="single" w:sz="4" w:space="0" w:color="auto"/>
              <w:left w:val="single" w:sz="4" w:space="0" w:color="auto"/>
              <w:bottom w:val="single" w:sz="4" w:space="0" w:color="auto"/>
              <w:right w:val="single" w:sz="4" w:space="0" w:color="auto"/>
            </w:tcBorders>
          </w:tcPr>
          <w:p w14:paraId="2B99671C"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0.0012</w:t>
            </w:r>
          </w:p>
        </w:tc>
      </w:tr>
      <w:tr w:rsidR="007A44F5" w:rsidRPr="008533B0" w14:paraId="3A59B507" w14:textId="77777777" w:rsidTr="00E36938">
        <w:tc>
          <w:tcPr>
            <w:tcW w:w="1129" w:type="dxa"/>
            <w:tcBorders>
              <w:top w:val="single" w:sz="4" w:space="0" w:color="auto"/>
              <w:left w:val="single" w:sz="4" w:space="0" w:color="auto"/>
              <w:bottom w:val="single" w:sz="4" w:space="0" w:color="auto"/>
              <w:right w:val="single" w:sz="4" w:space="0" w:color="auto"/>
            </w:tcBorders>
          </w:tcPr>
          <w:p w14:paraId="48A3F7E4"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Cu</w:t>
            </w:r>
          </w:p>
        </w:tc>
        <w:tc>
          <w:tcPr>
            <w:tcW w:w="1675" w:type="dxa"/>
            <w:tcBorders>
              <w:top w:val="single" w:sz="4" w:space="0" w:color="auto"/>
              <w:left w:val="single" w:sz="4" w:space="0" w:color="auto"/>
              <w:bottom w:val="single" w:sz="4" w:space="0" w:color="auto"/>
              <w:right w:val="single" w:sz="4" w:space="0" w:color="auto"/>
            </w:tcBorders>
          </w:tcPr>
          <w:p w14:paraId="5569B0A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3.700±0.001</w:t>
            </w:r>
          </w:p>
        </w:tc>
        <w:tc>
          <w:tcPr>
            <w:tcW w:w="1727" w:type="dxa"/>
            <w:tcBorders>
              <w:top w:val="single" w:sz="4" w:space="0" w:color="auto"/>
              <w:left w:val="single" w:sz="4" w:space="0" w:color="auto"/>
              <w:bottom w:val="single" w:sz="4" w:space="0" w:color="auto"/>
              <w:right w:val="single" w:sz="4" w:space="0" w:color="auto"/>
            </w:tcBorders>
          </w:tcPr>
          <w:p w14:paraId="52ABEEA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3.500±0.002</w:t>
            </w:r>
          </w:p>
        </w:tc>
        <w:tc>
          <w:tcPr>
            <w:tcW w:w="1701" w:type="dxa"/>
            <w:tcBorders>
              <w:top w:val="single" w:sz="4" w:space="0" w:color="auto"/>
              <w:left w:val="single" w:sz="4" w:space="0" w:color="auto"/>
              <w:bottom w:val="single" w:sz="4" w:space="0" w:color="auto"/>
              <w:right w:val="single" w:sz="4" w:space="0" w:color="auto"/>
            </w:tcBorders>
          </w:tcPr>
          <w:p w14:paraId="28EF8F01"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3.600±0.001</w:t>
            </w:r>
          </w:p>
        </w:tc>
        <w:tc>
          <w:tcPr>
            <w:tcW w:w="2127" w:type="dxa"/>
            <w:tcBorders>
              <w:top w:val="single" w:sz="4" w:space="0" w:color="auto"/>
              <w:left w:val="single" w:sz="4" w:space="0" w:color="auto"/>
              <w:bottom w:val="single" w:sz="4" w:space="0" w:color="auto"/>
              <w:right w:val="single" w:sz="4" w:space="0" w:color="auto"/>
            </w:tcBorders>
          </w:tcPr>
          <w:p w14:paraId="094DE964" w14:textId="56CFD28F"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245</w:t>
            </w:r>
          </w:p>
        </w:tc>
        <w:tc>
          <w:tcPr>
            <w:tcW w:w="1417" w:type="dxa"/>
            <w:tcBorders>
              <w:top w:val="single" w:sz="4" w:space="0" w:color="auto"/>
              <w:left w:val="single" w:sz="4" w:space="0" w:color="auto"/>
              <w:bottom w:val="single" w:sz="4" w:space="0" w:color="auto"/>
              <w:right w:val="single" w:sz="4" w:space="0" w:color="auto"/>
            </w:tcBorders>
          </w:tcPr>
          <w:p w14:paraId="0CFF5482"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0.001</w:t>
            </w:r>
          </w:p>
        </w:tc>
      </w:tr>
      <w:tr w:rsidR="007A44F5" w:rsidRPr="008533B0" w14:paraId="165752CA" w14:textId="77777777" w:rsidTr="00E36938">
        <w:tc>
          <w:tcPr>
            <w:tcW w:w="1129" w:type="dxa"/>
            <w:tcBorders>
              <w:top w:val="single" w:sz="4" w:space="0" w:color="auto"/>
              <w:left w:val="single" w:sz="4" w:space="0" w:color="auto"/>
              <w:bottom w:val="single" w:sz="4" w:space="0" w:color="auto"/>
              <w:right w:val="single" w:sz="4" w:space="0" w:color="auto"/>
            </w:tcBorders>
          </w:tcPr>
          <w:p w14:paraId="1E82910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Zn</w:t>
            </w:r>
          </w:p>
        </w:tc>
        <w:tc>
          <w:tcPr>
            <w:tcW w:w="1675" w:type="dxa"/>
            <w:tcBorders>
              <w:top w:val="single" w:sz="4" w:space="0" w:color="auto"/>
              <w:left w:val="single" w:sz="4" w:space="0" w:color="auto"/>
              <w:bottom w:val="single" w:sz="4" w:space="0" w:color="auto"/>
              <w:right w:val="single" w:sz="4" w:space="0" w:color="auto"/>
            </w:tcBorders>
          </w:tcPr>
          <w:p w14:paraId="120392D1"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38.900±0.005</w:t>
            </w:r>
          </w:p>
        </w:tc>
        <w:tc>
          <w:tcPr>
            <w:tcW w:w="1727" w:type="dxa"/>
            <w:tcBorders>
              <w:top w:val="single" w:sz="4" w:space="0" w:color="auto"/>
              <w:left w:val="single" w:sz="4" w:space="0" w:color="auto"/>
              <w:bottom w:val="single" w:sz="4" w:space="0" w:color="auto"/>
              <w:right w:val="single" w:sz="4" w:space="0" w:color="auto"/>
            </w:tcBorders>
          </w:tcPr>
          <w:p w14:paraId="2E240F67"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31.400±0.003</w:t>
            </w:r>
          </w:p>
        </w:tc>
        <w:tc>
          <w:tcPr>
            <w:tcW w:w="1701" w:type="dxa"/>
            <w:tcBorders>
              <w:top w:val="single" w:sz="4" w:space="0" w:color="auto"/>
              <w:left w:val="single" w:sz="4" w:space="0" w:color="auto"/>
              <w:bottom w:val="single" w:sz="4" w:space="0" w:color="auto"/>
              <w:right w:val="single" w:sz="4" w:space="0" w:color="auto"/>
            </w:tcBorders>
          </w:tcPr>
          <w:p w14:paraId="386FB417"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19.600±0.003</w:t>
            </w:r>
          </w:p>
        </w:tc>
        <w:tc>
          <w:tcPr>
            <w:tcW w:w="2127" w:type="dxa"/>
            <w:tcBorders>
              <w:top w:val="single" w:sz="4" w:space="0" w:color="auto"/>
              <w:left w:val="single" w:sz="4" w:space="0" w:color="auto"/>
              <w:bottom w:val="single" w:sz="4" w:space="0" w:color="auto"/>
              <w:right w:val="single" w:sz="4" w:space="0" w:color="auto"/>
            </w:tcBorders>
          </w:tcPr>
          <w:p w14:paraId="305CAFBF" w14:textId="63FF923D"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490</w:t>
            </w:r>
          </w:p>
        </w:tc>
        <w:tc>
          <w:tcPr>
            <w:tcW w:w="1417" w:type="dxa"/>
            <w:tcBorders>
              <w:top w:val="single" w:sz="4" w:space="0" w:color="auto"/>
              <w:left w:val="single" w:sz="4" w:space="0" w:color="auto"/>
              <w:bottom w:val="single" w:sz="4" w:space="0" w:color="auto"/>
              <w:right w:val="single" w:sz="4" w:space="0" w:color="auto"/>
            </w:tcBorders>
          </w:tcPr>
          <w:p w14:paraId="6ECF009C"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0.001</w:t>
            </w:r>
          </w:p>
        </w:tc>
      </w:tr>
      <w:tr w:rsidR="007A44F5" w:rsidRPr="008533B0" w14:paraId="51920264" w14:textId="77777777" w:rsidTr="00E36938">
        <w:tc>
          <w:tcPr>
            <w:tcW w:w="1129" w:type="dxa"/>
            <w:tcBorders>
              <w:top w:val="single" w:sz="4" w:space="0" w:color="auto"/>
              <w:left w:val="single" w:sz="4" w:space="0" w:color="auto"/>
              <w:bottom w:val="single" w:sz="4" w:space="0" w:color="auto"/>
              <w:right w:val="single" w:sz="4" w:space="0" w:color="auto"/>
            </w:tcBorders>
          </w:tcPr>
          <w:p w14:paraId="2F0FDB70"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Cd</w:t>
            </w:r>
          </w:p>
        </w:tc>
        <w:tc>
          <w:tcPr>
            <w:tcW w:w="1675" w:type="dxa"/>
            <w:tcBorders>
              <w:top w:val="single" w:sz="4" w:space="0" w:color="auto"/>
              <w:left w:val="single" w:sz="4" w:space="0" w:color="auto"/>
              <w:bottom w:val="single" w:sz="4" w:space="0" w:color="auto"/>
              <w:right w:val="single" w:sz="4" w:space="0" w:color="auto"/>
            </w:tcBorders>
          </w:tcPr>
          <w:p w14:paraId="0E62192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0.200±0.001</w:t>
            </w:r>
          </w:p>
        </w:tc>
        <w:tc>
          <w:tcPr>
            <w:tcW w:w="1727" w:type="dxa"/>
            <w:tcBorders>
              <w:top w:val="single" w:sz="4" w:space="0" w:color="auto"/>
              <w:left w:val="single" w:sz="4" w:space="0" w:color="auto"/>
              <w:bottom w:val="single" w:sz="4" w:space="0" w:color="auto"/>
              <w:right w:val="single" w:sz="4" w:space="0" w:color="auto"/>
            </w:tcBorders>
          </w:tcPr>
          <w:p w14:paraId="646CA3B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0.300±0.001</w:t>
            </w:r>
          </w:p>
        </w:tc>
        <w:tc>
          <w:tcPr>
            <w:tcW w:w="1701" w:type="dxa"/>
            <w:tcBorders>
              <w:top w:val="single" w:sz="4" w:space="0" w:color="auto"/>
              <w:left w:val="single" w:sz="4" w:space="0" w:color="auto"/>
              <w:bottom w:val="single" w:sz="4" w:space="0" w:color="auto"/>
              <w:right w:val="single" w:sz="4" w:space="0" w:color="auto"/>
            </w:tcBorders>
          </w:tcPr>
          <w:p w14:paraId="36D2AC6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0.300±0.000</w:t>
            </w:r>
          </w:p>
        </w:tc>
        <w:tc>
          <w:tcPr>
            <w:tcW w:w="2127" w:type="dxa"/>
            <w:tcBorders>
              <w:top w:val="single" w:sz="4" w:space="0" w:color="auto"/>
              <w:left w:val="single" w:sz="4" w:space="0" w:color="auto"/>
              <w:bottom w:val="single" w:sz="4" w:space="0" w:color="auto"/>
              <w:right w:val="single" w:sz="4" w:space="0" w:color="auto"/>
            </w:tcBorders>
          </w:tcPr>
          <w:p w14:paraId="4B2CD956" w14:textId="6D0F6E14"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0.490</w:t>
            </w:r>
          </w:p>
        </w:tc>
        <w:tc>
          <w:tcPr>
            <w:tcW w:w="1417" w:type="dxa"/>
            <w:tcBorders>
              <w:top w:val="single" w:sz="4" w:space="0" w:color="auto"/>
              <w:left w:val="single" w:sz="4" w:space="0" w:color="auto"/>
              <w:bottom w:val="single" w:sz="4" w:space="0" w:color="auto"/>
              <w:right w:val="single" w:sz="4" w:space="0" w:color="auto"/>
            </w:tcBorders>
          </w:tcPr>
          <w:p w14:paraId="129AA3FE"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0.0004</w:t>
            </w:r>
          </w:p>
        </w:tc>
      </w:tr>
      <w:tr w:rsidR="007A44F5" w:rsidRPr="008533B0" w14:paraId="1468EF9D" w14:textId="77777777" w:rsidTr="00E36938">
        <w:tc>
          <w:tcPr>
            <w:tcW w:w="1129" w:type="dxa"/>
            <w:tcBorders>
              <w:top w:val="single" w:sz="4" w:space="0" w:color="auto"/>
              <w:left w:val="single" w:sz="4" w:space="0" w:color="auto"/>
              <w:bottom w:val="single" w:sz="4" w:space="0" w:color="auto"/>
              <w:right w:val="single" w:sz="4" w:space="0" w:color="auto"/>
            </w:tcBorders>
          </w:tcPr>
          <w:p w14:paraId="69729C3A"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Pb</w:t>
            </w:r>
          </w:p>
        </w:tc>
        <w:tc>
          <w:tcPr>
            <w:tcW w:w="1675" w:type="dxa"/>
            <w:tcBorders>
              <w:top w:val="single" w:sz="4" w:space="0" w:color="auto"/>
              <w:left w:val="single" w:sz="4" w:space="0" w:color="auto"/>
              <w:bottom w:val="single" w:sz="4" w:space="0" w:color="auto"/>
              <w:right w:val="single" w:sz="4" w:space="0" w:color="auto"/>
            </w:tcBorders>
          </w:tcPr>
          <w:p w14:paraId="6CE05E7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2.400±.002</w:t>
            </w:r>
          </w:p>
        </w:tc>
        <w:tc>
          <w:tcPr>
            <w:tcW w:w="1727" w:type="dxa"/>
            <w:tcBorders>
              <w:top w:val="single" w:sz="4" w:space="0" w:color="auto"/>
              <w:left w:val="single" w:sz="4" w:space="0" w:color="auto"/>
              <w:bottom w:val="single" w:sz="4" w:space="0" w:color="auto"/>
              <w:right w:val="single" w:sz="4" w:space="0" w:color="auto"/>
            </w:tcBorders>
          </w:tcPr>
          <w:p w14:paraId="76951608"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1.600±0.002</w:t>
            </w:r>
          </w:p>
        </w:tc>
        <w:tc>
          <w:tcPr>
            <w:tcW w:w="1701" w:type="dxa"/>
            <w:tcBorders>
              <w:top w:val="single" w:sz="4" w:space="0" w:color="auto"/>
              <w:left w:val="single" w:sz="4" w:space="0" w:color="auto"/>
              <w:bottom w:val="single" w:sz="4" w:space="0" w:color="auto"/>
              <w:right w:val="single" w:sz="4" w:space="0" w:color="auto"/>
            </w:tcBorders>
          </w:tcPr>
          <w:p w14:paraId="507B153C"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1.000±000</w:t>
            </w:r>
          </w:p>
        </w:tc>
        <w:tc>
          <w:tcPr>
            <w:tcW w:w="2127" w:type="dxa"/>
            <w:tcBorders>
              <w:top w:val="single" w:sz="4" w:space="0" w:color="auto"/>
              <w:left w:val="single" w:sz="4" w:space="0" w:color="auto"/>
              <w:bottom w:val="single" w:sz="4" w:space="0" w:color="auto"/>
              <w:right w:val="single" w:sz="4" w:space="0" w:color="auto"/>
            </w:tcBorders>
          </w:tcPr>
          <w:p w14:paraId="1CEA8108" w14:textId="3561E3B4"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 xml:space="preserve">1.750 </w:t>
            </w:r>
          </w:p>
        </w:tc>
        <w:tc>
          <w:tcPr>
            <w:tcW w:w="1417" w:type="dxa"/>
            <w:tcBorders>
              <w:top w:val="single" w:sz="4" w:space="0" w:color="auto"/>
              <w:left w:val="single" w:sz="4" w:space="0" w:color="auto"/>
              <w:bottom w:val="single" w:sz="4" w:space="0" w:color="auto"/>
              <w:right w:val="single" w:sz="4" w:space="0" w:color="auto"/>
            </w:tcBorders>
          </w:tcPr>
          <w:p w14:paraId="6B64C866" w14:textId="77777777" w:rsidR="007A44F5" w:rsidRPr="008533B0" w:rsidRDefault="007A44F5" w:rsidP="008533B0">
            <w:pPr>
              <w:rPr>
                <w:rFonts w:ascii="Arial" w:hAnsi="Arial" w:cs="Arial"/>
                <w:sz w:val="20"/>
                <w:szCs w:val="20"/>
                <w:lang w:val="en-US"/>
              </w:rPr>
            </w:pPr>
            <w:r w:rsidRPr="008533B0">
              <w:rPr>
                <w:rFonts w:ascii="Arial" w:hAnsi="Arial" w:cs="Arial"/>
                <w:sz w:val="20"/>
                <w:szCs w:val="20"/>
                <w:lang w:val="en-US"/>
              </w:rPr>
              <w:t>0.005</w:t>
            </w:r>
          </w:p>
        </w:tc>
      </w:tr>
      <w:bookmarkEnd w:id="2"/>
    </w:tbl>
    <w:p w14:paraId="18BD0592" w14:textId="77777777" w:rsidR="007A44F5" w:rsidRPr="008533B0" w:rsidRDefault="007A44F5" w:rsidP="008533B0">
      <w:pPr>
        <w:spacing w:line="240" w:lineRule="auto"/>
        <w:rPr>
          <w:rFonts w:ascii="Arial" w:hAnsi="Arial" w:cs="Arial"/>
          <w:sz w:val="20"/>
          <w:szCs w:val="20"/>
          <w:lang w:val="en-US"/>
        </w:rPr>
      </w:pPr>
    </w:p>
    <w:p w14:paraId="02DB219A" w14:textId="0118E835" w:rsidR="00D24D7F" w:rsidRPr="008533B0" w:rsidRDefault="003E1F14" w:rsidP="008533B0">
      <w:pPr>
        <w:spacing w:line="240" w:lineRule="auto"/>
        <w:rPr>
          <w:rFonts w:ascii="Arial" w:hAnsi="Arial" w:cs="Arial"/>
          <w:sz w:val="20"/>
          <w:szCs w:val="20"/>
          <w:lang w:val="en-US"/>
        </w:rPr>
      </w:pPr>
      <w:r w:rsidRPr="008533B0">
        <w:rPr>
          <w:rFonts w:ascii="Arial" w:hAnsi="Arial" w:cs="Arial"/>
          <w:sz w:val="20"/>
          <w:szCs w:val="20"/>
          <w:lang w:val="en-US"/>
        </w:rPr>
        <w:t xml:space="preserve">Ni is completely absent from the roots, stems and leaves of the studied plant. Nickel is toxic at high concentrations and high exposure has been associated with various pathologies </w:t>
      </w:r>
      <w:r w:rsidR="00C06CF5" w:rsidRPr="008533B0">
        <w:rPr>
          <w:rFonts w:ascii="Arial" w:hAnsi="Arial" w:cs="Arial"/>
          <w:sz w:val="20"/>
          <w:szCs w:val="20"/>
          <w:lang w:val="en-US"/>
        </w:rPr>
        <w:t>such as</w:t>
      </w:r>
      <w:r w:rsidRPr="008533B0">
        <w:rPr>
          <w:rFonts w:ascii="Arial" w:hAnsi="Arial" w:cs="Arial"/>
          <w:sz w:val="20"/>
          <w:szCs w:val="20"/>
          <w:lang w:val="en-US"/>
        </w:rPr>
        <w:t xml:space="preserve"> high blood pressure, neurological deficit, cardiovascular diseases and developmental disorders in children</w:t>
      </w:r>
      <w:r w:rsidR="00DA2A29" w:rsidRPr="008533B0">
        <w:rPr>
          <w:rFonts w:ascii="Arial" w:hAnsi="Arial" w:cs="Arial"/>
          <w:sz w:val="20"/>
          <w:szCs w:val="20"/>
          <w:lang w:val="en-US"/>
        </w:rPr>
        <w:t xml:space="preserve"> [4</w:t>
      </w:r>
      <w:r w:rsidR="0033376C" w:rsidRPr="008533B0">
        <w:rPr>
          <w:rFonts w:ascii="Arial" w:hAnsi="Arial" w:cs="Arial"/>
          <w:sz w:val="20"/>
          <w:szCs w:val="20"/>
          <w:lang w:val="en-US"/>
        </w:rPr>
        <w:t>9, 50</w:t>
      </w:r>
      <w:r w:rsidR="00DA2A29" w:rsidRPr="008533B0">
        <w:rPr>
          <w:rFonts w:ascii="Arial" w:hAnsi="Arial" w:cs="Arial"/>
          <w:sz w:val="20"/>
          <w:szCs w:val="20"/>
          <w:lang w:val="en-US"/>
        </w:rPr>
        <w:t>]</w:t>
      </w:r>
      <w:r w:rsidR="00E37E3D" w:rsidRPr="008533B0">
        <w:rPr>
          <w:rFonts w:ascii="Arial" w:hAnsi="Arial" w:cs="Arial"/>
          <w:sz w:val="20"/>
          <w:szCs w:val="20"/>
          <w:lang w:val="en-US"/>
        </w:rPr>
        <w:t>.</w:t>
      </w:r>
      <w:r w:rsidRPr="008533B0">
        <w:rPr>
          <w:rFonts w:ascii="Arial" w:hAnsi="Arial" w:cs="Arial"/>
          <w:sz w:val="20"/>
          <w:szCs w:val="20"/>
          <w:lang w:val="en-US"/>
        </w:rPr>
        <w:t xml:space="preserve"> The WHO permissible limit of Ni for medicinal plants remains to be established</w:t>
      </w:r>
      <w:r w:rsidR="00043018" w:rsidRPr="008533B0">
        <w:rPr>
          <w:rFonts w:ascii="Arial" w:hAnsi="Arial" w:cs="Arial"/>
          <w:sz w:val="20"/>
          <w:szCs w:val="20"/>
          <w:lang w:val="en-US"/>
        </w:rPr>
        <w:t xml:space="preserve"> but some authors </w:t>
      </w:r>
      <w:r w:rsidR="003139E4" w:rsidRPr="008533B0">
        <w:rPr>
          <w:rFonts w:ascii="Arial" w:hAnsi="Arial" w:cs="Arial"/>
          <w:sz w:val="20"/>
          <w:szCs w:val="20"/>
          <w:lang w:val="en-US"/>
        </w:rPr>
        <w:t>have estimated the daily</w:t>
      </w:r>
      <w:r w:rsidR="00D224F2" w:rsidRPr="008533B0">
        <w:rPr>
          <w:rFonts w:ascii="Arial" w:hAnsi="Arial" w:cs="Arial"/>
          <w:sz w:val="20"/>
          <w:szCs w:val="20"/>
          <w:lang w:val="en-US"/>
        </w:rPr>
        <w:t xml:space="preserve"> dietary</w:t>
      </w:r>
      <w:r w:rsidR="003139E4" w:rsidRPr="008533B0">
        <w:rPr>
          <w:rFonts w:ascii="Arial" w:hAnsi="Arial" w:cs="Arial"/>
          <w:sz w:val="20"/>
          <w:szCs w:val="20"/>
          <w:lang w:val="en-US"/>
        </w:rPr>
        <w:t xml:space="preserve"> intake of nickel</w:t>
      </w:r>
      <w:r w:rsidR="00D224F2" w:rsidRPr="008533B0">
        <w:rPr>
          <w:rFonts w:ascii="Arial" w:hAnsi="Arial" w:cs="Arial"/>
          <w:sz w:val="20"/>
          <w:szCs w:val="20"/>
          <w:lang w:val="en-US"/>
        </w:rPr>
        <w:t xml:space="preserve"> </w:t>
      </w:r>
      <w:r w:rsidR="00BF67C9" w:rsidRPr="008533B0">
        <w:rPr>
          <w:rFonts w:ascii="Arial" w:hAnsi="Arial" w:cs="Arial"/>
          <w:sz w:val="20"/>
          <w:szCs w:val="20"/>
          <w:lang w:val="en-US"/>
        </w:rPr>
        <w:t xml:space="preserve">between 70 </w:t>
      </w:r>
      <w:proofErr w:type="spellStart"/>
      <w:r w:rsidR="00BF67C9" w:rsidRPr="008533B0">
        <w:rPr>
          <w:rFonts w:ascii="Arial" w:hAnsi="Arial" w:cs="Arial"/>
          <w:sz w:val="20"/>
          <w:szCs w:val="20"/>
          <w:lang w:val="en-US"/>
        </w:rPr>
        <w:t>μg</w:t>
      </w:r>
      <w:proofErr w:type="spellEnd"/>
      <w:r w:rsidR="00BF67C9" w:rsidRPr="008533B0">
        <w:rPr>
          <w:rFonts w:ascii="Arial" w:hAnsi="Arial" w:cs="Arial"/>
          <w:sz w:val="20"/>
          <w:szCs w:val="20"/>
          <w:lang w:val="en-US"/>
        </w:rPr>
        <w:t xml:space="preserve"> and 400 </w:t>
      </w:r>
      <w:proofErr w:type="spellStart"/>
      <w:r w:rsidR="00BF67C9" w:rsidRPr="008533B0">
        <w:rPr>
          <w:rFonts w:ascii="Arial" w:hAnsi="Arial" w:cs="Arial"/>
          <w:sz w:val="20"/>
          <w:szCs w:val="20"/>
          <w:lang w:val="en-US"/>
        </w:rPr>
        <w:t>μg</w:t>
      </w:r>
      <w:proofErr w:type="spellEnd"/>
      <w:r w:rsidR="0033376C" w:rsidRPr="008533B0">
        <w:rPr>
          <w:rFonts w:ascii="Arial" w:hAnsi="Arial" w:cs="Arial"/>
          <w:sz w:val="20"/>
          <w:szCs w:val="20"/>
          <w:lang w:val="en-US"/>
        </w:rPr>
        <w:t xml:space="preserve"> [51]</w:t>
      </w:r>
      <w:r w:rsidRPr="008533B0">
        <w:rPr>
          <w:rFonts w:ascii="Arial" w:hAnsi="Arial" w:cs="Arial"/>
          <w:sz w:val="20"/>
          <w:szCs w:val="20"/>
          <w:lang w:val="en-US"/>
        </w:rPr>
        <w:t xml:space="preserve">. The Ni concentration in this study was lower than that reported by </w:t>
      </w:r>
      <w:proofErr w:type="spellStart"/>
      <w:r w:rsidRPr="008533B0">
        <w:rPr>
          <w:rFonts w:ascii="Arial" w:hAnsi="Arial" w:cs="Arial"/>
          <w:sz w:val="20"/>
          <w:szCs w:val="20"/>
          <w:lang w:val="en-US"/>
        </w:rPr>
        <w:t>Sulaiman</w:t>
      </w:r>
      <w:proofErr w:type="spellEnd"/>
      <w:r w:rsidRPr="008533B0">
        <w:rPr>
          <w:rFonts w:ascii="Arial" w:hAnsi="Arial" w:cs="Arial"/>
          <w:sz w:val="20"/>
          <w:szCs w:val="20"/>
          <w:lang w:val="en-US"/>
        </w:rPr>
        <w:t xml:space="preserve"> et al. which gives values ​​of 0.96 to 1.95 mg/Kg</w:t>
      </w:r>
      <w:r w:rsidR="0033376C" w:rsidRPr="008533B0">
        <w:rPr>
          <w:rFonts w:ascii="Arial" w:hAnsi="Arial" w:cs="Arial"/>
          <w:sz w:val="20"/>
          <w:szCs w:val="20"/>
          <w:lang w:val="en-US"/>
        </w:rPr>
        <w:t xml:space="preserve"> [52]</w:t>
      </w:r>
      <w:r w:rsidRPr="008533B0">
        <w:rPr>
          <w:rFonts w:ascii="Arial" w:hAnsi="Arial" w:cs="Arial"/>
          <w:sz w:val="20"/>
          <w:szCs w:val="20"/>
          <w:lang w:val="en-US"/>
        </w:rPr>
        <w:t>.</w:t>
      </w:r>
    </w:p>
    <w:p w14:paraId="15CB4E00" w14:textId="77777777" w:rsidR="00476B96" w:rsidRPr="008533B0" w:rsidRDefault="00476B96" w:rsidP="008533B0">
      <w:pPr>
        <w:spacing w:line="240" w:lineRule="auto"/>
        <w:rPr>
          <w:rFonts w:ascii="Arial" w:hAnsi="Arial" w:cs="Arial"/>
          <w:sz w:val="20"/>
          <w:szCs w:val="20"/>
          <w:lang w:val="en-US"/>
        </w:rPr>
      </w:pPr>
    </w:p>
    <w:p w14:paraId="61370BD1" w14:textId="76FA5389" w:rsidR="00517EDB" w:rsidRPr="008533B0" w:rsidRDefault="00A70BE0"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w:t>
      </w:r>
      <w:r w:rsidR="00061693" w:rsidRPr="008533B0">
        <w:rPr>
          <w:rFonts w:ascii="Arial" w:hAnsi="Arial" w:cs="Arial"/>
          <w:sz w:val="20"/>
          <w:szCs w:val="20"/>
          <w:lang w:val="en-US"/>
        </w:rPr>
        <w:t xml:space="preserve">concentration of Cu for roots, stems and leaves </w:t>
      </w:r>
      <w:r w:rsidR="00F97AB2" w:rsidRPr="008533B0">
        <w:rPr>
          <w:rFonts w:ascii="Arial" w:hAnsi="Arial" w:cs="Arial"/>
          <w:sz w:val="20"/>
          <w:szCs w:val="20"/>
          <w:lang w:val="en-US"/>
        </w:rPr>
        <w:t xml:space="preserve">of </w:t>
      </w:r>
      <w:proofErr w:type="spellStart"/>
      <w:r w:rsidR="00F97AB2" w:rsidRPr="008533B0">
        <w:rPr>
          <w:rFonts w:ascii="Arial" w:hAnsi="Arial" w:cs="Arial"/>
          <w:b/>
          <w:bCs/>
          <w:i/>
          <w:iCs/>
          <w:color w:val="000000" w:themeColor="text1"/>
          <w:sz w:val="20"/>
          <w:szCs w:val="20"/>
          <w:lang w:val="en-US"/>
        </w:rPr>
        <w:t>Stylochaeton</w:t>
      </w:r>
      <w:proofErr w:type="spellEnd"/>
      <w:r w:rsidR="00F97AB2" w:rsidRPr="008533B0">
        <w:rPr>
          <w:rFonts w:ascii="Arial" w:hAnsi="Arial" w:cs="Arial"/>
          <w:b/>
          <w:bCs/>
          <w:i/>
          <w:iCs/>
          <w:color w:val="000000" w:themeColor="text1"/>
          <w:sz w:val="20"/>
          <w:szCs w:val="20"/>
          <w:lang w:val="en-US"/>
        </w:rPr>
        <w:t xml:space="preserve"> </w:t>
      </w:r>
      <w:proofErr w:type="spellStart"/>
      <w:r w:rsidR="00F97AB2" w:rsidRPr="008533B0">
        <w:rPr>
          <w:rFonts w:ascii="Arial" w:hAnsi="Arial" w:cs="Arial"/>
          <w:b/>
          <w:bCs/>
          <w:i/>
          <w:iCs/>
          <w:color w:val="000000" w:themeColor="text1"/>
          <w:sz w:val="20"/>
          <w:szCs w:val="20"/>
          <w:lang w:val="en-US"/>
        </w:rPr>
        <w:t>hypogaeus</w:t>
      </w:r>
      <w:proofErr w:type="spellEnd"/>
      <w:r w:rsidR="00F97AB2" w:rsidRPr="008533B0">
        <w:rPr>
          <w:rFonts w:ascii="Arial" w:hAnsi="Arial" w:cs="Arial"/>
          <w:sz w:val="20"/>
          <w:szCs w:val="20"/>
          <w:lang w:val="en-US"/>
        </w:rPr>
        <w:t xml:space="preserve"> </w:t>
      </w:r>
      <w:r w:rsidR="00061693" w:rsidRPr="008533B0">
        <w:rPr>
          <w:rFonts w:ascii="Arial" w:hAnsi="Arial" w:cs="Arial"/>
          <w:sz w:val="20"/>
          <w:szCs w:val="20"/>
          <w:lang w:val="en-US"/>
        </w:rPr>
        <w:t>are,</w:t>
      </w:r>
      <w:r w:rsidR="00ED2A09" w:rsidRPr="008533B0">
        <w:rPr>
          <w:rFonts w:ascii="Arial" w:hAnsi="Arial" w:cs="Arial"/>
          <w:sz w:val="20"/>
          <w:szCs w:val="20"/>
          <w:lang w:val="en-US"/>
        </w:rPr>
        <w:t xml:space="preserve"> respectively, 3.700 mg/Kg, </w:t>
      </w:r>
      <w:r w:rsidR="0018283E" w:rsidRPr="008533B0">
        <w:rPr>
          <w:rFonts w:ascii="Arial" w:hAnsi="Arial" w:cs="Arial"/>
          <w:sz w:val="20"/>
          <w:szCs w:val="20"/>
          <w:lang w:val="en-US"/>
        </w:rPr>
        <w:t xml:space="preserve">3.500 mg/Kg and 3.600 mg/Kg. </w:t>
      </w:r>
      <w:r w:rsidR="00517EDB" w:rsidRPr="008533B0">
        <w:rPr>
          <w:rFonts w:ascii="Arial" w:hAnsi="Arial" w:cs="Arial"/>
          <w:sz w:val="20"/>
          <w:szCs w:val="20"/>
          <w:lang w:val="en-US"/>
        </w:rPr>
        <w:t>Copper is an essential component of many enzymes. It plays an important role in metabolism. It controls energy production, connective tissue formation, neurotransmitter synthesis, and iron metabolism. Despite its important roles, excess of Cu can cause significant disorders such as respiratory irritation, dermatitis, liver damage, vomiting, and other damage</w:t>
      </w:r>
      <w:r w:rsidR="00287EB1" w:rsidRPr="008533B0">
        <w:rPr>
          <w:rFonts w:ascii="Arial" w:hAnsi="Arial" w:cs="Arial"/>
          <w:sz w:val="20"/>
          <w:szCs w:val="20"/>
          <w:lang w:val="en-US"/>
        </w:rPr>
        <w:t xml:space="preserve"> [53–55]</w:t>
      </w:r>
      <w:r w:rsidR="001725B0" w:rsidRPr="008533B0">
        <w:rPr>
          <w:rFonts w:ascii="Arial" w:hAnsi="Arial" w:cs="Arial"/>
          <w:sz w:val="20"/>
          <w:szCs w:val="20"/>
          <w:lang w:val="en-US"/>
        </w:rPr>
        <w:t xml:space="preserve">. </w:t>
      </w:r>
      <w:r w:rsidR="00517EDB" w:rsidRPr="008533B0">
        <w:rPr>
          <w:rFonts w:ascii="Arial" w:hAnsi="Arial" w:cs="Arial"/>
          <w:sz w:val="20"/>
          <w:szCs w:val="20"/>
          <w:lang w:val="en-US"/>
        </w:rPr>
        <w:t xml:space="preserve">The results of our study show that roots, stems, and leaves have copper concentrations below the WHO limit (10 mg/kg) </w:t>
      </w:r>
      <w:r w:rsidR="007D4C15" w:rsidRPr="008533B0">
        <w:rPr>
          <w:rFonts w:ascii="Arial" w:hAnsi="Arial" w:cs="Arial"/>
          <w:sz w:val="20"/>
          <w:szCs w:val="20"/>
          <w:lang w:val="en-US"/>
        </w:rPr>
        <w:t>[56]</w:t>
      </w:r>
      <w:r w:rsidR="00517EDB" w:rsidRPr="008533B0">
        <w:rPr>
          <w:rFonts w:ascii="Arial" w:hAnsi="Arial" w:cs="Arial"/>
          <w:sz w:val="20"/>
          <w:szCs w:val="20"/>
          <w:lang w:val="en-US"/>
        </w:rPr>
        <w:t xml:space="preserve">. These values are lower than the limit value of 10 mg/Kg, defined by WHO /FAO </w:t>
      </w:r>
      <w:r w:rsidR="007D4C15" w:rsidRPr="008533B0">
        <w:rPr>
          <w:rFonts w:ascii="Arial" w:hAnsi="Arial" w:cs="Arial"/>
          <w:sz w:val="20"/>
          <w:szCs w:val="20"/>
          <w:lang w:val="en-US"/>
        </w:rPr>
        <w:t>[57]</w:t>
      </w:r>
      <w:r w:rsidR="00517EDB" w:rsidRPr="008533B0">
        <w:rPr>
          <w:rFonts w:ascii="Arial" w:hAnsi="Arial" w:cs="Arial"/>
          <w:sz w:val="20"/>
          <w:szCs w:val="20"/>
          <w:lang w:val="en-US"/>
        </w:rPr>
        <w:t xml:space="preserve"> for medicinal plants. Copper concentration is not of concern from the point of view of toxicity for roots, stems and leaves of </w:t>
      </w:r>
      <w:proofErr w:type="spellStart"/>
      <w:r w:rsidR="00517EDB" w:rsidRPr="008533B0">
        <w:rPr>
          <w:rFonts w:ascii="Arial" w:hAnsi="Arial" w:cs="Arial"/>
          <w:b/>
          <w:bCs/>
          <w:i/>
          <w:iCs/>
          <w:color w:val="000000" w:themeColor="text1"/>
          <w:sz w:val="20"/>
          <w:szCs w:val="20"/>
          <w:lang w:val="en-US"/>
        </w:rPr>
        <w:t>Stylochaeton</w:t>
      </w:r>
      <w:proofErr w:type="spellEnd"/>
      <w:r w:rsidR="00517EDB" w:rsidRPr="008533B0">
        <w:rPr>
          <w:rFonts w:ascii="Arial" w:hAnsi="Arial" w:cs="Arial"/>
          <w:b/>
          <w:bCs/>
          <w:i/>
          <w:iCs/>
          <w:color w:val="000000" w:themeColor="text1"/>
          <w:sz w:val="20"/>
          <w:szCs w:val="20"/>
          <w:lang w:val="en-US"/>
        </w:rPr>
        <w:t xml:space="preserve"> </w:t>
      </w:r>
      <w:proofErr w:type="spellStart"/>
      <w:r w:rsidR="00517EDB" w:rsidRPr="008533B0">
        <w:rPr>
          <w:rFonts w:ascii="Arial" w:hAnsi="Arial" w:cs="Arial"/>
          <w:b/>
          <w:bCs/>
          <w:i/>
          <w:iCs/>
          <w:color w:val="000000" w:themeColor="text1"/>
          <w:sz w:val="20"/>
          <w:szCs w:val="20"/>
          <w:lang w:val="en-US"/>
        </w:rPr>
        <w:t>hypogaeus</w:t>
      </w:r>
      <w:proofErr w:type="spellEnd"/>
      <w:r w:rsidR="00517EDB" w:rsidRPr="008533B0">
        <w:rPr>
          <w:rFonts w:ascii="Arial" w:hAnsi="Arial" w:cs="Arial"/>
          <w:sz w:val="20"/>
          <w:szCs w:val="20"/>
          <w:lang w:val="en-US"/>
        </w:rPr>
        <w:t xml:space="preserve"> consumption.</w:t>
      </w:r>
    </w:p>
    <w:p w14:paraId="3B1C611E" w14:textId="17CD2872" w:rsidR="00476B96" w:rsidRPr="008533B0" w:rsidRDefault="00476B96" w:rsidP="008533B0">
      <w:pPr>
        <w:spacing w:line="240" w:lineRule="auto"/>
        <w:rPr>
          <w:rFonts w:ascii="Arial" w:hAnsi="Arial" w:cs="Arial"/>
          <w:sz w:val="20"/>
          <w:szCs w:val="20"/>
          <w:lang w:val="en-US"/>
        </w:rPr>
      </w:pPr>
    </w:p>
    <w:p w14:paraId="5D58B256" w14:textId="574B19D2" w:rsidR="00476B96" w:rsidRPr="008533B0" w:rsidRDefault="00911665" w:rsidP="008533B0">
      <w:pPr>
        <w:spacing w:line="240" w:lineRule="auto"/>
        <w:rPr>
          <w:rFonts w:ascii="Arial" w:hAnsi="Arial" w:cs="Arial"/>
          <w:sz w:val="20"/>
          <w:szCs w:val="20"/>
          <w:lang w:val="en-US"/>
        </w:rPr>
      </w:pPr>
      <w:r w:rsidRPr="008533B0">
        <w:rPr>
          <w:rFonts w:ascii="Arial" w:hAnsi="Arial" w:cs="Arial"/>
          <w:sz w:val="20"/>
          <w:szCs w:val="20"/>
          <w:lang w:val="en-US"/>
        </w:rPr>
        <w:t xml:space="preserve">Zinc concentrations in roots, stems and leaves of </w:t>
      </w:r>
      <w:proofErr w:type="spellStart"/>
      <w:r w:rsidRPr="008533B0">
        <w:rPr>
          <w:rFonts w:ascii="Arial" w:hAnsi="Arial" w:cs="Arial"/>
          <w:sz w:val="20"/>
          <w:szCs w:val="20"/>
          <w:lang w:val="en-US"/>
        </w:rPr>
        <w:t>Stylochaeton</w:t>
      </w:r>
      <w:proofErr w:type="spellEnd"/>
      <w:r w:rsidRPr="008533B0">
        <w:rPr>
          <w:rFonts w:ascii="Arial" w:hAnsi="Arial" w:cs="Arial"/>
          <w:sz w:val="20"/>
          <w:szCs w:val="20"/>
          <w:lang w:val="en-US"/>
        </w:rPr>
        <w:t xml:space="preserve"> </w:t>
      </w:r>
      <w:proofErr w:type="spellStart"/>
      <w:r w:rsidRPr="008533B0">
        <w:rPr>
          <w:rFonts w:ascii="Arial" w:hAnsi="Arial" w:cs="Arial"/>
          <w:sz w:val="20"/>
          <w:szCs w:val="20"/>
          <w:lang w:val="en-US"/>
        </w:rPr>
        <w:t>hypogaeus</w:t>
      </w:r>
      <w:proofErr w:type="spellEnd"/>
      <w:r w:rsidRPr="008533B0">
        <w:rPr>
          <w:rFonts w:ascii="Arial" w:hAnsi="Arial" w:cs="Arial"/>
          <w:sz w:val="20"/>
          <w:szCs w:val="20"/>
          <w:lang w:val="en-US"/>
        </w:rPr>
        <w:t xml:space="preserve"> are in the range of 19.6-38.9 mg/Kg. The leaves are richer in zinc with a concentration of 38.9 mg/Kg while the stems have a content of 31.4 mg/Kg. The stems have a content of 19.6 mg/Kg. These different levels are below the authorized limit for edible plants which is set by FAO/WHO at 50 mg/Kg </w:t>
      </w:r>
      <w:r w:rsidR="00B07521" w:rsidRPr="008533B0">
        <w:rPr>
          <w:rFonts w:ascii="Arial" w:hAnsi="Arial" w:cs="Arial"/>
          <w:sz w:val="20"/>
          <w:szCs w:val="20"/>
          <w:lang w:val="en-US"/>
        </w:rPr>
        <w:t>[58]</w:t>
      </w:r>
      <w:r w:rsidRPr="008533B0">
        <w:rPr>
          <w:rFonts w:ascii="Arial" w:hAnsi="Arial" w:cs="Arial"/>
          <w:sz w:val="20"/>
          <w:szCs w:val="20"/>
          <w:lang w:val="en-US"/>
        </w:rPr>
        <w:t xml:space="preserve">. Zinc is a micronutrient essential for metabolism. It is involved in the activation of enzymes and proteins, and in the absorption of vitamins A and E </w:t>
      </w:r>
      <w:r w:rsidR="00B07521" w:rsidRPr="008533B0">
        <w:rPr>
          <w:rFonts w:ascii="Arial" w:hAnsi="Arial" w:cs="Arial"/>
          <w:sz w:val="20"/>
          <w:szCs w:val="20"/>
          <w:lang w:val="en-US"/>
        </w:rPr>
        <w:t>[59–61]</w:t>
      </w:r>
      <w:r w:rsidR="00E37E3D" w:rsidRPr="008533B0">
        <w:rPr>
          <w:rFonts w:ascii="Arial" w:hAnsi="Arial" w:cs="Arial"/>
          <w:sz w:val="20"/>
          <w:szCs w:val="20"/>
          <w:lang w:val="en-US"/>
        </w:rPr>
        <w:t>.</w:t>
      </w:r>
      <w:r w:rsidRPr="008533B0">
        <w:rPr>
          <w:rFonts w:ascii="Arial" w:hAnsi="Arial" w:cs="Arial"/>
          <w:sz w:val="20"/>
          <w:szCs w:val="20"/>
          <w:lang w:val="en-US"/>
        </w:rPr>
        <w:t xml:space="preserve"> It is toxic at high doses. It can cause ataxia, lethargy or gastrointestinal disturbances </w:t>
      </w:r>
      <w:r w:rsidR="00B07521" w:rsidRPr="008533B0">
        <w:rPr>
          <w:rFonts w:ascii="Arial" w:hAnsi="Arial" w:cs="Arial"/>
          <w:sz w:val="20"/>
          <w:szCs w:val="20"/>
          <w:lang w:val="en-US"/>
        </w:rPr>
        <w:t>[62]</w:t>
      </w:r>
      <w:r w:rsidRPr="008533B0">
        <w:rPr>
          <w:rFonts w:ascii="Arial" w:hAnsi="Arial" w:cs="Arial"/>
          <w:sz w:val="20"/>
          <w:szCs w:val="20"/>
          <w:lang w:val="en-US"/>
        </w:rPr>
        <w:t xml:space="preserve">. In </w:t>
      </w:r>
      <w:r w:rsidR="00F82B97" w:rsidRPr="008533B0">
        <w:rPr>
          <w:rFonts w:ascii="Arial" w:hAnsi="Arial" w:cs="Arial"/>
          <w:sz w:val="20"/>
          <w:szCs w:val="20"/>
          <w:lang w:val="en-US"/>
        </w:rPr>
        <w:t xml:space="preserve">young </w:t>
      </w:r>
      <w:r w:rsidRPr="008533B0">
        <w:rPr>
          <w:rFonts w:ascii="Arial" w:hAnsi="Arial" w:cs="Arial"/>
          <w:sz w:val="20"/>
          <w:szCs w:val="20"/>
          <w:lang w:val="en-US"/>
        </w:rPr>
        <w:t xml:space="preserve">children, excess zinc can </w:t>
      </w:r>
      <w:r w:rsidR="00BA429F" w:rsidRPr="008533B0">
        <w:rPr>
          <w:rFonts w:ascii="Arial" w:hAnsi="Arial" w:cs="Arial"/>
          <w:sz w:val="20"/>
          <w:szCs w:val="20"/>
          <w:lang w:val="en-US"/>
        </w:rPr>
        <w:t>lead to</w:t>
      </w:r>
      <w:r w:rsidR="003B397A" w:rsidRPr="008533B0">
        <w:rPr>
          <w:rFonts w:ascii="Arial" w:hAnsi="Arial" w:cs="Arial"/>
          <w:sz w:val="20"/>
          <w:szCs w:val="20"/>
          <w:lang w:val="en-US"/>
        </w:rPr>
        <w:t xml:space="preserve"> </w:t>
      </w:r>
      <w:r w:rsidRPr="008533B0">
        <w:rPr>
          <w:rFonts w:ascii="Arial" w:hAnsi="Arial" w:cs="Arial"/>
          <w:sz w:val="20"/>
          <w:szCs w:val="20"/>
          <w:lang w:val="en-US"/>
        </w:rPr>
        <w:t xml:space="preserve">growth </w:t>
      </w:r>
      <w:r w:rsidR="00D755C9" w:rsidRPr="008533B0">
        <w:rPr>
          <w:rFonts w:ascii="Arial" w:hAnsi="Arial" w:cs="Arial"/>
          <w:sz w:val="20"/>
          <w:szCs w:val="20"/>
          <w:lang w:val="en-US"/>
        </w:rPr>
        <w:t xml:space="preserve">retardation </w:t>
      </w:r>
      <w:r w:rsidR="00B07521" w:rsidRPr="008533B0">
        <w:rPr>
          <w:rFonts w:ascii="Arial" w:hAnsi="Arial" w:cs="Arial"/>
          <w:sz w:val="20"/>
          <w:szCs w:val="20"/>
          <w:lang w:val="en-US"/>
        </w:rPr>
        <w:t>[63]</w:t>
      </w:r>
      <w:r w:rsidR="00E17A6C" w:rsidRPr="008533B0">
        <w:rPr>
          <w:rFonts w:ascii="Arial" w:hAnsi="Arial" w:cs="Arial"/>
          <w:sz w:val="20"/>
          <w:szCs w:val="20"/>
          <w:lang w:val="en-US"/>
        </w:rPr>
        <w:t>.</w:t>
      </w:r>
    </w:p>
    <w:p w14:paraId="462ABC91" w14:textId="77777777" w:rsidR="00842082" w:rsidRPr="008533B0" w:rsidRDefault="00842082" w:rsidP="008533B0">
      <w:pPr>
        <w:spacing w:line="240" w:lineRule="auto"/>
        <w:rPr>
          <w:rFonts w:ascii="Arial" w:hAnsi="Arial" w:cs="Arial"/>
          <w:sz w:val="20"/>
          <w:szCs w:val="20"/>
          <w:lang w:val="en-US"/>
        </w:rPr>
      </w:pPr>
    </w:p>
    <w:p w14:paraId="31BB97D0" w14:textId="5267800C" w:rsidR="0086681C" w:rsidRPr="008533B0" w:rsidRDefault="00C05208"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highest Cd concentration is recorded in stems and leaves </w:t>
      </w:r>
      <w:r w:rsidR="009F1F2A" w:rsidRPr="008533B0">
        <w:rPr>
          <w:rFonts w:ascii="Arial" w:hAnsi="Arial" w:cs="Arial"/>
          <w:sz w:val="20"/>
          <w:szCs w:val="20"/>
          <w:lang w:val="en-US"/>
        </w:rPr>
        <w:t>with a value of</w:t>
      </w:r>
      <w:r w:rsidRPr="008533B0">
        <w:rPr>
          <w:rFonts w:ascii="Arial" w:hAnsi="Arial" w:cs="Arial"/>
          <w:sz w:val="20"/>
          <w:szCs w:val="20"/>
          <w:lang w:val="en-US"/>
        </w:rPr>
        <w:t xml:space="preserve"> 0.300 mg/Kg, while the roots have a content of 0.2 mg/Kg of Cd. The maximum limit authorized by WHO for Cd in traditional herbal products is 0.3 mg/Kg </w:t>
      </w:r>
      <w:r w:rsidR="0015684D" w:rsidRPr="008533B0">
        <w:rPr>
          <w:rFonts w:ascii="Arial" w:hAnsi="Arial" w:cs="Arial"/>
          <w:sz w:val="20"/>
          <w:szCs w:val="20"/>
          <w:lang w:val="en-US"/>
        </w:rPr>
        <w:t>[64]</w:t>
      </w:r>
      <w:r w:rsidRPr="008533B0">
        <w:rPr>
          <w:rFonts w:ascii="Arial" w:hAnsi="Arial" w:cs="Arial"/>
          <w:sz w:val="20"/>
          <w:szCs w:val="20"/>
          <w:lang w:val="en-US"/>
        </w:rPr>
        <w:t xml:space="preserve">. The Cd concentrations detected in all parts of this plant studied are in accordance with the limit authorized by WHO for medicinal plants and are lower than the values ​​reported for the plants </w:t>
      </w:r>
      <w:proofErr w:type="spellStart"/>
      <w:r w:rsidRPr="008533B0">
        <w:rPr>
          <w:rFonts w:ascii="Arial" w:hAnsi="Arial" w:cs="Arial"/>
          <w:i/>
          <w:iCs/>
          <w:sz w:val="20"/>
          <w:szCs w:val="20"/>
          <w:lang w:val="en-US"/>
        </w:rPr>
        <w:t>Gynostemma</w:t>
      </w:r>
      <w:proofErr w:type="spellEnd"/>
      <w:r w:rsidRPr="008533B0">
        <w:rPr>
          <w:rFonts w:ascii="Arial" w:hAnsi="Arial" w:cs="Arial"/>
          <w:i/>
          <w:iCs/>
          <w:sz w:val="20"/>
          <w:szCs w:val="20"/>
          <w:lang w:val="en-US"/>
        </w:rPr>
        <w:t xml:space="preserve"> </w:t>
      </w:r>
      <w:proofErr w:type="spellStart"/>
      <w:r w:rsidRPr="008533B0">
        <w:rPr>
          <w:rFonts w:ascii="Arial" w:hAnsi="Arial" w:cs="Arial"/>
          <w:i/>
          <w:iCs/>
          <w:sz w:val="20"/>
          <w:szCs w:val="20"/>
          <w:lang w:val="en-US"/>
        </w:rPr>
        <w:t>pentaphyllum</w:t>
      </w:r>
      <w:proofErr w:type="spellEnd"/>
      <w:r w:rsidRPr="008533B0">
        <w:rPr>
          <w:rFonts w:ascii="Arial" w:hAnsi="Arial" w:cs="Arial"/>
          <w:sz w:val="20"/>
          <w:szCs w:val="20"/>
          <w:lang w:val="en-US"/>
        </w:rPr>
        <w:t xml:space="preserve"> (1.57 mg/Kg) and </w:t>
      </w:r>
      <w:r w:rsidRPr="008533B0">
        <w:rPr>
          <w:rFonts w:ascii="Arial" w:hAnsi="Arial" w:cs="Arial"/>
          <w:i/>
          <w:iCs/>
          <w:sz w:val="20"/>
          <w:szCs w:val="20"/>
          <w:lang w:val="en-US"/>
        </w:rPr>
        <w:t xml:space="preserve">Stevia </w:t>
      </w:r>
      <w:proofErr w:type="spellStart"/>
      <w:r w:rsidRPr="008533B0">
        <w:rPr>
          <w:rFonts w:ascii="Arial" w:hAnsi="Arial" w:cs="Arial"/>
          <w:i/>
          <w:iCs/>
          <w:sz w:val="20"/>
          <w:szCs w:val="20"/>
          <w:lang w:val="en-US"/>
        </w:rPr>
        <w:t>rebaudiana</w:t>
      </w:r>
      <w:proofErr w:type="spellEnd"/>
      <w:r w:rsidRPr="008533B0">
        <w:rPr>
          <w:rFonts w:ascii="Arial" w:hAnsi="Arial" w:cs="Arial"/>
          <w:sz w:val="20"/>
          <w:szCs w:val="20"/>
          <w:lang w:val="en-US"/>
        </w:rPr>
        <w:t xml:space="preserve"> (0.68 mg/Kg) </w:t>
      </w:r>
      <w:r w:rsidR="0015684D" w:rsidRPr="008533B0">
        <w:rPr>
          <w:rFonts w:ascii="Arial" w:hAnsi="Arial" w:cs="Arial"/>
          <w:sz w:val="20"/>
          <w:szCs w:val="20"/>
          <w:lang w:val="en-US"/>
        </w:rPr>
        <w:t>[65]</w:t>
      </w:r>
      <w:r w:rsidRPr="008533B0">
        <w:rPr>
          <w:rFonts w:ascii="Arial" w:hAnsi="Arial" w:cs="Arial"/>
          <w:sz w:val="20"/>
          <w:szCs w:val="20"/>
          <w:lang w:val="en-US"/>
        </w:rPr>
        <w:t>. Consumption of herbal preparations containing high doses of Cd is recognized as extremely toxic and carcinogenic. Bioaccumulation can cause severe damage to the kidneys, skeleton, and lungs</w:t>
      </w:r>
      <w:r w:rsidR="00ED03EB" w:rsidRPr="008533B0">
        <w:rPr>
          <w:rFonts w:ascii="Arial" w:hAnsi="Arial" w:cs="Arial"/>
          <w:sz w:val="20"/>
          <w:szCs w:val="20"/>
          <w:lang w:val="en-US"/>
        </w:rPr>
        <w:t xml:space="preserve"> </w:t>
      </w:r>
      <w:r w:rsidR="0015684D" w:rsidRPr="008533B0">
        <w:rPr>
          <w:rFonts w:ascii="Arial" w:hAnsi="Arial" w:cs="Arial"/>
          <w:sz w:val="20"/>
          <w:szCs w:val="20"/>
          <w:lang w:val="en-US"/>
        </w:rPr>
        <w:t>[66, 67]</w:t>
      </w:r>
      <w:r w:rsidRPr="008533B0">
        <w:rPr>
          <w:rFonts w:ascii="Arial" w:hAnsi="Arial" w:cs="Arial"/>
          <w:sz w:val="20"/>
          <w:szCs w:val="20"/>
          <w:lang w:val="en-US"/>
        </w:rPr>
        <w:t>.</w:t>
      </w:r>
    </w:p>
    <w:p w14:paraId="0A2ECE99" w14:textId="77777777" w:rsidR="00BA7890" w:rsidRPr="008533B0" w:rsidRDefault="00BA7890" w:rsidP="008533B0">
      <w:pPr>
        <w:spacing w:line="240" w:lineRule="auto"/>
        <w:rPr>
          <w:rFonts w:ascii="Arial" w:hAnsi="Arial" w:cs="Arial"/>
          <w:sz w:val="20"/>
          <w:szCs w:val="20"/>
          <w:lang w:val="en-US"/>
        </w:rPr>
      </w:pPr>
    </w:p>
    <w:p w14:paraId="469D4D92" w14:textId="48B77962" w:rsidR="00BA7890" w:rsidRPr="008533B0" w:rsidRDefault="00F772EB" w:rsidP="008533B0">
      <w:pPr>
        <w:spacing w:line="240" w:lineRule="auto"/>
        <w:rPr>
          <w:rFonts w:ascii="Arial" w:hAnsi="Arial" w:cs="Arial"/>
          <w:sz w:val="20"/>
          <w:szCs w:val="20"/>
          <w:lang w:val="en-US"/>
        </w:rPr>
      </w:pPr>
      <w:r w:rsidRPr="008533B0">
        <w:rPr>
          <w:rFonts w:ascii="Arial" w:hAnsi="Arial" w:cs="Arial"/>
          <w:sz w:val="20"/>
          <w:szCs w:val="20"/>
          <w:lang w:val="en-US"/>
        </w:rPr>
        <w:t xml:space="preserve">Lead concentrations in the roots, stems and leaves of </w:t>
      </w:r>
      <w:proofErr w:type="spellStart"/>
      <w:r w:rsidRPr="008533B0">
        <w:rPr>
          <w:rFonts w:ascii="Arial" w:hAnsi="Arial" w:cs="Arial"/>
          <w:sz w:val="20"/>
          <w:szCs w:val="20"/>
          <w:lang w:val="en-US"/>
        </w:rPr>
        <w:t>Stylochaeton</w:t>
      </w:r>
      <w:proofErr w:type="spellEnd"/>
      <w:r w:rsidRPr="008533B0">
        <w:rPr>
          <w:rFonts w:ascii="Arial" w:hAnsi="Arial" w:cs="Arial"/>
          <w:sz w:val="20"/>
          <w:szCs w:val="20"/>
          <w:lang w:val="en-US"/>
        </w:rPr>
        <w:t xml:space="preserve"> </w:t>
      </w:r>
      <w:proofErr w:type="spellStart"/>
      <w:r w:rsidRPr="008533B0">
        <w:rPr>
          <w:rFonts w:ascii="Arial" w:hAnsi="Arial" w:cs="Arial"/>
          <w:sz w:val="20"/>
          <w:szCs w:val="20"/>
          <w:lang w:val="en-US"/>
        </w:rPr>
        <w:t>hypogaeus</w:t>
      </w:r>
      <w:proofErr w:type="spellEnd"/>
      <w:r w:rsidRPr="008533B0">
        <w:rPr>
          <w:rFonts w:ascii="Arial" w:hAnsi="Arial" w:cs="Arial"/>
          <w:sz w:val="20"/>
          <w:szCs w:val="20"/>
          <w:lang w:val="en-US"/>
        </w:rPr>
        <w:t xml:space="preserve"> are 2.4 mg/Kg, 1.6 mg/Kg and 1.0 mg/Kg respectively. All parts of the plant have a Pb concentration below the WHO limit of 10 mg/Kg </w:t>
      </w:r>
      <w:r w:rsidR="0015684D" w:rsidRPr="008533B0">
        <w:rPr>
          <w:rFonts w:ascii="Arial" w:hAnsi="Arial" w:cs="Arial"/>
          <w:sz w:val="20"/>
          <w:szCs w:val="20"/>
          <w:lang w:val="en-US"/>
        </w:rPr>
        <w:t>[64]</w:t>
      </w:r>
      <w:r w:rsidR="00A91572" w:rsidRPr="008533B0">
        <w:rPr>
          <w:rFonts w:ascii="Arial" w:hAnsi="Arial" w:cs="Arial"/>
          <w:sz w:val="20"/>
          <w:szCs w:val="20"/>
          <w:lang w:val="en-US"/>
        </w:rPr>
        <w:t>.</w:t>
      </w:r>
      <w:r w:rsidRPr="008533B0">
        <w:rPr>
          <w:rFonts w:ascii="Arial" w:hAnsi="Arial" w:cs="Arial"/>
          <w:sz w:val="20"/>
          <w:szCs w:val="20"/>
          <w:lang w:val="en-US"/>
        </w:rPr>
        <w:t xml:space="preserve"> Lead is one of the most toxic heavy metals that can cause brain and kidney damage, digestive, hearing and vision disorders, following high exposure</w:t>
      </w:r>
      <w:r w:rsidR="00C66BFE" w:rsidRPr="008533B0">
        <w:rPr>
          <w:rFonts w:ascii="Arial" w:hAnsi="Arial" w:cs="Arial"/>
          <w:sz w:val="20"/>
          <w:szCs w:val="20"/>
          <w:lang w:val="en-US"/>
        </w:rPr>
        <w:t xml:space="preserve"> [68]</w:t>
      </w:r>
      <w:r w:rsidRPr="008533B0">
        <w:rPr>
          <w:rFonts w:ascii="Arial" w:hAnsi="Arial" w:cs="Arial"/>
          <w:sz w:val="20"/>
          <w:szCs w:val="20"/>
          <w:lang w:val="en-US"/>
        </w:rPr>
        <w:t xml:space="preserve">. Even regular consumption of low-dose herbal preparations of </w:t>
      </w:r>
      <w:r w:rsidRPr="008533B0">
        <w:rPr>
          <w:rFonts w:ascii="Arial" w:hAnsi="Arial" w:cs="Arial"/>
          <w:sz w:val="20"/>
          <w:szCs w:val="20"/>
          <w:lang w:val="en-US"/>
        </w:rPr>
        <w:lastRenderedPageBreak/>
        <w:t xml:space="preserve">lead can cause serious damage due to bioaccumulation of this element in biological tissues </w:t>
      </w:r>
      <w:r w:rsidR="00C66BFE" w:rsidRPr="008533B0">
        <w:rPr>
          <w:rFonts w:ascii="Arial" w:hAnsi="Arial" w:cs="Arial"/>
          <w:sz w:val="20"/>
          <w:szCs w:val="20"/>
          <w:lang w:val="en-US"/>
        </w:rPr>
        <w:t>[69, 70]</w:t>
      </w:r>
      <w:r w:rsidRPr="008533B0">
        <w:rPr>
          <w:rFonts w:ascii="Arial" w:hAnsi="Arial" w:cs="Arial"/>
          <w:sz w:val="20"/>
          <w:szCs w:val="20"/>
          <w:lang w:val="en-US"/>
        </w:rPr>
        <w:t xml:space="preserve">. Other </w:t>
      </w:r>
      <w:proofErr w:type="gramStart"/>
      <w:r w:rsidRPr="008533B0">
        <w:rPr>
          <w:rFonts w:ascii="Arial" w:hAnsi="Arial" w:cs="Arial"/>
          <w:sz w:val="20"/>
          <w:szCs w:val="20"/>
          <w:lang w:val="en-US"/>
        </w:rPr>
        <w:t>authors  have</w:t>
      </w:r>
      <w:proofErr w:type="gramEnd"/>
      <w:r w:rsidRPr="008533B0">
        <w:rPr>
          <w:rFonts w:ascii="Arial" w:hAnsi="Arial" w:cs="Arial"/>
          <w:sz w:val="20"/>
          <w:szCs w:val="20"/>
          <w:lang w:val="en-US"/>
        </w:rPr>
        <w:t xml:space="preserve"> reported lead concentrations higher than the maximum limit permitted by WHO in medicinal plants </w:t>
      </w:r>
      <w:r w:rsidR="00C66BFE" w:rsidRPr="008533B0">
        <w:rPr>
          <w:rFonts w:ascii="Arial" w:hAnsi="Arial" w:cs="Arial"/>
          <w:sz w:val="20"/>
          <w:szCs w:val="20"/>
          <w:lang w:val="en-US"/>
        </w:rPr>
        <w:t>[71, 72]</w:t>
      </w:r>
      <w:r w:rsidR="00DA4FB1" w:rsidRPr="008533B0">
        <w:rPr>
          <w:rFonts w:ascii="Arial" w:hAnsi="Arial" w:cs="Arial"/>
          <w:sz w:val="20"/>
          <w:szCs w:val="20"/>
          <w:lang w:val="en-US"/>
        </w:rPr>
        <w:t>.</w:t>
      </w:r>
      <w:r w:rsidR="005369A6" w:rsidRPr="008533B0">
        <w:rPr>
          <w:rFonts w:ascii="Arial" w:hAnsi="Arial" w:cs="Arial"/>
          <w:sz w:val="20"/>
          <w:szCs w:val="20"/>
          <w:lang w:val="en-US"/>
        </w:rPr>
        <w:t xml:space="preserve"> </w:t>
      </w:r>
    </w:p>
    <w:p w14:paraId="76FCCCC4" w14:textId="77777777" w:rsidR="00770A96" w:rsidRPr="009D4D47" w:rsidRDefault="00770A96" w:rsidP="004256BB">
      <w:pPr>
        <w:pStyle w:val="Heading3"/>
        <w:rPr>
          <w:lang w:val="en-US"/>
        </w:rPr>
      </w:pPr>
      <w:r w:rsidRPr="009D4D47">
        <w:rPr>
          <w:lang w:val="en-US"/>
        </w:rPr>
        <w:t>Health Risk Assessment of Heavy Metals Analyzed</w:t>
      </w:r>
    </w:p>
    <w:p w14:paraId="78563A35" w14:textId="4F9F5B29" w:rsidR="00770A96" w:rsidRPr="008533B0" w:rsidRDefault="00865C85"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w:t>
      </w:r>
      <w:r w:rsidR="002C211B" w:rsidRPr="008533B0">
        <w:rPr>
          <w:rFonts w:ascii="Arial" w:hAnsi="Arial" w:cs="Arial"/>
          <w:sz w:val="20"/>
          <w:szCs w:val="20"/>
          <w:lang w:val="en-US"/>
        </w:rPr>
        <w:t>determination</w:t>
      </w:r>
      <w:r w:rsidRPr="008533B0">
        <w:rPr>
          <w:rFonts w:ascii="Arial" w:hAnsi="Arial" w:cs="Arial"/>
          <w:sz w:val="20"/>
          <w:szCs w:val="20"/>
          <w:lang w:val="en-US"/>
        </w:rPr>
        <w:t xml:space="preserve"> of the daily intake (EDI) of heavy metals is one of the essential tools for assessing </w:t>
      </w:r>
      <w:r w:rsidR="00977FF6" w:rsidRPr="008533B0">
        <w:rPr>
          <w:rFonts w:ascii="Arial" w:hAnsi="Arial" w:cs="Arial"/>
          <w:sz w:val="20"/>
          <w:szCs w:val="20"/>
          <w:lang w:val="en-US"/>
        </w:rPr>
        <w:t>health</w:t>
      </w:r>
      <w:r w:rsidRPr="008533B0">
        <w:rPr>
          <w:rFonts w:ascii="Arial" w:hAnsi="Arial" w:cs="Arial"/>
          <w:sz w:val="20"/>
          <w:szCs w:val="20"/>
          <w:lang w:val="en-US"/>
        </w:rPr>
        <w:t xml:space="preserve"> risk associated with the consumption of medicinal plant preparations. It integrates several parameters such as the consumer's body weight, the frequency of intake and the duration of consumption. In Table 5, the estimated daily intakes</w:t>
      </w:r>
      <w:r w:rsidR="00AE1CEE" w:rsidRPr="008533B0">
        <w:rPr>
          <w:rFonts w:ascii="Arial" w:hAnsi="Arial" w:cs="Arial"/>
          <w:sz w:val="20"/>
          <w:szCs w:val="20"/>
          <w:lang w:val="en-US"/>
        </w:rPr>
        <w:t xml:space="preserve"> (EDI) </w:t>
      </w:r>
      <w:r w:rsidRPr="008533B0">
        <w:rPr>
          <w:rFonts w:ascii="Arial" w:hAnsi="Arial" w:cs="Arial"/>
          <w:sz w:val="20"/>
          <w:szCs w:val="20"/>
          <w:lang w:val="en-US"/>
        </w:rPr>
        <w:t xml:space="preserve">of the different elements are listed. The values ​​found for the heavy metals Cr, Fe, Ni, Zn Cd and Pb are lower than the reference doses, thus suggesting that the consumption of preparations based on roots, stems or leaves of </w:t>
      </w:r>
      <w:proofErr w:type="spellStart"/>
      <w:r w:rsidRPr="008533B0">
        <w:rPr>
          <w:rFonts w:ascii="Arial" w:hAnsi="Arial" w:cs="Arial"/>
          <w:b/>
          <w:bCs/>
          <w:i/>
          <w:iCs/>
          <w:sz w:val="20"/>
          <w:szCs w:val="20"/>
          <w:lang w:val="en-US"/>
        </w:rPr>
        <w:t>Stylochaeton</w:t>
      </w:r>
      <w:proofErr w:type="spellEnd"/>
      <w:r w:rsidRPr="008533B0">
        <w:rPr>
          <w:rFonts w:ascii="Arial" w:hAnsi="Arial" w:cs="Arial"/>
          <w:b/>
          <w:bCs/>
          <w:i/>
          <w:iCs/>
          <w:sz w:val="20"/>
          <w:szCs w:val="20"/>
          <w:lang w:val="en-US"/>
        </w:rPr>
        <w:t xml:space="preserve"> </w:t>
      </w:r>
      <w:proofErr w:type="spellStart"/>
      <w:r w:rsidRPr="008533B0">
        <w:rPr>
          <w:rFonts w:ascii="Arial" w:hAnsi="Arial" w:cs="Arial"/>
          <w:b/>
          <w:bCs/>
          <w:i/>
          <w:iCs/>
          <w:sz w:val="20"/>
          <w:szCs w:val="20"/>
          <w:lang w:val="en-US"/>
        </w:rPr>
        <w:t>hypogaeus</w:t>
      </w:r>
      <w:proofErr w:type="spellEnd"/>
      <w:r w:rsidRPr="008533B0">
        <w:rPr>
          <w:rFonts w:ascii="Arial" w:hAnsi="Arial" w:cs="Arial"/>
          <w:sz w:val="20"/>
          <w:szCs w:val="20"/>
          <w:lang w:val="en-US"/>
        </w:rPr>
        <w:t xml:space="preserve"> does not pose any significant risk to the consumer's health.</w:t>
      </w:r>
    </w:p>
    <w:p w14:paraId="74AFB7BC" w14:textId="77777777" w:rsidR="00770A96" w:rsidRPr="008533B0" w:rsidRDefault="00770A96" w:rsidP="008533B0">
      <w:pPr>
        <w:spacing w:line="240" w:lineRule="auto"/>
        <w:rPr>
          <w:rFonts w:ascii="Arial" w:hAnsi="Arial" w:cs="Arial"/>
          <w:sz w:val="20"/>
          <w:szCs w:val="20"/>
          <w:lang w:val="en-US"/>
        </w:rPr>
      </w:pPr>
    </w:p>
    <w:p w14:paraId="21DF9FBA" w14:textId="5EF76D43" w:rsidR="00D00D79" w:rsidRPr="008533B0" w:rsidRDefault="00D00D79" w:rsidP="008533B0">
      <w:pPr>
        <w:spacing w:line="240" w:lineRule="auto"/>
        <w:rPr>
          <w:rFonts w:ascii="Arial" w:hAnsi="Arial" w:cs="Arial"/>
          <w:b/>
          <w:bCs/>
          <w:sz w:val="20"/>
          <w:szCs w:val="20"/>
          <w:lang w:val="en-US"/>
        </w:rPr>
      </w:pPr>
      <w:r w:rsidRPr="008533B0">
        <w:rPr>
          <w:rFonts w:ascii="Arial" w:hAnsi="Arial" w:cs="Arial"/>
          <w:b/>
          <w:bCs/>
          <w:sz w:val="20"/>
          <w:szCs w:val="20"/>
          <w:lang w:val="en-US"/>
        </w:rPr>
        <w:t xml:space="preserve">TABLE </w:t>
      </w:r>
      <w:r w:rsidR="00183256" w:rsidRPr="008533B0">
        <w:rPr>
          <w:rFonts w:ascii="Arial" w:hAnsi="Arial" w:cs="Arial"/>
          <w:b/>
          <w:bCs/>
          <w:sz w:val="20"/>
          <w:szCs w:val="20"/>
          <w:lang w:val="en-US"/>
        </w:rPr>
        <w:t>5</w:t>
      </w:r>
      <w:r w:rsidR="00855CA8" w:rsidRPr="008533B0">
        <w:rPr>
          <w:rFonts w:ascii="Arial" w:hAnsi="Arial" w:cs="Arial"/>
          <w:b/>
          <w:bCs/>
          <w:sz w:val="20"/>
          <w:szCs w:val="20"/>
          <w:lang w:val="en-US"/>
        </w:rPr>
        <w:t xml:space="preserve">. </w:t>
      </w:r>
      <w:r w:rsidRPr="008533B0">
        <w:rPr>
          <w:rFonts w:ascii="Arial" w:hAnsi="Arial" w:cs="Arial"/>
          <w:b/>
          <w:bCs/>
          <w:sz w:val="20"/>
          <w:szCs w:val="20"/>
          <w:lang w:val="en-US"/>
        </w:rPr>
        <w:t xml:space="preserve"> Estimated daily intake (mg/kg/day) according to the average concentration of each metal </w:t>
      </w:r>
      <w:r w:rsidR="001F451D" w:rsidRPr="008533B0">
        <w:rPr>
          <w:rFonts w:ascii="Arial" w:hAnsi="Arial" w:cs="Arial"/>
          <w:b/>
          <w:bCs/>
          <w:sz w:val="20"/>
          <w:szCs w:val="20"/>
        </w:rPr>
        <w:t xml:space="preserve">in roots, stems and leaves </w:t>
      </w:r>
      <w:r w:rsidR="009A4FE0" w:rsidRPr="008533B0">
        <w:rPr>
          <w:rFonts w:ascii="Arial" w:hAnsi="Arial" w:cs="Arial"/>
          <w:b/>
          <w:bCs/>
          <w:sz w:val="20"/>
          <w:szCs w:val="20"/>
        </w:rPr>
        <w:t>of</w:t>
      </w:r>
      <w:r w:rsidR="001F451D" w:rsidRPr="008533B0">
        <w:rPr>
          <w:rFonts w:ascii="Arial" w:hAnsi="Arial" w:cs="Arial"/>
          <w:b/>
          <w:bCs/>
          <w:sz w:val="20"/>
          <w:szCs w:val="20"/>
        </w:rPr>
        <w:t xml:space="preserve"> the </w:t>
      </w:r>
      <w:r w:rsidR="009A4FE0" w:rsidRPr="008533B0">
        <w:rPr>
          <w:rFonts w:ascii="Arial" w:hAnsi="Arial" w:cs="Arial"/>
          <w:b/>
          <w:bCs/>
          <w:sz w:val="20"/>
          <w:szCs w:val="20"/>
        </w:rPr>
        <w:t>medicinal plant</w:t>
      </w:r>
      <w:r w:rsidR="001F451D" w:rsidRPr="008533B0">
        <w:rPr>
          <w:rFonts w:ascii="Arial" w:hAnsi="Arial" w:cs="Arial"/>
          <w:b/>
          <w:bCs/>
          <w:sz w:val="20"/>
          <w:szCs w:val="20"/>
        </w:rPr>
        <w:t xml:space="preserve"> </w:t>
      </w:r>
      <w:r w:rsidRPr="008533B0">
        <w:rPr>
          <w:rFonts w:ascii="Arial" w:hAnsi="Arial" w:cs="Arial"/>
          <w:b/>
          <w:bCs/>
          <w:sz w:val="20"/>
          <w:szCs w:val="20"/>
          <w:lang w:val="en-US"/>
        </w:rPr>
        <w:t>for adults</w:t>
      </w:r>
    </w:p>
    <w:tbl>
      <w:tblPr>
        <w:tblW w:w="9080" w:type="dxa"/>
        <w:tblLook w:val="04A0" w:firstRow="1" w:lastRow="0" w:firstColumn="1" w:lastColumn="0" w:noHBand="0" w:noVBand="1"/>
      </w:tblPr>
      <w:tblGrid>
        <w:gridCol w:w="3400"/>
        <w:gridCol w:w="1660"/>
        <w:gridCol w:w="2080"/>
        <w:gridCol w:w="1940"/>
      </w:tblGrid>
      <w:tr w:rsidR="00D47A0E" w:rsidRPr="008533B0" w14:paraId="4DE3C37E" w14:textId="77777777" w:rsidTr="00A21C72">
        <w:trPr>
          <w:trHeight w:val="300"/>
        </w:trPr>
        <w:tc>
          <w:tcPr>
            <w:tcW w:w="3400" w:type="dxa"/>
            <w:tcBorders>
              <w:top w:val="single" w:sz="12" w:space="0" w:color="auto"/>
              <w:bottom w:val="single" w:sz="12" w:space="0" w:color="auto"/>
            </w:tcBorders>
            <w:vAlign w:val="center"/>
            <w:hideMark/>
          </w:tcPr>
          <w:p w14:paraId="1CBC42A8" w14:textId="77777777" w:rsidR="00D47A0E" w:rsidRPr="008533B0" w:rsidRDefault="00D47A0E" w:rsidP="008533B0">
            <w:pPr>
              <w:spacing w:line="240" w:lineRule="auto"/>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 xml:space="preserve">Part of Plant </w:t>
            </w:r>
          </w:p>
        </w:tc>
        <w:tc>
          <w:tcPr>
            <w:tcW w:w="1660" w:type="dxa"/>
            <w:tcBorders>
              <w:top w:val="single" w:sz="12" w:space="0" w:color="auto"/>
              <w:bottom w:val="single" w:sz="12" w:space="0" w:color="auto"/>
            </w:tcBorders>
            <w:vAlign w:val="center"/>
            <w:hideMark/>
          </w:tcPr>
          <w:p w14:paraId="7D55E79E" w14:textId="77777777" w:rsidR="00D47A0E" w:rsidRPr="008533B0" w:rsidRDefault="00D47A0E" w:rsidP="008533B0">
            <w:pPr>
              <w:spacing w:line="240" w:lineRule="auto"/>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Roots</w:t>
            </w:r>
          </w:p>
        </w:tc>
        <w:tc>
          <w:tcPr>
            <w:tcW w:w="2080" w:type="dxa"/>
            <w:tcBorders>
              <w:top w:val="single" w:sz="12" w:space="0" w:color="auto"/>
              <w:bottom w:val="single" w:sz="12" w:space="0" w:color="auto"/>
            </w:tcBorders>
            <w:vAlign w:val="center"/>
            <w:hideMark/>
          </w:tcPr>
          <w:p w14:paraId="63A38844" w14:textId="77777777" w:rsidR="00D47A0E" w:rsidRPr="008533B0" w:rsidRDefault="00D47A0E" w:rsidP="008533B0">
            <w:pPr>
              <w:spacing w:line="240" w:lineRule="auto"/>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Stems</w:t>
            </w:r>
          </w:p>
        </w:tc>
        <w:tc>
          <w:tcPr>
            <w:tcW w:w="1940" w:type="dxa"/>
            <w:tcBorders>
              <w:top w:val="single" w:sz="12" w:space="0" w:color="auto"/>
              <w:bottom w:val="single" w:sz="12" w:space="0" w:color="auto"/>
            </w:tcBorders>
            <w:vAlign w:val="center"/>
            <w:hideMark/>
          </w:tcPr>
          <w:p w14:paraId="13AF79E3" w14:textId="77777777" w:rsidR="00D47A0E" w:rsidRPr="008533B0" w:rsidRDefault="00D47A0E" w:rsidP="008533B0">
            <w:pPr>
              <w:spacing w:line="240" w:lineRule="auto"/>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Leaves</w:t>
            </w:r>
          </w:p>
        </w:tc>
      </w:tr>
      <w:tr w:rsidR="00D47A0E" w:rsidRPr="008533B0" w14:paraId="093196E8" w14:textId="77777777" w:rsidTr="00A21C72">
        <w:trPr>
          <w:trHeight w:val="315"/>
        </w:trPr>
        <w:tc>
          <w:tcPr>
            <w:tcW w:w="3400" w:type="dxa"/>
            <w:tcBorders>
              <w:top w:val="single" w:sz="12" w:space="0" w:color="auto"/>
            </w:tcBorders>
            <w:vAlign w:val="center"/>
            <w:hideMark/>
          </w:tcPr>
          <w:p w14:paraId="35CFA44C"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Na</w:t>
            </w:r>
          </w:p>
        </w:tc>
        <w:tc>
          <w:tcPr>
            <w:tcW w:w="1660" w:type="dxa"/>
            <w:tcBorders>
              <w:top w:val="single" w:sz="12" w:space="0" w:color="auto"/>
            </w:tcBorders>
            <w:vAlign w:val="center"/>
            <w:hideMark/>
          </w:tcPr>
          <w:p w14:paraId="79DEC42F" w14:textId="4A2EE6AA"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0.23</w:t>
            </w:r>
          </w:p>
        </w:tc>
        <w:tc>
          <w:tcPr>
            <w:tcW w:w="2080" w:type="dxa"/>
            <w:tcBorders>
              <w:top w:val="single" w:sz="12" w:space="0" w:color="auto"/>
            </w:tcBorders>
            <w:vAlign w:val="center"/>
            <w:hideMark/>
          </w:tcPr>
          <w:p w14:paraId="72193156" w14:textId="293A51E4"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2.0</w:t>
            </w:r>
            <w:r w:rsidR="006D1308" w:rsidRPr="008533B0">
              <w:rPr>
                <w:rFonts w:ascii="Arial" w:eastAsia="Times New Roman" w:hAnsi="Arial" w:cs="Arial"/>
                <w:color w:val="000000"/>
                <w:kern w:val="0"/>
                <w:sz w:val="20"/>
                <w:szCs w:val="20"/>
                <w:lang w:val="en-US"/>
                <w14:ligatures w14:val="none"/>
              </w:rPr>
              <w:t>6</w:t>
            </w:r>
          </w:p>
        </w:tc>
        <w:tc>
          <w:tcPr>
            <w:tcW w:w="1940" w:type="dxa"/>
            <w:tcBorders>
              <w:top w:val="single" w:sz="12" w:space="0" w:color="auto"/>
            </w:tcBorders>
            <w:vAlign w:val="center"/>
            <w:hideMark/>
          </w:tcPr>
          <w:p w14:paraId="4B86B098" w14:textId="0F735B89"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1.34</w:t>
            </w:r>
          </w:p>
        </w:tc>
      </w:tr>
      <w:tr w:rsidR="00D47A0E" w:rsidRPr="008533B0" w14:paraId="3D20A699" w14:textId="77777777" w:rsidTr="00A21C72">
        <w:trPr>
          <w:trHeight w:val="315"/>
        </w:trPr>
        <w:tc>
          <w:tcPr>
            <w:tcW w:w="3400" w:type="dxa"/>
            <w:vAlign w:val="center"/>
            <w:hideMark/>
          </w:tcPr>
          <w:p w14:paraId="4E76F408"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K</w:t>
            </w:r>
          </w:p>
        </w:tc>
        <w:tc>
          <w:tcPr>
            <w:tcW w:w="1660" w:type="dxa"/>
            <w:vAlign w:val="center"/>
            <w:hideMark/>
          </w:tcPr>
          <w:p w14:paraId="447CC81F" w14:textId="703EFC1C"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5.50</w:t>
            </w:r>
          </w:p>
        </w:tc>
        <w:tc>
          <w:tcPr>
            <w:tcW w:w="2080" w:type="dxa"/>
            <w:vAlign w:val="center"/>
            <w:hideMark/>
          </w:tcPr>
          <w:p w14:paraId="021638B7" w14:textId="3B5AC39F"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37.19</w:t>
            </w:r>
          </w:p>
        </w:tc>
        <w:tc>
          <w:tcPr>
            <w:tcW w:w="1940" w:type="dxa"/>
            <w:vAlign w:val="center"/>
            <w:hideMark/>
          </w:tcPr>
          <w:p w14:paraId="298A63BA" w14:textId="1D34D8F1"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24.29</w:t>
            </w:r>
          </w:p>
        </w:tc>
      </w:tr>
      <w:tr w:rsidR="00D47A0E" w:rsidRPr="008533B0" w14:paraId="6D186BD2" w14:textId="77777777" w:rsidTr="00A21C72">
        <w:trPr>
          <w:trHeight w:val="315"/>
        </w:trPr>
        <w:tc>
          <w:tcPr>
            <w:tcW w:w="3400" w:type="dxa"/>
            <w:vAlign w:val="center"/>
            <w:hideMark/>
          </w:tcPr>
          <w:p w14:paraId="28A405C3"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Mg</w:t>
            </w:r>
          </w:p>
        </w:tc>
        <w:tc>
          <w:tcPr>
            <w:tcW w:w="1660" w:type="dxa"/>
            <w:vAlign w:val="center"/>
            <w:hideMark/>
          </w:tcPr>
          <w:p w14:paraId="377DDCF0" w14:textId="386AB21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1.07</w:t>
            </w:r>
          </w:p>
        </w:tc>
        <w:tc>
          <w:tcPr>
            <w:tcW w:w="2080" w:type="dxa"/>
            <w:vAlign w:val="center"/>
            <w:hideMark/>
          </w:tcPr>
          <w:p w14:paraId="7291A785" w14:textId="240F7192"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1.61</w:t>
            </w:r>
          </w:p>
        </w:tc>
        <w:tc>
          <w:tcPr>
            <w:tcW w:w="1940" w:type="dxa"/>
            <w:vAlign w:val="center"/>
            <w:hideMark/>
          </w:tcPr>
          <w:p w14:paraId="58D48C55" w14:textId="4DCBC441"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3.5</w:t>
            </w:r>
            <w:r w:rsidR="006D1308" w:rsidRPr="008533B0">
              <w:rPr>
                <w:rFonts w:ascii="Arial" w:eastAsia="Times New Roman" w:hAnsi="Arial" w:cs="Arial"/>
                <w:color w:val="000000"/>
                <w:kern w:val="0"/>
                <w:sz w:val="20"/>
                <w:szCs w:val="20"/>
                <w:lang w:val="en-US"/>
                <w14:ligatures w14:val="none"/>
              </w:rPr>
              <w:t>7</w:t>
            </w:r>
          </w:p>
        </w:tc>
      </w:tr>
      <w:tr w:rsidR="00D47A0E" w:rsidRPr="008533B0" w14:paraId="0425DE5E" w14:textId="77777777" w:rsidTr="00A21C72">
        <w:trPr>
          <w:trHeight w:val="315"/>
        </w:trPr>
        <w:tc>
          <w:tcPr>
            <w:tcW w:w="3400" w:type="dxa"/>
            <w:vAlign w:val="center"/>
            <w:hideMark/>
          </w:tcPr>
          <w:p w14:paraId="5CED5A6A"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Ca</w:t>
            </w:r>
          </w:p>
        </w:tc>
        <w:tc>
          <w:tcPr>
            <w:tcW w:w="1660" w:type="dxa"/>
            <w:vAlign w:val="center"/>
            <w:hideMark/>
          </w:tcPr>
          <w:p w14:paraId="18B2698E" w14:textId="418C24C0"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6.7</w:t>
            </w:r>
            <w:r w:rsidR="006D1308" w:rsidRPr="008533B0">
              <w:rPr>
                <w:rFonts w:ascii="Arial" w:eastAsia="Times New Roman" w:hAnsi="Arial" w:cs="Arial"/>
                <w:color w:val="000000"/>
                <w:kern w:val="0"/>
                <w:sz w:val="20"/>
                <w:szCs w:val="20"/>
                <w:lang w:val="en-US"/>
                <w14:ligatures w14:val="none"/>
              </w:rPr>
              <w:t>7</w:t>
            </w:r>
          </w:p>
        </w:tc>
        <w:tc>
          <w:tcPr>
            <w:tcW w:w="2080" w:type="dxa"/>
            <w:vAlign w:val="center"/>
            <w:hideMark/>
          </w:tcPr>
          <w:p w14:paraId="0F882649" w14:textId="67498F2E"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6D1308" w:rsidRPr="008533B0">
              <w:rPr>
                <w:rFonts w:ascii="Arial" w:eastAsia="Times New Roman" w:hAnsi="Arial" w:cs="Arial"/>
                <w:color w:val="000000"/>
                <w:kern w:val="0"/>
                <w:sz w:val="20"/>
                <w:szCs w:val="20"/>
                <w:lang w:val="en-US"/>
                <w14:ligatures w14:val="none"/>
              </w:rPr>
              <w:t>70</w:t>
            </w:r>
          </w:p>
        </w:tc>
        <w:tc>
          <w:tcPr>
            <w:tcW w:w="1940" w:type="dxa"/>
            <w:vAlign w:val="center"/>
            <w:hideMark/>
          </w:tcPr>
          <w:p w14:paraId="75316CBF" w14:textId="0C06B693"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1.25</w:t>
            </w:r>
          </w:p>
        </w:tc>
      </w:tr>
      <w:tr w:rsidR="00D47A0E" w:rsidRPr="008533B0" w14:paraId="1014CF57" w14:textId="77777777" w:rsidTr="00A21C72">
        <w:trPr>
          <w:trHeight w:val="315"/>
        </w:trPr>
        <w:tc>
          <w:tcPr>
            <w:tcW w:w="3400" w:type="dxa"/>
            <w:vAlign w:val="center"/>
            <w:hideMark/>
          </w:tcPr>
          <w:p w14:paraId="3BD05CBE"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Cr</w:t>
            </w:r>
          </w:p>
        </w:tc>
        <w:tc>
          <w:tcPr>
            <w:tcW w:w="1660" w:type="dxa"/>
            <w:vAlign w:val="center"/>
            <w:hideMark/>
          </w:tcPr>
          <w:p w14:paraId="4382BF63" w14:textId="629DC092"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F409E4"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7</w:t>
            </w:r>
            <w:r w:rsidR="00F409E4" w:rsidRPr="008533B0">
              <w:rPr>
                <w:rFonts w:ascii="Arial" w:eastAsia="Times New Roman" w:hAnsi="Arial" w:cs="Arial"/>
                <w:color w:val="000000"/>
                <w:kern w:val="0"/>
                <w:sz w:val="20"/>
                <w:szCs w:val="20"/>
                <w:lang w:val="en-US"/>
                <w14:ligatures w14:val="none"/>
              </w:rPr>
              <w:t>1 x 10</w:t>
            </w:r>
            <w:r w:rsidR="00F409E4" w:rsidRPr="008533B0">
              <w:rPr>
                <w:rFonts w:ascii="Arial" w:eastAsia="Times New Roman" w:hAnsi="Arial" w:cs="Arial"/>
                <w:color w:val="000000"/>
                <w:kern w:val="0"/>
                <w:sz w:val="20"/>
                <w:szCs w:val="20"/>
                <w:vertAlign w:val="superscript"/>
                <w:lang w:val="en-US"/>
                <w14:ligatures w14:val="none"/>
              </w:rPr>
              <w:t>-3</w:t>
            </w:r>
          </w:p>
        </w:tc>
        <w:tc>
          <w:tcPr>
            <w:tcW w:w="2080" w:type="dxa"/>
            <w:vAlign w:val="center"/>
            <w:hideMark/>
          </w:tcPr>
          <w:p w14:paraId="09F5150E" w14:textId="2AC3A349"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5.87</w:t>
            </w:r>
            <w:r w:rsidR="007834F0" w:rsidRPr="008533B0">
              <w:rPr>
                <w:rFonts w:ascii="Arial" w:eastAsia="Times New Roman" w:hAnsi="Arial" w:cs="Arial"/>
                <w:color w:val="000000"/>
                <w:kern w:val="0"/>
                <w:sz w:val="20"/>
                <w:szCs w:val="20"/>
                <w:lang w:val="en-US"/>
                <w14:ligatures w14:val="none"/>
              </w:rPr>
              <w:t xml:space="preserve"> </w:t>
            </w:r>
            <w:r w:rsidR="00757C94" w:rsidRPr="008533B0">
              <w:rPr>
                <w:rFonts w:ascii="Arial" w:eastAsia="Times New Roman" w:hAnsi="Arial" w:cs="Arial"/>
                <w:color w:val="000000"/>
                <w:kern w:val="0"/>
                <w:sz w:val="20"/>
                <w:szCs w:val="20"/>
                <w:lang w:val="en-US"/>
                <w14:ligatures w14:val="none"/>
              </w:rPr>
              <w:t xml:space="preserve">x </w:t>
            </w:r>
            <w:r w:rsidR="007834F0" w:rsidRPr="008533B0">
              <w:rPr>
                <w:rFonts w:ascii="Arial" w:eastAsia="Times New Roman" w:hAnsi="Arial" w:cs="Arial"/>
                <w:color w:val="000000"/>
                <w:kern w:val="0"/>
                <w:sz w:val="20"/>
                <w:szCs w:val="20"/>
                <w:lang w:val="en-US"/>
                <w14:ligatures w14:val="none"/>
              </w:rPr>
              <w:t>10</w:t>
            </w:r>
            <w:r w:rsidR="007834F0" w:rsidRPr="008533B0">
              <w:rPr>
                <w:rFonts w:ascii="Arial" w:eastAsia="Times New Roman" w:hAnsi="Arial" w:cs="Arial"/>
                <w:color w:val="000000"/>
                <w:kern w:val="0"/>
                <w:sz w:val="20"/>
                <w:szCs w:val="20"/>
                <w:vertAlign w:val="superscript"/>
                <w:lang w:val="en-US"/>
                <w14:ligatures w14:val="none"/>
              </w:rPr>
              <w:t>-</w:t>
            </w:r>
            <w:r w:rsidRPr="008533B0">
              <w:rPr>
                <w:rFonts w:ascii="Arial" w:eastAsia="Times New Roman" w:hAnsi="Arial" w:cs="Arial"/>
                <w:color w:val="000000"/>
                <w:kern w:val="0"/>
                <w:sz w:val="20"/>
                <w:szCs w:val="20"/>
                <w:vertAlign w:val="superscript"/>
                <w:lang w:val="en-US"/>
                <w14:ligatures w14:val="none"/>
              </w:rPr>
              <w:t>5</w:t>
            </w:r>
          </w:p>
        </w:tc>
        <w:tc>
          <w:tcPr>
            <w:tcW w:w="1940" w:type="dxa"/>
            <w:vAlign w:val="center"/>
            <w:hideMark/>
          </w:tcPr>
          <w:p w14:paraId="1A3576A1" w14:textId="2B091C2E"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28</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-4</w:t>
            </w:r>
          </w:p>
        </w:tc>
      </w:tr>
      <w:tr w:rsidR="00D47A0E" w:rsidRPr="008533B0" w14:paraId="7CAE8DFE" w14:textId="77777777" w:rsidTr="00A21C72">
        <w:trPr>
          <w:trHeight w:val="315"/>
        </w:trPr>
        <w:tc>
          <w:tcPr>
            <w:tcW w:w="3400" w:type="dxa"/>
            <w:vAlign w:val="center"/>
            <w:hideMark/>
          </w:tcPr>
          <w:p w14:paraId="0962EFB6"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Fe</w:t>
            </w:r>
          </w:p>
        </w:tc>
        <w:tc>
          <w:tcPr>
            <w:tcW w:w="1660" w:type="dxa"/>
            <w:vAlign w:val="center"/>
            <w:hideMark/>
          </w:tcPr>
          <w:p w14:paraId="3392C7F3" w14:textId="7C3959D8"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0</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-1</w:t>
            </w:r>
          </w:p>
        </w:tc>
        <w:tc>
          <w:tcPr>
            <w:tcW w:w="2080" w:type="dxa"/>
            <w:vAlign w:val="center"/>
            <w:hideMark/>
          </w:tcPr>
          <w:p w14:paraId="210D7CE9" w14:textId="6E5A76FF"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68</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-2</w:t>
            </w:r>
          </w:p>
        </w:tc>
        <w:tc>
          <w:tcPr>
            <w:tcW w:w="1940" w:type="dxa"/>
            <w:vAlign w:val="center"/>
            <w:hideMark/>
          </w:tcPr>
          <w:p w14:paraId="1D7DC300" w14:textId="7C3F56A8"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20</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-1</w:t>
            </w:r>
          </w:p>
        </w:tc>
      </w:tr>
      <w:tr w:rsidR="00D47A0E" w:rsidRPr="008533B0" w14:paraId="5FA258C1" w14:textId="77777777" w:rsidTr="00A21C72">
        <w:trPr>
          <w:trHeight w:val="315"/>
        </w:trPr>
        <w:tc>
          <w:tcPr>
            <w:tcW w:w="3400" w:type="dxa"/>
            <w:vAlign w:val="center"/>
            <w:hideMark/>
          </w:tcPr>
          <w:p w14:paraId="4F8A55EA"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Ni</w:t>
            </w:r>
          </w:p>
        </w:tc>
        <w:tc>
          <w:tcPr>
            <w:tcW w:w="1660" w:type="dxa"/>
            <w:vAlign w:val="center"/>
            <w:hideMark/>
          </w:tcPr>
          <w:p w14:paraId="090EC99A"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w:t>
            </w:r>
          </w:p>
        </w:tc>
        <w:tc>
          <w:tcPr>
            <w:tcW w:w="2080" w:type="dxa"/>
            <w:vAlign w:val="center"/>
            <w:hideMark/>
          </w:tcPr>
          <w:p w14:paraId="1758D963"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w:t>
            </w:r>
          </w:p>
        </w:tc>
        <w:tc>
          <w:tcPr>
            <w:tcW w:w="1940" w:type="dxa"/>
            <w:vAlign w:val="center"/>
            <w:hideMark/>
          </w:tcPr>
          <w:p w14:paraId="46986688"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w:t>
            </w:r>
          </w:p>
        </w:tc>
      </w:tr>
      <w:tr w:rsidR="00D47A0E" w:rsidRPr="008533B0" w14:paraId="66E6221C" w14:textId="77777777" w:rsidTr="00A21C72">
        <w:trPr>
          <w:trHeight w:val="315"/>
        </w:trPr>
        <w:tc>
          <w:tcPr>
            <w:tcW w:w="3400" w:type="dxa"/>
            <w:vAlign w:val="center"/>
            <w:hideMark/>
          </w:tcPr>
          <w:p w14:paraId="7233CCC9"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Cu</w:t>
            </w:r>
          </w:p>
        </w:tc>
        <w:tc>
          <w:tcPr>
            <w:tcW w:w="1660" w:type="dxa"/>
            <w:vAlign w:val="center"/>
            <w:hideMark/>
          </w:tcPr>
          <w:p w14:paraId="484431B5" w14:textId="2345F7CD"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17</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-3</w:t>
            </w:r>
          </w:p>
        </w:tc>
        <w:tc>
          <w:tcPr>
            <w:tcW w:w="2080" w:type="dxa"/>
            <w:vAlign w:val="center"/>
            <w:hideMark/>
          </w:tcPr>
          <w:p w14:paraId="7B33BBCD" w14:textId="47C281BE"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154FA3"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05</w:t>
            </w:r>
            <w:r w:rsidR="00154FA3" w:rsidRPr="008533B0">
              <w:rPr>
                <w:rFonts w:ascii="Arial" w:eastAsia="Times New Roman" w:hAnsi="Arial" w:cs="Arial"/>
                <w:color w:val="000000"/>
                <w:kern w:val="0"/>
                <w:sz w:val="20"/>
                <w:szCs w:val="20"/>
                <w:lang w:val="en-US"/>
                <w14:ligatures w14:val="none"/>
              </w:rPr>
              <w:t xml:space="preserve"> x 10</w:t>
            </w:r>
            <w:r w:rsidR="00154FA3" w:rsidRPr="008533B0">
              <w:rPr>
                <w:rFonts w:ascii="Arial" w:eastAsia="Times New Roman" w:hAnsi="Arial" w:cs="Arial"/>
                <w:color w:val="000000"/>
                <w:kern w:val="0"/>
                <w:sz w:val="20"/>
                <w:szCs w:val="20"/>
                <w:vertAlign w:val="superscript"/>
                <w:lang w:val="en-US"/>
                <w14:ligatures w14:val="none"/>
              </w:rPr>
              <w:t>-</w:t>
            </w:r>
            <w:r w:rsidR="007315C9" w:rsidRPr="008533B0">
              <w:rPr>
                <w:rFonts w:ascii="Arial" w:eastAsia="Times New Roman" w:hAnsi="Arial" w:cs="Arial"/>
                <w:color w:val="000000"/>
                <w:kern w:val="0"/>
                <w:sz w:val="20"/>
                <w:szCs w:val="20"/>
                <w:vertAlign w:val="superscript"/>
                <w:lang w:val="en-US"/>
                <w14:ligatures w14:val="none"/>
              </w:rPr>
              <w:t>3</w:t>
            </w:r>
          </w:p>
        </w:tc>
        <w:tc>
          <w:tcPr>
            <w:tcW w:w="1940" w:type="dxa"/>
            <w:vAlign w:val="center"/>
            <w:hideMark/>
          </w:tcPr>
          <w:p w14:paraId="0AB89984" w14:textId="1AFBB9CA"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11</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-3</w:t>
            </w:r>
          </w:p>
        </w:tc>
      </w:tr>
      <w:tr w:rsidR="00D47A0E" w:rsidRPr="008533B0" w14:paraId="6B73A0C2" w14:textId="77777777" w:rsidTr="00A21C72">
        <w:trPr>
          <w:trHeight w:val="315"/>
        </w:trPr>
        <w:tc>
          <w:tcPr>
            <w:tcW w:w="3400" w:type="dxa"/>
            <w:vAlign w:val="center"/>
            <w:hideMark/>
          </w:tcPr>
          <w:p w14:paraId="25B77F1D"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Zn</w:t>
            </w:r>
          </w:p>
        </w:tc>
        <w:tc>
          <w:tcPr>
            <w:tcW w:w="1660" w:type="dxa"/>
            <w:vAlign w:val="center"/>
            <w:hideMark/>
          </w:tcPr>
          <w:p w14:paraId="0B944771" w14:textId="3C5EFF60"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28</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-2</w:t>
            </w:r>
          </w:p>
        </w:tc>
        <w:tc>
          <w:tcPr>
            <w:tcW w:w="2080" w:type="dxa"/>
            <w:vAlign w:val="center"/>
            <w:hideMark/>
          </w:tcPr>
          <w:p w14:paraId="52856D9A" w14:textId="2F589C21"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84</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-2</w:t>
            </w:r>
          </w:p>
        </w:tc>
        <w:tc>
          <w:tcPr>
            <w:tcW w:w="1940" w:type="dxa"/>
            <w:vAlign w:val="center"/>
            <w:hideMark/>
          </w:tcPr>
          <w:p w14:paraId="63CA8595" w14:textId="14003508"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15</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-2</w:t>
            </w:r>
          </w:p>
        </w:tc>
      </w:tr>
      <w:tr w:rsidR="00D47A0E" w:rsidRPr="008533B0" w14:paraId="7C8ACF9A" w14:textId="77777777" w:rsidTr="00A21C72">
        <w:trPr>
          <w:trHeight w:val="315"/>
        </w:trPr>
        <w:tc>
          <w:tcPr>
            <w:tcW w:w="3400" w:type="dxa"/>
            <w:vAlign w:val="center"/>
            <w:hideMark/>
          </w:tcPr>
          <w:p w14:paraId="4DEB2770"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Cd</w:t>
            </w:r>
          </w:p>
        </w:tc>
        <w:tc>
          <w:tcPr>
            <w:tcW w:w="1660" w:type="dxa"/>
            <w:vAlign w:val="center"/>
            <w:hideMark/>
          </w:tcPr>
          <w:p w14:paraId="5154E25B" w14:textId="229DA97A"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17</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c>
          <w:tcPr>
            <w:tcW w:w="2080" w:type="dxa"/>
            <w:vAlign w:val="center"/>
            <w:hideMark/>
          </w:tcPr>
          <w:p w14:paraId="407CA1C3" w14:textId="43DC5659"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76</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c>
          <w:tcPr>
            <w:tcW w:w="1940" w:type="dxa"/>
            <w:vAlign w:val="center"/>
            <w:hideMark/>
          </w:tcPr>
          <w:p w14:paraId="0856947A" w14:textId="28511623"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76</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r>
      <w:tr w:rsidR="00D47A0E" w:rsidRPr="008533B0" w14:paraId="552D3437" w14:textId="77777777" w:rsidTr="00A21C72">
        <w:trPr>
          <w:trHeight w:val="315"/>
        </w:trPr>
        <w:tc>
          <w:tcPr>
            <w:tcW w:w="3400" w:type="dxa"/>
            <w:tcBorders>
              <w:bottom w:val="single" w:sz="12" w:space="0" w:color="auto"/>
            </w:tcBorders>
            <w:vAlign w:val="center"/>
            <w:hideMark/>
          </w:tcPr>
          <w:p w14:paraId="744B4B7E" w14:textId="77777777"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Pb</w:t>
            </w:r>
          </w:p>
        </w:tc>
        <w:tc>
          <w:tcPr>
            <w:tcW w:w="1660" w:type="dxa"/>
            <w:tcBorders>
              <w:bottom w:val="single" w:sz="12" w:space="0" w:color="auto"/>
            </w:tcBorders>
            <w:vAlign w:val="center"/>
            <w:hideMark/>
          </w:tcPr>
          <w:p w14:paraId="079C070E" w14:textId="69F5BCA3"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4</w:t>
            </w:r>
            <w:r w:rsidR="007315C9" w:rsidRPr="008533B0">
              <w:rPr>
                <w:rFonts w:ascii="Arial" w:eastAsia="Times New Roman" w:hAnsi="Arial" w:cs="Arial"/>
                <w:color w:val="000000"/>
                <w:kern w:val="0"/>
                <w:sz w:val="20"/>
                <w:szCs w:val="20"/>
                <w:lang w:val="en-US"/>
                <w14:ligatures w14:val="none"/>
              </w:rPr>
              <w:t>1 x 10</w:t>
            </w:r>
            <w:r w:rsidR="007315C9" w:rsidRPr="008533B0">
              <w:rPr>
                <w:rFonts w:ascii="Arial" w:eastAsia="Times New Roman" w:hAnsi="Arial" w:cs="Arial"/>
                <w:color w:val="000000"/>
                <w:kern w:val="0"/>
                <w:sz w:val="20"/>
                <w:szCs w:val="20"/>
                <w:vertAlign w:val="superscript"/>
                <w:lang w:val="en-US"/>
                <w14:ligatures w14:val="none"/>
              </w:rPr>
              <w:t>-3</w:t>
            </w:r>
          </w:p>
        </w:tc>
        <w:tc>
          <w:tcPr>
            <w:tcW w:w="2080" w:type="dxa"/>
            <w:tcBorders>
              <w:bottom w:val="single" w:sz="12" w:space="0" w:color="auto"/>
            </w:tcBorders>
            <w:vAlign w:val="center"/>
            <w:hideMark/>
          </w:tcPr>
          <w:p w14:paraId="07C75551" w14:textId="71CFE9BF"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9</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39</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c>
          <w:tcPr>
            <w:tcW w:w="1940" w:type="dxa"/>
            <w:tcBorders>
              <w:bottom w:val="single" w:sz="12" w:space="0" w:color="auto"/>
            </w:tcBorders>
            <w:vAlign w:val="center"/>
            <w:hideMark/>
          </w:tcPr>
          <w:p w14:paraId="0520C4DE" w14:textId="45EEB68D" w:rsidR="00D47A0E" w:rsidRPr="008533B0" w:rsidRDefault="00D47A0E" w:rsidP="008533B0">
            <w:pPr>
              <w:spacing w:line="240" w:lineRule="auto"/>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w:t>
            </w:r>
            <w:r w:rsidR="007315C9" w:rsidRPr="008533B0">
              <w:rPr>
                <w:rFonts w:ascii="Arial" w:eastAsia="Times New Roman" w:hAnsi="Arial" w:cs="Arial"/>
                <w:color w:val="000000"/>
                <w:kern w:val="0"/>
                <w:sz w:val="20"/>
                <w:szCs w:val="20"/>
                <w:lang w:val="en-US"/>
                <w14:ligatures w14:val="none"/>
              </w:rPr>
              <w:t>.</w:t>
            </w:r>
            <w:r w:rsidRPr="008533B0">
              <w:rPr>
                <w:rFonts w:ascii="Arial" w:eastAsia="Times New Roman" w:hAnsi="Arial" w:cs="Arial"/>
                <w:color w:val="000000"/>
                <w:kern w:val="0"/>
                <w:sz w:val="20"/>
                <w:szCs w:val="20"/>
                <w:lang w:val="en-US"/>
                <w14:ligatures w14:val="none"/>
              </w:rPr>
              <w:t>87</w:t>
            </w:r>
            <w:r w:rsidR="007315C9" w:rsidRPr="008533B0">
              <w:rPr>
                <w:rFonts w:ascii="Arial" w:eastAsia="Times New Roman" w:hAnsi="Arial" w:cs="Arial"/>
                <w:color w:val="000000"/>
                <w:kern w:val="0"/>
                <w:sz w:val="20"/>
                <w:szCs w:val="20"/>
                <w:lang w:val="en-US"/>
                <w14:ligatures w14:val="none"/>
              </w:rPr>
              <w:t xml:space="preserve"> x 10</w:t>
            </w:r>
            <w:r w:rsidR="007315C9" w:rsidRPr="008533B0">
              <w:rPr>
                <w:rFonts w:ascii="Arial" w:eastAsia="Times New Roman" w:hAnsi="Arial" w:cs="Arial"/>
                <w:color w:val="000000"/>
                <w:kern w:val="0"/>
                <w:sz w:val="20"/>
                <w:szCs w:val="20"/>
                <w:vertAlign w:val="superscript"/>
                <w:lang w:val="en-US"/>
                <w14:ligatures w14:val="none"/>
              </w:rPr>
              <w:t>-4</w:t>
            </w:r>
          </w:p>
        </w:tc>
      </w:tr>
    </w:tbl>
    <w:p w14:paraId="1AA51BE3" w14:textId="77777777" w:rsidR="00C436BE" w:rsidRPr="008533B0" w:rsidRDefault="00C436BE" w:rsidP="008533B0">
      <w:pPr>
        <w:spacing w:line="240" w:lineRule="auto"/>
        <w:rPr>
          <w:rFonts w:ascii="Arial" w:hAnsi="Arial" w:cs="Arial"/>
          <w:sz w:val="20"/>
          <w:szCs w:val="20"/>
          <w:lang w:val="en-US"/>
        </w:rPr>
      </w:pPr>
    </w:p>
    <w:p w14:paraId="18BA2838" w14:textId="77777777" w:rsidR="00131108" w:rsidRPr="008533B0" w:rsidRDefault="00131108" w:rsidP="009D4D47">
      <w:pPr>
        <w:pStyle w:val="Heading3"/>
      </w:pPr>
      <w:r w:rsidRPr="008533B0">
        <w:t>Non-</w:t>
      </w:r>
      <w:proofErr w:type="spellStart"/>
      <w:r w:rsidRPr="008533B0">
        <w:t>Carcinogenic</w:t>
      </w:r>
      <w:proofErr w:type="spellEnd"/>
      <w:r w:rsidRPr="008533B0">
        <w:t xml:space="preserve"> Risk </w:t>
      </w:r>
      <w:proofErr w:type="spellStart"/>
      <w:r w:rsidRPr="008533B0">
        <w:t>Assessment</w:t>
      </w:r>
      <w:proofErr w:type="spellEnd"/>
    </w:p>
    <w:p w14:paraId="17E3F7EB" w14:textId="20E2E5E0" w:rsidR="006E580C" w:rsidRPr="008533B0" w:rsidRDefault="00131108" w:rsidP="008533B0">
      <w:pPr>
        <w:spacing w:line="240" w:lineRule="auto"/>
        <w:rPr>
          <w:rFonts w:ascii="Arial" w:hAnsi="Arial" w:cs="Arial"/>
          <w:sz w:val="20"/>
          <w:szCs w:val="20"/>
          <w:lang w:val="en-US"/>
        </w:rPr>
      </w:pPr>
      <w:r w:rsidRPr="008533B0">
        <w:rPr>
          <w:rFonts w:ascii="Arial" w:hAnsi="Arial" w:cs="Arial"/>
          <w:sz w:val="20"/>
          <w:szCs w:val="20"/>
          <w:lang w:val="en-US"/>
        </w:rPr>
        <w:t xml:space="preserve">Table 6 presents the non-carcinogenic risk quotient (THQ) and the non-carcinogenic risk index (HI). For all heavy metals Cr, Fe, Ni, Cu, Zn, Cd, and Pb in the various organs of the medicinal plant </w:t>
      </w:r>
      <w:proofErr w:type="spellStart"/>
      <w:r w:rsidRPr="008533B0">
        <w:rPr>
          <w:rFonts w:ascii="Arial" w:hAnsi="Arial" w:cs="Arial"/>
          <w:b/>
          <w:bCs/>
          <w:i/>
          <w:iCs/>
          <w:sz w:val="20"/>
          <w:szCs w:val="20"/>
          <w:lang w:val="en-US"/>
        </w:rPr>
        <w:t>Stylochaeton</w:t>
      </w:r>
      <w:proofErr w:type="spellEnd"/>
      <w:r w:rsidRPr="008533B0">
        <w:rPr>
          <w:rFonts w:ascii="Arial" w:hAnsi="Arial" w:cs="Arial"/>
          <w:b/>
          <w:bCs/>
          <w:i/>
          <w:iCs/>
          <w:sz w:val="20"/>
          <w:szCs w:val="20"/>
          <w:lang w:val="en-US"/>
        </w:rPr>
        <w:t xml:space="preserve"> </w:t>
      </w:r>
      <w:proofErr w:type="spellStart"/>
      <w:r w:rsidRPr="008533B0">
        <w:rPr>
          <w:rFonts w:ascii="Arial" w:hAnsi="Arial" w:cs="Arial"/>
          <w:b/>
          <w:bCs/>
          <w:i/>
          <w:iCs/>
          <w:sz w:val="20"/>
          <w:szCs w:val="20"/>
          <w:lang w:val="en-US"/>
        </w:rPr>
        <w:t>hypogaeus</w:t>
      </w:r>
      <w:proofErr w:type="spellEnd"/>
      <w:r w:rsidRPr="008533B0">
        <w:rPr>
          <w:rFonts w:ascii="Arial" w:hAnsi="Arial" w:cs="Arial"/>
          <w:sz w:val="20"/>
          <w:szCs w:val="20"/>
          <w:lang w:val="en-US"/>
        </w:rPr>
        <w:t xml:space="preserve">, the THQ values ​​are all less than 1. These findings suggest that the consumption of preparations made from the roots, stems, or leaves of </w:t>
      </w:r>
      <w:proofErr w:type="spellStart"/>
      <w:r w:rsidRPr="008533B0">
        <w:rPr>
          <w:rFonts w:ascii="Arial" w:hAnsi="Arial" w:cs="Arial"/>
          <w:b/>
          <w:bCs/>
          <w:i/>
          <w:iCs/>
          <w:sz w:val="20"/>
          <w:szCs w:val="20"/>
          <w:lang w:val="en-US"/>
        </w:rPr>
        <w:t>Stylochaeton</w:t>
      </w:r>
      <w:proofErr w:type="spellEnd"/>
      <w:r w:rsidRPr="008533B0">
        <w:rPr>
          <w:rFonts w:ascii="Arial" w:hAnsi="Arial" w:cs="Arial"/>
          <w:b/>
          <w:bCs/>
          <w:i/>
          <w:iCs/>
          <w:sz w:val="20"/>
          <w:szCs w:val="20"/>
          <w:lang w:val="en-US"/>
        </w:rPr>
        <w:t xml:space="preserve"> </w:t>
      </w:r>
      <w:proofErr w:type="spellStart"/>
      <w:r w:rsidRPr="008533B0">
        <w:rPr>
          <w:rFonts w:ascii="Arial" w:hAnsi="Arial" w:cs="Arial"/>
          <w:b/>
          <w:bCs/>
          <w:i/>
          <w:iCs/>
          <w:sz w:val="20"/>
          <w:szCs w:val="20"/>
          <w:lang w:val="en-US"/>
        </w:rPr>
        <w:t>hypogaeus</w:t>
      </w:r>
      <w:proofErr w:type="spellEnd"/>
      <w:r w:rsidRPr="008533B0">
        <w:rPr>
          <w:rFonts w:ascii="Arial" w:hAnsi="Arial" w:cs="Arial"/>
          <w:sz w:val="20"/>
          <w:szCs w:val="20"/>
          <w:lang w:val="en-US"/>
        </w:rPr>
        <w:t xml:space="preserve"> poses no health risks to consumers. The HI values ​​are less than 1 for stems and leaves. This indicates that the combined effects of the various heavy metals in </w:t>
      </w:r>
      <w:r w:rsidR="00634A97" w:rsidRPr="008533B0">
        <w:rPr>
          <w:rFonts w:ascii="Arial" w:hAnsi="Arial" w:cs="Arial"/>
          <w:sz w:val="20"/>
          <w:szCs w:val="20"/>
          <w:lang w:val="en-US"/>
        </w:rPr>
        <w:t>stem</w:t>
      </w:r>
      <w:r w:rsidRPr="008533B0">
        <w:rPr>
          <w:rFonts w:ascii="Arial" w:hAnsi="Arial" w:cs="Arial"/>
          <w:sz w:val="20"/>
          <w:szCs w:val="20"/>
          <w:lang w:val="en-US"/>
        </w:rPr>
        <w:t xml:space="preserve"> and </w:t>
      </w:r>
      <w:r w:rsidR="00494E32" w:rsidRPr="008533B0">
        <w:rPr>
          <w:rFonts w:ascii="Arial" w:hAnsi="Arial" w:cs="Arial"/>
          <w:sz w:val="20"/>
          <w:szCs w:val="20"/>
          <w:lang w:val="en-US"/>
        </w:rPr>
        <w:t>leaves</w:t>
      </w:r>
      <w:r w:rsidRPr="008533B0">
        <w:rPr>
          <w:rFonts w:ascii="Arial" w:hAnsi="Arial" w:cs="Arial"/>
          <w:sz w:val="20"/>
          <w:szCs w:val="20"/>
          <w:lang w:val="en-US"/>
        </w:rPr>
        <w:t xml:space="preserve"> preparations pose no long-term health risks to consumers. However, the HI of the roots is greater than 1, indicating that the combined effects of heavy metals present in a preparation based on roots of </w:t>
      </w:r>
      <w:proofErr w:type="spellStart"/>
      <w:r w:rsidRPr="008533B0">
        <w:rPr>
          <w:rFonts w:ascii="Arial" w:hAnsi="Arial" w:cs="Arial"/>
          <w:b/>
          <w:bCs/>
          <w:i/>
          <w:iCs/>
          <w:sz w:val="20"/>
          <w:szCs w:val="20"/>
          <w:lang w:val="en-US"/>
        </w:rPr>
        <w:t>Stylochaeton</w:t>
      </w:r>
      <w:proofErr w:type="spellEnd"/>
      <w:r w:rsidRPr="008533B0">
        <w:rPr>
          <w:rFonts w:ascii="Arial" w:hAnsi="Arial" w:cs="Arial"/>
          <w:b/>
          <w:bCs/>
          <w:i/>
          <w:iCs/>
          <w:sz w:val="20"/>
          <w:szCs w:val="20"/>
          <w:lang w:val="en-US"/>
        </w:rPr>
        <w:t xml:space="preserve"> </w:t>
      </w:r>
      <w:proofErr w:type="spellStart"/>
      <w:r w:rsidRPr="008533B0">
        <w:rPr>
          <w:rFonts w:ascii="Arial" w:hAnsi="Arial" w:cs="Arial"/>
          <w:b/>
          <w:bCs/>
          <w:i/>
          <w:iCs/>
          <w:sz w:val="20"/>
          <w:szCs w:val="20"/>
          <w:lang w:val="en-US"/>
        </w:rPr>
        <w:t>hypogaeus</w:t>
      </w:r>
      <w:proofErr w:type="spellEnd"/>
      <w:r w:rsidRPr="008533B0">
        <w:rPr>
          <w:rFonts w:ascii="Arial" w:hAnsi="Arial" w:cs="Arial"/>
          <w:sz w:val="20"/>
          <w:szCs w:val="20"/>
          <w:lang w:val="en-US"/>
        </w:rPr>
        <w:t xml:space="preserve"> present a major risk to the health of the consumer in the long term. Our results are similar to those reported by other authors who report THQ values ​​lower than 1 and HI values ​​higher than 1 for some medicinal plants</w:t>
      </w:r>
      <w:r w:rsidR="00C66BFE" w:rsidRPr="008533B0">
        <w:rPr>
          <w:rFonts w:ascii="Arial" w:hAnsi="Arial" w:cs="Arial"/>
          <w:sz w:val="20"/>
          <w:szCs w:val="20"/>
          <w:lang w:val="en-US"/>
        </w:rPr>
        <w:t xml:space="preserve"> [73]</w:t>
      </w:r>
      <w:r w:rsidR="0026222C" w:rsidRPr="008533B0">
        <w:rPr>
          <w:rFonts w:ascii="Arial" w:hAnsi="Arial" w:cs="Arial"/>
          <w:sz w:val="20"/>
          <w:szCs w:val="20"/>
          <w:lang w:val="en-US"/>
        </w:rPr>
        <w:t>.</w:t>
      </w:r>
    </w:p>
    <w:p w14:paraId="48A9598E" w14:textId="77777777" w:rsidR="00DB74A3" w:rsidRPr="008533B0" w:rsidRDefault="00DB74A3" w:rsidP="008533B0">
      <w:pPr>
        <w:spacing w:line="240" w:lineRule="auto"/>
        <w:rPr>
          <w:rFonts w:ascii="Arial" w:hAnsi="Arial" w:cs="Arial"/>
          <w:sz w:val="20"/>
          <w:szCs w:val="20"/>
          <w:lang w:val="en-US"/>
        </w:rPr>
      </w:pPr>
    </w:p>
    <w:p w14:paraId="5FFE941C" w14:textId="66B5227C" w:rsidR="005456EC" w:rsidRPr="008533B0" w:rsidRDefault="00855CA8" w:rsidP="008533B0">
      <w:pPr>
        <w:spacing w:line="240" w:lineRule="auto"/>
        <w:rPr>
          <w:rFonts w:ascii="Arial" w:hAnsi="Arial" w:cs="Arial"/>
          <w:b/>
          <w:bCs/>
          <w:sz w:val="20"/>
          <w:szCs w:val="20"/>
        </w:rPr>
      </w:pPr>
      <w:r w:rsidRPr="008533B0">
        <w:rPr>
          <w:rFonts w:ascii="Arial" w:hAnsi="Arial" w:cs="Arial"/>
          <w:b/>
          <w:bCs/>
          <w:sz w:val="20"/>
          <w:szCs w:val="20"/>
        </w:rPr>
        <w:t xml:space="preserve">Table </w:t>
      </w:r>
      <w:r w:rsidR="00183256" w:rsidRPr="008533B0">
        <w:rPr>
          <w:rFonts w:ascii="Arial" w:hAnsi="Arial" w:cs="Arial"/>
          <w:b/>
          <w:bCs/>
          <w:sz w:val="20"/>
          <w:szCs w:val="20"/>
        </w:rPr>
        <w:t>6</w:t>
      </w:r>
      <w:r w:rsidRPr="008533B0">
        <w:rPr>
          <w:rFonts w:ascii="Arial" w:hAnsi="Arial" w:cs="Arial"/>
          <w:b/>
          <w:bCs/>
          <w:sz w:val="20"/>
          <w:szCs w:val="20"/>
        </w:rPr>
        <w:t xml:space="preserve">. </w:t>
      </w:r>
      <w:r w:rsidR="00B14148" w:rsidRPr="008533B0">
        <w:rPr>
          <w:rFonts w:ascii="Arial" w:hAnsi="Arial" w:cs="Arial"/>
          <w:b/>
          <w:bCs/>
          <w:sz w:val="20"/>
          <w:szCs w:val="20"/>
        </w:rPr>
        <w:t xml:space="preserve">HQ and HI (mg/kg/day) of each metal in </w:t>
      </w:r>
      <w:r w:rsidR="00B37517" w:rsidRPr="008533B0">
        <w:rPr>
          <w:rFonts w:ascii="Arial" w:hAnsi="Arial" w:cs="Arial"/>
          <w:b/>
          <w:bCs/>
          <w:sz w:val="20"/>
          <w:szCs w:val="20"/>
        </w:rPr>
        <w:t xml:space="preserve">roots, stems and leaves </w:t>
      </w:r>
      <w:r w:rsidR="009A4FE0" w:rsidRPr="008533B0">
        <w:rPr>
          <w:rFonts w:ascii="Arial" w:hAnsi="Arial" w:cs="Arial"/>
          <w:b/>
          <w:bCs/>
          <w:sz w:val="20"/>
          <w:szCs w:val="20"/>
        </w:rPr>
        <w:t>of</w:t>
      </w:r>
      <w:r w:rsidR="00B37517" w:rsidRPr="008533B0">
        <w:rPr>
          <w:rFonts w:ascii="Arial" w:hAnsi="Arial" w:cs="Arial"/>
          <w:b/>
          <w:bCs/>
          <w:sz w:val="20"/>
          <w:szCs w:val="20"/>
        </w:rPr>
        <w:t xml:space="preserve"> the </w:t>
      </w:r>
      <w:r w:rsidR="009A4FE0" w:rsidRPr="008533B0">
        <w:rPr>
          <w:rFonts w:ascii="Arial" w:hAnsi="Arial" w:cs="Arial"/>
          <w:b/>
          <w:bCs/>
          <w:sz w:val="20"/>
          <w:szCs w:val="20"/>
        </w:rPr>
        <w:t>medicinal plant</w:t>
      </w:r>
      <w:r w:rsidR="00B14148" w:rsidRPr="008533B0">
        <w:rPr>
          <w:rFonts w:ascii="Arial" w:hAnsi="Arial" w:cs="Arial"/>
          <w:b/>
          <w:bCs/>
          <w:sz w:val="20"/>
          <w:szCs w:val="20"/>
        </w:rPr>
        <w:t xml:space="preserve"> for adults</w:t>
      </w:r>
    </w:p>
    <w:tbl>
      <w:tblPr>
        <w:tblW w:w="9080" w:type="dxa"/>
        <w:tblLook w:val="04A0" w:firstRow="1" w:lastRow="0" w:firstColumn="1" w:lastColumn="0" w:noHBand="0" w:noVBand="1"/>
      </w:tblPr>
      <w:tblGrid>
        <w:gridCol w:w="3400"/>
        <w:gridCol w:w="1660"/>
        <w:gridCol w:w="2080"/>
        <w:gridCol w:w="1940"/>
      </w:tblGrid>
      <w:tr w:rsidR="005456EC" w:rsidRPr="008533B0" w14:paraId="0678AE81" w14:textId="77777777" w:rsidTr="00A21C72">
        <w:trPr>
          <w:trHeight w:val="300"/>
        </w:trPr>
        <w:tc>
          <w:tcPr>
            <w:tcW w:w="3400" w:type="dxa"/>
            <w:tcBorders>
              <w:top w:val="single" w:sz="12" w:space="0" w:color="auto"/>
              <w:bottom w:val="single" w:sz="12" w:space="0" w:color="auto"/>
            </w:tcBorders>
            <w:noWrap/>
            <w:vAlign w:val="bottom"/>
            <w:hideMark/>
          </w:tcPr>
          <w:p w14:paraId="1FBE8F40" w14:textId="77777777"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Element</w:t>
            </w:r>
          </w:p>
        </w:tc>
        <w:tc>
          <w:tcPr>
            <w:tcW w:w="1660" w:type="dxa"/>
            <w:tcBorders>
              <w:top w:val="single" w:sz="12" w:space="0" w:color="auto"/>
              <w:bottom w:val="single" w:sz="12" w:space="0" w:color="auto"/>
            </w:tcBorders>
            <w:noWrap/>
            <w:vAlign w:val="bottom"/>
            <w:hideMark/>
          </w:tcPr>
          <w:p w14:paraId="6C8A5AA5" w14:textId="1F23D36A" w:rsidR="005456EC" w:rsidRPr="008533B0" w:rsidRDefault="00106B16"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T</w:t>
            </w:r>
            <w:r w:rsidR="005456EC" w:rsidRPr="008533B0">
              <w:rPr>
                <w:rFonts w:ascii="Arial" w:eastAsia="Times New Roman" w:hAnsi="Arial" w:cs="Arial"/>
                <w:b/>
                <w:bCs/>
                <w:color w:val="000000"/>
                <w:kern w:val="0"/>
                <w:sz w:val="20"/>
                <w:szCs w:val="20"/>
                <w:lang w:val="en-US"/>
                <w14:ligatures w14:val="none"/>
              </w:rPr>
              <w:t>HQ (Roots)</w:t>
            </w:r>
          </w:p>
        </w:tc>
        <w:tc>
          <w:tcPr>
            <w:tcW w:w="2080" w:type="dxa"/>
            <w:tcBorders>
              <w:top w:val="single" w:sz="12" w:space="0" w:color="auto"/>
              <w:bottom w:val="single" w:sz="12" w:space="0" w:color="auto"/>
            </w:tcBorders>
            <w:noWrap/>
            <w:vAlign w:val="bottom"/>
            <w:hideMark/>
          </w:tcPr>
          <w:p w14:paraId="12C46853" w14:textId="3C724693" w:rsidR="005456EC" w:rsidRPr="008533B0" w:rsidRDefault="00106B16"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T</w:t>
            </w:r>
            <w:r w:rsidR="005456EC" w:rsidRPr="008533B0">
              <w:rPr>
                <w:rFonts w:ascii="Arial" w:eastAsia="Times New Roman" w:hAnsi="Arial" w:cs="Arial"/>
                <w:b/>
                <w:bCs/>
                <w:color w:val="000000"/>
                <w:kern w:val="0"/>
                <w:sz w:val="20"/>
                <w:szCs w:val="20"/>
                <w:lang w:val="en-US"/>
                <w14:ligatures w14:val="none"/>
              </w:rPr>
              <w:t>HQ (Stems)</w:t>
            </w:r>
          </w:p>
        </w:tc>
        <w:tc>
          <w:tcPr>
            <w:tcW w:w="1940" w:type="dxa"/>
            <w:tcBorders>
              <w:top w:val="single" w:sz="12" w:space="0" w:color="auto"/>
              <w:bottom w:val="single" w:sz="12" w:space="0" w:color="auto"/>
            </w:tcBorders>
            <w:noWrap/>
            <w:vAlign w:val="bottom"/>
            <w:hideMark/>
          </w:tcPr>
          <w:p w14:paraId="13E2FFB6" w14:textId="070A50AB" w:rsidR="005456EC" w:rsidRPr="008533B0" w:rsidRDefault="00106B16"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T</w:t>
            </w:r>
            <w:r w:rsidR="005456EC" w:rsidRPr="008533B0">
              <w:rPr>
                <w:rFonts w:ascii="Arial" w:eastAsia="Times New Roman" w:hAnsi="Arial" w:cs="Arial"/>
                <w:b/>
                <w:bCs/>
                <w:color w:val="000000"/>
                <w:kern w:val="0"/>
                <w:sz w:val="20"/>
                <w:szCs w:val="20"/>
                <w:lang w:val="en-US"/>
                <w14:ligatures w14:val="none"/>
              </w:rPr>
              <w:t>HQ (Leaves)</w:t>
            </w:r>
          </w:p>
        </w:tc>
      </w:tr>
      <w:tr w:rsidR="005456EC" w:rsidRPr="008533B0" w14:paraId="0CCD0484" w14:textId="77777777" w:rsidTr="00A21C72">
        <w:trPr>
          <w:trHeight w:val="300"/>
        </w:trPr>
        <w:tc>
          <w:tcPr>
            <w:tcW w:w="3400" w:type="dxa"/>
            <w:tcBorders>
              <w:top w:val="single" w:sz="12" w:space="0" w:color="auto"/>
            </w:tcBorders>
            <w:noWrap/>
            <w:vAlign w:val="bottom"/>
            <w:hideMark/>
          </w:tcPr>
          <w:p w14:paraId="5ECB45FB"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Cr</w:t>
            </w:r>
          </w:p>
        </w:tc>
        <w:tc>
          <w:tcPr>
            <w:tcW w:w="1660" w:type="dxa"/>
            <w:tcBorders>
              <w:top w:val="single" w:sz="12" w:space="0" w:color="auto"/>
            </w:tcBorders>
            <w:noWrap/>
            <w:vAlign w:val="bottom"/>
            <w:hideMark/>
          </w:tcPr>
          <w:p w14:paraId="37489416" w14:textId="20342418"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9.00</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2080" w:type="dxa"/>
            <w:tcBorders>
              <w:top w:val="single" w:sz="12" w:space="0" w:color="auto"/>
            </w:tcBorders>
            <w:noWrap/>
            <w:vAlign w:val="bottom"/>
            <w:hideMark/>
          </w:tcPr>
          <w:p w14:paraId="7665EB07" w14:textId="4E72370C"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1.96</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1940" w:type="dxa"/>
            <w:tcBorders>
              <w:top w:val="single" w:sz="12" w:space="0" w:color="auto"/>
            </w:tcBorders>
            <w:noWrap/>
            <w:vAlign w:val="bottom"/>
            <w:hideMark/>
          </w:tcPr>
          <w:p w14:paraId="3EF65FFB" w14:textId="11C876E1"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1.76</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r>
      <w:tr w:rsidR="005456EC" w:rsidRPr="008533B0" w14:paraId="4CBC6B76" w14:textId="77777777" w:rsidTr="00A21C72">
        <w:trPr>
          <w:trHeight w:val="300"/>
        </w:trPr>
        <w:tc>
          <w:tcPr>
            <w:tcW w:w="3400" w:type="dxa"/>
            <w:noWrap/>
            <w:vAlign w:val="bottom"/>
            <w:hideMark/>
          </w:tcPr>
          <w:p w14:paraId="3032F7BF"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Ni</w:t>
            </w:r>
          </w:p>
        </w:tc>
        <w:tc>
          <w:tcPr>
            <w:tcW w:w="1660" w:type="dxa"/>
            <w:noWrap/>
            <w:vAlign w:val="bottom"/>
            <w:hideMark/>
          </w:tcPr>
          <w:p w14:paraId="2E573247" w14:textId="4DD0093F"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0.00</w:t>
            </w:r>
          </w:p>
        </w:tc>
        <w:tc>
          <w:tcPr>
            <w:tcW w:w="2080" w:type="dxa"/>
            <w:noWrap/>
            <w:vAlign w:val="bottom"/>
            <w:hideMark/>
          </w:tcPr>
          <w:p w14:paraId="6230AA1A" w14:textId="40FF9BF0"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0.00</w:t>
            </w:r>
          </w:p>
        </w:tc>
        <w:tc>
          <w:tcPr>
            <w:tcW w:w="1940" w:type="dxa"/>
            <w:noWrap/>
            <w:vAlign w:val="bottom"/>
            <w:hideMark/>
          </w:tcPr>
          <w:p w14:paraId="7FFA9F41" w14:textId="290E2F2A"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0.00</w:t>
            </w:r>
          </w:p>
        </w:tc>
      </w:tr>
      <w:tr w:rsidR="005456EC" w:rsidRPr="008533B0" w14:paraId="457CB8AD" w14:textId="77777777" w:rsidTr="00A21C72">
        <w:trPr>
          <w:trHeight w:val="300"/>
        </w:trPr>
        <w:tc>
          <w:tcPr>
            <w:tcW w:w="3400" w:type="dxa"/>
            <w:noWrap/>
            <w:vAlign w:val="bottom"/>
            <w:hideMark/>
          </w:tcPr>
          <w:p w14:paraId="7373689A"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Cu</w:t>
            </w:r>
          </w:p>
        </w:tc>
        <w:tc>
          <w:tcPr>
            <w:tcW w:w="1660" w:type="dxa"/>
            <w:noWrap/>
            <w:vAlign w:val="bottom"/>
            <w:hideMark/>
          </w:tcPr>
          <w:p w14:paraId="2D80DAE0" w14:textId="3963F221"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5.43</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2080" w:type="dxa"/>
            <w:noWrap/>
            <w:vAlign w:val="bottom"/>
            <w:hideMark/>
          </w:tcPr>
          <w:p w14:paraId="435991D3" w14:textId="3497EAA4"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5.14</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1940" w:type="dxa"/>
            <w:noWrap/>
            <w:vAlign w:val="bottom"/>
            <w:hideMark/>
          </w:tcPr>
          <w:p w14:paraId="5E3C2C4F" w14:textId="3C682DF3"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5.28</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r>
      <w:tr w:rsidR="005456EC" w:rsidRPr="008533B0" w14:paraId="60FF5F9B" w14:textId="77777777" w:rsidTr="00A21C72">
        <w:trPr>
          <w:trHeight w:val="300"/>
        </w:trPr>
        <w:tc>
          <w:tcPr>
            <w:tcW w:w="3400" w:type="dxa"/>
            <w:noWrap/>
            <w:vAlign w:val="bottom"/>
            <w:hideMark/>
          </w:tcPr>
          <w:p w14:paraId="5CC5A6DA"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Zn</w:t>
            </w:r>
          </w:p>
        </w:tc>
        <w:tc>
          <w:tcPr>
            <w:tcW w:w="1660" w:type="dxa"/>
            <w:noWrap/>
            <w:vAlign w:val="bottom"/>
            <w:hideMark/>
          </w:tcPr>
          <w:p w14:paraId="259EE984" w14:textId="7A672904"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7.61</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2080" w:type="dxa"/>
            <w:noWrap/>
            <w:vAlign w:val="bottom"/>
            <w:hideMark/>
          </w:tcPr>
          <w:p w14:paraId="5C712B24" w14:textId="0FE3626D"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6.14</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c>
          <w:tcPr>
            <w:tcW w:w="1940" w:type="dxa"/>
            <w:noWrap/>
            <w:vAlign w:val="bottom"/>
            <w:hideMark/>
          </w:tcPr>
          <w:p w14:paraId="7C90FB23" w14:textId="656845B1"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3.84</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-2</w:t>
            </w:r>
          </w:p>
        </w:tc>
      </w:tr>
      <w:tr w:rsidR="005456EC" w:rsidRPr="008533B0" w14:paraId="1AFB6070" w14:textId="77777777" w:rsidTr="00A21C72">
        <w:trPr>
          <w:trHeight w:val="300"/>
        </w:trPr>
        <w:tc>
          <w:tcPr>
            <w:tcW w:w="3400" w:type="dxa"/>
            <w:noWrap/>
            <w:vAlign w:val="bottom"/>
            <w:hideMark/>
          </w:tcPr>
          <w:p w14:paraId="40039ABF"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Cd</w:t>
            </w:r>
          </w:p>
        </w:tc>
        <w:tc>
          <w:tcPr>
            <w:tcW w:w="1660" w:type="dxa"/>
            <w:noWrap/>
            <w:vAlign w:val="bottom"/>
            <w:hideMark/>
          </w:tcPr>
          <w:p w14:paraId="65545844" w14:textId="60FFD600"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1.17</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2080" w:type="dxa"/>
            <w:noWrap/>
            <w:vAlign w:val="bottom"/>
            <w:hideMark/>
          </w:tcPr>
          <w:p w14:paraId="6FCB2276" w14:textId="4650D44F"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1.76</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1940" w:type="dxa"/>
            <w:noWrap/>
            <w:vAlign w:val="bottom"/>
            <w:hideMark/>
          </w:tcPr>
          <w:p w14:paraId="5EF5E913" w14:textId="0C508810"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1.76</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r>
      <w:tr w:rsidR="005456EC" w:rsidRPr="008533B0" w14:paraId="1BF60921" w14:textId="77777777" w:rsidTr="00A21C72">
        <w:trPr>
          <w:trHeight w:val="300"/>
        </w:trPr>
        <w:tc>
          <w:tcPr>
            <w:tcW w:w="3400" w:type="dxa"/>
            <w:tcBorders>
              <w:bottom w:val="single" w:sz="12" w:space="0" w:color="auto"/>
            </w:tcBorders>
            <w:noWrap/>
            <w:vAlign w:val="bottom"/>
            <w:hideMark/>
          </w:tcPr>
          <w:p w14:paraId="38AF56B2" w14:textId="77777777"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lastRenderedPageBreak/>
              <w:t>Pb</w:t>
            </w:r>
          </w:p>
        </w:tc>
        <w:tc>
          <w:tcPr>
            <w:tcW w:w="1660" w:type="dxa"/>
            <w:tcBorders>
              <w:bottom w:val="single" w:sz="12" w:space="0" w:color="auto"/>
            </w:tcBorders>
            <w:noWrap/>
            <w:vAlign w:val="bottom"/>
            <w:hideMark/>
          </w:tcPr>
          <w:p w14:paraId="399DB25F" w14:textId="561CC339"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3.52</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2080" w:type="dxa"/>
            <w:tcBorders>
              <w:bottom w:val="single" w:sz="12" w:space="0" w:color="auto"/>
            </w:tcBorders>
            <w:noWrap/>
            <w:vAlign w:val="bottom"/>
            <w:hideMark/>
          </w:tcPr>
          <w:p w14:paraId="71D0B9D4" w14:textId="47FA755D"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2.35</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c>
          <w:tcPr>
            <w:tcW w:w="1940" w:type="dxa"/>
            <w:tcBorders>
              <w:bottom w:val="single" w:sz="12" w:space="0" w:color="auto"/>
            </w:tcBorders>
            <w:noWrap/>
            <w:vAlign w:val="bottom"/>
            <w:hideMark/>
          </w:tcPr>
          <w:p w14:paraId="6F75F99E" w14:textId="2FFAF354" w:rsidR="005456EC" w:rsidRPr="008533B0" w:rsidRDefault="005456EC" w:rsidP="008533B0">
            <w:pPr>
              <w:spacing w:line="240" w:lineRule="auto"/>
              <w:jc w:val="left"/>
              <w:rPr>
                <w:rFonts w:ascii="Arial" w:eastAsia="Times New Roman" w:hAnsi="Arial" w:cs="Arial"/>
                <w:color w:val="000000"/>
                <w:kern w:val="0"/>
                <w:sz w:val="20"/>
                <w:szCs w:val="20"/>
                <w:lang w:val="en-US"/>
                <w14:ligatures w14:val="none"/>
              </w:rPr>
            </w:pPr>
            <w:r w:rsidRPr="008533B0">
              <w:rPr>
                <w:rFonts w:ascii="Arial" w:eastAsia="Times New Roman" w:hAnsi="Arial" w:cs="Arial"/>
                <w:color w:val="000000"/>
                <w:kern w:val="0"/>
                <w:sz w:val="20"/>
                <w:szCs w:val="20"/>
                <w:lang w:val="en-US"/>
                <w14:ligatures w14:val="none"/>
              </w:rPr>
              <w:t>1.47</w:t>
            </w:r>
            <w:r w:rsidR="000363A9" w:rsidRPr="008533B0">
              <w:rPr>
                <w:rFonts w:ascii="Arial" w:eastAsia="Times New Roman" w:hAnsi="Arial" w:cs="Arial"/>
                <w:color w:val="000000"/>
                <w:kern w:val="0"/>
                <w:sz w:val="20"/>
                <w:szCs w:val="20"/>
                <w:lang w:val="en-US"/>
                <w14:ligatures w14:val="none"/>
              </w:rPr>
              <w:t xml:space="preserve"> x 10</w:t>
            </w:r>
            <w:r w:rsidR="000363A9" w:rsidRPr="008533B0">
              <w:rPr>
                <w:rFonts w:ascii="Arial" w:eastAsia="Times New Roman" w:hAnsi="Arial" w:cs="Arial"/>
                <w:color w:val="000000"/>
                <w:kern w:val="0"/>
                <w:sz w:val="20"/>
                <w:szCs w:val="20"/>
                <w:vertAlign w:val="superscript"/>
                <w:lang w:val="en-US"/>
                <w14:ligatures w14:val="none"/>
              </w:rPr>
              <w:t>-1</w:t>
            </w:r>
          </w:p>
        </w:tc>
      </w:tr>
      <w:tr w:rsidR="005456EC" w:rsidRPr="008533B0" w14:paraId="7F1F10C0" w14:textId="77777777" w:rsidTr="00A21C72">
        <w:trPr>
          <w:trHeight w:val="300"/>
        </w:trPr>
        <w:tc>
          <w:tcPr>
            <w:tcW w:w="3400" w:type="dxa"/>
            <w:tcBorders>
              <w:top w:val="single" w:sz="12" w:space="0" w:color="auto"/>
              <w:bottom w:val="single" w:sz="12" w:space="0" w:color="auto"/>
            </w:tcBorders>
            <w:noWrap/>
            <w:vAlign w:val="bottom"/>
            <w:hideMark/>
          </w:tcPr>
          <w:p w14:paraId="48C8EBAA" w14:textId="77777777"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HI</w:t>
            </w:r>
          </w:p>
        </w:tc>
        <w:tc>
          <w:tcPr>
            <w:tcW w:w="1660" w:type="dxa"/>
            <w:tcBorders>
              <w:top w:val="single" w:sz="12" w:space="0" w:color="auto"/>
              <w:bottom w:val="single" w:sz="12" w:space="0" w:color="auto"/>
            </w:tcBorders>
            <w:noWrap/>
            <w:vAlign w:val="bottom"/>
            <w:hideMark/>
          </w:tcPr>
          <w:p w14:paraId="5F05A6D5" w14:textId="6EC130E3"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1.50</w:t>
            </w:r>
          </w:p>
        </w:tc>
        <w:tc>
          <w:tcPr>
            <w:tcW w:w="2080" w:type="dxa"/>
            <w:tcBorders>
              <w:top w:val="single" w:sz="12" w:space="0" w:color="auto"/>
              <w:bottom w:val="single" w:sz="12" w:space="0" w:color="auto"/>
            </w:tcBorders>
            <w:noWrap/>
            <w:vAlign w:val="bottom"/>
            <w:hideMark/>
          </w:tcPr>
          <w:p w14:paraId="76DE1D8E" w14:textId="5B078E8D"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5.43</w:t>
            </w:r>
            <w:r w:rsidR="00BE3EA0" w:rsidRPr="008533B0">
              <w:rPr>
                <w:rFonts w:ascii="Arial" w:eastAsia="Times New Roman" w:hAnsi="Arial" w:cs="Arial"/>
                <w:b/>
                <w:bCs/>
                <w:color w:val="000000"/>
                <w:kern w:val="0"/>
                <w:sz w:val="20"/>
                <w:szCs w:val="20"/>
                <w:lang w:val="en-US"/>
                <w14:ligatures w14:val="none"/>
              </w:rPr>
              <w:t xml:space="preserve"> x 10</w:t>
            </w:r>
            <w:r w:rsidR="00BE3EA0" w:rsidRPr="008533B0">
              <w:rPr>
                <w:rFonts w:ascii="Arial" w:eastAsia="Times New Roman" w:hAnsi="Arial" w:cs="Arial"/>
                <w:b/>
                <w:bCs/>
                <w:color w:val="000000"/>
                <w:kern w:val="0"/>
                <w:sz w:val="20"/>
                <w:szCs w:val="20"/>
                <w:vertAlign w:val="superscript"/>
                <w:lang w:val="en-US"/>
                <w14:ligatures w14:val="none"/>
              </w:rPr>
              <w:t>-1</w:t>
            </w:r>
          </w:p>
        </w:tc>
        <w:tc>
          <w:tcPr>
            <w:tcW w:w="1940" w:type="dxa"/>
            <w:tcBorders>
              <w:top w:val="single" w:sz="12" w:space="0" w:color="auto"/>
              <w:bottom w:val="single" w:sz="12" w:space="0" w:color="auto"/>
            </w:tcBorders>
            <w:noWrap/>
            <w:vAlign w:val="bottom"/>
            <w:hideMark/>
          </w:tcPr>
          <w:p w14:paraId="4220CB2B" w14:textId="0B74C844" w:rsidR="005456EC" w:rsidRPr="008533B0" w:rsidRDefault="005456EC" w:rsidP="008533B0">
            <w:pPr>
              <w:spacing w:line="240" w:lineRule="auto"/>
              <w:jc w:val="left"/>
              <w:rPr>
                <w:rFonts w:ascii="Arial" w:eastAsia="Times New Roman" w:hAnsi="Arial" w:cs="Arial"/>
                <w:b/>
                <w:bCs/>
                <w:color w:val="000000"/>
                <w:kern w:val="0"/>
                <w:sz w:val="20"/>
                <w:szCs w:val="20"/>
                <w:lang w:val="en-US"/>
                <w14:ligatures w14:val="none"/>
              </w:rPr>
            </w:pPr>
            <w:r w:rsidRPr="008533B0">
              <w:rPr>
                <w:rFonts w:ascii="Arial" w:eastAsia="Times New Roman" w:hAnsi="Arial" w:cs="Arial"/>
                <w:b/>
                <w:bCs/>
                <w:color w:val="000000"/>
                <w:kern w:val="0"/>
                <w:sz w:val="20"/>
                <w:szCs w:val="20"/>
                <w:lang w:val="en-US"/>
                <w14:ligatures w14:val="none"/>
              </w:rPr>
              <w:t>5.90</w:t>
            </w:r>
            <w:r w:rsidR="00BE3EA0" w:rsidRPr="008533B0">
              <w:rPr>
                <w:rFonts w:ascii="Arial" w:eastAsia="Times New Roman" w:hAnsi="Arial" w:cs="Arial"/>
                <w:b/>
                <w:bCs/>
                <w:color w:val="000000"/>
                <w:kern w:val="0"/>
                <w:sz w:val="20"/>
                <w:szCs w:val="20"/>
                <w:lang w:val="en-US"/>
                <w14:ligatures w14:val="none"/>
              </w:rPr>
              <w:t xml:space="preserve"> x 10</w:t>
            </w:r>
            <w:r w:rsidR="00BE3EA0" w:rsidRPr="008533B0">
              <w:rPr>
                <w:rFonts w:ascii="Arial" w:eastAsia="Times New Roman" w:hAnsi="Arial" w:cs="Arial"/>
                <w:b/>
                <w:bCs/>
                <w:color w:val="000000"/>
                <w:kern w:val="0"/>
                <w:sz w:val="20"/>
                <w:szCs w:val="20"/>
                <w:vertAlign w:val="superscript"/>
                <w:lang w:val="en-US"/>
                <w14:ligatures w14:val="none"/>
              </w:rPr>
              <w:t>-1</w:t>
            </w:r>
          </w:p>
        </w:tc>
      </w:tr>
    </w:tbl>
    <w:p w14:paraId="39463112" w14:textId="77777777" w:rsidR="005456EC" w:rsidRPr="008533B0" w:rsidRDefault="005456EC" w:rsidP="008533B0">
      <w:pPr>
        <w:spacing w:line="240" w:lineRule="auto"/>
        <w:rPr>
          <w:rFonts w:ascii="Arial" w:hAnsi="Arial" w:cs="Arial"/>
          <w:sz w:val="20"/>
          <w:szCs w:val="20"/>
        </w:rPr>
      </w:pPr>
    </w:p>
    <w:p w14:paraId="0888E4C6" w14:textId="6E77EDC8" w:rsidR="008035F7" w:rsidRPr="008533B0" w:rsidRDefault="008035F7" w:rsidP="009D4D47">
      <w:pPr>
        <w:pStyle w:val="Heading1"/>
      </w:pPr>
      <w:r w:rsidRPr="008533B0">
        <w:t>Conclusion</w:t>
      </w:r>
    </w:p>
    <w:p w14:paraId="7BA2CF77" w14:textId="417E4011" w:rsidR="002020C2" w:rsidRPr="008533B0" w:rsidRDefault="00CA1A06" w:rsidP="008533B0">
      <w:pPr>
        <w:spacing w:line="240" w:lineRule="auto"/>
        <w:rPr>
          <w:rFonts w:ascii="Arial" w:hAnsi="Arial" w:cs="Arial"/>
          <w:sz w:val="20"/>
          <w:szCs w:val="20"/>
          <w:lang w:val="en-US"/>
        </w:rPr>
      </w:pPr>
      <w:r w:rsidRPr="008533B0">
        <w:rPr>
          <w:rFonts w:ascii="Arial" w:hAnsi="Arial" w:cs="Arial"/>
          <w:sz w:val="20"/>
          <w:szCs w:val="20"/>
          <w:lang w:val="en-US"/>
        </w:rPr>
        <w:t xml:space="preserve">The present study, based on the comparison of the results with the concentration limits authorized by WHO, showed that the levels of heavy metals in the plants were within the permitted limits for medicinal plants, except for chromium and iron in </w:t>
      </w:r>
      <w:proofErr w:type="spellStart"/>
      <w:r w:rsidRPr="008533B0">
        <w:rPr>
          <w:rFonts w:ascii="Arial" w:hAnsi="Arial" w:cs="Arial"/>
          <w:b/>
          <w:bCs/>
          <w:i/>
          <w:iCs/>
          <w:sz w:val="20"/>
          <w:szCs w:val="20"/>
          <w:lang w:val="en-US"/>
        </w:rPr>
        <w:t>Stylochaeton</w:t>
      </w:r>
      <w:proofErr w:type="spellEnd"/>
      <w:r w:rsidRPr="008533B0">
        <w:rPr>
          <w:rFonts w:ascii="Arial" w:hAnsi="Arial" w:cs="Arial"/>
          <w:b/>
          <w:bCs/>
          <w:i/>
          <w:iCs/>
          <w:sz w:val="20"/>
          <w:szCs w:val="20"/>
          <w:lang w:val="en-US"/>
        </w:rPr>
        <w:t xml:space="preserve"> </w:t>
      </w:r>
      <w:proofErr w:type="spellStart"/>
      <w:r w:rsidRPr="008533B0">
        <w:rPr>
          <w:rFonts w:ascii="Arial" w:hAnsi="Arial" w:cs="Arial"/>
          <w:b/>
          <w:bCs/>
          <w:i/>
          <w:iCs/>
          <w:sz w:val="20"/>
          <w:szCs w:val="20"/>
          <w:lang w:val="en-US"/>
        </w:rPr>
        <w:t>hypogaeus</w:t>
      </w:r>
      <w:proofErr w:type="spellEnd"/>
      <w:r w:rsidRPr="008533B0">
        <w:rPr>
          <w:rFonts w:ascii="Arial" w:hAnsi="Arial" w:cs="Arial"/>
          <w:b/>
          <w:bCs/>
          <w:i/>
          <w:iCs/>
          <w:sz w:val="20"/>
          <w:szCs w:val="20"/>
          <w:lang w:val="en-US"/>
        </w:rPr>
        <w:t xml:space="preserve"> roots</w:t>
      </w:r>
      <w:r w:rsidRPr="008533B0">
        <w:rPr>
          <w:rFonts w:ascii="Arial" w:hAnsi="Arial" w:cs="Arial"/>
          <w:sz w:val="20"/>
          <w:szCs w:val="20"/>
          <w:lang w:val="en-US"/>
        </w:rPr>
        <w:t xml:space="preserve">, which may pose a health risk to the consumer. Iron was also present in stems and leaves. The health risk assessment indicated that the consumption of these plants may not pose a </w:t>
      </w:r>
      <w:r w:rsidR="00BC3A39" w:rsidRPr="008533B0">
        <w:rPr>
          <w:rFonts w:ascii="Arial" w:hAnsi="Arial" w:cs="Arial"/>
          <w:sz w:val="20"/>
          <w:szCs w:val="20"/>
          <w:lang w:val="en-US"/>
        </w:rPr>
        <w:t>hea</w:t>
      </w:r>
      <w:r w:rsidR="00D26842" w:rsidRPr="008533B0">
        <w:rPr>
          <w:rFonts w:ascii="Arial" w:hAnsi="Arial" w:cs="Arial"/>
          <w:sz w:val="20"/>
          <w:szCs w:val="20"/>
          <w:lang w:val="en-US"/>
        </w:rPr>
        <w:t>lth</w:t>
      </w:r>
      <w:r w:rsidRPr="008533B0">
        <w:rPr>
          <w:rFonts w:ascii="Arial" w:hAnsi="Arial" w:cs="Arial"/>
          <w:sz w:val="20"/>
          <w:szCs w:val="20"/>
          <w:lang w:val="en-US"/>
        </w:rPr>
        <w:t xml:space="preserve"> risk to consumers, with non-carcinogenic </w:t>
      </w:r>
      <w:r w:rsidR="00D26842" w:rsidRPr="008533B0">
        <w:rPr>
          <w:rFonts w:ascii="Arial" w:hAnsi="Arial" w:cs="Arial"/>
          <w:sz w:val="20"/>
          <w:szCs w:val="20"/>
          <w:lang w:val="en-US"/>
        </w:rPr>
        <w:t xml:space="preserve">target </w:t>
      </w:r>
      <w:r w:rsidRPr="008533B0">
        <w:rPr>
          <w:rFonts w:ascii="Arial" w:hAnsi="Arial" w:cs="Arial"/>
          <w:sz w:val="20"/>
          <w:szCs w:val="20"/>
          <w:lang w:val="en-US"/>
        </w:rPr>
        <w:t xml:space="preserve">risk quotient (THQ) values ​​less than 1 for all metals in all samples. The </w:t>
      </w:r>
      <w:r w:rsidR="00721CA6" w:rsidRPr="008533B0">
        <w:rPr>
          <w:rFonts w:ascii="Arial" w:hAnsi="Arial" w:cs="Arial"/>
          <w:sz w:val="20"/>
          <w:szCs w:val="20"/>
          <w:lang w:val="en-US"/>
        </w:rPr>
        <w:t>non-carcinogenic hazard index</w:t>
      </w:r>
      <w:r w:rsidR="00522F6E" w:rsidRPr="008533B0">
        <w:rPr>
          <w:rFonts w:ascii="Arial" w:hAnsi="Arial" w:cs="Arial"/>
          <w:sz w:val="20"/>
          <w:szCs w:val="20"/>
          <w:lang w:val="en-US"/>
        </w:rPr>
        <w:t xml:space="preserve"> (</w:t>
      </w:r>
      <w:r w:rsidRPr="008533B0">
        <w:rPr>
          <w:rFonts w:ascii="Arial" w:hAnsi="Arial" w:cs="Arial"/>
          <w:sz w:val="20"/>
          <w:szCs w:val="20"/>
          <w:lang w:val="en-US"/>
        </w:rPr>
        <w:t>HI</w:t>
      </w:r>
      <w:r w:rsidR="00522F6E" w:rsidRPr="008533B0">
        <w:rPr>
          <w:rFonts w:ascii="Arial" w:hAnsi="Arial" w:cs="Arial"/>
          <w:sz w:val="20"/>
          <w:szCs w:val="20"/>
          <w:lang w:val="en-US"/>
        </w:rPr>
        <w:t>)</w:t>
      </w:r>
      <w:r w:rsidRPr="008533B0">
        <w:rPr>
          <w:rFonts w:ascii="Arial" w:hAnsi="Arial" w:cs="Arial"/>
          <w:sz w:val="20"/>
          <w:szCs w:val="20"/>
          <w:lang w:val="en-US"/>
        </w:rPr>
        <w:t xml:space="preserve"> is less than 1 for stems and leaves, but </w:t>
      </w:r>
      <w:proofErr w:type="gramStart"/>
      <w:r w:rsidRPr="008533B0">
        <w:rPr>
          <w:rFonts w:ascii="Arial" w:hAnsi="Arial" w:cs="Arial"/>
          <w:sz w:val="20"/>
          <w:szCs w:val="20"/>
          <w:lang w:val="en-US"/>
        </w:rPr>
        <w:t>it</w:t>
      </w:r>
      <w:proofErr w:type="gramEnd"/>
      <w:r w:rsidRPr="008533B0">
        <w:rPr>
          <w:rFonts w:ascii="Arial" w:hAnsi="Arial" w:cs="Arial"/>
          <w:sz w:val="20"/>
          <w:szCs w:val="20"/>
          <w:lang w:val="en-US"/>
        </w:rPr>
        <w:t xml:space="preserve"> </w:t>
      </w:r>
      <w:r w:rsidR="00522F6E" w:rsidRPr="008533B0">
        <w:rPr>
          <w:rFonts w:ascii="Arial" w:hAnsi="Arial" w:cs="Arial"/>
          <w:sz w:val="20"/>
          <w:szCs w:val="20"/>
          <w:lang w:val="en-US"/>
        </w:rPr>
        <w:t xml:space="preserve">value </w:t>
      </w:r>
      <w:r w:rsidRPr="008533B0">
        <w:rPr>
          <w:rFonts w:ascii="Arial" w:hAnsi="Arial" w:cs="Arial"/>
          <w:sz w:val="20"/>
          <w:szCs w:val="20"/>
          <w:lang w:val="en-US"/>
        </w:rPr>
        <w:t xml:space="preserve">is 1.5 for roots. Therefore, vulnerable people with chronic diseases, who may consume </w:t>
      </w:r>
      <w:proofErr w:type="spellStart"/>
      <w:r w:rsidRPr="008533B0">
        <w:rPr>
          <w:rFonts w:ascii="Arial" w:hAnsi="Arial" w:cs="Arial"/>
          <w:b/>
          <w:bCs/>
          <w:i/>
          <w:iCs/>
          <w:sz w:val="20"/>
          <w:szCs w:val="20"/>
          <w:lang w:val="en-US"/>
        </w:rPr>
        <w:t>Stylochaeton</w:t>
      </w:r>
      <w:proofErr w:type="spellEnd"/>
      <w:r w:rsidRPr="008533B0">
        <w:rPr>
          <w:rFonts w:ascii="Arial" w:hAnsi="Arial" w:cs="Arial"/>
          <w:b/>
          <w:bCs/>
          <w:i/>
          <w:iCs/>
          <w:sz w:val="20"/>
          <w:szCs w:val="20"/>
          <w:lang w:val="en-US"/>
        </w:rPr>
        <w:t xml:space="preserve"> </w:t>
      </w:r>
      <w:proofErr w:type="spellStart"/>
      <w:r w:rsidRPr="008533B0">
        <w:rPr>
          <w:rFonts w:ascii="Arial" w:hAnsi="Arial" w:cs="Arial"/>
          <w:b/>
          <w:bCs/>
          <w:i/>
          <w:iCs/>
          <w:sz w:val="20"/>
          <w:szCs w:val="20"/>
          <w:lang w:val="en-US"/>
        </w:rPr>
        <w:t>hypogaeus</w:t>
      </w:r>
      <w:proofErr w:type="spellEnd"/>
      <w:r w:rsidRPr="008533B0">
        <w:rPr>
          <w:rFonts w:ascii="Arial" w:hAnsi="Arial" w:cs="Arial"/>
          <w:sz w:val="20"/>
          <w:szCs w:val="20"/>
          <w:lang w:val="en-US"/>
        </w:rPr>
        <w:t xml:space="preserve"> root preparations for long periods, should be warned of the risks to their health, as they are more susceptible to toxicities. Public health officials are advised to enforce regulations for the safety control of herbal products before they are placed on the market to protect consumer health.</w:t>
      </w:r>
    </w:p>
    <w:p w14:paraId="744C124E" w14:textId="77777777" w:rsidR="0026222C" w:rsidRPr="008533B0" w:rsidRDefault="0026222C" w:rsidP="008533B0">
      <w:pPr>
        <w:spacing w:line="240" w:lineRule="auto"/>
        <w:rPr>
          <w:rFonts w:ascii="Arial" w:hAnsi="Arial" w:cs="Arial"/>
          <w:sz w:val="20"/>
          <w:szCs w:val="20"/>
          <w:lang w:val="en-US"/>
        </w:rPr>
      </w:pPr>
    </w:p>
    <w:p w14:paraId="6743EC98" w14:textId="77777777" w:rsidR="0096432C" w:rsidRDefault="0096432C" w:rsidP="008533B0">
      <w:pPr>
        <w:spacing w:line="240" w:lineRule="auto"/>
        <w:rPr>
          <w:rFonts w:ascii="Arial" w:hAnsi="Arial" w:cs="Arial"/>
          <w:b/>
          <w:bCs/>
          <w:sz w:val="20"/>
          <w:szCs w:val="20"/>
          <w:lang w:val="en-US"/>
        </w:rPr>
      </w:pPr>
      <w:r w:rsidRPr="008533B0">
        <w:rPr>
          <w:rFonts w:ascii="Arial" w:hAnsi="Arial" w:cs="Arial"/>
          <w:b/>
          <w:bCs/>
          <w:sz w:val="20"/>
          <w:szCs w:val="20"/>
          <w:lang w:val="en-US"/>
        </w:rPr>
        <w:t>References</w:t>
      </w:r>
    </w:p>
    <w:p w14:paraId="05DD10B4" w14:textId="77777777" w:rsidR="00D777CF" w:rsidRPr="008533B0" w:rsidRDefault="00D777CF" w:rsidP="008533B0">
      <w:pPr>
        <w:spacing w:line="240" w:lineRule="auto"/>
        <w:rPr>
          <w:rFonts w:ascii="Arial" w:hAnsi="Arial" w:cs="Arial"/>
          <w:b/>
          <w:bCs/>
          <w:sz w:val="20"/>
          <w:szCs w:val="20"/>
          <w:lang w:val="en-US"/>
        </w:rPr>
      </w:pPr>
    </w:p>
    <w:p w14:paraId="33D87077"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lang w:val="en-US"/>
        </w:rPr>
        <w:fldChar w:fldCharType="begin"/>
      </w:r>
      <w:r w:rsidRPr="008533B0">
        <w:rPr>
          <w:rFonts w:ascii="Arial" w:hAnsi="Arial" w:cs="Arial"/>
          <w:sz w:val="20"/>
          <w:szCs w:val="20"/>
          <w:lang w:val="en-US"/>
        </w:rPr>
        <w:instrText xml:space="preserve"> ADDIN ZOTERO_BIBL {"uncited":[],"omitted":[],"custom":[]} CSL_BIBLIOGRAPHY </w:instrText>
      </w:r>
      <w:r w:rsidRPr="008533B0">
        <w:rPr>
          <w:rFonts w:ascii="Arial" w:hAnsi="Arial" w:cs="Arial"/>
          <w:sz w:val="20"/>
          <w:szCs w:val="20"/>
          <w:lang w:val="en-US"/>
        </w:rPr>
        <w:fldChar w:fldCharType="separate"/>
      </w:r>
      <w:r w:rsidRPr="008533B0">
        <w:rPr>
          <w:rFonts w:ascii="Arial" w:hAnsi="Arial" w:cs="Arial"/>
          <w:sz w:val="20"/>
          <w:szCs w:val="20"/>
          <w:lang w:val="en-US"/>
        </w:rPr>
        <w:t xml:space="preserve">1. </w:t>
      </w:r>
      <w:r w:rsidRPr="008533B0">
        <w:rPr>
          <w:rFonts w:ascii="Arial" w:hAnsi="Arial" w:cs="Arial"/>
          <w:sz w:val="20"/>
          <w:szCs w:val="20"/>
          <w:lang w:val="en-US"/>
        </w:rPr>
        <w:tab/>
        <w:t xml:space="preserve">Yang, Q., Li, Z., Lu, X., Duan, Q., Huang, L., &amp; Bi, J. (2018). </w:t>
      </w:r>
      <w:r w:rsidRPr="008533B0">
        <w:rPr>
          <w:rFonts w:ascii="Arial" w:hAnsi="Arial" w:cs="Arial"/>
          <w:sz w:val="20"/>
          <w:szCs w:val="20"/>
        </w:rPr>
        <w:t xml:space="preserve">A review of soil heavy metal pollution from industrial and agricultural regions in China: Pollution and risk assessment.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642</w:t>
      </w:r>
      <w:r w:rsidRPr="008533B0">
        <w:rPr>
          <w:rFonts w:ascii="Arial" w:hAnsi="Arial" w:cs="Arial"/>
          <w:sz w:val="20"/>
          <w:szCs w:val="20"/>
        </w:rPr>
        <w:t xml:space="preserve">, 690–700. </w:t>
      </w:r>
    </w:p>
    <w:p w14:paraId="115F58A1"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https://doi.org/10.1016/j.scitotenv.2018.06.068</w:t>
      </w:r>
    </w:p>
    <w:p w14:paraId="11D7D256"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 </w:t>
      </w:r>
      <w:r w:rsidRPr="008533B0">
        <w:rPr>
          <w:rFonts w:ascii="Arial" w:hAnsi="Arial" w:cs="Arial"/>
          <w:sz w:val="20"/>
          <w:szCs w:val="20"/>
        </w:rPr>
        <w:tab/>
        <w:t xml:space="preserve">Legret, M., &amp; and, C. P. (2006). Heavy Metal Deposition and Soil Pollution Along Two Major Rural Highways. </w:t>
      </w:r>
      <w:r w:rsidRPr="008533B0">
        <w:rPr>
          <w:rFonts w:ascii="Arial" w:hAnsi="Arial" w:cs="Arial"/>
          <w:i/>
          <w:iCs/>
          <w:sz w:val="20"/>
          <w:szCs w:val="20"/>
        </w:rPr>
        <w:t>Environmental Technology</w:t>
      </w:r>
      <w:r w:rsidRPr="008533B0">
        <w:rPr>
          <w:rFonts w:ascii="Arial" w:hAnsi="Arial" w:cs="Arial"/>
          <w:sz w:val="20"/>
          <w:szCs w:val="20"/>
        </w:rPr>
        <w:t xml:space="preserve">, </w:t>
      </w:r>
      <w:r w:rsidRPr="008533B0">
        <w:rPr>
          <w:rFonts w:ascii="Arial" w:hAnsi="Arial" w:cs="Arial"/>
          <w:i/>
          <w:iCs/>
          <w:sz w:val="20"/>
          <w:szCs w:val="20"/>
        </w:rPr>
        <w:t>27</w:t>
      </w:r>
      <w:r w:rsidRPr="008533B0">
        <w:rPr>
          <w:rFonts w:ascii="Arial" w:hAnsi="Arial" w:cs="Arial"/>
          <w:sz w:val="20"/>
          <w:szCs w:val="20"/>
        </w:rPr>
        <w:t xml:space="preserve">(3), 247–254. </w:t>
      </w:r>
    </w:p>
    <w:p w14:paraId="1FACE969" w14:textId="4CA25511" w:rsidR="0096432C" w:rsidRPr="008533B0" w:rsidRDefault="00EC6752"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https://doi.org/10.1080/09593332708618641</w:t>
      </w:r>
    </w:p>
    <w:p w14:paraId="47833583" w14:textId="0AA64B5D"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 xml:space="preserve">3.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Peng, J., Zhang, S., Han, Y., Bate, B., Ke, H., &amp; Chen, Y. (2022). Soil heavy metal pollution of industrial legacies in China and health risk assessment.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816</w:t>
      </w:r>
      <w:r w:rsidRPr="008533B0">
        <w:rPr>
          <w:rFonts w:ascii="Arial" w:hAnsi="Arial" w:cs="Arial"/>
          <w:sz w:val="20"/>
          <w:szCs w:val="20"/>
        </w:rPr>
        <w:t xml:space="preserve">, 151632. </w:t>
      </w:r>
    </w:p>
    <w:p w14:paraId="0FA8D0AA" w14:textId="00C040AD" w:rsidR="0096432C" w:rsidRPr="008533B0" w:rsidRDefault="00EC6752"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https://doi.org/10.1016/j.scitotenv.2021.151632</w:t>
      </w:r>
    </w:p>
    <w:p w14:paraId="5A59B6B7" w14:textId="6A7DEA70"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 xml:space="preserve">4.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Gelaye, Y., &amp; Musie, S. (2023). Impacts of Heavy Metal Pollution on Ethiopian Agriculture: A Review on the Safety and Quality of Vegetable Crops. </w:t>
      </w:r>
      <w:r w:rsidRPr="008533B0">
        <w:rPr>
          <w:rFonts w:ascii="Arial" w:hAnsi="Arial" w:cs="Arial"/>
          <w:i/>
          <w:iCs/>
          <w:sz w:val="20"/>
          <w:szCs w:val="20"/>
        </w:rPr>
        <w:t>Advances in Agriculture</w:t>
      </w:r>
      <w:r w:rsidRPr="008533B0">
        <w:rPr>
          <w:rFonts w:ascii="Arial" w:hAnsi="Arial" w:cs="Arial"/>
          <w:sz w:val="20"/>
          <w:szCs w:val="20"/>
        </w:rPr>
        <w:t xml:space="preserve">, </w:t>
      </w:r>
      <w:r w:rsidRPr="008533B0">
        <w:rPr>
          <w:rFonts w:ascii="Arial" w:hAnsi="Arial" w:cs="Arial"/>
          <w:i/>
          <w:iCs/>
          <w:sz w:val="20"/>
          <w:szCs w:val="20"/>
        </w:rPr>
        <w:t>2023</w:t>
      </w:r>
      <w:r w:rsidRPr="008533B0">
        <w:rPr>
          <w:rFonts w:ascii="Arial" w:hAnsi="Arial" w:cs="Arial"/>
          <w:sz w:val="20"/>
          <w:szCs w:val="20"/>
        </w:rPr>
        <w:t xml:space="preserve">(1), 1457498. </w:t>
      </w:r>
    </w:p>
    <w:p w14:paraId="3EC363B8" w14:textId="0555D7C0" w:rsidR="0096432C" w:rsidRPr="008533B0" w:rsidRDefault="00EC6752"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https://doi.org/10.1155/2023/1457498</w:t>
      </w:r>
    </w:p>
    <w:p w14:paraId="68D5707E" w14:textId="49428CE2"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 xml:space="preserve">5.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Wu, H., Yang, F., Li, H., Li, Q., Zhang, F., Ba, Y., Cui, L., Sun, L., Lv, T., Wang, N., &amp; Zhu, J. (2020). Heavy metal pollution and health risk assessment of agricultural soil near a smelter in an industrial city in China. </w:t>
      </w:r>
      <w:r w:rsidRPr="008533B0">
        <w:rPr>
          <w:rFonts w:ascii="Arial" w:hAnsi="Arial" w:cs="Arial"/>
          <w:i/>
          <w:iCs/>
          <w:sz w:val="20"/>
          <w:szCs w:val="20"/>
        </w:rPr>
        <w:t>International Journal of Environmental Health Research</w:t>
      </w:r>
      <w:r w:rsidRPr="008533B0">
        <w:rPr>
          <w:rFonts w:ascii="Arial" w:hAnsi="Arial" w:cs="Arial"/>
          <w:sz w:val="20"/>
          <w:szCs w:val="20"/>
        </w:rPr>
        <w:t xml:space="preserve">, </w:t>
      </w:r>
      <w:r w:rsidRPr="008533B0">
        <w:rPr>
          <w:rFonts w:ascii="Arial" w:hAnsi="Arial" w:cs="Arial"/>
          <w:i/>
          <w:iCs/>
          <w:sz w:val="20"/>
          <w:szCs w:val="20"/>
        </w:rPr>
        <w:t>30</w:t>
      </w:r>
      <w:r w:rsidRPr="008533B0">
        <w:rPr>
          <w:rFonts w:ascii="Arial" w:hAnsi="Arial" w:cs="Arial"/>
          <w:sz w:val="20"/>
          <w:szCs w:val="20"/>
        </w:rPr>
        <w:t xml:space="preserve">(2), 174–186. </w:t>
      </w:r>
    </w:p>
    <w:p w14:paraId="5F498C21" w14:textId="68DEBCDC" w:rsidR="0096432C" w:rsidRPr="008533B0" w:rsidRDefault="00EC6752"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https://doi.org/10.1080/09603123.2019.1584666</w:t>
      </w:r>
    </w:p>
    <w:p w14:paraId="2391BF95" w14:textId="04DB3722"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 xml:space="preserve">6.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Li, Z., Ma, Z., Kuijp, T. J. van der, Yuan, Z., &amp; Huang, L. (2014). A review of soil heavy metal pollution from mines in China: Pollution and health risk assessment.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468–469</w:t>
      </w:r>
      <w:r w:rsidRPr="008533B0">
        <w:rPr>
          <w:rFonts w:ascii="Arial" w:hAnsi="Arial" w:cs="Arial"/>
          <w:sz w:val="20"/>
          <w:szCs w:val="20"/>
        </w:rPr>
        <w:t xml:space="preserve">, 843–853. </w:t>
      </w:r>
    </w:p>
    <w:p w14:paraId="296F78B1" w14:textId="572029DE" w:rsidR="0096432C" w:rsidRPr="008533B0" w:rsidRDefault="00EC6752"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https://doi.org/10.1016/j.scitotenv.2013.08.090</w:t>
      </w:r>
    </w:p>
    <w:p w14:paraId="3475F5AB" w14:textId="07F312C7" w:rsidR="0096432C" w:rsidRPr="008533B0" w:rsidRDefault="0096432C" w:rsidP="008533B0">
      <w:pPr>
        <w:pStyle w:val="Bibliography"/>
        <w:spacing w:line="240" w:lineRule="auto"/>
        <w:ind w:left="567" w:hanging="569"/>
        <w:rPr>
          <w:rFonts w:ascii="Arial" w:hAnsi="Arial" w:cs="Arial"/>
          <w:sz w:val="20"/>
          <w:szCs w:val="20"/>
          <w:lang w:val="fr-CA"/>
        </w:rPr>
      </w:pPr>
      <w:r w:rsidRPr="008533B0">
        <w:rPr>
          <w:rFonts w:ascii="Arial" w:hAnsi="Arial" w:cs="Arial"/>
          <w:sz w:val="20"/>
          <w:szCs w:val="20"/>
          <w:lang w:val="fr-CA"/>
        </w:rPr>
        <w:t xml:space="preserve">7. </w:t>
      </w:r>
      <w:r w:rsidRPr="008533B0">
        <w:rPr>
          <w:rFonts w:ascii="Arial" w:hAnsi="Arial" w:cs="Arial"/>
          <w:sz w:val="20"/>
          <w:szCs w:val="20"/>
          <w:lang w:val="fr-CA"/>
        </w:rPr>
        <w:tab/>
      </w:r>
      <w:r w:rsidR="00EC6752" w:rsidRPr="008533B0">
        <w:rPr>
          <w:rFonts w:ascii="Arial" w:hAnsi="Arial" w:cs="Arial"/>
          <w:sz w:val="20"/>
          <w:szCs w:val="20"/>
          <w:lang w:val="fr-CA"/>
        </w:rPr>
        <w:tab/>
      </w:r>
      <w:r w:rsidRPr="008533B0">
        <w:rPr>
          <w:rFonts w:ascii="Arial" w:hAnsi="Arial" w:cs="Arial"/>
          <w:sz w:val="20"/>
          <w:szCs w:val="20"/>
          <w:lang w:val="fr-CA"/>
        </w:rPr>
        <w:t xml:space="preserve">Luo, D., Liang, Y., Wu, H., Li, S., He, Y., Du, J., Chen, X., &amp; Pu, S. (2022). </w:t>
      </w:r>
      <w:r w:rsidRPr="008533B0">
        <w:rPr>
          <w:rFonts w:ascii="Arial" w:hAnsi="Arial" w:cs="Arial"/>
          <w:sz w:val="20"/>
          <w:szCs w:val="20"/>
        </w:rPr>
        <w:t xml:space="preserve">Human-Health and Environmental Risks of Heavy Metal Contamination in Soil and Groundwater at a Riverside Site, China. </w:t>
      </w:r>
      <w:r w:rsidRPr="008533B0">
        <w:rPr>
          <w:rFonts w:ascii="Arial" w:hAnsi="Arial" w:cs="Arial"/>
          <w:i/>
          <w:iCs/>
          <w:sz w:val="20"/>
          <w:szCs w:val="20"/>
          <w:lang w:val="fr-CA"/>
        </w:rPr>
        <w:t>Processes</w:t>
      </w:r>
      <w:r w:rsidRPr="008533B0">
        <w:rPr>
          <w:rFonts w:ascii="Arial" w:hAnsi="Arial" w:cs="Arial"/>
          <w:sz w:val="20"/>
          <w:szCs w:val="20"/>
          <w:lang w:val="fr-CA"/>
        </w:rPr>
        <w:t xml:space="preserve">, </w:t>
      </w:r>
      <w:r w:rsidRPr="008533B0">
        <w:rPr>
          <w:rFonts w:ascii="Arial" w:hAnsi="Arial" w:cs="Arial"/>
          <w:i/>
          <w:iCs/>
          <w:sz w:val="20"/>
          <w:szCs w:val="20"/>
          <w:lang w:val="fr-CA"/>
        </w:rPr>
        <w:t>10</w:t>
      </w:r>
      <w:r w:rsidRPr="008533B0">
        <w:rPr>
          <w:rFonts w:ascii="Arial" w:hAnsi="Arial" w:cs="Arial"/>
          <w:sz w:val="20"/>
          <w:szCs w:val="20"/>
          <w:lang w:val="fr-CA"/>
        </w:rPr>
        <w:t xml:space="preserve">(10), 1994. </w:t>
      </w:r>
    </w:p>
    <w:p w14:paraId="2C5E7305" w14:textId="6894F4B6" w:rsidR="0096432C" w:rsidRPr="008533B0" w:rsidRDefault="00EC6752" w:rsidP="008533B0">
      <w:pPr>
        <w:pStyle w:val="Bibliography"/>
        <w:spacing w:line="240" w:lineRule="auto"/>
        <w:ind w:left="567" w:hanging="569"/>
        <w:rPr>
          <w:rFonts w:ascii="Arial" w:hAnsi="Arial" w:cs="Arial"/>
          <w:sz w:val="20"/>
          <w:szCs w:val="20"/>
          <w:lang w:val="fr-CA"/>
        </w:rPr>
      </w:pPr>
      <w:r w:rsidRPr="008533B0">
        <w:rPr>
          <w:rFonts w:ascii="Arial" w:hAnsi="Arial" w:cs="Arial"/>
          <w:sz w:val="20"/>
          <w:szCs w:val="20"/>
          <w:lang w:val="fr-CA"/>
        </w:rPr>
        <w:tab/>
      </w:r>
      <w:r w:rsidRPr="008533B0">
        <w:rPr>
          <w:rFonts w:ascii="Arial" w:hAnsi="Arial" w:cs="Arial"/>
          <w:sz w:val="20"/>
          <w:szCs w:val="20"/>
          <w:lang w:val="fr-CA"/>
        </w:rPr>
        <w:tab/>
      </w:r>
      <w:r w:rsidR="0096432C" w:rsidRPr="008533B0">
        <w:rPr>
          <w:rFonts w:ascii="Arial" w:hAnsi="Arial" w:cs="Arial"/>
          <w:sz w:val="20"/>
          <w:szCs w:val="20"/>
          <w:lang w:val="fr-CA"/>
        </w:rPr>
        <w:t>https://doi.org/10.3390/pr10101994</w:t>
      </w:r>
    </w:p>
    <w:p w14:paraId="3E6F4EBF" w14:textId="357CDE68"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lang w:val="fr-CA"/>
        </w:rPr>
        <w:t xml:space="preserve">8. </w:t>
      </w:r>
      <w:r w:rsidRPr="008533B0">
        <w:rPr>
          <w:rFonts w:ascii="Arial" w:hAnsi="Arial" w:cs="Arial"/>
          <w:sz w:val="20"/>
          <w:szCs w:val="20"/>
          <w:lang w:val="fr-CA"/>
        </w:rPr>
        <w:tab/>
      </w:r>
      <w:r w:rsidR="00EC6752" w:rsidRPr="008533B0">
        <w:rPr>
          <w:rFonts w:ascii="Arial" w:hAnsi="Arial" w:cs="Arial"/>
          <w:sz w:val="20"/>
          <w:szCs w:val="20"/>
          <w:lang w:val="fr-CA"/>
        </w:rPr>
        <w:tab/>
      </w:r>
      <w:r w:rsidRPr="008533B0">
        <w:rPr>
          <w:rFonts w:ascii="Arial" w:hAnsi="Arial" w:cs="Arial"/>
          <w:sz w:val="20"/>
          <w:szCs w:val="20"/>
          <w:lang w:val="fr-CA"/>
        </w:rPr>
        <w:t xml:space="preserve">Soltaninia, S., Eskandaripour, M., Ahmadi, Z., Ahmadi, S., &amp; Eslamian, S. (2024). </w:t>
      </w:r>
      <w:r w:rsidRPr="008533B0">
        <w:rPr>
          <w:rFonts w:ascii="Arial" w:hAnsi="Arial" w:cs="Arial"/>
          <w:sz w:val="20"/>
          <w:szCs w:val="20"/>
        </w:rPr>
        <w:t xml:space="preserve">The hidden threat of heavy metal leaching in urban runoff: Investigating the long-term consequences of land use changes on human health risk exposure. </w:t>
      </w:r>
      <w:r w:rsidRPr="008533B0">
        <w:rPr>
          <w:rFonts w:ascii="Arial" w:hAnsi="Arial" w:cs="Arial"/>
          <w:i/>
          <w:iCs/>
          <w:sz w:val="20"/>
          <w:szCs w:val="20"/>
        </w:rPr>
        <w:t>Environmental Research</w:t>
      </w:r>
      <w:r w:rsidRPr="008533B0">
        <w:rPr>
          <w:rFonts w:ascii="Arial" w:hAnsi="Arial" w:cs="Arial"/>
          <w:sz w:val="20"/>
          <w:szCs w:val="20"/>
        </w:rPr>
        <w:t xml:space="preserve">, </w:t>
      </w:r>
      <w:r w:rsidRPr="008533B0">
        <w:rPr>
          <w:rFonts w:ascii="Arial" w:hAnsi="Arial" w:cs="Arial"/>
          <w:i/>
          <w:iCs/>
          <w:sz w:val="20"/>
          <w:szCs w:val="20"/>
        </w:rPr>
        <w:t>251</w:t>
      </w:r>
      <w:r w:rsidRPr="008533B0">
        <w:rPr>
          <w:rFonts w:ascii="Arial" w:hAnsi="Arial" w:cs="Arial"/>
          <w:sz w:val="20"/>
          <w:szCs w:val="20"/>
        </w:rPr>
        <w:t xml:space="preserve">, 118668. </w:t>
      </w:r>
    </w:p>
    <w:p w14:paraId="4F2CDD9D" w14:textId="7D594CA3" w:rsidR="0096432C" w:rsidRPr="008533B0" w:rsidRDefault="00EC6752"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https://doi.org/10.1016/j.envres.2024.118668</w:t>
      </w:r>
    </w:p>
    <w:p w14:paraId="073E9CEA" w14:textId="65DE0EF6"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 xml:space="preserve">9.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Chen, L., Ren, B., Deng, X., Yin, W., Xie, Q., &amp; Cai, Z. (2024). Potential toxic heavy metals in village rainwater runoff of antimony mining area, China: Distribution, pollution sources, and risk assessment.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920</w:t>
      </w:r>
      <w:r w:rsidRPr="008533B0">
        <w:rPr>
          <w:rFonts w:ascii="Arial" w:hAnsi="Arial" w:cs="Arial"/>
          <w:sz w:val="20"/>
          <w:szCs w:val="20"/>
        </w:rPr>
        <w:t xml:space="preserve">, 170702. </w:t>
      </w:r>
    </w:p>
    <w:p w14:paraId="08167E6D" w14:textId="3C506CAA" w:rsidR="0096432C" w:rsidRPr="008533B0" w:rsidRDefault="00EC6752"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https://doi.org/10.1016/j.scitotenv.2024.170702</w:t>
      </w:r>
    </w:p>
    <w:p w14:paraId="61FCBEAA" w14:textId="74659B95"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 xml:space="preserve">10. </w:t>
      </w:r>
      <w:r w:rsidRPr="008533B0">
        <w:rPr>
          <w:rFonts w:ascii="Arial" w:hAnsi="Arial" w:cs="Arial"/>
          <w:sz w:val="20"/>
          <w:szCs w:val="20"/>
        </w:rPr>
        <w:tab/>
      </w:r>
      <w:r w:rsidR="00EC6752" w:rsidRPr="008533B0">
        <w:rPr>
          <w:rFonts w:ascii="Arial" w:hAnsi="Arial" w:cs="Arial"/>
          <w:sz w:val="20"/>
          <w:szCs w:val="20"/>
        </w:rPr>
        <w:tab/>
      </w:r>
      <w:r w:rsidRPr="008533B0">
        <w:rPr>
          <w:rFonts w:ascii="Arial" w:hAnsi="Arial" w:cs="Arial"/>
          <w:sz w:val="20"/>
          <w:szCs w:val="20"/>
        </w:rPr>
        <w:t xml:space="preserve">Sanaei, F., Amin, M. M., Alavijeh, Z. P., Esfahani, R. A., Sadeghi, M., Bandarrig, N. S., Fatehizadeh, A, Taheri,  E., &amp;  Rezakazemi, M. (2021). Health risk assessment of potentially toxic elements intake via food crops consumption: Monte Carlo simulation-based probabilistic and heavy metal pollution index. </w:t>
      </w:r>
      <w:r w:rsidRPr="008533B0">
        <w:rPr>
          <w:rFonts w:ascii="Arial" w:hAnsi="Arial" w:cs="Arial"/>
          <w:i/>
          <w:iCs/>
          <w:sz w:val="20"/>
          <w:szCs w:val="20"/>
        </w:rPr>
        <w:t>Environmental Science and Pollution Research</w:t>
      </w:r>
      <w:r w:rsidRPr="008533B0">
        <w:rPr>
          <w:rFonts w:ascii="Arial" w:hAnsi="Arial" w:cs="Arial"/>
          <w:sz w:val="20"/>
          <w:szCs w:val="20"/>
        </w:rPr>
        <w:t xml:space="preserve">, </w:t>
      </w:r>
      <w:r w:rsidRPr="008533B0">
        <w:rPr>
          <w:rFonts w:ascii="Arial" w:hAnsi="Arial" w:cs="Arial"/>
          <w:i/>
          <w:iCs/>
          <w:sz w:val="20"/>
          <w:szCs w:val="20"/>
        </w:rPr>
        <w:t>28</w:t>
      </w:r>
      <w:r w:rsidRPr="008533B0">
        <w:rPr>
          <w:rFonts w:ascii="Arial" w:hAnsi="Arial" w:cs="Arial"/>
          <w:sz w:val="20"/>
          <w:szCs w:val="20"/>
        </w:rPr>
        <w:t xml:space="preserve">(2), 1479–1490. </w:t>
      </w:r>
    </w:p>
    <w:p w14:paraId="382B59E6" w14:textId="1C490A03" w:rsidR="0096432C" w:rsidRPr="008533B0" w:rsidRDefault="00662C79"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lastRenderedPageBreak/>
        <w:tab/>
      </w:r>
      <w:r w:rsidRPr="008533B0">
        <w:rPr>
          <w:rFonts w:ascii="Arial" w:hAnsi="Arial" w:cs="Arial"/>
          <w:sz w:val="20"/>
          <w:szCs w:val="20"/>
        </w:rPr>
        <w:tab/>
      </w:r>
      <w:r w:rsidR="0096432C" w:rsidRPr="008533B0">
        <w:rPr>
          <w:rFonts w:ascii="Arial" w:hAnsi="Arial" w:cs="Arial"/>
          <w:sz w:val="20"/>
          <w:szCs w:val="20"/>
        </w:rPr>
        <w:t>https://doi.org/10.1007/s11356-020-10450-7</w:t>
      </w:r>
    </w:p>
    <w:p w14:paraId="722493BC"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11. </w:t>
      </w:r>
      <w:r w:rsidRPr="008533B0">
        <w:rPr>
          <w:rFonts w:ascii="Arial" w:hAnsi="Arial" w:cs="Arial"/>
          <w:sz w:val="20"/>
          <w:szCs w:val="20"/>
        </w:rPr>
        <w:tab/>
        <w:t xml:space="preserve">Xiang, M., Li, Y., Yang, J., Lei, K., Li, Y., Li, F., Zheng, D., Fang, X. &amp; Cao, Y. (2021). Heavy metal contamination risk assessment and correlation analysis of heavy metal contents in soil and crops. </w:t>
      </w:r>
      <w:r w:rsidRPr="008533B0">
        <w:rPr>
          <w:rFonts w:ascii="Arial" w:hAnsi="Arial" w:cs="Arial"/>
          <w:i/>
          <w:iCs/>
          <w:sz w:val="20"/>
          <w:szCs w:val="20"/>
        </w:rPr>
        <w:t>Environmental Pollution</w:t>
      </w:r>
      <w:r w:rsidRPr="008533B0">
        <w:rPr>
          <w:rFonts w:ascii="Arial" w:hAnsi="Arial" w:cs="Arial"/>
          <w:sz w:val="20"/>
          <w:szCs w:val="20"/>
        </w:rPr>
        <w:t xml:space="preserve">, </w:t>
      </w:r>
      <w:r w:rsidRPr="008533B0">
        <w:rPr>
          <w:rFonts w:ascii="Arial" w:hAnsi="Arial" w:cs="Arial"/>
          <w:i/>
          <w:iCs/>
          <w:sz w:val="20"/>
          <w:szCs w:val="20"/>
        </w:rPr>
        <w:t>278</w:t>
      </w:r>
      <w:r w:rsidRPr="008533B0">
        <w:rPr>
          <w:rFonts w:ascii="Arial" w:hAnsi="Arial" w:cs="Arial"/>
          <w:sz w:val="20"/>
          <w:szCs w:val="20"/>
        </w:rPr>
        <w:t xml:space="preserve">, 116911. </w:t>
      </w:r>
    </w:p>
    <w:p w14:paraId="00448292"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https://doi.org/10.1016/j.envpol.2021.116911</w:t>
      </w:r>
    </w:p>
    <w:p w14:paraId="5F51C479"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12. </w:t>
      </w:r>
      <w:r w:rsidRPr="008533B0">
        <w:rPr>
          <w:rFonts w:ascii="Arial" w:hAnsi="Arial" w:cs="Arial"/>
          <w:sz w:val="20"/>
          <w:szCs w:val="20"/>
        </w:rPr>
        <w:tab/>
        <w:t xml:space="preserve">Wang, Z., Wang, H., Wang, H., Li, Q., &amp; Li, Y. (2019). Heavy metal pollution and potential health risks of commercially available Chinese herbal medicines. </w:t>
      </w:r>
      <w:r w:rsidRPr="008533B0">
        <w:rPr>
          <w:rFonts w:ascii="Arial" w:hAnsi="Arial" w:cs="Arial"/>
          <w:i/>
          <w:iCs/>
          <w:sz w:val="20"/>
          <w:szCs w:val="20"/>
        </w:rPr>
        <w:t>Science of The Total Environment</w:t>
      </w:r>
      <w:r w:rsidRPr="008533B0">
        <w:rPr>
          <w:rFonts w:ascii="Arial" w:hAnsi="Arial" w:cs="Arial"/>
          <w:sz w:val="20"/>
          <w:szCs w:val="20"/>
        </w:rPr>
        <w:t xml:space="preserve">, </w:t>
      </w:r>
      <w:r w:rsidRPr="008533B0">
        <w:rPr>
          <w:rFonts w:ascii="Arial" w:hAnsi="Arial" w:cs="Arial"/>
          <w:i/>
          <w:iCs/>
          <w:sz w:val="20"/>
          <w:szCs w:val="20"/>
        </w:rPr>
        <w:t>653</w:t>
      </w:r>
      <w:r w:rsidRPr="008533B0">
        <w:rPr>
          <w:rFonts w:ascii="Arial" w:hAnsi="Arial" w:cs="Arial"/>
          <w:sz w:val="20"/>
          <w:szCs w:val="20"/>
        </w:rPr>
        <w:t xml:space="preserve">, 748–757. </w:t>
      </w:r>
    </w:p>
    <w:p w14:paraId="5EEB40F4"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https://doi.org/10.1016/j.scitotenv.2018.10.388</w:t>
      </w:r>
    </w:p>
    <w:p w14:paraId="0227C78E"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13. </w:t>
      </w:r>
      <w:r w:rsidRPr="008533B0">
        <w:rPr>
          <w:rFonts w:ascii="Arial" w:hAnsi="Arial" w:cs="Arial"/>
          <w:sz w:val="20"/>
          <w:szCs w:val="20"/>
          <w:lang w:val="fr-CA"/>
        </w:rPr>
        <w:tab/>
        <w:t xml:space="preserve">Asiminicesei, D.-M., Fertu, D. I., &amp; Gavrilescu, M. (2024). </w:t>
      </w:r>
      <w:r w:rsidRPr="008533B0">
        <w:rPr>
          <w:rFonts w:ascii="Arial" w:hAnsi="Arial" w:cs="Arial"/>
          <w:sz w:val="20"/>
          <w:szCs w:val="20"/>
        </w:rPr>
        <w:t xml:space="preserve">Impact of Heavy Metal Pollution in the Environment on the Metabolic Profile of Medicinal Plants and Their Therapeutic Potential. </w:t>
      </w:r>
      <w:r w:rsidRPr="008533B0">
        <w:rPr>
          <w:rFonts w:ascii="Arial" w:hAnsi="Arial" w:cs="Arial"/>
          <w:i/>
          <w:iCs/>
          <w:sz w:val="20"/>
          <w:szCs w:val="20"/>
        </w:rPr>
        <w:t>Plants</w:t>
      </w:r>
      <w:r w:rsidRPr="008533B0">
        <w:rPr>
          <w:rFonts w:ascii="Arial" w:hAnsi="Arial" w:cs="Arial"/>
          <w:sz w:val="20"/>
          <w:szCs w:val="20"/>
        </w:rPr>
        <w:t xml:space="preserve">, </w:t>
      </w:r>
      <w:r w:rsidRPr="008533B0">
        <w:rPr>
          <w:rFonts w:ascii="Arial" w:hAnsi="Arial" w:cs="Arial"/>
          <w:i/>
          <w:iCs/>
          <w:sz w:val="20"/>
          <w:szCs w:val="20"/>
        </w:rPr>
        <w:t>13</w:t>
      </w:r>
      <w:r w:rsidRPr="008533B0">
        <w:rPr>
          <w:rFonts w:ascii="Arial" w:hAnsi="Arial" w:cs="Arial"/>
          <w:sz w:val="20"/>
          <w:szCs w:val="20"/>
        </w:rPr>
        <w:t xml:space="preserve">(6), 913. </w:t>
      </w:r>
    </w:p>
    <w:p w14:paraId="4B1F502D"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https://doi.org/10.3390/plants13060913</w:t>
      </w:r>
    </w:p>
    <w:p w14:paraId="0B53B408"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14. </w:t>
      </w:r>
      <w:r w:rsidRPr="008533B0">
        <w:rPr>
          <w:rFonts w:ascii="Arial" w:hAnsi="Arial" w:cs="Arial"/>
          <w:sz w:val="20"/>
          <w:szCs w:val="20"/>
        </w:rPr>
        <w:tab/>
        <w:t xml:space="preserve">Nallbani, B. G., Yalcin, I. E., Karadeniz, S., Hocaoglu-Ozyigit, A., Demir, G., &amp; and, I. I. O. (2025). Utilizing a medicinal plant and soil assays for heavy metal pollution assessment and its impacts in a Turkish Industrial Zone. </w:t>
      </w:r>
      <w:r w:rsidRPr="008533B0">
        <w:rPr>
          <w:rFonts w:ascii="Arial" w:hAnsi="Arial" w:cs="Arial"/>
          <w:i/>
          <w:iCs/>
          <w:sz w:val="20"/>
          <w:szCs w:val="20"/>
        </w:rPr>
        <w:t>Spectroscopy Letters</w:t>
      </w:r>
      <w:r w:rsidRPr="008533B0">
        <w:rPr>
          <w:rFonts w:ascii="Arial" w:hAnsi="Arial" w:cs="Arial"/>
          <w:sz w:val="20"/>
          <w:szCs w:val="20"/>
        </w:rPr>
        <w:t xml:space="preserve">, </w:t>
      </w:r>
      <w:r w:rsidRPr="008533B0">
        <w:rPr>
          <w:rFonts w:ascii="Arial" w:hAnsi="Arial" w:cs="Arial"/>
          <w:i/>
          <w:iCs/>
          <w:sz w:val="20"/>
          <w:szCs w:val="20"/>
        </w:rPr>
        <w:t>58</w:t>
      </w:r>
      <w:r w:rsidRPr="008533B0">
        <w:rPr>
          <w:rFonts w:ascii="Arial" w:hAnsi="Arial" w:cs="Arial"/>
          <w:sz w:val="20"/>
          <w:szCs w:val="20"/>
        </w:rPr>
        <w:t xml:space="preserve">(2), 131–148. </w:t>
      </w:r>
    </w:p>
    <w:p w14:paraId="252E4DAE"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https://doi.org/10.1080/00387010.2024.2410828</w:t>
      </w:r>
    </w:p>
    <w:p w14:paraId="7C66DD94"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15. </w:t>
      </w:r>
      <w:r w:rsidRPr="008533B0">
        <w:rPr>
          <w:rFonts w:ascii="Arial" w:hAnsi="Arial" w:cs="Arial"/>
          <w:sz w:val="20"/>
          <w:szCs w:val="20"/>
        </w:rPr>
        <w:tab/>
        <w:t xml:space="preserve">Bayraktar, E. P., Isinkaralar, O., &amp; Isinkaralar, K. (2022). Usability of several species for monitoring and reducing the heavy metal pollution threatening the public health in urban environment of Ankara. </w:t>
      </w:r>
      <w:r w:rsidRPr="008533B0">
        <w:rPr>
          <w:rFonts w:ascii="Arial" w:hAnsi="Arial" w:cs="Arial"/>
          <w:i/>
          <w:iCs/>
          <w:sz w:val="20"/>
          <w:szCs w:val="20"/>
        </w:rPr>
        <w:t>World Journal of Advanced Research and Reviews</w:t>
      </w:r>
      <w:r w:rsidRPr="008533B0">
        <w:rPr>
          <w:rFonts w:ascii="Arial" w:hAnsi="Arial" w:cs="Arial"/>
          <w:sz w:val="20"/>
          <w:szCs w:val="20"/>
        </w:rPr>
        <w:t xml:space="preserve">, </w:t>
      </w:r>
      <w:r w:rsidRPr="008533B0">
        <w:rPr>
          <w:rFonts w:ascii="Arial" w:hAnsi="Arial" w:cs="Arial"/>
          <w:i/>
          <w:iCs/>
          <w:sz w:val="20"/>
          <w:szCs w:val="20"/>
        </w:rPr>
        <w:t>14</w:t>
      </w:r>
      <w:r w:rsidRPr="008533B0">
        <w:rPr>
          <w:rFonts w:ascii="Arial" w:hAnsi="Arial" w:cs="Arial"/>
          <w:sz w:val="20"/>
          <w:szCs w:val="20"/>
        </w:rPr>
        <w:t xml:space="preserve">(3), 276–283. </w:t>
      </w:r>
    </w:p>
    <w:p w14:paraId="114F8103"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https://doi.org/10.30574/wjarr.2022.14.3.0553</w:t>
      </w:r>
    </w:p>
    <w:p w14:paraId="32150883"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16. </w:t>
      </w:r>
      <w:r w:rsidRPr="008533B0">
        <w:rPr>
          <w:rFonts w:ascii="Arial" w:hAnsi="Arial" w:cs="Arial"/>
          <w:sz w:val="20"/>
          <w:szCs w:val="20"/>
          <w:lang w:val="fr-CA"/>
        </w:rPr>
        <w:tab/>
        <w:t xml:space="preserve">Lei, M., Tie, B., Song, Z., Liao, B.-H., Lepo, J. E., &amp; Huang, Y. (2015). </w:t>
      </w:r>
      <w:r w:rsidRPr="008533B0">
        <w:rPr>
          <w:rFonts w:ascii="Arial" w:hAnsi="Arial" w:cs="Arial"/>
          <w:sz w:val="20"/>
          <w:szCs w:val="20"/>
        </w:rPr>
        <w:t xml:space="preserve">Heavy metal pollution and potential health risk assessment of white rice around mine areas in Hunan Province, China. </w:t>
      </w:r>
      <w:r w:rsidRPr="008533B0">
        <w:rPr>
          <w:rFonts w:ascii="Arial" w:hAnsi="Arial" w:cs="Arial"/>
          <w:i/>
          <w:iCs/>
          <w:sz w:val="20"/>
          <w:szCs w:val="20"/>
        </w:rPr>
        <w:t>Food Security</w:t>
      </w:r>
      <w:r w:rsidRPr="008533B0">
        <w:rPr>
          <w:rFonts w:ascii="Arial" w:hAnsi="Arial" w:cs="Arial"/>
          <w:sz w:val="20"/>
          <w:szCs w:val="20"/>
        </w:rPr>
        <w:t xml:space="preserve">, </w:t>
      </w:r>
      <w:r w:rsidRPr="008533B0">
        <w:rPr>
          <w:rFonts w:ascii="Arial" w:hAnsi="Arial" w:cs="Arial"/>
          <w:i/>
          <w:iCs/>
          <w:sz w:val="20"/>
          <w:szCs w:val="20"/>
        </w:rPr>
        <w:t>7</w:t>
      </w:r>
      <w:r w:rsidRPr="008533B0">
        <w:rPr>
          <w:rFonts w:ascii="Arial" w:hAnsi="Arial" w:cs="Arial"/>
          <w:sz w:val="20"/>
          <w:szCs w:val="20"/>
        </w:rPr>
        <w:t xml:space="preserve">(1), 45–54. </w:t>
      </w:r>
    </w:p>
    <w:p w14:paraId="6BF45ACF"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https://doi.org/10.1007/s12571-014-0414-9</w:t>
      </w:r>
    </w:p>
    <w:p w14:paraId="184CB382"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17. </w:t>
      </w:r>
      <w:r w:rsidRPr="008533B0">
        <w:rPr>
          <w:rFonts w:ascii="Arial" w:hAnsi="Arial" w:cs="Arial"/>
          <w:sz w:val="20"/>
          <w:szCs w:val="20"/>
        </w:rPr>
        <w:tab/>
        <w:t xml:space="preserve">Hu, B., Jia, X., Hu, J., Xu, D., Xia, F., &amp; Li, Y. (2017). Assessment of Heavy Metal Pollution and Health Risks in the Soil-Plant-Human System in the Yangtze River Delta, China. </w:t>
      </w:r>
      <w:r w:rsidRPr="008533B0">
        <w:rPr>
          <w:rFonts w:ascii="Arial" w:hAnsi="Arial" w:cs="Arial"/>
          <w:i/>
          <w:iCs/>
          <w:sz w:val="20"/>
          <w:szCs w:val="20"/>
        </w:rPr>
        <w:t>International Journal of Environmental Research and Public Health</w:t>
      </w:r>
      <w:r w:rsidRPr="008533B0">
        <w:rPr>
          <w:rFonts w:ascii="Arial" w:hAnsi="Arial" w:cs="Arial"/>
          <w:sz w:val="20"/>
          <w:szCs w:val="20"/>
        </w:rPr>
        <w:t xml:space="preserve">, </w:t>
      </w:r>
      <w:r w:rsidRPr="008533B0">
        <w:rPr>
          <w:rFonts w:ascii="Arial" w:hAnsi="Arial" w:cs="Arial"/>
          <w:i/>
          <w:iCs/>
          <w:sz w:val="20"/>
          <w:szCs w:val="20"/>
        </w:rPr>
        <w:t>14</w:t>
      </w:r>
      <w:r w:rsidRPr="008533B0">
        <w:rPr>
          <w:rFonts w:ascii="Arial" w:hAnsi="Arial" w:cs="Arial"/>
          <w:sz w:val="20"/>
          <w:szCs w:val="20"/>
        </w:rPr>
        <w:t xml:space="preserve">(9), 1042. </w:t>
      </w:r>
    </w:p>
    <w:p w14:paraId="518F42E4"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https://doi.org/10.3390/ijerph14091042</w:t>
      </w:r>
    </w:p>
    <w:p w14:paraId="0005F54E"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18. </w:t>
      </w:r>
      <w:r w:rsidRPr="008533B0">
        <w:rPr>
          <w:rFonts w:ascii="Arial" w:hAnsi="Arial" w:cs="Arial"/>
          <w:sz w:val="20"/>
          <w:szCs w:val="20"/>
        </w:rPr>
        <w:tab/>
        <w:t xml:space="preserve">Zhu, Y., Wang, Y., He, X., Li, B., &amp; Du, S. (2023). Plant growth-promoting rhizobacteria: A good companion for heavy metal phytoremediation. </w:t>
      </w:r>
      <w:r w:rsidRPr="008533B0">
        <w:rPr>
          <w:rFonts w:ascii="Arial" w:hAnsi="Arial" w:cs="Arial"/>
          <w:i/>
          <w:iCs/>
          <w:sz w:val="20"/>
          <w:szCs w:val="20"/>
        </w:rPr>
        <w:t>Chemosphere</w:t>
      </w:r>
      <w:r w:rsidRPr="008533B0">
        <w:rPr>
          <w:rFonts w:ascii="Arial" w:hAnsi="Arial" w:cs="Arial"/>
          <w:sz w:val="20"/>
          <w:szCs w:val="20"/>
        </w:rPr>
        <w:t xml:space="preserve">, </w:t>
      </w:r>
      <w:r w:rsidRPr="008533B0">
        <w:rPr>
          <w:rFonts w:ascii="Arial" w:hAnsi="Arial" w:cs="Arial"/>
          <w:i/>
          <w:iCs/>
          <w:sz w:val="20"/>
          <w:szCs w:val="20"/>
        </w:rPr>
        <w:t>338</w:t>
      </w:r>
      <w:r w:rsidRPr="008533B0">
        <w:rPr>
          <w:rFonts w:ascii="Arial" w:hAnsi="Arial" w:cs="Arial"/>
          <w:sz w:val="20"/>
          <w:szCs w:val="20"/>
        </w:rPr>
        <w:t xml:space="preserve">, 139475. </w:t>
      </w:r>
    </w:p>
    <w:p w14:paraId="7FA067F5"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https://doi.org/10.1016/j.chemosphere.2023.139475</w:t>
      </w:r>
    </w:p>
    <w:p w14:paraId="47C10BCE"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19. </w:t>
      </w:r>
      <w:r w:rsidRPr="008533B0">
        <w:rPr>
          <w:rFonts w:ascii="Arial" w:hAnsi="Arial" w:cs="Arial"/>
          <w:sz w:val="20"/>
          <w:szCs w:val="20"/>
        </w:rPr>
        <w:tab/>
        <w:t xml:space="preserve">Rajkumar, M., Sandhya, S., Prasad, M. N. V., &amp; Freitas, H. (2012). Perspectives of plant-associated microbes in heavy metal phytoremediation. </w:t>
      </w:r>
      <w:r w:rsidRPr="008533B0">
        <w:rPr>
          <w:rFonts w:ascii="Arial" w:hAnsi="Arial" w:cs="Arial"/>
          <w:i/>
          <w:iCs/>
          <w:sz w:val="20"/>
          <w:szCs w:val="20"/>
        </w:rPr>
        <w:t>Biotechnology Advances</w:t>
      </w:r>
      <w:r w:rsidRPr="008533B0">
        <w:rPr>
          <w:rFonts w:ascii="Arial" w:hAnsi="Arial" w:cs="Arial"/>
          <w:sz w:val="20"/>
          <w:szCs w:val="20"/>
        </w:rPr>
        <w:t xml:space="preserve">, </w:t>
      </w:r>
      <w:r w:rsidRPr="008533B0">
        <w:rPr>
          <w:rFonts w:ascii="Arial" w:hAnsi="Arial" w:cs="Arial"/>
          <w:i/>
          <w:iCs/>
          <w:sz w:val="20"/>
          <w:szCs w:val="20"/>
        </w:rPr>
        <w:t>30</w:t>
      </w:r>
      <w:r w:rsidRPr="008533B0">
        <w:rPr>
          <w:rFonts w:ascii="Arial" w:hAnsi="Arial" w:cs="Arial"/>
          <w:sz w:val="20"/>
          <w:szCs w:val="20"/>
        </w:rPr>
        <w:t xml:space="preserve">(6), 1562–1574. </w:t>
      </w:r>
    </w:p>
    <w:p w14:paraId="53EEB188"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https://doi.org/10.1016/j.biotechadv.2012.04.011</w:t>
      </w:r>
    </w:p>
    <w:p w14:paraId="071D8421"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20. </w:t>
      </w:r>
      <w:r w:rsidRPr="008533B0">
        <w:rPr>
          <w:rFonts w:ascii="Arial" w:hAnsi="Arial" w:cs="Arial"/>
          <w:sz w:val="20"/>
          <w:szCs w:val="20"/>
          <w:lang w:val="fr-CA"/>
        </w:rPr>
        <w:tab/>
        <w:t xml:space="preserve">Kooti, W., Servatyari, K., Behzadifar, M., Asadi-Samani, M., Sadeghi, F., Nouri, B., &amp; Marzouni, H. Z. (2017). </w:t>
      </w:r>
      <w:r w:rsidRPr="008533B0">
        <w:rPr>
          <w:rFonts w:ascii="Arial" w:hAnsi="Arial" w:cs="Arial"/>
          <w:sz w:val="20"/>
          <w:szCs w:val="20"/>
        </w:rPr>
        <w:t xml:space="preserve">Effective Medicinal Plant in Cancer Treatment, Part 2: Review Study. </w:t>
      </w:r>
      <w:r w:rsidRPr="008533B0">
        <w:rPr>
          <w:rFonts w:ascii="Arial" w:hAnsi="Arial" w:cs="Arial"/>
          <w:i/>
          <w:iCs/>
          <w:sz w:val="20"/>
          <w:szCs w:val="20"/>
        </w:rPr>
        <w:t>Journal of Evidence-Based Complementary &amp; Alternative Medicine</w:t>
      </w:r>
      <w:r w:rsidRPr="008533B0">
        <w:rPr>
          <w:rFonts w:ascii="Arial" w:hAnsi="Arial" w:cs="Arial"/>
          <w:sz w:val="20"/>
          <w:szCs w:val="20"/>
        </w:rPr>
        <w:t xml:space="preserve">, </w:t>
      </w:r>
      <w:r w:rsidRPr="008533B0">
        <w:rPr>
          <w:rFonts w:ascii="Arial" w:hAnsi="Arial" w:cs="Arial"/>
          <w:i/>
          <w:iCs/>
          <w:sz w:val="20"/>
          <w:szCs w:val="20"/>
        </w:rPr>
        <w:t>22</w:t>
      </w:r>
      <w:r w:rsidRPr="008533B0">
        <w:rPr>
          <w:rFonts w:ascii="Arial" w:hAnsi="Arial" w:cs="Arial"/>
          <w:sz w:val="20"/>
          <w:szCs w:val="20"/>
        </w:rPr>
        <w:t xml:space="preserve">(4), 982–995. </w:t>
      </w:r>
    </w:p>
    <w:p w14:paraId="126291AD"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https://doi.org/10.1177/2156587217696927</w:t>
      </w:r>
    </w:p>
    <w:p w14:paraId="6A7B495A"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21. </w:t>
      </w:r>
      <w:r w:rsidRPr="008533B0">
        <w:rPr>
          <w:rFonts w:ascii="Arial" w:hAnsi="Arial" w:cs="Arial"/>
          <w:sz w:val="20"/>
          <w:szCs w:val="20"/>
        </w:rPr>
        <w:tab/>
        <w:t xml:space="preserve">Alharbi, K. S., Almalki, W. H., Makeen, H. A., Albratty, M., Meraya, A. M., Nagraik, R., Sharma, A., Kumar, D., Chellapan, D. K., Singh, S. K., Dua, K., </w:t>
      </w:r>
      <w:r w:rsidRPr="008533B0">
        <w:rPr>
          <w:rFonts w:ascii="Arial" w:hAnsi="Arial" w:cs="Arial"/>
          <w:sz w:val="20"/>
          <w:szCs w:val="20"/>
          <w:lang w:val="en-US"/>
        </w:rPr>
        <w:t>&amp;</w:t>
      </w:r>
      <w:r w:rsidRPr="008533B0">
        <w:rPr>
          <w:rFonts w:ascii="Arial" w:hAnsi="Arial" w:cs="Arial"/>
          <w:sz w:val="20"/>
          <w:szCs w:val="20"/>
        </w:rPr>
        <w:t xml:space="preserve"> Gupta, G. (2022). Role of Medicinal plant-derived Nutraceuticals as a potential target for the treatment of breast cancer. </w:t>
      </w:r>
      <w:r w:rsidRPr="008533B0">
        <w:rPr>
          <w:rFonts w:ascii="Arial" w:hAnsi="Arial" w:cs="Arial"/>
          <w:i/>
          <w:iCs/>
          <w:sz w:val="20"/>
          <w:szCs w:val="20"/>
        </w:rPr>
        <w:t>Journal of Food Biochemistry</w:t>
      </w:r>
      <w:r w:rsidRPr="008533B0">
        <w:rPr>
          <w:rFonts w:ascii="Arial" w:hAnsi="Arial" w:cs="Arial"/>
          <w:sz w:val="20"/>
          <w:szCs w:val="20"/>
        </w:rPr>
        <w:t xml:space="preserve">, </w:t>
      </w:r>
      <w:r w:rsidRPr="008533B0">
        <w:rPr>
          <w:rFonts w:ascii="Arial" w:hAnsi="Arial" w:cs="Arial"/>
          <w:i/>
          <w:iCs/>
          <w:sz w:val="20"/>
          <w:szCs w:val="20"/>
        </w:rPr>
        <w:t>46</w:t>
      </w:r>
      <w:r w:rsidRPr="008533B0">
        <w:rPr>
          <w:rFonts w:ascii="Arial" w:hAnsi="Arial" w:cs="Arial"/>
          <w:sz w:val="20"/>
          <w:szCs w:val="20"/>
        </w:rPr>
        <w:t xml:space="preserve">(12), e14387. </w:t>
      </w:r>
    </w:p>
    <w:p w14:paraId="16B9E1AE"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https://doi.org/10.1111/jfbc.14387</w:t>
      </w:r>
    </w:p>
    <w:p w14:paraId="74139DD5"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22. </w:t>
      </w:r>
      <w:r w:rsidRPr="008533B0">
        <w:rPr>
          <w:rFonts w:ascii="Arial" w:hAnsi="Arial" w:cs="Arial"/>
          <w:sz w:val="20"/>
          <w:szCs w:val="20"/>
        </w:rPr>
        <w:tab/>
        <w:t xml:space="preserve">Palombo, E. A. (2011). Traditional Medicinal Plant Extracts and Natural Products with Activity against Oral Bacteria: Potential Application in the Prevention and Treatment of Oral Diseases. </w:t>
      </w:r>
      <w:r w:rsidRPr="008533B0">
        <w:rPr>
          <w:rFonts w:ascii="Arial" w:hAnsi="Arial" w:cs="Arial"/>
          <w:i/>
          <w:iCs/>
          <w:sz w:val="20"/>
          <w:szCs w:val="20"/>
        </w:rPr>
        <w:t>Evidence-Based Complementary and Alternative Medicine</w:t>
      </w:r>
      <w:r w:rsidRPr="008533B0">
        <w:rPr>
          <w:rFonts w:ascii="Arial" w:hAnsi="Arial" w:cs="Arial"/>
          <w:sz w:val="20"/>
          <w:szCs w:val="20"/>
        </w:rPr>
        <w:t xml:space="preserve">, </w:t>
      </w:r>
      <w:r w:rsidRPr="008533B0">
        <w:rPr>
          <w:rFonts w:ascii="Arial" w:hAnsi="Arial" w:cs="Arial"/>
          <w:i/>
          <w:iCs/>
          <w:sz w:val="20"/>
          <w:szCs w:val="20"/>
        </w:rPr>
        <w:t>2011</w:t>
      </w:r>
      <w:r w:rsidRPr="008533B0">
        <w:rPr>
          <w:rFonts w:ascii="Arial" w:hAnsi="Arial" w:cs="Arial"/>
          <w:sz w:val="20"/>
          <w:szCs w:val="20"/>
        </w:rPr>
        <w:t xml:space="preserve">(1), 680354. </w:t>
      </w:r>
    </w:p>
    <w:p w14:paraId="2F9AFB7A" w14:textId="54AA99D0" w:rsidR="0096432C" w:rsidRPr="008533B0" w:rsidRDefault="00046E73"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0096432C" w:rsidRPr="008533B0">
        <w:rPr>
          <w:rFonts w:ascii="Arial" w:hAnsi="Arial" w:cs="Arial"/>
          <w:sz w:val="20"/>
          <w:szCs w:val="20"/>
        </w:rPr>
        <w:t>https://doi.org/10.1093/ecam/nep067</w:t>
      </w:r>
    </w:p>
    <w:p w14:paraId="67AE3DFA" w14:textId="3911DBE6"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 xml:space="preserve">23. </w:t>
      </w:r>
      <w:r w:rsidRPr="008533B0">
        <w:rPr>
          <w:rFonts w:ascii="Arial" w:hAnsi="Arial" w:cs="Arial"/>
          <w:sz w:val="20"/>
          <w:szCs w:val="20"/>
        </w:rPr>
        <w:tab/>
      </w:r>
      <w:r w:rsidR="00662C79" w:rsidRPr="008533B0">
        <w:rPr>
          <w:rFonts w:ascii="Arial" w:hAnsi="Arial" w:cs="Arial"/>
          <w:sz w:val="20"/>
          <w:szCs w:val="20"/>
        </w:rPr>
        <w:tab/>
      </w:r>
      <w:r w:rsidRPr="008533B0">
        <w:rPr>
          <w:rFonts w:ascii="Arial" w:hAnsi="Arial" w:cs="Arial"/>
          <w:sz w:val="20"/>
          <w:szCs w:val="20"/>
        </w:rPr>
        <w:t xml:space="preserve">Mogwasi, R., Kenyanya, O., Kenanda, E., Getenga, Z. M., &amp; Kennedy, O. (2025). Effect of artificial fertilizers and pesticide use on heavy metal concentration and health risk of selected medicinal plants from Nyamira County-Kenya. </w:t>
      </w:r>
      <w:r w:rsidRPr="008533B0">
        <w:rPr>
          <w:rFonts w:ascii="Arial" w:hAnsi="Arial" w:cs="Arial"/>
          <w:i/>
          <w:iCs/>
          <w:sz w:val="20"/>
          <w:szCs w:val="20"/>
        </w:rPr>
        <w:t>Discover Plants</w:t>
      </w:r>
      <w:r w:rsidRPr="008533B0">
        <w:rPr>
          <w:rFonts w:ascii="Arial" w:hAnsi="Arial" w:cs="Arial"/>
          <w:sz w:val="20"/>
          <w:szCs w:val="20"/>
        </w:rPr>
        <w:t xml:space="preserve">, </w:t>
      </w:r>
      <w:r w:rsidRPr="008533B0">
        <w:rPr>
          <w:rFonts w:ascii="Arial" w:hAnsi="Arial" w:cs="Arial"/>
          <w:i/>
          <w:iCs/>
          <w:sz w:val="20"/>
          <w:szCs w:val="20"/>
        </w:rPr>
        <w:t>2</w:t>
      </w:r>
      <w:r w:rsidRPr="008533B0">
        <w:rPr>
          <w:rFonts w:ascii="Arial" w:hAnsi="Arial" w:cs="Arial"/>
          <w:sz w:val="20"/>
          <w:szCs w:val="20"/>
        </w:rPr>
        <w:t xml:space="preserve">(1), 44. </w:t>
      </w:r>
    </w:p>
    <w:p w14:paraId="228C84AD" w14:textId="4B00F6FF" w:rsidR="0096432C" w:rsidRPr="008533B0" w:rsidRDefault="00662C79"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https://doi.org/10.1007/s44372-025-00118-2</w:t>
      </w:r>
    </w:p>
    <w:p w14:paraId="03CAA70F" w14:textId="00475127"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 xml:space="preserve">24. </w:t>
      </w:r>
      <w:r w:rsidRPr="008533B0">
        <w:rPr>
          <w:rFonts w:ascii="Arial" w:hAnsi="Arial" w:cs="Arial"/>
          <w:sz w:val="20"/>
          <w:szCs w:val="20"/>
        </w:rPr>
        <w:tab/>
      </w:r>
      <w:r w:rsidR="00662C79" w:rsidRPr="008533B0">
        <w:rPr>
          <w:rFonts w:ascii="Arial" w:hAnsi="Arial" w:cs="Arial"/>
          <w:sz w:val="20"/>
          <w:szCs w:val="20"/>
        </w:rPr>
        <w:tab/>
      </w:r>
      <w:r w:rsidRPr="008533B0">
        <w:rPr>
          <w:rFonts w:ascii="Arial" w:hAnsi="Arial" w:cs="Arial"/>
          <w:sz w:val="20"/>
          <w:szCs w:val="20"/>
        </w:rPr>
        <w:t xml:space="preserve">Al-Khayri, J. M., Banadka, A., Rashmi, R., Nagella, P., Alessa, F. M., &amp; Almaghasla, M. I. (2023). Cadmium toxicity in medicinal plants: An overview of the tolerance strategies, biotechnological and omics approaches to alleviate metal stress. </w:t>
      </w:r>
      <w:r w:rsidRPr="008533B0">
        <w:rPr>
          <w:rFonts w:ascii="Arial" w:hAnsi="Arial" w:cs="Arial"/>
          <w:i/>
          <w:iCs/>
          <w:sz w:val="20"/>
          <w:szCs w:val="20"/>
        </w:rPr>
        <w:t>Frontiers in Plant Science</w:t>
      </w:r>
      <w:r w:rsidRPr="008533B0">
        <w:rPr>
          <w:rFonts w:ascii="Arial" w:hAnsi="Arial" w:cs="Arial"/>
          <w:sz w:val="20"/>
          <w:szCs w:val="20"/>
        </w:rPr>
        <w:t xml:space="preserve">, </w:t>
      </w:r>
      <w:r w:rsidRPr="008533B0">
        <w:rPr>
          <w:rFonts w:ascii="Arial" w:hAnsi="Arial" w:cs="Arial"/>
          <w:i/>
          <w:iCs/>
          <w:sz w:val="20"/>
          <w:szCs w:val="20"/>
        </w:rPr>
        <w:t>13</w:t>
      </w:r>
      <w:r w:rsidRPr="008533B0">
        <w:rPr>
          <w:rFonts w:ascii="Arial" w:hAnsi="Arial" w:cs="Arial"/>
          <w:sz w:val="20"/>
          <w:szCs w:val="20"/>
        </w:rPr>
        <w:t xml:space="preserve">, 1047410. </w:t>
      </w:r>
    </w:p>
    <w:p w14:paraId="1077A57F" w14:textId="46A342D2" w:rsidR="0096432C" w:rsidRPr="008533B0" w:rsidRDefault="00662C79"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ab/>
      </w:r>
      <w:r w:rsidRPr="008533B0">
        <w:rPr>
          <w:rFonts w:ascii="Arial" w:hAnsi="Arial" w:cs="Arial"/>
          <w:sz w:val="20"/>
          <w:szCs w:val="20"/>
        </w:rPr>
        <w:tab/>
      </w:r>
      <w:r w:rsidR="0096432C" w:rsidRPr="008533B0">
        <w:rPr>
          <w:rFonts w:ascii="Arial" w:hAnsi="Arial" w:cs="Arial"/>
          <w:sz w:val="20"/>
          <w:szCs w:val="20"/>
        </w:rPr>
        <w:t>https://doi.org/10.3389/fpls.2022.1047410</w:t>
      </w:r>
    </w:p>
    <w:p w14:paraId="5914B1B5"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lastRenderedPageBreak/>
        <w:t xml:space="preserve">25. </w:t>
      </w:r>
      <w:r w:rsidRPr="008533B0">
        <w:rPr>
          <w:rFonts w:ascii="Arial" w:hAnsi="Arial" w:cs="Arial"/>
          <w:sz w:val="20"/>
          <w:szCs w:val="20"/>
        </w:rPr>
        <w:tab/>
        <w:t xml:space="preserve">Sarma, H., Deka, S., Deka, H., &amp; Saikia, R. R. (2011). Accumulation of Heavy Metals in Selected Medicinal Plants. In D. M. Whitacre (Ed.), </w:t>
      </w:r>
      <w:r w:rsidRPr="008533B0">
        <w:rPr>
          <w:rFonts w:ascii="Arial" w:hAnsi="Arial" w:cs="Arial"/>
          <w:i/>
          <w:iCs/>
          <w:sz w:val="20"/>
          <w:szCs w:val="20"/>
        </w:rPr>
        <w:t>Reviews of Environmental Contamination and Toxicology</w:t>
      </w:r>
      <w:r w:rsidRPr="008533B0">
        <w:rPr>
          <w:rFonts w:ascii="Arial" w:hAnsi="Arial" w:cs="Arial"/>
          <w:sz w:val="20"/>
          <w:szCs w:val="20"/>
        </w:rPr>
        <w:t xml:space="preserve"> (pp. 63–86). New York, NY: Springer New York. </w:t>
      </w:r>
    </w:p>
    <w:p w14:paraId="09F24BEB"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https://doi.org/10.1007/978-1-4614-0668-6_4</w:t>
      </w:r>
    </w:p>
    <w:p w14:paraId="2F571DB6"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lang w:val="fr-CA"/>
        </w:rPr>
      </w:pPr>
      <w:r w:rsidRPr="008533B0">
        <w:rPr>
          <w:rFonts w:ascii="Arial" w:hAnsi="Arial" w:cs="Arial"/>
          <w:sz w:val="20"/>
          <w:szCs w:val="20"/>
        </w:rPr>
        <w:t xml:space="preserve">26. </w:t>
      </w:r>
      <w:r w:rsidRPr="008533B0">
        <w:rPr>
          <w:rFonts w:ascii="Arial" w:hAnsi="Arial" w:cs="Arial"/>
          <w:sz w:val="20"/>
          <w:szCs w:val="20"/>
        </w:rPr>
        <w:tab/>
        <w:t xml:space="preserve">Hlihor, R. M., Roșca, M., Hagiu-Zaleschi, L., Simion, I. M., Daraban, G. M., &amp; Stoleru, V. (2022). Medicinal Plant Growth in Heavy Metals Contaminated Soils: Responses to Metal Stress and Induced Risks to Human Health. </w:t>
      </w:r>
      <w:r w:rsidRPr="008533B0">
        <w:rPr>
          <w:rFonts w:ascii="Arial" w:hAnsi="Arial" w:cs="Arial"/>
          <w:i/>
          <w:iCs/>
          <w:sz w:val="20"/>
          <w:szCs w:val="20"/>
          <w:lang w:val="fr-CA"/>
        </w:rPr>
        <w:t>Toxics</w:t>
      </w:r>
      <w:r w:rsidRPr="008533B0">
        <w:rPr>
          <w:rFonts w:ascii="Arial" w:hAnsi="Arial" w:cs="Arial"/>
          <w:sz w:val="20"/>
          <w:szCs w:val="20"/>
          <w:lang w:val="fr-CA"/>
        </w:rPr>
        <w:t xml:space="preserve">, </w:t>
      </w:r>
      <w:r w:rsidRPr="008533B0">
        <w:rPr>
          <w:rFonts w:ascii="Arial" w:hAnsi="Arial" w:cs="Arial"/>
          <w:i/>
          <w:iCs/>
          <w:sz w:val="20"/>
          <w:szCs w:val="20"/>
          <w:lang w:val="fr-CA"/>
        </w:rPr>
        <w:t>10</w:t>
      </w:r>
      <w:r w:rsidRPr="008533B0">
        <w:rPr>
          <w:rFonts w:ascii="Arial" w:hAnsi="Arial" w:cs="Arial"/>
          <w:sz w:val="20"/>
          <w:szCs w:val="20"/>
          <w:lang w:val="fr-CA"/>
        </w:rPr>
        <w:t xml:space="preserve">(9), 499. </w:t>
      </w:r>
    </w:p>
    <w:p w14:paraId="3C1B9075"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lang w:val="fr-CA"/>
        </w:rPr>
      </w:pPr>
      <w:r w:rsidRPr="008533B0">
        <w:rPr>
          <w:rFonts w:ascii="Arial" w:hAnsi="Arial" w:cs="Arial"/>
          <w:sz w:val="20"/>
          <w:szCs w:val="20"/>
          <w:lang w:val="fr-CA"/>
        </w:rPr>
        <w:t>https://doi.org/10.3390/toxics10090499</w:t>
      </w:r>
    </w:p>
    <w:p w14:paraId="08819AF8"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27. </w:t>
      </w:r>
      <w:r w:rsidRPr="008533B0">
        <w:rPr>
          <w:rFonts w:ascii="Arial" w:hAnsi="Arial" w:cs="Arial"/>
          <w:sz w:val="20"/>
          <w:szCs w:val="20"/>
          <w:lang w:val="fr-CA"/>
        </w:rPr>
        <w:tab/>
        <w:t xml:space="preserve">Manrique, S., Gómez, J., Piñeiro, M., Sampietro, B. A., Peschiutta, M. L., Tapia, A., Simirgiotis, J. M., &amp; Lima, B. (2023). </w:t>
      </w:r>
      <w:r w:rsidRPr="008533B0">
        <w:rPr>
          <w:rFonts w:ascii="Arial" w:hAnsi="Arial" w:cs="Arial"/>
          <w:sz w:val="20"/>
          <w:szCs w:val="20"/>
        </w:rPr>
        <w:t xml:space="preserve">Zuccagnia punctata Cav., a Potential Environmentally Friendly and Sustainable Bionematicide for the Control of Argentinean Horticultural Crops. </w:t>
      </w:r>
      <w:r w:rsidRPr="008533B0">
        <w:rPr>
          <w:rFonts w:ascii="Arial" w:hAnsi="Arial" w:cs="Arial"/>
          <w:i/>
          <w:iCs/>
          <w:sz w:val="20"/>
          <w:szCs w:val="20"/>
        </w:rPr>
        <w:t>Plants</w:t>
      </w:r>
      <w:r w:rsidRPr="008533B0">
        <w:rPr>
          <w:rFonts w:ascii="Arial" w:hAnsi="Arial" w:cs="Arial"/>
          <w:sz w:val="20"/>
          <w:szCs w:val="20"/>
        </w:rPr>
        <w:t xml:space="preserve">, </w:t>
      </w:r>
      <w:r w:rsidRPr="008533B0">
        <w:rPr>
          <w:rFonts w:ascii="Arial" w:hAnsi="Arial" w:cs="Arial"/>
          <w:i/>
          <w:iCs/>
          <w:sz w:val="20"/>
          <w:szCs w:val="20"/>
        </w:rPr>
        <w:t>12</w:t>
      </w:r>
      <w:r w:rsidRPr="008533B0">
        <w:rPr>
          <w:rFonts w:ascii="Arial" w:hAnsi="Arial" w:cs="Arial"/>
          <w:sz w:val="20"/>
          <w:szCs w:val="20"/>
        </w:rPr>
        <w:t xml:space="preserve">(24), 4104. </w:t>
      </w:r>
    </w:p>
    <w:p w14:paraId="6F22D3FD"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https://doi.org/10.3390/plants12244104</w:t>
      </w:r>
    </w:p>
    <w:p w14:paraId="262B7E15"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28. </w:t>
      </w:r>
      <w:r w:rsidRPr="008533B0">
        <w:rPr>
          <w:rFonts w:ascii="Arial" w:hAnsi="Arial" w:cs="Arial"/>
          <w:sz w:val="20"/>
          <w:szCs w:val="20"/>
        </w:rPr>
        <w:tab/>
        <w:t xml:space="preserve">Adefa, T., &amp; Tefera, M. (2020). Heavy Metal Accumulation and Health Risk Assessment in Moringa Oleifera from Awi Zone, Ethiopia. </w:t>
      </w:r>
      <w:r w:rsidRPr="008533B0">
        <w:rPr>
          <w:rFonts w:ascii="Arial" w:hAnsi="Arial" w:cs="Arial"/>
          <w:i/>
          <w:iCs/>
          <w:sz w:val="20"/>
          <w:szCs w:val="20"/>
        </w:rPr>
        <w:t>Chemistry Africa</w:t>
      </w:r>
      <w:r w:rsidRPr="008533B0">
        <w:rPr>
          <w:rFonts w:ascii="Arial" w:hAnsi="Arial" w:cs="Arial"/>
          <w:sz w:val="20"/>
          <w:szCs w:val="20"/>
        </w:rPr>
        <w:t xml:space="preserve">, </w:t>
      </w:r>
      <w:r w:rsidRPr="008533B0">
        <w:rPr>
          <w:rFonts w:ascii="Arial" w:hAnsi="Arial" w:cs="Arial"/>
          <w:i/>
          <w:iCs/>
          <w:sz w:val="20"/>
          <w:szCs w:val="20"/>
        </w:rPr>
        <w:t>3</w:t>
      </w:r>
      <w:r w:rsidRPr="008533B0">
        <w:rPr>
          <w:rFonts w:ascii="Arial" w:hAnsi="Arial" w:cs="Arial"/>
          <w:sz w:val="20"/>
          <w:szCs w:val="20"/>
        </w:rPr>
        <w:t xml:space="preserve">(4), 1073–1079. </w:t>
      </w:r>
    </w:p>
    <w:p w14:paraId="6D90B821"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https://doi.org/10.1007/s42250-020-00181-0</w:t>
      </w:r>
    </w:p>
    <w:p w14:paraId="63F4B549"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29. </w:t>
      </w:r>
      <w:r w:rsidRPr="008533B0">
        <w:rPr>
          <w:rFonts w:ascii="Arial" w:hAnsi="Arial" w:cs="Arial"/>
          <w:sz w:val="20"/>
          <w:szCs w:val="20"/>
        </w:rPr>
        <w:tab/>
        <w:t xml:space="preserve">Oladeji, O. M., Kopaopa, B. G., Mugivhisa, L. L., &amp; Olowoyo, J. O. (2024). Investigation of Heavy Metal Analysis on Medicinal Plants Used for the Treatment of Skin Cancer by Traditional Practitioners in Pretoria.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202</w:t>
      </w:r>
      <w:r w:rsidRPr="008533B0">
        <w:rPr>
          <w:rFonts w:ascii="Arial" w:hAnsi="Arial" w:cs="Arial"/>
          <w:sz w:val="20"/>
          <w:szCs w:val="20"/>
        </w:rPr>
        <w:t xml:space="preserve">(2), 778–786. </w:t>
      </w:r>
    </w:p>
    <w:p w14:paraId="3DDB8F8E"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https://doi.org/10.1007/s12011-023-03701-4</w:t>
      </w:r>
    </w:p>
    <w:p w14:paraId="2B1F12DA"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30. </w:t>
      </w:r>
      <w:r w:rsidRPr="008533B0">
        <w:rPr>
          <w:rFonts w:ascii="Arial" w:hAnsi="Arial" w:cs="Arial"/>
          <w:sz w:val="20"/>
          <w:szCs w:val="20"/>
        </w:rPr>
        <w:tab/>
        <w:t xml:space="preserve">United States Environmental Protection Agency (USEPA). (2004). Guidelines for water reuse. US Environmental Protection Agency. </w:t>
      </w:r>
    </w:p>
    <w:p w14:paraId="62230DFC"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https://www.epa.gov/sites/default/files/2019-08/documents/2004-guidelines-water-reuse.pdf. Accessed May 10, 2025.</w:t>
      </w:r>
    </w:p>
    <w:p w14:paraId="75DC5FC0"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31. </w:t>
      </w:r>
      <w:r w:rsidRPr="008533B0">
        <w:rPr>
          <w:rFonts w:ascii="Arial" w:hAnsi="Arial" w:cs="Arial"/>
          <w:sz w:val="20"/>
          <w:szCs w:val="20"/>
        </w:rPr>
        <w:tab/>
        <w:t xml:space="preserve">United States Environmental Protection Agency (USEPA). (2013). Regional Screening Level (RSL) Summary table (TR=1E−6, HQ=1). United States Environmental Protection Agency. Regional Screening Levels (RSLs). </w:t>
      </w:r>
    </w:p>
    <w:p w14:paraId="22523579"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https://www.epa.gov/risk/regional-screening-levels-rsls-generic-tables. Accessed May 10, 2025.</w:t>
      </w:r>
    </w:p>
    <w:p w14:paraId="46DA2C03"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32. </w:t>
      </w:r>
      <w:r w:rsidRPr="008533B0">
        <w:rPr>
          <w:rFonts w:ascii="Arial" w:hAnsi="Arial" w:cs="Arial"/>
          <w:sz w:val="20"/>
          <w:szCs w:val="20"/>
        </w:rPr>
        <w:tab/>
        <w:t>United States Environmental Protection Agency (USEPA) (2011). Integrated risk information system (IRIS). Environmental Protection Agency Region I: Washington, DC, USA, 20460.</w:t>
      </w:r>
    </w:p>
    <w:p w14:paraId="3AD74CC0" w14:textId="77777777" w:rsidR="0096432C" w:rsidRPr="008533B0" w:rsidRDefault="0096432C" w:rsidP="008533B0">
      <w:pPr>
        <w:spacing w:line="240" w:lineRule="auto"/>
        <w:ind w:left="567" w:hanging="569"/>
        <w:rPr>
          <w:rFonts w:ascii="Arial" w:hAnsi="Arial" w:cs="Arial"/>
          <w:sz w:val="20"/>
          <w:szCs w:val="20"/>
        </w:rPr>
      </w:pPr>
      <w:r w:rsidRPr="008533B0">
        <w:rPr>
          <w:rFonts w:ascii="Arial" w:hAnsi="Arial" w:cs="Arial"/>
          <w:sz w:val="20"/>
          <w:szCs w:val="20"/>
        </w:rPr>
        <w:tab/>
        <w:t>https://iris.epa.gov/AtoZ/?list_type=alpha. Accessed May 10, 2025.</w:t>
      </w:r>
    </w:p>
    <w:p w14:paraId="70A83D89"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33. </w:t>
      </w:r>
      <w:r w:rsidRPr="008533B0">
        <w:rPr>
          <w:rFonts w:ascii="Arial" w:hAnsi="Arial" w:cs="Arial"/>
          <w:sz w:val="20"/>
          <w:szCs w:val="20"/>
        </w:rPr>
        <w:tab/>
        <w:t xml:space="preserve">Szentmihályi, K., Kéry, Á., Then, M., Lakatos, B., Sándor, Z., &amp; Vinkler, P. (1998). Potassium–sodium ratio for the characterization of medicinal plant extracts with diuretic activity. </w:t>
      </w:r>
      <w:r w:rsidRPr="008533B0">
        <w:rPr>
          <w:rFonts w:ascii="Arial" w:hAnsi="Arial" w:cs="Arial"/>
          <w:i/>
          <w:iCs/>
          <w:sz w:val="20"/>
          <w:szCs w:val="20"/>
        </w:rPr>
        <w:t>Phytotherapy Research</w:t>
      </w:r>
      <w:r w:rsidRPr="008533B0">
        <w:rPr>
          <w:rFonts w:ascii="Arial" w:hAnsi="Arial" w:cs="Arial"/>
          <w:sz w:val="20"/>
          <w:szCs w:val="20"/>
        </w:rPr>
        <w:t xml:space="preserve">, </w:t>
      </w:r>
      <w:r w:rsidRPr="008533B0">
        <w:rPr>
          <w:rFonts w:ascii="Arial" w:hAnsi="Arial" w:cs="Arial"/>
          <w:i/>
          <w:iCs/>
          <w:sz w:val="20"/>
          <w:szCs w:val="20"/>
        </w:rPr>
        <w:t>12</w:t>
      </w:r>
      <w:r w:rsidRPr="008533B0">
        <w:rPr>
          <w:rFonts w:ascii="Arial" w:hAnsi="Arial" w:cs="Arial"/>
          <w:sz w:val="20"/>
          <w:szCs w:val="20"/>
        </w:rPr>
        <w:t xml:space="preserve">(3), 163–166. </w:t>
      </w:r>
    </w:p>
    <w:p w14:paraId="014D9E2B"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https://doi.org/10.1002/(SICI)1099-1573(199805)12:3&lt;163::AID-PTR217&gt;3.0.CO;2-Y</w:t>
      </w:r>
    </w:p>
    <w:p w14:paraId="19B99298"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34. </w:t>
      </w:r>
      <w:r w:rsidRPr="008533B0">
        <w:rPr>
          <w:rFonts w:ascii="Arial" w:hAnsi="Arial" w:cs="Arial"/>
          <w:sz w:val="20"/>
          <w:szCs w:val="20"/>
        </w:rPr>
        <w:tab/>
        <w:t xml:space="preserve">Rajurkar, N. S., &amp; Damame, M. M. (1998). Mineral content of medicinal plants used in the treatment of diseases resulting from urinary tract disorders. </w:t>
      </w:r>
      <w:r w:rsidRPr="008533B0">
        <w:rPr>
          <w:rFonts w:ascii="Arial" w:hAnsi="Arial" w:cs="Arial"/>
          <w:i/>
          <w:iCs/>
          <w:sz w:val="20"/>
          <w:szCs w:val="20"/>
        </w:rPr>
        <w:t>Applied Radiation and Isotopes</w:t>
      </w:r>
      <w:r w:rsidRPr="008533B0">
        <w:rPr>
          <w:rFonts w:ascii="Arial" w:hAnsi="Arial" w:cs="Arial"/>
          <w:sz w:val="20"/>
          <w:szCs w:val="20"/>
        </w:rPr>
        <w:t xml:space="preserve">, </w:t>
      </w:r>
      <w:r w:rsidRPr="008533B0">
        <w:rPr>
          <w:rFonts w:ascii="Arial" w:hAnsi="Arial" w:cs="Arial"/>
          <w:i/>
          <w:iCs/>
          <w:sz w:val="20"/>
          <w:szCs w:val="20"/>
        </w:rPr>
        <w:t>49</w:t>
      </w:r>
      <w:r w:rsidRPr="008533B0">
        <w:rPr>
          <w:rFonts w:ascii="Arial" w:hAnsi="Arial" w:cs="Arial"/>
          <w:sz w:val="20"/>
          <w:szCs w:val="20"/>
        </w:rPr>
        <w:t xml:space="preserve">(7), 773–776. </w:t>
      </w:r>
    </w:p>
    <w:p w14:paraId="7F3982D2"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https://doi.org/10.1016/S0969-8043(97)00296-0</w:t>
      </w:r>
    </w:p>
    <w:p w14:paraId="5C5CA112"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35. </w:t>
      </w:r>
      <w:r w:rsidRPr="008533B0">
        <w:rPr>
          <w:rFonts w:ascii="Arial" w:hAnsi="Arial" w:cs="Arial"/>
          <w:sz w:val="20"/>
          <w:szCs w:val="20"/>
        </w:rPr>
        <w:tab/>
        <w:t>National Research Council; Food and Nutrition Board; Commission on Life Sciences; Subcommittee on the Tenth Edition of the Recommended Dietary Allowances. Recommended Dietary Allowances: 10th Edition. Washington (DC): National Academies Press (US); 1989. PMID: 25144070.</w:t>
      </w:r>
    </w:p>
    <w:p w14:paraId="689C0BA0"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36. </w:t>
      </w:r>
      <w:r w:rsidRPr="008533B0">
        <w:rPr>
          <w:rFonts w:ascii="Arial" w:hAnsi="Arial" w:cs="Arial"/>
          <w:sz w:val="20"/>
          <w:szCs w:val="20"/>
        </w:rPr>
        <w:tab/>
        <w:t xml:space="preserve">Szentmihályi, K., Taba, G., Lado, C., Fodor, J., Then, M., &amp; Szőke, É. (2005). Medicinal Plant TEAS Recommended as nutritional source for element supplementation. </w:t>
      </w:r>
      <w:r w:rsidRPr="008533B0">
        <w:rPr>
          <w:rFonts w:ascii="Arial" w:hAnsi="Arial" w:cs="Arial"/>
          <w:i/>
          <w:iCs/>
          <w:sz w:val="20"/>
          <w:szCs w:val="20"/>
        </w:rPr>
        <w:t>Acta Alimentaria, 34(2)</w:t>
      </w:r>
      <w:r w:rsidRPr="008533B0">
        <w:rPr>
          <w:rFonts w:ascii="Arial" w:hAnsi="Arial" w:cs="Arial"/>
          <w:sz w:val="20"/>
          <w:szCs w:val="20"/>
        </w:rPr>
        <w:t>, 161–167.</w:t>
      </w:r>
    </w:p>
    <w:p w14:paraId="4576DC08"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https://doi.org/10.1556/aalim.34.2005.2.9</w:t>
      </w:r>
    </w:p>
    <w:p w14:paraId="7BE3EFC0"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37. </w:t>
      </w:r>
      <w:r w:rsidRPr="008533B0">
        <w:rPr>
          <w:rFonts w:ascii="Arial" w:hAnsi="Arial" w:cs="Arial"/>
          <w:sz w:val="20"/>
          <w:szCs w:val="20"/>
        </w:rPr>
        <w:tab/>
        <w:t xml:space="preserve">Ghani, A., Ali, Z., Ishtiaq, M., Maqbool, M., &amp; Parveen, S. (2012). Estimation of macro and micronutrients in some important medicinal plants of Soon Valley, District Khushab, Pakistan. </w:t>
      </w:r>
      <w:r w:rsidRPr="008533B0">
        <w:rPr>
          <w:rFonts w:ascii="Arial" w:hAnsi="Arial" w:cs="Arial"/>
          <w:i/>
          <w:iCs/>
          <w:sz w:val="20"/>
          <w:szCs w:val="20"/>
        </w:rPr>
        <w:t>African Journal of Biotechnology</w:t>
      </w:r>
      <w:r w:rsidRPr="008533B0">
        <w:rPr>
          <w:rFonts w:ascii="Arial" w:hAnsi="Arial" w:cs="Arial"/>
          <w:sz w:val="20"/>
          <w:szCs w:val="20"/>
        </w:rPr>
        <w:t xml:space="preserve">, </w:t>
      </w:r>
      <w:r w:rsidRPr="008533B0">
        <w:rPr>
          <w:rFonts w:ascii="Arial" w:hAnsi="Arial" w:cs="Arial"/>
          <w:i/>
          <w:iCs/>
          <w:sz w:val="20"/>
          <w:szCs w:val="20"/>
        </w:rPr>
        <w:t>11</w:t>
      </w:r>
      <w:r w:rsidRPr="008533B0">
        <w:rPr>
          <w:rFonts w:ascii="Arial" w:hAnsi="Arial" w:cs="Arial"/>
          <w:sz w:val="20"/>
          <w:szCs w:val="20"/>
        </w:rPr>
        <w:t xml:space="preserve">(78), 14386–14391. </w:t>
      </w:r>
    </w:p>
    <w:p w14:paraId="72719893"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https://doi.org/10.5897/AJB12.762</w:t>
      </w:r>
    </w:p>
    <w:p w14:paraId="0AF73B1D"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38. </w:t>
      </w:r>
      <w:r w:rsidRPr="008533B0">
        <w:rPr>
          <w:rFonts w:ascii="Arial" w:hAnsi="Arial" w:cs="Arial"/>
          <w:sz w:val="20"/>
          <w:szCs w:val="20"/>
        </w:rPr>
        <w:tab/>
        <w:t xml:space="preserve">Mulaudzi, R. B., Tshikalange, T. E., Olowoyo, J. O., Amoo, S. O., &amp; Plooy, C. P. D. (2017). Antimicrobial activity, cytotoxicity evaluation and heavy metal content of five commonly used South African herbal mixtures. </w:t>
      </w:r>
      <w:r w:rsidRPr="008533B0">
        <w:rPr>
          <w:rFonts w:ascii="Arial" w:hAnsi="Arial" w:cs="Arial"/>
          <w:i/>
          <w:iCs/>
          <w:sz w:val="20"/>
          <w:szCs w:val="20"/>
        </w:rPr>
        <w:t>South African Journal of Botany</w:t>
      </w:r>
      <w:r w:rsidRPr="008533B0">
        <w:rPr>
          <w:rFonts w:ascii="Arial" w:hAnsi="Arial" w:cs="Arial"/>
          <w:sz w:val="20"/>
          <w:szCs w:val="20"/>
        </w:rPr>
        <w:t xml:space="preserve">, </w:t>
      </w:r>
      <w:r w:rsidRPr="008533B0">
        <w:rPr>
          <w:rFonts w:ascii="Arial" w:hAnsi="Arial" w:cs="Arial"/>
          <w:i/>
          <w:iCs/>
          <w:sz w:val="20"/>
          <w:szCs w:val="20"/>
        </w:rPr>
        <w:t>112</w:t>
      </w:r>
      <w:r w:rsidRPr="008533B0">
        <w:rPr>
          <w:rFonts w:ascii="Arial" w:hAnsi="Arial" w:cs="Arial"/>
          <w:sz w:val="20"/>
          <w:szCs w:val="20"/>
        </w:rPr>
        <w:t xml:space="preserve">, 314–318. </w:t>
      </w:r>
    </w:p>
    <w:p w14:paraId="49A376D1"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https://doi.org/10.1016/j.sajb.2017.06.024</w:t>
      </w:r>
    </w:p>
    <w:p w14:paraId="1F11FB02" w14:textId="77777777" w:rsidR="0096432C" w:rsidRPr="008533B0" w:rsidRDefault="0096432C" w:rsidP="008533B0">
      <w:pPr>
        <w:pStyle w:val="Bibliography"/>
        <w:tabs>
          <w:tab w:val="clear" w:pos="504"/>
        </w:tabs>
        <w:spacing w:line="240" w:lineRule="auto"/>
        <w:ind w:left="567" w:hanging="569"/>
        <w:rPr>
          <w:rFonts w:ascii="Arial" w:hAnsi="Arial" w:cs="Arial"/>
          <w:color w:val="000000" w:themeColor="text1"/>
          <w:sz w:val="20"/>
          <w:szCs w:val="20"/>
        </w:rPr>
      </w:pPr>
      <w:r w:rsidRPr="008533B0">
        <w:rPr>
          <w:rFonts w:ascii="Arial" w:hAnsi="Arial" w:cs="Arial"/>
          <w:sz w:val="20"/>
          <w:szCs w:val="20"/>
        </w:rPr>
        <w:t xml:space="preserve">39. </w:t>
      </w:r>
      <w:r w:rsidRPr="008533B0">
        <w:rPr>
          <w:rFonts w:ascii="Arial" w:hAnsi="Arial" w:cs="Arial"/>
          <w:sz w:val="20"/>
          <w:szCs w:val="20"/>
        </w:rPr>
        <w:tab/>
      </w:r>
      <w:r w:rsidRPr="008533B0">
        <w:rPr>
          <w:rFonts w:ascii="Arial" w:hAnsi="Arial" w:cs="Arial"/>
          <w:color w:val="000000" w:themeColor="text1"/>
          <w:sz w:val="20"/>
          <w:szCs w:val="20"/>
        </w:rPr>
        <w:t>World Health Organization. (2007a). WHO guidelines for assessing quality of herbal medicines with reference to contaminants and residues (pp. 1–105). Geneva: Author.</w:t>
      </w:r>
    </w:p>
    <w:p w14:paraId="0FD72F5B"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40. </w:t>
      </w:r>
      <w:r w:rsidRPr="008533B0">
        <w:rPr>
          <w:rFonts w:ascii="Arial" w:hAnsi="Arial" w:cs="Arial"/>
          <w:sz w:val="20"/>
          <w:szCs w:val="20"/>
        </w:rPr>
        <w:tab/>
        <w:t xml:space="preserve">Kaya, I., &amp; Incekara, N. (2000). Contents of some wild plant species consumed as food in Aegean Region. </w:t>
      </w:r>
      <w:r w:rsidRPr="008533B0">
        <w:rPr>
          <w:rFonts w:ascii="Arial" w:hAnsi="Arial" w:cs="Arial"/>
          <w:i/>
          <w:iCs/>
          <w:sz w:val="20"/>
          <w:szCs w:val="20"/>
        </w:rPr>
        <w:t>The Journal of Turkish Weed Science</w:t>
      </w:r>
      <w:r w:rsidRPr="008533B0">
        <w:rPr>
          <w:rFonts w:ascii="Arial" w:hAnsi="Arial" w:cs="Arial"/>
          <w:sz w:val="20"/>
          <w:szCs w:val="20"/>
        </w:rPr>
        <w:t xml:space="preserve">, </w:t>
      </w:r>
      <w:r w:rsidRPr="008533B0">
        <w:rPr>
          <w:rFonts w:ascii="Arial" w:hAnsi="Arial" w:cs="Arial"/>
          <w:i/>
          <w:iCs/>
          <w:sz w:val="20"/>
          <w:szCs w:val="20"/>
        </w:rPr>
        <w:t>3</w:t>
      </w:r>
      <w:r w:rsidRPr="008533B0">
        <w:rPr>
          <w:rFonts w:ascii="Arial" w:hAnsi="Arial" w:cs="Arial"/>
          <w:sz w:val="20"/>
          <w:szCs w:val="20"/>
        </w:rPr>
        <w:t>, 56–64.</w:t>
      </w:r>
    </w:p>
    <w:p w14:paraId="4D406F4E"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lastRenderedPageBreak/>
        <w:t xml:space="preserve">41. </w:t>
      </w:r>
      <w:r w:rsidRPr="008533B0">
        <w:rPr>
          <w:rFonts w:ascii="Arial" w:hAnsi="Arial" w:cs="Arial"/>
          <w:sz w:val="20"/>
          <w:szCs w:val="20"/>
        </w:rPr>
        <w:tab/>
        <w:t xml:space="preserve">Kohzadi, S., Shahmoradi, B., Ghaderi, E., Loqmani, H., &amp; Maleki, A. (2019). Concentration, Source, and Potential Human Health Risk of Heavy Metals in the Commonly Consumed Medicinal Plants.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187</w:t>
      </w:r>
      <w:r w:rsidRPr="008533B0">
        <w:rPr>
          <w:rFonts w:ascii="Arial" w:hAnsi="Arial" w:cs="Arial"/>
          <w:sz w:val="20"/>
          <w:szCs w:val="20"/>
        </w:rPr>
        <w:t xml:space="preserve">(1), 41–50. </w:t>
      </w:r>
    </w:p>
    <w:p w14:paraId="3BFAD47C"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https://doi.org/10.1007/s12011-018-1357-3</w:t>
      </w:r>
    </w:p>
    <w:p w14:paraId="20B66806"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42. </w:t>
      </w:r>
      <w:r w:rsidRPr="008533B0">
        <w:rPr>
          <w:rFonts w:ascii="Arial" w:hAnsi="Arial" w:cs="Arial"/>
          <w:sz w:val="20"/>
          <w:szCs w:val="20"/>
        </w:rPr>
        <w:tab/>
        <w:t xml:space="preserve">Nkansah, M. A., Hayford, S. T., Borquaye, L. S., &amp; J. H. E. (2016). Heavy metal contents of some medicinal herbs from Kumasi, Ghana. </w:t>
      </w:r>
      <w:r w:rsidRPr="008533B0">
        <w:rPr>
          <w:rFonts w:ascii="Arial" w:hAnsi="Arial" w:cs="Arial"/>
          <w:i/>
          <w:iCs/>
          <w:sz w:val="20"/>
          <w:szCs w:val="20"/>
        </w:rPr>
        <w:t>Cogent Environmental Science</w:t>
      </w:r>
      <w:r w:rsidRPr="008533B0">
        <w:rPr>
          <w:rFonts w:ascii="Arial" w:hAnsi="Arial" w:cs="Arial"/>
          <w:sz w:val="20"/>
          <w:szCs w:val="20"/>
        </w:rPr>
        <w:t xml:space="preserve">, </w:t>
      </w:r>
      <w:r w:rsidRPr="008533B0">
        <w:rPr>
          <w:rFonts w:ascii="Arial" w:hAnsi="Arial" w:cs="Arial"/>
          <w:i/>
          <w:iCs/>
          <w:sz w:val="20"/>
          <w:szCs w:val="20"/>
        </w:rPr>
        <w:t>2</w:t>
      </w:r>
      <w:r w:rsidRPr="008533B0">
        <w:rPr>
          <w:rFonts w:ascii="Arial" w:hAnsi="Arial" w:cs="Arial"/>
          <w:sz w:val="20"/>
          <w:szCs w:val="20"/>
        </w:rPr>
        <w:t xml:space="preserve">(1), 1234660. </w:t>
      </w:r>
    </w:p>
    <w:p w14:paraId="10C172E4"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https://doi.org/10.1080/23311843.2016.1234660</w:t>
      </w:r>
    </w:p>
    <w:p w14:paraId="7A5E64A1"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43. </w:t>
      </w:r>
      <w:r w:rsidRPr="008533B0">
        <w:rPr>
          <w:rFonts w:ascii="Arial" w:hAnsi="Arial" w:cs="Arial"/>
          <w:sz w:val="20"/>
          <w:szCs w:val="20"/>
        </w:rPr>
        <w:tab/>
        <w:t>World Health Organization. (2007b). Monographs on selected medicinal plants, (Vols. 1–3). Geneva: Author.</w:t>
      </w:r>
    </w:p>
    <w:p w14:paraId="12477285"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44. </w:t>
      </w:r>
      <w:r w:rsidRPr="008533B0">
        <w:rPr>
          <w:rFonts w:ascii="Arial" w:hAnsi="Arial" w:cs="Arial"/>
          <w:sz w:val="20"/>
          <w:szCs w:val="20"/>
        </w:rPr>
        <w:tab/>
        <w:t xml:space="preserve">Martin, S., &amp; Griswold, W. (2009). Human Health Effects of Heavy Metals. </w:t>
      </w:r>
      <w:r w:rsidRPr="008533B0">
        <w:rPr>
          <w:rFonts w:ascii="Arial" w:hAnsi="Arial" w:cs="Arial"/>
          <w:i/>
          <w:iCs/>
          <w:sz w:val="20"/>
          <w:szCs w:val="20"/>
        </w:rPr>
        <w:t>Environmental Science and Technology Briefs from Citizens</w:t>
      </w:r>
      <w:r w:rsidRPr="008533B0">
        <w:rPr>
          <w:rFonts w:ascii="Arial" w:hAnsi="Arial" w:cs="Arial"/>
          <w:sz w:val="20"/>
          <w:szCs w:val="20"/>
        </w:rPr>
        <w:t xml:space="preserve">, </w:t>
      </w:r>
      <w:r w:rsidRPr="008533B0">
        <w:rPr>
          <w:rFonts w:ascii="Arial" w:hAnsi="Arial" w:cs="Arial"/>
          <w:i/>
          <w:iCs/>
          <w:sz w:val="20"/>
          <w:szCs w:val="20"/>
        </w:rPr>
        <w:t>15</w:t>
      </w:r>
      <w:r w:rsidRPr="008533B0">
        <w:rPr>
          <w:rFonts w:ascii="Arial" w:hAnsi="Arial" w:cs="Arial"/>
          <w:sz w:val="20"/>
          <w:szCs w:val="20"/>
        </w:rPr>
        <w:t>, 1–6.</w:t>
      </w:r>
    </w:p>
    <w:p w14:paraId="5A011FDF" w14:textId="77777777" w:rsidR="0096432C" w:rsidRPr="008533B0" w:rsidRDefault="0096432C" w:rsidP="008533B0">
      <w:pPr>
        <w:spacing w:line="240" w:lineRule="auto"/>
        <w:ind w:left="567"/>
        <w:rPr>
          <w:rFonts w:ascii="Arial" w:hAnsi="Arial" w:cs="Arial"/>
          <w:sz w:val="20"/>
          <w:szCs w:val="20"/>
          <w:lang w:val="en-US"/>
        </w:rPr>
      </w:pPr>
      <w:r w:rsidRPr="008533B0">
        <w:rPr>
          <w:rFonts w:ascii="Arial" w:hAnsi="Arial" w:cs="Arial"/>
          <w:sz w:val="20"/>
          <w:szCs w:val="20"/>
          <w:lang w:val="en-US"/>
        </w:rPr>
        <w:t>https://www.academia.edu/32773701/Environmental_Science_and_Technology_Briefs_for_Citizens_Human_Health_Effects_of_Heavy_Metals.</w:t>
      </w:r>
    </w:p>
    <w:p w14:paraId="783099C1"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lang w:val="fr-CA"/>
        </w:rPr>
      </w:pPr>
      <w:r w:rsidRPr="008533B0">
        <w:rPr>
          <w:rFonts w:ascii="Arial" w:hAnsi="Arial" w:cs="Arial"/>
          <w:sz w:val="20"/>
          <w:szCs w:val="20"/>
        </w:rPr>
        <w:t xml:space="preserve">45. </w:t>
      </w:r>
      <w:r w:rsidRPr="008533B0">
        <w:rPr>
          <w:rFonts w:ascii="Arial" w:hAnsi="Arial" w:cs="Arial"/>
          <w:sz w:val="20"/>
          <w:szCs w:val="20"/>
        </w:rPr>
        <w:tab/>
        <w:t xml:space="preserve">Agency for Toxic Substances and Disease Registry (ATSDR). (1994). Toxicological profile for Nickel and Iron. Agency for toxic substances and disease registry. US Department of Health and Human Services, Public Health Service. </w:t>
      </w:r>
      <w:r w:rsidRPr="008533B0">
        <w:rPr>
          <w:rFonts w:ascii="Arial" w:hAnsi="Arial" w:cs="Arial"/>
          <w:sz w:val="20"/>
          <w:szCs w:val="20"/>
          <w:lang w:val="fr-CA"/>
        </w:rPr>
        <w:t>205, 88-0608, 1994b.</w:t>
      </w:r>
    </w:p>
    <w:p w14:paraId="7B8788F4"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46. </w:t>
      </w:r>
      <w:r w:rsidRPr="008533B0">
        <w:rPr>
          <w:rFonts w:ascii="Arial" w:hAnsi="Arial" w:cs="Arial"/>
          <w:sz w:val="20"/>
          <w:szCs w:val="20"/>
          <w:lang w:val="fr-CA"/>
        </w:rPr>
        <w:tab/>
        <w:t xml:space="preserve">Annan, K., Kojo, A. I., Cindy, A., Samuel, A.-N., &amp; Tunkumgnen, B. M. (2010). </w:t>
      </w:r>
      <w:r w:rsidRPr="008533B0">
        <w:rPr>
          <w:rFonts w:ascii="Arial" w:hAnsi="Arial" w:cs="Arial"/>
          <w:sz w:val="20"/>
          <w:szCs w:val="20"/>
        </w:rPr>
        <w:t xml:space="preserve">Profile of Heavy Metals in Some Medicinal Plants from Ghana Commonly used as Components of Herbal Formulations. </w:t>
      </w:r>
      <w:r w:rsidRPr="008533B0">
        <w:rPr>
          <w:rFonts w:ascii="Arial" w:hAnsi="Arial" w:cs="Arial"/>
          <w:i/>
          <w:iCs/>
          <w:sz w:val="20"/>
          <w:szCs w:val="20"/>
        </w:rPr>
        <w:t>Pharmacognosy Research</w:t>
      </w:r>
      <w:r w:rsidRPr="008533B0">
        <w:rPr>
          <w:rFonts w:ascii="Arial" w:hAnsi="Arial" w:cs="Arial"/>
          <w:sz w:val="20"/>
          <w:szCs w:val="20"/>
        </w:rPr>
        <w:t xml:space="preserve">, </w:t>
      </w:r>
      <w:r w:rsidRPr="008533B0">
        <w:rPr>
          <w:rFonts w:ascii="Arial" w:hAnsi="Arial" w:cs="Arial"/>
          <w:i/>
          <w:iCs/>
          <w:sz w:val="20"/>
          <w:szCs w:val="20"/>
        </w:rPr>
        <w:t>2</w:t>
      </w:r>
      <w:r w:rsidRPr="008533B0">
        <w:rPr>
          <w:rFonts w:ascii="Arial" w:hAnsi="Arial" w:cs="Arial"/>
          <w:sz w:val="20"/>
          <w:szCs w:val="20"/>
        </w:rPr>
        <w:t xml:space="preserve">(1), 41–44. </w:t>
      </w:r>
    </w:p>
    <w:p w14:paraId="199E04FC" w14:textId="77777777" w:rsidR="0096432C" w:rsidRPr="008533B0" w:rsidRDefault="0096432C" w:rsidP="008533B0">
      <w:pPr>
        <w:spacing w:line="240" w:lineRule="auto"/>
        <w:ind w:left="567" w:hanging="569"/>
        <w:rPr>
          <w:rFonts w:ascii="Arial" w:hAnsi="Arial" w:cs="Arial"/>
          <w:sz w:val="20"/>
          <w:szCs w:val="20"/>
        </w:rPr>
      </w:pPr>
      <w:r w:rsidRPr="008533B0">
        <w:rPr>
          <w:rFonts w:ascii="Arial" w:hAnsi="Arial" w:cs="Arial"/>
          <w:sz w:val="20"/>
          <w:szCs w:val="20"/>
        </w:rPr>
        <w:tab/>
        <w:t>https://doi.org/10.4103/0974-8490.60579</w:t>
      </w:r>
    </w:p>
    <w:p w14:paraId="5E31F343"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47. </w:t>
      </w:r>
      <w:r w:rsidRPr="008533B0">
        <w:rPr>
          <w:rFonts w:ascii="Arial" w:hAnsi="Arial" w:cs="Arial"/>
          <w:sz w:val="20"/>
          <w:szCs w:val="20"/>
        </w:rPr>
        <w:tab/>
        <w:t xml:space="preserve">Larsen, K.-V., Cobbina, S. J., Ofori, S. A., &amp; Addo, D. (2020). Quantification and health risk assessment of heavy metals in milled maize and millet in the Tolon District, Northern Ghana. </w:t>
      </w:r>
      <w:r w:rsidRPr="008533B0">
        <w:rPr>
          <w:rFonts w:ascii="Arial" w:hAnsi="Arial" w:cs="Arial"/>
          <w:i/>
          <w:iCs/>
          <w:sz w:val="20"/>
          <w:szCs w:val="20"/>
        </w:rPr>
        <w:t>Food Science &amp; Nutrition</w:t>
      </w:r>
      <w:r w:rsidRPr="008533B0">
        <w:rPr>
          <w:rFonts w:ascii="Arial" w:hAnsi="Arial" w:cs="Arial"/>
          <w:sz w:val="20"/>
          <w:szCs w:val="20"/>
        </w:rPr>
        <w:t xml:space="preserve">, </w:t>
      </w:r>
      <w:r w:rsidRPr="008533B0">
        <w:rPr>
          <w:rFonts w:ascii="Arial" w:hAnsi="Arial" w:cs="Arial"/>
          <w:i/>
          <w:iCs/>
          <w:sz w:val="20"/>
          <w:szCs w:val="20"/>
        </w:rPr>
        <w:t>8</w:t>
      </w:r>
      <w:r w:rsidRPr="008533B0">
        <w:rPr>
          <w:rFonts w:ascii="Arial" w:hAnsi="Arial" w:cs="Arial"/>
          <w:sz w:val="20"/>
          <w:szCs w:val="20"/>
        </w:rPr>
        <w:t xml:space="preserve">(8), 4205–4213. </w:t>
      </w:r>
    </w:p>
    <w:p w14:paraId="3D4E48A0"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https://doi.org/10.1002/fsn3.1714</w:t>
      </w:r>
    </w:p>
    <w:p w14:paraId="7F45028E"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48. </w:t>
      </w:r>
      <w:r w:rsidRPr="008533B0">
        <w:rPr>
          <w:rFonts w:ascii="Arial" w:hAnsi="Arial" w:cs="Arial"/>
          <w:sz w:val="20"/>
          <w:szCs w:val="20"/>
        </w:rPr>
        <w:tab/>
        <w:t xml:space="preserve">FAO/WHO. (2004). Safety evaluation of certain food additives and contaminants / prepared by the sixty-first meeting of the Joint FAO/WHO Expert Committee on Food Additives (JEFCA). Geneva: FAO and WHO. </w:t>
      </w:r>
    </w:p>
    <w:p w14:paraId="157FF906"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 xml:space="preserve">https://apps.who.int/ iris/handle/10665/43038. </w:t>
      </w:r>
      <w:r w:rsidRPr="008533B0">
        <w:rPr>
          <w:rFonts w:ascii="Arial" w:hAnsi="Arial" w:cs="Arial"/>
          <w:i/>
          <w:iCs/>
          <w:sz w:val="20"/>
          <w:szCs w:val="20"/>
        </w:rPr>
        <w:t>FAO/WHO</w:t>
      </w:r>
      <w:r w:rsidRPr="008533B0">
        <w:rPr>
          <w:rFonts w:ascii="Arial" w:hAnsi="Arial" w:cs="Arial"/>
          <w:sz w:val="20"/>
          <w:szCs w:val="20"/>
        </w:rPr>
        <w:t>.</w:t>
      </w:r>
    </w:p>
    <w:p w14:paraId="69812355"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49. </w:t>
      </w:r>
      <w:r w:rsidRPr="008533B0">
        <w:rPr>
          <w:rFonts w:ascii="Arial" w:hAnsi="Arial" w:cs="Arial"/>
          <w:sz w:val="20"/>
          <w:szCs w:val="20"/>
        </w:rPr>
        <w:tab/>
        <w:t xml:space="preserve">Coogan, T. P., Latta, D. M., Snow, E. T., Costa, M., &amp; Lawrence, L. (1989). Toxicity and Carcinogenicity of Nickel Compounds. </w:t>
      </w:r>
      <w:r w:rsidRPr="008533B0">
        <w:rPr>
          <w:rFonts w:ascii="Arial" w:hAnsi="Arial" w:cs="Arial"/>
          <w:i/>
          <w:iCs/>
          <w:sz w:val="20"/>
          <w:szCs w:val="20"/>
        </w:rPr>
        <w:t>CRC Critical Reviews in Toxicology</w:t>
      </w:r>
      <w:r w:rsidRPr="008533B0">
        <w:rPr>
          <w:rFonts w:ascii="Arial" w:hAnsi="Arial" w:cs="Arial"/>
          <w:sz w:val="20"/>
          <w:szCs w:val="20"/>
        </w:rPr>
        <w:t xml:space="preserve">, </w:t>
      </w:r>
      <w:r w:rsidRPr="008533B0">
        <w:rPr>
          <w:rFonts w:ascii="Arial" w:hAnsi="Arial" w:cs="Arial"/>
          <w:i/>
          <w:iCs/>
          <w:sz w:val="20"/>
          <w:szCs w:val="20"/>
        </w:rPr>
        <w:t>19</w:t>
      </w:r>
      <w:r w:rsidRPr="008533B0">
        <w:rPr>
          <w:rFonts w:ascii="Arial" w:hAnsi="Arial" w:cs="Arial"/>
          <w:sz w:val="20"/>
          <w:szCs w:val="20"/>
        </w:rPr>
        <w:t xml:space="preserve">(4), 341–384. </w:t>
      </w:r>
    </w:p>
    <w:p w14:paraId="1A357103"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https://doi.org/10.3109/10408448909029327</w:t>
      </w:r>
    </w:p>
    <w:p w14:paraId="0F3D409B" w14:textId="77777777" w:rsidR="0096432C" w:rsidRPr="008533B0" w:rsidRDefault="0096432C" w:rsidP="008533B0">
      <w:pPr>
        <w:spacing w:line="240" w:lineRule="auto"/>
        <w:ind w:left="567" w:hanging="569"/>
        <w:rPr>
          <w:rFonts w:ascii="Arial" w:hAnsi="Arial" w:cs="Arial"/>
          <w:sz w:val="20"/>
          <w:szCs w:val="20"/>
        </w:rPr>
      </w:pPr>
      <w:r w:rsidRPr="008533B0">
        <w:rPr>
          <w:rFonts w:ascii="Arial" w:hAnsi="Arial" w:cs="Arial"/>
          <w:sz w:val="20"/>
          <w:szCs w:val="20"/>
        </w:rPr>
        <w:t xml:space="preserve">50. </w:t>
      </w:r>
      <w:r w:rsidRPr="008533B0">
        <w:rPr>
          <w:rFonts w:ascii="Arial" w:hAnsi="Arial" w:cs="Arial"/>
          <w:sz w:val="20"/>
          <w:szCs w:val="20"/>
        </w:rPr>
        <w:tab/>
        <w:t xml:space="preserve">Ssempijja, F., Iceland Kasozi, K., Daniel Eze, E., Tamale, A., Ewuzie, S. A., Matama, K., Ekou, J., Bogere, P., Mujinya, R., Musoke, G. H., Atusiimirwe, J. K., Zirintunda, G., Kalange, M., Lyada, J., Kiconco, R., Pius, T., Nandala, C., Kamugisha, R. M., Hamira, Y., Fernandez, E. M., &amp; Musinguzi S. P. (2020). Consumption of Raw Herbal Medicines Is Associated with Major Public Health Risks amongst Ugandans. </w:t>
      </w:r>
      <w:r w:rsidRPr="008533B0">
        <w:rPr>
          <w:rFonts w:ascii="Arial" w:hAnsi="Arial" w:cs="Arial"/>
          <w:i/>
          <w:iCs/>
          <w:sz w:val="20"/>
          <w:szCs w:val="20"/>
        </w:rPr>
        <w:t>Journal of Environmental and Public Health</w:t>
      </w:r>
      <w:r w:rsidRPr="008533B0">
        <w:rPr>
          <w:rFonts w:ascii="Arial" w:hAnsi="Arial" w:cs="Arial"/>
          <w:sz w:val="20"/>
          <w:szCs w:val="20"/>
        </w:rPr>
        <w:t xml:space="preserve">, </w:t>
      </w:r>
      <w:r w:rsidRPr="008533B0">
        <w:rPr>
          <w:rFonts w:ascii="Arial" w:hAnsi="Arial" w:cs="Arial"/>
          <w:i/>
          <w:iCs/>
          <w:sz w:val="20"/>
          <w:szCs w:val="20"/>
        </w:rPr>
        <w:t>2020</w:t>
      </w:r>
      <w:r w:rsidRPr="008533B0">
        <w:rPr>
          <w:rFonts w:ascii="Arial" w:hAnsi="Arial" w:cs="Arial"/>
          <w:sz w:val="20"/>
          <w:szCs w:val="20"/>
        </w:rPr>
        <w:t xml:space="preserve">(1), 8516105. </w:t>
      </w:r>
    </w:p>
    <w:p w14:paraId="3BE43CD8"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https://doi.org/10.1155/2020/8516105</w:t>
      </w:r>
    </w:p>
    <w:p w14:paraId="3DFF0FB3"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51. </w:t>
      </w:r>
      <w:r w:rsidRPr="008533B0">
        <w:rPr>
          <w:rFonts w:ascii="Arial" w:hAnsi="Arial" w:cs="Arial"/>
          <w:sz w:val="20"/>
          <w:szCs w:val="20"/>
        </w:rPr>
        <w:tab/>
        <w:t xml:space="preserve">Nielsen, F. (2021). Nickel. </w:t>
      </w:r>
      <w:r w:rsidRPr="008533B0">
        <w:rPr>
          <w:rFonts w:ascii="Arial" w:hAnsi="Arial" w:cs="Arial"/>
          <w:i/>
          <w:iCs/>
          <w:sz w:val="20"/>
          <w:szCs w:val="20"/>
        </w:rPr>
        <w:t>Advances in Nutrition</w:t>
      </w:r>
      <w:r w:rsidRPr="008533B0">
        <w:rPr>
          <w:rFonts w:ascii="Arial" w:hAnsi="Arial" w:cs="Arial"/>
          <w:sz w:val="20"/>
          <w:szCs w:val="20"/>
        </w:rPr>
        <w:t xml:space="preserve">, </w:t>
      </w:r>
      <w:r w:rsidRPr="008533B0">
        <w:rPr>
          <w:rFonts w:ascii="Arial" w:hAnsi="Arial" w:cs="Arial"/>
          <w:i/>
          <w:iCs/>
          <w:sz w:val="20"/>
          <w:szCs w:val="20"/>
        </w:rPr>
        <w:t>12</w:t>
      </w:r>
      <w:r w:rsidRPr="008533B0">
        <w:rPr>
          <w:rFonts w:ascii="Arial" w:hAnsi="Arial" w:cs="Arial"/>
          <w:sz w:val="20"/>
          <w:szCs w:val="20"/>
        </w:rPr>
        <w:t xml:space="preserve">(1), 281–282. </w:t>
      </w:r>
    </w:p>
    <w:p w14:paraId="7D0A08B6"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https://doi.org/10.1093/advances/nmaa154</w:t>
      </w:r>
    </w:p>
    <w:p w14:paraId="04FD2149"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52. </w:t>
      </w:r>
      <w:r w:rsidRPr="008533B0">
        <w:rPr>
          <w:rFonts w:ascii="Arial" w:hAnsi="Arial" w:cs="Arial"/>
          <w:sz w:val="20"/>
          <w:szCs w:val="20"/>
        </w:rPr>
        <w:tab/>
        <w:t xml:space="preserve">Sulaiman, M. B., Adamu, A. M., Ali, S. B., Ezenobi, U. V., Gimba, A. M., Akinlotan, O. O., &amp; Abubakar, A. (2024). Heavy metal contamination in medicinal plants: assessing carcinogenic and non-carcinogenic health risks. </w:t>
      </w:r>
      <w:r w:rsidRPr="008533B0">
        <w:rPr>
          <w:rFonts w:ascii="Arial" w:hAnsi="Arial" w:cs="Arial"/>
          <w:i/>
          <w:iCs/>
          <w:sz w:val="20"/>
          <w:szCs w:val="20"/>
        </w:rPr>
        <w:t>Discover Environment</w:t>
      </w:r>
      <w:r w:rsidRPr="008533B0">
        <w:rPr>
          <w:rFonts w:ascii="Arial" w:hAnsi="Arial" w:cs="Arial"/>
          <w:sz w:val="20"/>
          <w:szCs w:val="20"/>
        </w:rPr>
        <w:t xml:space="preserve">, </w:t>
      </w:r>
      <w:r w:rsidRPr="008533B0">
        <w:rPr>
          <w:rFonts w:ascii="Arial" w:hAnsi="Arial" w:cs="Arial"/>
          <w:i/>
          <w:iCs/>
          <w:sz w:val="20"/>
          <w:szCs w:val="20"/>
        </w:rPr>
        <w:t>2</w:t>
      </w:r>
      <w:r w:rsidRPr="008533B0">
        <w:rPr>
          <w:rFonts w:ascii="Arial" w:hAnsi="Arial" w:cs="Arial"/>
          <w:sz w:val="20"/>
          <w:szCs w:val="20"/>
        </w:rPr>
        <w:t xml:space="preserve">(1), 11. </w:t>
      </w:r>
    </w:p>
    <w:p w14:paraId="7DF2A809"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https://doi.org/10.1007/s44274-024-00035-3</w:t>
      </w:r>
    </w:p>
    <w:p w14:paraId="61255C26"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53. </w:t>
      </w:r>
      <w:r w:rsidRPr="008533B0">
        <w:rPr>
          <w:rFonts w:ascii="Arial" w:hAnsi="Arial" w:cs="Arial"/>
          <w:sz w:val="20"/>
          <w:szCs w:val="20"/>
        </w:rPr>
        <w:tab/>
        <w:t xml:space="preserve">Dghaim, R., Al Khatib, S., Rasool, H., &amp; Ali Khan, M. (2015). Determination of Heavy Metals Concentration in Traditional Herbs Commonly Consumed in the United Arab Emirates. </w:t>
      </w:r>
      <w:r w:rsidRPr="008533B0">
        <w:rPr>
          <w:rFonts w:ascii="Arial" w:hAnsi="Arial" w:cs="Arial"/>
          <w:i/>
          <w:iCs/>
          <w:sz w:val="20"/>
          <w:szCs w:val="20"/>
        </w:rPr>
        <w:t>Journal of Environmental and Public Health</w:t>
      </w:r>
      <w:r w:rsidRPr="008533B0">
        <w:rPr>
          <w:rFonts w:ascii="Arial" w:hAnsi="Arial" w:cs="Arial"/>
          <w:sz w:val="20"/>
          <w:szCs w:val="20"/>
        </w:rPr>
        <w:t xml:space="preserve">, </w:t>
      </w:r>
      <w:r w:rsidRPr="008533B0">
        <w:rPr>
          <w:rFonts w:ascii="Arial" w:hAnsi="Arial" w:cs="Arial"/>
          <w:i/>
          <w:iCs/>
          <w:sz w:val="20"/>
          <w:szCs w:val="20"/>
        </w:rPr>
        <w:t>2015</w:t>
      </w:r>
      <w:r w:rsidRPr="008533B0">
        <w:rPr>
          <w:rFonts w:ascii="Arial" w:hAnsi="Arial" w:cs="Arial"/>
          <w:sz w:val="20"/>
          <w:szCs w:val="20"/>
        </w:rPr>
        <w:t xml:space="preserve">(1), 973878. </w:t>
      </w:r>
    </w:p>
    <w:p w14:paraId="714D19CF"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https://doi.org/10.1155/2015/973878</w:t>
      </w:r>
    </w:p>
    <w:p w14:paraId="35E40BA4"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54. </w:t>
      </w:r>
      <w:r w:rsidRPr="008533B0">
        <w:rPr>
          <w:rFonts w:ascii="Arial" w:hAnsi="Arial" w:cs="Arial"/>
          <w:sz w:val="20"/>
          <w:szCs w:val="20"/>
        </w:rPr>
        <w:tab/>
        <w:t xml:space="preserve">Doguer, C., Ha, J.-H., &amp; Collins, J. F. (2018). Intersection of Iron and Copper Metabolism in the Mammalian Intestine and Liver. </w:t>
      </w:r>
      <w:r w:rsidRPr="008533B0">
        <w:rPr>
          <w:rFonts w:ascii="Arial" w:hAnsi="Arial" w:cs="Arial"/>
          <w:i/>
          <w:iCs/>
          <w:sz w:val="20"/>
          <w:szCs w:val="20"/>
        </w:rPr>
        <w:t>Comprehensive Physiology</w:t>
      </w:r>
      <w:r w:rsidRPr="008533B0">
        <w:rPr>
          <w:rFonts w:ascii="Arial" w:hAnsi="Arial" w:cs="Arial"/>
          <w:sz w:val="20"/>
          <w:szCs w:val="20"/>
        </w:rPr>
        <w:t xml:space="preserve">, </w:t>
      </w:r>
      <w:r w:rsidRPr="008533B0">
        <w:rPr>
          <w:rFonts w:ascii="Arial" w:hAnsi="Arial" w:cs="Arial"/>
          <w:i/>
          <w:iCs/>
          <w:sz w:val="20"/>
          <w:szCs w:val="20"/>
        </w:rPr>
        <w:t>8</w:t>
      </w:r>
      <w:r w:rsidRPr="008533B0">
        <w:rPr>
          <w:rFonts w:ascii="Arial" w:hAnsi="Arial" w:cs="Arial"/>
          <w:sz w:val="20"/>
          <w:szCs w:val="20"/>
        </w:rPr>
        <w:t xml:space="preserve">(4), 1433-1461. </w:t>
      </w:r>
    </w:p>
    <w:p w14:paraId="089F6CB8"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https://doi.org/10.1002/cphy.c170045</w:t>
      </w:r>
    </w:p>
    <w:p w14:paraId="671A9606"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55. </w:t>
      </w:r>
      <w:r w:rsidRPr="008533B0">
        <w:rPr>
          <w:rFonts w:ascii="Arial" w:hAnsi="Arial" w:cs="Arial"/>
          <w:sz w:val="20"/>
          <w:szCs w:val="20"/>
        </w:rPr>
        <w:tab/>
        <w:t xml:space="preserve">Festa, R. A., &amp; Thiele, D. J. (2011). Copper: An essential metal in biology. </w:t>
      </w:r>
      <w:r w:rsidRPr="008533B0">
        <w:rPr>
          <w:rFonts w:ascii="Arial" w:hAnsi="Arial" w:cs="Arial"/>
          <w:i/>
          <w:iCs/>
          <w:sz w:val="20"/>
          <w:szCs w:val="20"/>
        </w:rPr>
        <w:t>Current Biology</w:t>
      </w:r>
      <w:r w:rsidRPr="008533B0">
        <w:rPr>
          <w:rFonts w:ascii="Arial" w:hAnsi="Arial" w:cs="Arial"/>
          <w:sz w:val="20"/>
          <w:szCs w:val="20"/>
        </w:rPr>
        <w:t xml:space="preserve">, </w:t>
      </w:r>
      <w:r w:rsidRPr="008533B0">
        <w:rPr>
          <w:rFonts w:ascii="Arial" w:hAnsi="Arial" w:cs="Arial"/>
          <w:i/>
          <w:iCs/>
          <w:sz w:val="20"/>
          <w:szCs w:val="20"/>
        </w:rPr>
        <w:t>21</w:t>
      </w:r>
      <w:r w:rsidRPr="008533B0">
        <w:rPr>
          <w:rFonts w:ascii="Arial" w:hAnsi="Arial" w:cs="Arial"/>
          <w:sz w:val="20"/>
          <w:szCs w:val="20"/>
        </w:rPr>
        <w:t xml:space="preserve">(21), R877–R883. </w:t>
      </w:r>
    </w:p>
    <w:p w14:paraId="01FA5374"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https://doi.org/10.1016/j.cub.2011.09.040</w:t>
      </w:r>
    </w:p>
    <w:p w14:paraId="7B60327F" w14:textId="2F37E94A" w:rsidR="0096432C" w:rsidRPr="008533B0" w:rsidRDefault="0096432C"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t xml:space="preserve">56. </w:t>
      </w:r>
      <w:r w:rsidRPr="008533B0">
        <w:rPr>
          <w:rFonts w:ascii="Arial" w:hAnsi="Arial" w:cs="Arial"/>
          <w:sz w:val="20"/>
          <w:szCs w:val="20"/>
        </w:rPr>
        <w:tab/>
      </w:r>
      <w:r w:rsidR="004540D4" w:rsidRPr="008533B0">
        <w:rPr>
          <w:rFonts w:ascii="Arial" w:hAnsi="Arial" w:cs="Arial"/>
          <w:sz w:val="20"/>
          <w:szCs w:val="20"/>
        </w:rPr>
        <w:tab/>
      </w:r>
      <w:r w:rsidRPr="008533B0">
        <w:rPr>
          <w:rFonts w:ascii="Arial" w:hAnsi="Arial" w:cs="Arial"/>
          <w:sz w:val="20"/>
          <w:szCs w:val="20"/>
        </w:rPr>
        <w:t xml:space="preserve">Oladeji, O. M., Kopaopa, B. G., Mugivhisa, L. L., &amp; Olowoyo, J. O. (2024). Investigation of Heavy Metal Analysis on Medicinal Plants Used for the Treatment of Skin Cancer by Traditional Practitioners in Pretoria.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202</w:t>
      </w:r>
      <w:r w:rsidRPr="008533B0">
        <w:rPr>
          <w:rFonts w:ascii="Arial" w:hAnsi="Arial" w:cs="Arial"/>
          <w:sz w:val="20"/>
          <w:szCs w:val="20"/>
        </w:rPr>
        <w:t xml:space="preserve">(2), 778–786. </w:t>
      </w:r>
    </w:p>
    <w:p w14:paraId="347E3C88" w14:textId="2C9D22F9" w:rsidR="0096432C" w:rsidRPr="008533B0" w:rsidRDefault="004540D4" w:rsidP="008533B0">
      <w:pPr>
        <w:pStyle w:val="Bibliography"/>
        <w:spacing w:line="240" w:lineRule="auto"/>
        <w:ind w:left="567" w:hanging="569"/>
        <w:rPr>
          <w:rFonts w:ascii="Arial" w:hAnsi="Arial" w:cs="Arial"/>
          <w:sz w:val="20"/>
          <w:szCs w:val="20"/>
        </w:rPr>
      </w:pPr>
      <w:r w:rsidRPr="008533B0">
        <w:rPr>
          <w:rFonts w:ascii="Arial" w:hAnsi="Arial" w:cs="Arial"/>
          <w:sz w:val="20"/>
          <w:szCs w:val="20"/>
        </w:rPr>
        <w:lastRenderedPageBreak/>
        <w:tab/>
      </w:r>
      <w:r w:rsidRPr="008533B0">
        <w:rPr>
          <w:rFonts w:ascii="Arial" w:hAnsi="Arial" w:cs="Arial"/>
          <w:sz w:val="20"/>
          <w:szCs w:val="20"/>
        </w:rPr>
        <w:tab/>
      </w:r>
      <w:r w:rsidR="0096432C" w:rsidRPr="008533B0">
        <w:rPr>
          <w:rFonts w:ascii="Arial" w:hAnsi="Arial" w:cs="Arial"/>
          <w:sz w:val="20"/>
          <w:szCs w:val="20"/>
        </w:rPr>
        <w:t>https://doi.org/10.1007/s12011-023-03701-4</w:t>
      </w:r>
    </w:p>
    <w:p w14:paraId="69E50AB1"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57. </w:t>
      </w:r>
      <w:r w:rsidRPr="008533B0">
        <w:rPr>
          <w:rFonts w:ascii="Arial" w:hAnsi="Arial" w:cs="Arial"/>
          <w:sz w:val="20"/>
          <w:szCs w:val="20"/>
        </w:rPr>
        <w:tab/>
        <w:t xml:space="preserve">Oladeji, O. M., Kopaopa, B. G., Mugivhisa, L. L., &amp; Olowoyo, J. O. (2024). Investigation of Heavy Metal Analysis on Medicinal Plants Used for the Treatment of Skin Cancer by Traditional Practitioners in Pretoria.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202</w:t>
      </w:r>
      <w:r w:rsidRPr="008533B0">
        <w:rPr>
          <w:rFonts w:ascii="Arial" w:hAnsi="Arial" w:cs="Arial"/>
          <w:sz w:val="20"/>
          <w:szCs w:val="20"/>
        </w:rPr>
        <w:t xml:space="preserve">(2), 778–786. </w:t>
      </w:r>
    </w:p>
    <w:p w14:paraId="12D8079D"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https://doi.org/10.1007/s12011-023-03701-4</w:t>
      </w:r>
    </w:p>
    <w:p w14:paraId="04A8C750"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lang w:val="en-US"/>
        </w:rPr>
      </w:pPr>
      <w:r w:rsidRPr="008533B0">
        <w:rPr>
          <w:rFonts w:ascii="Arial" w:hAnsi="Arial" w:cs="Arial"/>
          <w:sz w:val="20"/>
          <w:szCs w:val="20"/>
        </w:rPr>
        <w:t xml:space="preserve">58. </w:t>
      </w:r>
      <w:r w:rsidRPr="008533B0">
        <w:rPr>
          <w:rFonts w:ascii="Arial" w:hAnsi="Arial" w:cs="Arial"/>
          <w:sz w:val="20"/>
          <w:szCs w:val="20"/>
        </w:rPr>
        <w:tab/>
        <w:t xml:space="preserve">Report of A Joint FAO/WHO expert consultation, Bangkok, Thailand, World Health Organization/Food and Agriculture Organization of The United Nations, Rome, 2002. </w:t>
      </w:r>
      <w:r w:rsidRPr="008533B0">
        <w:rPr>
          <w:rFonts w:ascii="Arial" w:hAnsi="Arial" w:cs="Arial"/>
          <w:sz w:val="20"/>
          <w:szCs w:val="20"/>
          <w:lang w:val="en-US"/>
        </w:rPr>
        <w:t>Accessed May 10, 2025.</w:t>
      </w:r>
    </w:p>
    <w:p w14:paraId="59F30128"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lang w:val="en-US"/>
        </w:rPr>
        <w:t xml:space="preserve">59. </w:t>
      </w:r>
      <w:r w:rsidRPr="008533B0">
        <w:rPr>
          <w:rFonts w:ascii="Arial" w:hAnsi="Arial" w:cs="Arial"/>
          <w:sz w:val="20"/>
          <w:szCs w:val="20"/>
          <w:lang w:val="en-US"/>
        </w:rPr>
        <w:tab/>
        <w:t xml:space="preserve">Werdemberg dos Santos, L. C., Granja Arakaki, D., Silva de Pádua Melo, E., &amp; Nascimento, V. A. (2022). </w:t>
      </w:r>
      <w:r w:rsidRPr="008533B0">
        <w:rPr>
          <w:rFonts w:ascii="Arial" w:hAnsi="Arial" w:cs="Arial"/>
          <w:sz w:val="20"/>
          <w:szCs w:val="20"/>
        </w:rPr>
        <w:t xml:space="preserve">Health Hazard Assessment Due to Slimming Medicinal Plant Intake.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200</w:t>
      </w:r>
      <w:r w:rsidRPr="008533B0">
        <w:rPr>
          <w:rFonts w:ascii="Arial" w:hAnsi="Arial" w:cs="Arial"/>
          <w:sz w:val="20"/>
          <w:szCs w:val="20"/>
        </w:rPr>
        <w:t xml:space="preserve">(3), 1442–1454. </w:t>
      </w:r>
    </w:p>
    <w:p w14:paraId="5A80451B"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lang w:val="en-US"/>
        </w:rPr>
      </w:pPr>
      <w:r w:rsidRPr="008533B0">
        <w:rPr>
          <w:rFonts w:ascii="Arial" w:hAnsi="Arial" w:cs="Arial"/>
          <w:sz w:val="20"/>
          <w:szCs w:val="20"/>
          <w:lang w:val="en-US"/>
        </w:rPr>
        <w:t>https://doi.org/10.1007/s12011-021-02732-z</w:t>
      </w:r>
    </w:p>
    <w:p w14:paraId="05E7F407"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lang w:val="en-US"/>
        </w:rPr>
        <w:t xml:space="preserve">60. </w:t>
      </w:r>
      <w:r w:rsidRPr="008533B0">
        <w:rPr>
          <w:rFonts w:ascii="Arial" w:hAnsi="Arial" w:cs="Arial"/>
          <w:sz w:val="20"/>
          <w:szCs w:val="20"/>
          <w:lang w:val="en-US"/>
        </w:rPr>
        <w:tab/>
        <w:t xml:space="preserve">Gaur, S., &amp; Agnihotri, R. (2017). </w:t>
      </w:r>
      <w:r w:rsidRPr="008533B0">
        <w:rPr>
          <w:rFonts w:ascii="Arial" w:hAnsi="Arial" w:cs="Arial"/>
          <w:sz w:val="20"/>
          <w:szCs w:val="20"/>
        </w:rPr>
        <w:t xml:space="preserve">Trace Mineral Micronutrients and Chronic Periodontitis-a Review. </w:t>
      </w:r>
      <w:r w:rsidRPr="008533B0">
        <w:rPr>
          <w:rFonts w:ascii="Arial" w:hAnsi="Arial" w:cs="Arial"/>
          <w:i/>
          <w:iCs/>
          <w:sz w:val="20"/>
          <w:szCs w:val="20"/>
        </w:rPr>
        <w:t>Biological trace element research</w:t>
      </w:r>
      <w:r w:rsidRPr="008533B0">
        <w:rPr>
          <w:rFonts w:ascii="Arial" w:hAnsi="Arial" w:cs="Arial"/>
          <w:sz w:val="20"/>
          <w:szCs w:val="20"/>
        </w:rPr>
        <w:t xml:space="preserve">, </w:t>
      </w:r>
      <w:r w:rsidRPr="008533B0">
        <w:rPr>
          <w:rFonts w:ascii="Arial" w:hAnsi="Arial" w:cs="Arial"/>
          <w:i/>
          <w:iCs/>
          <w:sz w:val="20"/>
          <w:szCs w:val="20"/>
        </w:rPr>
        <w:t>176</w:t>
      </w:r>
      <w:r w:rsidRPr="008533B0">
        <w:rPr>
          <w:rFonts w:ascii="Arial" w:hAnsi="Arial" w:cs="Arial"/>
          <w:sz w:val="20"/>
          <w:szCs w:val="20"/>
        </w:rPr>
        <w:t>(2), 225–238.</w:t>
      </w:r>
    </w:p>
    <w:p w14:paraId="2E897481"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https://doi.org/10.1007/s12011-016-0832-y</w:t>
      </w:r>
    </w:p>
    <w:p w14:paraId="6A474909"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lang w:val="fr-CA"/>
        </w:rPr>
      </w:pPr>
      <w:r w:rsidRPr="008533B0">
        <w:rPr>
          <w:rFonts w:ascii="Arial" w:hAnsi="Arial" w:cs="Arial"/>
          <w:sz w:val="20"/>
          <w:szCs w:val="20"/>
        </w:rPr>
        <w:t xml:space="preserve">61. </w:t>
      </w:r>
      <w:r w:rsidRPr="008533B0">
        <w:rPr>
          <w:rFonts w:ascii="Arial" w:hAnsi="Arial" w:cs="Arial"/>
          <w:sz w:val="20"/>
          <w:szCs w:val="20"/>
        </w:rPr>
        <w:tab/>
        <w:t xml:space="preserve">Lynch, R. J. M. (2011). Zinc in the mouth, its interactions with dental enamel and possible effects on caries; a review of the literature. </w:t>
      </w:r>
      <w:r w:rsidRPr="008533B0">
        <w:rPr>
          <w:rFonts w:ascii="Arial" w:hAnsi="Arial" w:cs="Arial"/>
          <w:i/>
          <w:iCs/>
          <w:sz w:val="20"/>
          <w:szCs w:val="20"/>
          <w:lang w:val="fr-CA"/>
        </w:rPr>
        <w:t>International dental journal</w:t>
      </w:r>
      <w:r w:rsidRPr="008533B0">
        <w:rPr>
          <w:rFonts w:ascii="Arial" w:hAnsi="Arial" w:cs="Arial"/>
          <w:sz w:val="20"/>
          <w:szCs w:val="20"/>
          <w:lang w:val="fr-CA"/>
        </w:rPr>
        <w:t xml:space="preserve">, </w:t>
      </w:r>
      <w:r w:rsidRPr="008533B0">
        <w:rPr>
          <w:rFonts w:ascii="Arial" w:hAnsi="Arial" w:cs="Arial"/>
          <w:i/>
          <w:iCs/>
          <w:sz w:val="20"/>
          <w:szCs w:val="20"/>
          <w:lang w:val="fr-CA"/>
        </w:rPr>
        <w:t xml:space="preserve">61 </w:t>
      </w:r>
      <w:r w:rsidRPr="008533B0">
        <w:rPr>
          <w:rFonts w:ascii="Arial" w:hAnsi="Arial" w:cs="Arial"/>
          <w:sz w:val="20"/>
          <w:szCs w:val="20"/>
          <w:lang w:val="fr-CA"/>
        </w:rPr>
        <w:t xml:space="preserve">(Supplement 3). 46–54 </w:t>
      </w:r>
    </w:p>
    <w:p w14:paraId="4BC9C5BF"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lang w:val="fr-CA"/>
        </w:rPr>
      </w:pPr>
      <w:r w:rsidRPr="008533B0">
        <w:rPr>
          <w:rFonts w:ascii="Arial" w:hAnsi="Arial" w:cs="Arial"/>
          <w:sz w:val="20"/>
          <w:szCs w:val="20"/>
          <w:lang w:val="fr-CA"/>
        </w:rPr>
        <w:t>https://doi.org/10.1111/j.1875-595X.2011.00049.x</w:t>
      </w:r>
    </w:p>
    <w:p w14:paraId="16B4044F"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lang w:val="fr-CA"/>
        </w:rPr>
        <w:t xml:space="preserve">62. </w:t>
      </w:r>
      <w:r w:rsidRPr="008533B0">
        <w:rPr>
          <w:rFonts w:ascii="Arial" w:hAnsi="Arial" w:cs="Arial"/>
          <w:sz w:val="20"/>
          <w:szCs w:val="20"/>
          <w:lang w:val="fr-CA"/>
        </w:rPr>
        <w:tab/>
      </w:r>
      <w:r w:rsidRPr="008533B0">
        <w:rPr>
          <w:rFonts w:ascii="Arial" w:hAnsi="Arial" w:cs="Arial"/>
          <w:sz w:val="20"/>
          <w:szCs w:val="20"/>
        </w:rPr>
        <w:t xml:space="preserve">Wani, A. L., Parveen, N., Ansari, M. O., Ahmad, M. F., Jameel, S., &amp; Shadab, G. G. H. A. (2017). Zinc: An element of extensive medical importance. </w:t>
      </w:r>
      <w:r w:rsidRPr="008533B0">
        <w:rPr>
          <w:rFonts w:ascii="Arial" w:hAnsi="Arial" w:cs="Arial"/>
          <w:i/>
          <w:iCs/>
          <w:sz w:val="20"/>
          <w:szCs w:val="20"/>
        </w:rPr>
        <w:t>Current Medicine Research and Practice</w:t>
      </w:r>
      <w:r w:rsidRPr="008533B0">
        <w:rPr>
          <w:rFonts w:ascii="Arial" w:hAnsi="Arial" w:cs="Arial"/>
          <w:sz w:val="20"/>
          <w:szCs w:val="20"/>
        </w:rPr>
        <w:t xml:space="preserve">, </w:t>
      </w:r>
      <w:r w:rsidRPr="008533B0">
        <w:rPr>
          <w:rFonts w:ascii="Arial" w:hAnsi="Arial" w:cs="Arial"/>
          <w:i/>
          <w:iCs/>
          <w:sz w:val="20"/>
          <w:szCs w:val="20"/>
        </w:rPr>
        <w:t>7</w:t>
      </w:r>
      <w:r w:rsidRPr="008533B0">
        <w:rPr>
          <w:rFonts w:ascii="Arial" w:hAnsi="Arial" w:cs="Arial"/>
          <w:sz w:val="20"/>
          <w:szCs w:val="20"/>
        </w:rPr>
        <w:t xml:space="preserve">(3), 90–98. </w:t>
      </w:r>
    </w:p>
    <w:p w14:paraId="13160EF6"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https://doi.org/10.1016/j.cmrp.2017.02.006</w:t>
      </w:r>
    </w:p>
    <w:p w14:paraId="5048B90D"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63. </w:t>
      </w:r>
      <w:r w:rsidRPr="008533B0">
        <w:rPr>
          <w:rFonts w:ascii="Arial" w:hAnsi="Arial" w:cs="Arial"/>
          <w:sz w:val="20"/>
          <w:szCs w:val="20"/>
        </w:rPr>
        <w:tab/>
        <w:t xml:space="preserve">Sithole, S. C., Mugivhisa, L. L., Amoo, S. O., &amp; Olowoyo, J. O. (2017). Pattern and concentrations of trace metals in mushrooms harvested from trace metal-polluted soils in Pretoria, South Africa. </w:t>
      </w:r>
      <w:r w:rsidRPr="008533B0">
        <w:rPr>
          <w:rFonts w:ascii="Arial" w:hAnsi="Arial" w:cs="Arial"/>
          <w:i/>
          <w:iCs/>
          <w:sz w:val="20"/>
          <w:szCs w:val="20"/>
        </w:rPr>
        <w:t>South African Journal of Botany</w:t>
      </w:r>
      <w:r w:rsidRPr="008533B0">
        <w:rPr>
          <w:rFonts w:ascii="Arial" w:hAnsi="Arial" w:cs="Arial"/>
          <w:sz w:val="20"/>
          <w:szCs w:val="20"/>
        </w:rPr>
        <w:t xml:space="preserve">, </w:t>
      </w:r>
      <w:r w:rsidRPr="008533B0">
        <w:rPr>
          <w:rFonts w:ascii="Arial" w:hAnsi="Arial" w:cs="Arial"/>
          <w:i/>
          <w:iCs/>
          <w:sz w:val="20"/>
          <w:szCs w:val="20"/>
        </w:rPr>
        <w:t>108</w:t>
      </w:r>
      <w:r w:rsidRPr="008533B0">
        <w:rPr>
          <w:rFonts w:ascii="Arial" w:hAnsi="Arial" w:cs="Arial"/>
          <w:sz w:val="20"/>
          <w:szCs w:val="20"/>
        </w:rPr>
        <w:t xml:space="preserve">, 315–320. </w:t>
      </w:r>
    </w:p>
    <w:p w14:paraId="10EFFEB8"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https://doi.org/10.1016/j.sajb.2016.08.010</w:t>
      </w:r>
    </w:p>
    <w:p w14:paraId="620B87E6"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64. </w:t>
      </w:r>
      <w:r w:rsidRPr="008533B0">
        <w:rPr>
          <w:rFonts w:ascii="Arial" w:hAnsi="Arial" w:cs="Arial"/>
          <w:sz w:val="20"/>
          <w:szCs w:val="20"/>
        </w:rPr>
        <w:tab/>
        <w:t>World Health Organization, WHO Guidelines for assessing quality of herbal medicines with reference to contaminants and residues. Geneva, Switzerland, 2007.</w:t>
      </w:r>
    </w:p>
    <w:p w14:paraId="6F695F17"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65. </w:t>
      </w:r>
      <w:r w:rsidRPr="008533B0">
        <w:rPr>
          <w:rFonts w:ascii="Arial" w:hAnsi="Arial" w:cs="Arial"/>
          <w:sz w:val="20"/>
          <w:szCs w:val="20"/>
        </w:rPr>
        <w:tab/>
        <w:t xml:space="preserve">Siriangkhawut, W., Sittichan, P., Ponhong, K., &amp; Chantiratikul, P. (2017). Quality assessment of trace Cd and Pb contaminants in Thai herbal medicines using ultrasound-assisted digestion prior to flame atomic absorption spectrometry. </w:t>
      </w:r>
      <w:r w:rsidRPr="008533B0">
        <w:rPr>
          <w:rFonts w:ascii="Arial" w:hAnsi="Arial" w:cs="Arial"/>
          <w:i/>
          <w:iCs/>
          <w:sz w:val="20"/>
          <w:szCs w:val="20"/>
        </w:rPr>
        <w:t>Journal of Food and Drug Analysis</w:t>
      </w:r>
      <w:r w:rsidRPr="008533B0">
        <w:rPr>
          <w:rFonts w:ascii="Arial" w:hAnsi="Arial" w:cs="Arial"/>
          <w:sz w:val="20"/>
          <w:szCs w:val="20"/>
        </w:rPr>
        <w:t xml:space="preserve">, </w:t>
      </w:r>
      <w:r w:rsidRPr="008533B0">
        <w:rPr>
          <w:rFonts w:ascii="Arial" w:hAnsi="Arial" w:cs="Arial"/>
          <w:i/>
          <w:iCs/>
          <w:sz w:val="20"/>
          <w:szCs w:val="20"/>
        </w:rPr>
        <w:t>25</w:t>
      </w:r>
      <w:r w:rsidRPr="008533B0">
        <w:rPr>
          <w:rFonts w:ascii="Arial" w:hAnsi="Arial" w:cs="Arial"/>
          <w:sz w:val="20"/>
          <w:szCs w:val="20"/>
        </w:rPr>
        <w:t xml:space="preserve">(4), 960–967. </w:t>
      </w:r>
    </w:p>
    <w:p w14:paraId="3871DBB5"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https://doi.org/10.1016/j.jfda.2016.12.011</w:t>
      </w:r>
    </w:p>
    <w:p w14:paraId="03068D64"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66. </w:t>
      </w:r>
      <w:r w:rsidRPr="008533B0">
        <w:rPr>
          <w:rFonts w:ascii="Arial" w:hAnsi="Arial" w:cs="Arial"/>
          <w:sz w:val="20"/>
          <w:szCs w:val="20"/>
        </w:rPr>
        <w:tab/>
        <w:t xml:space="preserve">Mulaudzi, R. B., Tshikalange, T. E., Olowoyo, J. O., Amoo, S. O., &amp; Plooy, C. P. D. (2017). Antimicrobial activity, cytotoxicity evaluation and heavy metal content of five commonly used South African herbal mixtures. </w:t>
      </w:r>
      <w:r w:rsidRPr="008533B0">
        <w:rPr>
          <w:rFonts w:ascii="Arial" w:hAnsi="Arial" w:cs="Arial"/>
          <w:i/>
          <w:iCs/>
          <w:sz w:val="20"/>
          <w:szCs w:val="20"/>
        </w:rPr>
        <w:t>South African Journal of Botany</w:t>
      </w:r>
      <w:r w:rsidRPr="008533B0">
        <w:rPr>
          <w:rFonts w:ascii="Arial" w:hAnsi="Arial" w:cs="Arial"/>
          <w:sz w:val="20"/>
          <w:szCs w:val="20"/>
        </w:rPr>
        <w:t xml:space="preserve">, </w:t>
      </w:r>
      <w:r w:rsidRPr="008533B0">
        <w:rPr>
          <w:rFonts w:ascii="Arial" w:hAnsi="Arial" w:cs="Arial"/>
          <w:i/>
          <w:iCs/>
          <w:sz w:val="20"/>
          <w:szCs w:val="20"/>
        </w:rPr>
        <w:t>112</w:t>
      </w:r>
      <w:r w:rsidRPr="008533B0">
        <w:rPr>
          <w:rFonts w:ascii="Arial" w:hAnsi="Arial" w:cs="Arial"/>
          <w:sz w:val="20"/>
          <w:szCs w:val="20"/>
        </w:rPr>
        <w:t xml:space="preserve">, 314–318. </w:t>
      </w:r>
    </w:p>
    <w:p w14:paraId="2D6AF89D"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https://doi.org/10.1016/j.sajb.2017.06.024</w:t>
      </w:r>
    </w:p>
    <w:p w14:paraId="7BD07D38"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67. </w:t>
      </w:r>
      <w:r w:rsidRPr="008533B0">
        <w:rPr>
          <w:rFonts w:ascii="Arial" w:hAnsi="Arial" w:cs="Arial"/>
          <w:sz w:val="20"/>
          <w:szCs w:val="20"/>
        </w:rPr>
        <w:tab/>
        <w:t xml:space="preserve">Mahurpawar, M. (2015). Effects of heavy metals on human health. </w:t>
      </w:r>
      <w:r w:rsidRPr="008533B0">
        <w:rPr>
          <w:rFonts w:ascii="Arial" w:hAnsi="Arial" w:cs="Arial"/>
          <w:i/>
          <w:iCs/>
          <w:sz w:val="20"/>
          <w:szCs w:val="20"/>
        </w:rPr>
        <w:t>International Journal of Research -GRANTHAALAYAH</w:t>
      </w:r>
      <w:r w:rsidRPr="008533B0">
        <w:rPr>
          <w:rFonts w:ascii="Arial" w:hAnsi="Arial" w:cs="Arial"/>
          <w:sz w:val="20"/>
          <w:szCs w:val="20"/>
        </w:rPr>
        <w:t xml:space="preserve">, </w:t>
      </w:r>
      <w:r w:rsidRPr="008533B0">
        <w:rPr>
          <w:rFonts w:ascii="Arial" w:hAnsi="Arial" w:cs="Arial"/>
          <w:i/>
          <w:iCs/>
          <w:sz w:val="20"/>
          <w:szCs w:val="20"/>
        </w:rPr>
        <w:t>3</w:t>
      </w:r>
      <w:r w:rsidRPr="008533B0">
        <w:rPr>
          <w:rFonts w:ascii="Arial" w:hAnsi="Arial" w:cs="Arial"/>
          <w:sz w:val="20"/>
          <w:szCs w:val="20"/>
        </w:rPr>
        <w:t xml:space="preserve">(9SE), 1–7. </w:t>
      </w:r>
    </w:p>
    <w:p w14:paraId="0860CA8D"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https://doi.org/10.29121/granthaalayah.v3.i9SE.2015.3282</w:t>
      </w:r>
    </w:p>
    <w:p w14:paraId="04474AC8"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68. </w:t>
      </w:r>
      <w:r w:rsidRPr="008533B0">
        <w:rPr>
          <w:rFonts w:ascii="Arial" w:hAnsi="Arial" w:cs="Arial"/>
          <w:sz w:val="20"/>
          <w:szCs w:val="20"/>
        </w:rPr>
        <w:tab/>
        <w:t xml:space="preserve">Engwa, G. A., Ferdinand, P. U., Nwalo, F. N., Unachukwu, M. N., Engwa, G. A., Ferdinand, P. U., Nwalo, F. N. &amp; Unachukwu, M. N. (2019). Mechanism and Health Effects of Heavy Metal Toxicity in Humans. In </w:t>
      </w:r>
      <w:r w:rsidRPr="008533B0">
        <w:rPr>
          <w:rFonts w:ascii="Arial" w:hAnsi="Arial" w:cs="Arial"/>
          <w:i/>
          <w:iCs/>
          <w:sz w:val="20"/>
          <w:szCs w:val="20"/>
        </w:rPr>
        <w:t>Poisoning in the Modern World - New Tricks for an Old Dog?</w:t>
      </w:r>
      <w:r w:rsidRPr="008533B0">
        <w:rPr>
          <w:rFonts w:ascii="Arial" w:hAnsi="Arial" w:cs="Arial"/>
          <w:sz w:val="20"/>
          <w:szCs w:val="20"/>
        </w:rPr>
        <w:t xml:space="preserve"> IntechOpen, Rijeka.  Edited by Ozgur Karcioglu and Banu Arslan.</w:t>
      </w:r>
    </w:p>
    <w:p w14:paraId="3E0CA00A"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https://doi.org/10.5772/intechopen.82511</w:t>
      </w:r>
    </w:p>
    <w:p w14:paraId="0564811E"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69. </w:t>
      </w:r>
      <w:r w:rsidRPr="008533B0">
        <w:rPr>
          <w:rFonts w:ascii="Arial" w:hAnsi="Arial" w:cs="Arial"/>
          <w:sz w:val="20"/>
          <w:szCs w:val="20"/>
        </w:rPr>
        <w:tab/>
        <w:t xml:space="preserve">Brima, E. I. (2017). Toxic Elements in Different Medicinal Plants and the Impact on Human Health. </w:t>
      </w:r>
      <w:r w:rsidRPr="008533B0">
        <w:rPr>
          <w:rFonts w:ascii="Arial" w:hAnsi="Arial" w:cs="Arial"/>
          <w:i/>
          <w:iCs/>
          <w:sz w:val="20"/>
          <w:szCs w:val="20"/>
        </w:rPr>
        <w:t>International Journal of Environmental Research and Public Health</w:t>
      </w:r>
      <w:r w:rsidRPr="008533B0">
        <w:rPr>
          <w:rFonts w:ascii="Arial" w:hAnsi="Arial" w:cs="Arial"/>
          <w:sz w:val="20"/>
          <w:szCs w:val="20"/>
        </w:rPr>
        <w:t xml:space="preserve">, </w:t>
      </w:r>
      <w:r w:rsidRPr="008533B0">
        <w:rPr>
          <w:rFonts w:ascii="Arial" w:hAnsi="Arial" w:cs="Arial"/>
          <w:i/>
          <w:iCs/>
          <w:sz w:val="20"/>
          <w:szCs w:val="20"/>
        </w:rPr>
        <w:t>14</w:t>
      </w:r>
      <w:r w:rsidRPr="008533B0">
        <w:rPr>
          <w:rFonts w:ascii="Arial" w:hAnsi="Arial" w:cs="Arial"/>
          <w:sz w:val="20"/>
          <w:szCs w:val="20"/>
        </w:rPr>
        <w:t xml:space="preserve">(10), 1209. </w:t>
      </w:r>
    </w:p>
    <w:p w14:paraId="7BBA1B6F"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https://doi.org/10.3390/ijerph14101209</w:t>
      </w:r>
    </w:p>
    <w:p w14:paraId="2DBB72BA" w14:textId="77777777" w:rsidR="0096432C" w:rsidRPr="008533B0" w:rsidRDefault="0096432C" w:rsidP="008533B0">
      <w:pPr>
        <w:spacing w:line="240" w:lineRule="auto"/>
        <w:ind w:left="567" w:hanging="569"/>
        <w:rPr>
          <w:rFonts w:ascii="Arial" w:hAnsi="Arial" w:cs="Arial"/>
          <w:sz w:val="20"/>
          <w:szCs w:val="20"/>
        </w:rPr>
      </w:pPr>
      <w:r w:rsidRPr="008533B0">
        <w:rPr>
          <w:rFonts w:ascii="Arial" w:hAnsi="Arial" w:cs="Arial"/>
          <w:sz w:val="20"/>
          <w:szCs w:val="20"/>
        </w:rPr>
        <w:t xml:space="preserve">70. </w:t>
      </w:r>
      <w:r w:rsidRPr="008533B0">
        <w:rPr>
          <w:rFonts w:ascii="Arial" w:hAnsi="Arial" w:cs="Arial"/>
          <w:sz w:val="20"/>
          <w:szCs w:val="20"/>
        </w:rPr>
        <w:tab/>
        <w:t xml:space="preserve">Tschinkel, P. F. S., Melo, E. S. P., Pereira, H. S., Silva, K. R. N., Arakaki, D. G., Lima, N. V., Fernandes, M. R., Leite, L. C. S., Melo, E. S. P., Melnikov, P., Espindola, P. R., de Souza, I. D., Nascimento, V. A., Júnior, J. L. R., </w:t>
      </w:r>
      <w:r w:rsidRPr="008533B0">
        <w:rPr>
          <w:rFonts w:ascii="Arial" w:hAnsi="Arial" w:cs="Arial"/>
          <w:sz w:val="20"/>
          <w:szCs w:val="20"/>
          <w:lang w:val="en-US"/>
        </w:rPr>
        <w:t>Geronimo, A. C. R., dos Reis, F. J. M.,</w:t>
      </w:r>
      <w:r w:rsidRPr="008533B0">
        <w:rPr>
          <w:rFonts w:ascii="Arial" w:hAnsi="Arial" w:cs="Arial"/>
          <w:sz w:val="20"/>
          <w:szCs w:val="20"/>
        </w:rPr>
        <w:t xml:space="preserve"> &amp; Nascimento, V. A. (2020). The Hazardous Level of Heavy Metals in Different Medicinal Plants and Their Decoctions in Water: A Public Health Problem in Brazil. </w:t>
      </w:r>
      <w:r w:rsidRPr="008533B0">
        <w:rPr>
          <w:rFonts w:ascii="Arial" w:hAnsi="Arial" w:cs="Arial"/>
          <w:i/>
          <w:iCs/>
          <w:sz w:val="20"/>
          <w:szCs w:val="20"/>
        </w:rPr>
        <w:t>BioMed Research International</w:t>
      </w:r>
      <w:r w:rsidRPr="008533B0">
        <w:rPr>
          <w:rFonts w:ascii="Arial" w:hAnsi="Arial" w:cs="Arial"/>
          <w:sz w:val="20"/>
          <w:szCs w:val="20"/>
        </w:rPr>
        <w:t xml:space="preserve">, </w:t>
      </w:r>
      <w:r w:rsidRPr="008533B0">
        <w:rPr>
          <w:rFonts w:ascii="Arial" w:hAnsi="Arial" w:cs="Arial"/>
          <w:i/>
          <w:iCs/>
          <w:sz w:val="20"/>
          <w:szCs w:val="20"/>
        </w:rPr>
        <w:t>2020</w:t>
      </w:r>
      <w:r w:rsidRPr="008533B0">
        <w:rPr>
          <w:rFonts w:ascii="Arial" w:hAnsi="Arial" w:cs="Arial"/>
          <w:sz w:val="20"/>
          <w:szCs w:val="20"/>
        </w:rPr>
        <w:t xml:space="preserve">(1), 1465051. </w:t>
      </w:r>
    </w:p>
    <w:p w14:paraId="0B2D17B9" w14:textId="77777777" w:rsidR="0096432C" w:rsidRPr="008533B0" w:rsidRDefault="0096432C" w:rsidP="008533B0">
      <w:pPr>
        <w:pStyle w:val="Bibliography"/>
        <w:tabs>
          <w:tab w:val="clear" w:pos="504"/>
        </w:tabs>
        <w:spacing w:line="240" w:lineRule="auto"/>
        <w:ind w:left="567" w:firstLine="0"/>
        <w:rPr>
          <w:rFonts w:ascii="Arial" w:hAnsi="Arial" w:cs="Arial"/>
          <w:sz w:val="20"/>
          <w:szCs w:val="20"/>
        </w:rPr>
      </w:pPr>
      <w:r w:rsidRPr="008533B0">
        <w:rPr>
          <w:rFonts w:ascii="Arial" w:hAnsi="Arial" w:cs="Arial"/>
          <w:sz w:val="20"/>
          <w:szCs w:val="20"/>
        </w:rPr>
        <w:t>https://doi.org/10.1155/2020/1465051</w:t>
      </w:r>
    </w:p>
    <w:p w14:paraId="5BF3D8FD"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71. </w:t>
      </w:r>
      <w:r w:rsidRPr="008533B0">
        <w:rPr>
          <w:rFonts w:ascii="Arial" w:hAnsi="Arial" w:cs="Arial"/>
          <w:sz w:val="20"/>
          <w:szCs w:val="20"/>
        </w:rPr>
        <w:tab/>
        <w:t xml:space="preserve">Tadele, A., Taddese, M., &amp; Jeevanandham, S. (2015). Determination of some toxic heavy metal accumulation in medicinal plants commonly used in Gondar area district, Northwestern Ethiopia. </w:t>
      </w:r>
      <w:r w:rsidRPr="008533B0">
        <w:rPr>
          <w:rFonts w:ascii="Arial" w:hAnsi="Arial" w:cs="Arial"/>
          <w:i/>
          <w:iCs/>
          <w:sz w:val="20"/>
          <w:szCs w:val="20"/>
        </w:rPr>
        <w:t>International Journal of Pharmacy and Analytical Research</w:t>
      </w:r>
      <w:r w:rsidRPr="008533B0">
        <w:rPr>
          <w:rFonts w:ascii="Arial" w:hAnsi="Arial" w:cs="Arial"/>
          <w:sz w:val="20"/>
          <w:szCs w:val="20"/>
        </w:rPr>
        <w:t xml:space="preserve">, </w:t>
      </w:r>
      <w:r w:rsidRPr="008533B0">
        <w:rPr>
          <w:rFonts w:ascii="Arial" w:hAnsi="Arial" w:cs="Arial"/>
          <w:i/>
          <w:iCs/>
          <w:sz w:val="20"/>
          <w:szCs w:val="20"/>
        </w:rPr>
        <w:t>4</w:t>
      </w:r>
      <w:r w:rsidRPr="008533B0">
        <w:rPr>
          <w:rFonts w:ascii="Arial" w:hAnsi="Arial" w:cs="Arial"/>
          <w:sz w:val="20"/>
          <w:szCs w:val="20"/>
        </w:rPr>
        <w:t>(4), 399–405.</w:t>
      </w:r>
    </w:p>
    <w:p w14:paraId="34D8585F" w14:textId="77777777" w:rsidR="0096432C" w:rsidRPr="008533B0" w:rsidRDefault="0096432C" w:rsidP="008533B0">
      <w:pPr>
        <w:spacing w:line="240" w:lineRule="auto"/>
        <w:ind w:left="567" w:hanging="569"/>
        <w:rPr>
          <w:rFonts w:ascii="Arial" w:hAnsi="Arial" w:cs="Arial"/>
          <w:sz w:val="20"/>
          <w:szCs w:val="20"/>
        </w:rPr>
      </w:pPr>
      <w:r w:rsidRPr="008533B0">
        <w:rPr>
          <w:rFonts w:ascii="Arial" w:hAnsi="Arial" w:cs="Arial"/>
          <w:sz w:val="20"/>
          <w:szCs w:val="20"/>
        </w:rPr>
        <w:tab/>
        <w:t>https://doi.org/10.61096/ijpar.v4.iss4.2015.399-405</w:t>
      </w:r>
    </w:p>
    <w:p w14:paraId="6AC31504" w14:textId="121C489B"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lastRenderedPageBreak/>
        <w:t xml:space="preserve">72. </w:t>
      </w:r>
      <w:r w:rsidRPr="008533B0">
        <w:rPr>
          <w:rFonts w:ascii="Arial" w:hAnsi="Arial" w:cs="Arial"/>
          <w:sz w:val="20"/>
          <w:szCs w:val="20"/>
        </w:rPr>
        <w:tab/>
        <w:t xml:space="preserve">Dzomba, P., Chayamiti, T., &amp; Togarepi, E. (2012). Heavy Metal Content of Selected Raw Medicinal Plant Materials: Implication for Patient Health. </w:t>
      </w:r>
      <w:r w:rsidRPr="008533B0">
        <w:rPr>
          <w:rFonts w:ascii="Arial" w:hAnsi="Arial" w:cs="Arial"/>
          <w:i/>
          <w:iCs/>
          <w:sz w:val="20"/>
          <w:szCs w:val="20"/>
        </w:rPr>
        <w:t>Bulletin of Environment, Pharmacology and Life Sciences</w:t>
      </w:r>
      <w:r w:rsidRPr="008533B0">
        <w:rPr>
          <w:rFonts w:ascii="Arial" w:hAnsi="Arial" w:cs="Arial"/>
          <w:sz w:val="20"/>
          <w:szCs w:val="20"/>
        </w:rPr>
        <w:t xml:space="preserve">, </w:t>
      </w:r>
      <w:r w:rsidRPr="008533B0">
        <w:rPr>
          <w:rFonts w:ascii="Arial" w:hAnsi="Arial" w:cs="Arial"/>
          <w:i/>
          <w:iCs/>
          <w:sz w:val="20"/>
          <w:szCs w:val="20"/>
        </w:rPr>
        <w:t>1</w:t>
      </w:r>
      <w:r w:rsidRPr="008533B0">
        <w:rPr>
          <w:rFonts w:ascii="Arial" w:hAnsi="Arial" w:cs="Arial"/>
          <w:sz w:val="20"/>
          <w:szCs w:val="20"/>
        </w:rPr>
        <w:t>(10), 28–33.</w:t>
      </w:r>
    </w:p>
    <w:p w14:paraId="590A38DB" w14:textId="42336EAA" w:rsidR="0096432C" w:rsidRPr="008533B0" w:rsidRDefault="0096432C" w:rsidP="008533B0">
      <w:pPr>
        <w:spacing w:line="240" w:lineRule="auto"/>
        <w:ind w:left="567"/>
        <w:rPr>
          <w:rFonts w:ascii="Arial" w:hAnsi="Arial" w:cs="Arial"/>
          <w:sz w:val="20"/>
          <w:szCs w:val="20"/>
          <w:lang w:val="en-US"/>
        </w:rPr>
      </w:pPr>
      <w:r w:rsidRPr="008533B0">
        <w:rPr>
          <w:rFonts w:ascii="Arial" w:hAnsi="Arial" w:cs="Arial"/>
          <w:sz w:val="20"/>
          <w:szCs w:val="20"/>
          <w:lang w:val="en-US"/>
        </w:rPr>
        <w:t>Available:https://www.academia.edu/2565378/Heavy_Metal_Content_of_Selected_Raw_Medicinal_Plant_Materials_Implication_for_Patient_Health</w:t>
      </w:r>
    </w:p>
    <w:p w14:paraId="783413CE" w14:textId="77777777" w:rsidR="0096432C" w:rsidRPr="008533B0" w:rsidRDefault="0096432C"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 xml:space="preserve">73. </w:t>
      </w:r>
      <w:r w:rsidRPr="008533B0">
        <w:rPr>
          <w:rFonts w:ascii="Arial" w:hAnsi="Arial" w:cs="Arial"/>
          <w:sz w:val="20"/>
          <w:szCs w:val="20"/>
        </w:rPr>
        <w:tab/>
        <w:t xml:space="preserve">Amerley Amarh, F., Selorm Agorku, E., Bright Voegborlo, R., Winfred Ashong, G., Nii Klu Nortey, E., &amp; Jackson Mensah, N. (2023). Heavy Metal Content and Health Risk Assessment of Some Selected Medicinal Plants from Obuasi, a Mining Town in Ghana. </w:t>
      </w:r>
      <w:r w:rsidRPr="008533B0">
        <w:rPr>
          <w:rFonts w:ascii="Arial" w:hAnsi="Arial" w:cs="Arial"/>
          <w:i/>
          <w:iCs/>
          <w:sz w:val="20"/>
          <w:szCs w:val="20"/>
        </w:rPr>
        <w:t>Journal of Chemistry</w:t>
      </w:r>
      <w:r w:rsidRPr="008533B0">
        <w:rPr>
          <w:rFonts w:ascii="Arial" w:hAnsi="Arial" w:cs="Arial"/>
          <w:sz w:val="20"/>
          <w:szCs w:val="20"/>
        </w:rPr>
        <w:t xml:space="preserve">, </w:t>
      </w:r>
      <w:r w:rsidRPr="008533B0">
        <w:rPr>
          <w:rFonts w:ascii="Arial" w:hAnsi="Arial" w:cs="Arial"/>
          <w:i/>
          <w:iCs/>
          <w:sz w:val="20"/>
          <w:szCs w:val="20"/>
        </w:rPr>
        <w:t>2023</w:t>
      </w:r>
      <w:r w:rsidRPr="008533B0">
        <w:rPr>
          <w:rFonts w:ascii="Arial" w:hAnsi="Arial" w:cs="Arial"/>
          <w:sz w:val="20"/>
          <w:szCs w:val="20"/>
        </w:rPr>
        <w:t xml:space="preserve">(1), 9928577. </w:t>
      </w:r>
    </w:p>
    <w:p w14:paraId="00E8B569" w14:textId="621A1EED" w:rsidR="0096432C" w:rsidRPr="008533B0" w:rsidRDefault="004540D4" w:rsidP="008533B0">
      <w:pPr>
        <w:pStyle w:val="Bibliography"/>
        <w:tabs>
          <w:tab w:val="clear" w:pos="504"/>
        </w:tabs>
        <w:spacing w:line="240" w:lineRule="auto"/>
        <w:ind w:left="567" w:hanging="569"/>
        <w:rPr>
          <w:rFonts w:ascii="Arial" w:hAnsi="Arial" w:cs="Arial"/>
          <w:sz w:val="20"/>
          <w:szCs w:val="20"/>
        </w:rPr>
      </w:pPr>
      <w:r w:rsidRPr="008533B0">
        <w:rPr>
          <w:rFonts w:ascii="Arial" w:hAnsi="Arial" w:cs="Arial"/>
          <w:sz w:val="20"/>
          <w:szCs w:val="20"/>
        </w:rPr>
        <w:tab/>
      </w:r>
      <w:r w:rsidR="0096432C" w:rsidRPr="008533B0">
        <w:rPr>
          <w:rFonts w:ascii="Arial" w:hAnsi="Arial" w:cs="Arial"/>
          <w:sz w:val="20"/>
          <w:szCs w:val="20"/>
        </w:rPr>
        <w:t>https://doi.org/10.1155/2023/9928577</w:t>
      </w:r>
    </w:p>
    <w:p w14:paraId="7A841C16" w14:textId="77777777" w:rsidR="0096432C" w:rsidRPr="008533B0" w:rsidRDefault="0096432C" w:rsidP="008533B0">
      <w:pPr>
        <w:spacing w:line="240" w:lineRule="auto"/>
        <w:ind w:left="567" w:hanging="569"/>
        <w:rPr>
          <w:rFonts w:ascii="Arial" w:hAnsi="Arial" w:cs="Arial"/>
          <w:sz w:val="20"/>
          <w:szCs w:val="20"/>
          <w:lang w:val="en-US"/>
        </w:rPr>
      </w:pPr>
      <w:r w:rsidRPr="008533B0">
        <w:rPr>
          <w:rFonts w:ascii="Arial" w:hAnsi="Arial" w:cs="Arial"/>
          <w:sz w:val="20"/>
          <w:szCs w:val="20"/>
          <w:lang w:val="en-US"/>
        </w:rPr>
        <w:fldChar w:fldCharType="end"/>
      </w:r>
    </w:p>
    <w:p w14:paraId="393678DF" w14:textId="77777777" w:rsidR="0096432C" w:rsidRPr="008533B0" w:rsidRDefault="0096432C" w:rsidP="008533B0">
      <w:pPr>
        <w:spacing w:line="240" w:lineRule="auto"/>
        <w:rPr>
          <w:rFonts w:ascii="Arial" w:hAnsi="Arial" w:cs="Arial"/>
          <w:sz w:val="20"/>
          <w:szCs w:val="20"/>
        </w:rPr>
      </w:pPr>
    </w:p>
    <w:p w14:paraId="7A6127EE" w14:textId="133A3FAB" w:rsidR="0026222C" w:rsidRPr="008533B0" w:rsidRDefault="0026222C" w:rsidP="008533B0">
      <w:pPr>
        <w:spacing w:line="240" w:lineRule="auto"/>
        <w:rPr>
          <w:rFonts w:ascii="Arial" w:hAnsi="Arial" w:cs="Arial"/>
          <w:sz w:val="20"/>
          <w:szCs w:val="20"/>
          <w:lang w:val="en-US"/>
        </w:rPr>
      </w:pPr>
    </w:p>
    <w:sectPr w:rsidR="0026222C" w:rsidRPr="008533B0" w:rsidSect="004053DF">
      <w:headerReference w:type="even" r:id="rId7"/>
      <w:headerReference w:type="default" r:id="rId8"/>
      <w:footerReference w:type="even" r:id="rId9"/>
      <w:footerReference w:type="default" r:id="rId10"/>
      <w:headerReference w:type="first" r:id="rId11"/>
      <w:footerReference w:type="first" r:id="rId12"/>
      <w:pgSz w:w="12240" w:h="15840" w:code="1"/>
      <w:pgMar w:top="1440" w:right="118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8885" w14:textId="77777777" w:rsidR="005130AF" w:rsidRDefault="005130AF" w:rsidP="00C278F2">
      <w:pPr>
        <w:spacing w:line="240" w:lineRule="auto"/>
      </w:pPr>
      <w:r>
        <w:separator/>
      </w:r>
    </w:p>
  </w:endnote>
  <w:endnote w:type="continuationSeparator" w:id="0">
    <w:p w14:paraId="30365A12" w14:textId="77777777" w:rsidR="005130AF" w:rsidRDefault="005130AF" w:rsidP="00C27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harisSIL">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5277" w14:textId="77777777" w:rsidR="00185747" w:rsidRDefault="00185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EE4B" w14:textId="77777777" w:rsidR="00185747" w:rsidRDefault="00185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A8EB" w14:textId="77777777" w:rsidR="00185747" w:rsidRDefault="00185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F68A8" w14:textId="77777777" w:rsidR="005130AF" w:rsidRDefault="005130AF" w:rsidP="00C278F2">
      <w:pPr>
        <w:spacing w:line="240" w:lineRule="auto"/>
      </w:pPr>
      <w:r>
        <w:separator/>
      </w:r>
    </w:p>
  </w:footnote>
  <w:footnote w:type="continuationSeparator" w:id="0">
    <w:p w14:paraId="71EBA1BD" w14:textId="77777777" w:rsidR="005130AF" w:rsidRDefault="005130AF" w:rsidP="00C27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E101" w14:textId="685CFDF1" w:rsidR="00185747" w:rsidRDefault="00185747">
    <w:pPr>
      <w:pStyle w:val="Header"/>
    </w:pPr>
    <w:r>
      <w:rPr>
        <w:noProof/>
      </w:rPr>
      <w:pict w14:anchorId="4F78C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24329" o:spid="_x0000_s2050" type="#_x0000_t136" style="position:absolute;left:0;text-align:left;margin-left:0;margin-top:0;width:610.05pt;height:67.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2CAE" w14:textId="3F848676" w:rsidR="00185747" w:rsidRDefault="00185747">
    <w:pPr>
      <w:pStyle w:val="Header"/>
    </w:pPr>
    <w:r>
      <w:rPr>
        <w:noProof/>
      </w:rPr>
      <w:pict w14:anchorId="5C4AE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24330" o:spid="_x0000_s2051" type="#_x0000_t136" style="position:absolute;left:0;text-align:left;margin-left:0;margin-top:0;width:610.05pt;height:67.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97E6" w14:textId="340976DD" w:rsidR="00185747" w:rsidRDefault="00185747">
    <w:pPr>
      <w:pStyle w:val="Header"/>
    </w:pPr>
    <w:r>
      <w:rPr>
        <w:noProof/>
      </w:rPr>
      <w:pict w14:anchorId="11DBB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24328" o:spid="_x0000_s2049" type="#_x0000_t136" style="position:absolute;left:0;text-align:left;margin-left:0;margin-top:0;width:610.05pt;height:67.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1FAC"/>
    <w:multiLevelType w:val="hybridMultilevel"/>
    <w:tmpl w:val="FEA22E84"/>
    <w:lvl w:ilvl="0" w:tplc="CE36720E">
      <w:start w:val="1"/>
      <w:numFmt w:val="decimal"/>
      <w:pStyle w:val="Heading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32828"/>
    <w:multiLevelType w:val="multilevel"/>
    <w:tmpl w:val="78FA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C4F2B"/>
    <w:multiLevelType w:val="multilevel"/>
    <w:tmpl w:val="EDF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12E95"/>
    <w:multiLevelType w:val="hybridMultilevel"/>
    <w:tmpl w:val="A70E31C6"/>
    <w:lvl w:ilvl="0" w:tplc="E07A381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B0CCC"/>
    <w:multiLevelType w:val="multilevel"/>
    <w:tmpl w:val="5E7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B2FBA"/>
    <w:multiLevelType w:val="hybridMultilevel"/>
    <w:tmpl w:val="5A12CE5E"/>
    <w:lvl w:ilvl="0" w:tplc="A49C6ED2">
      <w:start w:val="1"/>
      <w:numFmt w:val="decimal"/>
      <w:pStyle w:val="Heading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F6399"/>
    <w:multiLevelType w:val="multilevel"/>
    <w:tmpl w:val="6B1E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52"/>
    <w:rsid w:val="000033D8"/>
    <w:rsid w:val="000067C2"/>
    <w:rsid w:val="00010E81"/>
    <w:rsid w:val="00012739"/>
    <w:rsid w:val="0001301C"/>
    <w:rsid w:val="00014C5D"/>
    <w:rsid w:val="0001609D"/>
    <w:rsid w:val="00021001"/>
    <w:rsid w:val="0002309A"/>
    <w:rsid w:val="00023D7C"/>
    <w:rsid w:val="00024061"/>
    <w:rsid w:val="0003448F"/>
    <w:rsid w:val="00034BC3"/>
    <w:rsid w:val="00035ABA"/>
    <w:rsid w:val="000363A9"/>
    <w:rsid w:val="00043018"/>
    <w:rsid w:val="0004351F"/>
    <w:rsid w:val="0004450B"/>
    <w:rsid w:val="00046E73"/>
    <w:rsid w:val="0005504E"/>
    <w:rsid w:val="00056706"/>
    <w:rsid w:val="00061693"/>
    <w:rsid w:val="0006466B"/>
    <w:rsid w:val="00065A29"/>
    <w:rsid w:val="0006714D"/>
    <w:rsid w:val="000730B6"/>
    <w:rsid w:val="00073982"/>
    <w:rsid w:val="00073FFA"/>
    <w:rsid w:val="00074DF9"/>
    <w:rsid w:val="00075803"/>
    <w:rsid w:val="00075CAB"/>
    <w:rsid w:val="00075FD0"/>
    <w:rsid w:val="0008474A"/>
    <w:rsid w:val="00085E5D"/>
    <w:rsid w:val="0008742B"/>
    <w:rsid w:val="000909BD"/>
    <w:rsid w:val="00092133"/>
    <w:rsid w:val="0009257F"/>
    <w:rsid w:val="00092D90"/>
    <w:rsid w:val="00093515"/>
    <w:rsid w:val="00097ECF"/>
    <w:rsid w:val="000A3877"/>
    <w:rsid w:val="000A4180"/>
    <w:rsid w:val="000A5DA2"/>
    <w:rsid w:val="000B2BF6"/>
    <w:rsid w:val="000B30C0"/>
    <w:rsid w:val="000B32EC"/>
    <w:rsid w:val="000B4A48"/>
    <w:rsid w:val="000B7196"/>
    <w:rsid w:val="000C32D4"/>
    <w:rsid w:val="000C354C"/>
    <w:rsid w:val="000C3C3F"/>
    <w:rsid w:val="000C4C5E"/>
    <w:rsid w:val="000C7594"/>
    <w:rsid w:val="000D2FA0"/>
    <w:rsid w:val="000D71D8"/>
    <w:rsid w:val="000E0724"/>
    <w:rsid w:val="000E2983"/>
    <w:rsid w:val="000F0EC2"/>
    <w:rsid w:val="000F1D09"/>
    <w:rsid w:val="000F2F8E"/>
    <w:rsid w:val="000F388A"/>
    <w:rsid w:val="000F4266"/>
    <w:rsid w:val="000F42D7"/>
    <w:rsid w:val="000F59C3"/>
    <w:rsid w:val="00101314"/>
    <w:rsid w:val="00103395"/>
    <w:rsid w:val="001045CF"/>
    <w:rsid w:val="00106B16"/>
    <w:rsid w:val="00107F22"/>
    <w:rsid w:val="00110846"/>
    <w:rsid w:val="00115B22"/>
    <w:rsid w:val="00116F29"/>
    <w:rsid w:val="00123B04"/>
    <w:rsid w:val="00123C8B"/>
    <w:rsid w:val="00124D0E"/>
    <w:rsid w:val="00130F59"/>
    <w:rsid w:val="00131108"/>
    <w:rsid w:val="0013207A"/>
    <w:rsid w:val="00134941"/>
    <w:rsid w:val="00137F31"/>
    <w:rsid w:val="00143847"/>
    <w:rsid w:val="001440FC"/>
    <w:rsid w:val="001448DF"/>
    <w:rsid w:val="00154FA3"/>
    <w:rsid w:val="0015684D"/>
    <w:rsid w:val="00156D50"/>
    <w:rsid w:val="00161BC9"/>
    <w:rsid w:val="00162E79"/>
    <w:rsid w:val="00165FD7"/>
    <w:rsid w:val="00166D68"/>
    <w:rsid w:val="00167556"/>
    <w:rsid w:val="001725B0"/>
    <w:rsid w:val="0017460D"/>
    <w:rsid w:val="00174E0A"/>
    <w:rsid w:val="00175BFA"/>
    <w:rsid w:val="0017635E"/>
    <w:rsid w:val="00180ABE"/>
    <w:rsid w:val="00180B81"/>
    <w:rsid w:val="0018283E"/>
    <w:rsid w:val="00182D3D"/>
    <w:rsid w:val="00183256"/>
    <w:rsid w:val="00185747"/>
    <w:rsid w:val="00187EFA"/>
    <w:rsid w:val="00190A66"/>
    <w:rsid w:val="00191D6F"/>
    <w:rsid w:val="00194EA9"/>
    <w:rsid w:val="001965AA"/>
    <w:rsid w:val="0019713F"/>
    <w:rsid w:val="001A2F8F"/>
    <w:rsid w:val="001A5F62"/>
    <w:rsid w:val="001B45C9"/>
    <w:rsid w:val="001B6A87"/>
    <w:rsid w:val="001C02E8"/>
    <w:rsid w:val="001C3437"/>
    <w:rsid w:val="001C79DB"/>
    <w:rsid w:val="001D056B"/>
    <w:rsid w:val="001D098E"/>
    <w:rsid w:val="001D296A"/>
    <w:rsid w:val="001D4264"/>
    <w:rsid w:val="001D7395"/>
    <w:rsid w:val="001D7F16"/>
    <w:rsid w:val="001E1A15"/>
    <w:rsid w:val="001E33D5"/>
    <w:rsid w:val="001F451D"/>
    <w:rsid w:val="001F6CA5"/>
    <w:rsid w:val="00201791"/>
    <w:rsid w:val="002020C2"/>
    <w:rsid w:val="00202CD8"/>
    <w:rsid w:val="00207488"/>
    <w:rsid w:val="0021307C"/>
    <w:rsid w:val="0021354E"/>
    <w:rsid w:val="00214F76"/>
    <w:rsid w:val="00215B35"/>
    <w:rsid w:val="002165EF"/>
    <w:rsid w:val="00216735"/>
    <w:rsid w:val="00216F21"/>
    <w:rsid w:val="00220AF5"/>
    <w:rsid w:val="0022147D"/>
    <w:rsid w:val="00222A3E"/>
    <w:rsid w:val="00223A56"/>
    <w:rsid w:val="00223FE0"/>
    <w:rsid w:val="00233195"/>
    <w:rsid w:val="00233FF7"/>
    <w:rsid w:val="00236756"/>
    <w:rsid w:val="00240517"/>
    <w:rsid w:val="0024241A"/>
    <w:rsid w:val="00245B21"/>
    <w:rsid w:val="00246C7D"/>
    <w:rsid w:val="002474D2"/>
    <w:rsid w:val="00253EBA"/>
    <w:rsid w:val="00256878"/>
    <w:rsid w:val="0026222C"/>
    <w:rsid w:val="002624C3"/>
    <w:rsid w:val="002635B2"/>
    <w:rsid w:val="00264656"/>
    <w:rsid w:val="00267194"/>
    <w:rsid w:val="00270AD1"/>
    <w:rsid w:val="00271350"/>
    <w:rsid w:val="002731DC"/>
    <w:rsid w:val="002737FE"/>
    <w:rsid w:val="00274E87"/>
    <w:rsid w:val="00280F7C"/>
    <w:rsid w:val="002874C2"/>
    <w:rsid w:val="00287EB1"/>
    <w:rsid w:val="00291468"/>
    <w:rsid w:val="0029332A"/>
    <w:rsid w:val="00294F01"/>
    <w:rsid w:val="002A04F8"/>
    <w:rsid w:val="002A28B7"/>
    <w:rsid w:val="002A2F78"/>
    <w:rsid w:val="002A3FBF"/>
    <w:rsid w:val="002B483C"/>
    <w:rsid w:val="002B6D58"/>
    <w:rsid w:val="002C1615"/>
    <w:rsid w:val="002C211B"/>
    <w:rsid w:val="002C36CD"/>
    <w:rsid w:val="002C6135"/>
    <w:rsid w:val="002C7771"/>
    <w:rsid w:val="002D0E26"/>
    <w:rsid w:val="002D20AF"/>
    <w:rsid w:val="002D32F8"/>
    <w:rsid w:val="002D4CDB"/>
    <w:rsid w:val="002E3981"/>
    <w:rsid w:val="002E4AAC"/>
    <w:rsid w:val="002E4B2F"/>
    <w:rsid w:val="002E6A27"/>
    <w:rsid w:val="002F3D8A"/>
    <w:rsid w:val="002F3E42"/>
    <w:rsid w:val="002F484E"/>
    <w:rsid w:val="002F7C40"/>
    <w:rsid w:val="00301B4E"/>
    <w:rsid w:val="003025A6"/>
    <w:rsid w:val="00303CBF"/>
    <w:rsid w:val="003135E1"/>
    <w:rsid w:val="003139E4"/>
    <w:rsid w:val="003250E3"/>
    <w:rsid w:val="00326AB8"/>
    <w:rsid w:val="0032739D"/>
    <w:rsid w:val="0033376C"/>
    <w:rsid w:val="0033377C"/>
    <w:rsid w:val="00333AD7"/>
    <w:rsid w:val="003506CD"/>
    <w:rsid w:val="003650AB"/>
    <w:rsid w:val="00380FF6"/>
    <w:rsid w:val="00382FC7"/>
    <w:rsid w:val="00383818"/>
    <w:rsid w:val="00385980"/>
    <w:rsid w:val="00390DBD"/>
    <w:rsid w:val="0039438C"/>
    <w:rsid w:val="003946F7"/>
    <w:rsid w:val="0039567B"/>
    <w:rsid w:val="003A1141"/>
    <w:rsid w:val="003A28D2"/>
    <w:rsid w:val="003B1144"/>
    <w:rsid w:val="003B251E"/>
    <w:rsid w:val="003B397A"/>
    <w:rsid w:val="003B6252"/>
    <w:rsid w:val="003B6921"/>
    <w:rsid w:val="003B6DF7"/>
    <w:rsid w:val="003B6F12"/>
    <w:rsid w:val="003C0DF6"/>
    <w:rsid w:val="003C3FDF"/>
    <w:rsid w:val="003C6734"/>
    <w:rsid w:val="003C6D4B"/>
    <w:rsid w:val="003D3D4A"/>
    <w:rsid w:val="003D4431"/>
    <w:rsid w:val="003D622C"/>
    <w:rsid w:val="003E1F14"/>
    <w:rsid w:val="003E2A60"/>
    <w:rsid w:val="003E3588"/>
    <w:rsid w:val="003E436A"/>
    <w:rsid w:val="003E5D66"/>
    <w:rsid w:val="003E678B"/>
    <w:rsid w:val="003E69D0"/>
    <w:rsid w:val="003F2CF9"/>
    <w:rsid w:val="003F6D1C"/>
    <w:rsid w:val="0040333F"/>
    <w:rsid w:val="00404B0D"/>
    <w:rsid w:val="004053DF"/>
    <w:rsid w:val="00410790"/>
    <w:rsid w:val="00414A8F"/>
    <w:rsid w:val="004253D3"/>
    <w:rsid w:val="004256BB"/>
    <w:rsid w:val="004303AC"/>
    <w:rsid w:val="0043247D"/>
    <w:rsid w:val="00433729"/>
    <w:rsid w:val="0043479C"/>
    <w:rsid w:val="00442389"/>
    <w:rsid w:val="00444C95"/>
    <w:rsid w:val="004469E6"/>
    <w:rsid w:val="00447A93"/>
    <w:rsid w:val="00450B05"/>
    <w:rsid w:val="00452D90"/>
    <w:rsid w:val="00453383"/>
    <w:rsid w:val="004540D4"/>
    <w:rsid w:val="004558CD"/>
    <w:rsid w:val="0045676B"/>
    <w:rsid w:val="00457806"/>
    <w:rsid w:val="00460F40"/>
    <w:rsid w:val="0046525F"/>
    <w:rsid w:val="00466044"/>
    <w:rsid w:val="004663FC"/>
    <w:rsid w:val="00473FF1"/>
    <w:rsid w:val="00476B96"/>
    <w:rsid w:val="00477BFB"/>
    <w:rsid w:val="00481E32"/>
    <w:rsid w:val="00485EB7"/>
    <w:rsid w:val="004861EE"/>
    <w:rsid w:val="00490DE7"/>
    <w:rsid w:val="00492F0E"/>
    <w:rsid w:val="00493FD0"/>
    <w:rsid w:val="00494E32"/>
    <w:rsid w:val="00497A17"/>
    <w:rsid w:val="004A44F4"/>
    <w:rsid w:val="004B0F7D"/>
    <w:rsid w:val="004B2A6F"/>
    <w:rsid w:val="004B3198"/>
    <w:rsid w:val="004B48B0"/>
    <w:rsid w:val="004B6D43"/>
    <w:rsid w:val="004C0434"/>
    <w:rsid w:val="004C13F6"/>
    <w:rsid w:val="004C1F02"/>
    <w:rsid w:val="004C6F21"/>
    <w:rsid w:val="004D01CB"/>
    <w:rsid w:val="004D080C"/>
    <w:rsid w:val="004D1110"/>
    <w:rsid w:val="004E5C7F"/>
    <w:rsid w:val="004E6FF2"/>
    <w:rsid w:val="004F1DDF"/>
    <w:rsid w:val="004F2C05"/>
    <w:rsid w:val="004F3D31"/>
    <w:rsid w:val="004F5241"/>
    <w:rsid w:val="004F5D0D"/>
    <w:rsid w:val="004F5D89"/>
    <w:rsid w:val="0050191B"/>
    <w:rsid w:val="00504E70"/>
    <w:rsid w:val="005052F5"/>
    <w:rsid w:val="005054D7"/>
    <w:rsid w:val="0050563C"/>
    <w:rsid w:val="005130AF"/>
    <w:rsid w:val="00516304"/>
    <w:rsid w:val="0051698E"/>
    <w:rsid w:val="00517EDB"/>
    <w:rsid w:val="00520D6B"/>
    <w:rsid w:val="005212C4"/>
    <w:rsid w:val="00522F6E"/>
    <w:rsid w:val="00524880"/>
    <w:rsid w:val="00525426"/>
    <w:rsid w:val="005307C1"/>
    <w:rsid w:val="005329F3"/>
    <w:rsid w:val="005348DB"/>
    <w:rsid w:val="005369A6"/>
    <w:rsid w:val="00540BDA"/>
    <w:rsid w:val="005443CD"/>
    <w:rsid w:val="00544E5A"/>
    <w:rsid w:val="005456EC"/>
    <w:rsid w:val="0055182A"/>
    <w:rsid w:val="00552581"/>
    <w:rsid w:val="0055537F"/>
    <w:rsid w:val="005608DC"/>
    <w:rsid w:val="00561C9E"/>
    <w:rsid w:val="005620CE"/>
    <w:rsid w:val="005706ED"/>
    <w:rsid w:val="00571B01"/>
    <w:rsid w:val="005852E9"/>
    <w:rsid w:val="005857F6"/>
    <w:rsid w:val="005866CB"/>
    <w:rsid w:val="00586ADE"/>
    <w:rsid w:val="0059089D"/>
    <w:rsid w:val="00590A84"/>
    <w:rsid w:val="005915DF"/>
    <w:rsid w:val="0059222D"/>
    <w:rsid w:val="005946E4"/>
    <w:rsid w:val="00596C34"/>
    <w:rsid w:val="00597B68"/>
    <w:rsid w:val="005A412C"/>
    <w:rsid w:val="005A6179"/>
    <w:rsid w:val="005A63DD"/>
    <w:rsid w:val="005A6567"/>
    <w:rsid w:val="005A78D0"/>
    <w:rsid w:val="005B1CBC"/>
    <w:rsid w:val="005B5A8E"/>
    <w:rsid w:val="005B7853"/>
    <w:rsid w:val="005C08FA"/>
    <w:rsid w:val="005C22ED"/>
    <w:rsid w:val="005C596E"/>
    <w:rsid w:val="005C6D57"/>
    <w:rsid w:val="005D150D"/>
    <w:rsid w:val="005D18CB"/>
    <w:rsid w:val="005D1ADE"/>
    <w:rsid w:val="005E3281"/>
    <w:rsid w:val="005E37CE"/>
    <w:rsid w:val="005E416F"/>
    <w:rsid w:val="005E5A2F"/>
    <w:rsid w:val="005E6300"/>
    <w:rsid w:val="005F38C4"/>
    <w:rsid w:val="005F52BD"/>
    <w:rsid w:val="005F563D"/>
    <w:rsid w:val="005F676C"/>
    <w:rsid w:val="006030A5"/>
    <w:rsid w:val="0060630A"/>
    <w:rsid w:val="006064B3"/>
    <w:rsid w:val="00610961"/>
    <w:rsid w:val="00613EC4"/>
    <w:rsid w:val="00621E9F"/>
    <w:rsid w:val="006222A2"/>
    <w:rsid w:val="006235F4"/>
    <w:rsid w:val="00626E22"/>
    <w:rsid w:val="006277D6"/>
    <w:rsid w:val="00634A97"/>
    <w:rsid w:val="00635C53"/>
    <w:rsid w:val="00640716"/>
    <w:rsid w:val="006407D4"/>
    <w:rsid w:val="006424D1"/>
    <w:rsid w:val="00643297"/>
    <w:rsid w:val="006523F8"/>
    <w:rsid w:val="006615E0"/>
    <w:rsid w:val="00662C79"/>
    <w:rsid w:val="00665CD9"/>
    <w:rsid w:val="006676F5"/>
    <w:rsid w:val="00672B29"/>
    <w:rsid w:val="00673AF0"/>
    <w:rsid w:val="006749FB"/>
    <w:rsid w:val="0068046C"/>
    <w:rsid w:val="00681381"/>
    <w:rsid w:val="00684896"/>
    <w:rsid w:val="006848F7"/>
    <w:rsid w:val="0068593C"/>
    <w:rsid w:val="00690729"/>
    <w:rsid w:val="00694408"/>
    <w:rsid w:val="00696B77"/>
    <w:rsid w:val="006A484E"/>
    <w:rsid w:val="006B1EBB"/>
    <w:rsid w:val="006B363A"/>
    <w:rsid w:val="006B7EA8"/>
    <w:rsid w:val="006C2BE0"/>
    <w:rsid w:val="006D1308"/>
    <w:rsid w:val="006D1634"/>
    <w:rsid w:val="006D18C5"/>
    <w:rsid w:val="006D2F0F"/>
    <w:rsid w:val="006D4537"/>
    <w:rsid w:val="006D61F3"/>
    <w:rsid w:val="006D6CD3"/>
    <w:rsid w:val="006E580C"/>
    <w:rsid w:val="006E5A9E"/>
    <w:rsid w:val="006F0E49"/>
    <w:rsid w:val="006F11D0"/>
    <w:rsid w:val="006F6CBF"/>
    <w:rsid w:val="00703870"/>
    <w:rsid w:val="007042F1"/>
    <w:rsid w:val="00707622"/>
    <w:rsid w:val="007112BC"/>
    <w:rsid w:val="00713A6A"/>
    <w:rsid w:val="00714B4A"/>
    <w:rsid w:val="00717878"/>
    <w:rsid w:val="00720B2A"/>
    <w:rsid w:val="00721CA6"/>
    <w:rsid w:val="00724153"/>
    <w:rsid w:val="007248BF"/>
    <w:rsid w:val="00726055"/>
    <w:rsid w:val="007309F7"/>
    <w:rsid w:val="007315C9"/>
    <w:rsid w:val="007325D7"/>
    <w:rsid w:val="007453EC"/>
    <w:rsid w:val="0074593E"/>
    <w:rsid w:val="0074670B"/>
    <w:rsid w:val="00746ABD"/>
    <w:rsid w:val="0075243A"/>
    <w:rsid w:val="00753D3A"/>
    <w:rsid w:val="0075667D"/>
    <w:rsid w:val="00757C94"/>
    <w:rsid w:val="00760696"/>
    <w:rsid w:val="00760B8B"/>
    <w:rsid w:val="0076306F"/>
    <w:rsid w:val="0076404F"/>
    <w:rsid w:val="00766BFE"/>
    <w:rsid w:val="00770A96"/>
    <w:rsid w:val="00775938"/>
    <w:rsid w:val="0077756E"/>
    <w:rsid w:val="007830E5"/>
    <w:rsid w:val="007834F0"/>
    <w:rsid w:val="007834FF"/>
    <w:rsid w:val="00785499"/>
    <w:rsid w:val="0079060C"/>
    <w:rsid w:val="00790D9B"/>
    <w:rsid w:val="00791F70"/>
    <w:rsid w:val="00793BA0"/>
    <w:rsid w:val="00795331"/>
    <w:rsid w:val="00795D6C"/>
    <w:rsid w:val="007A1BFF"/>
    <w:rsid w:val="007A1D33"/>
    <w:rsid w:val="007A1DE2"/>
    <w:rsid w:val="007A3230"/>
    <w:rsid w:val="007A37C3"/>
    <w:rsid w:val="007A44F5"/>
    <w:rsid w:val="007B232C"/>
    <w:rsid w:val="007B6097"/>
    <w:rsid w:val="007C0E1A"/>
    <w:rsid w:val="007C270F"/>
    <w:rsid w:val="007C2CDA"/>
    <w:rsid w:val="007C5095"/>
    <w:rsid w:val="007C5493"/>
    <w:rsid w:val="007C775E"/>
    <w:rsid w:val="007D07BB"/>
    <w:rsid w:val="007D4C15"/>
    <w:rsid w:val="007D5C8F"/>
    <w:rsid w:val="007D6440"/>
    <w:rsid w:val="007D6BDF"/>
    <w:rsid w:val="007E1332"/>
    <w:rsid w:val="00801533"/>
    <w:rsid w:val="00802CCB"/>
    <w:rsid w:val="008035F7"/>
    <w:rsid w:val="008069C5"/>
    <w:rsid w:val="008204E5"/>
    <w:rsid w:val="00820504"/>
    <w:rsid w:val="008251F2"/>
    <w:rsid w:val="0082731A"/>
    <w:rsid w:val="00837EE7"/>
    <w:rsid w:val="0084016E"/>
    <w:rsid w:val="00841655"/>
    <w:rsid w:val="00842082"/>
    <w:rsid w:val="00844C2C"/>
    <w:rsid w:val="00850118"/>
    <w:rsid w:val="008533B0"/>
    <w:rsid w:val="00855CA8"/>
    <w:rsid w:val="00857B49"/>
    <w:rsid w:val="00857BEB"/>
    <w:rsid w:val="00860FAB"/>
    <w:rsid w:val="00862698"/>
    <w:rsid w:val="00863A2A"/>
    <w:rsid w:val="00865C85"/>
    <w:rsid w:val="0086681C"/>
    <w:rsid w:val="00866C9C"/>
    <w:rsid w:val="00871AB0"/>
    <w:rsid w:val="00876C32"/>
    <w:rsid w:val="008840FD"/>
    <w:rsid w:val="00886AA2"/>
    <w:rsid w:val="00892D14"/>
    <w:rsid w:val="0089324A"/>
    <w:rsid w:val="0089583A"/>
    <w:rsid w:val="008A1E2A"/>
    <w:rsid w:val="008A2C34"/>
    <w:rsid w:val="008A5362"/>
    <w:rsid w:val="008A625D"/>
    <w:rsid w:val="008A75DF"/>
    <w:rsid w:val="008B2ECF"/>
    <w:rsid w:val="008B4A3E"/>
    <w:rsid w:val="008C2BA9"/>
    <w:rsid w:val="008C3C0E"/>
    <w:rsid w:val="008C47B7"/>
    <w:rsid w:val="008D1BBC"/>
    <w:rsid w:val="008D5510"/>
    <w:rsid w:val="008D783A"/>
    <w:rsid w:val="008E075E"/>
    <w:rsid w:val="008E40FC"/>
    <w:rsid w:val="008E68AC"/>
    <w:rsid w:val="008F2849"/>
    <w:rsid w:val="008F35B8"/>
    <w:rsid w:val="008F5E04"/>
    <w:rsid w:val="008F657E"/>
    <w:rsid w:val="008F79D0"/>
    <w:rsid w:val="00900CA6"/>
    <w:rsid w:val="009018B6"/>
    <w:rsid w:val="00901995"/>
    <w:rsid w:val="00907231"/>
    <w:rsid w:val="00911665"/>
    <w:rsid w:val="00914813"/>
    <w:rsid w:val="00916358"/>
    <w:rsid w:val="00921620"/>
    <w:rsid w:val="00925FBB"/>
    <w:rsid w:val="009336FA"/>
    <w:rsid w:val="00935604"/>
    <w:rsid w:val="009359D5"/>
    <w:rsid w:val="00940D48"/>
    <w:rsid w:val="00946FA0"/>
    <w:rsid w:val="0095080D"/>
    <w:rsid w:val="00950FFA"/>
    <w:rsid w:val="00954615"/>
    <w:rsid w:val="009566CF"/>
    <w:rsid w:val="00963E80"/>
    <w:rsid w:val="00964140"/>
    <w:rsid w:val="0096432C"/>
    <w:rsid w:val="00966034"/>
    <w:rsid w:val="009674C6"/>
    <w:rsid w:val="00972F2E"/>
    <w:rsid w:val="00975791"/>
    <w:rsid w:val="0097632B"/>
    <w:rsid w:val="00977FF6"/>
    <w:rsid w:val="00982039"/>
    <w:rsid w:val="00985215"/>
    <w:rsid w:val="00987F8F"/>
    <w:rsid w:val="00992079"/>
    <w:rsid w:val="009929BC"/>
    <w:rsid w:val="009934C2"/>
    <w:rsid w:val="00993D75"/>
    <w:rsid w:val="009943B8"/>
    <w:rsid w:val="009970EF"/>
    <w:rsid w:val="00997D46"/>
    <w:rsid w:val="009A29D8"/>
    <w:rsid w:val="009A4BA1"/>
    <w:rsid w:val="009A4FE0"/>
    <w:rsid w:val="009B1DF4"/>
    <w:rsid w:val="009B37A2"/>
    <w:rsid w:val="009B3BAD"/>
    <w:rsid w:val="009B7FC0"/>
    <w:rsid w:val="009C0F1F"/>
    <w:rsid w:val="009C6FBB"/>
    <w:rsid w:val="009D023C"/>
    <w:rsid w:val="009D0EDE"/>
    <w:rsid w:val="009D12E3"/>
    <w:rsid w:val="009D1AE6"/>
    <w:rsid w:val="009D3BD0"/>
    <w:rsid w:val="009D4793"/>
    <w:rsid w:val="009D4D47"/>
    <w:rsid w:val="009D5CC3"/>
    <w:rsid w:val="009D6FAF"/>
    <w:rsid w:val="009E070F"/>
    <w:rsid w:val="009E3DCA"/>
    <w:rsid w:val="009F1B48"/>
    <w:rsid w:val="009F1F2A"/>
    <w:rsid w:val="009F285E"/>
    <w:rsid w:val="009F4B55"/>
    <w:rsid w:val="009F6050"/>
    <w:rsid w:val="009F7A00"/>
    <w:rsid w:val="00A02780"/>
    <w:rsid w:val="00A03077"/>
    <w:rsid w:val="00A059F2"/>
    <w:rsid w:val="00A06C60"/>
    <w:rsid w:val="00A10061"/>
    <w:rsid w:val="00A10E17"/>
    <w:rsid w:val="00A13828"/>
    <w:rsid w:val="00A17EAA"/>
    <w:rsid w:val="00A21C72"/>
    <w:rsid w:val="00A259FB"/>
    <w:rsid w:val="00A27A9F"/>
    <w:rsid w:val="00A3010E"/>
    <w:rsid w:val="00A32AA0"/>
    <w:rsid w:val="00A33146"/>
    <w:rsid w:val="00A44214"/>
    <w:rsid w:val="00A472E6"/>
    <w:rsid w:val="00A501C0"/>
    <w:rsid w:val="00A53ECC"/>
    <w:rsid w:val="00A548D2"/>
    <w:rsid w:val="00A60E5C"/>
    <w:rsid w:val="00A61786"/>
    <w:rsid w:val="00A67FEF"/>
    <w:rsid w:val="00A70B87"/>
    <w:rsid w:val="00A70BE0"/>
    <w:rsid w:val="00A70EAA"/>
    <w:rsid w:val="00A84867"/>
    <w:rsid w:val="00A84D47"/>
    <w:rsid w:val="00A91572"/>
    <w:rsid w:val="00A91A77"/>
    <w:rsid w:val="00A91E2E"/>
    <w:rsid w:val="00A92765"/>
    <w:rsid w:val="00A96AC6"/>
    <w:rsid w:val="00A97216"/>
    <w:rsid w:val="00A976D2"/>
    <w:rsid w:val="00AA7456"/>
    <w:rsid w:val="00AA7EBE"/>
    <w:rsid w:val="00AB06E2"/>
    <w:rsid w:val="00AB4192"/>
    <w:rsid w:val="00AB50AC"/>
    <w:rsid w:val="00AC4597"/>
    <w:rsid w:val="00AC57B9"/>
    <w:rsid w:val="00AC763C"/>
    <w:rsid w:val="00AD1E99"/>
    <w:rsid w:val="00AD307A"/>
    <w:rsid w:val="00AD4D0A"/>
    <w:rsid w:val="00AE0C95"/>
    <w:rsid w:val="00AE1CEE"/>
    <w:rsid w:val="00AF2A79"/>
    <w:rsid w:val="00AF512B"/>
    <w:rsid w:val="00AF5C1B"/>
    <w:rsid w:val="00AF6DFE"/>
    <w:rsid w:val="00AF7C97"/>
    <w:rsid w:val="00B004AA"/>
    <w:rsid w:val="00B0305B"/>
    <w:rsid w:val="00B032F3"/>
    <w:rsid w:val="00B03FD2"/>
    <w:rsid w:val="00B068FD"/>
    <w:rsid w:val="00B07521"/>
    <w:rsid w:val="00B13B59"/>
    <w:rsid w:val="00B14148"/>
    <w:rsid w:val="00B2073E"/>
    <w:rsid w:val="00B22223"/>
    <w:rsid w:val="00B278D2"/>
    <w:rsid w:val="00B27A83"/>
    <w:rsid w:val="00B3236D"/>
    <w:rsid w:val="00B323EF"/>
    <w:rsid w:val="00B3533A"/>
    <w:rsid w:val="00B359CA"/>
    <w:rsid w:val="00B37058"/>
    <w:rsid w:val="00B37517"/>
    <w:rsid w:val="00B40132"/>
    <w:rsid w:val="00B45CF9"/>
    <w:rsid w:val="00B5185C"/>
    <w:rsid w:val="00B578A3"/>
    <w:rsid w:val="00B608A7"/>
    <w:rsid w:val="00B61344"/>
    <w:rsid w:val="00B63805"/>
    <w:rsid w:val="00B66343"/>
    <w:rsid w:val="00B66510"/>
    <w:rsid w:val="00B674B4"/>
    <w:rsid w:val="00B677C4"/>
    <w:rsid w:val="00B70781"/>
    <w:rsid w:val="00B72B88"/>
    <w:rsid w:val="00B72DBE"/>
    <w:rsid w:val="00B84235"/>
    <w:rsid w:val="00B8693D"/>
    <w:rsid w:val="00B90A5D"/>
    <w:rsid w:val="00B92FC9"/>
    <w:rsid w:val="00BA11FE"/>
    <w:rsid w:val="00BA1CB7"/>
    <w:rsid w:val="00BA344D"/>
    <w:rsid w:val="00BA429F"/>
    <w:rsid w:val="00BA5163"/>
    <w:rsid w:val="00BA646B"/>
    <w:rsid w:val="00BA7890"/>
    <w:rsid w:val="00BB3B06"/>
    <w:rsid w:val="00BB6A08"/>
    <w:rsid w:val="00BB6DB5"/>
    <w:rsid w:val="00BB6F1A"/>
    <w:rsid w:val="00BB7B16"/>
    <w:rsid w:val="00BC3A39"/>
    <w:rsid w:val="00BC4660"/>
    <w:rsid w:val="00BC501C"/>
    <w:rsid w:val="00BC74B7"/>
    <w:rsid w:val="00BD2683"/>
    <w:rsid w:val="00BD382F"/>
    <w:rsid w:val="00BD7921"/>
    <w:rsid w:val="00BE1449"/>
    <w:rsid w:val="00BE36F9"/>
    <w:rsid w:val="00BE3C39"/>
    <w:rsid w:val="00BE3EA0"/>
    <w:rsid w:val="00BE40CB"/>
    <w:rsid w:val="00BE7750"/>
    <w:rsid w:val="00BF1635"/>
    <w:rsid w:val="00BF67C9"/>
    <w:rsid w:val="00C02919"/>
    <w:rsid w:val="00C05208"/>
    <w:rsid w:val="00C06CF5"/>
    <w:rsid w:val="00C12287"/>
    <w:rsid w:val="00C12794"/>
    <w:rsid w:val="00C12A1F"/>
    <w:rsid w:val="00C145FE"/>
    <w:rsid w:val="00C15D46"/>
    <w:rsid w:val="00C179D8"/>
    <w:rsid w:val="00C21CF0"/>
    <w:rsid w:val="00C24010"/>
    <w:rsid w:val="00C263FD"/>
    <w:rsid w:val="00C26A07"/>
    <w:rsid w:val="00C278F2"/>
    <w:rsid w:val="00C31360"/>
    <w:rsid w:val="00C3198F"/>
    <w:rsid w:val="00C32E18"/>
    <w:rsid w:val="00C34F25"/>
    <w:rsid w:val="00C403BE"/>
    <w:rsid w:val="00C430B1"/>
    <w:rsid w:val="00C436BE"/>
    <w:rsid w:val="00C4758C"/>
    <w:rsid w:val="00C50CB9"/>
    <w:rsid w:val="00C51FF9"/>
    <w:rsid w:val="00C520CC"/>
    <w:rsid w:val="00C60164"/>
    <w:rsid w:val="00C61EC3"/>
    <w:rsid w:val="00C66B70"/>
    <w:rsid w:val="00C66BFE"/>
    <w:rsid w:val="00C7431E"/>
    <w:rsid w:val="00C83C8B"/>
    <w:rsid w:val="00C856E8"/>
    <w:rsid w:val="00C904A5"/>
    <w:rsid w:val="00C941FC"/>
    <w:rsid w:val="00C9449B"/>
    <w:rsid w:val="00C96F8B"/>
    <w:rsid w:val="00C97BFC"/>
    <w:rsid w:val="00CA0108"/>
    <w:rsid w:val="00CA1A06"/>
    <w:rsid w:val="00CA4701"/>
    <w:rsid w:val="00CA74D3"/>
    <w:rsid w:val="00CB0267"/>
    <w:rsid w:val="00CB1542"/>
    <w:rsid w:val="00CB5B27"/>
    <w:rsid w:val="00CB7AB3"/>
    <w:rsid w:val="00CC1DEF"/>
    <w:rsid w:val="00CC26BC"/>
    <w:rsid w:val="00CC52F3"/>
    <w:rsid w:val="00CD670B"/>
    <w:rsid w:val="00CE7A8D"/>
    <w:rsid w:val="00CF57BA"/>
    <w:rsid w:val="00D00D79"/>
    <w:rsid w:val="00D01913"/>
    <w:rsid w:val="00D025E9"/>
    <w:rsid w:val="00D02B5E"/>
    <w:rsid w:val="00D0433C"/>
    <w:rsid w:val="00D0459E"/>
    <w:rsid w:val="00D05E3E"/>
    <w:rsid w:val="00D069A9"/>
    <w:rsid w:val="00D101BC"/>
    <w:rsid w:val="00D11B33"/>
    <w:rsid w:val="00D146BF"/>
    <w:rsid w:val="00D15149"/>
    <w:rsid w:val="00D17215"/>
    <w:rsid w:val="00D21DE8"/>
    <w:rsid w:val="00D224F2"/>
    <w:rsid w:val="00D23F26"/>
    <w:rsid w:val="00D24D7F"/>
    <w:rsid w:val="00D26842"/>
    <w:rsid w:val="00D26ED5"/>
    <w:rsid w:val="00D26F18"/>
    <w:rsid w:val="00D31F81"/>
    <w:rsid w:val="00D32500"/>
    <w:rsid w:val="00D333F9"/>
    <w:rsid w:val="00D3633E"/>
    <w:rsid w:val="00D36EDD"/>
    <w:rsid w:val="00D36FBA"/>
    <w:rsid w:val="00D3739A"/>
    <w:rsid w:val="00D40993"/>
    <w:rsid w:val="00D416EC"/>
    <w:rsid w:val="00D47A0E"/>
    <w:rsid w:val="00D617AC"/>
    <w:rsid w:val="00D64D64"/>
    <w:rsid w:val="00D64DAA"/>
    <w:rsid w:val="00D65851"/>
    <w:rsid w:val="00D666DC"/>
    <w:rsid w:val="00D6775A"/>
    <w:rsid w:val="00D755C9"/>
    <w:rsid w:val="00D777CF"/>
    <w:rsid w:val="00D7787B"/>
    <w:rsid w:val="00D80F62"/>
    <w:rsid w:val="00D81359"/>
    <w:rsid w:val="00D847AB"/>
    <w:rsid w:val="00D8623F"/>
    <w:rsid w:val="00D86B64"/>
    <w:rsid w:val="00D96DF0"/>
    <w:rsid w:val="00DA2A29"/>
    <w:rsid w:val="00DA3335"/>
    <w:rsid w:val="00DA4FB1"/>
    <w:rsid w:val="00DA6CBF"/>
    <w:rsid w:val="00DB0BC0"/>
    <w:rsid w:val="00DB448A"/>
    <w:rsid w:val="00DB74A3"/>
    <w:rsid w:val="00DB7892"/>
    <w:rsid w:val="00DC0D3D"/>
    <w:rsid w:val="00DC0F5A"/>
    <w:rsid w:val="00DD07A0"/>
    <w:rsid w:val="00DD4AB7"/>
    <w:rsid w:val="00DD7652"/>
    <w:rsid w:val="00DE0F58"/>
    <w:rsid w:val="00DE5D2B"/>
    <w:rsid w:val="00DE73D6"/>
    <w:rsid w:val="00DF34B1"/>
    <w:rsid w:val="00DF57DB"/>
    <w:rsid w:val="00DF6160"/>
    <w:rsid w:val="00E02905"/>
    <w:rsid w:val="00E02984"/>
    <w:rsid w:val="00E04178"/>
    <w:rsid w:val="00E07E48"/>
    <w:rsid w:val="00E10A24"/>
    <w:rsid w:val="00E11253"/>
    <w:rsid w:val="00E11F89"/>
    <w:rsid w:val="00E13A6A"/>
    <w:rsid w:val="00E15F48"/>
    <w:rsid w:val="00E17A6C"/>
    <w:rsid w:val="00E20D15"/>
    <w:rsid w:val="00E20DFF"/>
    <w:rsid w:val="00E2100B"/>
    <w:rsid w:val="00E22C10"/>
    <w:rsid w:val="00E2456F"/>
    <w:rsid w:val="00E27FBE"/>
    <w:rsid w:val="00E3106E"/>
    <w:rsid w:val="00E3189B"/>
    <w:rsid w:val="00E3318A"/>
    <w:rsid w:val="00E34081"/>
    <w:rsid w:val="00E35C4F"/>
    <w:rsid w:val="00E37E3D"/>
    <w:rsid w:val="00E41617"/>
    <w:rsid w:val="00E41BA1"/>
    <w:rsid w:val="00E525CC"/>
    <w:rsid w:val="00E56670"/>
    <w:rsid w:val="00E62896"/>
    <w:rsid w:val="00E74DA6"/>
    <w:rsid w:val="00E75A0B"/>
    <w:rsid w:val="00E766B7"/>
    <w:rsid w:val="00E80EC6"/>
    <w:rsid w:val="00E81715"/>
    <w:rsid w:val="00E839E6"/>
    <w:rsid w:val="00E83CAA"/>
    <w:rsid w:val="00E857AB"/>
    <w:rsid w:val="00E85C0B"/>
    <w:rsid w:val="00E8628B"/>
    <w:rsid w:val="00E91BC5"/>
    <w:rsid w:val="00E92101"/>
    <w:rsid w:val="00E93BA0"/>
    <w:rsid w:val="00E944A7"/>
    <w:rsid w:val="00EA03B7"/>
    <w:rsid w:val="00EA17D4"/>
    <w:rsid w:val="00EA1D28"/>
    <w:rsid w:val="00EA3DD8"/>
    <w:rsid w:val="00EA648F"/>
    <w:rsid w:val="00EB1EF5"/>
    <w:rsid w:val="00EB24BE"/>
    <w:rsid w:val="00EB2FCD"/>
    <w:rsid w:val="00EB5157"/>
    <w:rsid w:val="00EB64EE"/>
    <w:rsid w:val="00EC0FF3"/>
    <w:rsid w:val="00EC48C0"/>
    <w:rsid w:val="00EC6487"/>
    <w:rsid w:val="00EC6752"/>
    <w:rsid w:val="00ED03EB"/>
    <w:rsid w:val="00ED2A09"/>
    <w:rsid w:val="00ED36D2"/>
    <w:rsid w:val="00ED6E89"/>
    <w:rsid w:val="00EE2BAC"/>
    <w:rsid w:val="00EE34B8"/>
    <w:rsid w:val="00EE410C"/>
    <w:rsid w:val="00EE52F7"/>
    <w:rsid w:val="00EE5ABD"/>
    <w:rsid w:val="00EE6422"/>
    <w:rsid w:val="00EE7263"/>
    <w:rsid w:val="00EF3621"/>
    <w:rsid w:val="00EF6895"/>
    <w:rsid w:val="00EF7CAE"/>
    <w:rsid w:val="00F042A3"/>
    <w:rsid w:val="00F05DAF"/>
    <w:rsid w:val="00F10B0D"/>
    <w:rsid w:val="00F112B6"/>
    <w:rsid w:val="00F11FD8"/>
    <w:rsid w:val="00F12E60"/>
    <w:rsid w:val="00F14144"/>
    <w:rsid w:val="00F16978"/>
    <w:rsid w:val="00F17163"/>
    <w:rsid w:val="00F17604"/>
    <w:rsid w:val="00F20E05"/>
    <w:rsid w:val="00F2356E"/>
    <w:rsid w:val="00F23B2F"/>
    <w:rsid w:val="00F271D7"/>
    <w:rsid w:val="00F31A65"/>
    <w:rsid w:val="00F325C8"/>
    <w:rsid w:val="00F33573"/>
    <w:rsid w:val="00F342D2"/>
    <w:rsid w:val="00F409E4"/>
    <w:rsid w:val="00F53313"/>
    <w:rsid w:val="00F534A7"/>
    <w:rsid w:val="00F536B9"/>
    <w:rsid w:val="00F54059"/>
    <w:rsid w:val="00F560B4"/>
    <w:rsid w:val="00F56956"/>
    <w:rsid w:val="00F60F1F"/>
    <w:rsid w:val="00F640C6"/>
    <w:rsid w:val="00F72139"/>
    <w:rsid w:val="00F7434B"/>
    <w:rsid w:val="00F754B0"/>
    <w:rsid w:val="00F75707"/>
    <w:rsid w:val="00F772EB"/>
    <w:rsid w:val="00F77CAD"/>
    <w:rsid w:val="00F82B97"/>
    <w:rsid w:val="00F8647B"/>
    <w:rsid w:val="00F8745C"/>
    <w:rsid w:val="00F93D5F"/>
    <w:rsid w:val="00F94756"/>
    <w:rsid w:val="00F97AB2"/>
    <w:rsid w:val="00FA06E7"/>
    <w:rsid w:val="00FA4B0D"/>
    <w:rsid w:val="00FA7238"/>
    <w:rsid w:val="00FB7648"/>
    <w:rsid w:val="00FB7C86"/>
    <w:rsid w:val="00FB7D42"/>
    <w:rsid w:val="00FC141F"/>
    <w:rsid w:val="00FC1638"/>
    <w:rsid w:val="00FC2D13"/>
    <w:rsid w:val="00FC2D8A"/>
    <w:rsid w:val="00FC3A07"/>
    <w:rsid w:val="00FC43F2"/>
    <w:rsid w:val="00FC7051"/>
    <w:rsid w:val="00FD111B"/>
    <w:rsid w:val="00FD499E"/>
    <w:rsid w:val="00FD4F3E"/>
    <w:rsid w:val="00FE2D0F"/>
    <w:rsid w:val="00FF2C3E"/>
    <w:rsid w:val="00FF34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5794F"/>
  <w15:chartTrackingRefBased/>
  <w15:docId w15:val="{DFC746D7-F78D-4A11-BDDC-7B1FBDA4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C2C"/>
    <w:rPr>
      <w:rFonts w:ascii="Times New Roman" w:hAnsi="Times New Roman"/>
      <w:sz w:val="24"/>
      <w:lang w:val="en"/>
    </w:rPr>
  </w:style>
  <w:style w:type="paragraph" w:styleId="Heading1">
    <w:name w:val="heading 1"/>
    <w:basedOn w:val="Normal"/>
    <w:next w:val="Normal"/>
    <w:link w:val="Heading1Char"/>
    <w:autoRedefine/>
    <w:uiPriority w:val="9"/>
    <w:qFormat/>
    <w:rsid w:val="00D81359"/>
    <w:pPr>
      <w:keepNext/>
      <w:keepLines/>
      <w:numPr>
        <w:numId w:val="5"/>
      </w:numPr>
      <w:spacing w:before="120" w:after="120" w:line="240" w:lineRule="auto"/>
      <w:ind w:left="357" w:hanging="357"/>
      <w:outlineLvl w:val="0"/>
    </w:pPr>
    <w:rPr>
      <w:rFonts w:ascii="Arial" w:eastAsiaTheme="majorEastAsia" w:hAnsi="Arial" w:cstheme="majorBidi"/>
      <w:b/>
      <w:caps/>
      <w:color w:val="000000" w:themeColor="text1"/>
      <w:sz w:val="22"/>
      <w:szCs w:val="40"/>
      <w:lang w:val="fr-FR"/>
    </w:rPr>
  </w:style>
  <w:style w:type="paragraph" w:styleId="Heading2">
    <w:name w:val="heading 2"/>
    <w:basedOn w:val="Normal"/>
    <w:next w:val="Normal"/>
    <w:link w:val="Heading2Char"/>
    <w:autoRedefine/>
    <w:uiPriority w:val="9"/>
    <w:unhideWhenUsed/>
    <w:qFormat/>
    <w:rsid w:val="00D81359"/>
    <w:pPr>
      <w:keepNext/>
      <w:keepLines/>
      <w:numPr>
        <w:numId w:val="6"/>
      </w:numPr>
      <w:spacing w:before="120" w:after="120" w:line="240" w:lineRule="auto"/>
      <w:ind w:left="357" w:hanging="357"/>
      <w:outlineLvl w:val="1"/>
    </w:pPr>
    <w:rPr>
      <w:rFonts w:ascii="Arial" w:eastAsiaTheme="majorEastAsia" w:hAnsi="Arial" w:cstheme="majorBidi"/>
      <w:b/>
      <w:color w:val="000000" w:themeColor="text1"/>
      <w:sz w:val="20"/>
      <w:szCs w:val="32"/>
      <w:lang w:val="fr-FR"/>
    </w:rPr>
  </w:style>
  <w:style w:type="paragraph" w:styleId="Heading3">
    <w:name w:val="heading 3"/>
    <w:basedOn w:val="Normal"/>
    <w:next w:val="Normal"/>
    <w:link w:val="Heading3Char"/>
    <w:uiPriority w:val="9"/>
    <w:unhideWhenUsed/>
    <w:qFormat/>
    <w:rsid w:val="004256BB"/>
    <w:pPr>
      <w:keepNext/>
      <w:keepLines/>
      <w:numPr>
        <w:numId w:val="7"/>
      </w:numPr>
      <w:spacing w:before="120" w:after="120" w:line="240" w:lineRule="auto"/>
      <w:ind w:left="357" w:hanging="357"/>
      <w:outlineLvl w:val="2"/>
    </w:pPr>
    <w:rPr>
      <w:rFonts w:ascii="Arial" w:eastAsiaTheme="majorEastAsia" w:hAnsi="Arial" w:cstheme="majorBidi"/>
      <w:b/>
      <w:color w:val="000000" w:themeColor="text1"/>
      <w:sz w:val="20"/>
      <w:szCs w:val="28"/>
      <w:lang w:val="fr-FR"/>
    </w:rPr>
  </w:style>
  <w:style w:type="paragraph" w:styleId="Heading4">
    <w:name w:val="heading 4"/>
    <w:basedOn w:val="Normal"/>
    <w:next w:val="Normal"/>
    <w:link w:val="Heading4Char"/>
    <w:uiPriority w:val="9"/>
    <w:semiHidden/>
    <w:unhideWhenUsed/>
    <w:qFormat/>
    <w:rsid w:val="003B6252"/>
    <w:pPr>
      <w:keepNext/>
      <w:keepLines/>
      <w:spacing w:before="80" w:after="40"/>
      <w:outlineLvl w:val="3"/>
    </w:pPr>
    <w:rPr>
      <w:rFonts w:asciiTheme="minorHAnsi" w:eastAsiaTheme="majorEastAsia" w:hAnsiTheme="minorHAnsi" w:cstheme="majorBidi"/>
      <w:i/>
      <w:iCs/>
      <w:color w:val="0F4761" w:themeColor="accent1" w:themeShade="BF"/>
      <w:lang w:val="fr-FR"/>
    </w:rPr>
  </w:style>
  <w:style w:type="paragraph" w:styleId="Heading5">
    <w:name w:val="heading 5"/>
    <w:basedOn w:val="Normal"/>
    <w:next w:val="Normal"/>
    <w:link w:val="Heading5Char"/>
    <w:uiPriority w:val="9"/>
    <w:semiHidden/>
    <w:unhideWhenUsed/>
    <w:qFormat/>
    <w:rsid w:val="003B6252"/>
    <w:pPr>
      <w:keepNext/>
      <w:keepLines/>
      <w:spacing w:before="80" w:after="40"/>
      <w:outlineLvl w:val="4"/>
    </w:pPr>
    <w:rPr>
      <w:rFonts w:asciiTheme="minorHAnsi" w:eastAsiaTheme="majorEastAsia" w:hAnsiTheme="minorHAnsi" w:cstheme="majorBidi"/>
      <w:color w:val="0F4761" w:themeColor="accent1" w:themeShade="BF"/>
      <w:lang w:val="fr-FR"/>
    </w:rPr>
  </w:style>
  <w:style w:type="paragraph" w:styleId="Heading6">
    <w:name w:val="heading 6"/>
    <w:basedOn w:val="Normal"/>
    <w:next w:val="Normal"/>
    <w:link w:val="Heading6Char"/>
    <w:uiPriority w:val="9"/>
    <w:semiHidden/>
    <w:unhideWhenUsed/>
    <w:qFormat/>
    <w:rsid w:val="003B6252"/>
    <w:pPr>
      <w:keepNext/>
      <w:keepLines/>
      <w:spacing w:before="40"/>
      <w:outlineLvl w:val="5"/>
    </w:pPr>
    <w:rPr>
      <w:rFonts w:asciiTheme="minorHAnsi" w:eastAsiaTheme="majorEastAsia" w:hAnsiTheme="minorHAnsi" w:cstheme="majorBidi"/>
      <w:i/>
      <w:iCs/>
      <w:color w:val="595959" w:themeColor="text1" w:themeTint="A6"/>
      <w:lang w:val="fr-FR"/>
    </w:rPr>
  </w:style>
  <w:style w:type="paragraph" w:styleId="Heading7">
    <w:name w:val="heading 7"/>
    <w:basedOn w:val="Normal"/>
    <w:next w:val="Normal"/>
    <w:link w:val="Heading7Char"/>
    <w:uiPriority w:val="9"/>
    <w:semiHidden/>
    <w:unhideWhenUsed/>
    <w:qFormat/>
    <w:rsid w:val="003B6252"/>
    <w:pPr>
      <w:keepNext/>
      <w:keepLines/>
      <w:spacing w:before="40"/>
      <w:outlineLvl w:val="6"/>
    </w:pPr>
    <w:rPr>
      <w:rFonts w:asciiTheme="minorHAnsi" w:eastAsiaTheme="majorEastAsia" w:hAnsiTheme="minorHAnsi" w:cstheme="majorBidi"/>
      <w:color w:val="595959" w:themeColor="text1" w:themeTint="A6"/>
      <w:lang w:val="fr-FR"/>
    </w:rPr>
  </w:style>
  <w:style w:type="paragraph" w:styleId="Heading8">
    <w:name w:val="heading 8"/>
    <w:basedOn w:val="Normal"/>
    <w:next w:val="Normal"/>
    <w:link w:val="Heading8Char"/>
    <w:uiPriority w:val="9"/>
    <w:semiHidden/>
    <w:unhideWhenUsed/>
    <w:qFormat/>
    <w:rsid w:val="003B6252"/>
    <w:pPr>
      <w:keepNext/>
      <w:keepLines/>
      <w:outlineLvl w:val="7"/>
    </w:pPr>
    <w:rPr>
      <w:rFonts w:asciiTheme="minorHAnsi" w:eastAsiaTheme="majorEastAsia" w:hAnsiTheme="minorHAnsi" w:cstheme="majorBidi"/>
      <w:i/>
      <w:iCs/>
      <w:color w:val="272727" w:themeColor="text1" w:themeTint="D8"/>
      <w:lang w:val="fr-FR"/>
    </w:rPr>
  </w:style>
  <w:style w:type="paragraph" w:styleId="Heading9">
    <w:name w:val="heading 9"/>
    <w:basedOn w:val="Normal"/>
    <w:next w:val="Normal"/>
    <w:link w:val="Heading9Char"/>
    <w:uiPriority w:val="9"/>
    <w:semiHidden/>
    <w:unhideWhenUsed/>
    <w:qFormat/>
    <w:rsid w:val="003B6252"/>
    <w:pPr>
      <w:keepNext/>
      <w:keepLines/>
      <w:outlineLvl w:val="8"/>
    </w:pPr>
    <w:rPr>
      <w:rFonts w:asciiTheme="minorHAnsi" w:eastAsiaTheme="majorEastAsia" w:hAnsiTheme="minorHAnsi" w:cstheme="majorBidi"/>
      <w:color w:val="272727" w:themeColor="text1" w:themeTint="D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359"/>
    <w:rPr>
      <w:rFonts w:ascii="Arial" w:eastAsiaTheme="majorEastAsia" w:hAnsi="Arial" w:cstheme="majorBidi"/>
      <w:b/>
      <w:caps/>
      <w:color w:val="000000" w:themeColor="text1"/>
      <w:szCs w:val="40"/>
      <w:lang w:val="fr-FR"/>
    </w:rPr>
  </w:style>
  <w:style w:type="character" w:customStyle="1" w:styleId="Heading2Char">
    <w:name w:val="Heading 2 Char"/>
    <w:basedOn w:val="DefaultParagraphFont"/>
    <w:link w:val="Heading2"/>
    <w:uiPriority w:val="9"/>
    <w:rsid w:val="00D81359"/>
    <w:rPr>
      <w:rFonts w:ascii="Arial" w:eastAsiaTheme="majorEastAsia" w:hAnsi="Arial" w:cstheme="majorBidi"/>
      <w:b/>
      <w:color w:val="000000" w:themeColor="text1"/>
      <w:sz w:val="20"/>
      <w:szCs w:val="32"/>
      <w:lang w:val="fr-FR"/>
    </w:rPr>
  </w:style>
  <w:style w:type="character" w:customStyle="1" w:styleId="Heading3Char">
    <w:name w:val="Heading 3 Char"/>
    <w:basedOn w:val="DefaultParagraphFont"/>
    <w:link w:val="Heading3"/>
    <w:uiPriority w:val="9"/>
    <w:rsid w:val="004256BB"/>
    <w:rPr>
      <w:rFonts w:ascii="Arial" w:eastAsiaTheme="majorEastAsia" w:hAnsi="Arial" w:cstheme="majorBidi"/>
      <w:b/>
      <w:color w:val="000000" w:themeColor="text1"/>
      <w:sz w:val="20"/>
      <w:szCs w:val="28"/>
      <w:lang w:val="fr-FR"/>
    </w:rPr>
  </w:style>
  <w:style w:type="character" w:customStyle="1" w:styleId="Heading4Char">
    <w:name w:val="Heading 4 Char"/>
    <w:basedOn w:val="DefaultParagraphFont"/>
    <w:link w:val="Heading4"/>
    <w:uiPriority w:val="9"/>
    <w:semiHidden/>
    <w:rsid w:val="003B6252"/>
    <w:rPr>
      <w:rFonts w:eastAsiaTheme="majorEastAsia" w:cstheme="majorBidi"/>
      <w:i/>
      <w:iCs/>
      <w:color w:val="0F4761" w:themeColor="accent1" w:themeShade="BF"/>
      <w:sz w:val="24"/>
      <w:lang w:val="fr-FR"/>
    </w:rPr>
  </w:style>
  <w:style w:type="character" w:customStyle="1" w:styleId="Heading5Char">
    <w:name w:val="Heading 5 Char"/>
    <w:basedOn w:val="DefaultParagraphFont"/>
    <w:link w:val="Heading5"/>
    <w:uiPriority w:val="9"/>
    <w:semiHidden/>
    <w:rsid w:val="003B6252"/>
    <w:rPr>
      <w:rFonts w:eastAsiaTheme="majorEastAsia" w:cstheme="majorBidi"/>
      <w:color w:val="0F4761" w:themeColor="accent1" w:themeShade="BF"/>
      <w:sz w:val="24"/>
      <w:lang w:val="fr-FR"/>
    </w:rPr>
  </w:style>
  <w:style w:type="character" w:customStyle="1" w:styleId="Heading6Char">
    <w:name w:val="Heading 6 Char"/>
    <w:basedOn w:val="DefaultParagraphFont"/>
    <w:link w:val="Heading6"/>
    <w:uiPriority w:val="9"/>
    <w:semiHidden/>
    <w:rsid w:val="003B6252"/>
    <w:rPr>
      <w:rFonts w:eastAsiaTheme="majorEastAsia" w:cstheme="majorBidi"/>
      <w:i/>
      <w:iCs/>
      <w:color w:val="595959" w:themeColor="text1" w:themeTint="A6"/>
      <w:sz w:val="24"/>
      <w:lang w:val="fr-FR"/>
    </w:rPr>
  </w:style>
  <w:style w:type="character" w:customStyle="1" w:styleId="Heading7Char">
    <w:name w:val="Heading 7 Char"/>
    <w:basedOn w:val="DefaultParagraphFont"/>
    <w:link w:val="Heading7"/>
    <w:uiPriority w:val="9"/>
    <w:semiHidden/>
    <w:rsid w:val="003B6252"/>
    <w:rPr>
      <w:rFonts w:eastAsiaTheme="majorEastAsia" w:cstheme="majorBidi"/>
      <w:color w:val="595959" w:themeColor="text1" w:themeTint="A6"/>
      <w:sz w:val="24"/>
      <w:lang w:val="fr-FR"/>
    </w:rPr>
  </w:style>
  <w:style w:type="character" w:customStyle="1" w:styleId="Heading8Char">
    <w:name w:val="Heading 8 Char"/>
    <w:basedOn w:val="DefaultParagraphFont"/>
    <w:link w:val="Heading8"/>
    <w:uiPriority w:val="9"/>
    <w:semiHidden/>
    <w:rsid w:val="003B6252"/>
    <w:rPr>
      <w:rFonts w:eastAsiaTheme="majorEastAsia" w:cstheme="majorBidi"/>
      <w:i/>
      <w:iCs/>
      <w:color w:val="272727" w:themeColor="text1" w:themeTint="D8"/>
      <w:sz w:val="24"/>
      <w:lang w:val="fr-FR"/>
    </w:rPr>
  </w:style>
  <w:style w:type="character" w:customStyle="1" w:styleId="Heading9Char">
    <w:name w:val="Heading 9 Char"/>
    <w:basedOn w:val="DefaultParagraphFont"/>
    <w:link w:val="Heading9"/>
    <w:uiPriority w:val="9"/>
    <w:semiHidden/>
    <w:rsid w:val="003B6252"/>
    <w:rPr>
      <w:rFonts w:eastAsiaTheme="majorEastAsia" w:cstheme="majorBidi"/>
      <w:color w:val="272727" w:themeColor="text1" w:themeTint="D8"/>
      <w:sz w:val="24"/>
      <w:lang w:val="fr-FR"/>
    </w:rPr>
  </w:style>
  <w:style w:type="paragraph" w:styleId="Title">
    <w:name w:val="Title"/>
    <w:basedOn w:val="Normal"/>
    <w:next w:val="Normal"/>
    <w:link w:val="TitleChar"/>
    <w:uiPriority w:val="10"/>
    <w:qFormat/>
    <w:rsid w:val="003B6252"/>
    <w:pPr>
      <w:spacing w:after="80" w:line="240" w:lineRule="auto"/>
      <w:contextualSpacing/>
    </w:pPr>
    <w:rPr>
      <w:rFonts w:asciiTheme="majorHAnsi" w:eastAsiaTheme="majorEastAsia" w:hAnsiTheme="majorHAnsi" w:cstheme="majorBidi"/>
      <w:spacing w:val="-10"/>
      <w:kern w:val="28"/>
      <w:sz w:val="56"/>
      <w:szCs w:val="56"/>
      <w:lang w:val="fr-FR"/>
    </w:rPr>
  </w:style>
  <w:style w:type="character" w:customStyle="1" w:styleId="TitleChar">
    <w:name w:val="Title Char"/>
    <w:basedOn w:val="DefaultParagraphFont"/>
    <w:link w:val="Title"/>
    <w:uiPriority w:val="10"/>
    <w:rsid w:val="003B6252"/>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3B6252"/>
    <w:pPr>
      <w:numPr>
        <w:ilvl w:val="1"/>
      </w:numPr>
      <w:spacing w:after="160"/>
    </w:pPr>
    <w:rPr>
      <w:rFonts w:asciiTheme="minorHAnsi" w:eastAsiaTheme="majorEastAsia" w:hAnsiTheme="minorHAnsi" w:cstheme="majorBidi"/>
      <w:color w:val="595959" w:themeColor="text1" w:themeTint="A6"/>
      <w:spacing w:val="15"/>
      <w:sz w:val="28"/>
      <w:szCs w:val="28"/>
      <w:lang w:val="fr-FR"/>
    </w:rPr>
  </w:style>
  <w:style w:type="character" w:customStyle="1" w:styleId="SubtitleChar">
    <w:name w:val="Subtitle Char"/>
    <w:basedOn w:val="DefaultParagraphFont"/>
    <w:link w:val="Subtitle"/>
    <w:uiPriority w:val="11"/>
    <w:rsid w:val="003B6252"/>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3B6252"/>
    <w:pPr>
      <w:spacing w:before="160" w:after="160"/>
      <w:jc w:val="center"/>
    </w:pPr>
    <w:rPr>
      <w:i/>
      <w:iCs/>
      <w:color w:val="404040" w:themeColor="text1" w:themeTint="BF"/>
      <w:lang w:val="fr-FR"/>
    </w:rPr>
  </w:style>
  <w:style w:type="character" w:customStyle="1" w:styleId="QuoteChar">
    <w:name w:val="Quote Char"/>
    <w:basedOn w:val="DefaultParagraphFont"/>
    <w:link w:val="Quote"/>
    <w:uiPriority w:val="29"/>
    <w:rsid w:val="003B6252"/>
    <w:rPr>
      <w:rFonts w:ascii="Times New Roman" w:hAnsi="Times New Roman"/>
      <w:i/>
      <w:iCs/>
      <w:color w:val="404040" w:themeColor="text1" w:themeTint="BF"/>
      <w:sz w:val="24"/>
      <w:lang w:val="fr-FR"/>
    </w:rPr>
  </w:style>
  <w:style w:type="paragraph" w:styleId="ListParagraph">
    <w:name w:val="List Paragraph"/>
    <w:basedOn w:val="Normal"/>
    <w:uiPriority w:val="34"/>
    <w:qFormat/>
    <w:rsid w:val="003B6252"/>
    <w:pPr>
      <w:ind w:left="720"/>
      <w:contextualSpacing/>
    </w:pPr>
    <w:rPr>
      <w:lang w:val="fr-FR"/>
    </w:rPr>
  </w:style>
  <w:style w:type="character" w:styleId="IntenseEmphasis">
    <w:name w:val="Intense Emphasis"/>
    <w:basedOn w:val="DefaultParagraphFont"/>
    <w:uiPriority w:val="21"/>
    <w:qFormat/>
    <w:rsid w:val="003B6252"/>
    <w:rPr>
      <w:i/>
      <w:iCs/>
      <w:color w:val="0F4761" w:themeColor="accent1" w:themeShade="BF"/>
    </w:rPr>
  </w:style>
  <w:style w:type="paragraph" w:styleId="IntenseQuote">
    <w:name w:val="Intense Quote"/>
    <w:basedOn w:val="Normal"/>
    <w:next w:val="Normal"/>
    <w:link w:val="IntenseQuoteChar"/>
    <w:uiPriority w:val="30"/>
    <w:qFormat/>
    <w:rsid w:val="003B6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fr-FR"/>
    </w:rPr>
  </w:style>
  <w:style w:type="character" w:customStyle="1" w:styleId="IntenseQuoteChar">
    <w:name w:val="Intense Quote Char"/>
    <w:basedOn w:val="DefaultParagraphFont"/>
    <w:link w:val="IntenseQuote"/>
    <w:uiPriority w:val="30"/>
    <w:rsid w:val="003B6252"/>
    <w:rPr>
      <w:rFonts w:ascii="Times New Roman" w:hAnsi="Times New Roman"/>
      <w:i/>
      <w:iCs/>
      <w:color w:val="0F4761" w:themeColor="accent1" w:themeShade="BF"/>
      <w:sz w:val="24"/>
      <w:lang w:val="fr-FR"/>
    </w:rPr>
  </w:style>
  <w:style w:type="character" w:styleId="IntenseReference">
    <w:name w:val="Intense Reference"/>
    <w:basedOn w:val="DefaultParagraphFont"/>
    <w:uiPriority w:val="32"/>
    <w:qFormat/>
    <w:rsid w:val="003B6252"/>
    <w:rPr>
      <w:b/>
      <w:bCs/>
      <w:smallCaps/>
      <w:color w:val="0F4761" w:themeColor="accent1" w:themeShade="BF"/>
      <w:spacing w:val="5"/>
    </w:rPr>
  </w:style>
  <w:style w:type="table" w:styleId="TableGrid">
    <w:name w:val="Table Grid"/>
    <w:basedOn w:val="TableNormal"/>
    <w:uiPriority w:val="39"/>
    <w:rsid w:val="00EE52F7"/>
    <w:pPr>
      <w:spacing w:line="240" w:lineRule="auto"/>
    </w:pPr>
    <w:rPr>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483C"/>
    <w:rPr>
      <w:color w:val="467886" w:themeColor="hyperlink"/>
      <w:u w:val="single"/>
    </w:rPr>
  </w:style>
  <w:style w:type="character" w:styleId="UnresolvedMention">
    <w:name w:val="Unresolved Mention"/>
    <w:basedOn w:val="DefaultParagraphFont"/>
    <w:uiPriority w:val="99"/>
    <w:semiHidden/>
    <w:unhideWhenUsed/>
    <w:rsid w:val="002B483C"/>
    <w:rPr>
      <w:color w:val="605E5C"/>
      <w:shd w:val="clear" w:color="auto" w:fill="E1DFDD"/>
    </w:rPr>
  </w:style>
  <w:style w:type="character" w:styleId="FollowedHyperlink">
    <w:name w:val="FollowedHyperlink"/>
    <w:basedOn w:val="DefaultParagraphFont"/>
    <w:uiPriority w:val="99"/>
    <w:semiHidden/>
    <w:unhideWhenUsed/>
    <w:rsid w:val="00862698"/>
    <w:rPr>
      <w:color w:val="96607D" w:themeColor="followedHyperlink"/>
      <w:u w:val="single"/>
    </w:rPr>
  </w:style>
  <w:style w:type="character" w:styleId="PlaceholderText">
    <w:name w:val="Placeholder Text"/>
    <w:basedOn w:val="DefaultParagraphFont"/>
    <w:uiPriority w:val="99"/>
    <w:semiHidden/>
    <w:rsid w:val="000A3877"/>
    <w:rPr>
      <w:color w:val="666666"/>
    </w:rPr>
  </w:style>
  <w:style w:type="paragraph" w:styleId="FootnoteText">
    <w:name w:val="footnote text"/>
    <w:basedOn w:val="Normal"/>
    <w:link w:val="FootnoteTextChar"/>
    <w:uiPriority w:val="99"/>
    <w:semiHidden/>
    <w:unhideWhenUsed/>
    <w:rsid w:val="00C278F2"/>
    <w:pPr>
      <w:widowControl w:val="0"/>
      <w:suppressAutoHyphens/>
      <w:spacing w:line="240" w:lineRule="auto"/>
      <w:contextualSpacing/>
    </w:pPr>
    <w:rPr>
      <w:sz w:val="20"/>
      <w:szCs w:val="20"/>
    </w:rPr>
  </w:style>
  <w:style w:type="character" w:customStyle="1" w:styleId="FootnoteTextChar">
    <w:name w:val="Footnote Text Char"/>
    <w:basedOn w:val="DefaultParagraphFont"/>
    <w:link w:val="FootnoteText"/>
    <w:uiPriority w:val="99"/>
    <w:semiHidden/>
    <w:rsid w:val="00C278F2"/>
    <w:rPr>
      <w:rFonts w:ascii="Times New Roman" w:hAnsi="Times New Roman"/>
      <w:sz w:val="20"/>
      <w:szCs w:val="20"/>
      <w:lang w:val="en"/>
    </w:rPr>
  </w:style>
  <w:style w:type="character" w:styleId="FootnoteReference">
    <w:name w:val="footnote reference"/>
    <w:basedOn w:val="DefaultParagraphFont"/>
    <w:uiPriority w:val="99"/>
    <w:semiHidden/>
    <w:unhideWhenUsed/>
    <w:rsid w:val="00C278F2"/>
    <w:rPr>
      <w:vertAlign w:val="superscript"/>
    </w:rPr>
  </w:style>
  <w:style w:type="paragraph" w:styleId="Bibliography">
    <w:name w:val="Bibliography"/>
    <w:basedOn w:val="Normal"/>
    <w:next w:val="Normal"/>
    <w:uiPriority w:val="37"/>
    <w:unhideWhenUsed/>
    <w:rsid w:val="0026222C"/>
    <w:pPr>
      <w:tabs>
        <w:tab w:val="left" w:pos="504"/>
      </w:tabs>
      <w:spacing w:line="480" w:lineRule="auto"/>
      <w:ind w:left="504" w:hanging="504"/>
    </w:pPr>
  </w:style>
  <w:style w:type="paragraph" w:styleId="Header">
    <w:name w:val="header"/>
    <w:basedOn w:val="Normal"/>
    <w:link w:val="HeaderChar"/>
    <w:uiPriority w:val="99"/>
    <w:unhideWhenUsed/>
    <w:rsid w:val="00185747"/>
    <w:pPr>
      <w:tabs>
        <w:tab w:val="center" w:pos="4680"/>
        <w:tab w:val="right" w:pos="9360"/>
      </w:tabs>
      <w:spacing w:line="240" w:lineRule="auto"/>
    </w:pPr>
  </w:style>
  <w:style w:type="character" w:customStyle="1" w:styleId="HeaderChar">
    <w:name w:val="Header Char"/>
    <w:basedOn w:val="DefaultParagraphFont"/>
    <w:link w:val="Header"/>
    <w:uiPriority w:val="99"/>
    <w:rsid w:val="00185747"/>
    <w:rPr>
      <w:rFonts w:ascii="Times New Roman" w:hAnsi="Times New Roman"/>
      <w:sz w:val="24"/>
      <w:lang w:val="en"/>
    </w:rPr>
  </w:style>
  <w:style w:type="paragraph" w:styleId="Footer">
    <w:name w:val="footer"/>
    <w:basedOn w:val="Normal"/>
    <w:link w:val="FooterChar"/>
    <w:uiPriority w:val="99"/>
    <w:unhideWhenUsed/>
    <w:rsid w:val="00185747"/>
    <w:pPr>
      <w:tabs>
        <w:tab w:val="center" w:pos="4680"/>
        <w:tab w:val="right" w:pos="9360"/>
      </w:tabs>
      <w:spacing w:line="240" w:lineRule="auto"/>
    </w:pPr>
  </w:style>
  <w:style w:type="character" w:customStyle="1" w:styleId="FooterChar">
    <w:name w:val="Footer Char"/>
    <w:basedOn w:val="DefaultParagraphFont"/>
    <w:link w:val="Footer"/>
    <w:uiPriority w:val="99"/>
    <w:rsid w:val="00185747"/>
    <w:rPr>
      <w:rFonts w:ascii="Times New Roman" w:hAnsi="Times New Roman"/>
      <w:sz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4616">
      <w:bodyDiv w:val="1"/>
      <w:marLeft w:val="0"/>
      <w:marRight w:val="0"/>
      <w:marTop w:val="0"/>
      <w:marBottom w:val="0"/>
      <w:divBdr>
        <w:top w:val="none" w:sz="0" w:space="0" w:color="auto"/>
        <w:left w:val="none" w:sz="0" w:space="0" w:color="auto"/>
        <w:bottom w:val="none" w:sz="0" w:space="0" w:color="auto"/>
        <w:right w:val="none" w:sz="0" w:space="0" w:color="auto"/>
      </w:divBdr>
      <w:divsChild>
        <w:div w:id="547375072">
          <w:marLeft w:val="0"/>
          <w:marRight w:val="0"/>
          <w:marTop w:val="0"/>
          <w:marBottom w:val="0"/>
          <w:divBdr>
            <w:top w:val="none" w:sz="0" w:space="0" w:color="auto"/>
            <w:left w:val="none" w:sz="0" w:space="0" w:color="auto"/>
            <w:bottom w:val="none" w:sz="0" w:space="0" w:color="auto"/>
            <w:right w:val="none" w:sz="0" w:space="0" w:color="auto"/>
          </w:divBdr>
        </w:div>
      </w:divsChild>
    </w:div>
    <w:div w:id="200754082">
      <w:bodyDiv w:val="1"/>
      <w:marLeft w:val="0"/>
      <w:marRight w:val="0"/>
      <w:marTop w:val="0"/>
      <w:marBottom w:val="0"/>
      <w:divBdr>
        <w:top w:val="none" w:sz="0" w:space="0" w:color="auto"/>
        <w:left w:val="none" w:sz="0" w:space="0" w:color="auto"/>
        <w:bottom w:val="none" w:sz="0" w:space="0" w:color="auto"/>
        <w:right w:val="none" w:sz="0" w:space="0" w:color="auto"/>
      </w:divBdr>
    </w:div>
    <w:div w:id="314072388">
      <w:bodyDiv w:val="1"/>
      <w:marLeft w:val="0"/>
      <w:marRight w:val="0"/>
      <w:marTop w:val="0"/>
      <w:marBottom w:val="0"/>
      <w:divBdr>
        <w:top w:val="none" w:sz="0" w:space="0" w:color="auto"/>
        <w:left w:val="none" w:sz="0" w:space="0" w:color="auto"/>
        <w:bottom w:val="none" w:sz="0" w:space="0" w:color="auto"/>
        <w:right w:val="none" w:sz="0" w:space="0" w:color="auto"/>
      </w:divBdr>
    </w:div>
    <w:div w:id="491261730">
      <w:bodyDiv w:val="1"/>
      <w:marLeft w:val="0"/>
      <w:marRight w:val="0"/>
      <w:marTop w:val="0"/>
      <w:marBottom w:val="0"/>
      <w:divBdr>
        <w:top w:val="none" w:sz="0" w:space="0" w:color="auto"/>
        <w:left w:val="none" w:sz="0" w:space="0" w:color="auto"/>
        <w:bottom w:val="none" w:sz="0" w:space="0" w:color="auto"/>
        <w:right w:val="none" w:sz="0" w:space="0" w:color="auto"/>
      </w:divBdr>
    </w:div>
    <w:div w:id="648169161">
      <w:bodyDiv w:val="1"/>
      <w:marLeft w:val="0"/>
      <w:marRight w:val="0"/>
      <w:marTop w:val="0"/>
      <w:marBottom w:val="0"/>
      <w:divBdr>
        <w:top w:val="none" w:sz="0" w:space="0" w:color="auto"/>
        <w:left w:val="none" w:sz="0" w:space="0" w:color="auto"/>
        <w:bottom w:val="none" w:sz="0" w:space="0" w:color="auto"/>
        <w:right w:val="none" w:sz="0" w:space="0" w:color="auto"/>
      </w:divBdr>
    </w:div>
    <w:div w:id="776676107">
      <w:bodyDiv w:val="1"/>
      <w:marLeft w:val="0"/>
      <w:marRight w:val="0"/>
      <w:marTop w:val="0"/>
      <w:marBottom w:val="0"/>
      <w:divBdr>
        <w:top w:val="none" w:sz="0" w:space="0" w:color="auto"/>
        <w:left w:val="none" w:sz="0" w:space="0" w:color="auto"/>
        <w:bottom w:val="none" w:sz="0" w:space="0" w:color="auto"/>
        <w:right w:val="none" w:sz="0" w:space="0" w:color="auto"/>
      </w:divBdr>
    </w:div>
    <w:div w:id="801462637">
      <w:bodyDiv w:val="1"/>
      <w:marLeft w:val="0"/>
      <w:marRight w:val="0"/>
      <w:marTop w:val="0"/>
      <w:marBottom w:val="0"/>
      <w:divBdr>
        <w:top w:val="none" w:sz="0" w:space="0" w:color="auto"/>
        <w:left w:val="none" w:sz="0" w:space="0" w:color="auto"/>
        <w:bottom w:val="none" w:sz="0" w:space="0" w:color="auto"/>
        <w:right w:val="none" w:sz="0" w:space="0" w:color="auto"/>
      </w:divBdr>
    </w:div>
    <w:div w:id="909920606">
      <w:bodyDiv w:val="1"/>
      <w:marLeft w:val="0"/>
      <w:marRight w:val="0"/>
      <w:marTop w:val="0"/>
      <w:marBottom w:val="0"/>
      <w:divBdr>
        <w:top w:val="none" w:sz="0" w:space="0" w:color="auto"/>
        <w:left w:val="none" w:sz="0" w:space="0" w:color="auto"/>
        <w:bottom w:val="none" w:sz="0" w:space="0" w:color="auto"/>
        <w:right w:val="none" w:sz="0" w:space="0" w:color="auto"/>
      </w:divBdr>
    </w:div>
    <w:div w:id="1202547460">
      <w:bodyDiv w:val="1"/>
      <w:marLeft w:val="0"/>
      <w:marRight w:val="0"/>
      <w:marTop w:val="0"/>
      <w:marBottom w:val="0"/>
      <w:divBdr>
        <w:top w:val="none" w:sz="0" w:space="0" w:color="auto"/>
        <w:left w:val="none" w:sz="0" w:space="0" w:color="auto"/>
        <w:bottom w:val="none" w:sz="0" w:space="0" w:color="auto"/>
        <w:right w:val="none" w:sz="0" w:space="0" w:color="auto"/>
      </w:divBdr>
      <w:divsChild>
        <w:div w:id="1893736042">
          <w:marLeft w:val="0"/>
          <w:marRight w:val="0"/>
          <w:marTop w:val="0"/>
          <w:marBottom w:val="0"/>
          <w:divBdr>
            <w:top w:val="none" w:sz="0" w:space="0" w:color="auto"/>
            <w:left w:val="none" w:sz="0" w:space="0" w:color="auto"/>
            <w:bottom w:val="none" w:sz="0" w:space="0" w:color="auto"/>
            <w:right w:val="none" w:sz="0" w:space="0" w:color="auto"/>
          </w:divBdr>
        </w:div>
      </w:divsChild>
    </w:div>
    <w:div w:id="1343237905">
      <w:bodyDiv w:val="1"/>
      <w:marLeft w:val="0"/>
      <w:marRight w:val="0"/>
      <w:marTop w:val="0"/>
      <w:marBottom w:val="0"/>
      <w:divBdr>
        <w:top w:val="none" w:sz="0" w:space="0" w:color="auto"/>
        <w:left w:val="none" w:sz="0" w:space="0" w:color="auto"/>
        <w:bottom w:val="none" w:sz="0" w:space="0" w:color="auto"/>
        <w:right w:val="none" w:sz="0" w:space="0" w:color="auto"/>
      </w:divBdr>
    </w:div>
    <w:div w:id="1506895318">
      <w:bodyDiv w:val="1"/>
      <w:marLeft w:val="0"/>
      <w:marRight w:val="0"/>
      <w:marTop w:val="0"/>
      <w:marBottom w:val="0"/>
      <w:divBdr>
        <w:top w:val="none" w:sz="0" w:space="0" w:color="auto"/>
        <w:left w:val="none" w:sz="0" w:space="0" w:color="auto"/>
        <w:bottom w:val="none" w:sz="0" w:space="0" w:color="auto"/>
        <w:right w:val="none" w:sz="0" w:space="0" w:color="auto"/>
      </w:divBdr>
    </w:div>
    <w:div w:id="1629163109">
      <w:bodyDiv w:val="1"/>
      <w:marLeft w:val="0"/>
      <w:marRight w:val="0"/>
      <w:marTop w:val="0"/>
      <w:marBottom w:val="0"/>
      <w:divBdr>
        <w:top w:val="none" w:sz="0" w:space="0" w:color="auto"/>
        <w:left w:val="none" w:sz="0" w:space="0" w:color="auto"/>
        <w:bottom w:val="none" w:sz="0" w:space="0" w:color="auto"/>
        <w:right w:val="none" w:sz="0" w:space="0" w:color="auto"/>
      </w:divBdr>
      <w:divsChild>
        <w:div w:id="1691181379">
          <w:marLeft w:val="0"/>
          <w:marRight w:val="0"/>
          <w:marTop w:val="0"/>
          <w:marBottom w:val="0"/>
          <w:divBdr>
            <w:top w:val="none" w:sz="0" w:space="0" w:color="auto"/>
            <w:left w:val="none" w:sz="0" w:space="0" w:color="auto"/>
            <w:bottom w:val="none" w:sz="0" w:space="0" w:color="auto"/>
            <w:right w:val="none" w:sz="0" w:space="0" w:color="auto"/>
          </w:divBdr>
        </w:div>
      </w:divsChild>
    </w:div>
    <w:div w:id="1756199225">
      <w:bodyDiv w:val="1"/>
      <w:marLeft w:val="0"/>
      <w:marRight w:val="0"/>
      <w:marTop w:val="0"/>
      <w:marBottom w:val="0"/>
      <w:divBdr>
        <w:top w:val="none" w:sz="0" w:space="0" w:color="auto"/>
        <w:left w:val="none" w:sz="0" w:space="0" w:color="auto"/>
        <w:bottom w:val="none" w:sz="0" w:space="0" w:color="auto"/>
        <w:right w:val="none" w:sz="0" w:space="0" w:color="auto"/>
      </w:divBdr>
      <w:divsChild>
        <w:div w:id="641928159">
          <w:marLeft w:val="0"/>
          <w:marRight w:val="0"/>
          <w:marTop w:val="0"/>
          <w:marBottom w:val="0"/>
          <w:divBdr>
            <w:top w:val="none" w:sz="0" w:space="0" w:color="auto"/>
            <w:left w:val="none" w:sz="0" w:space="0" w:color="auto"/>
            <w:bottom w:val="none" w:sz="0" w:space="0" w:color="auto"/>
            <w:right w:val="none" w:sz="0" w:space="0" w:color="auto"/>
          </w:divBdr>
        </w:div>
      </w:divsChild>
    </w:div>
    <w:div w:id="1770152171">
      <w:bodyDiv w:val="1"/>
      <w:marLeft w:val="0"/>
      <w:marRight w:val="0"/>
      <w:marTop w:val="0"/>
      <w:marBottom w:val="0"/>
      <w:divBdr>
        <w:top w:val="none" w:sz="0" w:space="0" w:color="auto"/>
        <w:left w:val="none" w:sz="0" w:space="0" w:color="auto"/>
        <w:bottom w:val="none" w:sz="0" w:space="0" w:color="auto"/>
        <w:right w:val="none" w:sz="0" w:space="0" w:color="auto"/>
      </w:divBdr>
    </w:div>
    <w:div w:id="1973249034">
      <w:bodyDiv w:val="1"/>
      <w:marLeft w:val="0"/>
      <w:marRight w:val="0"/>
      <w:marTop w:val="0"/>
      <w:marBottom w:val="0"/>
      <w:divBdr>
        <w:top w:val="none" w:sz="0" w:space="0" w:color="auto"/>
        <w:left w:val="none" w:sz="0" w:space="0" w:color="auto"/>
        <w:bottom w:val="none" w:sz="0" w:space="0" w:color="auto"/>
        <w:right w:val="none" w:sz="0" w:space="0" w:color="auto"/>
      </w:divBdr>
      <w:divsChild>
        <w:div w:id="1402754488">
          <w:marLeft w:val="0"/>
          <w:marRight w:val="0"/>
          <w:marTop w:val="0"/>
          <w:marBottom w:val="0"/>
          <w:divBdr>
            <w:top w:val="none" w:sz="0" w:space="0" w:color="auto"/>
            <w:left w:val="none" w:sz="0" w:space="0" w:color="auto"/>
            <w:bottom w:val="none" w:sz="0" w:space="0" w:color="auto"/>
            <w:right w:val="none" w:sz="0" w:space="0" w:color="auto"/>
          </w:divBdr>
        </w:div>
        <w:div w:id="539628398">
          <w:marLeft w:val="0"/>
          <w:marRight w:val="0"/>
          <w:marTop w:val="0"/>
          <w:marBottom w:val="0"/>
          <w:divBdr>
            <w:top w:val="none" w:sz="0" w:space="0" w:color="auto"/>
            <w:left w:val="none" w:sz="0" w:space="0" w:color="auto"/>
            <w:bottom w:val="none" w:sz="0" w:space="0" w:color="auto"/>
            <w:right w:val="none" w:sz="0" w:space="0" w:color="auto"/>
          </w:divBdr>
        </w:div>
        <w:div w:id="2047945467">
          <w:marLeft w:val="0"/>
          <w:marRight w:val="0"/>
          <w:marTop w:val="0"/>
          <w:marBottom w:val="0"/>
          <w:divBdr>
            <w:top w:val="none" w:sz="0" w:space="0" w:color="auto"/>
            <w:left w:val="none" w:sz="0" w:space="0" w:color="auto"/>
            <w:bottom w:val="none" w:sz="0" w:space="0" w:color="auto"/>
            <w:right w:val="none" w:sz="0" w:space="0" w:color="auto"/>
          </w:divBdr>
        </w:div>
      </w:divsChild>
    </w:div>
    <w:div w:id="1981642153">
      <w:bodyDiv w:val="1"/>
      <w:marLeft w:val="0"/>
      <w:marRight w:val="0"/>
      <w:marTop w:val="0"/>
      <w:marBottom w:val="0"/>
      <w:divBdr>
        <w:top w:val="none" w:sz="0" w:space="0" w:color="auto"/>
        <w:left w:val="none" w:sz="0" w:space="0" w:color="auto"/>
        <w:bottom w:val="none" w:sz="0" w:space="0" w:color="auto"/>
        <w:right w:val="none" w:sz="0" w:space="0" w:color="auto"/>
      </w:divBdr>
    </w:div>
    <w:div w:id="1992558039">
      <w:bodyDiv w:val="1"/>
      <w:marLeft w:val="0"/>
      <w:marRight w:val="0"/>
      <w:marTop w:val="0"/>
      <w:marBottom w:val="0"/>
      <w:divBdr>
        <w:top w:val="none" w:sz="0" w:space="0" w:color="auto"/>
        <w:left w:val="none" w:sz="0" w:space="0" w:color="auto"/>
        <w:bottom w:val="none" w:sz="0" w:space="0" w:color="auto"/>
        <w:right w:val="none" w:sz="0" w:space="0" w:color="auto"/>
      </w:divBdr>
      <w:divsChild>
        <w:div w:id="819343935">
          <w:marLeft w:val="0"/>
          <w:marRight w:val="0"/>
          <w:marTop w:val="0"/>
          <w:marBottom w:val="0"/>
          <w:divBdr>
            <w:top w:val="none" w:sz="0" w:space="0" w:color="auto"/>
            <w:left w:val="none" w:sz="0" w:space="0" w:color="auto"/>
            <w:bottom w:val="none" w:sz="0" w:space="0" w:color="auto"/>
            <w:right w:val="none" w:sz="0" w:space="0" w:color="auto"/>
          </w:divBdr>
        </w:div>
        <w:div w:id="1066032305">
          <w:marLeft w:val="0"/>
          <w:marRight w:val="0"/>
          <w:marTop w:val="0"/>
          <w:marBottom w:val="0"/>
          <w:divBdr>
            <w:top w:val="none" w:sz="0" w:space="0" w:color="auto"/>
            <w:left w:val="none" w:sz="0" w:space="0" w:color="auto"/>
            <w:bottom w:val="none" w:sz="0" w:space="0" w:color="auto"/>
            <w:right w:val="none" w:sz="0" w:space="0" w:color="auto"/>
          </w:divBdr>
        </w:div>
        <w:div w:id="101073834">
          <w:marLeft w:val="0"/>
          <w:marRight w:val="0"/>
          <w:marTop w:val="0"/>
          <w:marBottom w:val="0"/>
          <w:divBdr>
            <w:top w:val="none" w:sz="0" w:space="0" w:color="auto"/>
            <w:left w:val="none" w:sz="0" w:space="0" w:color="auto"/>
            <w:bottom w:val="none" w:sz="0" w:space="0" w:color="auto"/>
            <w:right w:val="none" w:sz="0" w:space="0" w:color="auto"/>
          </w:divBdr>
        </w:div>
      </w:divsChild>
    </w:div>
    <w:div w:id="20252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6526</Words>
  <Characters>37202</Characters>
  <Application>Microsoft Office Word</Application>
  <DocSecurity>0</DocSecurity>
  <Lines>310</Lines>
  <Paragraphs>87</Paragraphs>
  <ScaleCrop>false</ScaleCrop>
  <Company/>
  <LinksUpToDate>false</LinksUpToDate>
  <CharactersWithSpaces>43641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Lamine Gaye</dc:creator>
  <cp:keywords/>
  <dc:description/>
  <cp:lastModifiedBy>SDI 1084</cp:lastModifiedBy>
  <cp:revision>8</cp:revision>
  <dcterms:created xsi:type="dcterms:W3CDTF">2025-05-18T10:54:00Z</dcterms:created>
  <dcterms:modified xsi:type="dcterms:W3CDTF">2025-05-21T12:44:00Z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id="TCcuajR0"/&gt;&lt;style id="http://www.zotero.org/styles/3d-research" hasBibliography="1" bibliographyStyleHasBeenSet="1"/&gt;&lt;prefs&gt;&lt;pref name="fieldType" value="Field"/&gt;&lt;/prefs&gt;&lt;/data&gt;</vt:lpwstr>
  </property>
</Properties>
</file>