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D2354" w14:textId="77777777" w:rsidR="00754C9A" w:rsidRPr="005F276D" w:rsidRDefault="00754C9A" w:rsidP="00441B6F">
      <w:pPr>
        <w:pStyle w:val="Title"/>
        <w:spacing w:after="0"/>
        <w:jc w:val="both"/>
        <w:rPr>
          <w:rFonts w:ascii="Arial" w:hAnsi="Arial" w:cs="Arial"/>
          <w:noProof/>
          <w:lang w:val="bs-Latn-BA"/>
        </w:rPr>
      </w:pPr>
    </w:p>
    <w:p w14:paraId="50A119B8" w14:textId="77777777" w:rsidR="00A258C3" w:rsidRPr="005F276D" w:rsidRDefault="00C309DD" w:rsidP="00C309DD">
      <w:pPr>
        <w:pStyle w:val="Author"/>
        <w:spacing w:line="240" w:lineRule="auto"/>
        <w:rPr>
          <w:rFonts w:ascii="Arial" w:hAnsi="Arial" w:cs="Arial"/>
          <w:bCs/>
          <w:iCs/>
          <w:noProof/>
          <w:kern w:val="28"/>
          <w:sz w:val="36"/>
          <w:lang w:val="bs-Latn-BA"/>
        </w:rPr>
      </w:pPr>
      <w:r w:rsidRPr="005F276D">
        <w:rPr>
          <w:rFonts w:ascii="Arial" w:hAnsi="Arial" w:cs="Arial"/>
          <w:bCs/>
          <w:iCs/>
          <w:noProof/>
          <w:kern w:val="28"/>
          <w:sz w:val="36"/>
          <w:lang w:val="bs-Latn-BA"/>
        </w:rPr>
        <w:t>Influence of Solvents and Solvent Mixtures on Polyphenol Content and Antioxidant Activity of Cinnamomum verum Extracts</w:t>
      </w:r>
    </w:p>
    <w:p w14:paraId="15A88CDE" w14:textId="77777777" w:rsidR="00B01FCD" w:rsidRPr="005F276D" w:rsidRDefault="00D141D8" w:rsidP="00441B6F">
      <w:pPr>
        <w:pStyle w:val="Copyright"/>
        <w:spacing w:after="0" w:line="240" w:lineRule="auto"/>
        <w:jc w:val="both"/>
        <w:rPr>
          <w:rFonts w:ascii="Arial" w:hAnsi="Arial" w:cs="Arial"/>
          <w:noProof/>
          <w:lang w:val="bs-Latn-BA"/>
        </w:rPr>
        <w:sectPr w:rsidR="00B01FCD" w:rsidRPr="005F276D" w:rsidSect="00BC0D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0DC0799F">
          <v:shapetype id="_x0000_t32" coordsize="21600,21600" o:spt="32" o:oned="t" path="m,l21600,21600e" filled="f">
            <v:path arrowok="t" fillok="f" o:connecttype="none"/>
            <o:lock v:ext="edit" shapetype="t"/>
          </v:shapetype>
          <v:shape id="AutoShape 2" o:spid="_x0000_s1027"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5F276D">
        <w:rPr>
          <w:rFonts w:ascii="Arial" w:hAnsi="Arial" w:cs="Arial"/>
          <w:noProof/>
          <w:lang w:val="bs-Latn-BA"/>
        </w:rPr>
        <w:t>.</w:t>
      </w:r>
    </w:p>
    <w:p w14:paraId="7E30ED99" w14:textId="77777777" w:rsidR="00790ADA" w:rsidRPr="005F276D" w:rsidRDefault="00B01FCD" w:rsidP="00441B6F">
      <w:pPr>
        <w:pStyle w:val="AbstHead"/>
        <w:spacing w:after="0"/>
        <w:jc w:val="both"/>
        <w:rPr>
          <w:rFonts w:ascii="Arial" w:hAnsi="Arial" w:cs="Arial"/>
          <w:noProof/>
          <w:lang w:val="bs-Latn-BA"/>
        </w:rPr>
      </w:pPr>
      <w:r w:rsidRPr="005F276D">
        <w:rPr>
          <w:rFonts w:ascii="Arial" w:hAnsi="Arial" w:cs="Arial"/>
          <w:noProof/>
          <w:lang w:val="bs-Latn-BA"/>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F276D" w14:paraId="2A9AA4E9" w14:textId="77777777" w:rsidTr="001E44FE">
        <w:tc>
          <w:tcPr>
            <w:tcW w:w="9576" w:type="dxa"/>
            <w:shd w:val="clear" w:color="auto" w:fill="F2F2F2"/>
          </w:tcPr>
          <w:p w14:paraId="3617F554" w14:textId="77777777" w:rsidR="00C309DD" w:rsidRPr="005F276D" w:rsidRDefault="00C309DD" w:rsidP="00C309DD">
            <w:pPr>
              <w:pStyle w:val="Body"/>
              <w:rPr>
                <w:rFonts w:ascii="Arial" w:eastAsia="Calibri" w:hAnsi="Arial" w:cs="Arial"/>
                <w:noProof/>
                <w:szCs w:val="22"/>
                <w:lang w:val="bs-Latn-BA"/>
              </w:rPr>
            </w:pPr>
          </w:p>
          <w:p w14:paraId="502B5CF9" w14:textId="77777777" w:rsidR="00505F06" w:rsidRPr="005F276D" w:rsidRDefault="00C309DD" w:rsidP="00C309DD">
            <w:pPr>
              <w:pStyle w:val="Body"/>
              <w:rPr>
                <w:rFonts w:ascii="Arial" w:eastAsia="Calibri" w:hAnsi="Arial" w:cs="Arial"/>
                <w:noProof/>
                <w:szCs w:val="22"/>
                <w:lang w:val="bs-Latn-BA"/>
              </w:rPr>
            </w:pPr>
            <w:r w:rsidRPr="005F276D">
              <w:rPr>
                <w:rFonts w:ascii="Arial" w:eastAsia="Calibri" w:hAnsi="Arial" w:cs="Arial"/>
                <w:noProof/>
                <w:szCs w:val="22"/>
                <w:lang w:val="bs-Latn-BA"/>
              </w:rPr>
              <w:t>The aim of this study was to assess the antioxidant activity of cinnamon extracts obtained using different solvents (ethanol, methanol, acetone, water) and their mixtures with water. Additionally, the phenolic and flavonoid contents were analyzed to investigate their correlation with antioxidant activity. The results showed that the extracts obtained from mixtures of ethanol and water had a high content of phenols and flavonoids, with the 40:10 ethanol-to-water mixture yielding the highest phenolic (240.69 mg/g) and flavonoid (0.275 mg/g) contents. Similarly, methanol and its mixtures with water showed variations in the content of these components, with pure methanol providing the highest values (252.12 mg/g for phenols and 0.2212 mg/g for flavonoids). Regarding antioxidant activity, ethanol extracts and their mixtures with water achieved the best results, with the 20:30 ethanol-to-water mixture displaying the highest antioxidant potential (937.775 µmol TE/g). Methanol-water mixtures, particularly in the 40:10 ratio, also exhibited high activity (928.675 µmol TE/g). Acetone extracts and their mixtures with water had somewhat lower values, while water-based extracts showed the lowest antioxidant activity (192.9 µmol TE/g). These results indicate a significant potential of solvent mixtures, particularly acetone-water mixtures, in enhancing bioactivity and antioxidant effects.</w:t>
            </w:r>
          </w:p>
        </w:tc>
      </w:tr>
    </w:tbl>
    <w:p w14:paraId="09B53A11" w14:textId="77777777" w:rsidR="00636EB2" w:rsidRPr="005F276D" w:rsidRDefault="00636EB2" w:rsidP="00441B6F">
      <w:pPr>
        <w:pStyle w:val="Body"/>
        <w:spacing w:after="0"/>
        <w:rPr>
          <w:rFonts w:ascii="Arial" w:hAnsi="Arial" w:cs="Arial"/>
          <w:i/>
          <w:noProof/>
          <w:lang w:val="bs-Latn-BA"/>
        </w:rPr>
      </w:pPr>
    </w:p>
    <w:p w14:paraId="0881533B" w14:textId="77777777" w:rsidR="00A24E7E" w:rsidRPr="005F276D" w:rsidRDefault="00A24E7E" w:rsidP="00441B6F">
      <w:pPr>
        <w:pStyle w:val="Body"/>
        <w:spacing w:after="0"/>
        <w:rPr>
          <w:rFonts w:ascii="Arial" w:hAnsi="Arial" w:cs="Arial"/>
          <w:i/>
          <w:noProof/>
          <w:lang w:val="bs-Latn-BA"/>
        </w:rPr>
      </w:pPr>
      <w:r w:rsidRPr="005F276D">
        <w:rPr>
          <w:rFonts w:ascii="Arial" w:hAnsi="Arial" w:cs="Arial"/>
          <w:i/>
          <w:noProof/>
          <w:lang w:val="bs-Latn-BA"/>
        </w:rPr>
        <w:t xml:space="preserve">Keywords: </w:t>
      </w:r>
      <w:r w:rsidR="00434907">
        <w:rPr>
          <w:rFonts w:ascii="Arial" w:hAnsi="Arial" w:cs="Arial"/>
          <w:i/>
          <w:noProof/>
          <w:lang w:val="bs-Latn-BA"/>
        </w:rPr>
        <w:t>extracts, polyphenols, flavonoids, antioxidant activity, cinnamon</w:t>
      </w:r>
    </w:p>
    <w:p w14:paraId="6462A29F" w14:textId="77777777" w:rsidR="00790ADA" w:rsidRPr="005F276D" w:rsidRDefault="00790ADA" w:rsidP="00441B6F">
      <w:pPr>
        <w:pStyle w:val="Body"/>
        <w:spacing w:after="0"/>
        <w:rPr>
          <w:rFonts w:ascii="Arial" w:hAnsi="Arial" w:cs="Arial"/>
          <w:i/>
          <w:noProof/>
          <w:lang w:val="bs-Latn-BA"/>
        </w:rPr>
      </w:pPr>
    </w:p>
    <w:p w14:paraId="3705A3B3" w14:textId="77777777" w:rsidR="0024282C" w:rsidRPr="005F276D" w:rsidRDefault="0024282C" w:rsidP="00441B6F">
      <w:pPr>
        <w:pStyle w:val="Body"/>
        <w:spacing w:after="0"/>
        <w:rPr>
          <w:rFonts w:ascii="Arial" w:hAnsi="Arial" w:cs="Arial"/>
          <w:i/>
          <w:noProof/>
          <w:sz w:val="18"/>
          <w:lang w:val="bs-Latn-BA"/>
        </w:rPr>
      </w:pPr>
    </w:p>
    <w:p w14:paraId="6E65E01E" w14:textId="77777777" w:rsidR="00505F06" w:rsidRPr="005F276D" w:rsidRDefault="00505F06" w:rsidP="00441B6F">
      <w:pPr>
        <w:pStyle w:val="Body"/>
        <w:spacing w:after="0"/>
        <w:rPr>
          <w:rFonts w:ascii="Arial" w:hAnsi="Arial" w:cs="Arial"/>
          <w:i/>
          <w:noProof/>
          <w:lang w:val="bs-Latn-BA"/>
        </w:rPr>
      </w:pPr>
    </w:p>
    <w:p w14:paraId="5553D3C9" w14:textId="77777777" w:rsidR="007F7B32" w:rsidRPr="005F276D" w:rsidRDefault="00902823" w:rsidP="00441B6F">
      <w:pPr>
        <w:pStyle w:val="AbstHead"/>
        <w:spacing w:after="0"/>
        <w:jc w:val="both"/>
        <w:rPr>
          <w:rFonts w:ascii="Arial" w:hAnsi="Arial" w:cs="Arial"/>
          <w:noProof/>
          <w:lang w:val="bs-Latn-BA"/>
        </w:rPr>
      </w:pPr>
      <w:r w:rsidRPr="005F276D">
        <w:rPr>
          <w:rFonts w:ascii="Arial" w:hAnsi="Arial" w:cs="Arial"/>
          <w:noProof/>
          <w:lang w:val="bs-Latn-BA"/>
        </w:rPr>
        <w:t xml:space="preserve">1. </w:t>
      </w:r>
      <w:r w:rsidR="00B01FCD" w:rsidRPr="005F276D">
        <w:rPr>
          <w:rFonts w:ascii="Arial" w:hAnsi="Arial" w:cs="Arial"/>
          <w:noProof/>
          <w:lang w:val="bs-Latn-BA"/>
        </w:rPr>
        <w:t>INTRODUCTION</w:t>
      </w:r>
    </w:p>
    <w:p w14:paraId="0BF0ADA6" w14:textId="77777777" w:rsidR="00790ADA" w:rsidRPr="005F276D" w:rsidRDefault="00790ADA" w:rsidP="00441B6F">
      <w:pPr>
        <w:pStyle w:val="AbstHead"/>
        <w:spacing w:after="0"/>
        <w:jc w:val="both"/>
        <w:rPr>
          <w:rFonts w:ascii="Arial" w:hAnsi="Arial" w:cs="Arial"/>
          <w:noProof/>
          <w:lang w:val="bs-Latn-BA"/>
        </w:rPr>
      </w:pPr>
    </w:p>
    <w:p w14:paraId="2B4274CD" w14:textId="77777777" w:rsidR="00B95236" w:rsidRPr="005F276D" w:rsidRDefault="00DA7DBA" w:rsidP="00441B6F">
      <w:pPr>
        <w:pStyle w:val="Body"/>
        <w:spacing w:after="0"/>
        <w:rPr>
          <w:rFonts w:ascii="Arial" w:hAnsi="Arial" w:cs="Arial"/>
          <w:noProof/>
          <w:lang w:val="bs-Latn-BA"/>
        </w:rPr>
      </w:pPr>
      <w:r w:rsidRPr="005F276D">
        <w:rPr>
          <w:rFonts w:ascii="Arial" w:hAnsi="Arial" w:cs="Arial"/>
          <w:noProof/>
          <w:lang w:val="bs-Latn-BA"/>
        </w:rPr>
        <w:t>Plants and spices have been used since ancient times in nutrition and traditional medicine due to the presence of natural bioactive substances that trigger numerous beneficial effects, improving health and supporting the vital functions of the body (Pagliari, 2023)</w:t>
      </w:r>
      <w:r w:rsidR="00673620" w:rsidRPr="005F276D">
        <w:rPr>
          <w:rFonts w:ascii="Arial" w:hAnsi="Arial" w:cs="Arial"/>
          <w:noProof/>
          <w:lang w:val="bs-Latn-BA"/>
        </w:rPr>
        <w:t>.</w:t>
      </w:r>
    </w:p>
    <w:p w14:paraId="2F87987E" w14:textId="77777777" w:rsidR="00673620" w:rsidRPr="005F276D" w:rsidRDefault="00673620" w:rsidP="00441B6F">
      <w:pPr>
        <w:pStyle w:val="Body"/>
        <w:spacing w:after="0"/>
        <w:rPr>
          <w:rFonts w:ascii="Arial" w:hAnsi="Arial" w:cs="Arial"/>
          <w:noProof/>
          <w:lang w:val="bs-Latn-BA"/>
        </w:rPr>
      </w:pPr>
    </w:p>
    <w:p w14:paraId="7FF1E034" w14:textId="77777777" w:rsidR="00790ADA" w:rsidRPr="005F276D" w:rsidRDefault="00DA7DBA" w:rsidP="00DA7DBA">
      <w:pPr>
        <w:pStyle w:val="Body"/>
        <w:spacing w:after="0"/>
        <w:jc w:val="center"/>
        <w:rPr>
          <w:rFonts w:ascii="Arial" w:hAnsi="Arial" w:cs="Arial"/>
          <w:noProof/>
          <w:lang w:val="bs-Latn-BA"/>
        </w:rPr>
      </w:pPr>
      <w:r w:rsidRPr="005F276D">
        <w:rPr>
          <w:noProof/>
        </w:rPr>
        <w:drawing>
          <wp:inline distT="0" distB="0" distL="0" distR="0" wp14:anchorId="2C067DE3" wp14:editId="10183EFD">
            <wp:extent cx="3819525" cy="1323975"/>
            <wp:effectExtent l="0" t="0" r="0" b="0"/>
            <wp:docPr id="14" name="Slika 14"/>
            <wp:cNvGraphicFramePr/>
            <a:graphic xmlns:a="http://schemas.openxmlformats.org/drawingml/2006/main">
              <a:graphicData uri="http://schemas.openxmlformats.org/drawingml/2006/picture">
                <pic:pic xmlns:pic="http://schemas.openxmlformats.org/drawingml/2006/picture">
                  <pic:nvPicPr>
                    <pic:cNvPr id="14" name="Slika 14"/>
                    <pic:cNvPicPr/>
                  </pic:nvPicPr>
                  <pic:blipFill>
                    <a:blip r:embed="rId14"/>
                    <a:srcRect/>
                    <a:stretch>
                      <a:fillRect/>
                    </a:stretch>
                  </pic:blipFill>
                  <pic:spPr bwMode="auto">
                    <a:xfrm>
                      <a:off x="0" y="0"/>
                      <a:ext cx="3819525" cy="1323975"/>
                    </a:xfrm>
                    <a:prstGeom prst="rect">
                      <a:avLst/>
                    </a:prstGeom>
                    <a:noFill/>
                    <a:ln w="9525">
                      <a:noFill/>
                      <a:miter lim="800000"/>
                      <a:headEnd/>
                      <a:tailEnd/>
                    </a:ln>
                  </pic:spPr>
                </pic:pic>
              </a:graphicData>
            </a:graphic>
          </wp:inline>
        </w:drawing>
      </w:r>
    </w:p>
    <w:p w14:paraId="7D332133" w14:textId="77777777" w:rsidR="00DA7DBA" w:rsidRPr="005F276D" w:rsidRDefault="00DA7DBA" w:rsidP="00DA7DBA">
      <w:pPr>
        <w:pStyle w:val="Body"/>
        <w:spacing w:after="0"/>
        <w:jc w:val="center"/>
        <w:rPr>
          <w:rFonts w:ascii="Arial" w:hAnsi="Arial" w:cs="Arial"/>
          <w:noProof/>
          <w:lang w:val="bs-Latn-BA"/>
        </w:rPr>
      </w:pPr>
    </w:p>
    <w:p w14:paraId="2D8D9A8A" w14:textId="77777777" w:rsidR="00DA7DBA" w:rsidRPr="005F276D" w:rsidRDefault="00574370" w:rsidP="00DA7DBA">
      <w:pPr>
        <w:pStyle w:val="Body"/>
        <w:spacing w:after="0"/>
        <w:jc w:val="center"/>
        <w:rPr>
          <w:rFonts w:ascii="Arial" w:hAnsi="Arial" w:cs="Arial"/>
          <w:b/>
          <w:noProof/>
          <w:lang w:val="bs-Latn-BA"/>
        </w:rPr>
      </w:pPr>
      <w:r w:rsidRPr="005F276D">
        <w:rPr>
          <w:rFonts w:ascii="Arial" w:hAnsi="Arial" w:cs="Arial"/>
          <w:b/>
          <w:noProof/>
          <w:lang w:val="bs-Latn-BA"/>
        </w:rPr>
        <w:t>Fig.</w:t>
      </w:r>
      <w:r w:rsidR="00DA7DBA" w:rsidRPr="005F276D">
        <w:rPr>
          <w:rFonts w:ascii="Arial" w:hAnsi="Arial" w:cs="Arial"/>
          <w:b/>
          <w:noProof/>
          <w:lang w:val="bs-Latn-BA"/>
        </w:rPr>
        <w:t xml:space="preserve"> 1. (A) Cinnamon bark and (B) cinnamon powder</w:t>
      </w:r>
    </w:p>
    <w:p w14:paraId="2C6E6119" w14:textId="77777777" w:rsidR="00DA7DBA" w:rsidRPr="005F276D" w:rsidRDefault="00DA7DBA" w:rsidP="00DA7DBA">
      <w:pPr>
        <w:pStyle w:val="Body"/>
        <w:spacing w:after="0"/>
        <w:jc w:val="center"/>
        <w:rPr>
          <w:rFonts w:ascii="Arial" w:hAnsi="Arial" w:cs="Arial"/>
          <w:noProof/>
          <w:lang w:val="bs-Latn-BA"/>
        </w:rPr>
      </w:pPr>
    </w:p>
    <w:p w14:paraId="218FC211" w14:textId="77777777" w:rsidR="00673620" w:rsidRPr="005F276D" w:rsidRDefault="00673620" w:rsidP="00441B6F">
      <w:pPr>
        <w:pStyle w:val="Body"/>
        <w:spacing w:after="0"/>
        <w:rPr>
          <w:rFonts w:ascii="Arial" w:hAnsi="Arial" w:cs="Arial"/>
          <w:noProof/>
          <w:lang w:val="bs-Latn-BA"/>
        </w:rPr>
      </w:pPr>
      <w:r w:rsidRPr="005F276D">
        <w:rPr>
          <w:rFonts w:ascii="Arial" w:hAnsi="Arial" w:cs="Arial"/>
          <w:noProof/>
          <w:lang w:val="bs-Latn-BA"/>
        </w:rPr>
        <w:t>Cinnamon (</w:t>
      </w:r>
      <w:r w:rsidRPr="005F276D">
        <w:rPr>
          <w:rFonts w:ascii="Arial" w:hAnsi="Arial" w:cs="Arial"/>
          <w:i/>
          <w:noProof/>
          <w:lang w:val="bs-Latn-BA"/>
        </w:rPr>
        <w:t>Cinnamomum verum</w:t>
      </w:r>
      <w:r w:rsidRPr="005F276D">
        <w:rPr>
          <w:rFonts w:ascii="Arial" w:hAnsi="Arial" w:cs="Arial"/>
          <w:noProof/>
          <w:lang w:val="bs-Latn-BA"/>
        </w:rPr>
        <w:t xml:space="preserve">) is one of the most resilient woody plants among spices, belonging to the Lauraceae family and the Cinnamomum genus, which encompasses approximately 250 species found in Southeast Asia, China, and Australia. Many of these species are characterized by distinct aromatic and spicy properties (Thomas, 2012). </w:t>
      </w:r>
    </w:p>
    <w:p w14:paraId="2314D2AE" w14:textId="77777777" w:rsidR="002E0D56" w:rsidRPr="005F276D" w:rsidRDefault="00673620" w:rsidP="00441B6F">
      <w:pPr>
        <w:pStyle w:val="Body"/>
        <w:spacing w:after="0"/>
        <w:rPr>
          <w:rFonts w:ascii="Arial" w:hAnsi="Arial" w:cs="Arial"/>
          <w:noProof/>
          <w:lang w:val="bs-Latn-BA"/>
        </w:rPr>
      </w:pPr>
      <w:r w:rsidRPr="005F276D">
        <w:rPr>
          <w:rFonts w:ascii="Arial" w:hAnsi="Arial" w:cs="Arial"/>
          <w:noProof/>
          <w:lang w:val="bs-Latn-BA"/>
        </w:rPr>
        <w:lastRenderedPageBreak/>
        <w:t>This plant is highly resistant to unfavorable soil conditions and temperatures, and its height reaches 2-3 meters. High-quality cinnamon seeds are small, flat, uniform, and have a yellowish color. All parts of cinnamon contain volatile oils, monoterpenes, sesquiterpenes, and phenylpropene, which give it a mild and pleasant aroma (Mian, 2018).</w:t>
      </w:r>
    </w:p>
    <w:p w14:paraId="70E32224" w14:textId="77777777" w:rsidR="00673620" w:rsidRPr="005F276D" w:rsidRDefault="00673620" w:rsidP="00441B6F">
      <w:pPr>
        <w:pStyle w:val="Body"/>
        <w:spacing w:after="0"/>
        <w:rPr>
          <w:rFonts w:ascii="Arial" w:hAnsi="Arial" w:cs="Arial"/>
          <w:noProof/>
          <w:lang w:val="bs-Latn-BA"/>
        </w:rPr>
      </w:pPr>
    </w:p>
    <w:p w14:paraId="54A1C37A" w14:textId="77777777" w:rsidR="00790ADA" w:rsidRPr="005F276D" w:rsidRDefault="00673620" w:rsidP="00441B6F">
      <w:pPr>
        <w:pStyle w:val="Body"/>
        <w:spacing w:after="0"/>
        <w:rPr>
          <w:rFonts w:ascii="Arial" w:hAnsi="Arial" w:cs="Arial"/>
          <w:noProof/>
          <w:lang w:val="bs-Latn-BA"/>
        </w:rPr>
      </w:pPr>
      <w:r w:rsidRPr="005F276D">
        <w:rPr>
          <w:rFonts w:ascii="Arial" w:hAnsi="Arial" w:cs="Arial"/>
          <w:noProof/>
          <w:lang w:val="bs-Latn-BA"/>
        </w:rPr>
        <w:t>Culinary spices, particularly cinnamon, have become the subject of research due to their antioxidant and anti-inflammatory effects, which are primarily attributed to the high content of bioactive polyphenolic compounds. Some of the main polyphenolic components of cinnamon include procyanidin type-A polymers, cinnamic acid, cinnamaldehyde, and coumarin (Silva, 2019).</w:t>
      </w:r>
    </w:p>
    <w:p w14:paraId="5CD4F7A9" w14:textId="77777777" w:rsidR="00673620" w:rsidRPr="005F276D" w:rsidRDefault="00673620" w:rsidP="00441B6F">
      <w:pPr>
        <w:pStyle w:val="Body"/>
        <w:spacing w:after="0"/>
        <w:rPr>
          <w:rFonts w:ascii="Arial" w:hAnsi="Arial" w:cs="Arial"/>
          <w:noProof/>
          <w:lang w:val="bs-Latn-BA"/>
        </w:rPr>
      </w:pPr>
    </w:p>
    <w:p w14:paraId="712DEE26" w14:textId="77777777" w:rsidR="00A03B96" w:rsidRPr="005F276D" w:rsidRDefault="00673620" w:rsidP="00673620">
      <w:pPr>
        <w:pStyle w:val="Body"/>
        <w:spacing w:after="0"/>
        <w:jc w:val="center"/>
        <w:rPr>
          <w:rFonts w:ascii="Arial" w:hAnsi="Arial" w:cs="Arial"/>
          <w:noProof/>
          <w:lang w:val="bs-Latn-BA"/>
        </w:rPr>
      </w:pPr>
      <w:r w:rsidRPr="005F276D">
        <w:rPr>
          <w:rFonts w:ascii="Book Antiqua" w:eastAsiaTheme="minorHAnsi" w:hAnsi="Book Antiqua"/>
          <w:noProof/>
          <w:sz w:val="22"/>
          <w:szCs w:val="22"/>
          <w:lang w:val="bs-Latn-BA"/>
        </w:rPr>
        <w:object w:dxaOrig="6600" w:dyaOrig="5760" w14:anchorId="0D353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75pt;height:4in" o:ole="">
            <v:imagedata r:id="rId15" o:title=""/>
          </v:shape>
          <o:OLEObject Type="Embed" ProgID="ChemDraw.Document.6.0" ShapeID="_x0000_i1026" DrawAspect="Content" ObjectID="_1808822544" r:id="rId16"/>
        </w:object>
      </w:r>
    </w:p>
    <w:p w14:paraId="0A162D41" w14:textId="77777777" w:rsidR="00673620" w:rsidRPr="005F276D" w:rsidRDefault="00673620" w:rsidP="00441B6F">
      <w:pPr>
        <w:pStyle w:val="Body"/>
        <w:spacing w:after="0"/>
        <w:rPr>
          <w:rFonts w:ascii="Arial" w:hAnsi="Arial" w:cs="Arial"/>
          <w:noProof/>
          <w:lang w:val="bs-Latn-BA"/>
        </w:rPr>
      </w:pPr>
    </w:p>
    <w:p w14:paraId="0FD2DD6C" w14:textId="77777777" w:rsidR="00673620" w:rsidRPr="005F276D" w:rsidRDefault="00673620" w:rsidP="00441B6F">
      <w:pPr>
        <w:pStyle w:val="Body"/>
        <w:spacing w:after="0"/>
        <w:rPr>
          <w:rFonts w:ascii="Arial" w:hAnsi="Arial" w:cs="Arial"/>
          <w:noProof/>
          <w:lang w:val="bs-Latn-BA"/>
        </w:rPr>
      </w:pPr>
    </w:p>
    <w:p w14:paraId="278544AA" w14:textId="77777777" w:rsidR="00A03B96" w:rsidRPr="005F276D" w:rsidRDefault="00574370" w:rsidP="00673620">
      <w:pPr>
        <w:pStyle w:val="Body"/>
        <w:spacing w:after="0"/>
        <w:jc w:val="center"/>
        <w:rPr>
          <w:rFonts w:ascii="Arial" w:hAnsi="Arial" w:cs="Arial"/>
          <w:b/>
          <w:noProof/>
          <w:lang w:val="bs-Latn-BA"/>
        </w:rPr>
      </w:pPr>
      <w:r w:rsidRPr="005F276D">
        <w:rPr>
          <w:rFonts w:ascii="Arial" w:hAnsi="Arial" w:cs="Arial"/>
          <w:b/>
          <w:noProof/>
          <w:lang w:val="bs-Latn-BA"/>
        </w:rPr>
        <w:t>Fig.</w:t>
      </w:r>
      <w:r w:rsidR="00673620" w:rsidRPr="005F276D">
        <w:rPr>
          <w:rFonts w:ascii="Arial" w:hAnsi="Arial" w:cs="Arial"/>
          <w:b/>
          <w:noProof/>
          <w:lang w:val="bs-Latn-BA"/>
        </w:rPr>
        <w:t xml:space="preserve"> 2. Chemical structures of the main components of cinnamon, including the polymers: a) procyanidin type-A, b) cinnamic acid, c) cinnamaldehyde, and d) coumarin</w:t>
      </w:r>
    </w:p>
    <w:p w14:paraId="3EA7EBB9" w14:textId="77777777" w:rsidR="00673620" w:rsidRPr="005F276D" w:rsidRDefault="00673620" w:rsidP="00441B6F">
      <w:pPr>
        <w:pStyle w:val="Body"/>
        <w:spacing w:after="0"/>
        <w:rPr>
          <w:rFonts w:ascii="Arial" w:eastAsia="Calibri" w:hAnsi="Arial" w:cs="Arial"/>
          <w:b/>
          <w:noProof/>
          <w:color w:val="FF0000"/>
          <w:szCs w:val="22"/>
          <w:lang w:val="bs-Latn-BA"/>
        </w:rPr>
      </w:pPr>
    </w:p>
    <w:p w14:paraId="4B0AFA5D" w14:textId="77777777" w:rsidR="00673620" w:rsidRPr="005F276D" w:rsidRDefault="00574370" w:rsidP="000A6A6C">
      <w:pPr>
        <w:pStyle w:val="Body"/>
        <w:spacing w:after="0"/>
        <w:rPr>
          <w:rFonts w:ascii="Arial" w:eastAsia="Calibri" w:hAnsi="Arial" w:cs="Arial"/>
          <w:noProof/>
          <w:szCs w:val="22"/>
          <w:lang w:val="bs-Latn-BA"/>
        </w:rPr>
      </w:pPr>
      <w:r w:rsidRPr="005F276D">
        <w:rPr>
          <w:rFonts w:ascii="Arial" w:eastAsia="Calibri" w:hAnsi="Arial" w:cs="Arial"/>
          <w:noProof/>
          <w:szCs w:val="22"/>
          <w:lang w:val="bs-Latn-BA"/>
        </w:rPr>
        <w:t>Cinnamaldehyde, as the active ingredient in cinnamon, exhibits significant antioxidant properties due to its ability to inhibit the activity of DPPH radicals, which are stable free radicals commonly used in tests to assess antioxidant activity. In addition to its pronounced antioxidant properties, cinnamaldehyde shows the ability to bind to metal ions, which can significantly contribute to the reduction of oxidative stress induced by these metals. This interaction prevents the generation of free radicals and oxidative damage to cellular structures (Mathew, 2004). The anticancer activity of cinnamaldehyde is manifested through the induction of apoptosis in K562 leukemia cells at concentrations up to 200 µM. This compound induces cell death by causing morphological changes (membrane swelling, cell shrinkage), DNA fragmentation, loss of mitochondrial membrane potential, and increased production of reactive oxygen species (ROS). These changes lead to the release of mitochondrial cytochrome c into the cytosol, which activates procaspase-9 and procaspase-3, thereby initiating the apoptotic cascade. This mechanism is significant for cancer therapy, as the induction of apoptosis in tumor cells can effectively inhibit their growth and spread (Huang, 2007). Numerous studies have confirmed the anti-inflammatory activity of cinnamon, highlighting its potential in the prevention of various diseases (Fitry, 2019). Cinnamaldehyde, as a key anti-inflammatory compound, can inhibit the secretion of interleukin-1 beta (IL-1β) and tumor necrosis factor-alpha (TNF-α) in the presence of lipopolysaccharide (LPS) or lipoteichoic acid (LTA), which stimulate J774A.1 macrophages, thereby effectively reducing inflammatory processes (Chao, 2007).Cinnamaldehyde exhibits anti-hyperuricemic activity by inhibiting the activity of the enzyme xanthine oxidase (XOD), with an IC</w:t>
      </w:r>
      <w:r w:rsidRPr="005F276D">
        <w:rPr>
          <w:rFonts w:ascii="Cambria Math" w:eastAsia="Calibri" w:hAnsi="Cambria Math" w:cs="Cambria Math"/>
          <w:noProof/>
          <w:szCs w:val="22"/>
          <w:lang w:val="bs-Latn-BA"/>
        </w:rPr>
        <w:t>₅₀</w:t>
      </w:r>
      <w:r w:rsidRPr="005F276D">
        <w:rPr>
          <w:rFonts w:ascii="Arial" w:eastAsia="Calibri" w:hAnsi="Arial" w:cs="Arial"/>
          <w:noProof/>
          <w:szCs w:val="22"/>
          <w:lang w:val="bs-Latn-BA"/>
        </w:rPr>
        <w:t xml:space="preserve"> value of 8.4 µg/mL. Inhibition of XOD activity reduces the biosynthesis of uric acid, thereby potentially lowering the risk of developing gout (Wang, 2008).</w:t>
      </w:r>
      <w:r w:rsidR="00875BFE" w:rsidRPr="005F276D">
        <w:rPr>
          <w:rFonts w:ascii="Arial" w:eastAsia="Calibri" w:hAnsi="Arial" w:cs="Arial"/>
          <w:noProof/>
          <w:szCs w:val="22"/>
          <w:lang w:val="bs-Latn-BA"/>
        </w:rPr>
        <w:t xml:space="preserve"> Cinnamaldehyde, along with methoxycinnamaldehyde, exhibits significant antimicrobial activity by inhibiting the growth of pathogenic bacteria (Oussalah, 2007) and acting as one of the most potent inhibitors of fungal growth (Ranasinghe, 2003). This compound inhibits the function of the cell membrane, protein synthesis, and nucleic acid synthesis of the pathogenic agent, leading to its destruction (Winias, 2011).Based on animal studies, the </w:t>
      </w:r>
      <w:r w:rsidR="00875BFE" w:rsidRPr="005F276D">
        <w:rPr>
          <w:rFonts w:ascii="Arial" w:eastAsia="Calibri" w:hAnsi="Arial" w:cs="Arial"/>
          <w:noProof/>
          <w:szCs w:val="22"/>
          <w:lang w:val="bs-Latn-BA"/>
        </w:rPr>
        <w:lastRenderedPageBreak/>
        <w:t>administration of cinnamaldehyde reduced fasting blood glucose (FBG) levels and improved hyperinsulinemia levels. Furthermore, this bioactive compound from cinnamon could have a beneficial effect on diabetes by lowering the levels of glycosylated hemoglobin (HbA1c) (Babu, 2007).Cinnamic acid exhibits anti-inflammatory properties in combination with cinnamaldehyde, together reducing the concentrations of TNF-α and IL-6 in the blood. This synergistic activity contributes to their cardioprotective effect in the case of ischemic myocardial damage in animals, increasing nitric oxide levels and reducing inflammatory processes (Fan, 2013).</w:t>
      </w:r>
      <w:r w:rsidR="003C53F0" w:rsidRPr="005F276D">
        <w:rPr>
          <w:rFonts w:ascii="Arial" w:eastAsia="Calibri" w:hAnsi="Arial" w:cs="Arial"/>
          <w:noProof/>
          <w:szCs w:val="22"/>
          <w:lang w:val="bs-Latn-BA"/>
        </w:rPr>
        <w:t xml:space="preserve">Cinnamon bark is an exceptionally rich source of proanthocyanidins (PAC), a group of plant polyphenols consisting of oligomers and polymers of flavan-3-ols. (Mueller-Harvey, 2006). </w:t>
      </w:r>
      <w:r w:rsidR="00AB03A4" w:rsidRPr="00434907">
        <w:rPr>
          <w:rFonts w:ascii="Arial" w:eastAsia="Calibri" w:hAnsi="Arial" w:cs="Arial"/>
          <w:noProof/>
          <w:szCs w:val="22"/>
          <w:lang w:val="bs-Latn-BA"/>
        </w:rPr>
        <w:t>Flavan-3-ols, which form the structural backbone of proanthocyanidins, are characterized by a high number of interflavan bonds, particularly the presence of an additional ether linkage between C2→O7, which is specific for A-type proanthocyanidins (Harbone, 1994).</w:t>
      </w:r>
      <w:r w:rsidR="00AB03A4">
        <w:rPr>
          <w:rFonts w:ascii="Arial" w:eastAsia="Calibri" w:hAnsi="Arial" w:cs="Arial"/>
          <w:noProof/>
          <w:szCs w:val="22"/>
          <w:lang w:val="bs-Latn-BA"/>
        </w:rPr>
        <w:t xml:space="preserve"> </w:t>
      </w:r>
      <w:r w:rsidR="003C53F0" w:rsidRPr="005F276D">
        <w:rPr>
          <w:rFonts w:ascii="Arial" w:eastAsia="Calibri" w:hAnsi="Arial" w:cs="Arial"/>
          <w:noProof/>
          <w:szCs w:val="22"/>
          <w:lang w:val="bs-Latn-BA"/>
        </w:rPr>
        <w:t>Type A proanthocyanidins from cinnamon bark exhibit significant anthelmintic activity, with promising efficacy in combating protozoa and helminths (Williams, 2015). Cinnamon is the primary source of coumarin in the human diet, and coumarin (benzo-α-pyrone) is a natural substance responsible for cinnamon's distinctive aroma. However, due to the proven toxic and carcinogenic properties of coumarin, its daily intake is limited to reduce the risk of potential health issues (Blahová, 2012).</w:t>
      </w:r>
    </w:p>
    <w:p w14:paraId="7F3399AC" w14:textId="77777777" w:rsidR="00574370" w:rsidRPr="005F276D" w:rsidRDefault="00574370" w:rsidP="00441B6F">
      <w:pPr>
        <w:pStyle w:val="Body"/>
        <w:spacing w:after="0"/>
        <w:rPr>
          <w:rFonts w:ascii="Arial" w:eastAsia="Calibri" w:hAnsi="Arial" w:cs="Arial"/>
          <w:noProof/>
          <w:color w:val="FF0000"/>
          <w:szCs w:val="22"/>
          <w:lang w:val="bs-Latn-BA"/>
        </w:rPr>
      </w:pPr>
    </w:p>
    <w:p w14:paraId="799B5E28" w14:textId="77777777" w:rsidR="0062230A" w:rsidRPr="005F276D" w:rsidRDefault="000A6A6C" w:rsidP="0062230A">
      <w:pPr>
        <w:pStyle w:val="AbstHead"/>
        <w:spacing w:after="0"/>
        <w:jc w:val="both"/>
        <w:rPr>
          <w:rFonts w:ascii="Arial" w:hAnsi="Arial" w:cs="Arial"/>
          <w:noProof/>
          <w:lang w:val="bs-Latn-BA"/>
        </w:rPr>
      </w:pPr>
      <w:r w:rsidRPr="005F276D">
        <w:rPr>
          <w:rFonts w:ascii="Arial" w:hAnsi="Arial" w:cs="Arial"/>
          <w:noProof/>
          <w:lang w:val="bs-Latn-BA"/>
        </w:rPr>
        <w:t xml:space="preserve">2. material and methods </w:t>
      </w:r>
    </w:p>
    <w:p w14:paraId="58781C57" w14:textId="77777777" w:rsidR="0062230A" w:rsidRPr="005F276D" w:rsidRDefault="0062230A" w:rsidP="0062230A">
      <w:pPr>
        <w:pStyle w:val="Head1"/>
        <w:spacing w:after="0"/>
        <w:jc w:val="both"/>
        <w:rPr>
          <w:rFonts w:ascii="Arial" w:hAnsi="Arial" w:cs="Arial"/>
          <w:noProof/>
          <w:lang w:val="bs-Latn-BA"/>
        </w:rPr>
      </w:pPr>
    </w:p>
    <w:p w14:paraId="12E42088" w14:textId="77777777" w:rsidR="0062230A" w:rsidRPr="005F276D" w:rsidRDefault="0062230A" w:rsidP="0062230A">
      <w:pPr>
        <w:pStyle w:val="Body"/>
        <w:rPr>
          <w:noProof/>
          <w:lang w:val="bs-Latn-BA"/>
        </w:rPr>
      </w:pPr>
      <w:r w:rsidRPr="005F276D">
        <w:rPr>
          <w:noProof/>
          <w:lang w:val="bs-Latn-BA"/>
        </w:rPr>
        <w:t>The cinnamon plant used in this study was obtained from a local market in Tuzla, which is known for its wide range of eco-friendly and natural products. This market is recognized as a source of high-quality plant materials, ensuring the acquisition of a premium raw material for analysis. In the preparation of the extract, demineralized water was used, ensuring the minimization of unwanted minerals and impurities that could potentially affect the experimental results. The chemical reagents employed in the study were of high purity to avoid any interference that might arise from the presence of impurities.</w:t>
      </w:r>
    </w:p>
    <w:p w14:paraId="54C0BC99" w14:textId="77777777" w:rsidR="0062230A" w:rsidRPr="005F276D" w:rsidRDefault="0062230A" w:rsidP="0062230A">
      <w:pPr>
        <w:pStyle w:val="Body"/>
        <w:rPr>
          <w:noProof/>
          <w:lang w:val="bs-Latn-BA"/>
        </w:rPr>
      </w:pPr>
      <w:r w:rsidRPr="005F276D">
        <w:rPr>
          <w:noProof/>
          <w:lang w:val="bs-Latn-BA"/>
        </w:rPr>
        <w:t>For spectroscopic measurements, a Perkin Elmer Lambda 25 instrument was utilized. This instrument is particularly suited for light absorption analysis, allowing for the quantification of chemical components in samples with a high degree of accuracy, thus contributing to the validity and reliability of the obtained data.</w:t>
      </w:r>
    </w:p>
    <w:p w14:paraId="01102675" w14:textId="77777777" w:rsidR="0062230A" w:rsidRPr="005F276D" w:rsidRDefault="0062230A" w:rsidP="0062230A">
      <w:pPr>
        <w:pStyle w:val="Body"/>
        <w:rPr>
          <w:b/>
          <w:noProof/>
          <w:lang w:val="bs-Latn-BA"/>
        </w:rPr>
      </w:pPr>
      <w:r w:rsidRPr="005F276D">
        <w:rPr>
          <w:b/>
          <w:noProof/>
          <w:lang w:val="bs-Latn-BA"/>
        </w:rPr>
        <w:t>2.1. Preparation of Cinnamon Plant Extract</w:t>
      </w:r>
    </w:p>
    <w:p w14:paraId="63A0070E" w14:textId="77777777" w:rsidR="0062230A" w:rsidRPr="005F276D" w:rsidRDefault="0062230A" w:rsidP="0062230A">
      <w:pPr>
        <w:pStyle w:val="Body"/>
        <w:spacing w:after="0"/>
        <w:rPr>
          <w:rFonts w:ascii="Arial" w:hAnsi="Arial" w:cs="Arial"/>
          <w:noProof/>
          <w:lang w:val="bs-Latn-BA"/>
        </w:rPr>
      </w:pPr>
      <w:r w:rsidRPr="005F276D">
        <w:rPr>
          <w:rFonts w:ascii="Arial" w:hAnsi="Arial" w:cs="Arial"/>
          <w:noProof/>
          <w:lang w:val="bs-Latn-BA"/>
        </w:rPr>
        <w:t>Cinnamon extracts were prepared by mixing 0.5 grams of powdered dry plant material with 50 mL of the appropriate solvent or solvent mixtures, including ethanol, methanol, acetone, and water. The plant material was subjected to vibrational mixing on a Vibromix for 60 minutes, ensuring the homogenization of the mixture and optimal extraction of bioactive compounds from the plant material. Subsequently, the mixture was filtered to remove solid plant parts, and the collected extract was immediately subjected to analysis. All extracts were clear after filtration, indicating complete extraction and the absence of undissolved particles.</w:t>
      </w:r>
    </w:p>
    <w:p w14:paraId="0D3B98E7" w14:textId="77777777" w:rsidR="0062230A" w:rsidRPr="005F276D" w:rsidRDefault="0062230A" w:rsidP="0062230A">
      <w:pPr>
        <w:pStyle w:val="Body"/>
        <w:spacing w:after="0"/>
        <w:rPr>
          <w:rFonts w:ascii="Arial" w:hAnsi="Arial" w:cs="Arial"/>
          <w:noProof/>
          <w:lang w:val="bs-Latn-BA"/>
        </w:rPr>
      </w:pPr>
    </w:p>
    <w:p w14:paraId="42659BAD" w14:textId="77777777" w:rsidR="0062230A" w:rsidRPr="005F276D" w:rsidRDefault="0062230A" w:rsidP="0062230A">
      <w:pPr>
        <w:rPr>
          <w:rFonts w:ascii="Arial" w:hAnsi="Arial" w:cs="Arial"/>
          <w:b/>
          <w:noProof/>
          <w:lang w:val="bs-Latn-BA"/>
        </w:rPr>
      </w:pPr>
      <w:r w:rsidRPr="005F276D">
        <w:rPr>
          <w:rFonts w:ascii="Arial" w:hAnsi="Arial" w:cs="Arial"/>
          <w:b/>
          <w:noProof/>
          <w:lang w:val="bs-Latn-BA"/>
        </w:rPr>
        <w:t>2.2. Determination of Total Phenolic Content in the Sample (TPC)</w:t>
      </w:r>
    </w:p>
    <w:p w14:paraId="4F1219CF" w14:textId="77777777" w:rsidR="0062230A" w:rsidRPr="005F276D" w:rsidRDefault="0062230A" w:rsidP="0062230A">
      <w:pPr>
        <w:pStyle w:val="Body"/>
        <w:spacing w:after="0"/>
        <w:rPr>
          <w:rFonts w:ascii="Arial" w:hAnsi="Arial" w:cs="Arial"/>
          <w:b/>
          <w:noProof/>
          <w:lang w:val="bs-Latn-BA"/>
        </w:rPr>
      </w:pPr>
    </w:p>
    <w:p w14:paraId="0474EB80"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The Folin-Ciocalteu test was performed to determine the total polyphenol content in the samples, as described by Singleton et al. (1999), with minor adjustments. 200 μL of cinnamon plant extract, prepared in different solvents (methanol, ethanol, acetone, and water), was mixed with 2540 μL of 10% Folin-Ciocalteu reagent, which reacts with phenolic groups to form a blue complex. After 5 minutes of reaction, 420 μL of 10% sodium carbonate (Na</w:t>
      </w:r>
      <w:r w:rsidRPr="005F276D">
        <w:rPr>
          <w:rFonts w:ascii="Cambria Math" w:hAnsi="Cambria Math" w:cs="Cambria Math"/>
          <w:noProof/>
          <w:lang w:val="bs-Latn-BA"/>
        </w:rPr>
        <w:t>₂</w:t>
      </w:r>
      <w:r w:rsidRPr="005F276D">
        <w:rPr>
          <w:rFonts w:ascii="Arial" w:hAnsi="Arial" w:cs="Arial"/>
          <w:noProof/>
          <w:lang w:val="bs-Latn-BA"/>
        </w:rPr>
        <w:t>CO</w:t>
      </w:r>
      <w:r w:rsidRPr="005F276D">
        <w:rPr>
          <w:rFonts w:ascii="Cambria Math" w:hAnsi="Cambria Math" w:cs="Cambria Math"/>
          <w:noProof/>
          <w:lang w:val="bs-Latn-BA"/>
        </w:rPr>
        <w:t>₃</w:t>
      </w:r>
      <w:r w:rsidRPr="005F276D">
        <w:rPr>
          <w:rFonts w:ascii="Arial" w:hAnsi="Arial" w:cs="Arial"/>
          <w:noProof/>
          <w:lang w:val="bs-Latn-BA"/>
        </w:rPr>
        <w:t>) was added, and the samples were incubated at room temperature for 1 hour. After incubation, the samples were diluted with 910 μL of distilled water, and light absorption was measured at a wavelength of 765 nm, allowing the quantification of phenolic compounds in the extract based on the developed blue complex (Emir, 2024). The total phenolic content was expressed as milligrams of gallic acid equivalent (GAE) per gram of dry plant material (mg GAE/g) (Dibacto, 2021).</w:t>
      </w:r>
    </w:p>
    <w:p w14:paraId="147B440D" w14:textId="77777777" w:rsidR="0062230A" w:rsidRPr="005F276D" w:rsidRDefault="0062230A" w:rsidP="0062230A">
      <w:pPr>
        <w:pStyle w:val="Body"/>
        <w:rPr>
          <w:rFonts w:ascii="Arial" w:hAnsi="Arial" w:cs="Arial"/>
          <w:b/>
          <w:noProof/>
          <w:lang w:val="bs-Latn-BA"/>
        </w:rPr>
      </w:pPr>
      <w:r w:rsidRPr="005F276D">
        <w:rPr>
          <w:rFonts w:ascii="Arial" w:hAnsi="Arial" w:cs="Arial"/>
          <w:b/>
          <w:noProof/>
          <w:lang w:val="bs-Latn-BA"/>
        </w:rPr>
        <w:t>2.3. Determination of Total Flavonoid Content (TFC)</w:t>
      </w:r>
    </w:p>
    <w:p w14:paraId="57EE6330"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 xml:space="preserve">A modified colorimetric method based on the reaction of flavonoids with reagents specific to hydroxyl groups was used to determine the total flavonoid content in the samples. The resulting complex produces an intense color, the strength of which is proportional to the flavonoid concentration in the sample. The total flavonoid content in the extracts was determined using the method previously described by Olajire and Azeez (Olajire, 2011), with some modifications. Specifically, 1 mL of extract solution was mixed with 0.3 mL of a 5% sodium nitrite solution, initiating the formation of a colored flavonoid complex. The resulting complex was then allowed to develop, and the intensity of the color formed was measured spectrophotometrically, providing an accurate quantification of the flavonoid content. The results were expressed as milligrams of quercetin equivalent (QE) per gram of dry plant material (mg QE/g). After a 5-minute incubation, 0.3 mL of a 10% aluminum chloride solution was added, which forms stable complexes with flavonoids. The mixture was then incubated at room temperature for 6 minutes, followed by the addition of 1 mL of 1 M sodium hydroxide. </w:t>
      </w:r>
      <w:r w:rsidRPr="005F276D">
        <w:rPr>
          <w:rFonts w:ascii="Arial" w:hAnsi="Arial" w:cs="Arial"/>
          <w:noProof/>
          <w:lang w:val="bs-Latn-BA"/>
        </w:rPr>
        <w:lastRenderedPageBreak/>
        <w:t>The total volume of the mixture was adjusted to 10 mL using distilled water to ensure precise measurement. The absorbance of the sample was measured at 510 nm against a blank using a spectrophotometer. The results were calculated based on a calibration curve of quercetin and expressed as milligrams of quercetin equivalent (QE) per gram of dry plant material (mg QE/g), allowing for the quantification of the total flavonoid content (Chang, 2002).</w:t>
      </w:r>
    </w:p>
    <w:p w14:paraId="6F6018AD" w14:textId="77777777" w:rsidR="0062230A" w:rsidRPr="005F276D" w:rsidRDefault="0062230A" w:rsidP="0062230A">
      <w:pPr>
        <w:rPr>
          <w:rFonts w:ascii="Arial" w:hAnsi="Arial" w:cs="Arial"/>
          <w:b/>
          <w:noProof/>
          <w:lang w:val="bs-Latn-BA"/>
        </w:rPr>
      </w:pPr>
      <w:r w:rsidRPr="005F276D">
        <w:rPr>
          <w:rFonts w:ascii="Arial" w:hAnsi="Arial" w:cs="Arial"/>
          <w:b/>
          <w:noProof/>
          <w:lang w:val="bs-Latn-BA"/>
        </w:rPr>
        <w:t>2.4. Ferric-Reducing Antioxidant Power (FRAP) Test</w:t>
      </w:r>
    </w:p>
    <w:p w14:paraId="549FA8CC" w14:textId="77777777" w:rsidR="0062230A" w:rsidRPr="005F276D" w:rsidRDefault="0062230A" w:rsidP="0062230A">
      <w:pPr>
        <w:pStyle w:val="Body"/>
        <w:rPr>
          <w:rFonts w:ascii="Arial" w:hAnsi="Arial" w:cs="Arial"/>
          <w:noProof/>
          <w:lang w:val="bs-Latn-BA"/>
        </w:rPr>
      </w:pPr>
    </w:p>
    <w:p w14:paraId="0C1B6F02"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The reducing properties of the extracts, which indicate their antioxidant activity, were determined according to the protocol developed by Benzie and Strain (1999). In this protocol, 3 mL of the prepared FRAP reagent was mixed with 100 μL of the extract. The mixture was then incubated for 30 minutes at 37°C. The absorbance of the sample was measured at a wavelength of 593 nm. The obtained FRAP results were calculated based on a calibration curve prepared from iron(II) sulfate heptahydrate and expressed in moles per gram of dry plant material. This method allows for the quantification of the extract's ability to reduce iron(III) to iron(II), which is an indicator of their antioxidant activity. (Benzie, 1999).</w:t>
      </w:r>
    </w:p>
    <w:p w14:paraId="137E4B7D" w14:textId="77777777" w:rsidR="0062230A" w:rsidRPr="005F276D" w:rsidRDefault="0062230A" w:rsidP="0062230A">
      <w:pPr>
        <w:pStyle w:val="Body"/>
        <w:rPr>
          <w:rFonts w:ascii="Arial" w:hAnsi="Arial" w:cs="Arial"/>
          <w:b/>
          <w:noProof/>
          <w:lang w:val="bs-Latn-BA"/>
        </w:rPr>
      </w:pPr>
      <w:r w:rsidRPr="005F276D">
        <w:rPr>
          <w:rFonts w:ascii="Arial" w:hAnsi="Arial" w:cs="Arial"/>
          <w:b/>
          <w:noProof/>
          <w:lang w:val="bs-Latn-BA"/>
        </w:rPr>
        <w:t>2.5. DPPH Radical Scavenging Activity</w:t>
      </w:r>
    </w:p>
    <w:p w14:paraId="6F22B0E1" w14:textId="77777777" w:rsidR="009554BB" w:rsidRPr="00434907" w:rsidRDefault="0062230A" w:rsidP="0062230A">
      <w:pPr>
        <w:pStyle w:val="Body"/>
        <w:rPr>
          <w:rFonts w:ascii="Arial" w:hAnsi="Arial" w:cs="Arial"/>
        </w:rPr>
      </w:pPr>
      <w:r w:rsidRPr="005F276D">
        <w:rPr>
          <w:rFonts w:ascii="Arial" w:hAnsi="Arial" w:cs="Arial"/>
          <w:noProof/>
          <w:lang w:val="bs-Latn-BA"/>
        </w:rPr>
        <w:t>The ability to scavenge stable DPPH free radicals is one of the most commonly used methods for assessing antioxidant activity. This method is based on the reduction of the purple-colored DPPH methanol solution in the presence of antioxidants, which donate a hydrogen atom, leading to the formation of the non-radical form, DPPH-H, which is yellow in color. The disappearance of the purple color is monitored spectrophotometrically at 517 nm, with the reduction in color intensity being directly proportional to the antioxidant capacity of the sample (Wojdylo, 2007). The DPPH radical scavenging activity was assessed using the method described by Horozić et al. (2019), with specific adjustments for this study. The percentage inhibition of DPPH radicals was evaluated by mixing 2 mL of extract solution (concentration 0.5 mg/mL) with 0.5 mL of 0.5 mM DPPH radical solution. The mixture was incubated for 30 minutes at room temperature in a dark room to prevent photolytic decomposition of the radicals. As a control, 0.5 mL of the 0.5 mM DPPH radical solution was diluted with 4 mL of methanol, ensuring the reference absorbance (Horozić, 2024).</w:t>
      </w:r>
      <w:r w:rsidR="009554BB" w:rsidRPr="009554BB">
        <w:rPr>
          <w:rFonts w:ascii="Arial" w:hAnsi="Arial" w:cs="Arial"/>
        </w:rPr>
        <w:t xml:space="preserve"> </w:t>
      </w:r>
      <w:r w:rsidR="009554BB" w:rsidRPr="00434907">
        <w:rPr>
          <w:rFonts w:ascii="Arial" w:hAnsi="Arial" w:cs="Arial"/>
        </w:rPr>
        <w:t>This procedure allows for precise measurement of the extract's ability to scavenge free radicals, which is used for quantifying its antioxidant activity. The radical scavenging effect (%) or the percentage inhibition of DPPH radicals was calculated using the following formula:</w:t>
      </w:r>
    </w:p>
    <w:p w14:paraId="20E8A9F7" w14:textId="77777777" w:rsidR="0062230A" w:rsidRPr="005F276D" w:rsidRDefault="0062230A" w:rsidP="009554BB">
      <w:pPr>
        <w:pStyle w:val="Body"/>
        <w:jc w:val="center"/>
        <w:rPr>
          <w:rFonts w:ascii="Arial" w:hAnsi="Arial" w:cs="Arial"/>
          <w:noProof/>
          <w:lang w:val="bs-Latn-BA"/>
        </w:rPr>
      </w:pPr>
      <w:r w:rsidRPr="005F276D">
        <w:rPr>
          <w:rFonts w:ascii="Arial" w:hAnsi="Arial" w:cs="Arial"/>
          <w:noProof/>
          <w:lang w:val="bs-Latn-BA"/>
        </w:rPr>
        <w:t>I (%)= [(Ac - As) / Ac] x 100</w:t>
      </w:r>
    </w:p>
    <w:p w14:paraId="18CD36E2" w14:textId="77777777" w:rsidR="0062230A" w:rsidRPr="005F276D" w:rsidRDefault="0062230A" w:rsidP="0062230A">
      <w:pPr>
        <w:pStyle w:val="Body"/>
        <w:rPr>
          <w:rFonts w:ascii="Arial" w:hAnsi="Arial" w:cs="Arial"/>
          <w:noProof/>
          <w:lang w:val="bs-Latn-BA"/>
        </w:rPr>
      </w:pPr>
      <w:r w:rsidRPr="005F276D">
        <w:rPr>
          <w:rFonts w:ascii="Arial" w:hAnsi="Arial" w:cs="Arial"/>
          <w:noProof/>
          <w:lang w:val="bs-Latn-BA"/>
        </w:rPr>
        <w:t>The absorbance of the sample (As) was measured at 517 nm, while the absorbance of the DPPH radical control solution (Ac) served as the reference. The calculation allows for the assessment of the antioxidant activity of the sample based on the decrease in absorbance, which reflects its ability to reduce DPPH radicals.</w:t>
      </w:r>
    </w:p>
    <w:p w14:paraId="13BF40E4" w14:textId="77777777" w:rsidR="0062230A" w:rsidRPr="005F276D" w:rsidRDefault="0062230A" w:rsidP="0062230A">
      <w:pPr>
        <w:pStyle w:val="Body"/>
        <w:rPr>
          <w:rFonts w:ascii="Arial" w:hAnsi="Arial" w:cs="Arial"/>
          <w:noProof/>
          <w:lang w:val="bs-Latn-BA"/>
        </w:rPr>
      </w:pPr>
    </w:p>
    <w:p w14:paraId="2B291491" w14:textId="77777777" w:rsidR="00790ADA" w:rsidRPr="005F276D" w:rsidRDefault="00790ADA" w:rsidP="00441B6F">
      <w:pPr>
        <w:pStyle w:val="Body"/>
        <w:spacing w:after="0"/>
        <w:rPr>
          <w:rFonts w:ascii="Arial" w:hAnsi="Arial" w:cs="Arial"/>
          <w:noProof/>
          <w:lang w:val="bs-Latn-BA"/>
        </w:rPr>
      </w:pPr>
    </w:p>
    <w:p w14:paraId="6206B8D2" w14:textId="77777777" w:rsidR="00902823" w:rsidRPr="005F276D" w:rsidRDefault="00000F8F" w:rsidP="00441B6F">
      <w:pPr>
        <w:pStyle w:val="Head1"/>
        <w:spacing w:after="0"/>
        <w:jc w:val="both"/>
        <w:rPr>
          <w:rFonts w:ascii="Arial" w:hAnsi="Arial" w:cs="Arial"/>
          <w:noProof/>
          <w:lang w:val="bs-Latn-BA"/>
        </w:rPr>
      </w:pPr>
      <w:r w:rsidRPr="005F276D">
        <w:rPr>
          <w:rFonts w:ascii="Arial" w:hAnsi="Arial" w:cs="Arial"/>
          <w:noProof/>
          <w:lang w:val="bs-Latn-BA"/>
        </w:rPr>
        <w:t>3</w:t>
      </w:r>
      <w:r w:rsidR="00902823" w:rsidRPr="005F276D">
        <w:rPr>
          <w:rFonts w:ascii="Arial" w:hAnsi="Arial" w:cs="Arial"/>
          <w:noProof/>
          <w:lang w:val="bs-Latn-BA"/>
        </w:rPr>
        <w:t xml:space="preserve">. </w:t>
      </w:r>
      <w:r w:rsidRPr="005F276D">
        <w:rPr>
          <w:rFonts w:ascii="Arial" w:hAnsi="Arial" w:cs="Arial"/>
          <w:noProof/>
          <w:lang w:val="bs-Latn-BA"/>
        </w:rPr>
        <w:t>results and discussion</w:t>
      </w:r>
    </w:p>
    <w:p w14:paraId="36ED2855" w14:textId="77777777" w:rsidR="00790ADA" w:rsidRPr="005F276D" w:rsidRDefault="00790ADA" w:rsidP="00441B6F">
      <w:pPr>
        <w:pStyle w:val="Head1"/>
        <w:spacing w:after="0"/>
        <w:jc w:val="both"/>
        <w:rPr>
          <w:rFonts w:ascii="Arial" w:hAnsi="Arial" w:cs="Arial"/>
          <w:noProof/>
          <w:lang w:val="bs-Latn-BA"/>
        </w:rPr>
      </w:pPr>
    </w:p>
    <w:p w14:paraId="433108C4" w14:textId="77777777" w:rsidR="0080065C" w:rsidRPr="009554BB" w:rsidRDefault="0080065C" w:rsidP="00C309DD">
      <w:pPr>
        <w:spacing w:before="100" w:beforeAutospacing="1" w:after="100" w:afterAutospacing="1"/>
        <w:jc w:val="both"/>
        <w:rPr>
          <w:rFonts w:ascii="Arial" w:hAnsi="Arial" w:cs="Arial"/>
          <w:b/>
          <w:noProof/>
          <w:lang w:val="bs-Latn-BA"/>
        </w:rPr>
      </w:pPr>
      <w:r w:rsidRPr="009554BB">
        <w:rPr>
          <w:rFonts w:ascii="Arial" w:hAnsi="Arial" w:cs="Arial"/>
          <w:noProof/>
          <w:lang w:val="bs-Latn-BA"/>
        </w:rPr>
        <w:t>The results of determining the phenolic and flavonoid content in cinnamon extracts indicate a significant variation in extraction efficiency depending on the type of solvent and their mixtures.</w:t>
      </w:r>
      <w:r w:rsidR="00D17FDD" w:rsidRPr="009554BB">
        <w:rPr>
          <w:rFonts w:ascii="Arial" w:hAnsi="Arial" w:cs="Arial"/>
          <w:noProof/>
          <w:lang w:val="bs-Latn-BA"/>
        </w:rPr>
        <w:t xml:space="preserve"> (Tab.1)</w:t>
      </w:r>
    </w:p>
    <w:p w14:paraId="4B2A1068" w14:textId="77777777" w:rsidR="00D17FDD" w:rsidRPr="009554BB" w:rsidRDefault="00D17FDD" w:rsidP="00D17FDD">
      <w:pPr>
        <w:spacing w:before="100" w:beforeAutospacing="1" w:after="100" w:afterAutospacing="1"/>
        <w:jc w:val="center"/>
        <w:rPr>
          <w:rFonts w:ascii="Arial" w:hAnsi="Arial" w:cs="Arial"/>
          <w:b/>
          <w:noProof/>
          <w:lang w:val="bs-Latn-BA"/>
        </w:rPr>
      </w:pPr>
      <w:r w:rsidRPr="009554BB">
        <w:rPr>
          <w:rFonts w:ascii="Arial" w:hAnsi="Arial" w:cs="Arial"/>
          <w:b/>
          <w:noProof/>
          <w:lang w:val="bs-Latn-BA"/>
        </w:rPr>
        <w:t>Table 1.</w:t>
      </w:r>
      <w:r w:rsidR="00C309DD" w:rsidRPr="009554BB">
        <w:rPr>
          <w:rFonts w:ascii="Arial" w:hAnsi="Arial" w:cs="Arial"/>
          <w:b/>
          <w:noProof/>
          <w:lang w:val="bs-Latn-BA"/>
        </w:rPr>
        <w:t xml:space="preserve"> Content of total polyphenols and flavonoids of Cinnamomum verum extracts</w:t>
      </w:r>
    </w:p>
    <w:tbl>
      <w:tblPr>
        <w:tblW w:w="7761" w:type="dxa"/>
        <w:jc w:val="center"/>
        <w:tblLayout w:type="fixed"/>
        <w:tblLook w:val="01E0" w:firstRow="1" w:lastRow="1" w:firstColumn="1" w:lastColumn="1" w:noHBand="0" w:noVBand="0"/>
      </w:tblPr>
      <w:tblGrid>
        <w:gridCol w:w="2042"/>
        <w:gridCol w:w="1838"/>
        <w:gridCol w:w="2044"/>
        <w:gridCol w:w="1837"/>
      </w:tblGrid>
      <w:tr w:rsidR="00D17FDD" w:rsidRPr="009554BB" w14:paraId="70AE8D5F" w14:textId="77777777" w:rsidTr="00FE5055">
        <w:trPr>
          <w:trHeight w:val="600"/>
          <w:jc w:val="center"/>
        </w:trPr>
        <w:tc>
          <w:tcPr>
            <w:tcW w:w="2042" w:type="dxa"/>
            <w:tcBorders>
              <w:top w:val="single" w:sz="8" w:space="0" w:color="auto"/>
            </w:tcBorders>
            <w:vAlign w:val="center"/>
          </w:tcPr>
          <w:p w14:paraId="27C45161" w14:textId="77777777" w:rsidR="00D17FDD" w:rsidRPr="009554BB" w:rsidRDefault="00D17FDD" w:rsidP="00FE5055">
            <w:pPr>
              <w:pStyle w:val="NormalWeb"/>
              <w:widowControl w:val="0"/>
              <w:spacing w:line="360" w:lineRule="auto"/>
              <w:jc w:val="both"/>
              <w:rPr>
                <w:rFonts w:ascii="Arial" w:hAnsi="Arial" w:cs="Arial"/>
                <w:b/>
                <w:noProof/>
                <w:sz w:val="20"/>
                <w:szCs w:val="20"/>
                <w:lang w:val="bs-Latn-BA"/>
              </w:rPr>
            </w:pPr>
            <w:r w:rsidRPr="009554BB">
              <w:rPr>
                <w:rFonts w:ascii="Arial" w:hAnsi="Arial" w:cs="Arial"/>
                <w:b/>
                <w:noProof/>
                <w:sz w:val="20"/>
                <w:szCs w:val="20"/>
                <w:lang w:val="bs-Latn-BA"/>
              </w:rPr>
              <w:t>Extraction solvent</w:t>
            </w:r>
          </w:p>
        </w:tc>
        <w:tc>
          <w:tcPr>
            <w:tcW w:w="1838" w:type="dxa"/>
            <w:tcBorders>
              <w:top w:val="single" w:sz="8" w:space="0" w:color="auto"/>
            </w:tcBorders>
            <w:vAlign w:val="center"/>
          </w:tcPr>
          <w:p w14:paraId="3172C9C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Solvent ratio</w:t>
            </w:r>
          </w:p>
          <w:p w14:paraId="1BB3EBC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(v/v)</w:t>
            </w:r>
          </w:p>
        </w:tc>
        <w:tc>
          <w:tcPr>
            <w:tcW w:w="2044" w:type="dxa"/>
            <w:tcBorders>
              <w:top w:val="single" w:sz="8" w:space="0" w:color="auto"/>
            </w:tcBorders>
            <w:vAlign w:val="center"/>
          </w:tcPr>
          <w:p w14:paraId="6069F1C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TPC</w:t>
            </w:r>
          </w:p>
          <w:p w14:paraId="5B6C9AF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[mg GAE/g]</w:t>
            </w:r>
          </w:p>
        </w:tc>
        <w:tc>
          <w:tcPr>
            <w:tcW w:w="1837" w:type="dxa"/>
            <w:tcBorders>
              <w:top w:val="single" w:sz="8" w:space="0" w:color="auto"/>
            </w:tcBorders>
            <w:vAlign w:val="center"/>
          </w:tcPr>
          <w:p w14:paraId="7081900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TFC</w:t>
            </w:r>
          </w:p>
          <w:p w14:paraId="357F536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b/>
                <w:noProof/>
                <w:sz w:val="20"/>
                <w:szCs w:val="20"/>
                <w:lang w:val="bs-Latn-BA"/>
              </w:rPr>
            </w:pPr>
            <w:r w:rsidRPr="009554BB">
              <w:rPr>
                <w:rFonts w:ascii="Arial" w:hAnsi="Arial" w:cs="Arial"/>
                <w:b/>
                <w:noProof/>
                <w:sz w:val="20"/>
                <w:szCs w:val="20"/>
                <w:lang w:val="bs-Latn-BA"/>
              </w:rPr>
              <w:t>[mg QE/g]</w:t>
            </w:r>
          </w:p>
        </w:tc>
      </w:tr>
      <w:tr w:rsidR="00D17FDD" w:rsidRPr="009554BB" w14:paraId="306303B3" w14:textId="77777777" w:rsidTr="00FE5055">
        <w:trPr>
          <w:trHeight w:val="54"/>
          <w:jc w:val="center"/>
        </w:trPr>
        <w:tc>
          <w:tcPr>
            <w:tcW w:w="2042" w:type="dxa"/>
            <w:tcBorders>
              <w:top w:val="single" w:sz="8" w:space="0" w:color="auto"/>
            </w:tcBorders>
          </w:tcPr>
          <w:p w14:paraId="73726D3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t>
            </w:r>
          </w:p>
        </w:tc>
        <w:tc>
          <w:tcPr>
            <w:tcW w:w="1838" w:type="dxa"/>
            <w:tcBorders>
              <w:top w:val="single" w:sz="8" w:space="0" w:color="auto"/>
            </w:tcBorders>
          </w:tcPr>
          <w:p w14:paraId="07D5EDE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Borders>
              <w:top w:val="single" w:sz="8" w:space="0" w:color="auto"/>
            </w:tcBorders>
          </w:tcPr>
          <w:p w14:paraId="351516B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126,76</w:t>
            </w:r>
          </w:p>
        </w:tc>
        <w:tc>
          <w:tcPr>
            <w:tcW w:w="1837" w:type="dxa"/>
            <w:tcBorders>
              <w:top w:val="single" w:sz="8" w:space="0" w:color="auto"/>
            </w:tcBorders>
          </w:tcPr>
          <w:p w14:paraId="0515CCE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0,1524</w:t>
            </w:r>
          </w:p>
        </w:tc>
      </w:tr>
      <w:tr w:rsidR="00D17FDD" w:rsidRPr="009554BB" w14:paraId="41C7ADE7" w14:textId="77777777" w:rsidTr="00FE5055">
        <w:trPr>
          <w:trHeight w:val="128"/>
          <w:jc w:val="center"/>
        </w:trPr>
        <w:tc>
          <w:tcPr>
            <w:tcW w:w="2042" w:type="dxa"/>
          </w:tcPr>
          <w:p w14:paraId="6191C9E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30FCC2D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6BCBBD5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240,69</w:t>
            </w:r>
          </w:p>
        </w:tc>
        <w:tc>
          <w:tcPr>
            <w:tcW w:w="1837" w:type="dxa"/>
          </w:tcPr>
          <w:p w14:paraId="022ADF5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0,275</w:t>
            </w:r>
          </w:p>
        </w:tc>
      </w:tr>
      <w:tr w:rsidR="00D17FDD" w:rsidRPr="009554BB" w14:paraId="3316EBBD" w14:textId="77777777" w:rsidTr="00FE5055">
        <w:trPr>
          <w:trHeight w:val="128"/>
          <w:jc w:val="center"/>
        </w:trPr>
        <w:tc>
          <w:tcPr>
            <w:tcW w:w="2042" w:type="dxa"/>
          </w:tcPr>
          <w:p w14:paraId="24675CD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2C60D65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1A0B3FE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215,26</w:t>
            </w:r>
          </w:p>
        </w:tc>
        <w:tc>
          <w:tcPr>
            <w:tcW w:w="1837" w:type="dxa"/>
          </w:tcPr>
          <w:p w14:paraId="3C9ECC7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0,291</w:t>
            </w:r>
          </w:p>
        </w:tc>
      </w:tr>
      <w:tr w:rsidR="00D17FDD" w:rsidRPr="009554BB" w14:paraId="4CFD1FF4" w14:textId="77777777" w:rsidTr="00FE5055">
        <w:trPr>
          <w:trHeight w:val="128"/>
          <w:jc w:val="center"/>
        </w:trPr>
        <w:tc>
          <w:tcPr>
            <w:tcW w:w="2042" w:type="dxa"/>
          </w:tcPr>
          <w:p w14:paraId="115E8AD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7300A05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7A13DB5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158,62</w:t>
            </w:r>
          </w:p>
        </w:tc>
        <w:tc>
          <w:tcPr>
            <w:tcW w:w="1837" w:type="dxa"/>
          </w:tcPr>
          <w:p w14:paraId="66D3234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0,2991</w:t>
            </w:r>
          </w:p>
        </w:tc>
      </w:tr>
      <w:tr w:rsidR="00D17FDD" w:rsidRPr="009554BB" w14:paraId="704884CD" w14:textId="77777777" w:rsidTr="00FE5055">
        <w:trPr>
          <w:trHeight w:val="128"/>
          <w:jc w:val="center"/>
        </w:trPr>
        <w:tc>
          <w:tcPr>
            <w:tcW w:w="2042" w:type="dxa"/>
          </w:tcPr>
          <w:p w14:paraId="25BFA03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838" w:type="dxa"/>
          </w:tcPr>
          <w:p w14:paraId="4372503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137D5AC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177,95</w:t>
            </w:r>
          </w:p>
        </w:tc>
        <w:tc>
          <w:tcPr>
            <w:tcW w:w="1837" w:type="dxa"/>
          </w:tcPr>
          <w:p w14:paraId="4B11431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0,2795</w:t>
            </w:r>
          </w:p>
        </w:tc>
      </w:tr>
      <w:tr w:rsidR="00D17FDD" w:rsidRPr="009554BB" w14:paraId="179401CB" w14:textId="77777777" w:rsidTr="00FE5055">
        <w:trPr>
          <w:trHeight w:val="128"/>
          <w:jc w:val="center"/>
        </w:trPr>
        <w:tc>
          <w:tcPr>
            <w:tcW w:w="2042" w:type="dxa"/>
          </w:tcPr>
          <w:p w14:paraId="291BA17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t>
            </w:r>
          </w:p>
        </w:tc>
        <w:tc>
          <w:tcPr>
            <w:tcW w:w="1838" w:type="dxa"/>
          </w:tcPr>
          <w:p w14:paraId="240D0DF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Pr>
          <w:p w14:paraId="23DEADF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252,12</w:t>
            </w:r>
          </w:p>
        </w:tc>
        <w:tc>
          <w:tcPr>
            <w:tcW w:w="1837" w:type="dxa"/>
          </w:tcPr>
          <w:p w14:paraId="30C52E7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0,2212</w:t>
            </w:r>
          </w:p>
        </w:tc>
      </w:tr>
      <w:tr w:rsidR="00D17FDD" w:rsidRPr="009554BB" w14:paraId="36EA73A3" w14:textId="77777777" w:rsidTr="00FE5055">
        <w:trPr>
          <w:trHeight w:val="128"/>
          <w:jc w:val="center"/>
        </w:trPr>
        <w:tc>
          <w:tcPr>
            <w:tcW w:w="2042" w:type="dxa"/>
          </w:tcPr>
          <w:p w14:paraId="241580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lastRenderedPageBreak/>
              <w:t>MeOH:Water</w:t>
            </w:r>
          </w:p>
        </w:tc>
        <w:tc>
          <w:tcPr>
            <w:tcW w:w="1838" w:type="dxa"/>
          </w:tcPr>
          <w:p w14:paraId="67F220E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4EE4284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250,74</w:t>
            </w:r>
          </w:p>
        </w:tc>
        <w:tc>
          <w:tcPr>
            <w:tcW w:w="1837" w:type="dxa"/>
          </w:tcPr>
          <w:p w14:paraId="21EA5C7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0,2562</w:t>
            </w:r>
          </w:p>
        </w:tc>
      </w:tr>
      <w:tr w:rsidR="00D17FDD" w:rsidRPr="009554BB" w14:paraId="6062E7D2" w14:textId="77777777" w:rsidTr="00FE5055">
        <w:trPr>
          <w:trHeight w:val="128"/>
          <w:jc w:val="center"/>
        </w:trPr>
        <w:tc>
          <w:tcPr>
            <w:tcW w:w="2042" w:type="dxa"/>
          </w:tcPr>
          <w:p w14:paraId="5B62FA5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7F2B02C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3016229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147,45</w:t>
            </w:r>
          </w:p>
        </w:tc>
        <w:tc>
          <w:tcPr>
            <w:tcW w:w="1837" w:type="dxa"/>
          </w:tcPr>
          <w:p w14:paraId="5C3B0CB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0,1619</w:t>
            </w:r>
          </w:p>
        </w:tc>
      </w:tr>
      <w:tr w:rsidR="00D17FDD" w:rsidRPr="009554BB" w14:paraId="0048F0CB" w14:textId="77777777" w:rsidTr="00FE5055">
        <w:trPr>
          <w:trHeight w:val="128"/>
          <w:jc w:val="center"/>
        </w:trPr>
        <w:tc>
          <w:tcPr>
            <w:tcW w:w="2042" w:type="dxa"/>
          </w:tcPr>
          <w:p w14:paraId="4D64575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1D77FF6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1F8DAE8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90,07</w:t>
            </w:r>
          </w:p>
        </w:tc>
        <w:tc>
          <w:tcPr>
            <w:tcW w:w="1837" w:type="dxa"/>
          </w:tcPr>
          <w:p w14:paraId="196CDC3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0,0988</w:t>
            </w:r>
          </w:p>
        </w:tc>
      </w:tr>
      <w:tr w:rsidR="00D17FDD" w:rsidRPr="009554BB" w14:paraId="7C0EFD76" w14:textId="77777777" w:rsidTr="00FE5055">
        <w:trPr>
          <w:trHeight w:val="128"/>
          <w:jc w:val="center"/>
        </w:trPr>
        <w:tc>
          <w:tcPr>
            <w:tcW w:w="2042" w:type="dxa"/>
          </w:tcPr>
          <w:p w14:paraId="094A41D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838" w:type="dxa"/>
          </w:tcPr>
          <w:p w14:paraId="00CB868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1AF4D99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118,83</w:t>
            </w:r>
          </w:p>
        </w:tc>
        <w:tc>
          <w:tcPr>
            <w:tcW w:w="1837" w:type="dxa"/>
          </w:tcPr>
          <w:p w14:paraId="3E4BC69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0,1246</w:t>
            </w:r>
          </w:p>
        </w:tc>
      </w:tr>
      <w:tr w:rsidR="00D17FDD" w:rsidRPr="009554BB" w14:paraId="359A909F" w14:textId="77777777" w:rsidTr="00FE5055">
        <w:trPr>
          <w:trHeight w:val="128"/>
          <w:jc w:val="center"/>
        </w:trPr>
        <w:tc>
          <w:tcPr>
            <w:tcW w:w="2042" w:type="dxa"/>
          </w:tcPr>
          <w:p w14:paraId="661E959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t>
            </w:r>
          </w:p>
        </w:tc>
        <w:tc>
          <w:tcPr>
            <w:tcW w:w="1838" w:type="dxa"/>
          </w:tcPr>
          <w:p w14:paraId="3E5DE0A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Pr>
          <w:p w14:paraId="327F565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159,02</w:t>
            </w:r>
          </w:p>
        </w:tc>
        <w:tc>
          <w:tcPr>
            <w:tcW w:w="1837" w:type="dxa"/>
          </w:tcPr>
          <w:p w14:paraId="5A20C10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0,2927</w:t>
            </w:r>
          </w:p>
        </w:tc>
      </w:tr>
      <w:tr w:rsidR="00D17FDD" w:rsidRPr="009554BB" w14:paraId="5F03B55F" w14:textId="77777777" w:rsidTr="00FE5055">
        <w:trPr>
          <w:trHeight w:val="128"/>
          <w:jc w:val="center"/>
        </w:trPr>
        <w:tc>
          <w:tcPr>
            <w:tcW w:w="2042" w:type="dxa"/>
          </w:tcPr>
          <w:p w14:paraId="05AB047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0CD842B9"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40:10</w:t>
            </w:r>
          </w:p>
        </w:tc>
        <w:tc>
          <w:tcPr>
            <w:tcW w:w="2044" w:type="dxa"/>
          </w:tcPr>
          <w:p w14:paraId="5F846AB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294,12</w:t>
            </w:r>
          </w:p>
        </w:tc>
        <w:tc>
          <w:tcPr>
            <w:tcW w:w="1837" w:type="dxa"/>
          </w:tcPr>
          <w:p w14:paraId="75FF524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0,4972</w:t>
            </w:r>
          </w:p>
        </w:tc>
      </w:tr>
      <w:tr w:rsidR="00D17FDD" w:rsidRPr="009554BB" w14:paraId="45EBEBFA" w14:textId="77777777" w:rsidTr="00FE5055">
        <w:trPr>
          <w:trHeight w:val="128"/>
          <w:jc w:val="center"/>
        </w:trPr>
        <w:tc>
          <w:tcPr>
            <w:tcW w:w="2042" w:type="dxa"/>
          </w:tcPr>
          <w:p w14:paraId="2C51E00B"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5C0CDA5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30:20</w:t>
            </w:r>
          </w:p>
        </w:tc>
        <w:tc>
          <w:tcPr>
            <w:tcW w:w="2044" w:type="dxa"/>
          </w:tcPr>
          <w:p w14:paraId="74220FD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358,98</w:t>
            </w:r>
          </w:p>
        </w:tc>
        <w:tc>
          <w:tcPr>
            <w:tcW w:w="1837" w:type="dxa"/>
          </w:tcPr>
          <w:p w14:paraId="59C717E1"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0,5538</w:t>
            </w:r>
          </w:p>
        </w:tc>
      </w:tr>
      <w:tr w:rsidR="00D17FDD" w:rsidRPr="009554BB" w14:paraId="77E892C4" w14:textId="77777777" w:rsidTr="00FE5055">
        <w:trPr>
          <w:trHeight w:val="128"/>
          <w:jc w:val="center"/>
        </w:trPr>
        <w:tc>
          <w:tcPr>
            <w:tcW w:w="2042" w:type="dxa"/>
          </w:tcPr>
          <w:p w14:paraId="06C8BC7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5DF341F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20:30</w:t>
            </w:r>
          </w:p>
        </w:tc>
        <w:tc>
          <w:tcPr>
            <w:tcW w:w="2044" w:type="dxa"/>
          </w:tcPr>
          <w:p w14:paraId="5835F8D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406,02</w:t>
            </w:r>
          </w:p>
        </w:tc>
        <w:tc>
          <w:tcPr>
            <w:tcW w:w="1837" w:type="dxa"/>
          </w:tcPr>
          <w:p w14:paraId="2999449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0,6938</w:t>
            </w:r>
          </w:p>
        </w:tc>
      </w:tr>
      <w:tr w:rsidR="00D17FDD" w:rsidRPr="009554BB" w14:paraId="098957B2" w14:textId="77777777" w:rsidTr="00FE5055">
        <w:trPr>
          <w:trHeight w:val="128"/>
          <w:jc w:val="center"/>
        </w:trPr>
        <w:tc>
          <w:tcPr>
            <w:tcW w:w="2042" w:type="dxa"/>
          </w:tcPr>
          <w:p w14:paraId="3053617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838" w:type="dxa"/>
          </w:tcPr>
          <w:p w14:paraId="09CEDA3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10:40</w:t>
            </w:r>
          </w:p>
        </w:tc>
        <w:tc>
          <w:tcPr>
            <w:tcW w:w="2044" w:type="dxa"/>
          </w:tcPr>
          <w:p w14:paraId="5F971EFD"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425,2</w:t>
            </w:r>
          </w:p>
        </w:tc>
        <w:tc>
          <w:tcPr>
            <w:tcW w:w="1837" w:type="dxa"/>
          </w:tcPr>
          <w:p w14:paraId="438CBF0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0,7125</w:t>
            </w:r>
          </w:p>
        </w:tc>
      </w:tr>
      <w:tr w:rsidR="00D17FDD" w:rsidRPr="009554BB" w14:paraId="4A40C7DC" w14:textId="77777777" w:rsidTr="00FE5055">
        <w:trPr>
          <w:trHeight w:val="128"/>
          <w:jc w:val="center"/>
        </w:trPr>
        <w:tc>
          <w:tcPr>
            <w:tcW w:w="2042" w:type="dxa"/>
            <w:tcBorders>
              <w:bottom w:val="single" w:sz="8" w:space="0" w:color="auto"/>
            </w:tcBorders>
          </w:tcPr>
          <w:p w14:paraId="74F60D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Water</w:t>
            </w:r>
          </w:p>
        </w:tc>
        <w:tc>
          <w:tcPr>
            <w:tcW w:w="1838" w:type="dxa"/>
            <w:tcBorders>
              <w:bottom w:val="single" w:sz="8" w:space="0" w:color="auto"/>
            </w:tcBorders>
          </w:tcPr>
          <w:p w14:paraId="1E7385F0" w14:textId="77777777" w:rsidR="00D17FDD" w:rsidRPr="009554BB" w:rsidRDefault="007D1E0F"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t>
            </w:r>
          </w:p>
        </w:tc>
        <w:tc>
          <w:tcPr>
            <w:tcW w:w="2044" w:type="dxa"/>
            <w:tcBorders>
              <w:bottom w:val="single" w:sz="8" w:space="0" w:color="auto"/>
            </w:tcBorders>
          </w:tcPr>
          <w:p w14:paraId="50E6113E"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55,83</w:t>
            </w:r>
          </w:p>
        </w:tc>
        <w:tc>
          <w:tcPr>
            <w:tcW w:w="1837" w:type="dxa"/>
            <w:tcBorders>
              <w:bottom w:val="single" w:sz="8" w:space="0" w:color="auto"/>
            </w:tcBorders>
          </w:tcPr>
          <w:p w14:paraId="2530553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0,0752</w:t>
            </w:r>
          </w:p>
        </w:tc>
      </w:tr>
    </w:tbl>
    <w:p w14:paraId="32403051" w14:textId="77777777" w:rsidR="00790ADA" w:rsidRPr="009554BB" w:rsidRDefault="00790ADA" w:rsidP="00441B6F">
      <w:pPr>
        <w:pStyle w:val="Body"/>
        <w:spacing w:after="0"/>
        <w:rPr>
          <w:rFonts w:ascii="Arial" w:hAnsi="Arial" w:cs="Arial"/>
          <w:noProof/>
          <w:lang w:val="bs-Latn-BA"/>
        </w:rPr>
      </w:pPr>
    </w:p>
    <w:p w14:paraId="638A74C1" w14:textId="77777777" w:rsidR="00863BD3" w:rsidRPr="009554BB" w:rsidRDefault="00863BD3" w:rsidP="00441B6F">
      <w:pPr>
        <w:pStyle w:val="Body"/>
        <w:spacing w:after="0"/>
        <w:rPr>
          <w:rFonts w:ascii="Arial" w:hAnsi="Arial" w:cs="Arial"/>
          <w:noProof/>
          <w:lang w:val="bs-Latn-BA"/>
        </w:rPr>
      </w:pPr>
    </w:p>
    <w:p w14:paraId="51AE0E71" w14:textId="77777777" w:rsidR="00D17FDD" w:rsidRPr="009554BB" w:rsidRDefault="00D17FDD" w:rsidP="00C309DD">
      <w:pPr>
        <w:pStyle w:val="Body"/>
        <w:spacing w:after="0"/>
        <w:rPr>
          <w:rFonts w:ascii="Arial" w:hAnsi="Arial" w:cs="Arial"/>
          <w:noProof/>
          <w:lang w:val="bs-Latn-BA"/>
        </w:rPr>
      </w:pPr>
      <w:r w:rsidRPr="009554BB">
        <w:rPr>
          <w:rFonts w:ascii="Arial" w:hAnsi="Arial" w:cs="Arial"/>
          <w:noProof/>
          <w:lang w:val="bs-Latn-BA"/>
        </w:rPr>
        <w:t>The content of phenols and flavonoids in cinnamon extracts obtained using different solvents—ethanol, methanol, acetone, and water, as well as combinations of these solvents with water in various ratios—was investigated. Phenols and flavonoids are bioactive compounds frequently studied for their potential health benefits, including antioxidant and anti-inflammatory properties.</w:t>
      </w:r>
    </w:p>
    <w:p w14:paraId="1D6CE855" w14:textId="77777777" w:rsidR="00D17FDD" w:rsidRPr="009554BB" w:rsidRDefault="00D17FDD" w:rsidP="00D17FDD">
      <w:pPr>
        <w:pStyle w:val="Body"/>
        <w:spacing w:after="0"/>
        <w:jc w:val="left"/>
        <w:rPr>
          <w:rStyle w:val="Strong"/>
          <w:rFonts w:ascii="Arial" w:hAnsi="Arial" w:cs="Arial"/>
          <w:noProof/>
          <w:lang w:val="bs-Latn-BA"/>
        </w:rPr>
      </w:pPr>
      <w:r w:rsidRPr="009554BB">
        <w:rPr>
          <w:rFonts w:ascii="Arial" w:hAnsi="Arial" w:cs="Arial"/>
          <w:noProof/>
          <w:lang w:val="bs-Latn-BA"/>
        </w:rPr>
        <w:br/>
      </w:r>
      <w:r w:rsidRPr="009554BB">
        <w:rPr>
          <w:rStyle w:val="Strong"/>
          <w:rFonts w:ascii="Arial" w:hAnsi="Arial" w:cs="Arial"/>
          <w:noProof/>
          <w:lang w:val="bs-Latn-BA"/>
        </w:rPr>
        <w:t>Effect of Different Solvents on the Extraction of Bioactive Components</w:t>
      </w:r>
    </w:p>
    <w:p w14:paraId="7619D234" w14:textId="77777777" w:rsidR="00E053D0" w:rsidRPr="009554BB" w:rsidRDefault="00D17FDD" w:rsidP="00C309DD">
      <w:pPr>
        <w:pStyle w:val="Body"/>
        <w:spacing w:after="0"/>
        <w:rPr>
          <w:rFonts w:ascii="Arial" w:hAnsi="Arial" w:cs="Arial"/>
          <w:noProof/>
          <w:lang w:val="bs-Latn-BA"/>
        </w:rPr>
      </w:pPr>
      <w:r w:rsidRPr="009554BB">
        <w:rPr>
          <w:rFonts w:ascii="Arial" w:hAnsi="Arial" w:cs="Arial"/>
          <w:noProof/>
          <w:lang w:val="bs-Latn-BA"/>
        </w:rPr>
        <w:br/>
        <w:t>Ethanol yielded 126.76 mg/g of phenols, which is relatively low compared to the other solvents. The use of ethanol-water mixtures (in different ratios) resulted in higher phenol concentrations, with a maximum content of 240.69 mg/g at a 40:10 ethanol:water ratio, which is significantly higher than that of pure ethanol. These results suggest that the ethanol-water mixture may better extract phenols from plant material, due to the change in solvent polarity that enhances the so</w:t>
      </w:r>
      <w:r w:rsidR="00C309DD" w:rsidRPr="009554BB">
        <w:rPr>
          <w:rFonts w:ascii="Arial" w:hAnsi="Arial" w:cs="Arial"/>
          <w:noProof/>
          <w:lang w:val="bs-Latn-BA"/>
        </w:rPr>
        <w:t xml:space="preserve">lubility of phenolic compounds. </w:t>
      </w:r>
      <w:r w:rsidRPr="009554BB">
        <w:rPr>
          <w:rFonts w:ascii="Arial" w:hAnsi="Arial" w:cs="Arial"/>
          <w:noProof/>
          <w:lang w:val="bs-Latn-BA"/>
        </w:rPr>
        <w:t>Methanol showed a higher phenol content (252.12 mg/g) compared to ethanol, indicating that methanol is a more efficient solvent for phenolic compounds. Methanol-water mixtures also achieved high values, though their phenol content was lower compared to pure methanol. For example, the 40:10 methanol:water ratio yielded 250.74 mg/g of phenols, while reducing the methanol concentration in the solvent (lower methanol:water ratio) further decreased the phenol content. This decline in extraction efficiency can be attributed to the dilution of methanol with water, which reduces the overall polarity of the solvent and, therefore, its ability to effectiv</w:t>
      </w:r>
      <w:r w:rsidR="00C309DD" w:rsidRPr="009554BB">
        <w:rPr>
          <w:rFonts w:ascii="Arial" w:hAnsi="Arial" w:cs="Arial"/>
          <w:noProof/>
          <w:lang w:val="bs-Latn-BA"/>
        </w:rPr>
        <w:t xml:space="preserve">ely extract phenolic compounds. </w:t>
      </w:r>
      <w:r w:rsidRPr="009554BB">
        <w:rPr>
          <w:rFonts w:ascii="Arial" w:hAnsi="Arial" w:cs="Arial"/>
          <w:noProof/>
          <w:lang w:val="bs-Latn-BA"/>
        </w:rPr>
        <w:t>Acetone as a solvent showed relatively high phenol values in its pure form (159.02 mg/g), but acetone-water mixtures provided the highest results: at a 10:40 Acetone:water ratio, the phenol content was 406.02 mg/g, the highest value among all the tested extracts. These results suggest that acetone can be highly efficient in extracting phenols, especially in combination with water. Water, as the sole solvent, contained 55.83 mg/g of phenols, which is significantly lower compared to all other tested solvents. This result is expected, as water, despite being a polar solvent, is not polar enough to effectively extract a wide range of phenolic compounds, which dissolve more readily in organic solvents such as methanol, ethanol, or acetone.</w:t>
      </w:r>
    </w:p>
    <w:p w14:paraId="57A2001D" w14:textId="77777777" w:rsidR="00790ADA" w:rsidRPr="009554BB" w:rsidRDefault="00790ADA" w:rsidP="00D17FDD">
      <w:pPr>
        <w:pStyle w:val="Body"/>
        <w:spacing w:after="0"/>
        <w:jc w:val="left"/>
        <w:rPr>
          <w:rFonts w:ascii="Arial" w:hAnsi="Arial" w:cs="Arial"/>
          <w:noProof/>
          <w:lang w:val="bs-Latn-BA"/>
        </w:rPr>
      </w:pPr>
    </w:p>
    <w:p w14:paraId="7CEB2FAC" w14:textId="77777777" w:rsidR="00D17FDD" w:rsidRPr="009554BB" w:rsidRDefault="00434907" w:rsidP="00D17FDD">
      <w:pPr>
        <w:pStyle w:val="Body"/>
        <w:spacing w:after="0"/>
        <w:jc w:val="center"/>
        <w:rPr>
          <w:rFonts w:ascii="Arial" w:hAnsi="Arial" w:cs="Arial"/>
          <w:noProof/>
          <w:lang w:val="bs-Latn-BA"/>
        </w:rPr>
      </w:pPr>
      <w:r>
        <w:rPr>
          <w:noProof/>
        </w:rPr>
        <w:lastRenderedPageBreak/>
        <w:drawing>
          <wp:inline distT="0" distB="0" distL="0" distR="0" wp14:anchorId="4E333540" wp14:editId="1D8EC99E">
            <wp:extent cx="4900613" cy="2957512"/>
            <wp:effectExtent l="0" t="0"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90E333" w14:textId="77777777" w:rsidR="00D17FDD" w:rsidRPr="009554BB" w:rsidRDefault="00C309DD" w:rsidP="00D17FDD">
      <w:pPr>
        <w:pStyle w:val="Body"/>
        <w:spacing w:after="0"/>
        <w:jc w:val="center"/>
        <w:rPr>
          <w:rFonts w:ascii="Arial" w:hAnsi="Arial" w:cs="Arial"/>
          <w:b/>
          <w:noProof/>
          <w:lang w:val="bs-Latn-BA"/>
        </w:rPr>
      </w:pPr>
      <w:r w:rsidRPr="009554BB">
        <w:rPr>
          <w:rFonts w:ascii="Arial" w:hAnsi="Arial" w:cs="Arial"/>
          <w:b/>
          <w:noProof/>
          <w:lang w:val="bs-Latn-BA"/>
        </w:rPr>
        <w:t>Fig.3 Content of total polyphenols in extracts of Cinnamomum verum</w:t>
      </w:r>
    </w:p>
    <w:p w14:paraId="02691657"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Ethanol showed a relatively low flavonoid content (0.1524 mg/g), suggesting that it is not an optimal solvent for the extraction of flavonoids from cinnamon. Flavonoids are specific phenolic compounds that, although polar, often exhibit lower polarity compared to other phenolic constituents. Therefore, solvents like ethanol, which are effective in extracting phenols, may not be equally effective in isolating flavonoids, which may require solvents with more specific properties. When ethanol is mixed with water in various ratios, the polarity of the solvent changes, which can significantly influence the efficiency of flavonoid extraction. For example, an ethanol-water mixture in a 20:30 ethanol:water ratio showed an increased flavonoid content of 0.2991 mg/g, indicating that combining these two solvents can enhance flavonoid extraction compared to pure ethanol. This result may be due to a synergistic effect where water increases the solvent’s polarity, allowing better solubility of flavonoids, which are often less polar than phenols.</w:t>
      </w:r>
    </w:p>
    <w:p w14:paraId="148AAFEB"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Methanol yielded 0.2212 mg/g of flavonoids in its pure form, while mixtures with water showed a decrease in flavonoid content, with the lowest value observed at a 20:30 methanol:water ratio (0.0988 mg/g). This suggests that methanol is not particularly effective for flavonoid extraction compared to other solvents.</w:t>
      </w:r>
    </w:p>
    <w:p w14:paraId="278B9993"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Acetone demonstrated the best performance for flavonoid extraction, with 0.2927 mg/g in the pure extract, indicating its high efficiency as a solvent for these bioactive compounds. Moreover, acetone-water mixtures further increased the flavonoid content, reaching 0.4972 mg/g at a 40:10 acetone:water ratio. Although flavonoids are polar, their polarity varies depending on their structure. They typically consist of aromatic rings with hydroxyl groups (–OH) capable of forming hydrogen bonds with the solvent. Acetone, due to its moderate polarity, effectively dissolves flavonoids, especially those with less polar agglomerations, which explains the relatively high flavonoid content in pure acetone. Flavonoids often contain different functional groups capable of interacting with the solvent. Acetone can act as both a hydrogen bond donor and acceptor, enabling better solubilization of flavonoids containing hydroxyl and methoxy groups. When combined with water, the solvent system becomes even more efficient at extracting flavonoids, as water increases the overall polarity, thereby enhancing the extraction of flavonoids with more polar functional groups.Water alone showed the lowest flavonoid content (0.0752 mg/g), which is expected, as water is not an effective solvent for flavonoids, which are often less polar.</w:t>
      </w:r>
    </w:p>
    <w:p w14:paraId="318F66A8" w14:textId="77777777" w:rsidR="00D17FDD" w:rsidRPr="009554BB" w:rsidRDefault="00434907" w:rsidP="00D17FDD">
      <w:pPr>
        <w:spacing w:before="100" w:beforeAutospacing="1" w:after="100" w:afterAutospacing="1"/>
        <w:jc w:val="center"/>
        <w:rPr>
          <w:rFonts w:ascii="Arial" w:hAnsi="Arial" w:cs="Arial"/>
          <w:noProof/>
          <w:lang w:val="bs-Latn-BA"/>
        </w:rPr>
      </w:pPr>
      <w:r>
        <w:rPr>
          <w:noProof/>
        </w:rPr>
        <w:lastRenderedPageBreak/>
        <w:drawing>
          <wp:inline distT="0" distB="0" distL="0" distR="0" wp14:anchorId="09D9856C" wp14:editId="78E03D99">
            <wp:extent cx="4900613" cy="2957512"/>
            <wp:effectExtent l="0" t="0" r="146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621518" w14:textId="77777777" w:rsidR="00A27D6C" w:rsidRPr="009554BB" w:rsidRDefault="00A27D6C" w:rsidP="00A27D6C">
      <w:pPr>
        <w:pStyle w:val="Body"/>
        <w:spacing w:after="0"/>
        <w:jc w:val="center"/>
        <w:rPr>
          <w:rFonts w:ascii="Arial" w:hAnsi="Arial" w:cs="Arial"/>
          <w:b/>
          <w:noProof/>
          <w:lang w:val="bs-Latn-BA"/>
        </w:rPr>
      </w:pPr>
      <w:r w:rsidRPr="009554BB">
        <w:rPr>
          <w:rFonts w:ascii="Arial" w:hAnsi="Arial" w:cs="Arial"/>
          <w:b/>
          <w:noProof/>
          <w:lang w:val="bs-Latn-BA"/>
        </w:rPr>
        <w:t>Fig.4. Content of total flavonoids in extracts of Cinnamomum verum</w:t>
      </w:r>
    </w:p>
    <w:p w14:paraId="7ED0204B" w14:textId="77777777" w:rsidR="00D17FDD" w:rsidRPr="009554BB" w:rsidRDefault="00D17FDD" w:rsidP="00A27D6C">
      <w:pPr>
        <w:spacing w:before="100" w:beforeAutospacing="1" w:after="100" w:afterAutospacing="1"/>
        <w:jc w:val="both"/>
        <w:rPr>
          <w:rFonts w:ascii="Arial" w:hAnsi="Arial" w:cs="Arial"/>
          <w:noProof/>
          <w:lang w:val="bs-Latn-BA"/>
        </w:rPr>
      </w:pPr>
      <w:r w:rsidRPr="009554BB">
        <w:rPr>
          <w:rFonts w:ascii="Arial" w:hAnsi="Arial" w:cs="Arial"/>
          <w:noProof/>
          <w:lang w:val="bs-Latn-BA"/>
        </w:rPr>
        <w:t>Based on the results of the antioxidant activity of cinnamon extracts obtained using different solvents and their mixtures with water, two main</w:t>
      </w:r>
      <w:r w:rsidR="00A27D6C" w:rsidRPr="009554BB">
        <w:rPr>
          <w:rFonts w:ascii="Arial" w:hAnsi="Arial" w:cs="Arial"/>
          <w:noProof/>
          <w:lang w:val="bs-Latn-BA"/>
        </w:rPr>
        <w:t xml:space="preserve"> parameters can be analyzed and </w:t>
      </w:r>
      <w:r w:rsidRPr="009554BB">
        <w:rPr>
          <w:rFonts w:ascii="Arial" w:hAnsi="Arial" w:cs="Arial"/>
          <w:noProof/>
          <w:lang w:val="bs-Latn-BA"/>
        </w:rPr>
        <w:t>discussed: FRAP and DPPH inhibition. The results of the analysis are presented in the table 2.</w:t>
      </w:r>
    </w:p>
    <w:p w14:paraId="1173D0A4" w14:textId="77777777" w:rsidR="00D17FDD" w:rsidRPr="009554BB" w:rsidRDefault="00D17FDD" w:rsidP="001F2A4B">
      <w:pPr>
        <w:widowControl w:val="0"/>
        <w:autoSpaceDE w:val="0"/>
        <w:autoSpaceDN w:val="0"/>
        <w:adjustRightInd w:val="0"/>
        <w:spacing w:line="360" w:lineRule="auto"/>
        <w:jc w:val="center"/>
        <w:rPr>
          <w:rFonts w:ascii="Arial" w:hAnsi="Arial" w:cs="Arial"/>
          <w:b/>
          <w:noProof/>
          <w:lang w:val="bs-Latn-BA"/>
        </w:rPr>
      </w:pPr>
      <w:r w:rsidRPr="009554BB">
        <w:rPr>
          <w:rFonts w:ascii="Arial" w:hAnsi="Arial" w:cs="Arial"/>
          <w:b/>
          <w:noProof/>
          <w:lang w:val="bs-Latn-BA"/>
        </w:rPr>
        <w:t xml:space="preserve">Table 2. </w:t>
      </w:r>
      <w:r w:rsidR="001F2A4B" w:rsidRPr="009554BB">
        <w:rPr>
          <w:rFonts w:ascii="Arial" w:hAnsi="Arial" w:cs="Arial"/>
          <w:b/>
          <w:noProof/>
          <w:lang w:val="bs-Latn-BA"/>
        </w:rPr>
        <w:t>Antioxidant activity of Cinnamomum verum extracts</w:t>
      </w:r>
    </w:p>
    <w:tbl>
      <w:tblPr>
        <w:tblStyle w:val="PlainTable21"/>
        <w:tblW w:w="0" w:type="auto"/>
        <w:jc w:val="center"/>
        <w:tblBorders>
          <w:top w:val="single" w:sz="4" w:space="0" w:color="auto"/>
          <w:bottom w:val="single" w:sz="4" w:space="0" w:color="auto"/>
        </w:tblBorders>
        <w:tblLook w:val="04A0" w:firstRow="1" w:lastRow="0" w:firstColumn="1" w:lastColumn="0" w:noHBand="0" w:noVBand="1"/>
      </w:tblPr>
      <w:tblGrid>
        <w:gridCol w:w="1729"/>
        <w:gridCol w:w="1729"/>
        <w:gridCol w:w="2065"/>
        <w:gridCol w:w="2099"/>
      </w:tblGrid>
      <w:tr w:rsidR="00D17FDD" w:rsidRPr="009554BB" w14:paraId="0ACF5324" w14:textId="77777777" w:rsidTr="00FE50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2317CC91" w14:textId="77777777" w:rsidR="00D17FDD" w:rsidRPr="009554BB" w:rsidRDefault="00D17FDD" w:rsidP="00FE5055">
            <w:pPr>
              <w:pStyle w:val="NormalWeb"/>
              <w:widowControl w:val="0"/>
              <w:spacing w:line="360" w:lineRule="auto"/>
              <w:jc w:val="both"/>
              <w:rPr>
                <w:rFonts w:ascii="Arial" w:hAnsi="Arial" w:cs="Arial"/>
                <w:noProof/>
                <w:sz w:val="20"/>
                <w:szCs w:val="20"/>
                <w:lang w:val="bs-Latn-BA"/>
              </w:rPr>
            </w:pPr>
            <w:r w:rsidRPr="009554BB">
              <w:rPr>
                <w:rFonts w:ascii="Arial" w:hAnsi="Arial" w:cs="Arial"/>
                <w:noProof/>
                <w:sz w:val="20"/>
                <w:szCs w:val="20"/>
                <w:lang w:val="bs-Latn-BA"/>
              </w:rPr>
              <w:t>Extraction solvent</w:t>
            </w:r>
          </w:p>
        </w:tc>
        <w:tc>
          <w:tcPr>
            <w:tcW w:w="1729" w:type="dxa"/>
          </w:tcPr>
          <w:p w14:paraId="630F97DD"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Solvent ratio</w:t>
            </w:r>
          </w:p>
          <w:p w14:paraId="6841D42C"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(v/v)</w:t>
            </w:r>
          </w:p>
        </w:tc>
        <w:tc>
          <w:tcPr>
            <w:tcW w:w="2065" w:type="dxa"/>
          </w:tcPr>
          <w:p w14:paraId="4075827D"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FRAP</w:t>
            </w:r>
          </w:p>
          <w:p w14:paraId="771BBB77"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[μmol/g]</w:t>
            </w:r>
          </w:p>
        </w:tc>
        <w:tc>
          <w:tcPr>
            <w:tcW w:w="2099" w:type="dxa"/>
          </w:tcPr>
          <w:p w14:paraId="7DF3BE0F" w14:textId="77777777" w:rsidR="00D17FDD" w:rsidRPr="009554BB" w:rsidRDefault="00D17FDD" w:rsidP="00FE5055">
            <w:pPr>
              <w:pStyle w:val="NormalWeb"/>
              <w:widowControl w:val="0"/>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DPPH inhibition [%]</w:t>
            </w:r>
          </w:p>
        </w:tc>
      </w:tr>
      <w:tr w:rsidR="00D17FDD" w:rsidRPr="009554BB" w14:paraId="436FF723"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4EB5522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t>
            </w:r>
          </w:p>
        </w:tc>
        <w:tc>
          <w:tcPr>
            <w:tcW w:w="1729" w:type="dxa"/>
          </w:tcPr>
          <w:p w14:paraId="1D1CDC3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7737DE3F"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581,225</w:t>
            </w:r>
          </w:p>
        </w:tc>
        <w:tc>
          <w:tcPr>
            <w:tcW w:w="2099" w:type="dxa"/>
          </w:tcPr>
          <w:p w14:paraId="35561BA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93,9</w:t>
            </w:r>
          </w:p>
        </w:tc>
      </w:tr>
      <w:tr w:rsidR="00D17FDD" w:rsidRPr="009554BB" w14:paraId="7AE2C2FC"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3968E443"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0809C36C"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799ABAFB"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911,425</w:t>
            </w:r>
          </w:p>
        </w:tc>
        <w:tc>
          <w:tcPr>
            <w:tcW w:w="2099" w:type="dxa"/>
          </w:tcPr>
          <w:p w14:paraId="40042A97"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91,26</w:t>
            </w:r>
          </w:p>
        </w:tc>
      </w:tr>
      <w:tr w:rsidR="00D17FDD" w:rsidRPr="009554BB" w14:paraId="5EF9F257"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685F3F7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2912DD9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53CC0BD9"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927,775</w:t>
            </w:r>
          </w:p>
        </w:tc>
        <w:tc>
          <w:tcPr>
            <w:tcW w:w="2099" w:type="dxa"/>
          </w:tcPr>
          <w:p w14:paraId="55EF78CB"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91,12</w:t>
            </w:r>
          </w:p>
        </w:tc>
      </w:tr>
      <w:tr w:rsidR="00D17FDD" w:rsidRPr="009554BB" w14:paraId="520585D3"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35D2D157"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73B5D95C"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226087B3"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937,775</w:t>
            </w:r>
          </w:p>
        </w:tc>
        <w:tc>
          <w:tcPr>
            <w:tcW w:w="2099" w:type="dxa"/>
          </w:tcPr>
          <w:p w14:paraId="6C429971"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92,50</w:t>
            </w:r>
          </w:p>
        </w:tc>
      </w:tr>
      <w:tr w:rsidR="00D17FDD" w:rsidRPr="009554BB" w14:paraId="2F289E38"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38EBE092"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EtOH:Water</w:t>
            </w:r>
          </w:p>
        </w:tc>
        <w:tc>
          <w:tcPr>
            <w:tcW w:w="1729" w:type="dxa"/>
          </w:tcPr>
          <w:p w14:paraId="4C13109D"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12712D22"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886,325</w:t>
            </w:r>
          </w:p>
        </w:tc>
        <w:tc>
          <w:tcPr>
            <w:tcW w:w="2099" w:type="dxa"/>
          </w:tcPr>
          <w:p w14:paraId="1ADD1984"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93,82</w:t>
            </w:r>
          </w:p>
        </w:tc>
      </w:tr>
      <w:tr w:rsidR="00D17FDD" w:rsidRPr="009554BB" w14:paraId="723E899F"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44A85D6"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t>
            </w:r>
          </w:p>
        </w:tc>
        <w:tc>
          <w:tcPr>
            <w:tcW w:w="1729" w:type="dxa"/>
          </w:tcPr>
          <w:p w14:paraId="79FD451F"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0451A310"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849,275</w:t>
            </w:r>
          </w:p>
        </w:tc>
        <w:tc>
          <w:tcPr>
            <w:tcW w:w="2099" w:type="dxa"/>
          </w:tcPr>
          <w:p w14:paraId="4AE94666"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90,78</w:t>
            </w:r>
          </w:p>
        </w:tc>
      </w:tr>
      <w:tr w:rsidR="00D17FDD" w:rsidRPr="009554BB" w14:paraId="48E33B49"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64329F6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051A425C"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5B707446"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928,675</w:t>
            </w:r>
          </w:p>
        </w:tc>
        <w:tc>
          <w:tcPr>
            <w:tcW w:w="2099" w:type="dxa"/>
          </w:tcPr>
          <w:p w14:paraId="04298BC2"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90,77</w:t>
            </w:r>
          </w:p>
        </w:tc>
      </w:tr>
      <w:tr w:rsidR="00D17FDD" w:rsidRPr="009554BB" w14:paraId="14B923E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06646F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7EBE788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6C23CA3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701,775</w:t>
            </w:r>
          </w:p>
        </w:tc>
        <w:tc>
          <w:tcPr>
            <w:tcW w:w="2099" w:type="dxa"/>
          </w:tcPr>
          <w:p w14:paraId="34113F60"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92,17</w:t>
            </w:r>
          </w:p>
        </w:tc>
      </w:tr>
      <w:tr w:rsidR="00D17FDD" w:rsidRPr="009554BB" w14:paraId="5BC9582F"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1DA379E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2388B87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4F185D87"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349,2</w:t>
            </w:r>
          </w:p>
        </w:tc>
        <w:tc>
          <w:tcPr>
            <w:tcW w:w="2099" w:type="dxa"/>
          </w:tcPr>
          <w:p w14:paraId="74C8F0C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93,47</w:t>
            </w:r>
          </w:p>
        </w:tc>
      </w:tr>
      <w:tr w:rsidR="00D17FDD" w:rsidRPr="009554BB" w14:paraId="5BD128F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648D9E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MeOH:Water</w:t>
            </w:r>
          </w:p>
        </w:tc>
        <w:tc>
          <w:tcPr>
            <w:tcW w:w="1729" w:type="dxa"/>
          </w:tcPr>
          <w:p w14:paraId="43DCD3DA"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09B836FA"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502,7</w:t>
            </w:r>
          </w:p>
        </w:tc>
        <w:tc>
          <w:tcPr>
            <w:tcW w:w="2099" w:type="dxa"/>
          </w:tcPr>
          <w:p w14:paraId="7B21D40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93,85</w:t>
            </w:r>
          </w:p>
        </w:tc>
      </w:tr>
      <w:tr w:rsidR="00D17FDD" w:rsidRPr="009554BB" w14:paraId="4A267F95"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021DDD75"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t>
            </w:r>
          </w:p>
        </w:tc>
        <w:tc>
          <w:tcPr>
            <w:tcW w:w="1729" w:type="dxa"/>
          </w:tcPr>
          <w:p w14:paraId="4EC594CA"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0CE9E79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837,7</w:t>
            </w:r>
          </w:p>
        </w:tc>
        <w:tc>
          <w:tcPr>
            <w:tcW w:w="2099" w:type="dxa"/>
          </w:tcPr>
          <w:p w14:paraId="0465A2E3"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89,22</w:t>
            </w:r>
          </w:p>
        </w:tc>
      </w:tr>
      <w:tr w:rsidR="00D17FDD" w:rsidRPr="009554BB" w14:paraId="6F2E050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1F95BE8"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1647B8E3"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40:10</w:t>
            </w:r>
          </w:p>
        </w:tc>
        <w:tc>
          <w:tcPr>
            <w:tcW w:w="2065" w:type="dxa"/>
          </w:tcPr>
          <w:p w14:paraId="588C9BA1"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839</w:t>
            </w:r>
          </w:p>
        </w:tc>
        <w:tc>
          <w:tcPr>
            <w:tcW w:w="2099" w:type="dxa"/>
          </w:tcPr>
          <w:p w14:paraId="253B4E0D"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87,38</w:t>
            </w:r>
          </w:p>
        </w:tc>
      </w:tr>
      <w:tr w:rsidR="00D17FDD" w:rsidRPr="009554BB" w14:paraId="4CF0BB2E"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538432F0"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11A30705"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30:20</w:t>
            </w:r>
          </w:p>
        </w:tc>
        <w:tc>
          <w:tcPr>
            <w:tcW w:w="2065" w:type="dxa"/>
          </w:tcPr>
          <w:p w14:paraId="3650F886"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937,725</w:t>
            </w:r>
          </w:p>
        </w:tc>
        <w:tc>
          <w:tcPr>
            <w:tcW w:w="2099" w:type="dxa"/>
          </w:tcPr>
          <w:p w14:paraId="5B5AFEE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87,22</w:t>
            </w:r>
          </w:p>
        </w:tc>
      </w:tr>
      <w:tr w:rsidR="00D17FDD" w:rsidRPr="009554BB" w14:paraId="61D72B7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4A49AB74"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07434F8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20:30</w:t>
            </w:r>
          </w:p>
        </w:tc>
        <w:tc>
          <w:tcPr>
            <w:tcW w:w="2065" w:type="dxa"/>
          </w:tcPr>
          <w:p w14:paraId="3C4E54A5"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953,45</w:t>
            </w:r>
          </w:p>
        </w:tc>
        <w:tc>
          <w:tcPr>
            <w:tcW w:w="2099" w:type="dxa"/>
          </w:tcPr>
          <w:p w14:paraId="241201A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91,22</w:t>
            </w:r>
          </w:p>
        </w:tc>
      </w:tr>
      <w:tr w:rsidR="00D17FDD" w:rsidRPr="009554BB" w14:paraId="4AE86D36" w14:textId="77777777" w:rsidTr="00FE5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16ABDB2A"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Ace:Water</w:t>
            </w:r>
          </w:p>
        </w:tc>
        <w:tc>
          <w:tcPr>
            <w:tcW w:w="1729" w:type="dxa"/>
          </w:tcPr>
          <w:p w14:paraId="5A0386B0"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10:40</w:t>
            </w:r>
          </w:p>
        </w:tc>
        <w:tc>
          <w:tcPr>
            <w:tcW w:w="2065" w:type="dxa"/>
          </w:tcPr>
          <w:p w14:paraId="54530320" w14:textId="77777777" w:rsidR="00D17FDD" w:rsidRPr="009554BB" w:rsidRDefault="007D1E0F"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950,3</w:t>
            </w:r>
          </w:p>
        </w:tc>
        <w:tc>
          <w:tcPr>
            <w:tcW w:w="2099" w:type="dxa"/>
          </w:tcPr>
          <w:p w14:paraId="0FABBFC4" w14:textId="77777777" w:rsidR="00D17FDD" w:rsidRPr="009554BB" w:rsidRDefault="00D17FDD" w:rsidP="00FE5055">
            <w:pPr>
              <w:pStyle w:val="NormalWeb"/>
              <w:widowControl w:val="0"/>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94,17</w:t>
            </w:r>
          </w:p>
        </w:tc>
      </w:tr>
      <w:tr w:rsidR="00D17FDD" w:rsidRPr="009554BB" w14:paraId="221D26AA" w14:textId="77777777" w:rsidTr="00FE5055">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51B2947F" w14:textId="77777777" w:rsidR="00D17FDD" w:rsidRPr="009554BB" w:rsidRDefault="00D17FDD" w:rsidP="00FE5055">
            <w:pPr>
              <w:pStyle w:val="NormalWeb"/>
              <w:widowControl w:val="0"/>
              <w:spacing w:before="0" w:beforeAutospacing="0" w:after="0" w:afterAutospacing="0" w:line="360" w:lineRule="auto"/>
              <w:jc w:val="both"/>
              <w:rPr>
                <w:rFonts w:ascii="Arial" w:hAnsi="Arial" w:cs="Arial"/>
                <w:noProof/>
                <w:sz w:val="20"/>
                <w:szCs w:val="20"/>
                <w:lang w:val="bs-Latn-BA"/>
              </w:rPr>
            </w:pPr>
            <w:r w:rsidRPr="009554BB">
              <w:rPr>
                <w:rFonts w:ascii="Arial" w:hAnsi="Arial" w:cs="Arial"/>
                <w:noProof/>
                <w:sz w:val="20"/>
                <w:szCs w:val="20"/>
                <w:lang w:val="bs-Latn-BA"/>
              </w:rPr>
              <w:t>Water</w:t>
            </w:r>
          </w:p>
        </w:tc>
        <w:tc>
          <w:tcPr>
            <w:tcW w:w="1729" w:type="dxa"/>
          </w:tcPr>
          <w:p w14:paraId="4AF7AAD9"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w:t>
            </w:r>
          </w:p>
        </w:tc>
        <w:tc>
          <w:tcPr>
            <w:tcW w:w="2065" w:type="dxa"/>
          </w:tcPr>
          <w:p w14:paraId="1A621117"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192,9</w:t>
            </w:r>
          </w:p>
        </w:tc>
        <w:tc>
          <w:tcPr>
            <w:tcW w:w="2099" w:type="dxa"/>
          </w:tcPr>
          <w:p w14:paraId="3F36530E" w14:textId="77777777" w:rsidR="00D17FDD" w:rsidRPr="009554BB" w:rsidRDefault="00D17FDD" w:rsidP="00FE5055">
            <w:pPr>
              <w:pStyle w:val="NormalWeb"/>
              <w:widowControl w:val="0"/>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bs-Latn-BA"/>
              </w:rPr>
            </w:pPr>
            <w:r w:rsidRPr="009554BB">
              <w:rPr>
                <w:rFonts w:ascii="Arial" w:hAnsi="Arial" w:cs="Arial"/>
                <w:noProof/>
                <w:sz w:val="20"/>
                <w:szCs w:val="20"/>
                <w:lang w:val="bs-Latn-BA"/>
              </w:rPr>
              <w:t>93,79</w:t>
            </w:r>
          </w:p>
        </w:tc>
      </w:tr>
    </w:tbl>
    <w:p w14:paraId="536114C9" w14:textId="77777777" w:rsidR="00D17FDD" w:rsidRPr="009554BB" w:rsidRDefault="00434907" w:rsidP="001F2A4B">
      <w:pPr>
        <w:spacing w:before="100" w:beforeAutospacing="1" w:after="100" w:afterAutospacing="1"/>
        <w:jc w:val="both"/>
        <w:rPr>
          <w:rFonts w:ascii="Arial" w:hAnsi="Arial" w:cs="Arial"/>
          <w:noProof/>
          <w:lang w:val="bs-Latn-BA"/>
        </w:rPr>
      </w:pPr>
      <w:r>
        <w:t xml:space="preserve">The antioxidant capacities of the extracts have a strong relationship with the solvent used, mainly due to the different antioxidant potential of compounds with different polarities (Boeing, 2014). </w:t>
      </w:r>
      <w:r w:rsidR="00D17FDD" w:rsidRPr="009554BB">
        <w:rPr>
          <w:rFonts w:ascii="Arial" w:hAnsi="Arial" w:cs="Arial"/>
          <w:noProof/>
          <w:lang w:val="bs-Latn-BA"/>
        </w:rPr>
        <w:t xml:space="preserve">Ethanol without the addition of water </w:t>
      </w:r>
      <w:r w:rsidR="00D17FDD" w:rsidRPr="009554BB">
        <w:rPr>
          <w:rFonts w:ascii="Arial" w:hAnsi="Arial" w:cs="Arial"/>
          <w:noProof/>
          <w:lang w:val="bs-Latn-BA"/>
        </w:rPr>
        <w:lastRenderedPageBreak/>
        <w:t>demonstrates high FRAP values (581.225 μmol/g) and DPPH inhibition (93.9%). This result indicates significant antioxidant activity of the ethanol extract of cinnamon. Mixtures of ethanol and water in different ratios (40:10, 30:20, 20:30, 10:40) show an increase in FRAP values, with a peak value of 937.775 μmol/g at the 20:30 ratio, although DPPH inhibition remains high (ranging from 91.12% to 93.82%). The increase in FRAP activity may be attributed to the better solubility of polyphenolic compounds in a higher water content. Methanol and its mixtures with water also exhibit significant antioxidant activity, with the maximum FRAP value (928.675 μmol/g) at the 40:10 ratio, but with lower DPPH inhibition (90.77% - 93.85%) compared to ethanol. Acetone without the addition of water yields a FRAP value (837.7 μmol/g) similar to that of ethanol but with a slightly lower DPPH inhibition (89.22%). Mixtures of acetone and water showed an increase in FRAP values at lower water ratios (up to 20:30), but DPPH inhibition also showed similar variations (87.22% to 94.17%). Water as a solvent results in a very low FRAP value (192.9 μmol/g), but relatively high DPPH inhibition (93.79%), suggesting the possible presence of antioxidant compounds with a strong ability to scavenge free radicals, but a lower capacity for metal ion reduction. The results clearly indicate that ethanol and ethanol-water mixtures represent the most efficient composition for extracting antioxidant compounds from cinnamon, particularly due to the high FRAP value. Methanol and acetone also provide good results but are not as effective as ethanol, although they are successful in inhibiting DPPH radicals. Water shows high radical scavenging activity but lower metal ion reduction capacity, which means it may contain specific compounds that act as potent radical scavengers. Combining organic solvents with water may be the optimal approach for extracting a broad spectrum of antioxidant compounds from cinnamon, with ethanol being the most efficient solvent.</w:t>
      </w:r>
    </w:p>
    <w:p w14:paraId="4E67325E" w14:textId="77777777" w:rsidR="00D17FDD" w:rsidRPr="009554BB" w:rsidRDefault="001F2A4B" w:rsidP="001F2A4B">
      <w:pPr>
        <w:spacing w:before="100" w:beforeAutospacing="1" w:after="100" w:afterAutospacing="1"/>
        <w:jc w:val="center"/>
        <w:rPr>
          <w:rFonts w:ascii="Arial" w:hAnsi="Arial" w:cs="Arial"/>
          <w:noProof/>
          <w:lang w:val="bs-Latn-BA"/>
        </w:rPr>
      </w:pPr>
      <w:r w:rsidRPr="009554BB">
        <w:rPr>
          <w:rFonts w:ascii="Arial" w:hAnsi="Arial" w:cs="Arial"/>
          <w:noProof/>
        </w:rPr>
        <w:drawing>
          <wp:inline distT="0" distB="0" distL="0" distR="0" wp14:anchorId="4DA80DB8" wp14:editId="43231E7D">
            <wp:extent cx="4895850" cy="2890837"/>
            <wp:effectExtent l="0" t="0" r="0"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0427B2" w14:textId="77777777" w:rsidR="00D17FDD" w:rsidRPr="009554BB" w:rsidRDefault="001F2A4B" w:rsidP="001F2A4B">
      <w:pPr>
        <w:spacing w:before="100" w:beforeAutospacing="1" w:after="100" w:afterAutospacing="1"/>
        <w:jc w:val="center"/>
        <w:rPr>
          <w:rFonts w:ascii="Arial" w:hAnsi="Arial" w:cs="Arial"/>
          <w:b/>
          <w:noProof/>
          <w:lang w:val="bs-Latn-BA"/>
        </w:rPr>
      </w:pPr>
      <w:r w:rsidRPr="009554BB">
        <w:rPr>
          <w:rFonts w:ascii="Arial" w:hAnsi="Arial" w:cs="Arial"/>
          <w:b/>
          <w:noProof/>
          <w:lang w:val="bs-Latn-BA"/>
        </w:rPr>
        <w:t>Fig.5. Reducing ability of the extract</w:t>
      </w:r>
    </w:p>
    <w:p w14:paraId="0273D8EB" w14:textId="77777777" w:rsidR="00734291" w:rsidRPr="005F276D" w:rsidRDefault="00734291" w:rsidP="001F2A4B">
      <w:pPr>
        <w:spacing w:before="100" w:beforeAutospacing="1" w:after="100" w:afterAutospacing="1"/>
        <w:jc w:val="center"/>
        <w:rPr>
          <w:rFonts w:ascii="Arial" w:hAnsi="Arial" w:cs="Arial"/>
          <w:b/>
          <w:noProof/>
          <w:sz w:val="24"/>
          <w:szCs w:val="24"/>
          <w:lang w:val="bs-Latn-BA"/>
        </w:rPr>
      </w:pPr>
      <w:r w:rsidRPr="005F276D">
        <w:rPr>
          <w:noProof/>
        </w:rPr>
        <w:lastRenderedPageBreak/>
        <w:drawing>
          <wp:inline distT="0" distB="0" distL="0" distR="0" wp14:anchorId="355588AA" wp14:editId="2D68A0C6">
            <wp:extent cx="4895850" cy="2890837"/>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556F83" w14:textId="77777777" w:rsidR="00734291" w:rsidRPr="005F276D" w:rsidRDefault="00734291" w:rsidP="001F2A4B">
      <w:pPr>
        <w:spacing w:before="100" w:beforeAutospacing="1" w:after="100" w:afterAutospacing="1"/>
        <w:jc w:val="center"/>
        <w:rPr>
          <w:rFonts w:ascii="Arial" w:hAnsi="Arial" w:cs="Arial"/>
          <w:b/>
          <w:noProof/>
          <w:lang w:val="bs-Latn-BA"/>
        </w:rPr>
      </w:pPr>
      <w:r w:rsidRPr="005F276D">
        <w:rPr>
          <w:rFonts w:ascii="Arial" w:hAnsi="Arial" w:cs="Arial"/>
          <w:b/>
          <w:noProof/>
          <w:lang w:val="bs-Latn-BA"/>
        </w:rPr>
        <w:t xml:space="preserve">Fig.6. </w:t>
      </w:r>
      <w:r w:rsidRPr="005F276D">
        <w:rPr>
          <w:rFonts w:ascii="Arial" w:hAnsi="Arial" w:cs="Arial"/>
          <w:b/>
          <w:noProof/>
          <w:color w:val="111111"/>
          <w:shd w:val="clear" w:color="auto" w:fill="FFFFFF"/>
          <w:lang w:val="bs-Latn-BA"/>
        </w:rPr>
        <w:t xml:space="preserve">DPPH radical inhibition percentage for </w:t>
      </w:r>
      <w:r w:rsidRPr="005F276D">
        <w:rPr>
          <w:rFonts w:ascii="Arial" w:hAnsi="Arial" w:cs="Arial"/>
          <w:b/>
          <w:noProof/>
          <w:lang w:val="bs-Latn-BA"/>
        </w:rPr>
        <w:t>Cinnamomum verum extracts</w:t>
      </w:r>
    </w:p>
    <w:p w14:paraId="35A3BAA7" w14:textId="77777777" w:rsidR="00D17FDD" w:rsidRPr="005F276D" w:rsidRDefault="00D17FDD" w:rsidP="00D17FDD">
      <w:pPr>
        <w:pStyle w:val="Body"/>
        <w:spacing w:after="0"/>
        <w:jc w:val="left"/>
        <w:rPr>
          <w:rFonts w:ascii="Arial" w:hAnsi="Arial" w:cs="Arial"/>
          <w:noProof/>
          <w:lang w:val="bs-Latn-BA"/>
        </w:rPr>
      </w:pPr>
    </w:p>
    <w:p w14:paraId="653C5CC7" w14:textId="77777777" w:rsidR="00D17FDD" w:rsidRPr="005F276D" w:rsidRDefault="00D17FDD" w:rsidP="00D17FDD">
      <w:pPr>
        <w:pStyle w:val="Body"/>
        <w:spacing w:after="0"/>
        <w:jc w:val="center"/>
        <w:rPr>
          <w:rFonts w:ascii="Arial" w:hAnsi="Arial" w:cs="Arial"/>
          <w:noProof/>
          <w:lang w:val="bs-Latn-BA"/>
        </w:rPr>
      </w:pPr>
    </w:p>
    <w:p w14:paraId="57C01C67" w14:textId="77777777" w:rsidR="00D17FDD" w:rsidRPr="005F276D" w:rsidRDefault="00D17FDD" w:rsidP="00D17FDD">
      <w:pPr>
        <w:pStyle w:val="Body"/>
        <w:spacing w:after="0"/>
        <w:jc w:val="center"/>
        <w:rPr>
          <w:rFonts w:ascii="Arial" w:hAnsi="Arial" w:cs="Arial"/>
          <w:noProof/>
          <w:lang w:val="bs-Latn-BA"/>
        </w:rPr>
      </w:pPr>
    </w:p>
    <w:p w14:paraId="000E7AA8" w14:textId="77777777" w:rsidR="00B01FCD" w:rsidRPr="005F276D" w:rsidRDefault="00000F8F" w:rsidP="00441B6F">
      <w:pPr>
        <w:pStyle w:val="ConcHead"/>
        <w:spacing w:after="0"/>
        <w:jc w:val="both"/>
        <w:rPr>
          <w:rFonts w:ascii="Arial" w:hAnsi="Arial" w:cs="Arial"/>
          <w:noProof/>
          <w:lang w:val="bs-Latn-BA"/>
        </w:rPr>
      </w:pPr>
      <w:r w:rsidRPr="005F276D">
        <w:rPr>
          <w:rFonts w:ascii="Arial" w:hAnsi="Arial" w:cs="Arial"/>
          <w:noProof/>
          <w:lang w:val="bs-Latn-BA"/>
        </w:rPr>
        <w:t xml:space="preserve">4. </w:t>
      </w:r>
      <w:r w:rsidR="00B01FCD" w:rsidRPr="005F276D">
        <w:rPr>
          <w:rFonts w:ascii="Arial" w:hAnsi="Arial" w:cs="Arial"/>
          <w:noProof/>
          <w:lang w:val="bs-Latn-BA"/>
        </w:rPr>
        <w:t>Conclusion</w:t>
      </w:r>
    </w:p>
    <w:p w14:paraId="46842D56" w14:textId="77777777" w:rsidR="00790ADA" w:rsidRPr="005F276D" w:rsidRDefault="00790ADA" w:rsidP="00441B6F">
      <w:pPr>
        <w:pStyle w:val="ConcHead"/>
        <w:spacing w:after="0"/>
        <w:jc w:val="both"/>
        <w:rPr>
          <w:rFonts w:ascii="Arial" w:hAnsi="Arial" w:cs="Arial"/>
          <w:noProof/>
          <w:lang w:val="bs-Latn-BA"/>
        </w:rPr>
      </w:pPr>
    </w:p>
    <w:p w14:paraId="57CC1FD2" w14:textId="77777777" w:rsidR="00434907" w:rsidRDefault="00434907" w:rsidP="00434907">
      <w:pPr>
        <w:spacing w:before="100" w:beforeAutospacing="1" w:after="100" w:afterAutospacing="1"/>
        <w:jc w:val="both"/>
      </w:pPr>
      <w:r>
        <w:t>The results of this study demonstrate that the choice o</w:t>
      </w:r>
      <w:bookmarkStart w:id="0" w:name="_GoBack"/>
      <w:bookmarkEnd w:id="0"/>
      <w:r>
        <w:t>f solvent significantly influences the efficiency of extracting phenolic and flavonoid compounds from cinnamon, as well as the antioxidant activity of the resulting extracts</w:t>
      </w:r>
      <w:r w:rsidRPr="002F6655">
        <w:t xml:space="preserve"> </w:t>
      </w:r>
      <w:r>
        <w:t xml:space="preserve">The highest content of total phenols and flavonoids was recorded in the extract obtained with a mixture of acetone and water in a ratio of 40:10, which indicates that this combination represents the most efficient solvent system for extracting bioactive components from cinnamon. When it comes to antioxidant activity, the best result in the FRAP test, which measures the ability to reduce metal ions, was achieved for the </w:t>
      </w:r>
      <w:proofErr w:type="spellStart"/>
      <w:proofErr w:type="gramStart"/>
      <w:r>
        <w:t>acetone:water</w:t>
      </w:r>
      <w:proofErr w:type="spellEnd"/>
      <w:proofErr w:type="gramEnd"/>
      <w:r>
        <w:t xml:space="preserve"> 20:30 mixture, while the highest DPPH inhibition - which indicates the ability to neutralize free radicals - was achieved for the </w:t>
      </w:r>
      <w:proofErr w:type="spellStart"/>
      <w:r>
        <w:t>acetone:water</w:t>
      </w:r>
      <w:proofErr w:type="spellEnd"/>
      <w:r>
        <w:t xml:space="preserve"> 10:40 mixture. These findings indicate that acetone, in combination with water, not only efficiently extracts phenols and flavonoids, but also enables obtaining extracts with extremely high antioxidant activity. On the other hand, although water as the only solvent shows the weakest extraction of phenolic and flavonoid compounds, its extracts still show high DPPH activity, which suggests the presence of highly reactive polar antioxidants.</w:t>
      </w:r>
    </w:p>
    <w:p w14:paraId="4CEDB220" w14:textId="77777777" w:rsidR="00434907" w:rsidRPr="006041D7" w:rsidRDefault="00434907" w:rsidP="00434907">
      <w:pPr>
        <w:pStyle w:val="ConcHead"/>
        <w:jc w:val="both"/>
        <w:rPr>
          <w:b w:val="0"/>
          <w:caps w:val="0"/>
          <w:sz w:val="20"/>
        </w:rPr>
      </w:pPr>
      <w:r w:rsidRPr="006041D7">
        <w:rPr>
          <w:b w:val="0"/>
          <w:caps w:val="0"/>
          <w:sz w:val="20"/>
        </w:rPr>
        <w:t>Taken together, these findings underscore the importance of optimizing solvent polarity to enhance the recovery of bioactive constituents from plant materials. The combined use of organic solvents and water improves the solubility profile of both polar and moderately polar compounds, making such mixtures particularly effective for comprehensive phytochemical extraction. Among the tested systems, ethanol–water and acetone–water mixtures emerged as the most effective solvent systems for extracting a broad spectrum of antioxidant compounds from cinnamon.</w:t>
      </w:r>
      <w:r>
        <w:rPr>
          <w:b w:val="0"/>
          <w:caps w:val="0"/>
          <w:sz w:val="20"/>
        </w:rPr>
        <w:t xml:space="preserve"> </w:t>
      </w:r>
      <w:r w:rsidRPr="006041D7">
        <w:rPr>
          <w:b w:val="0"/>
          <w:caps w:val="0"/>
          <w:sz w:val="20"/>
        </w:rPr>
        <w:t>These results have important implications for the food, pharmaceutical, and nutraceutical industries, where cinnamon extracts are increasingly valued for their natural antioxidant properties. The use of optimized solvent systems can lead to the development of more effective and standardized natural antioxidant formulations, supporting the functional potential of cinnamon as a health-promoting ingredient.</w:t>
      </w:r>
    </w:p>
    <w:p w14:paraId="55D7529C" w14:textId="77777777" w:rsidR="00B01FCD" w:rsidRPr="005F276D" w:rsidRDefault="00B01FCD" w:rsidP="00441B6F">
      <w:pPr>
        <w:pStyle w:val="ReferHead"/>
        <w:spacing w:after="0"/>
        <w:jc w:val="both"/>
        <w:rPr>
          <w:rFonts w:ascii="Arial" w:hAnsi="Arial" w:cs="Arial"/>
          <w:noProof/>
          <w:lang w:val="bs-Latn-BA"/>
        </w:rPr>
      </w:pPr>
      <w:r w:rsidRPr="005F276D">
        <w:rPr>
          <w:rFonts w:ascii="Arial" w:hAnsi="Arial" w:cs="Arial"/>
          <w:noProof/>
          <w:lang w:val="bs-Latn-BA"/>
        </w:rPr>
        <w:t>References</w:t>
      </w:r>
    </w:p>
    <w:p w14:paraId="40891479" w14:textId="77777777" w:rsidR="00790ADA" w:rsidRPr="005F276D" w:rsidRDefault="00790ADA" w:rsidP="00441B6F">
      <w:pPr>
        <w:pStyle w:val="Body"/>
        <w:spacing w:after="0"/>
        <w:rPr>
          <w:rFonts w:ascii="Arial" w:hAnsi="Arial" w:cs="Arial"/>
          <w:noProof/>
          <w:lang w:val="bs-Latn-BA"/>
        </w:rPr>
      </w:pPr>
    </w:p>
    <w:p w14:paraId="65E32BB7" w14:textId="77777777" w:rsidR="008B459E" w:rsidRPr="005F276D" w:rsidRDefault="008B459E" w:rsidP="00441B6F">
      <w:pPr>
        <w:pStyle w:val="Body"/>
        <w:spacing w:after="0"/>
        <w:rPr>
          <w:rFonts w:ascii="Arial" w:hAnsi="Arial" w:cs="Arial"/>
          <w:noProof/>
          <w:lang w:val="bs-Latn-BA"/>
        </w:rPr>
      </w:pPr>
    </w:p>
    <w:p w14:paraId="5710E971" w14:textId="77777777" w:rsidR="009554BB" w:rsidRPr="00434907" w:rsidRDefault="009554BB" w:rsidP="00441B6F">
      <w:pPr>
        <w:pStyle w:val="Body"/>
        <w:spacing w:after="0"/>
        <w:rPr>
          <w:rFonts w:ascii="Arial" w:hAnsi="Arial" w:cs="Arial"/>
          <w:noProof/>
          <w:lang w:val="bs-Latn-BA"/>
        </w:rPr>
      </w:pPr>
      <w:r w:rsidRPr="00434907">
        <w:rPr>
          <w:rFonts w:ascii="Arial" w:hAnsi="Arial" w:cs="Arial"/>
          <w:noProof/>
          <w:lang w:val="bs-Latn-BA"/>
        </w:rPr>
        <w:t>Pagliari, S., Forcella, M., Lonati, E., Sacco, G.</w:t>
      </w:r>
      <w:r w:rsidR="00640045" w:rsidRPr="00434907">
        <w:rPr>
          <w:rFonts w:ascii="Arial" w:hAnsi="Arial" w:cs="Arial"/>
          <w:noProof/>
          <w:lang w:val="bs-Latn-BA"/>
        </w:rPr>
        <w:t>, Romaniello, F., Rovellini, P.</w:t>
      </w:r>
      <w:r w:rsidRPr="00434907">
        <w:rPr>
          <w:rFonts w:ascii="Arial" w:hAnsi="Arial" w:cs="Arial"/>
          <w:noProof/>
          <w:lang w:val="bs-Latn-BA"/>
        </w:rPr>
        <w:t xml:space="preserve"> et al. (2023). Antioxidant and Anti-Inflammatory Effect of Cinnamon (Cinnamomum verum J. Presl). Bark Extract after In Vitro Digestion Simulation. Foods, 12(3), 452. </w:t>
      </w:r>
      <w:hyperlink r:id="rId21" w:history="1">
        <w:r w:rsidRPr="00434907">
          <w:rPr>
            <w:rStyle w:val="Hyperlink"/>
            <w:rFonts w:ascii="Arial" w:hAnsi="Arial" w:cs="Arial"/>
            <w:noProof/>
            <w:color w:val="auto"/>
            <w:u w:val="none"/>
            <w:lang w:val="bs-Latn-BA"/>
          </w:rPr>
          <w:t>https://doi.org/10.3390/foods12030452</w:t>
        </w:r>
      </w:hyperlink>
    </w:p>
    <w:p w14:paraId="3ED86559" w14:textId="77777777" w:rsidR="00252A24" w:rsidRPr="00434907" w:rsidRDefault="00252A24" w:rsidP="00441B6F">
      <w:pPr>
        <w:pStyle w:val="Body"/>
        <w:spacing w:after="0"/>
        <w:rPr>
          <w:rFonts w:ascii="Arial" w:hAnsi="Arial" w:cs="Arial"/>
          <w:noProof/>
          <w:lang w:val="bs-Latn-BA"/>
        </w:rPr>
      </w:pPr>
    </w:p>
    <w:p w14:paraId="0EB4E43F" w14:textId="77777777" w:rsidR="009554BB" w:rsidRPr="00434907" w:rsidRDefault="009554BB" w:rsidP="0080008F">
      <w:pPr>
        <w:pStyle w:val="Body"/>
        <w:rPr>
          <w:rFonts w:ascii="Arial" w:hAnsi="Arial" w:cs="Arial"/>
          <w:noProof/>
          <w:lang w:val="bs-Latn-BA"/>
        </w:rPr>
      </w:pPr>
      <w:r w:rsidRPr="00434907">
        <w:rPr>
          <w:rFonts w:ascii="Arial" w:hAnsi="Arial" w:cs="Arial"/>
          <w:noProof/>
          <w:lang w:val="bs-Latn-BA"/>
        </w:rPr>
        <w:lastRenderedPageBreak/>
        <w:t xml:space="preserve">Thomas, J., &amp; Kuruvilla, K. M. (2012). </w:t>
      </w:r>
      <w:r w:rsidR="0080008F" w:rsidRPr="00434907">
        <w:rPr>
          <w:rFonts w:ascii="Arial" w:hAnsi="Arial" w:cs="Arial"/>
          <w:noProof/>
          <w:lang w:val="bs-Latn-BA"/>
        </w:rPr>
        <w:t xml:space="preserve">10 - </w:t>
      </w:r>
      <w:r w:rsidRPr="00434907">
        <w:rPr>
          <w:rFonts w:ascii="Arial" w:hAnsi="Arial" w:cs="Arial"/>
          <w:noProof/>
          <w:lang w:val="bs-Latn-BA"/>
        </w:rPr>
        <w:t xml:space="preserve">Cinnamon. </w:t>
      </w:r>
      <w:r w:rsidR="0080008F" w:rsidRPr="00434907">
        <w:rPr>
          <w:rFonts w:ascii="Arial" w:hAnsi="Arial" w:cs="Arial"/>
          <w:noProof/>
          <w:lang w:val="bs-Latn-BA"/>
        </w:rPr>
        <w:t>In Woodhead Publishing Series in Food Sci</w:t>
      </w:r>
      <w:r w:rsidR="001932EB" w:rsidRPr="00434907">
        <w:rPr>
          <w:rFonts w:ascii="Arial" w:hAnsi="Arial" w:cs="Arial"/>
          <w:noProof/>
          <w:lang w:val="bs-Latn-BA"/>
        </w:rPr>
        <w:t>ence.</w:t>
      </w:r>
      <w:r w:rsidR="0080008F" w:rsidRPr="00434907">
        <w:rPr>
          <w:rFonts w:ascii="Arial" w:hAnsi="Arial" w:cs="Arial"/>
          <w:noProof/>
          <w:lang w:val="bs-Latn-BA"/>
        </w:rPr>
        <w:t xml:space="preserve"> Technology and Nutrition, Handbook of He</w:t>
      </w:r>
      <w:r w:rsidR="001932EB" w:rsidRPr="00434907">
        <w:rPr>
          <w:rFonts w:ascii="Arial" w:hAnsi="Arial" w:cs="Arial"/>
          <w:noProof/>
          <w:lang w:val="bs-Latn-BA"/>
        </w:rPr>
        <w:t>rbs and Spices (Second Edition).</w:t>
      </w:r>
      <w:r w:rsidR="0080008F" w:rsidRPr="00434907">
        <w:rPr>
          <w:rFonts w:ascii="Arial" w:hAnsi="Arial" w:cs="Arial"/>
          <w:noProof/>
          <w:lang w:val="bs-Latn-BA"/>
        </w:rPr>
        <w:t xml:space="preserve"> Woodhead Publishing,</w:t>
      </w:r>
      <w:r w:rsidRPr="00434907">
        <w:rPr>
          <w:rFonts w:ascii="Arial" w:hAnsi="Arial" w:cs="Arial"/>
          <w:noProof/>
          <w:lang w:val="bs-Latn-BA"/>
        </w:rPr>
        <w:t xml:space="preserve"> 182–196. doi:10.1533/9780857095671.182</w:t>
      </w:r>
    </w:p>
    <w:p w14:paraId="4CA5015A" w14:textId="77777777" w:rsidR="0080008F" w:rsidRPr="00434907" w:rsidRDefault="0080008F" w:rsidP="0080008F">
      <w:pPr>
        <w:pStyle w:val="Body"/>
        <w:rPr>
          <w:rFonts w:ascii="Arial" w:hAnsi="Arial" w:cs="Arial"/>
          <w:noProof/>
          <w:lang w:val="bs-Latn-BA"/>
        </w:rPr>
      </w:pPr>
      <w:r w:rsidRPr="00434907">
        <w:rPr>
          <w:rFonts w:ascii="Arial" w:hAnsi="Arial" w:cs="Arial"/>
          <w:noProof/>
          <w:lang w:val="bs-Latn-BA"/>
        </w:rPr>
        <w:t xml:space="preserve">Mian K. S., Rebia E., Imran P. (2018). Chapter 11 - Nutritional and Therapeutic </w:t>
      </w:r>
      <w:r w:rsidR="00252A24" w:rsidRPr="00434907">
        <w:rPr>
          <w:rFonts w:ascii="Arial" w:hAnsi="Arial" w:cs="Arial"/>
          <w:noProof/>
          <w:lang w:val="bs-Latn-BA"/>
        </w:rPr>
        <w:t>Poten</w:t>
      </w:r>
      <w:r w:rsidR="001932EB" w:rsidRPr="00434907">
        <w:rPr>
          <w:rFonts w:ascii="Arial" w:hAnsi="Arial" w:cs="Arial"/>
          <w:noProof/>
          <w:lang w:val="bs-Latn-BA"/>
        </w:rPr>
        <w:t>tial of Spices.</w:t>
      </w:r>
      <w:r w:rsidR="00252A24" w:rsidRPr="00434907">
        <w:rPr>
          <w:rFonts w:ascii="Arial" w:hAnsi="Arial" w:cs="Arial"/>
          <w:noProof/>
          <w:lang w:val="bs-Latn-BA"/>
        </w:rPr>
        <w:t xml:space="preserve"> In M. G. Alexandru &amp;, M. H. Alina (Eds.),</w:t>
      </w:r>
      <w:r w:rsidRPr="00434907">
        <w:rPr>
          <w:rFonts w:ascii="Arial" w:hAnsi="Arial" w:cs="Arial"/>
          <w:noProof/>
          <w:lang w:val="bs-Latn-BA"/>
        </w:rPr>
        <w:t xml:space="preserve"> Therapeutic, Probiotic</w:t>
      </w:r>
      <w:r w:rsidR="001932EB" w:rsidRPr="00434907">
        <w:rPr>
          <w:rFonts w:ascii="Arial" w:hAnsi="Arial" w:cs="Arial"/>
          <w:noProof/>
          <w:lang w:val="bs-Latn-BA"/>
        </w:rPr>
        <w:t xml:space="preserve"> and Unconventional Foods.</w:t>
      </w:r>
      <w:r w:rsidRPr="00434907">
        <w:rPr>
          <w:rFonts w:ascii="Arial" w:hAnsi="Arial" w:cs="Arial"/>
          <w:noProof/>
          <w:lang w:val="bs-Latn-BA"/>
        </w:rPr>
        <w:t xml:space="preserve"> Academic Press, </w:t>
      </w:r>
      <w:r w:rsidR="00252A24" w:rsidRPr="00434907">
        <w:rPr>
          <w:rFonts w:ascii="Arial" w:hAnsi="Arial" w:cs="Arial"/>
          <w:noProof/>
          <w:lang w:val="bs-Latn-BA"/>
        </w:rPr>
        <w:t>181-199</w:t>
      </w:r>
      <w:r w:rsidRPr="00434907">
        <w:rPr>
          <w:rFonts w:ascii="Arial" w:hAnsi="Arial" w:cs="Arial"/>
          <w:noProof/>
          <w:lang w:val="bs-Latn-BA"/>
        </w:rPr>
        <w:t>.</w:t>
      </w:r>
    </w:p>
    <w:p w14:paraId="7131C9EF" w14:textId="77777777" w:rsidR="00252A24" w:rsidRPr="00434907" w:rsidRDefault="00702158" w:rsidP="00252A24">
      <w:pPr>
        <w:pStyle w:val="Body"/>
        <w:rPr>
          <w:rFonts w:ascii="Arial" w:hAnsi="Arial" w:cs="Arial"/>
          <w:noProof/>
          <w:lang w:val="bs-Latn-BA"/>
        </w:rPr>
      </w:pPr>
      <w:r w:rsidRPr="00434907">
        <w:rPr>
          <w:rFonts w:ascii="Arial" w:hAnsi="Arial" w:cs="Arial"/>
          <w:noProof/>
          <w:lang w:val="bs-Latn-BA"/>
        </w:rPr>
        <w:t xml:space="preserve">Silva, M. L. T. da, Bernardo, M. A. S., Singh, J., &amp; Mesquita, M. F. de. (2019). </w:t>
      </w:r>
      <w:r w:rsidR="00252A24" w:rsidRPr="00434907">
        <w:rPr>
          <w:rFonts w:ascii="Arial" w:hAnsi="Arial" w:cs="Arial"/>
          <w:noProof/>
          <w:lang w:val="bs-Latn-BA"/>
        </w:rPr>
        <w:t>Chapter 33 - Beneficial Uses of Cinnamon in Health and Diseases:</w:t>
      </w:r>
      <w:r w:rsidR="001932EB" w:rsidRPr="00434907">
        <w:rPr>
          <w:rFonts w:ascii="Arial" w:hAnsi="Arial" w:cs="Arial"/>
          <w:noProof/>
          <w:lang w:val="bs-Latn-BA"/>
        </w:rPr>
        <w:t xml:space="preserve"> An Interdisciplinary Approach. </w:t>
      </w:r>
      <w:r w:rsidRPr="00434907">
        <w:rPr>
          <w:rFonts w:ascii="Arial" w:hAnsi="Arial" w:cs="Arial"/>
          <w:noProof/>
          <w:lang w:val="bs-Latn-BA"/>
        </w:rPr>
        <w:t>In B. S.,</w:t>
      </w:r>
      <w:r w:rsidR="00252A24" w:rsidRPr="00434907">
        <w:rPr>
          <w:rFonts w:ascii="Arial" w:hAnsi="Arial" w:cs="Arial"/>
          <w:noProof/>
          <w:lang w:val="bs-Latn-BA"/>
        </w:rPr>
        <w:t xml:space="preserve"> </w:t>
      </w:r>
      <w:r w:rsidRPr="00434907">
        <w:rPr>
          <w:rFonts w:ascii="Arial" w:hAnsi="Arial" w:cs="Arial"/>
          <w:noProof/>
          <w:lang w:val="bs-Latn-BA"/>
        </w:rPr>
        <w:t>Ram,</w:t>
      </w:r>
      <w:r w:rsidR="00252A24" w:rsidRPr="00434907">
        <w:rPr>
          <w:rFonts w:ascii="Arial" w:hAnsi="Arial" w:cs="Arial"/>
          <w:noProof/>
          <w:lang w:val="bs-Latn-BA"/>
        </w:rPr>
        <w:t xml:space="preserve"> </w:t>
      </w:r>
      <w:r w:rsidRPr="00434907">
        <w:rPr>
          <w:rFonts w:ascii="Arial" w:hAnsi="Arial" w:cs="Arial"/>
          <w:noProof/>
          <w:lang w:val="bs-Latn-BA"/>
        </w:rPr>
        <w:t xml:space="preserve">R.  W.  </w:t>
      </w:r>
      <w:r w:rsidR="00252A24" w:rsidRPr="00434907">
        <w:rPr>
          <w:rFonts w:ascii="Arial" w:hAnsi="Arial" w:cs="Arial"/>
          <w:noProof/>
          <w:lang w:val="bs-Latn-BA"/>
        </w:rPr>
        <w:t>Rona</w:t>
      </w:r>
      <w:r w:rsidRPr="00434907">
        <w:rPr>
          <w:rFonts w:ascii="Arial" w:hAnsi="Arial" w:cs="Arial"/>
          <w:noProof/>
          <w:lang w:val="bs-Latn-BA"/>
        </w:rPr>
        <w:t xml:space="preserve">ld, T. Toru (Eds.),, </w:t>
      </w:r>
      <w:r w:rsidR="00252A24" w:rsidRPr="00434907">
        <w:rPr>
          <w:rFonts w:ascii="Arial" w:hAnsi="Arial" w:cs="Arial"/>
          <w:noProof/>
          <w:lang w:val="bs-Latn-BA"/>
        </w:rPr>
        <w:t xml:space="preserve">The Role of Functional </w:t>
      </w:r>
      <w:r w:rsidR="001932EB" w:rsidRPr="00434907">
        <w:rPr>
          <w:rFonts w:ascii="Arial" w:hAnsi="Arial" w:cs="Arial"/>
          <w:noProof/>
          <w:lang w:val="bs-Latn-BA"/>
        </w:rPr>
        <w:t>Food Security in Global Health.</w:t>
      </w:r>
      <w:r w:rsidRPr="00434907">
        <w:rPr>
          <w:rFonts w:ascii="Arial" w:hAnsi="Arial" w:cs="Arial"/>
          <w:noProof/>
          <w:lang w:val="bs-Latn-BA"/>
        </w:rPr>
        <w:t xml:space="preserve"> </w:t>
      </w:r>
      <w:r w:rsidR="00252A24" w:rsidRPr="00434907">
        <w:rPr>
          <w:rFonts w:ascii="Arial" w:hAnsi="Arial" w:cs="Arial"/>
          <w:noProof/>
          <w:lang w:val="bs-Latn-BA"/>
        </w:rPr>
        <w:t>Academic Press,</w:t>
      </w:r>
      <w:r w:rsidRPr="00434907">
        <w:rPr>
          <w:rFonts w:ascii="Arial" w:hAnsi="Arial" w:cs="Arial"/>
          <w:noProof/>
          <w:lang w:val="bs-Latn-BA"/>
        </w:rPr>
        <w:t xml:space="preserve"> 565-576.</w:t>
      </w:r>
    </w:p>
    <w:p w14:paraId="1E1CD9C6" w14:textId="77777777" w:rsidR="00702158" w:rsidRPr="00434907" w:rsidRDefault="00702158" w:rsidP="00252A24">
      <w:pPr>
        <w:pStyle w:val="Body"/>
        <w:rPr>
          <w:rFonts w:ascii="Arial" w:hAnsi="Arial" w:cs="Arial"/>
          <w:noProof/>
          <w:lang w:val="bs-Latn-BA"/>
        </w:rPr>
      </w:pPr>
      <w:r w:rsidRPr="00434907">
        <w:rPr>
          <w:rFonts w:ascii="Arial" w:hAnsi="Arial" w:cs="Arial"/>
          <w:noProof/>
          <w:lang w:val="bs-Latn-BA"/>
        </w:rPr>
        <w:t>Mathew, S</w:t>
      </w:r>
      <w:r w:rsidR="00640045" w:rsidRPr="00434907">
        <w:rPr>
          <w:rFonts w:ascii="Arial" w:hAnsi="Arial" w:cs="Arial"/>
          <w:noProof/>
          <w:lang w:val="bs-Latn-BA"/>
        </w:rPr>
        <w:t>.</w:t>
      </w:r>
      <w:r w:rsidRPr="00434907">
        <w:rPr>
          <w:rFonts w:ascii="Arial" w:hAnsi="Arial" w:cs="Arial"/>
          <w:noProof/>
          <w:lang w:val="bs-Latn-BA"/>
        </w:rPr>
        <w:t xml:space="preserve"> dan Abraham, T. E. (2004). Studies on the antioxidant activities of cinnamon (Cinnamomum verum) bark extracts, through various in vitro models. Food Chemistry</w:t>
      </w:r>
      <w:r w:rsidR="00E07E98" w:rsidRPr="00434907">
        <w:rPr>
          <w:rFonts w:ascii="Arial" w:hAnsi="Arial" w:cs="Arial"/>
          <w:noProof/>
          <w:lang w:val="bs-Latn-BA"/>
        </w:rPr>
        <w:t>,</w:t>
      </w:r>
      <w:r w:rsidRPr="00434907">
        <w:rPr>
          <w:rFonts w:ascii="Arial" w:hAnsi="Arial" w:cs="Arial"/>
          <w:noProof/>
          <w:lang w:val="bs-Latn-BA"/>
        </w:rPr>
        <w:t xml:space="preserve"> 94(4), 520–528.</w:t>
      </w:r>
      <w:r w:rsidRPr="00434907">
        <w:t xml:space="preserve"> </w:t>
      </w:r>
      <w:r w:rsidRPr="00434907">
        <w:rPr>
          <w:rFonts w:ascii="Arial" w:hAnsi="Arial" w:cs="Arial"/>
          <w:noProof/>
          <w:lang w:val="bs-Latn-BA"/>
        </w:rPr>
        <w:t>10.1016/j.foodchem.2004.11.043</w:t>
      </w:r>
    </w:p>
    <w:p w14:paraId="53DB55D3" w14:textId="77777777" w:rsidR="00702158" w:rsidRPr="00434907" w:rsidRDefault="00702158" w:rsidP="00252A24">
      <w:pPr>
        <w:pStyle w:val="Body"/>
        <w:rPr>
          <w:rFonts w:ascii="Arial" w:hAnsi="Arial" w:cs="Arial"/>
          <w:noProof/>
          <w:lang w:val="bs-Latn-BA"/>
        </w:rPr>
      </w:pPr>
      <w:r w:rsidRPr="00434907">
        <w:rPr>
          <w:rFonts w:ascii="Arial" w:hAnsi="Arial" w:cs="Arial"/>
          <w:noProof/>
          <w:lang w:val="bs-Latn-BA"/>
        </w:rPr>
        <w:t>Huang, T</w:t>
      </w:r>
      <w:r w:rsidR="00640045" w:rsidRPr="00434907">
        <w:rPr>
          <w:rFonts w:ascii="Arial" w:hAnsi="Arial" w:cs="Arial"/>
          <w:noProof/>
          <w:lang w:val="bs-Latn-BA"/>
        </w:rPr>
        <w:t xml:space="preserve">. </w:t>
      </w:r>
      <w:r w:rsidRPr="00434907">
        <w:rPr>
          <w:rFonts w:ascii="Arial" w:hAnsi="Arial" w:cs="Arial"/>
          <w:noProof/>
          <w:lang w:val="bs-Latn-BA"/>
        </w:rPr>
        <w:t>C., Fu, H</w:t>
      </w:r>
      <w:r w:rsidR="00640045" w:rsidRPr="00434907">
        <w:rPr>
          <w:rFonts w:ascii="Arial" w:hAnsi="Arial" w:cs="Arial"/>
          <w:noProof/>
          <w:lang w:val="bs-Latn-BA"/>
        </w:rPr>
        <w:t xml:space="preserve">. </w:t>
      </w:r>
      <w:r w:rsidRPr="00434907">
        <w:rPr>
          <w:rFonts w:ascii="Arial" w:hAnsi="Arial" w:cs="Arial"/>
          <w:noProof/>
          <w:lang w:val="bs-Latn-BA"/>
        </w:rPr>
        <w:t>Y., Ho, C</w:t>
      </w:r>
      <w:r w:rsidR="00640045" w:rsidRPr="00434907">
        <w:rPr>
          <w:rFonts w:ascii="Arial" w:hAnsi="Arial" w:cs="Arial"/>
          <w:noProof/>
          <w:lang w:val="bs-Latn-BA"/>
        </w:rPr>
        <w:t xml:space="preserve">. </w:t>
      </w:r>
      <w:r w:rsidRPr="00434907">
        <w:rPr>
          <w:rFonts w:ascii="Arial" w:hAnsi="Arial" w:cs="Arial"/>
          <w:noProof/>
          <w:lang w:val="bs-Latn-BA"/>
        </w:rPr>
        <w:t>T., Tan, D. Huang, Y</w:t>
      </w:r>
      <w:r w:rsidR="00640045" w:rsidRPr="00434907">
        <w:rPr>
          <w:rFonts w:ascii="Arial" w:hAnsi="Arial" w:cs="Arial"/>
          <w:noProof/>
          <w:lang w:val="bs-Latn-BA"/>
        </w:rPr>
        <w:t xml:space="preserve">. </w:t>
      </w:r>
      <w:r w:rsidRPr="00434907">
        <w:rPr>
          <w:rFonts w:ascii="Arial" w:hAnsi="Arial" w:cs="Arial"/>
          <w:noProof/>
          <w:lang w:val="bs-Latn-BA"/>
        </w:rPr>
        <w:t>T., dan Pan, M</w:t>
      </w:r>
      <w:r w:rsidR="00640045" w:rsidRPr="00434907">
        <w:rPr>
          <w:rFonts w:ascii="Arial" w:hAnsi="Arial" w:cs="Arial"/>
          <w:noProof/>
          <w:lang w:val="bs-Latn-BA"/>
        </w:rPr>
        <w:t xml:space="preserve">. </w:t>
      </w:r>
      <w:r w:rsidRPr="00434907">
        <w:rPr>
          <w:rFonts w:ascii="Arial" w:hAnsi="Arial" w:cs="Arial"/>
          <w:noProof/>
          <w:lang w:val="bs-Latn-BA"/>
        </w:rPr>
        <w:t>H. (2007). Induction of apoptosis by cinnamaldehyde from indigenous cinnamon Cinnamomum osmophloeum Kaneh through reactive oxygen species production, glutathione depletion, and caspase activation in human leukemia K562 cells. Food Chemistry</w:t>
      </w:r>
      <w:r w:rsidR="00E07E98" w:rsidRPr="00434907">
        <w:rPr>
          <w:rFonts w:ascii="Arial" w:hAnsi="Arial" w:cs="Arial"/>
          <w:noProof/>
          <w:lang w:val="bs-Latn-BA"/>
        </w:rPr>
        <w:t>,</w:t>
      </w:r>
      <w:r w:rsidR="001932EB" w:rsidRPr="00434907">
        <w:rPr>
          <w:rFonts w:ascii="Arial" w:hAnsi="Arial" w:cs="Arial"/>
          <w:noProof/>
          <w:lang w:val="bs-Latn-BA"/>
        </w:rPr>
        <w:t xml:space="preserve"> 103(</w:t>
      </w:r>
      <w:r w:rsidR="00E07E98" w:rsidRPr="00434907">
        <w:rPr>
          <w:rFonts w:ascii="Arial" w:hAnsi="Arial" w:cs="Arial"/>
          <w:noProof/>
          <w:lang w:val="bs-Latn-BA"/>
        </w:rPr>
        <w:t xml:space="preserve">2), </w:t>
      </w:r>
      <w:r w:rsidRPr="00434907">
        <w:rPr>
          <w:rFonts w:ascii="Arial" w:hAnsi="Arial" w:cs="Arial"/>
          <w:noProof/>
          <w:lang w:val="bs-Latn-BA"/>
        </w:rPr>
        <w:t>434–443. 10.1016/j.foodchem.2006.08.018</w:t>
      </w:r>
    </w:p>
    <w:p w14:paraId="207851C7" w14:textId="77777777" w:rsidR="00702158" w:rsidRPr="00434907" w:rsidRDefault="00702158" w:rsidP="00252A24">
      <w:pPr>
        <w:pStyle w:val="Body"/>
        <w:rPr>
          <w:rFonts w:ascii="Arial" w:hAnsi="Arial" w:cs="Arial"/>
          <w:noProof/>
          <w:lang w:val="bs-Latn-BA"/>
        </w:rPr>
      </w:pPr>
      <w:r w:rsidRPr="00434907">
        <w:rPr>
          <w:rFonts w:ascii="Arial" w:hAnsi="Arial" w:cs="Arial"/>
          <w:noProof/>
          <w:lang w:val="bs-Latn-BA"/>
        </w:rPr>
        <w:t>Fitry T. (2019). Bioacti</w:t>
      </w:r>
      <w:r w:rsidR="001932EB" w:rsidRPr="00434907">
        <w:rPr>
          <w:rFonts w:ascii="Arial" w:hAnsi="Arial" w:cs="Arial"/>
          <w:noProof/>
          <w:lang w:val="bs-Latn-BA"/>
        </w:rPr>
        <w:t>vity of cinnamon (cinamomum sp).</w:t>
      </w:r>
      <w:r w:rsidRPr="00434907">
        <w:rPr>
          <w:rFonts w:ascii="Arial" w:hAnsi="Arial" w:cs="Arial"/>
          <w:noProof/>
          <w:lang w:val="bs-Latn-BA"/>
        </w:rPr>
        <w:t xml:space="preserve"> Indonesian Food Science and Technology Journal,  3 (1), </w:t>
      </w:r>
      <w:r w:rsidR="00640045" w:rsidRPr="00434907">
        <w:rPr>
          <w:rFonts w:ascii="Arial" w:hAnsi="Arial" w:cs="Arial"/>
          <w:noProof/>
          <w:lang w:val="bs-Latn-BA"/>
        </w:rPr>
        <w:t>18-22.</w:t>
      </w:r>
      <w:r w:rsidR="00640045" w:rsidRPr="00434907">
        <w:t xml:space="preserve"> </w:t>
      </w:r>
      <w:r w:rsidR="00640045" w:rsidRPr="00434907">
        <w:rPr>
          <w:rFonts w:ascii="Arial" w:hAnsi="Arial" w:cs="Arial"/>
          <w:noProof/>
          <w:lang w:val="bs-Latn-BA"/>
        </w:rPr>
        <w:t>10.22437/ifstj.v3i1.10191</w:t>
      </w:r>
    </w:p>
    <w:p w14:paraId="42E5F5C4" w14:textId="77777777" w:rsidR="00640045" w:rsidRPr="00434907" w:rsidRDefault="00640045" w:rsidP="00252A24">
      <w:pPr>
        <w:pStyle w:val="Body"/>
        <w:rPr>
          <w:rFonts w:ascii="Arial" w:hAnsi="Arial" w:cs="Arial"/>
          <w:noProof/>
          <w:lang w:val="bs-Latn-BA"/>
        </w:rPr>
      </w:pPr>
      <w:r w:rsidRPr="00434907">
        <w:rPr>
          <w:rFonts w:ascii="Arial" w:hAnsi="Arial" w:cs="Arial"/>
          <w:noProof/>
          <w:lang w:val="bs-Latn-BA"/>
        </w:rPr>
        <w:t>Chao., L. K., Hua, K. F., Hsu, H. Y., Cheng, S. S, Lin, I. F., Chen, C. J. et al. (2007). Cinnamaldehyde inhibits pro-inflammatory cytokines secretion from monocytes/macrophages through suppression of intracellular signaling. Food and Chemical Toxicology, 46(1), 220–231.</w:t>
      </w:r>
      <w:r w:rsidRPr="00434907">
        <w:t xml:space="preserve"> </w:t>
      </w:r>
      <w:r w:rsidRPr="00434907">
        <w:rPr>
          <w:rFonts w:ascii="Arial" w:hAnsi="Arial" w:cs="Arial"/>
          <w:noProof/>
          <w:lang w:val="bs-Latn-BA"/>
        </w:rPr>
        <w:t>10.1016/j.fct.2007.07.016</w:t>
      </w:r>
    </w:p>
    <w:p w14:paraId="0B123C12" w14:textId="77777777" w:rsidR="00640045" w:rsidRPr="00434907" w:rsidRDefault="00640045" w:rsidP="00252A24">
      <w:pPr>
        <w:pStyle w:val="Body"/>
        <w:rPr>
          <w:rFonts w:ascii="Arial" w:hAnsi="Arial" w:cs="Arial"/>
          <w:noProof/>
          <w:lang w:val="bs-Latn-BA"/>
        </w:rPr>
      </w:pPr>
      <w:r w:rsidRPr="00434907">
        <w:rPr>
          <w:rFonts w:ascii="Arial" w:hAnsi="Arial" w:cs="Arial"/>
          <w:noProof/>
          <w:lang w:val="bs-Latn-BA"/>
        </w:rPr>
        <w:t>Wang, S. Y., Yanga, C. W., Liaob, J. W, Zhena, W. W., Chuc, F. H., and Chang, S. T. (2008). Essential oil from leaves of Cinnamomum osmophloeum acts as a xanthine oxidase inhibitor and reduces the serum uric acid levels in oxonate-induced mice. Phytomedicine</w:t>
      </w:r>
      <w:r w:rsidR="00E07E98" w:rsidRPr="00434907">
        <w:rPr>
          <w:rFonts w:ascii="Arial" w:hAnsi="Arial" w:cs="Arial"/>
          <w:noProof/>
          <w:lang w:val="bs-Latn-BA"/>
        </w:rPr>
        <w:t>,</w:t>
      </w:r>
      <w:r w:rsidRPr="00434907">
        <w:rPr>
          <w:rFonts w:ascii="Arial" w:hAnsi="Arial" w:cs="Arial"/>
          <w:noProof/>
          <w:lang w:val="bs-Latn-BA"/>
        </w:rPr>
        <w:t xml:space="preserve"> 15(11), 940–945. 10.1016/j.phymed.2008.06.002</w:t>
      </w:r>
    </w:p>
    <w:p w14:paraId="5597262D" w14:textId="77777777" w:rsidR="00E07E98" w:rsidRPr="00434907" w:rsidRDefault="00E07E98" w:rsidP="00252A24">
      <w:pPr>
        <w:pStyle w:val="Body"/>
        <w:rPr>
          <w:rFonts w:ascii="Arial" w:hAnsi="Arial" w:cs="Arial"/>
          <w:noProof/>
          <w:lang w:val="bs-Latn-BA"/>
        </w:rPr>
      </w:pPr>
      <w:r w:rsidRPr="00434907">
        <w:rPr>
          <w:rFonts w:ascii="Arial" w:hAnsi="Arial" w:cs="Arial"/>
          <w:noProof/>
          <w:lang w:val="bs-Latn-BA"/>
        </w:rPr>
        <w:t>Oussalah, M., Caillet, S., Saucier, L., and Lacroix, M. (2007). Inhibitory effects of selected plant essential oils on the growth of four pathogenic bacteria: E. coli O157:H7, Salmonella Typhimurium, Staphylococcus aureus and Listeria monocytogenes. Food Control, 18(5),  414–420.</w:t>
      </w:r>
      <w:r w:rsidRPr="00434907">
        <w:t xml:space="preserve"> </w:t>
      </w:r>
      <w:r w:rsidRPr="00434907">
        <w:rPr>
          <w:rFonts w:ascii="Arial" w:hAnsi="Arial" w:cs="Arial"/>
          <w:noProof/>
          <w:lang w:val="bs-Latn-BA"/>
        </w:rPr>
        <w:t>doi.org/10.1016/j.foodcont.2005.11.009</w:t>
      </w:r>
    </w:p>
    <w:p w14:paraId="22A06990" w14:textId="77777777" w:rsidR="00E07E98" w:rsidRPr="00434907" w:rsidRDefault="00E07E98" w:rsidP="00252A24">
      <w:pPr>
        <w:pStyle w:val="Body"/>
        <w:rPr>
          <w:rFonts w:ascii="Arial" w:hAnsi="Arial" w:cs="Arial"/>
          <w:noProof/>
          <w:lang w:val="bs-Latn-BA"/>
        </w:rPr>
      </w:pPr>
      <w:r w:rsidRPr="00434907">
        <w:rPr>
          <w:rFonts w:ascii="Arial" w:hAnsi="Arial" w:cs="Arial"/>
          <w:noProof/>
          <w:lang w:val="bs-Latn-BA"/>
        </w:rPr>
        <w:t>Ranasinghe, L., Bimali, J. and Krisshanti A. (2003). Use of waste generated from cinnamon bark oil extraction as postharvest treatment for embul banana. Food Agriculturr &amp; Environment., 1(2), 340-344.</w:t>
      </w:r>
    </w:p>
    <w:p w14:paraId="7EFE6B49" w14:textId="77777777" w:rsidR="00E07E98" w:rsidRPr="00434907" w:rsidRDefault="00E07E98" w:rsidP="00252A24">
      <w:pPr>
        <w:pStyle w:val="Body"/>
        <w:rPr>
          <w:rFonts w:ascii="Arial" w:hAnsi="Arial" w:cs="Arial"/>
          <w:noProof/>
          <w:lang w:val="bs-Latn-BA"/>
        </w:rPr>
      </w:pPr>
      <w:r w:rsidRPr="00434907">
        <w:rPr>
          <w:rFonts w:ascii="Arial" w:hAnsi="Arial" w:cs="Arial"/>
          <w:noProof/>
          <w:lang w:val="bs-Latn-BA"/>
        </w:rPr>
        <w:t>Winias S., Retno A., Magfiroh R., Ryan M., Rahayu R. P. (2011). Effect of cynammyldehyde from cinnamon extract as a natural preservative alternative to the growth of Staphylococcus aureus bacteria. Indones J Trop. Infect Dis., 2(1), 38-41. 10.20473/ijtid.v2i1.188</w:t>
      </w:r>
    </w:p>
    <w:p w14:paraId="0166D5A5" w14:textId="77777777" w:rsidR="00E07E98" w:rsidRPr="00434907" w:rsidRDefault="00E07E98" w:rsidP="00252A24">
      <w:pPr>
        <w:pStyle w:val="Body"/>
        <w:rPr>
          <w:rFonts w:ascii="Arial" w:hAnsi="Arial" w:cs="Arial"/>
          <w:noProof/>
          <w:lang w:val="bs-Latn-BA"/>
        </w:rPr>
      </w:pPr>
      <w:r w:rsidRPr="00434907">
        <w:rPr>
          <w:rFonts w:ascii="Arial" w:hAnsi="Arial" w:cs="Arial"/>
          <w:noProof/>
          <w:lang w:val="bs-Latn-BA"/>
        </w:rPr>
        <w:t>Babu P., Prabuseenivasan S., Ignacimuthu S. (2007). Cinnamaldehyde-a potential antidiabetic agent. Phytomedicine, 14(1), 15-22.</w:t>
      </w:r>
      <w:r w:rsidRPr="00434907">
        <w:t xml:space="preserve"> </w:t>
      </w:r>
      <w:r w:rsidRPr="00434907">
        <w:rPr>
          <w:rFonts w:ascii="Arial" w:hAnsi="Arial" w:cs="Arial"/>
          <w:noProof/>
          <w:lang w:val="bs-Latn-BA"/>
        </w:rPr>
        <w:t>10.1016/j.phymed.2006.11.005</w:t>
      </w:r>
    </w:p>
    <w:p w14:paraId="611ED3CF" w14:textId="77777777" w:rsidR="001932EB" w:rsidRPr="00434907" w:rsidRDefault="001932EB" w:rsidP="00252A24">
      <w:pPr>
        <w:pStyle w:val="Body"/>
        <w:rPr>
          <w:rFonts w:ascii="Arial" w:hAnsi="Arial" w:cs="Arial"/>
          <w:noProof/>
          <w:lang w:val="bs-Latn-BA"/>
        </w:rPr>
      </w:pPr>
      <w:r w:rsidRPr="00434907">
        <w:rPr>
          <w:rFonts w:ascii="Arial" w:hAnsi="Arial" w:cs="Arial"/>
          <w:noProof/>
          <w:lang w:val="bs-Latn-BA"/>
        </w:rPr>
        <w:t>Fan, H. L., Jiyuan S., Siwang W. (2013). Protective effects of cinnamic acid and cinnamic aldehyde on isoproterenol-induced acute myocardial ischemia in rats. Journal of Ethnopharmacology, 150(1), 125-130.</w:t>
      </w:r>
      <w:r w:rsidRPr="00434907">
        <w:t xml:space="preserve"> </w:t>
      </w:r>
      <w:r w:rsidRPr="00434907">
        <w:rPr>
          <w:rFonts w:ascii="Arial" w:hAnsi="Arial" w:cs="Arial"/>
          <w:noProof/>
          <w:lang w:val="bs-Latn-BA"/>
        </w:rPr>
        <w:t>10.1016/j.jep.2013.08.019</w:t>
      </w:r>
    </w:p>
    <w:p w14:paraId="76B0A73B" w14:textId="77777777" w:rsidR="001932EB" w:rsidRPr="00434907" w:rsidRDefault="001932EB" w:rsidP="00252A24">
      <w:pPr>
        <w:pStyle w:val="Body"/>
        <w:rPr>
          <w:rFonts w:ascii="Arial" w:hAnsi="Arial" w:cs="Arial"/>
          <w:noProof/>
          <w:lang w:val="bs-Latn-BA"/>
        </w:rPr>
      </w:pPr>
      <w:r w:rsidRPr="00434907">
        <w:rPr>
          <w:rFonts w:ascii="Arial" w:hAnsi="Arial" w:cs="Arial"/>
          <w:noProof/>
          <w:lang w:val="bs-Latn-BA"/>
        </w:rPr>
        <w:t>Mueller-Harvey, I. 82006). Unravelling the conundrum of tannins in animal nutrition and health. J. Sci. Food Agric., 86, 2010–2037. doi.org/10.1002/jsfa.2577</w:t>
      </w:r>
    </w:p>
    <w:p w14:paraId="720C7179" w14:textId="77777777" w:rsidR="00284C4C" w:rsidRPr="00434907" w:rsidRDefault="000201AF" w:rsidP="00441B6F">
      <w:pPr>
        <w:pStyle w:val="Body"/>
        <w:spacing w:after="0"/>
        <w:rPr>
          <w:rFonts w:ascii="Arial" w:hAnsi="Arial" w:cs="Arial"/>
          <w:noProof/>
          <w:lang w:val="bs-Latn-BA"/>
        </w:rPr>
      </w:pPr>
      <w:r w:rsidRPr="00434907">
        <w:rPr>
          <w:rFonts w:ascii="Arial" w:hAnsi="Arial" w:cs="Arial"/>
          <w:noProof/>
          <w:lang w:val="bs-Latn-BA"/>
        </w:rPr>
        <w:t>Harborne, J.</w:t>
      </w:r>
      <w:r w:rsidR="00B4138F" w:rsidRPr="00434907">
        <w:rPr>
          <w:rFonts w:ascii="Arial" w:hAnsi="Arial" w:cs="Arial"/>
          <w:noProof/>
          <w:lang w:val="bs-Latn-BA"/>
        </w:rPr>
        <w:t xml:space="preserve"> </w:t>
      </w:r>
      <w:r w:rsidRPr="00434907">
        <w:rPr>
          <w:rFonts w:ascii="Arial" w:hAnsi="Arial" w:cs="Arial"/>
          <w:noProof/>
          <w:lang w:val="bs-Latn-BA"/>
        </w:rPr>
        <w:t xml:space="preserve">B. (1994). The Flavonoids Advances in Research Since 1986 (1st ed.). Routledge. </w:t>
      </w:r>
      <w:hyperlink r:id="rId22" w:history="1">
        <w:r w:rsidRPr="00434907">
          <w:rPr>
            <w:rStyle w:val="Hyperlink"/>
            <w:rFonts w:ascii="Arial" w:hAnsi="Arial" w:cs="Arial"/>
            <w:noProof/>
            <w:color w:val="auto"/>
            <w:u w:val="none"/>
            <w:lang w:val="bs-Latn-BA"/>
          </w:rPr>
          <w:t>https://doi.org/10.1201/9780203736692</w:t>
        </w:r>
      </w:hyperlink>
    </w:p>
    <w:p w14:paraId="626A36A7" w14:textId="77777777" w:rsidR="00B4138F" w:rsidRPr="00434907" w:rsidRDefault="00B4138F" w:rsidP="00441B6F">
      <w:pPr>
        <w:pStyle w:val="Body"/>
        <w:spacing w:after="0"/>
        <w:rPr>
          <w:rFonts w:ascii="Arial" w:hAnsi="Arial" w:cs="Arial"/>
          <w:noProof/>
          <w:lang w:val="bs-Latn-BA"/>
        </w:rPr>
      </w:pPr>
    </w:p>
    <w:p w14:paraId="1FBF7CB6" w14:textId="77777777" w:rsidR="00B4138F" w:rsidRPr="00434907" w:rsidRDefault="00B4138F" w:rsidP="00441B6F">
      <w:pPr>
        <w:pStyle w:val="Body"/>
        <w:spacing w:after="0"/>
        <w:rPr>
          <w:rFonts w:ascii="Arial" w:hAnsi="Arial" w:cs="Arial"/>
          <w:noProof/>
          <w:lang w:val="bs-Latn-BA"/>
        </w:rPr>
      </w:pPr>
      <w:r w:rsidRPr="00434907">
        <w:rPr>
          <w:rFonts w:ascii="Arial" w:hAnsi="Arial" w:cs="Arial"/>
          <w:noProof/>
          <w:lang w:val="bs-Latn-BA"/>
        </w:rPr>
        <w:t>Williams, A., Ramsay, A., Hansen, T. et al. (2015). Anthelmintic activity of trans-cinnamaldehyde and A- and B-type proanthocyanidins derived from cinnamon (Cinnamomum verum). Sci Rep. 30(5), 14791.</w:t>
      </w:r>
      <w:r w:rsidRPr="00434907">
        <w:t xml:space="preserve"> </w:t>
      </w:r>
      <w:r w:rsidRPr="00434907">
        <w:rPr>
          <w:rFonts w:ascii="Arial" w:hAnsi="Arial" w:cs="Arial"/>
          <w:noProof/>
          <w:lang w:val="bs-Latn-BA"/>
        </w:rPr>
        <w:t>10.1038/srep14791</w:t>
      </w:r>
    </w:p>
    <w:p w14:paraId="10201601" w14:textId="77777777" w:rsidR="00B4138F" w:rsidRPr="00434907" w:rsidRDefault="00B4138F" w:rsidP="00441B6F">
      <w:pPr>
        <w:pStyle w:val="Body"/>
        <w:spacing w:after="0"/>
        <w:rPr>
          <w:rFonts w:ascii="Arial" w:hAnsi="Arial" w:cs="Arial"/>
          <w:noProof/>
          <w:lang w:val="bs-Latn-BA"/>
        </w:rPr>
      </w:pPr>
    </w:p>
    <w:p w14:paraId="39F8ED92" w14:textId="77777777" w:rsidR="00B4138F" w:rsidRPr="00434907" w:rsidRDefault="00B4138F" w:rsidP="00441B6F">
      <w:pPr>
        <w:pStyle w:val="Body"/>
        <w:spacing w:after="0"/>
        <w:rPr>
          <w:rFonts w:ascii="Arial" w:hAnsi="Arial" w:cs="Arial"/>
          <w:noProof/>
          <w:lang w:val="bs-Latn-BA"/>
        </w:rPr>
      </w:pPr>
      <w:r w:rsidRPr="00434907">
        <w:rPr>
          <w:rFonts w:ascii="Arial" w:hAnsi="Arial" w:cs="Arial"/>
          <w:noProof/>
          <w:lang w:val="bs-Latn-BA"/>
        </w:rPr>
        <w:t>Blahová J, Svobodová Z. (2012). Assessment of coumarin levels in ground cinnamon available in the Czech retail market. Scientific World Journal,  263851.</w:t>
      </w:r>
      <w:r w:rsidRPr="00434907">
        <w:t xml:space="preserve"> </w:t>
      </w:r>
      <w:r w:rsidRPr="00434907">
        <w:rPr>
          <w:rFonts w:ascii="Arial" w:hAnsi="Arial" w:cs="Arial"/>
          <w:noProof/>
          <w:lang w:val="bs-Latn-BA"/>
        </w:rPr>
        <w:t>10.1100/2012/263851</w:t>
      </w:r>
    </w:p>
    <w:p w14:paraId="1DBEBF46" w14:textId="77777777" w:rsidR="00B4138F" w:rsidRPr="00434907" w:rsidRDefault="00B4138F" w:rsidP="00441B6F">
      <w:pPr>
        <w:pStyle w:val="Body"/>
        <w:spacing w:after="0"/>
        <w:rPr>
          <w:rFonts w:ascii="Arial" w:hAnsi="Arial" w:cs="Arial"/>
          <w:noProof/>
          <w:lang w:val="bs-Latn-BA"/>
        </w:rPr>
      </w:pPr>
    </w:p>
    <w:p w14:paraId="39BCB3FA" w14:textId="77777777" w:rsidR="00B4138F" w:rsidRPr="00434907" w:rsidRDefault="00B4138F" w:rsidP="00441B6F">
      <w:pPr>
        <w:pStyle w:val="Body"/>
        <w:spacing w:after="0"/>
        <w:rPr>
          <w:rFonts w:ascii="Arial" w:hAnsi="Arial" w:cs="Arial"/>
          <w:noProof/>
          <w:lang w:val="bs-Latn-BA"/>
        </w:rPr>
      </w:pPr>
      <w:r w:rsidRPr="00434907">
        <w:rPr>
          <w:rFonts w:ascii="Arial" w:hAnsi="Arial" w:cs="Arial"/>
          <w:noProof/>
          <w:lang w:val="bs-Latn-BA"/>
        </w:rPr>
        <w:lastRenderedPageBreak/>
        <w:t>Singleton, V. L.,   Orthofer, R.;   Lamuela-Raventós S., Rosa M. , V.L., Orthofer, R. and Lamuela-Raventos, M. R.; (1999).  Analysis of Total Phenols and Other Oxidation Substrates and Antioxidants by Means of Folin-Ciocalteu reagent. Methods in Enzymology, 299, 152-178.</w:t>
      </w:r>
      <w:r w:rsidRPr="00434907">
        <w:t xml:space="preserve"> </w:t>
      </w:r>
      <w:r w:rsidRPr="00434907">
        <w:rPr>
          <w:rFonts w:ascii="Arial" w:hAnsi="Arial" w:cs="Arial"/>
          <w:noProof/>
          <w:lang w:val="bs-Latn-BA"/>
        </w:rPr>
        <w:t>10.1016/S0076-6879(99)99017-1</w:t>
      </w:r>
    </w:p>
    <w:p w14:paraId="1751459B" w14:textId="77777777" w:rsidR="00FE5055" w:rsidRPr="00434907" w:rsidRDefault="00FE5055" w:rsidP="00441B6F">
      <w:pPr>
        <w:pStyle w:val="Body"/>
        <w:spacing w:after="0"/>
        <w:rPr>
          <w:rFonts w:ascii="Arial" w:hAnsi="Arial" w:cs="Arial"/>
          <w:noProof/>
          <w:lang w:val="bs-Latn-BA"/>
        </w:rPr>
      </w:pPr>
    </w:p>
    <w:p w14:paraId="23E7FF3C" w14:textId="77777777" w:rsidR="00FE5055" w:rsidRPr="00434907" w:rsidRDefault="00FE5055" w:rsidP="00441B6F">
      <w:pPr>
        <w:pStyle w:val="Body"/>
        <w:spacing w:after="0"/>
        <w:rPr>
          <w:rFonts w:ascii="Arial" w:hAnsi="Arial" w:cs="Arial"/>
          <w:noProof/>
          <w:lang w:val="bs-Latn-BA"/>
        </w:rPr>
      </w:pPr>
      <w:r w:rsidRPr="00434907">
        <w:rPr>
          <w:rFonts w:ascii="Arial" w:hAnsi="Arial" w:cs="Arial"/>
          <w:noProof/>
          <w:lang w:val="bs-Latn-BA"/>
        </w:rPr>
        <w:t>Emir H., Jasmina D. and Edina H. (2024), Influence of the Ratio of Water and Organic Solvents on the Antioxidative Activity and Content of Bioactive Componentsin Artemisia annua L. and Artemisia absinthium L. Extracts. Radovi Šumarskog fakulteta Univerziteta u Sarajevu, 54(2), 27-35.</w:t>
      </w:r>
      <w:r w:rsidRPr="00434907">
        <w:t xml:space="preserve"> </w:t>
      </w:r>
      <w:r w:rsidRPr="00434907">
        <w:rPr>
          <w:rFonts w:ascii="Arial" w:hAnsi="Arial" w:cs="Arial"/>
          <w:noProof/>
          <w:lang w:val="bs-Latn-BA"/>
        </w:rPr>
        <w:t>10.54652/RSF.2024.V54.I2.594</w:t>
      </w:r>
    </w:p>
    <w:p w14:paraId="163775EB" w14:textId="77777777" w:rsidR="00FE5055" w:rsidRPr="00434907" w:rsidRDefault="00FE5055" w:rsidP="00441B6F">
      <w:pPr>
        <w:pStyle w:val="Body"/>
        <w:spacing w:after="0"/>
        <w:rPr>
          <w:rFonts w:ascii="Arial" w:hAnsi="Arial" w:cs="Arial"/>
          <w:noProof/>
          <w:lang w:val="bs-Latn-BA"/>
        </w:rPr>
      </w:pPr>
      <w:r w:rsidRPr="00434907">
        <w:rPr>
          <w:rFonts w:ascii="Arial" w:hAnsi="Arial" w:cs="Arial"/>
          <w:noProof/>
          <w:lang w:val="bs-Latn-BA"/>
        </w:rPr>
        <w:t>Dibacto, R. E. K., Tchuente, B. R. T., Nguedjo, M. W., Tientcheu, Y. M. T.,  Nyobe, E. C., Edoun, F. L. E. et al. (2021). Total Polyphenol and Flavonoid Content and Antioxidant Capacity of Some Varieties of Persea americana Peels Consumed in Cameroon. The Scientific World Journal,</w:t>
      </w:r>
      <w:r w:rsidR="004739D2" w:rsidRPr="00434907">
        <w:rPr>
          <w:rFonts w:ascii="Arial" w:hAnsi="Arial" w:cs="Arial"/>
          <w:noProof/>
          <w:lang w:val="bs-Latn-BA"/>
        </w:rPr>
        <w:t xml:space="preserve"> 1, 8882594. 10.1155/2021/8882594</w:t>
      </w:r>
    </w:p>
    <w:p w14:paraId="68B37908" w14:textId="77777777" w:rsidR="004739D2" w:rsidRPr="00434907" w:rsidRDefault="004739D2" w:rsidP="00441B6F">
      <w:pPr>
        <w:pStyle w:val="Body"/>
        <w:spacing w:after="0"/>
        <w:rPr>
          <w:rFonts w:ascii="Arial" w:hAnsi="Arial" w:cs="Arial"/>
          <w:noProof/>
          <w:lang w:val="bs-Latn-BA"/>
        </w:rPr>
      </w:pPr>
    </w:p>
    <w:p w14:paraId="48371EBE" w14:textId="77777777" w:rsidR="004739D2" w:rsidRPr="00434907" w:rsidRDefault="004739D2" w:rsidP="00441B6F">
      <w:pPr>
        <w:pStyle w:val="Body"/>
        <w:spacing w:after="0"/>
        <w:rPr>
          <w:rFonts w:ascii="Arial" w:hAnsi="Arial" w:cs="Arial"/>
          <w:noProof/>
          <w:lang w:val="bs-Latn-BA"/>
        </w:rPr>
      </w:pPr>
      <w:r w:rsidRPr="00434907">
        <w:rPr>
          <w:rFonts w:ascii="Arial" w:hAnsi="Arial" w:cs="Arial"/>
          <w:noProof/>
          <w:lang w:val="bs-Latn-BA"/>
        </w:rPr>
        <w:t>Olajire, A. A. and Azeez, L. A. (2011). Total antioxidant activity, phenolic, flavonoid and ascorbic acid contents of Nigerian vegetables. African Journal of Food Science and Technology, 2(2), 022-029.</w:t>
      </w:r>
    </w:p>
    <w:p w14:paraId="05A33C03" w14:textId="77777777" w:rsidR="004739D2" w:rsidRPr="00434907" w:rsidRDefault="004739D2" w:rsidP="00441B6F">
      <w:pPr>
        <w:pStyle w:val="Body"/>
        <w:spacing w:after="0"/>
        <w:rPr>
          <w:rFonts w:ascii="Arial" w:hAnsi="Arial" w:cs="Arial"/>
          <w:noProof/>
          <w:lang w:val="bs-Latn-BA"/>
        </w:rPr>
      </w:pPr>
    </w:p>
    <w:p w14:paraId="62420286" w14:textId="77777777" w:rsidR="004739D2" w:rsidRPr="00434907" w:rsidRDefault="004739D2" w:rsidP="00441B6F">
      <w:pPr>
        <w:pStyle w:val="Body"/>
        <w:spacing w:after="0"/>
        <w:rPr>
          <w:rFonts w:ascii="Arial" w:hAnsi="Arial" w:cs="Arial"/>
          <w:noProof/>
          <w:lang w:val="bs-Latn-BA"/>
        </w:rPr>
      </w:pPr>
      <w:r w:rsidRPr="00434907">
        <w:rPr>
          <w:rFonts w:ascii="Arial" w:hAnsi="Arial" w:cs="Arial"/>
          <w:noProof/>
          <w:lang w:val="bs-Latn-BA"/>
        </w:rPr>
        <w:t>Chang, C.-C., Yang, M.-H., Wen, H.-M.  and Chern, J-C. (2002). Estimation of total flavonoid content in propolis by two complementary colometric methods. Journal of food and drug analysis, 10(3), 178-182.</w:t>
      </w:r>
    </w:p>
    <w:p w14:paraId="1967BACE" w14:textId="77777777" w:rsidR="004739D2" w:rsidRPr="00434907" w:rsidRDefault="004739D2" w:rsidP="00441B6F">
      <w:pPr>
        <w:pStyle w:val="Body"/>
        <w:spacing w:after="0"/>
        <w:rPr>
          <w:rFonts w:ascii="Arial" w:hAnsi="Arial" w:cs="Arial"/>
          <w:noProof/>
          <w:lang w:val="bs-Latn-BA"/>
        </w:rPr>
      </w:pPr>
    </w:p>
    <w:p w14:paraId="3B76286F" w14:textId="77777777" w:rsidR="004739D2" w:rsidRPr="00434907" w:rsidRDefault="004739D2" w:rsidP="00441B6F">
      <w:pPr>
        <w:pStyle w:val="Body"/>
        <w:spacing w:after="0"/>
        <w:rPr>
          <w:rFonts w:ascii="Arial" w:hAnsi="Arial" w:cs="Arial"/>
          <w:noProof/>
          <w:lang w:val="bs-Latn-BA"/>
        </w:rPr>
      </w:pPr>
      <w:r w:rsidRPr="00434907">
        <w:rPr>
          <w:rFonts w:ascii="Arial" w:hAnsi="Arial" w:cs="Arial"/>
          <w:noProof/>
          <w:lang w:val="bs-Latn-BA"/>
        </w:rPr>
        <w:t>Benzie, I.F.F., Strain, J.J. (1999). Ferric reducing/antioxi-dant power assay: Direct measure of total antioxidantactivity of biological fluids and modified version for si-multaneous measurement of total antioxidant powerand ascorbic acid concentration. Methods in Enzymology ,299, 15-27.</w:t>
      </w:r>
      <w:r w:rsidRPr="00434907">
        <w:t xml:space="preserve"> </w:t>
      </w:r>
      <w:r w:rsidRPr="00434907">
        <w:rPr>
          <w:rFonts w:ascii="Arial" w:hAnsi="Arial" w:cs="Arial"/>
          <w:noProof/>
          <w:lang w:val="bs-Latn-BA"/>
        </w:rPr>
        <w:t>10.1016/s0076-6879(99)99005-5</w:t>
      </w:r>
    </w:p>
    <w:p w14:paraId="3EF9FB9F" w14:textId="77777777" w:rsidR="004739D2" w:rsidRPr="00434907" w:rsidRDefault="004739D2" w:rsidP="00441B6F">
      <w:pPr>
        <w:pStyle w:val="Body"/>
        <w:spacing w:after="0"/>
        <w:rPr>
          <w:rFonts w:ascii="Arial" w:hAnsi="Arial" w:cs="Arial"/>
          <w:noProof/>
          <w:lang w:val="bs-Latn-BA"/>
        </w:rPr>
      </w:pPr>
    </w:p>
    <w:p w14:paraId="1736DFAD" w14:textId="77777777" w:rsidR="004739D2" w:rsidRPr="00434907" w:rsidRDefault="004739D2" w:rsidP="00441B6F">
      <w:pPr>
        <w:pStyle w:val="Body"/>
        <w:spacing w:after="0"/>
        <w:rPr>
          <w:rFonts w:ascii="Arial" w:hAnsi="Arial" w:cs="Arial"/>
          <w:noProof/>
          <w:lang w:val="bs-Latn-BA"/>
        </w:rPr>
      </w:pPr>
      <w:r w:rsidRPr="00434907">
        <w:rPr>
          <w:rFonts w:ascii="Arial" w:hAnsi="Arial" w:cs="Arial"/>
          <w:noProof/>
          <w:lang w:val="bs-Latn-BA"/>
        </w:rPr>
        <w:t>Wojdylo, A., Oszmianski J., Czemerys R. (2007). Antioxidant activity and phenolic compounds in 32 selected herbs.Food Chemistry, 105,  940–949.</w:t>
      </w:r>
      <w:r w:rsidRPr="00434907">
        <w:t xml:space="preserve"> </w:t>
      </w:r>
      <w:r w:rsidRPr="00434907">
        <w:rPr>
          <w:rFonts w:ascii="Arial" w:hAnsi="Arial" w:cs="Arial"/>
          <w:noProof/>
          <w:lang w:val="bs-Latn-BA"/>
        </w:rPr>
        <w:t>10.1016/j.foodchem.2007.04.038</w:t>
      </w:r>
    </w:p>
    <w:p w14:paraId="2F2FAC51" w14:textId="77777777" w:rsidR="000201AF" w:rsidRPr="00434907" w:rsidRDefault="000201AF" w:rsidP="00441B6F">
      <w:pPr>
        <w:pStyle w:val="Body"/>
        <w:spacing w:after="0"/>
        <w:rPr>
          <w:rFonts w:ascii="Arial" w:hAnsi="Arial" w:cs="Arial"/>
          <w:i/>
          <w:noProof/>
          <w:u w:val="single"/>
          <w:lang w:val="bs-Latn-BA"/>
        </w:rPr>
      </w:pPr>
    </w:p>
    <w:p w14:paraId="52F2694E" w14:textId="77777777" w:rsidR="00434907" w:rsidRPr="00434907" w:rsidRDefault="00434907" w:rsidP="00434907">
      <w:pPr>
        <w:pStyle w:val="Body"/>
        <w:spacing w:after="0"/>
        <w:rPr>
          <w:rFonts w:ascii="Arial" w:hAnsi="Arial" w:cs="Arial"/>
          <w:noProof/>
          <w:lang w:val="bs-Latn-BA"/>
        </w:rPr>
      </w:pPr>
      <w:r w:rsidRPr="00434907">
        <w:t xml:space="preserve">Boeing, J.S., </w:t>
      </w:r>
      <w:proofErr w:type="spellStart"/>
      <w:r w:rsidRPr="00434907">
        <w:t>Barizão</w:t>
      </w:r>
      <w:proofErr w:type="spellEnd"/>
      <w:r w:rsidRPr="00434907">
        <w:t xml:space="preserve">, E.O., Silva, B.C., </w:t>
      </w:r>
      <w:proofErr w:type="spellStart"/>
      <w:r w:rsidRPr="00434907">
        <w:t>Montanher</w:t>
      </w:r>
      <w:proofErr w:type="spellEnd"/>
      <w:r w:rsidRPr="00434907">
        <w:t xml:space="preserve">, P.F., Cinque Almeida, V., </w:t>
      </w:r>
      <w:proofErr w:type="spellStart"/>
      <w:r w:rsidRPr="00434907">
        <w:t>Visentainer</w:t>
      </w:r>
      <w:proofErr w:type="spellEnd"/>
      <w:r w:rsidRPr="00434907">
        <w:t xml:space="preserve">. J.V., (2014). Evaluation of solvent effect on the extraction of phenolic compounds and antioxidant capacities from the berries: Application of principal component analysis. Chemistry Central </w:t>
      </w:r>
      <w:proofErr w:type="gramStart"/>
      <w:r w:rsidRPr="00434907">
        <w:t>Journal,  8</w:t>
      </w:r>
      <w:proofErr w:type="gramEnd"/>
      <w:r w:rsidRPr="00434907">
        <w:t>(1), 1-9. 10.1186/s13065-014-0048-1</w:t>
      </w:r>
    </w:p>
    <w:p w14:paraId="38BEB2EC" w14:textId="77777777" w:rsidR="00434907" w:rsidRPr="005F276D" w:rsidRDefault="00434907" w:rsidP="00441B6F">
      <w:pPr>
        <w:pStyle w:val="Body"/>
        <w:spacing w:after="0"/>
        <w:rPr>
          <w:rFonts w:ascii="Arial" w:hAnsi="Arial" w:cs="Arial"/>
          <w:i/>
          <w:noProof/>
          <w:u w:val="single"/>
          <w:lang w:val="bs-Latn-BA"/>
        </w:rPr>
      </w:pPr>
    </w:p>
    <w:p w14:paraId="06E2DC8F" w14:textId="77777777" w:rsidR="00B01FCD" w:rsidRPr="005F276D" w:rsidRDefault="00B01FCD" w:rsidP="00441B6F">
      <w:pPr>
        <w:pStyle w:val="Appendix"/>
        <w:spacing w:after="0"/>
        <w:jc w:val="both"/>
        <w:rPr>
          <w:rFonts w:ascii="Arial" w:hAnsi="Arial" w:cs="Arial"/>
          <w:b w:val="0"/>
          <w:noProof/>
          <w:lang w:val="bs-Latn-BA"/>
        </w:rPr>
      </w:pPr>
    </w:p>
    <w:sectPr w:rsidR="00B01FCD" w:rsidRPr="005F276D" w:rsidSect="00BC0DD4">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8846A" w14:textId="77777777" w:rsidR="00D141D8" w:rsidRDefault="00D141D8" w:rsidP="00C37E61">
      <w:r>
        <w:separator/>
      </w:r>
    </w:p>
  </w:endnote>
  <w:endnote w:type="continuationSeparator" w:id="0">
    <w:p w14:paraId="7DA2903E" w14:textId="77777777" w:rsidR="00D141D8" w:rsidRDefault="00D141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8924" w14:textId="77777777" w:rsidR="00493912" w:rsidRDefault="0049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18BF" w14:textId="77777777" w:rsidR="00493912" w:rsidRDefault="0049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F849" w14:textId="77777777" w:rsidR="00FE5055" w:rsidRDefault="00FE5055">
    <w:pPr>
      <w:pStyle w:val="Footer"/>
      <w:rPr>
        <w:rFonts w:ascii="Arial" w:hAnsi="Arial" w:cs="Arial"/>
        <w:sz w:val="16"/>
      </w:rPr>
    </w:pPr>
  </w:p>
  <w:p w14:paraId="619FD6D1" w14:textId="77777777" w:rsidR="00FE5055" w:rsidRDefault="00FE505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010902" w14:textId="77777777" w:rsidR="00FE5055" w:rsidRDefault="00FE5055">
    <w:pPr>
      <w:pStyle w:val="Footer"/>
      <w:rPr>
        <w:rFonts w:ascii="Arial" w:hAnsi="Arial" w:cs="Arial"/>
        <w:sz w:val="16"/>
      </w:rPr>
    </w:pPr>
  </w:p>
  <w:p w14:paraId="5EC37FF2" w14:textId="77777777" w:rsidR="00FE5055" w:rsidRPr="009E048A" w:rsidRDefault="00FE505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90FB" w14:textId="77777777" w:rsidR="00FE5055" w:rsidRPr="00C37E61" w:rsidRDefault="00FE50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87EA" w14:textId="77777777" w:rsidR="00D141D8" w:rsidRDefault="00D141D8" w:rsidP="00C37E61">
      <w:r>
        <w:separator/>
      </w:r>
    </w:p>
  </w:footnote>
  <w:footnote w:type="continuationSeparator" w:id="0">
    <w:p w14:paraId="6F358821" w14:textId="77777777" w:rsidR="00D141D8" w:rsidRDefault="00D141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E6AE" w14:textId="1A5A709A" w:rsidR="00493912" w:rsidRDefault="00493912">
    <w:pPr>
      <w:pStyle w:val="Header"/>
    </w:pPr>
    <w:r>
      <w:rPr>
        <w:noProof/>
      </w:rPr>
      <w:pict w14:anchorId="0C3CF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0783" w14:textId="6104805A" w:rsidR="00493912" w:rsidRDefault="00493912">
    <w:pPr>
      <w:pStyle w:val="Header"/>
    </w:pPr>
    <w:r>
      <w:rPr>
        <w:noProof/>
      </w:rPr>
      <w:pict w14:anchorId="27DCE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07C5" w14:textId="0C35379F" w:rsidR="00FE5055" w:rsidRPr="00296529" w:rsidRDefault="00493912" w:rsidP="00296529">
    <w:pPr>
      <w:ind w:left="2160"/>
      <w:jc w:val="center"/>
      <w:rPr>
        <w:rFonts w:ascii="Times New Roman" w:eastAsia="Calibri" w:hAnsi="Times New Roman"/>
        <w:i/>
        <w:sz w:val="18"/>
        <w:szCs w:val="22"/>
      </w:rPr>
    </w:pPr>
    <w:r>
      <w:rPr>
        <w:noProof/>
      </w:rPr>
      <w:pict w14:anchorId="0B5D0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A3CE88" w14:textId="77777777" w:rsidR="00FE5055" w:rsidRPr="00296529" w:rsidRDefault="00FE505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E371990" w14:textId="77777777" w:rsidR="00FE5055" w:rsidRPr="00296529" w:rsidRDefault="00FE50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DC8134" w14:textId="77777777" w:rsidR="00FE5055" w:rsidRPr="00296529" w:rsidRDefault="00FE505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0558434" w14:textId="77777777" w:rsidR="00FE5055" w:rsidRDefault="00FE5055" w:rsidP="00296529">
    <w:pPr>
      <w:jc w:val="center"/>
      <w:rPr>
        <w:rFonts w:ascii="Times New Roman" w:eastAsia="Calibri" w:hAnsi="Times New Roman"/>
        <w:i/>
        <w:sz w:val="18"/>
        <w:szCs w:val="22"/>
      </w:rPr>
    </w:pPr>
  </w:p>
  <w:p w14:paraId="7BBD9056" w14:textId="77777777" w:rsidR="00FE5055" w:rsidRDefault="00FE50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571E17" w14:textId="77777777" w:rsidR="00FE5055" w:rsidRDefault="00FE50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B9A4" w14:textId="33683004" w:rsidR="00493912" w:rsidRDefault="00493912">
    <w:pPr>
      <w:pStyle w:val="Header"/>
    </w:pPr>
    <w:r>
      <w:rPr>
        <w:noProof/>
      </w:rPr>
      <w:pict w14:anchorId="21F79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30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1910" w14:textId="2E1D0BD4" w:rsidR="00493912" w:rsidRDefault="00493912">
    <w:pPr>
      <w:pStyle w:val="Header"/>
    </w:pPr>
    <w:r>
      <w:rPr>
        <w:noProof/>
      </w:rPr>
      <w:pict w14:anchorId="65880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30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B4FC" w14:textId="73E94957" w:rsidR="00493912" w:rsidRDefault="00493912">
    <w:pPr>
      <w:pStyle w:val="Header"/>
    </w:pPr>
    <w:r>
      <w:rPr>
        <w:noProof/>
      </w:rPr>
      <w:pict w14:anchorId="3FEFF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9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1AF"/>
    <w:rsid w:val="00030174"/>
    <w:rsid w:val="0004579C"/>
    <w:rsid w:val="00047B03"/>
    <w:rsid w:val="00066CEF"/>
    <w:rsid w:val="000A47FA"/>
    <w:rsid w:val="000A65D3"/>
    <w:rsid w:val="000A6A6C"/>
    <w:rsid w:val="000B1E33"/>
    <w:rsid w:val="000D689F"/>
    <w:rsid w:val="000E7B7B"/>
    <w:rsid w:val="000E7D62"/>
    <w:rsid w:val="00103357"/>
    <w:rsid w:val="00123C9F"/>
    <w:rsid w:val="00126190"/>
    <w:rsid w:val="00130F17"/>
    <w:rsid w:val="001320BF"/>
    <w:rsid w:val="00163BC4"/>
    <w:rsid w:val="00191062"/>
    <w:rsid w:val="00192B72"/>
    <w:rsid w:val="001932EB"/>
    <w:rsid w:val="001A29D8"/>
    <w:rsid w:val="001A5CAA"/>
    <w:rsid w:val="001B0427"/>
    <w:rsid w:val="001D3A51"/>
    <w:rsid w:val="001E10D2"/>
    <w:rsid w:val="001E25B4"/>
    <w:rsid w:val="001E44FE"/>
    <w:rsid w:val="001F2A4B"/>
    <w:rsid w:val="00200595"/>
    <w:rsid w:val="00204835"/>
    <w:rsid w:val="00206A31"/>
    <w:rsid w:val="00231920"/>
    <w:rsid w:val="0023195C"/>
    <w:rsid w:val="0024282C"/>
    <w:rsid w:val="002460DC"/>
    <w:rsid w:val="00250985"/>
    <w:rsid w:val="00252A24"/>
    <w:rsid w:val="002556F6"/>
    <w:rsid w:val="00283105"/>
    <w:rsid w:val="00284C4C"/>
    <w:rsid w:val="00287E68"/>
    <w:rsid w:val="00296529"/>
    <w:rsid w:val="002B27FB"/>
    <w:rsid w:val="002B685A"/>
    <w:rsid w:val="002C57D2"/>
    <w:rsid w:val="002D694E"/>
    <w:rsid w:val="002E0D56"/>
    <w:rsid w:val="002E2DCB"/>
    <w:rsid w:val="00305F01"/>
    <w:rsid w:val="00315186"/>
    <w:rsid w:val="0033343E"/>
    <w:rsid w:val="003512C2"/>
    <w:rsid w:val="00371FB6"/>
    <w:rsid w:val="003763C1"/>
    <w:rsid w:val="00376BBE"/>
    <w:rsid w:val="0039224F"/>
    <w:rsid w:val="003A43A4"/>
    <w:rsid w:val="003A7E18"/>
    <w:rsid w:val="003C4C86"/>
    <w:rsid w:val="003C53F0"/>
    <w:rsid w:val="003C6258"/>
    <w:rsid w:val="003E2904"/>
    <w:rsid w:val="00401927"/>
    <w:rsid w:val="0041027F"/>
    <w:rsid w:val="00412475"/>
    <w:rsid w:val="00423789"/>
    <w:rsid w:val="00434907"/>
    <w:rsid w:val="00440F43"/>
    <w:rsid w:val="00441B6F"/>
    <w:rsid w:val="00446221"/>
    <w:rsid w:val="00450E62"/>
    <w:rsid w:val="004539DB"/>
    <w:rsid w:val="004619FC"/>
    <w:rsid w:val="00471A80"/>
    <w:rsid w:val="004739D2"/>
    <w:rsid w:val="00481BF9"/>
    <w:rsid w:val="00493912"/>
    <w:rsid w:val="004D305E"/>
    <w:rsid w:val="004D4277"/>
    <w:rsid w:val="00502516"/>
    <w:rsid w:val="00505F06"/>
    <w:rsid w:val="00506828"/>
    <w:rsid w:val="0053056E"/>
    <w:rsid w:val="0055394F"/>
    <w:rsid w:val="00554FDA"/>
    <w:rsid w:val="00574370"/>
    <w:rsid w:val="005C784C"/>
    <w:rsid w:val="005D17F6"/>
    <w:rsid w:val="005E5539"/>
    <w:rsid w:val="005F276D"/>
    <w:rsid w:val="00602BF5"/>
    <w:rsid w:val="00617FDD"/>
    <w:rsid w:val="0062230A"/>
    <w:rsid w:val="00633614"/>
    <w:rsid w:val="00633F68"/>
    <w:rsid w:val="00636EB2"/>
    <w:rsid w:val="006375B8"/>
    <w:rsid w:val="00640045"/>
    <w:rsid w:val="0065178B"/>
    <w:rsid w:val="0066510A"/>
    <w:rsid w:val="00673620"/>
    <w:rsid w:val="00673F9F"/>
    <w:rsid w:val="00686953"/>
    <w:rsid w:val="00687DEA"/>
    <w:rsid w:val="00687E67"/>
    <w:rsid w:val="006967F7"/>
    <w:rsid w:val="006A250C"/>
    <w:rsid w:val="006B21D3"/>
    <w:rsid w:val="006B57D0"/>
    <w:rsid w:val="006D30FF"/>
    <w:rsid w:val="006D6940"/>
    <w:rsid w:val="006F11EC"/>
    <w:rsid w:val="0070082C"/>
    <w:rsid w:val="00702158"/>
    <w:rsid w:val="00734291"/>
    <w:rsid w:val="007369E6"/>
    <w:rsid w:val="00746E59"/>
    <w:rsid w:val="00754C9A"/>
    <w:rsid w:val="0075599A"/>
    <w:rsid w:val="00761D52"/>
    <w:rsid w:val="0077749E"/>
    <w:rsid w:val="00790ADA"/>
    <w:rsid w:val="007A0143"/>
    <w:rsid w:val="007D0D17"/>
    <w:rsid w:val="007D1E0F"/>
    <w:rsid w:val="007D2288"/>
    <w:rsid w:val="007E088F"/>
    <w:rsid w:val="007F7B32"/>
    <w:rsid w:val="0080008F"/>
    <w:rsid w:val="0080065C"/>
    <w:rsid w:val="00804BC2"/>
    <w:rsid w:val="0081431A"/>
    <w:rsid w:val="0083216F"/>
    <w:rsid w:val="00850477"/>
    <w:rsid w:val="00855CFE"/>
    <w:rsid w:val="00860000"/>
    <w:rsid w:val="00863BD3"/>
    <w:rsid w:val="008641ED"/>
    <w:rsid w:val="00866D66"/>
    <w:rsid w:val="008671C6"/>
    <w:rsid w:val="00875803"/>
    <w:rsid w:val="00875BFE"/>
    <w:rsid w:val="008B459E"/>
    <w:rsid w:val="008E13AE"/>
    <w:rsid w:val="008E1506"/>
    <w:rsid w:val="008E710C"/>
    <w:rsid w:val="008F69D6"/>
    <w:rsid w:val="00902823"/>
    <w:rsid w:val="00915CA6"/>
    <w:rsid w:val="00923576"/>
    <w:rsid w:val="00927834"/>
    <w:rsid w:val="009475F8"/>
    <w:rsid w:val="009500A6"/>
    <w:rsid w:val="009535F8"/>
    <w:rsid w:val="009554BB"/>
    <w:rsid w:val="00957C18"/>
    <w:rsid w:val="009659BA"/>
    <w:rsid w:val="009775B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D6C"/>
    <w:rsid w:val="00A347C0"/>
    <w:rsid w:val="00A51431"/>
    <w:rsid w:val="00A539AD"/>
    <w:rsid w:val="00A94063"/>
    <w:rsid w:val="00AA6219"/>
    <w:rsid w:val="00AA74E0"/>
    <w:rsid w:val="00AB03A4"/>
    <w:rsid w:val="00AB6295"/>
    <w:rsid w:val="00AB703F"/>
    <w:rsid w:val="00AB7CB2"/>
    <w:rsid w:val="00AC6BB8"/>
    <w:rsid w:val="00AE008F"/>
    <w:rsid w:val="00B01FCD"/>
    <w:rsid w:val="00B1776C"/>
    <w:rsid w:val="00B4138F"/>
    <w:rsid w:val="00B52583"/>
    <w:rsid w:val="00B52896"/>
    <w:rsid w:val="00B95236"/>
    <w:rsid w:val="00B96BD9"/>
    <w:rsid w:val="00BA1B01"/>
    <w:rsid w:val="00BA2641"/>
    <w:rsid w:val="00BB37AA"/>
    <w:rsid w:val="00BC0DD4"/>
    <w:rsid w:val="00BC53A0"/>
    <w:rsid w:val="00BE62AD"/>
    <w:rsid w:val="00BF121F"/>
    <w:rsid w:val="00BF1F80"/>
    <w:rsid w:val="00C166EF"/>
    <w:rsid w:val="00C17EB0"/>
    <w:rsid w:val="00C2188F"/>
    <w:rsid w:val="00C27F5F"/>
    <w:rsid w:val="00C309DD"/>
    <w:rsid w:val="00C30A0F"/>
    <w:rsid w:val="00C37E61"/>
    <w:rsid w:val="00C61A6F"/>
    <w:rsid w:val="00C70F1B"/>
    <w:rsid w:val="00C71A47"/>
    <w:rsid w:val="00C7464C"/>
    <w:rsid w:val="00C85588"/>
    <w:rsid w:val="00CD6755"/>
    <w:rsid w:val="00CD6856"/>
    <w:rsid w:val="00CE0089"/>
    <w:rsid w:val="00CE793C"/>
    <w:rsid w:val="00CF193C"/>
    <w:rsid w:val="00D141D8"/>
    <w:rsid w:val="00D173F1"/>
    <w:rsid w:val="00D17FDD"/>
    <w:rsid w:val="00D74CB0"/>
    <w:rsid w:val="00D8295D"/>
    <w:rsid w:val="00DA7DBA"/>
    <w:rsid w:val="00DC2A65"/>
    <w:rsid w:val="00DE15F0"/>
    <w:rsid w:val="00DE5663"/>
    <w:rsid w:val="00DE78AA"/>
    <w:rsid w:val="00E053D0"/>
    <w:rsid w:val="00E07E98"/>
    <w:rsid w:val="00E15994"/>
    <w:rsid w:val="00E3114E"/>
    <w:rsid w:val="00E31A70"/>
    <w:rsid w:val="00E31DB7"/>
    <w:rsid w:val="00E35B02"/>
    <w:rsid w:val="00E371A6"/>
    <w:rsid w:val="00E66496"/>
    <w:rsid w:val="00E66B35"/>
    <w:rsid w:val="00E66E10"/>
    <w:rsid w:val="00E769F6"/>
    <w:rsid w:val="00E8407C"/>
    <w:rsid w:val="00E84F3C"/>
    <w:rsid w:val="00EA012C"/>
    <w:rsid w:val="00EC6A55"/>
    <w:rsid w:val="00ED0288"/>
    <w:rsid w:val="00EE52CB"/>
    <w:rsid w:val="00EF581D"/>
    <w:rsid w:val="00EF7FD8"/>
    <w:rsid w:val="00F06F59"/>
    <w:rsid w:val="00F127C2"/>
    <w:rsid w:val="00F17988"/>
    <w:rsid w:val="00F26F56"/>
    <w:rsid w:val="00F469F0"/>
    <w:rsid w:val="00F53273"/>
    <w:rsid w:val="00F71F45"/>
    <w:rsid w:val="00F755E4"/>
    <w:rsid w:val="00F77D02"/>
    <w:rsid w:val="00FB3A86"/>
    <w:rsid w:val="00FD36C8"/>
    <w:rsid w:val="00FE5055"/>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48BF8D24"/>
  <w15:docId w15:val="{70D804C8-C7D6-4AB1-A02C-49579286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81B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17FD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17FDD"/>
    <w:rPr>
      <w:b/>
      <w:bCs/>
    </w:rPr>
  </w:style>
  <w:style w:type="table" w:customStyle="1" w:styleId="PlainTable21">
    <w:name w:val="Plain Table 21"/>
    <w:basedOn w:val="TableNormal"/>
    <w:uiPriority w:val="42"/>
    <w:rsid w:val="00D17FDD"/>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481BF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8944898">
      <w:bodyDiv w:val="1"/>
      <w:marLeft w:val="0"/>
      <w:marRight w:val="0"/>
      <w:marTop w:val="0"/>
      <w:marBottom w:val="0"/>
      <w:divBdr>
        <w:top w:val="none" w:sz="0" w:space="0" w:color="auto"/>
        <w:left w:val="none" w:sz="0" w:space="0" w:color="auto"/>
        <w:bottom w:val="none" w:sz="0" w:space="0" w:color="auto"/>
        <w:right w:val="none" w:sz="0" w:space="0" w:color="auto"/>
      </w:divBdr>
    </w:div>
    <w:div w:id="11063319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38289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68637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226139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9521596">
      <w:bodyDiv w:val="1"/>
      <w:marLeft w:val="0"/>
      <w:marRight w:val="0"/>
      <w:marTop w:val="0"/>
      <w:marBottom w:val="0"/>
      <w:divBdr>
        <w:top w:val="none" w:sz="0" w:space="0" w:color="auto"/>
        <w:left w:val="none" w:sz="0" w:space="0" w:color="auto"/>
        <w:bottom w:val="none" w:sz="0" w:space="0" w:color="auto"/>
        <w:right w:val="none" w:sz="0" w:space="0" w:color="auto"/>
      </w:divBdr>
      <w:divsChild>
        <w:div w:id="1128358862">
          <w:marLeft w:val="0"/>
          <w:marRight w:val="0"/>
          <w:marTop w:val="0"/>
          <w:marBottom w:val="0"/>
          <w:divBdr>
            <w:top w:val="none" w:sz="0" w:space="0" w:color="auto"/>
            <w:left w:val="none" w:sz="0" w:space="0" w:color="auto"/>
            <w:bottom w:val="none" w:sz="0" w:space="0" w:color="auto"/>
            <w:right w:val="none" w:sz="0" w:space="0" w:color="auto"/>
          </w:divBdr>
          <w:divsChild>
            <w:div w:id="2103260322">
              <w:marLeft w:val="0"/>
              <w:marRight w:val="0"/>
              <w:marTop w:val="0"/>
              <w:marBottom w:val="0"/>
              <w:divBdr>
                <w:top w:val="none" w:sz="0" w:space="0" w:color="auto"/>
                <w:left w:val="none" w:sz="0" w:space="0" w:color="auto"/>
                <w:bottom w:val="none" w:sz="0" w:space="0" w:color="auto"/>
                <w:right w:val="none" w:sz="0" w:space="0" w:color="auto"/>
              </w:divBdr>
              <w:divsChild>
                <w:div w:id="27728914">
                  <w:marLeft w:val="0"/>
                  <w:marRight w:val="0"/>
                  <w:marTop w:val="0"/>
                  <w:marBottom w:val="0"/>
                  <w:divBdr>
                    <w:top w:val="none" w:sz="0" w:space="0" w:color="auto"/>
                    <w:left w:val="none" w:sz="0" w:space="0" w:color="auto"/>
                    <w:bottom w:val="none" w:sz="0" w:space="0" w:color="auto"/>
                    <w:right w:val="none" w:sz="0" w:space="0" w:color="auto"/>
                  </w:divBdr>
                  <w:divsChild>
                    <w:div w:id="723018098">
                      <w:marLeft w:val="0"/>
                      <w:marRight w:val="0"/>
                      <w:marTop w:val="0"/>
                      <w:marBottom w:val="0"/>
                      <w:divBdr>
                        <w:top w:val="none" w:sz="0" w:space="0" w:color="auto"/>
                        <w:left w:val="none" w:sz="0" w:space="0" w:color="auto"/>
                        <w:bottom w:val="none" w:sz="0" w:space="0" w:color="auto"/>
                        <w:right w:val="none" w:sz="0" w:space="0" w:color="auto"/>
                      </w:divBdr>
                      <w:divsChild>
                        <w:div w:id="668748363">
                          <w:marLeft w:val="0"/>
                          <w:marRight w:val="0"/>
                          <w:marTop w:val="0"/>
                          <w:marBottom w:val="0"/>
                          <w:divBdr>
                            <w:top w:val="none" w:sz="0" w:space="0" w:color="auto"/>
                            <w:left w:val="none" w:sz="0" w:space="0" w:color="auto"/>
                            <w:bottom w:val="none" w:sz="0" w:space="0" w:color="auto"/>
                            <w:right w:val="none" w:sz="0" w:space="0" w:color="auto"/>
                          </w:divBdr>
                          <w:divsChild>
                            <w:div w:id="1172447719">
                              <w:marLeft w:val="0"/>
                              <w:marRight w:val="0"/>
                              <w:marTop w:val="0"/>
                              <w:marBottom w:val="0"/>
                              <w:divBdr>
                                <w:top w:val="none" w:sz="0" w:space="0" w:color="auto"/>
                                <w:left w:val="none" w:sz="0" w:space="0" w:color="auto"/>
                                <w:bottom w:val="none" w:sz="0" w:space="0" w:color="auto"/>
                                <w:right w:val="none" w:sz="0" w:space="0" w:color="auto"/>
                              </w:divBdr>
                              <w:divsChild>
                                <w:div w:id="1613515686">
                                  <w:marLeft w:val="0"/>
                                  <w:marRight w:val="0"/>
                                  <w:marTop w:val="0"/>
                                  <w:marBottom w:val="0"/>
                                  <w:divBdr>
                                    <w:top w:val="none" w:sz="0" w:space="0" w:color="auto"/>
                                    <w:left w:val="none" w:sz="0" w:space="0" w:color="auto"/>
                                    <w:bottom w:val="none" w:sz="0" w:space="0" w:color="auto"/>
                                    <w:right w:val="none" w:sz="0" w:space="0" w:color="auto"/>
                                  </w:divBdr>
                                  <w:divsChild>
                                    <w:div w:id="9203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3390/foods1203045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201/978020373669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10\Desktop\dijagrami%20za%20radov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10\Desktop\dijagrami%20za%20radov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10\Desktop\dijagrami%20za%20radov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n10\Desktop\dijagrami%20za%20rado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'Sheet4 (2)'!$B$1:$B$2</c:f>
              <c:strCache>
                <c:ptCount val="2"/>
                <c:pt idx="0">
                  <c:v>TPC [mg GAE/g]</c:v>
                </c:pt>
                <c:pt idx="1">
                  <c:v>126,76</c:v>
                </c:pt>
              </c:strCache>
            </c:strRef>
          </c:tx>
          <c:spPr>
            <a:solidFill>
              <a:srgbClr val="FF0000"/>
            </a:solidFill>
            <a:ln>
              <a:noFill/>
            </a:ln>
            <a:effectLst/>
            <a:sp3d/>
          </c:spPr>
          <c:invertIfNegative val="0"/>
          <c:cat>
            <c:strRef>
              <c:f>'Sheet4 (2)'!$A$2:$A$17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'Sheet4 (2)'!$B$3:$B$17</c:f>
              <c:numCache>
                <c:formatCode>General</c:formatCode>
                <c:ptCount val="15"/>
                <c:pt idx="0">
                  <c:v>240.69</c:v>
                </c:pt>
                <c:pt idx="1">
                  <c:v>215.26</c:v>
                </c:pt>
                <c:pt idx="2">
                  <c:v>158.62</c:v>
                </c:pt>
                <c:pt idx="3">
                  <c:v>177.95</c:v>
                </c:pt>
                <c:pt idx="4">
                  <c:v>252.12</c:v>
                </c:pt>
                <c:pt idx="5">
                  <c:v>250.74</c:v>
                </c:pt>
                <c:pt idx="6">
                  <c:v>147.44999999999999</c:v>
                </c:pt>
                <c:pt idx="7">
                  <c:v>90.07</c:v>
                </c:pt>
                <c:pt idx="8">
                  <c:v>118.83</c:v>
                </c:pt>
                <c:pt idx="9">
                  <c:v>159.02000000000001</c:v>
                </c:pt>
                <c:pt idx="10">
                  <c:v>294.12</c:v>
                </c:pt>
                <c:pt idx="11">
                  <c:v>358.98</c:v>
                </c:pt>
                <c:pt idx="12">
                  <c:v>406.02</c:v>
                </c:pt>
                <c:pt idx="13">
                  <c:v>425.2</c:v>
                </c:pt>
                <c:pt idx="14">
                  <c:v>55.83</c:v>
                </c:pt>
              </c:numCache>
            </c:numRef>
          </c:val>
          <c:extLst>
            <c:ext xmlns:c16="http://schemas.microsoft.com/office/drawing/2014/chart" uri="{C3380CC4-5D6E-409C-BE32-E72D297353CC}">
              <c16:uniqueId val="{00000000-17E1-4EC2-90B7-CA49588AAC8B}"/>
            </c:ext>
          </c:extLst>
        </c:ser>
        <c:dLbls>
          <c:showLegendKey val="0"/>
          <c:showVal val="0"/>
          <c:showCatName val="0"/>
          <c:showSerName val="0"/>
          <c:showPercent val="0"/>
          <c:showBubbleSize val="0"/>
        </c:dLbls>
        <c:gapWidth val="150"/>
        <c:shape val="box"/>
        <c:axId val="-1438222720"/>
        <c:axId val="-1438216192"/>
        <c:axId val="0"/>
      </c:bar3DChart>
      <c:catAx>
        <c:axId val="-143822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Extraction solvent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8216192"/>
        <c:crosses val="autoZero"/>
        <c:auto val="1"/>
        <c:lblAlgn val="ctr"/>
        <c:lblOffset val="100"/>
        <c:noMultiLvlLbl val="0"/>
      </c:catAx>
      <c:valAx>
        <c:axId val="-1438216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i="0" u="none" strike="noStrike" baseline="0">
                    <a:solidFill>
                      <a:schemeClr val="tx1"/>
                    </a:solidFill>
                    <a:effectLst/>
                  </a:rPr>
                  <a:t>TPC [mg GAE/g] </a:t>
                </a:r>
                <a:endParaRPr lang="en-US">
                  <a:solidFill>
                    <a:schemeClr val="tx1"/>
                  </a:solidFill>
                </a:endParaRPr>
              </a:p>
            </c:rich>
          </c:tx>
          <c:layout>
            <c:manualLayout>
              <c:xMode val="edge"/>
              <c:yMode val="edge"/>
              <c:x val="4.3623578302712157E-2"/>
              <c:y val="0.21993037328667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8222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'Sheet4 (3)'!$B$1:$B$2</c:f>
              <c:strCache>
                <c:ptCount val="2"/>
                <c:pt idx="0">
                  <c:v>TFC [mg QE/g]</c:v>
                </c:pt>
                <c:pt idx="1">
                  <c:v>0,1524</c:v>
                </c:pt>
              </c:strCache>
            </c:strRef>
          </c:tx>
          <c:spPr>
            <a:solidFill>
              <a:srgbClr val="FF0000"/>
            </a:solidFill>
            <a:ln>
              <a:noFill/>
            </a:ln>
            <a:effectLst/>
            <a:sp3d/>
          </c:spPr>
          <c:invertIfNegative val="0"/>
          <c:cat>
            <c:strRef>
              <c:f>'Sheet4 (3)'!$A$2:$A$17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'Sheet4 (3)'!$B$3:$B$17</c:f>
              <c:numCache>
                <c:formatCode>General</c:formatCode>
                <c:ptCount val="15"/>
                <c:pt idx="0">
                  <c:v>0.27500000000000002</c:v>
                </c:pt>
                <c:pt idx="1">
                  <c:v>0.29099999999999998</c:v>
                </c:pt>
                <c:pt idx="2">
                  <c:v>0.29909999999999998</c:v>
                </c:pt>
                <c:pt idx="3">
                  <c:v>0.27950000000000003</c:v>
                </c:pt>
                <c:pt idx="4">
                  <c:v>0.22120000000000001</c:v>
                </c:pt>
                <c:pt idx="5">
                  <c:v>0.25619999999999998</c:v>
                </c:pt>
                <c:pt idx="6">
                  <c:v>0.16189999999999999</c:v>
                </c:pt>
                <c:pt idx="7">
                  <c:v>9.8799999999999999E-2</c:v>
                </c:pt>
                <c:pt idx="8">
                  <c:v>0.1246</c:v>
                </c:pt>
                <c:pt idx="9">
                  <c:v>0.29270000000000002</c:v>
                </c:pt>
                <c:pt idx="10">
                  <c:v>0.49719999999999998</c:v>
                </c:pt>
                <c:pt idx="11">
                  <c:v>0.55379999999999996</c:v>
                </c:pt>
                <c:pt idx="12">
                  <c:v>0.69379999999999997</c:v>
                </c:pt>
                <c:pt idx="13">
                  <c:v>0.71250000000000002</c:v>
                </c:pt>
                <c:pt idx="14">
                  <c:v>7.5200000000000003E-2</c:v>
                </c:pt>
              </c:numCache>
            </c:numRef>
          </c:val>
          <c:extLst>
            <c:ext xmlns:c16="http://schemas.microsoft.com/office/drawing/2014/chart" uri="{C3380CC4-5D6E-409C-BE32-E72D297353CC}">
              <c16:uniqueId val="{00000000-97B0-4557-B41A-2E0A94CFB4FC}"/>
            </c:ext>
          </c:extLst>
        </c:ser>
        <c:dLbls>
          <c:showLegendKey val="0"/>
          <c:showVal val="0"/>
          <c:showCatName val="0"/>
          <c:showSerName val="0"/>
          <c:showPercent val="0"/>
          <c:showBubbleSize val="0"/>
        </c:dLbls>
        <c:gapWidth val="150"/>
        <c:shape val="box"/>
        <c:axId val="-1438214016"/>
        <c:axId val="-1438221632"/>
        <c:axId val="0"/>
      </c:bar3DChart>
      <c:catAx>
        <c:axId val="-1438214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Extraction solvent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8221632"/>
        <c:crosses val="autoZero"/>
        <c:auto val="1"/>
        <c:lblAlgn val="ctr"/>
        <c:lblOffset val="100"/>
        <c:noMultiLvlLbl val="0"/>
      </c:catAx>
      <c:valAx>
        <c:axId val="-1438221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i="0" u="none" strike="noStrike" baseline="0">
                    <a:solidFill>
                      <a:schemeClr val="tx1"/>
                    </a:solidFill>
                    <a:effectLst/>
                  </a:rPr>
                  <a:t>T</a:t>
                </a:r>
                <a:r>
                  <a:rPr lang="bs-Latn-BA" sz="1000" b="0" i="0" u="none" strike="noStrike" baseline="0">
                    <a:solidFill>
                      <a:schemeClr val="tx1"/>
                    </a:solidFill>
                    <a:effectLst/>
                  </a:rPr>
                  <a:t>F</a:t>
                </a:r>
                <a:r>
                  <a:rPr lang="en-US" sz="1000" b="0" i="0" u="none" strike="noStrike" baseline="0">
                    <a:solidFill>
                      <a:schemeClr val="tx1"/>
                    </a:solidFill>
                    <a:effectLst/>
                  </a:rPr>
                  <a:t>C [mg </a:t>
                </a:r>
                <a:r>
                  <a:rPr lang="bs-Latn-BA" sz="1000" b="0" i="0" u="none" strike="noStrike" baseline="0">
                    <a:solidFill>
                      <a:schemeClr val="tx1"/>
                    </a:solidFill>
                    <a:effectLst/>
                  </a:rPr>
                  <a:t>Q</a:t>
                </a:r>
                <a:r>
                  <a:rPr lang="en-US" sz="1000" b="0" i="0" u="none" strike="noStrike" baseline="0">
                    <a:solidFill>
                      <a:schemeClr val="tx1"/>
                    </a:solidFill>
                    <a:effectLst/>
                  </a:rPr>
                  <a:t>E/g] </a:t>
                </a:r>
                <a:endParaRPr lang="en-US">
                  <a:solidFill>
                    <a:schemeClr val="tx1"/>
                  </a:solidFill>
                </a:endParaRPr>
              </a:p>
            </c:rich>
          </c:tx>
          <c:layout>
            <c:manualLayout>
              <c:xMode val="edge"/>
              <c:yMode val="edge"/>
              <c:x val="4.3623578302712157E-2"/>
              <c:y val="0.21993037328667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821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US" sz="1400" b="0" i="0" u="none" strike="noStrike" baseline="0">
                <a:solidFill>
                  <a:schemeClr val="tx1"/>
                </a:solidFill>
              </a:rPr>
              <a:t>Reducing ability of the extract </a:t>
            </a:r>
            <a:r>
              <a:rPr lang="bs-Latn-BA" baseline="0">
                <a:solidFill>
                  <a:schemeClr val="tx1"/>
                </a:solidFill>
              </a:rPr>
              <a:t> </a:t>
            </a:r>
            <a:endParaRPr lang="en-US">
              <a:solidFill>
                <a:schemeClr val="tx1"/>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'Frap cimet'!$B$1</c:f>
              <c:strCache>
                <c:ptCount val="1"/>
              </c:strCache>
            </c:strRef>
          </c:tx>
          <c:spPr>
            <a:solidFill>
              <a:schemeClr val="accent1"/>
            </a:solidFill>
            <a:ln>
              <a:noFill/>
            </a:ln>
            <a:effectLst/>
            <a:sp3d/>
          </c:spPr>
          <c:invertIfNegative val="0"/>
          <c:cat>
            <c:strRef>
              <c:f>'Frap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'Frap cimet'!$B$2:$B$17</c:f>
              <c:numCache>
                <c:formatCode>General</c:formatCode>
                <c:ptCount val="16"/>
              </c:numCache>
            </c:numRef>
          </c:val>
          <c:extLst>
            <c:ext xmlns:c16="http://schemas.microsoft.com/office/drawing/2014/chart" uri="{C3380CC4-5D6E-409C-BE32-E72D297353CC}">
              <c16:uniqueId val="{00000000-FC78-49B9-A95B-78886DCCAF04}"/>
            </c:ext>
          </c:extLst>
        </c:ser>
        <c:ser>
          <c:idx val="1"/>
          <c:order val="1"/>
          <c:tx>
            <c:strRef>
              <c:f>'Frap cimet'!$C$1</c:f>
              <c:strCache>
                <c:ptCount val="1"/>
                <c:pt idx="0">
                  <c:v>FRAP [μmol/g]</c:v>
                </c:pt>
              </c:strCache>
            </c:strRef>
          </c:tx>
          <c:spPr>
            <a:solidFill>
              <a:schemeClr val="accent2"/>
            </a:solidFill>
            <a:ln>
              <a:noFill/>
            </a:ln>
            <a:effectLst/>
            <a:sp3d/>
          </c:spPr>
          <c:invertIfNegative val="0"/>
          <c:dPt>
            <c:idx val="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2-FC78-49B9-A95B-78886DCCAF04}"/>
              </c:ext>
            </c:extLst>
          </c:dPt>
          <c:dPt>
            <c:idx val="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4-FC78-49B9-A95B-78886DCCAF04}"/>
              </c:ext>
            </c:extLst>
          </c:dPt>
          <c:dPt>
            <c:idx val="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6-FC78-49B9-A95B-78886DCCAF04}"/>
              </c:ext>
            </c:extLst>
          </c:dPt>
          <c:dPt>
            <c:idx val="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8-FC78-49B9-A95B-78886DCCAF04}"/>
              </c:ext>
            </c:extLst>
          </c:dPt>
          <c:dPt>
            <c:idx val="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A-FC78-49B9-A95B-78886DCCAF04}"/>
              </c:ext>
            </c:extLst>
          </c:dPt>
          <c:dPt>
            <c:idx val="10"/>
            <c:invertIfNegative val="0"/>
            <c:bubble3D val="0"/>
            <c:spPr>
              <a:solidFill>
                <a:schemeClr val="accent3"/>
              </a:solidFill>
              <a:ln>
                <a:noFill/>
              </a:ln>
              <a:effectLst/>
              <a:sp3d/>
            </c:spPr>
            <c:extLst>
              <c:ext xmlns:c16="http://schemas.microsoft.com/office/drawing/2014/chart" uri="{C3380CC4-5D6E-409C-BE32-E72D297353CC}">
                <c16:uniqueId val="{0000000C-FC78-49B9-A95B-78886DCCAF04}"/>
              </c:ext>
            </c:extLst>
          </c:dPt>
          <c:dPt>
            <c:idx val="11"/>
            <c:invertIfNegative val="0"/>
            <c:bubble3D val="0"/>
            <c:spPr>
              <a:solidFill>
                <a:schemeClr val="accent3"/>
              </a:solidFill>
              <a:ln>
                <a:noFill/>
              </a:ln>
              <a:effectLst/>
              <a:sp3d/>
            </c:spPr>
            <c:extLst>
              <c:ext xmlns:c16="http://schemas.microsoft.com/office/drawing/2014/chart" uri="{C3380CC4-5D6E-409C-BE32-E72D297353CC}">
                <c16:uniqueId val="{0000000E-FC78-49B9-A95B-78886DCCAF04}"/>
              </c:ext>
            </c:extLst>
          </c:dPt>
          <c:dPt>
            <c:idx val="12"/>
            <c:invertIfNegative val="0"/>
            <c:bubble3D val="0"/>
            <c:spPr>
              <a:solidFill>
                <a:schemeClr val="accent3"/>
              </a:solidFill>
              <a:ln>
                <a:noFill/>
              </a:ln>
              <a:effectLst/>
              <a:sp3d/>
            </c:spPr>
            <c:extLst>
              <c:ext xmlns:c16="http://schemas.microsoft.com/office/drawing/2014/chart" uri="{C3380CC4-5D6E-409C-BE32-E72D297353CC}">
                <c16:uniqueId val="{00000010-FC78-49B9-A95B-78886DCCAF04}"/>
              </c:ext>
            </c:extLst>
          </c:dPt>
          <c:dPt>
            <c:idx val="13"/>
            <c:invertIfNegative val="0"/>
            <c:bubble3D val="0"/>
            <c:spPr>
              <a:solidFill>
                <a:schemeClr val="accent3"/>
              </a:solidFill>
              <a:ln>
                <a:noFill/>
              </a:ln>
              <a:effectLst/>
              <a:sp3d/>
            </c:spPr>
            <c:extLst>
              <c:ext xmlns:c16="http://schemas.microsoft.com/office/drawing/2014/chart" uri="{C3380CC4-5D6E-409C-BE32-E72D297353CC}">
                <c16:uniqueId val="{00000012-FC78-49B9-A95B-78886DCCAF04}"/>
              </c:ext>
            </c:extLst>
          </c:dPt>
          <c:dPt>
            <c:idx val="14"/>
            <c:invertIfNegative val="0"/>
            <c:bubble3D val="0"/>
            <c:spPr>
              <a:solidFill>
                <a:schemeClr val="accent3"/>
              </a:solidFill>
              <a:ln>
                <a:noFill/>
              </a:ln>
              <a:effectLst/>
              <a:sp3d/>
            </c:spPr>
            <c:extLst>
              <c:ext xmlns:c16="http://schemas.microsoft.com/office/drawing/2014/chart" uri="{C3380CC4-5D6E-409C-BE32-E72D297353CC}">
                <c16:uniqueId val="{00000014-FC78-49B9-A95B-78886DCCAF04}"/>
              </c:ext>
            </c:extLst>
          </c:dPt>
          <c:dPt>
            <c:idx val="1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6-FC78-49B9-A95B-78886DCCAF04}"/>
              </c:ext>
            </c:extLst>
          </c:dPt>
          <c:cat>
            <c:strRef>
              <c:f>'Frap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'Frap cimet'!$C$2:$C$17</c:f>
              <c:numCache>
                <c:formatCode>General</c:formatCode>
                <c:ptCount val="16"/>
                <c:pt idx="0">
                  <c:v>581.22500000000002</c:v>
                </c:pt>
                <c:pt idx="1">
                  <c:v>911.4249999999995</c:v>
                </c:pt>
                <c:pt idx="2">
                  <c:v>927.77500000000043</c:v>
                </c:pt>
                <c:pt idx="3">
                  <c:v>937.77500000000043</c:v>
                </c:pt>
                <c:pt idx="4">
                  <c:v>886.32499999999959</c:v>
                </c:pt>
                <c:pt idx="5">
                  <c:v>849.27500000000043</c:v>
                </c:pt>
                <c:pt idx="6">
                  <c:v>928.67499999999995</c:v>
                </c:pt>
                <c:pt idx="7">
                  <c:v>701.77500000000043</c:v>
                </c:pt>
                <c:pt idx="8">
                  <c:v>349.2</c:v>
                </c:pt>
                <c:pt idx="9">
                  <c:v>502.7</c:v>
                </c:pt>
                <c:pt idx="10">
                  <c:v>837.7</c:v>
                </c:pt>
                <c:pt idx="11">
                  <c:v>839</c:v>
                </c:pt>
                <c:pt idx="12">
                  <c:v>937.72500000000002</c:v>
                </c:pt>
                <c:pt idx="13">
                  <c:v>953.44999999999959</c:v>
                </c:pt>
                <c:pt idx="14">
                  <c:v>950.3</c:v>
                </c:pt>
                <c:pt idx="15">
                  <c:v>192.9</c:v>
                </c:pt>
              </c:numCache>
            </c:numRef>
          </c:val>
          <c:extLst>
            <c:ext xmlns:c16="http://schemas.microsoft.com/office/drawing/2014/chart" uri="{C3380CC4-5D6E-409C-BE32-E72D297353CC}">
              <c16:uniqueId val="{00000017-FC78-49B9-A95B-78886DCCAF04}"/>
            </c:ext>
          </c:extLst>
        </c:ser>
        <c:dLbls>
          <c:showLegendKey val="0"/>
          <c:showVal val="0"/>
          <c:showCatName val="0"/>
          <c:showSerName val="0"/>
          <c:showPercent val="0"/>
          <c:showBubbleSize val="0"/>
        </c:dLbls>
        <c:gapWidth val="150"/>
        <c:shape val="box"/>
        <c:axId val="-1438222176"/>
        <c:axId val="-1438217824"/>
        <c:axId val="0"/>
      </c:bar3DChart>
      <c:catAx>
        <c:axId val="-14382221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solidFill>
                      <a:schemeClr val="tx1"/>
                    </a:solidFill>
                  </a:rPr>
                  <a:t>Extraction solvent</a:t>
                </a:r>
              </a:p>
            </c:rich>
          </c:tx>
          <c:layout>
            <c:manualLayout>
              <c:xMode val="edge"/>
              <c:yMode val="edge"/>
              <c:x val="0.43236614173228394"/>
              <c:y val="0.903811242344707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438217824"/>
        <c:crosses val="autoZero"/>
        <c:auto val="1"/>
        <c:lblAlgn val="ctr"/>
        <c:lblOffset val="100"/>
        <c:noMultiLvlLbl val="0"/>
      </c:catAx>
      <c:valAx>
        <c:axId val="-14382178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bs-Latn-BA">
                    <a:solidFill>
                      <a:schemeClr val="tx1"/>
                    </a:solidFill>
                  </a:rPr>
                  <a:t>FRAP value </a:t>
                </a:r>
                <a:r>
                  <a:rPr lang="el-GR">
                    <a:solidFill>
                      <a:schemeClr val="tx1"/>
                    </a:solidFill>
                  </a:rPr>
                  <a:t>[μ</a:t>
                </a:r>
                <a:r>
                  <a:rPr lang="en-US">
                    <a:solidFill>
                      <a:schemeClr val="tx1"/>
                    </a:solidFill>
                  </a:rPr>
                  <a:t>mol/g]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43822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'DPPH cimet'!$B$1</c:f>
              <c:strCache>
                <c:ptCount val="1"/>
              </c:strCache>
            </c:strRef>
          </c:tx>
          <c:spPr>
            <a:solidFill>
              <a:schemeClr val="accent1"/>
            </a:solidFill>
            <a:ln>
              <a:noFill/>
            </a:ln>
            <a:effectLst/>
            <a:sp3d/>
          </c:spPr>
          <c:invertIfNegative val="0"/>
          <c:cat>
            <c:strRef>
              <c:f>'DPPH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'DPPH cimet'!$B$2:$B$17</c:f>
              <c:numCache>
                <c:formatCode>General</c:formatCode>
                <c:ptCount val="16"/>
              </c:numCache>
            </c:numRef>
          </c:val>
          <c:extLst>
            <c:ext xmlns:c16="http://schemas.microsoft.com/office/drawing/2014/chart" uri="{C3380CC4-5D6E-409C-BE32-E72D297353CC}">
              <c16:uniqueId val="{00000000-A48D-4D6B-AE93-A64BA40D45BD}"/>
            </c:ext>
          </c:extLst>
        </c:ser>
        <c:ser>
          <c:idx val="1"/>
          <c:order val="1"/>
          <c:tx>
            <c:strRef>
              <c:f>'DPPH cimet'!$C$1</c:f>
              <c:strCache>
                <c:ptCount val="1"/>
                <c:pt idx="0">
                  <c:v>DPPH [%]</c:v>
                </c:pt>
              </c:strCache>
            </c:strRef>
          </c:tx>
          <c:spPr>
            <a:solidFill>
              <a:schemeClr val="accent2"/>
            </a:solidFill>
            <a:ln>
              <a:noFill/>
            </a:ln>
            <a:effectLst/>
            <a:sp3d/>
          </c:spPr>
          <c:invertIfNegative val="0"/>
          <c:dPt>
            <c:idx val="5"/>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2-A48D-4D6B-AE93-A64BA40D45BD}"/>
              </c:ext>
            </c:extLst>
          </c:dPt>
          <c:dPt>
            <c:idx val="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4-A48D-4D6B-AE93-A64BA40D45BD}"/>
              </c:ext>
            </c:extLst>
          </c:dPt>
          <c:dPt>
            <c:idx val="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6-A48D-4D6B-AE93-A64BA40D45BD}"/>
              </c:ext>
            </c:extLst>
          </c:dPt>
          <c:dPt>
            <c:idx val="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8-A48D-4D6B-AE93-A64BA40D45BD}"/>
              </c:ext>
            </c:extLst>
          </c:dPt>
          <c:dPt>
            <c:idx val="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A-A48D-4D6B-AE93-A64BA40D45BD}"/>
              </c:ext>
            </c:extLst>
          </c:dPt>
          <c:dPt>
            <c:idx val="10"/>
            <c:invertIfNegative val="0"/>
            <c:bubble3D val="0"/>
            <c:spPr>
              <a:solidFill>
                <a:schemeClr val="accent3"/>
              </a:solidFill>
              <a:ln>
                <a:noFill/>
              </a:ln>
              <a:effectLst/>
              <a:sp3d/>
            </c:spPr>
            <c:extLst>
              <c:ext xmlns:c16="http://schemas.microsoft.com/office/drawing/2014/chart" uri="{C3380CC4-5D6E-409C-BE32-E72D297353CC}">
                <c16:uniqueId val="{0000000C-A48D-4D6B-AE93-A64BA40D45BD}"/>
              </c:ext>
            </c:extLst>
          </c:dPt>
          <c:dPt>
            <c:idx val="11"/>
            <c:invertIfNegative val="0"/>
            <c:bubble3D val="0"/>
            <c:spPr>
              <a:solidFill>
                <a:schemeClr val="accent3"/>
              </a:solidFill>
              <a:ln>
                <a:noFill/>
              </a:ln>
              <a:effectLst/>
              <a:sp3d/>
            </c:spPr>
            <c:extLst>
              <c:ext xmlns:c16="http://schemas.microsoft.com/office/drawing/2014/chart" uri="{C3380CC4-5D6E-409C-BE32-E72D297353CC}">
                <c16:uniqueId val="{0000000E-A48D-4D6B-AE93-A64BA40D45BD}"/>
              </c:ext>
            </c:extLst>
          </c:dPt>
          <c:dPt>
            <c:idx val="12"/>
            <c:invertIfNegative val="0"/>
            <c:bubble3D val="0"/>
            <c:spPr>
              <a:solidFill>
                <a:schemeClr val="accent3"/>
              </a:solidFill>
              <a:ln>
                <a:noFill/>
              </a:ln>
              <a:effectLst/>
              <a:sp3d/>
            </c:spPr>
            <c:extLst>
              <c:ext xmlns:c16="http://schemas.microsoft.com/office/drawing/2014/chart" uri="{C3380CC4-5D6E-409C-BE32-E72D297353CC}">
                <c16:uniqueId val="{00000010-A48D-4D6B-AE93-A64BA40D45BD}"/>
              </c:ext>
            </c:extLst>
          </c:dPt>
          <c:dPt>
            <c:idx val="13"/>
            <c:invertIfNegative val="0"/>
            <c:bubble3D val="0"/>
            <c:spPr>
              <a:solidFill>
                <a:schemeClr val="accent3"/>
              </a:solidFill>
              <a:ln>
                <a:noFill/>
              </a:ln>
              <a:effectLst/>
              <a:sp3d/>
            </c:spPr>
            <c:extLst>
              <c:ext xmlns:c16="http://schemas.microsoft.com/office/drawing/2014/chart" uri="{C3380CC4-5D6E-409C-BE32-E72D297353CC}">
                <c16:uniqueId val="{00000012-A48D-4D6B-AE93-A64BA40D45BD}"/>
              </c:ext>
            </c:extLst>
          </c:dPt>
          <c:dPt>
            <c:idx val="14"/>
            <c:invertIfNegative val="0"/>
            <c:bubble3D val="0"/>
            <c:spPr>
              <a:solidFill>
                <a:schemeClr val="accent3"/>
              </a:solidFill>
              <a:ln>
                <a:noFill/>
              </a:ln>
              <a:effectLst/>
              <a:sp3d/>
            </c:spPr>
            <c:extLst>
              <c:ext xmlns:c16="http://schemas.microsoft.com/office/drawing/2014/chart" uri="{C3380CC4-5D6E-409C-BE32-E72D297353CC}">
                <c16:uniqueId val="{00000014-A48D-4D6B-AE93-A64BA40D45BD}"/>
              </c:ext>
            </c:extLst>
          </c:dPt>
          <c:dPt>
            <c:idx val="1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6-A48D-4D6B-AE93-A64BA40D45BD}"/>
              </c:ext>
            </c:extLst>
          </c:dPt>
          <c:cat>
            <c:strRef>
              <c:f>'DPPH cimet'!$A$2:$A$17</c:f>
              <c:strCache>
                <c:ptCount val="16"/>
                <c:pt idx="0">
                  <c:v>EtOH- pure</c:v>
                </c:pt>
                <c:pt idx="1">
                  <c:v>EtOH:Water 40:10</c:v>
                </c:pt>
                <c:pt idx="2">
                  <c:v>EtOH:Water  30:20</c:v>
                </c:pt>
                <c:pt idx="3">
                  <c:v>EtOH:Water  20:30</c:v>
                </c:pt>
                <c:pt idx="4">
                  <c:v>EtOH:Water  10:40</c:v>
                </c:pt>
                <c:pt idx="5">
                  <c:v>MeOH- pure</c:v>
                </c:pt>
                <c:pt idx="6">
                  <c:v>MeOH:Water 40:10</c:v>
                </c:pt>
                <c:pt idx="7">
                  <c:v>MeOH:Water 30:20</c:v>
                </c:pt>
                <c:pt idx="8">
                  <c:v>MeOH:Water 20:30</c:v>
                </c:pt>
                <c:pt idx="9">
                  <c:v>MeOH:Water  10:40</c:v>
                </c:pt>
                <c:pt idx="10">
                  <c:v>Ace- pure</c:v>
                </c:pt>
                <c:pt idx="11">
                  <c:v>Ace:Water 40:10</c:v>
                </c:pt>
                <c:pt idx="12">
                  <c:v>Ace:Water 30:20</c:v>
                </c:pt>
                <c:pt idx="13">
                  <c:v>Ace:Water  20:30</c:v>
                </c:pt>
                <c:pt idx="14">
                  <c:v>Ace:Water  10:40</c:v>
                </c:pt>
                <c:pt idx="15">
                  <c:v>Water- pure</c:v>
                </c:pt>
              </c:strCache>
            </c:strRef>
          </c:cat>
          <c:val>
            <c:numRef>
              <c:f>'DPPH cimet'!$C$2:$C$17</c:f>
              <c:numCache>
                <c:formatCode>General</c:formatCode>
                <c:ptCount val="16"/>
                <c:pt idx="0">
                  <c:v>93.9</c:v>
                </c:pt>
                <c:pt idx="1">
                  <c:v>91.26</c:v>
                </c:pt>
                <c:pt idx="2">
                  <c:v>91.11999999999999</c:v>
                </c:pt>
                <c:pt idx="3">
                  <c:v>92.5</c:v>
                </c:pt>
                <c:pt idx="4">
                  <c:v>93.82</c:v>
                </c:pt>
                <c:pt idx="5">
                  <c:v>90.78</c:v>
                </c:pt>
                <c:pt idx="6">
                  <c:v>90.77</c:v>
                </c:pt>
                <c:pt idx="7">
                  <c:v>92.169999999999987</c:v>
                </c:pt>
                <c:pt idx="8">
                  <c:v>93.47</c:v>
                </c:pt>
                <c:pt idx="9">
                  <c:v>93.85</c:v>
                </c:pt>
                <c:pt idx="10">
                  <c:v>89.22</c:v>
                </c:pt>
                <c:pt idx="11">
                  <c:v>87.38</c:v>
                </c:pt>
                <c:pt idx="12">
                  <c:v>87.22</c:v>
                </c:pt>
                <c:pt idx="13">
                  <c:v>91.22</c:v>
                </c:pt>
                <c:pt idx="14">
                  <c:v>94.169999999999987</c:v>
                </c:pt>
                <c:pt idx="15">
                  <c:v>93.79</c:v>
                </c:pt>
              </c:numCache>
            </c:numRef>
          </c:val>
          <c:extLst>
            <c:ext xmlns:c16="http://schemas.microsoft.com/office/drawing/2014/chart" uri="{C3380CC4-5D6E-409C-BE32-E72D297353CC}">
              <c16:uniqueId val="{00000017-A48D-4D6B-AE93-A64BA40D45BD}"/>
            </c:ext>
          </c:extLst>
        </c:ser>
        <c:dLbls>
          <c:showLegendKey val="0"/>
          <c:showVal val="0"/>
          <c:showCatName val="0"/>
          <c:showSerName val="0"/>
          <c:showPercent val="0"/>
          <c:showBubbleSize val="0"/>
        </c:dLbls>
        <c:gapWidth val="150"/>
        <c:shape val="box"/>
        <c:axId val="-1438210208"/>
        <c:axId val="-1438216736"/>
        <c:axId val="0"/>
      </c:bar3DChart>
      <c:catAx>
        <c:axId val="-14382102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US">
                    <a:solidFill>
                      <a:schemeClr val="tx1"/>
                    </a:solidFill>
                  </a:rPr>
                  <a:t>Extraction solvent</a:t>
                </a:r>
              </a:p>
            </c:rich>
          </c:tx>
          <c:layout>
            <c:manualLayout>
              <c:xMode val="edge"/>
              <c:yMode val="edge"/>
              <c:x val="0.43236614173228394"/>
              <c:y val="0.903811242344707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438216736"/>
        <c:crosses val="autoZero"/>
        <c:auto val="1"/>
        <c:lblAlgn val="ctr"/>
        <c:lblOffset val="100"/>
        <c:noMultiLvlLbl val="0"/>
      </c:catAx>
      <c:valAx>
        <c:axId val="-14382167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bs-Latn-BA">
                    <a:solidFill>
                      <a:schemeClr val="tx1"/>
                    </a:solidFill>
                  </a:rPr>
                  <a:t>Percentage</a:t>
                </a:r>
                <a:r>
                  <a:rPr lang="bs-Latn-BA" baseline="0">
                    <a:solidFill>
                      <a:schemeClr val="tx1"/>
                    </a:solidFill>
                  </a:rPr>
                  <a:t> inhibition </a:t>
                </a:r>
                <a:r>
                  <a:rPr lang="el-GR">
                    <a:solidFill>
                      <a:schemeClr val="tx1"/>
                    </a:solidFill>
                  </a:rPr>
                  <a:t>[</a:t>
                </a:r>
                <a:r>
                  <a:rPr lang="bs-Latn-BA">
                    <a:solidFill>
                      <a:schemeClr val="tx1"/>
                    </a:solidFill>
                  </a:rPr>
                  <a:t>%</a:t>
                </a:r>
                <a:r>
                  <a:rPr lang="en-US">
                    <a:solidFill>
                      <a:schemeClr val="tx1"/>
                    </a:solidFill>
                  </a:rPr>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43821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05A8-0004-42FF-88D6-41ECA4FB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11</Pages>
  <Words>4812</Words>
  <Characters>27430</Characters>
  <Application>Microsoft Office Word</Application>
  <DocSecurity>0</DocSecurity>
  <Lines>228</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Paper Template</vt:lpstr>
      <vt:lpstr>Paper Template</vt:lpstr>
    </vt:vector>
  </TitlesOfParts>
  <Company>aaaa</Company>
  <LinksUpToDate>false</LinksUpToDate>
  <CharactersWithSpaces>32178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2025-05-12T12:49:00Z</dcterms:created>
  <dcterms:modified xsi:type="dcterms:W3CDTF">2025-05-15T08:26:00Z</dcterms:modified>
</cp:coreProperties>
</file>