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48462" w14:textId="77777777" w:rsidR="00997E97" w:rsidRPr="00997E97" w:rsidRDefault="00997E97" w:rsidP="00997E97">
      <w:pPr>
        <w:jc w:val="both"/>
        <w:rPr>
          <w:rFonts w:ascii="Arial" w:hAnsi="Arial" w:cs="Arial"/>
          <w:b/>
          <w:bCs/>
          <w:i/>
          <w:iCs/>
          <w:u w:val="single"/>
        </w:rPr>
      </w:pPr>
      <w:r w:rsidRPr="00997E97">
        <w:rPr>
          <w:rFonts w:ascii="Arial" w:hAnsi="Arial" w:cs="Arial"/>
          <w:b/>
          <w:bCs/>
          <w:i/>
          <w:iCs/>
          <w:u w:val="single"/>
        </w:rPr>
        <w:t>Original Research Article</w:t>
      </w:r>
    </w:p>
    <w:p w14:paraId="1A76F78A" w14:textId="77777777" w:rsidR="000E417F" w:rsidRPr="002C26C1" w:rsidRDefault="002C26C1" w:rsidP="000E417F">
      <w:pPr>
        <w:jc w:val="both"/>
        <w:rPr>
          <w:rFonts w:ascii="Arial" w:hAnsi="Arial" w:cs="Arial"/>
          <w:b/>
        </w:rPr>
      </w:pPr>
      <w:r w:rsidRPr="002C26C1">
        <w:rPr>
          <w:rFonts w:ascii="Arial" w:hAnsi="Arial" w:cs="Arial"/>
          <w:b/>
          <w:bCs/>
        </w:rPr>
        <w:t>EVALUATING H</w:t>
      </w:r>
      <w:r>
        <w:rPr>
          <w:rFonts w:ascii="Arial" w:hAnsi="Arial" w:cs="Arial"/>
          <w:b/>
          <w:bCs/>
        </w:rPr>
        <w:t>A</w:t>
      </w:r>
      <w:r w:rsidRPr="002C26C1">
        <w:rPr>
          <w:rFonts w:ascii="Arial" w:hAnsi="Arial" w:cs="Arial"/>
          <w:b/>
          <w:bCs/>
        </w:rPr>
        <w:t>EMATOLOGICAL PROFILES IN CASES OF EARLY-ONSET CANITIES IN PORT HARCOURT</w:t>
      </w:r>
    </w:p>
    <w:p w14:paraId="61031B68" w14:textId="77777777" w:rsidR="000E417F" w:rsidRDefault="000E417F" w:rsidP="000E417F">
      <w:pPr>
        <w:jc w:val="both"/>
        <w:rPr>
          <w:rFonts w:ascii="Arial" w:hAnsi="Arial" w:cs="Arial"/>
          <w:b/>
          <w:bCs/>
        </w:rPr>
      </w:pPr>
    </w:p>
    <w:p w14:paraId="01DD8F23" w14:textId="77777777" w:rsidR="000E417F" w:rsidRDefault="000E417F" w:rsidP="000E417F">
      <w:pPr>
        <w:jc w:val="both"/>
        <w:rPr>
          <w:rFonts w:ascii="Arial" w:hAnsi="Arial" w:cs="Arial"/>
          <w:b/>
        </w:rPr>
      </w:pPr>
      <w:r>
        <w:rPr>
          <w:rFonts w:ascii="Arial" w:hAnsi="Arial" w:cs="Arial"/>
          <w:b/>
        </w:rPr>
        <w:t>ABSTRACT</w:t>
      </w:r>
    </w:p>
    <w:p w14:paraId="2BC8DAED" w14:textId="77777777" w:rsidR="000E417F" w:rsidRDefault="000E417F" w:rsidP="000E417F">
      <w:pPr>
        <w:spacing w:line="240" w:lineRule="auto"/>
        <w:jc w:val="both"/>
        <w:rPr>
          <w:rFonts w:ascii="Arial" w:hAnsi="Arial" w:cs="Arial"/>
          <w:b/>
          <w:sz w:val="20"/>
          <w:szCs w:val="20"/>
        </w:rPr>
      </w:pPr>
      <w:r>
        <w:rPr>
          <w:rFonts w:ascii="Arial" w:hAnsi="Arial" w:cs="Arial"/>
          <w:b/>
          <w:sz w:val="20"/>
          <w:szCs w:val="20"/>
        </w:rPr>
        <w:t xml:space="preserve">Introduction </w:t>
      </w:r>
    </w:p>
    <w:p w14:paraId="53838C31" w14:textId="77777777" w:rsidR="000E417F" w:rsidRDefault="000E417F" w:rsidP="000E417F">
      <w:pPr>
        <w:spacing w:line="240" w:lineRule="auto"/>
        <w:jc w:val="both"/>
        <w:rPr>
          <w:rFonts w:ascii="Arial" w:eastAsia="Times New Roman" w:hAnsi="Arial" w:cs="Arial"/>
          <w:bCs/>
          <w:sz w:val="20"/>
          <w:szCs w:val="20"/>
        </w:rPr>
      </w:pPr>
      <w:r>
        <w:rPr>
          <w:rFonts w:ascii="Arial" w:eastAsia="Times New Roman" w:hAnsi="Arial" w:cs="Arial"/>
          <w:bCs/>
          <w:sz w:val="20"/>
          <w:szCs w:val="20"/>
        </w:rPr>
        <w:t>Low levels of red blood cell metrics, such as haemoglobin concentration, have been linked with premature canities, which are premature gray hair.</w:t>
      </w:r>
    </w:p>
    <w:p w14:paraId="78A61953" w14:textId="77777777" w:rsidR="000E417F" w:rsidRDefault="000E417F" w:rsidP="000E417F">
      <w:pPr>
        <w:spacing w:line="240" w:lineRule="auto"/>
        <w:jc w:val="both"/>
        <w:rPr>
          <w:rFonts w:ascii="Arial" w:hAnsi="Arial" w:cs="Arial"/>
          <w:sz w:val="20"/>
          <w:szCs w:val="20"/>
        </w:rPr>
      </w:pPr>
      <w:r>
        <w:rPr>
          <w:rFonts w:ascii="Arial" w:eastAsia="Times New Roman" w:hAnsi="Arial" w:cs="Arial"/>
          <w:b/>
          <w:bCs/>
          <w:sz w:val="20"/>
          <w:szCs w:val="20"/>
        </w:rPr>
        <w:t>Aim:</w:t>
      </w:r>
      <w:r>
        <w:rPr>
          <w:rFonts w:ascii="Arial" w:eastAsia="Times New Roman" w:hAnsi="Arial" w:cs="Arial"/>
          <w:bCs/>
          <w:sz w:val="20"/>
          <w:szCs w:val="20"/>
        </w:rPr>
        <w:t xml:space="preserve"> This study assessed red blood cell metrics among individuals with premature canities in Port Harcourt.</w:t>
      </w:r>
    </w:p>
    <w:p w14:paraId="17268A14" w14:textId="77777777" w:rsidR="000E417F" w:rsidRDefault="000E417F" w:rsidP="000E417F">
      <w:pPr>
        <w:spacing w:after="0" w:line="240" w:lineRule="auto"/>
        <w:jc w:val="both"/>
        <w:rPr>
          <w:rFonts w:ascii="Arial" w:eastAsia="Times New Roman" w:hAnsi="Arial" w:cs="Arial"/>
          <w:sz w:val="20"/>
          <w:szCs w:val="20"/>
        </w:rPr>
      </w:pPr>
      <w:r>
        <w:rPr>
          <w:rFonts w:ascii="Arial" w:hAnsi="Arial" w:cs="Arial"/>
          <w:b/>
          <w:sz w:val="20"/>
          <w:szCs w:val="20"/>
        </w:rPr>
        <w:t xml:space="preserve">Materials and Methods: </w:t>
      </w:r>
      <w:r>
        <w:rPr>
          <w:rFonts w:ascii="Arial" w:hAnsi="Arial" w:cs="Arial"/>
          <w:sz w:val="20"/>
          <w:szCs w:val="20"/>
        </w:rPr>
        <w:t>This study</w:t>
      </w:r>
      <w:r w:rsidR="0001745A">
        <w:rPr>
          <w:rFonts w:ascii="Arial" w:hAnsi="Arial" w:cs="Arial"/>
          <w:sz w:val="20"/>
          <w:szCs w:val="20"/>
        </w:rPr>
        <w:t xml:space="preserve"> </w:t>
      </w:r>
      <w:r>
        <w:rPr>
          <w:rFonts w:ascii="Arial" w:hAnsi="Arial" w:cs="Arial"/>
          <w:sz w:val="20"/>
          <w:szCs w:val="20"/>
        </w:rPr>
        <w:t xml:space="preserve">adopted a cross-sectional study design with a total of 90 participants divided into 3 equal groups: the Test, the Negative Control, and the Positive Control Groups. Five milliliters of venous blood sample was collected from each subject with ethylene diamine </w:t>
      </w:r>
      <w:proofErr w:type="spellStart"/>
      <w:r>
        <w:rPr>
          <w:rFonts w:ascii="Arial" w:hAnsi="Arial" w:cs="Arial"/>
          <w:sz w:val="20"/>
          <w:szCs w:val="20"/>
        </w:rPr>
        <w:t>tetraacetic</w:t>
      </w:r>
      <w:proofErr w:type="spellEnd"/>
      <w:r>
        <w:rPr>
          <w:rFonts w:ascii="Arial" w:hAnsi="Arial" w:cs="Arial"/>
          <w:sz w:val="20"/>
          <w:szCs w:val="20"/>
        </w:rPr>
        <w:t xml:space="preserve"> acid sample containers. An automated method was used for the determination of the levels of some of the red cell metrics using a Sysmex automated haematology analyzer. The </w:t>
      </w:r>
      <w:proofErr w:type="gramStart"/>
      <w:r>
        <w:rPr>
          <w:rFonts w:ascii="Arial" w:hAnsi="Arial" w:cs="Arial"/>
          <w:sz w:val="20"/>
          <w:szCs w:val="20"/>
        </w:rPr>
        <w:t>supravital</w:t>
      </w:r>
      <w:r w:rsidR="0001745A">
        <w:rPr>
          <w:rFonts w:ascii="Arial" w:hAnsi="Arial" w:cs="Arial"/>
          <w:sz w:val="20"/>
          <w:szCs w:val="20"/>
        </w:rPr>
        <w:t xml:space="preserve">  </w:t>
      </w:r>
      <w:r>
        <w:rPr>
          <w:rFonts w:ascii="Arial" w:hAnsi="Arial" w:cs="Arial"/>
          <w:sz w:val="20"/>
          <w:szCs w:val="20"/>
        </w:rPr>
        <w:t>staining</w:t>
      </w:r>
      <w:proofErr w:type="gramEnd"/>
      <w:r>
        <w:rPr>
          <w:rFonts w:ascii="Arial" w:hAnsi="Arial" w:cs="Arial"/>
          <w:sz w:val="20"/>
          <w:szCs w:val="20"/>
        </w:rPr>
        <w:t xml:space="preserve"> technique was used for reticulocyte count (RC), and data obtained was analyzed with SPSS</w:t>
      </w:r>
      <w:r>
        <w:rPr>
          <w:rFonts w:ascii="Arial" w:eastAsia="Times New Roman" w:hAnsi="Arial" w:cs="Arial"/>
          <w:sz w:val="20"/>
          <w:szCs w:val="20"/>
        </w:rPr>
        <w:t xml:space="preserve">. </w:t>
      </w:r>
    </w:p>
    <w:p w14:paraId="3C8BDDBC" w14:textId="77777777" w:rsidR="000E417F" w:rsidRDefault="000E417F" w:rsidP="000E417F">
      <w:pPr>
        <w:spacing w:line="240" w:lineRule="auto"/>
        <w:jc w:val="both"/>
        <w:rPr>
          <w:rFonts w:ascii="Arial" w:eastAsia="Times New Roman" w:hAnsi="Arial" w:cs="Arial"/>
          <w:b/>
          <w:sz w:val="20"/>
          <w:szCs w:val="20"/>
        </w:rPr>
      </w:pPr>
    </w:p>
    <w:p w14:paraId="5CC63F2D" w14:textId="77777777" w:rsidR="000E417F" w:rsidRDefault="000E417F" w:rsidP="000E417F">
      <w:pPr>
        <w:spacing w:line="240" w:lineRule="auto"/>
        <w:ind w:left="90"/>
        <w:jc w:val="both"/>
        <w:rPr>
          <w:rFonts w:ascii="Arial" w:hAnsi="Arial" w:cs="Arial"/>
          <w:sz w:val="20"/>
          <w:szCs w:val="20"/>
        </w:rPr>
      </w:pPr>
      <w:r>
        <w:rPr>
          <w:rFonts w:ascii="Arial" w:eastAsia="Times New Roman" w:hAnsi="Arial" w:cs="Arial"/>
          <w:b/>
          <w:sz w:val="20"/>
          <w:szCs w:val="20"/>
        </w:rPr>
        <w:t xml:space="preserve">Results: </w:t>
      </w:r>
      <w:r>
        <w:rPr>
          <w:rFonts w:ascii="Arial" w:hAnsi="Arial" w:cs="Arial"/>
          <w:sz w:val="20"/>
          <w:szCs w:val="20"/>
        </w:rPr>
        <w:t>The study recorded a statistically significant low level of red blood cell count and increased reticulocyte count among the Test group when compared with the Control groups as p&lt;0.05, but</w:t>
      </w:r>
      <w:r>
        <w:rPr>
          <w:rFonts w:ascii="Arial" w:eastAsia="Times New Roman" w:hAnsi="Arial" w:cs="Arial"/>
          <w:sz w:val="20"/>
          <w:szCs w:val="20"/>
        </w:rPr>
        <w:t xml:space="preserve"> no statistically significant differences (p&gt;0.05) were observed in the other parameters. </w:t>
      </w:r>
      <w:r>
        <w:rPr>
          <w:rFonts w:ascii="Arial" w:hAnsi="Arial" w:cs="Arial"/>
          <w:sz w:val="20"/>
          <w:szCs w:val="20"/>
        </w:rPr>
        <w:t xml:space="preserve">Using Pearson correlation, there was a statistically significant moderate positive correlation with HGB, (r) = 0.38 and </w:t>
      </w:r>
      <w:r>
        <w:rPr>
          <w:rFonts w:ascii="Arial" w:hAnsi="Arial" w:cs="Arial"/>
          <w:i/>
          <w:sz w:val="20"/>
          <w:szCs w:val="20"/>
        </w:rPr>
        <w:t>P</w:t>
      </w:r>
      <w:r>
        <w:rPr>
          <w:rFonts w:ascii="Arial" w:hAnsi="Arial" w:cs="Arial"/>
          <w:sz w:val="20"/>
          <w:szCs w:val="20"/>
        </w:rPr>
        <w:t xml:space="preserve">=0.04. Degree of canities had statistically insignificant correlations/associations with all the parameters among the Test group of the study participants using Pearson correlation and Ordinal logistic regression. </w:t>
      </w:r>
    </w:p>
    <w:p w14:paraId="3C727EEF" w14:textId="77777777" w:rsidR="000E417F" w:rsidRDefault="000E417F" w:rsidP="000E417F">
      <w:pPr>
        <w:spacing w:after="0" w:line="240" w:lineRule="auto"/>
        <w:jc w:val="both"/>
        <w:rPr>
          <w:rFonts w:ascii="Arial" w:eastAsia="Times New Roman" w:hAnsi="Arial" w:cs="Arial"/>
          <w:sz w:val="20"/>
          <w:szCs w:val="20"/>
        </w:rPr>
      </w:pPr>
      <w:r>
        <w:rPr>
          <w:rFonts w:ascii="Arial" w:hAnsi="Arial" w:cs="Arial"/>
          <w:b/>
          <w:sz w:val="20"/>
          <w:szCs w:val="20"/>
        </w:rPr>
        <w:t xml:space="preserve">Conclusion: </w:t>
      </w:r>
      <w:r>
        <w:rPr>
          <w:rFonts w:ascii="Arial" w:hAnsi="Arial" w:cs="Arial"/>
          <w:sz w:val="20"/>
          <w:szCs w:val="20"/>
        </w:rPr>
        <w:t>This study revealed the involvement of reduced red blood cell count and increased reticulocyte count in premature canities. More studies with different populations are needed.</w:t>
      </w:r>
    </w:p>
    <w:p w14:paraId="0F7C6BA5" w14:textId="77777777" w:rsidR="000E417F" w:rsidRDefault="000E417F" w:rsidP="000E417F">
      <w:pPr>
        <w:spacing w:after="0" w:line="240" w:lineRule="auto"/>
        <w:jc w:val="both"/>
        <w:rPr>
          <w:rFonts w:ascii="Times New Roman" w:hAnsi="Times New Roman" w:cs="Times New Roman"/>
          <w:b/>
          <w:sz w:val="24"/>
          <w:szCs w:val="24"/>
        </w:rPr>
      </w:pPr>
    </w:p>
    <w:p w14:paraId="333A6418" w14:textId="77777777" w:rsidR="000E417F" w:rsidRDefault="000E417F" w:rsidP="000E417F">
      <w:pPr>
        <w:jc w:val="both"/>
        <w:rPr>
          <w:rFonts w:ascii="Arial" w:hAnsi="Arial" w:cs="Arial"/>
          <w:sz w:val="20"/>
          <w:szCs w:val="20"/>
        </w:rPr>
      </w:pPr>
      <w:r>
        <w:rPr>
          <w:rFonts w:ascii="Arial" w:hAnsi="Arial" w:cs="Arial"/>
          <w:b/>
          <w:sz w:val="20"/>
          <w:szCs w:val="20"/>
        </w:rPr>
        <w:t xml:space="preserve">KEYWORDS: </w:t>
      </w:r>
      <w:r>
        <w:rPr>
          <w:rFonts w:ascii="Arial" w:hAnsi="Arial" w:cs="Arial"/>
          <w:sz w:val="20"/>
          <w:szCs w:val="20"/>
        </w:rPr>
        <w:t>Premature canities, red blood cell metrics, reticulocyte count, redblood cell count</w:t>
      </w:r>
    </w:p>
    <w:p w14:paraId="621ECDAD" w14:textId="77777777" w:rsidR="000E417F" w:rsidRDefault="000E417F" w:rsidP="000E417F">
      <w:pPr>
        <w:jc w:val="both"/>
        <w:rPr>
          <w:rFonts w:ascii="Arial" w:hAnsi="Arial" w:cs="Arial"/>
          <w:sz w:val="20"/>
          <w:szCs w:val="20"/>
        </w:rPr>
      </w:pPr>
    </w:p>
    <w:p w14:paraId="52C54156" w14:textId="77777777" w:rsidR="000E417F" w:rsidRDefault="000E417F" w:rsidP="000E417F">
      <w:pPr>
        <w:pStyle w:val="ListParagraph"/>
        <w:numPr>
          <w:ilvl w:val="0"/>
          <w:numId w:val="1"/>
        </w:numPr>
        <w:rPr>
          <w:rFonts w:ascii="Arial" w:hAnsi="Arial" w:cs="Arial"/>
          <w:b/>
        </w:rPr>
      </w:pPr>
      <w:r>
        <w:rPr>
          <w:rFonts w:ascii="Arial" w:hAnsi="Arial" w:cs="Arial"/>
          <w:b/>
        </w:rPr>
        <w:t>INTRODUCTION</w:t>
      </w:r>
    </w:p>
    <w:p w14:paraId="746851C3" w14:textId="77777777" w:rsidR="000E417F" w:rsidRDefault="0001745A" w:rsidP="000E417F">
      <w:pPr>
        <w:spacing w:line="480" w:lineRule="auto"/>
        <w:jc w:val="both"/>
        <w:rPr>
          <w:rFonts w:ascii="Arial" w:hAnsi="Arial" w:cs="Arial"/>
          <w:sz w:val="20"/>
          <w:szCs w:val="20"/>
        </w:rPr>
      </w:pPr>
      <w:r>
        <w:rPr>
          <w:rFonts w:ascii="Arial" w:hAnsi="Arial" w:cs="Arial"/>
          <w:sz w:val="20"/>
          <w:szCs w:val="20"/>
        </w:rPr>
        <w:t>Canities is</w:t>
      </w:r>
      <w:r w:rsidR="000E417F">
        <w:rPr>
          <w:rFonts w:ascii="Arial" w:hAnsi="Arial" w:cs="Arial"/>
          <w:sz w:val="20"/>
          <w:szCs w:val="20"/>
        </w:rPr>
        <w:t xml:space="preserve"> simply gray hair, and red blood cells are one of the elements of the blood that transport respiratory gases and other nutrients in the body. Hair is one of the features or attributes of mammals, the animals to which humans belong (Prashant </w:t>
      </w:r>
      <w:r w:rsidR="000E417F">
        <w:rPr>
          <w:rFonts w:ascii="Arial" w:hAnsi="Arial" w:cs="Arial"/>
          <w:i/>
          <w:sz w:val="20"/>
          <w:szCs w:val="20"/>
        </w:rPr>
        <w:t>et al</w:t>
      </w:r>
      <w:r w:rsidR="000E417F">
        <w:rPr>
          <w:rFonts w:ascii="Arial" w:hAnsi="Arial" w:cs="Arial"/>
          <w:sz w:val="20"/>
          <w:szCs w:val="20"/>
        </w:rPr>
        <w:t xml:space="preserve">., 2024; </w:t>
      </w:r>
      <w:r>
        <w:rPr>
          <w:rFonts w:ascii="Arial" w:hAnsi="Arial" w:cs="Arial"/>
          <w:bCs/>
          <w:sz w:val="20"/>
          <w:szCs w:val="20"/>
        </w:rPr>
        <w:t xml:space="preserve">Abdel and </w:t>
      </w:r>
      <w:r w:rsidR="000E417F">
        <w:rPr>
          <w:rFonts w:ascii="Arial" w:hAnsi="Arial" w:cs="Arial"/>
          <w:bCs/>
          <w:sz w:val="20"/>
          <w:szCs w:val="20"/>
        </w:rPr>
        <w:t xml:space="preserve">Hossam, 2018; Kumar </w:t>
      </w:r>
      <w:r w:rsidR="000E417F">
        <w:rPr>
          <w:rFonts w:ascii="Arial" w:hAnsi="Arial" w:cs="Arial"/>
          <w:bCs/>
          <w:i/>
          <w:iCs/>
          <w:sz w:val="20"/>
          <w:szCs w:val="20"/>
        </w:rPr>
        <w:t xml:space="preserve">et al., </w:t>
      </w:r>
      <w:r w:rsidR="000E417F">
        <w:rPr>
          <w:rFonts w:ascii="Arial" w:hAnsi="Arial" w:cs="Arial"/>
          <w:bCs/>
          <w:iCs/>
          <w:sz w:val="20"/>
          <w:szCs w:val="20"/>
        </w:rPr>
        <w:t xml:space="preserve">2018). </w:t>
      </w:r>
      <w:r w:rsidR="000E417F">
        <w:rPr>
          <w:rFonts w:ascii="Arial" w:hAnsi="Arial" w:cs="Arial"/>
          <w:sz w:val="20"/>
          <w:szCs w:val="20"/>
        </w:rPr>
        <w:t xml:space="preserve">Every hair on the head comprises two </w:t>
      </w:r>
      <w:proofErr w:type="gramStart"/>
      <w:r w:rsidR="000E417F">
        <w:rPr>
          <w:rFonts w:ascii="Arial" w:hAnsi="Arial" w:cs="Arial"/>
          <w:sz w:val="20"/>
          <w:szCs w:val="20"/>
        </w:rPr>
        <w:t>sections:a</w:t>
      </w:r>
      <w:proofErr w:type="gramEnd"/>
      <w:r w:rsidR="000E417F">
        <w:rPr>
          <w:rFonts w:ascii="Arial" w:hAnsi="Arial" w:cs="Arial"/>
          <w:sz w:val="20"/>
          <w:szCs w:val="20"/>
        </w:rPr>
        <w:t xml:space="preserve"> pole (shaft) and a root (Prashant </w:t>
      </w:r>
      <w:r w:rsidR="000E417F">
        <w:rPr>
          <w:rFonts w:ascii="Arial" w:hAnsi="Arial" w:cs="Arial"/>
          <w:i/>
          <w:sz w:val="20"/>
          <w:szCs w:val="20"/>
        </w:rPr>
        <w:t>et al</w:t>
      </w:r>
      <w:r w:rsidR="000E417F">
        <w:rPr>
          <w:rFonts w:ascii="Arial" w:hAnsi="Arial" w:cs="Arial"/>
          <w:sz w:val="20"/>
          <w:szCs w:val="20"/>
        </w:rPr>
        <w:t xml:space="preserve">., 2024; Parihar </w:t>
      </w:r>
      <w:r w:rsidR="000E417F">
        <w:rPr>
          <w:rFonts w:ascii="Arial" w:hAnsi="Arial" w:cs="Arial"/>
          <w:i/>
          <w:sz w:val="20"/>
          <w:szCs w:val="20"/>
        </w:rPr>
        <w:t>et al</w:t>
      </w:r>
      <w:r w:rsidR="000E417F">
        <w:rPr>
          <w:rFonts w:ascii="Arial" w:hAnsi="Arial" w:cs="Arial"/>
          <w:sz w:val="20"/>
          <w:szCs w:val="20"/>
        </w:rPr>
        <w:t xml:space="preserve">., 2023). The root contains the follicles with pigment cells known as melanocytes that produce melanin, which gives hair its unique </w:t>
      </w:r>
      <w:proofErr w:type="spellStart"/>
      <w:r w:rsidR="000E417F">
        <w:rPr>
          <w:rFonts w:ascii="Arial" w:hAnsi="Arial" w:cs="Arial"/>
          <w:sz w:val="20"/>
          <w:szCs w:val="20"/>
        </w:rPr>
        <w:t>colour</w:t>
      </w:r>
      <w:proofErr w:type="spellEnd"/>
      <w:r w:rsidR="000E417F">
        <w:rPr>
          <w:rFonts w:ascii="Arial" w:hAnsi="Arial" w:cs="Arial"/>
          <w:sz w:val="20"/>
          <w:szCs w:val="20"/>
        </w:rPr>
        <w:t xml:space="preserve"> (</w:t>
      </w:r>
      <w:proofErr w:type="spellStart"/>
      <w:r w:rsidR="000E417F">
        <w:rPr>
          <w:rFonts w:ascii="Arial" w:hAnsi="Arial" w:cs="Arial"/>
          <w:sz w:val="20"/>
          <w:szCs w:val="20"/>
        </w:rPr>
        <w:t>Papaccio</w:t>
      </w:r>
      <w:proofErr w:type="spellEnd"/>
      <w:r w:rsidR="000E417F">
        <w:rPr>
          <w:rFonts w:ascii="Arial" w:hAnsi="Arial" w:cs="Arial"/>
          <w:sz w:val="20"/>
          <w:szCs w:val="20"/>
        </w:rPr>
        <w:t xml:space="preserve"> </w:t>
      </w:r>
      <w:r w:rsidR="000E417F">
        <w:rPr>
          <w:rFonts w:ascii="Arial" w:hAnsi="Arial" w:cs="Arial"/>
          <w:i/>
          <w:iCs/>
          <w:sz w:val="20"/>
          <w:szCs w:val="20"/>
        </w:rPr>
        <w:t>et al</w:t>
      </w:r>
      <w:r w:rsidR="000E417F">
        <w:rPr>
          <w:rFonts w:ascii="Arial" w:hAnsi="Arial" w:cs="Arial"/>
          <w:sz w:val="20"/>
          <w:szCs w:val="20"/>
        </w:rPr>
        <w:t>., 2022). Hair characteristics vary among different ethnic groups and individuals, including differences in length, diameter, colour,</w:t>
      </w:r>
      <w:r>
        <w:rPr>
          <w:rFonts w:ascii="Arial" w:hAnsi="Arial" w:cs="Arial"/>
          <w:sz w:val="20"/>
          <w:szCs w:val="20"/>
        </w:rPr>
        <w:t xml:space="preserve"> </w:t>
      </w:r>
      <w:r w:rsidR="000E417F">
        <w:rPr>
          <w:rFonts w:ascii="Arial" w:hAnsi="Arial" w:cs="Arial"/>
          <w:sz w:val="20"/>
          <w:szCs w:val="20"/>
        </w:rPr>
        <w:t xml:space="preserve">and cross-sectional shape </w:t>
      </w:r>
      <w:r w:rsidR="000E417F">
        <w:rPr>
          <w:rFonts w:ascii="Arial" w:hAnsi="Arial" w:cs="Arial"/>
          <w:sz w:val="20"/>
          <w:szCs w:val="20"/>
        </w:rPr>
        <w:lastRenderedPageBreak/>
        <w:t xml:space="preserve">(Gonzalez </w:t>
      </w:r>
      <w:r w:rsidR="000E417F">
        <w:rPr>
          <w:rFonts w:ascii="Arial" w:hAnsi="Arial" w:cs="Arial"/>
          <w:i/>
          <w:sz w:val="20"/>
          <w:szCs w:val="20"/>
        </w:rPr>
        <w:t>et al.,</w:t>
      </w:r>
      <w:r w:rsidR="000E417F">
        <w:rPr>
          <w:rFonts w:ascii="Arial" w:hAnsi="Arial" w:cs="Arial"/>
          <w:sz w:val="20"/>
          <w:szCs w:val="20"/>
        </w:rPr>
        <w:t xml:space="preserve"> 2018). As individual ages, usually</w:t>
      </w:r>
      <w:r>
        <w:rPr>
          <w:rFonts w:ascii="Arial" w:hAnsi="Arial" w:cs="Arial"/>
          <w:sz w:val="20"/>
          <w:szCs w:val="20"/>
        </w:rPr>
        <w:t xml:space="preserve"> </w:t>
      </w:r>
      <w:r w:rsidR="000E417F">
        <w:rPr>
          <w:rFonts w:ascii="Arial" w:hAnsi="Arial" w:cs="Arial"/>
          <w:sz w:val="20"/>
          <w:szCs w:val="20"/>
        </w:rPr>
        <w:t xml:space="preserve">the intensity of the melanocytes diminishes which will bring about new hair strands losing their colour and getting to be gray, silver and in the long run white (Lenox-Prince </w:t>
      </w:r>
      <w:r w:rsidR="000E417F">
        <w:rPr>
          <w:rFonts w:ascii="Arial" w:hAnsi="Arial" w:cs="Arial"/>
          <w:i/>
          <w:sz w:val="20"/>
          <w:szCs w:val="20"/>
        </w:rPr>
        <w:t>et al</w:t>
      </w:r>
      <w:r w:rsidR="000E417F">
        <w:rPr>
          <w:rFonts w:ascii="Arial" w:hAnsi="Arial" w:cs="Arial"/>
          <w:sz w:val="20"/>
          <w:szCs w:val="20"/>
        </w:rPr>
        <w:t xml:space="preserve">., 2024; Prashant </w:t>
      </w:r>
      <w:r w:rsidR="000E417F">
        <w:rPr>
          <w:rFonts w:ascii="Arial" w:hAnsi="Arial" w:cs="Arial"/>
          <w:i/>
          <w:sz w:val="20"/>
          <w:szCs w:val="20"/>
        </w:rPr>
        <w:t>et al</w:t>
      </w:r>
      <w:r w:rsidR="000E417F">
        <w:rPr>
          <w:rFonts w:ascii="Arial" w:hAnsi="Arial" w:cs="Arial"/>
          <w:sz w:val="20"/>
          <w:szCs w:val="20"/>
        </w:rPr>
        <w:t xml:space="preserve">., 2024; </w:t>
      </w:r>
      <w:r w:rsidR="000E417F">
        <w:rPr>
          <w:rFonts w:ascii="Arial" w:hAnsi="Arial" w:cs="Arial"/>
          <w:sz w:val="20"/>
          <w:szCs w:val="20"/>
          <w:lang w:val="en-GB"/>
        </w:rPr>
        <w:t xml:space="preserve">Wang </w:t>
      </w:r>
      <w:r w:rsidR="000E417F">
        <w:rPr>
          <w:rFonts w:ascii="Arial" w:hAnsi="Arial" w:cs="Arial"/>
          <w:i/>
          <w:iCs/>
          <w:sz w:val="20"/>
          <w:szCs w:val="20"/>
          <w:lang w:val="en-GB"/>
        </w:rPr>
        <w:t>et al</w:t>
      </w:r>
      <w:r w:rsidR="000E417F">
        <w:rPr>
          <w:rFonts w:ascii="Arial" w:hAnsi="Arial" w:cs="Arial"/>
          <w:sz w:val="20"/>
          <w:szCs w:val="20"/>
          <w:lang w:val="en-GB"/>
        </w:rPr>
        <w:t>., 2023</w:t>
      </w:r>
      <w:r w:rsidR="000E417F">
        <w:rPr>
          <w:rFonts w:ascii="Arial" w:hAnsi="Arial" w:cs="Arial"/>
          <w:sz w:val="20"/>
          <w:szCs w:val="20"/>
        </w:rPr>
        <w:t xml:space="preserve">). Though canities occur as one grows older, they can start at an early age (premature Canities) (Lenox-Prince </w:t>
      </w:r>
      <w:r w:rsidR="000E417F">
        <w:rPr>
          <w:rFonts w:ascii="Arial" w:hAnsi="Arial" w:cs="Arial"/>
          <w:i/>
          <w:sz w:val="20"/>
          <w:szCs w:val="20"/>
        </w:rPr>
        <w:t>et al</w:t>
      </w:r>
      <w:r w:rsidR="000E417F">
        <w:rPr>
          <w:rFonts w:ascii="Arial" w:hAnsi="Arial" w:cs="Arial"/>
          <w:sz w:val="20"/>
          <w:szCs w:val="20"/>
        </w:rPr>
        <w:t xml:space="preserve">., 2024; Anaba </w:t>
      </w:r>
      <w:r w:rsidR="000E417F">
        <w:rPr>
          <w:rFonts w:ascii="Arial" w:hAnsi="Arial" w:cs="Arial"/>
          <w:i/>
          <w:sz w:val="20"/>
          <w:szCs w:val="20"/>
        </w:rPr>
        <w:t>et al</w:t>
      </w:r>
      <w:r w:rsidR="000E417F">
        <w:rPr>
          <w:rFonts w:ascii="Arial" w:hAnsi="Arial" w:cs="Arial"/>
          <w:sz w:val="20"/>
          <w:szCs w:val="20"/>
        </w:rPr>
        <w:t xml:space="preserve">., 2022). Canities typically start at 20 years in the whites, mid-30s in Asians, and mid-40s in Africans. However, when the onset of canities is before the age of 20 years in Caucasians, before 25 years in Asians and before 30 years in Africans it is considered as premature canities (Prashant </w:t>
      </w:r>
      <w:r w:rsidR="000E417F">
        <w:rPr>
          <w:rFonts w:ascii="Arial" w:hAnsi="Arial" w:cs="Arial"/>
          <w:i/>
          <w:sz w:val="20"/>
          <w:szCs w:val="20"/>
        </w:rPr>
        <w:t>et al</w:t>
      </w:r>
      <w:r w:rsidR="000E417F">
        <w:rPr>
          <w:rFonts w:ascii="Arial" w:hAnsi="Arial" w:cs="Arial"/>
          <w:sz w:val="20"/>
          <w:szCs w:val="20"/>
        </w:rPr>
        <w:t xml:space="preserve">., 2024; Anaba </w:t>
      </w:r>
      <w:r w:rsidR="000E417F">
        <w:rPr>
          <w:rFonts w:ascii="Arial" w:hAnsi="Arial" w:cs="Arial"/>
          <w:i/>
          <w:sz w:val="20"/>
          <w:szCs w:val="20"/>
        </w:rPr>
        <w:t>et al</w:t>
      </w:r>
      <w:r w:rsidR="000E417F">
        <w:rPr>
          <w:rFonts w:ascii="Arial" w:hAnsi="Arial" w:cs="Arial"/>
          <w:sz w:val="20"/>
          <w:szCs w:val="20"/>
        </w:rPr>
        <w:t xml:space="preserve">., 2022; </w:t>
      </w:r>
      <w:proofErr w:type="spellStart"/>
      <w:r>
        <w:rPr>
          <w:rFonts w:ascii="Arial" w:hAnsi="Arial" w:cs="Arial"/>
          <w:sz w:val="20"/>
          <w:szCs w:val="20"/>
          <w:lang w:val="en-GB"/>
        </w:rPr>
        <w:t>Aktas</w:t>
      </w:r>
      <w:proofErr w:type="spellEnd"/>
      <w:r>
        <w:rPr>
          <w:rFonts w:ascii="Arial" w:hAnsi="Arial" w:cs="Arial"/>
          <w:sz w:val="20"/>
          <w:szCs w:val="20"/>
          <w:lang w:val="en-GB"/>
        </w:rPr>
        <w:t xml:space="preserve"> and </w:t>
      </w:r>
      <w:proofErr w:type="spellStart"/>
      <w:r w:rsidR="000E417F">
        <w:rPr>
          <w:rFonts w:ascii="Arial" w:hAnsi="Arial" w:cs="Arial"/>
          <w:sz w:val="20"/>
          <w:szCs w:val="20"/>
          <w:lang w:val="en-GB"/>
        </w:rPr>
        <w:t>Erbas</w:t>
      </w:r>
      <w:proofErr w:type="spellEnd"/>
      <w:r w:rsidR="000E417F">
        <w:rPr>
          <w:rFonts w:ascii="Arial" w:hAnsi="Arial" w:cs="Arial"/>
          <w:sz w:val="20"/>
          <w:szCs w:val="20"/>
          <w:lang w:val="en-GB"/>
        </w:rPr>
        <w:t>, 2021)</w:t>
      </w:r>
      <w:r w:rsidR="000E417F">
        <w:rPr>
          <w:rFonts w:ascii="Arial" w:hAnsi="Arial" w:cs="Arial"/>
          <w:sz w:val="20"/>
          <w:szCs w:val="20"/>
        </w:rPr>
        <w:t xml:space="preserve">.  </w:t>
      </w:r>
      <w:r w:rsidR="000E417F">
        <w:rPr>
          <w:rFonts w:ascii="Arial" w:hAnsi="Arial" w:cs="Arial"/>
          <w:sz w:val="20"/>
          <w:szCs w:val="20"/>
          <w:shd w:val="clear" w:color="auto" w:fill="FFFFFF"/>
        </w:rPr>
        <w:t>Premature canities have been an elusive entity with little known about its clinical manifestations or etiopathogenesis. It is not only mainly considered a genetic disorder with an autosomal dominant inheritance but has also been reported as a part of many syndromes, such as Waardenburg syndrome, Book's syndrome, and progeria (</w:t>
      </w:r>
      <w:proofErr w:type="spellStart"/>
      <w:r>
        <w:rPr>
          <w:rFonts w:ascii="Arial" w:hAnsi="Arial" w:cs="Arial"/>
          <w:sz w:val="20"/>
          <w:szCs w:val="20"/>
          <w:lang w:val="en-GB"/>
        </w:rPr>
        <w:t>Aktas</w:t>
      </w:r>
      <w:proofErr w:type="spellEnd"/>
      <w:r>
        <w:rPr>
          <w:rFonts w:ascii="Arial" w:hAnsi="Arial" w:cs="Arial"/>
          <w:sz w:val="20"/>
          <w:szCs w:val="20"/>
          <w:lang w:val="en-GB"/>
        </w:rPr>
        <w:t xml:space="preserve"> and </w:t>
      </w:r>
      <w:proofErr w:type="spellStart"/>
      <w:r w:rsidR="000E417F">
        <w:rPr>
          <w:rFonts w:ascii="Arial" w:hAnsi="Arial" w:cs="Arial"/>
          <w:sz w:val="20"/>
          <w:szCs w:val="20"/>
          <w:lang w:val="en-GB"/>
        </w:rPr>
        <w:t>Erbas</w:t>
      </w:r>
      <w:proofErr w:type="spellEnd"/>
      <w:r w:rsidR="000E417F">
        <w:rPr>
          <w:rFonts w:ascii="Arial" w:hAnsi="Arial" w:cs="Arial"/>
          <w:sz w:val="20"/>
          <w:szCs w:val="20"/>
          <w:lang w:val="en-GB"/>
        </w:rPr>
        <w:t>, 2021</w:t>
      </w:r>
      <w:r w:rsidR="000E417F">
        <w:rPr>
          <w:rFonts w:ascii="Arial" w:hAnsi="Arial" w:cs="Arial"/>
          <w:sz w:val="20"/>
          <w:szCs w:val="20"/>
          <w:shd w:val="clear" w:color="auto" w:fill="FFFFFF"/>
        </w:rPr>
        <w:t>). Other causes include</w:t>
      </w:r>
      <w:r>
        <w:rPr>
          <w:rFonts w:ascii="Arial" w:hAnsi="Arial" w:cs="Arial"/>
          <w:sz w:val="20"/>
          <w:szCs w:val="20"/>
          <w:shd w:val="clear" w:color="auto" w:fill="FFFFFF"/>
        </w:rPr>
        <w:t xml:space="preserve"> </w:t>
      </w:r>
      <w:r w:rsidR="000E417F">
        <w:rPr>
          <w:rFonts w:ascii="Arial" w:hAnsi="Arial" w:cs="Arial"/>
          <w:sz w:val="20"/>
          <w:szCs w:val="20"/>
          <w:shd w:val="clear" w:color="auto" w:fill="FFFFFF"/>
        </w:rPr>
        <w:t xml:space="preserve">low levels of red blood cell metrics such as haemoglobin concentration, etc. </w:t>
      </w:r>
      <w:r w:rsidR="000E417F">
        <w:rPr>
          <w:rFonts w:ascii="Arial" w:hAnsi="Arial" w:cs="Arial"/>
          <w:sz w:val="20"/>
          <w:szCs w:val="20"/>
        </w:rPr>
        <w:t xml:space="preserve">smoking, depression, stress, inadequate rest, not eating a balanced diet, lack of supplements, vitiligo, hypothyroidism and other medical problems (Lenox-Prince </w:t>
      </w:r>
      <w:r w:rsidR="000E417F">
        <w:rPr>
          <w:rFonts w:ascii="Arial" w:hAnsi="Arial" w:cs="Arial"/>
          <w:i/>
          <w:sz w:val="20"/>
          <w:szCs w:val="20"/>
        </w:rPr>
        <w:t>et al</w:t>
      </w:r>
      <w:r w:rsidR="000E417F">
        <w:rPr>
          <w:rFonts w:ascii="Arial" w:hAnsi="Arial" w:cs="Arial"/>
          <w:sz w:val="20"/>
          <w:szCs w:val="20"/>
        </w:rPr>
        <w:t xml:space="preserve">., 2024; Anaba </w:t>
      </w:r>
      <w:r w:rsidR="000E417F">
        <w:rPr>
          <w:rFonts w:ascii="Arial" w:hAnsi="Arial" w:cs="Arial"/>
          <w:i/>
          <w:sz w:val="20"/>
          <w:szCs w:val="20"/>
        </w:rPr>
        <w:t>et al</w:t>
      </w:r>
      <w:r w:rsidR="000E417F">
        <w:rPr>
          <w:rFonts w:ascii="Arial" w:hAnsi="Arial" w:cs="Arial"/>
          <w:sz w:val="20"/>
          <w:szCs w:val="20"/>
        </w:rPr>
        <w:t xml:space="preserve">., 2022; </w:t>
      </w:r>
      <w:proofErr w:type="spellStart"/>
      <w:r>
        <w:rPr>
          <w:rFonts w:ascii="Arial" w:hAnsi="Arial" w:cs="Arial"/>
          <w:sz w:val="20"/>
          <w:szCs w:val="20"/>
          <w:lang w:val="en-GB"/>
        </w:rPr>
        <w:t>Aktas</w:t>
      </w:r>
      <w:proofErr w:type="spellEnd"/>
      <w:r>
        <w:rPr>
          <w:rFonts w:ascii="Arial" w:hAnsi="Arial" w:cs="Arial"/>
          <w:sz w:val="20"/>
          <w:szCs w:val="20"/>
          <w:lang w:val="en-GB"/>
        </w:rPr>
        <w:t xml:space="preserve"> and </w:t>
      </w:r>
      <w:proofErr w:type="spellStart"/>
      <w:r w:rsidR="000E417F">
        <w:rPr>
          <w:rFonts w:ascii="Arial" w:hAnsi="Arial" w:cs="Arial"/>
          <w:sz w:val="20"/>
          <w:szCs w:val="20"/>
          <w:lang w:val="en-GB"/>
        </w:rPr>
        <w:t>Erbas</w:t>
      </w:r>
      <w:proofErr w:type="spellEnd"/>
      <w:r w:rsidR="000E417F">
        <w:rPr>
          <w:rFonts w:ascii="Arial" w:hAnsi="Arial" w:cs="Arial"/>
          <w:sz w:val="20"/>
          <w:szCs w:val="20"/>
          <w:lang w:val="en-GB"/>
        </w:rPr>
        <w:t xml:space="preserve">, 2021; </w:t>
      </w:r>
      <w:r w:rsidR="000E417F">
        <w:rPr>
          <w:rFonts w:ascii="Arial" w:hAnsi="Arial" w:cs="Arial"/>
          <w:sz w:val="20"/>
          <w:szCs w:val="20"/>
          <w:shd w:val="clear" w:color="auto" w:fill="FFFFFF"/>
        </w:rPr>
        <w:t xml:space="preserve">Saxena </w:t>
      </w:r>
      <w:r w:rsidR="000E417F">
        <w:rPr>
          <w:rStyle w:val="element-citation"/>
          <w:rFonts w:ascii="Arial" w:hAnsi="Arial" w:cs="Arial"/>
          <w:i/>
          <w:sz w:val="20"/>
          <w:szCs w:val="20"/>
        </w:rPr>
        <w:t>et al</w:t>
      </w:r>
      <w:r w:rsidR="000E417F">
        <w:rPr>
          <w:rStyle w:val="element-citation"/>
          <w:rFonts w:ascii="Arial" w:hAnsi="Arial" w:cs="Arial"/>
          <w:sz w:val="20"/>
          <w:szCs w:val="20"/>
        </w:rPr>
        <w:t xml:space="preserve">., 2020). </w:t>
      </w:r>
      <w:r w:rsidR="000E417F">
        <w:rPr>
          <w:rFonts w:ascii="Arial" w:hAnsi="Arial" w:cs="Arial"/>
          <w:sz w:val="20"/>
          <w:szCs w:val="20"/>
          <w:shd w:val="clear" w:color="auto" w:fill="FFFFFF"/>
        </w:rPr>
        <w:t xml:space="preserve">Despite the rising occurrence of premature canities, in-depth investigations into the root causes of premature graying are scarce (O'Sullivan </w:t>
      </w:r>
      <w:r w:rsidR="000E417F">
        <w:rPr>
          <w:rFonts w:ascii="Arial" w:hAnsi="Arial" w:cs="Arial"/>
          <w:i/>
          <w:sz w:val="20"/>
          <w:szCs w:val="20"/>
          <w:shd w:val="clear" w:color="auto" w:fill="FFFFFF"/>
        </w:rPr>
        <w:t>et al</w:t>
      </w:r>
      <w:r w:rsidR="000E417F">
        <w:rPr>
          <w:rFonts w:ascii="Arial" w:hAnsi="Arial" w:cs="Arial"/>
          <w:sz w:val="20"/>
          <w:szCs w:val="20"/>
          <w:shd w:val="clear" w:color="auto" w:fill="FFFFFF"/>
        </w:rPr>
        <w:t xml:space="preserve">., 2021). Though some researchers have associated the development of premature gray hair to some haematological parameters (red blood cell metrics) such as low red cell count, etc, the potential link between premature graying and these parameters has yet to </w:t>
      </w:r>
      <w:r>
        <w:rPr>
          <w:rFonts w:ascii="Arial" w:hAnsi="Arial" w:cs="Arial"/>
          <w:sz w:val="20"/>
          <w:szCs w:val="20"/>
          <w:shd w:val="clear" w:color="auto" w:fill="FFFFFF"/>
        </w:rPr>
        <w:t xml:space="preserve">be thoroughly explored (Sharma and </w:t>
      </w:r>
      <w:r w:rsidR="000E417F">
        <w:rPr>
          <w:rFonts w:ascii="Arial" w:hAnsi="Arial" w:cs="Arial"/>
          <w:sz w:val="20"/>
          <w:szCs w:val="20"/>
          <w:shd w:val="clear" w:color="auto" w:fill="FFFFFF"/>
        </w:rPr>
        <w:t xml:space="preserve">Dogra, 2018). </w:t>
      </w:r>
      <w:r w:rsidR="000E417F">
        <w:rPr>
          <w:rFonts w:ascii="Arial" w:hAnsi="Arial" w:cs="Arial"/>
          <w:sz w:val="20"/>
          <w:szCs w:val="20"/>
        </w:rPr>
        <w:t>Graying of hair due to age and genetics cannot be reversed. In the case of premature hair graying and graying of hair due to other conditions, the treatment would be directed to th</w:t>
      </w:r>
      <w:r>
        <w:rPr>
          <w:rFonts w:ascii="Arial" w:hAnsi="Arial" w:cs="Arial"/>
          <w:sz w:val="20"/>
          <w:szCs w:val="20"/>
        </w:rPr>
        <w:t>e cause of the graying (</w:t>
      </w:r>
      <w:proofErr w:type="spellStart"/>
      <w:r>
        <w:rPr>
          <w:rFonts w:ascii="Arial" w:hAnsi="Arial" w:cs="Arial"/>
          <w:sz w:val="20"/>
          <w:szCs w:val="20"/>
        </w:rPr>
        <w:t>Juhász</w:t>
      </w:r>
      <w:proofErr w:type="spellEnd"/>
      <w:r>
        <w:rPr>
          <w:rFonts w:ascii="Arial" w:hAnsi="Arial" w:cs="Arial"/>
          <w:sz w:val="20"/>
          <w:szCs w:val="20"/>
        </w:rPr>
        <w:t xml:space="preserve"> and </w:t>
      </w:r>
      <w:proofErr w:type="spellStart"/>
      <w:r w:rsidR="000E417F">
        <w:rPr>
          <w:rFonts w:ascii="Arial" w:hAnsi="Arial" w:cs="Arial"/>
          <w:sz w:val="20"/>
          <w:szCs w:val="20"/>
        </w:rPr>
        <w:t>Atanaskova</w:t>
      </w:r>
      <w:proofErr w:type="spellEnd"/>
      <w:r w:rsidR="000E417F">
        <w:rPr>
          <w:rFonts w:ascii="Arial" w:hAnsi="Arial" w:cs="Arial"/>
          <w:sz w:val="20"/>
          <w:szCs w:val="20"/>
        </w:rPr>
        <w:t xml:space="preserve">, 2020). A study by Choi </w:t>
      </w:r>
      <w:r w:rsidR="000E417F">
        <w:rPr>
          <w:rFonts w:ascii="Arial" w:hAnsi="Arial" w:cs="Arial"/>
          <w:i/>
          <w:sz w:val="20"/>
          <w:szCs w:val="20"/>
        </w:rPr>
        <w:t>et al</w:t>
      </w:r>
      <w:r w:rsidR="000E417F">
        <w:rPr>
          <w:rFonts w:ascii="Arial" w:hAnsi="Arial" w:cs="Arial"/>
          <w:sz w:val="20"/>
          <w:szCs w:val="20"/>
        </w:rPr>
        <w:t xml:space="preserve">. (2016) proved an association between iron deficiency anaemia and premature </w:t>
      </w:r>
      <w:r>
        <w:rPr>
          <w:rFonts w:ascii="Arial" w:hAnsi="Arial" w:cs="Arial"/>
          <w:sz w:val="20"/>
          <w:szCs w:val="20"/>
        </w:rPr>
        <w:t>canities</w:t>
      </w:r>
      <w:r w:rsidR="000E417F">
        <w:rPr>
          <w:rFonts w:ascii="Arial" w:hAnsi="Arial" w:cs="Arial"/>
          <w:sz w:val="20"/>
          <w:szCs w:val="20"/>
        </w:rPr>
        <w:t xml:space="preserve"> and the reversal of the </w:t>
      </w:r>
      <w:r>
        <w:rPr>
          <w:rFonts w:ascii="Arial" w:hAnsi="Arial" w:cs="Arial"/>
          <w:sz w:val="20"/>
          <w:szCs w:val="20"/>
        </w:rPr>
        <w:t>canities</w:t>
      </w:r>
      <w:r w:rsidR="000E417F">
        <w:rPr>
          <w:rFonts w:ascii="Arial" w:hAnsi="Arial" w:cs="Arial"/>
          <w:sz w:val="20"/>
          <w:szCs w:val="20"/>
        </w:rPr>
        <w:t xml:space="preserve"> with iron supplements and oral ferrous sulfate 40mg/day. Prashant </w:t>
      </w:r>
      <w:r w:rsidR="000E417F">
        <w:rPr>
          <w:rFonts w:ascii="Arial" w:hAnsi="Arial" w:cs="Arial"/>
          <w:i/>
          <w:sz w:val="20"/>
          <w:szCs w:val="20"/>
        </w:rPr>
        <w:t>et al</w:t>
      </w:r>
      <w:r w:rsidR="000E417F">
        <w:rPr>
          <w:rFonts w:ascii="Arial" w:hAnsi="Arial" w:cs="Arial"/>
          <w:sz w:val="20"/>
          <w:szCs w:val="20"/>
        </w:rPr>
        <w:t>. (2024) performed an observational study on 40 self-reported cases of premature canities. Serum levels of ferritin, vitamin D3, vitamin B</w:t>
      </w:r>
      <w:r w:rsidR="000E417F">
        <w:rPr>
          <w:rFonts w:ascii="Arial" w:hAnsi="Arial" w:cs="Arial"/>
          <w:sz w:val="20"/>
          <w:szCs w:val="20"/>
          <w:vertAlign w:val="subscript"/>
        </w:rPr>
        <w:t>12</w:t>
      </w:r>
      <w:r w:rsidR="000E417F">
        <w:rPr>
          <w:rFonts w:ascii="Arial" w:hAnsi="Arial" w:cs="Arial"/>
          <w:sz w:val="20"/>
          <w:szCs w:val="20"/>
        </w:rPr>
        <w:t xml:space="preserve">, and haemoglobin were measured for each patient. Two groups of patients were created; group A consisted of prepubertal patients, and group B included </w:t>
      </w:r>
      <w:proofErr w:type="spellStart"/>
      <w:r w:rsidR="000E417F">
        <w:rPr>
          <w:rFonts w:ascii="Arial" w:hAnsi="Arial" w:cs="Arial"/>
          <w:sz w:val="20"/>
          <w:szCs w:val="20"/>
        </w:rPr>
        <w:t>postpubertal</w:t>
      </w:r>
      <w:proofErr w:type="spellEnd"/>
      <w:r w:rsidR="000E417F">
        <w:rPr>
          <w:rFonts w:ascii="Arial" w:hAnsi="Arial" w:cs="Arial"/>
          <w:sz w:val="20"/>
          <w:szCs w:val="20"/>
        </w:rPr>
        <w:t xml:space="preserve"> patients. In group A, 75% of patients had haemoglobin deficiency,</w:t>
      </w:r>
      <w:r>
        <w:rPr>
          <w:rFonts w:ascii="Arial" w:hAnsi="Arial" w:cs="Arial"/>
          <w:sz w:val="20"/>
          <w:szCs w:val="20"/>
        </w:rPr>
        <w:t xml:space="preserve"> </w:t>
      </w:r>
      <w:r w:rsidR="000E417F">
        <w:rPr>
          <w:rFonts w:ascii="Arial" w:hAnsi="Arial" w:cs="Arial"/>
          <w:sz w:val="20"/>
          <w:szCs w:val="20"/>
        </w:rPr>
        <w:t xml:space="preserve">while 25% had it in group B. </w:t>
      </w:r>
      <w:proofErr w:type="spellStart"/>
      <w:r w:rsidR="000E417F">
        <w:rPr>
          <w:rFonts w:ascii="Arial" w:hAnsi="Arial" w:cs="Arial"/>
          <w:sz w:val="20"/>
          <w:szCs w:val="20"/>
        </w:rPr>
        <w:t>Bhramaramba</w:t>
      </w:r>
      <w:proofErr w:type="spellEnd"/>
      <w:r>
        <w:rPr>
          <w:rFonts w:ascii="Arial" w:hAnsi="Arial" w:cs="Arial"/>
          <w:sz w:val="20"/>
          <w:szCs w:val="20"/>
        </w:rPr>
        <w:t xml:space="preserve"> </w:t>
      </w:r>
      <w:r w:rsidR="000E417F">
        <w:rPr>
          <w:rFonts w:ascii="Arial" w:hAnsi="Arial" w:cs="Arial"/>
          <w:i/>
          <w:sz w:val="20"/>
          <w:szCs w:val="20"/>
        </w:rPr>
        <w:t>et al</w:t>
      </w:r>
      <w:r w:rsidR="000E417F">
        <w:rPr>
          <w:rFonts w:ascii="Arial" w:hAnsi="Arial" w:cs="Arial"/>
          <w:sz w:val="20"/>
          <w:szCs w:val="20"/>
        </w:rPr>
        <w:t xml:space="preserve">. (2016) conducted another cross-sectional observational study with 1400-degree college students aged 18 to 30 years on </w:t>
      </w:r>
      <w:r w:rsidR="000E417F">
        <w:rPr>
          <w:rFonts w:ascii="Arial" w:hAnsi="Arial" w:cs="Arial"/>
          <w:sz w:val="20"/>
          <w:szCs w:val="20"/>
        </w:rPr>
        <w:lastRenderedPageBreak/>
        <w:t xml:space="preserve">the clinic-epidemiological aspects of premature canities and the correlation of haemoglobin levels in patients with premature canities. Premature graying of the hair was screened for study participants, and those who were found to have it underwent a clinic-epidemiological investigation. Haemoglobin levels were measured, and the data was analyzed, and 11.00% of the subjects had low haemoglobin concentration (anaemia). </w:t>
      </w:r>
      <w:r w:rsidR="000E417F">
        <w:rPr>
          <w:rFonts w:ascii="Arial" w:hAnsi="Arial" w:cs="Arial"/>
          <w:sz w:val="20"/>
          <w:szCs w:val="20"/>
          <w:shd w:val="clear" w:color="auto" w:fill="FFFFFF"/>
        </w:rPr>
        <w:t>Therefore, this study assessed red cell metrics among individuals with premature canities.</w:t>
      </w:r>
    </w:p>
    <w:p w14:paraId="611597A7" w14:textId="77777777" w:rsidR="000E417F" w:rsidRDefault="000E417F" w:rsidP="000E417F">
      <w:pPr>
        <w:pStyle w:val="ListParagraph"/>
        <w:numPr>
          <w:ilvl w:val="0"/>
          <w:numId w:val="1"/>
        </w:numPr>
        <w:rPr>
          <w:rFonts w:ascii="Arial" w:hAnsi="Arial" w:cs="Arial"/>
          <w:b/>
        </w:rPr>
      </w:pPr>
      <w:r>
        <w:rPr>
          <w:rFonts w:ascii="Arial" w:hAnsi="Arial" w:cs="Arial"/>
          <w:b/>
        </w:rPr>
        <w:t>MATERIALS AND METHODS</w:t>
      </w:r>
    </w:p>
    <w:p w14:paraId="1467DE94" w14:textId="77777777" w:rsidR="000E417F" w:rsidRDefault="000E417F" w:rsidP="000E417F">
      <w:pPr>
        <w:pStyle w:val="ListParagraph"/>
        <w:ind w:left="360"/>
        <w:rPr>
          <w:rFonts w:ascii="Arial" w:hAnsi="Arial" w:cs="Arial"/>
          <w:b/>
        </w:rPr>
      </w:pPr>
    </w:p>
    <w:p w14:paraId="6FD27F5F" w14:textId="77777777" w:rsidR="000E417F" w:rsidRDefault="000E417F" w:rsidP="000E417F">
      <w:pPr>
        <w:pStyle w:val="ListParagraph"/>
        <w:numPr>
          <w:ilvl w:val="1"/>
          <w:numId w:val="1"/>
        </w:numPr>
        <w:rPr>
          <w:rFonts w:ascii="Arial" w:hAnsi="Arial" w:cs="Arial"/>
          <w:b/>
        </w:rPr>
      </w:pPr>
      <w:r>
        <w:rPr>
          <w:rFonts w:ascii="Arial" w:hAnsi="Arial" w:cs="Arial"/>
          <w:b/>
          <w:bCs/>
        </w:rPr>
        <w:t>Study Area</w:t>
      </w:r>
    </w:p>
    <w:p w14:paraId="796D54C5" w14:textId="77777777" w:rsidR="000E417F" w:rsidRDefault="000E417F" w:rsidP="000E417F">
      <w:pPr>
        <w:spacing w:line="480" w:lineRule="auto"/>
        <w:jc w:val="both"/>
        <w:rPr>
          <w:rFonts w:ascii="Arial" w:hAnsi="Arial" w:cs="Arial"/>
          <w:sz w:val="20"/>
          <w:szCs w:val="20"/>
        </w:rPr>
      </w:pPr>
      <w:r>
        <w:rPr>
          <w:rFonts w:ascii="Arial" w:hAnsi="Arial" w:cs="Arial"/>
          <w:sz w:val="20"/>
          <w:szCs w:val="20"/>
        </w:rPr>
        <w:t>This study was conducted in Port Harcourt, the capital and largest city of Rivers State, Nigeria in December 2022 to January 2023. Rivers State is located in the South-South geopolitical zone of the country at latitude of 4</w:t>
      </w:r>
      <w:r>
        <w:rPr>
          <w:rFonts w:ascii="Arial" w:hAnsi="Arial" w:cs="Arial"/>
          <w:sz w:val="20"/>
          <w:szCs w:val="20"/>
          <w:vertAlign w:val="superscript"/>
        </w:rPr>
        <w:t>o</w:t>
      </w:r>
      <w:r>
        <w:rPr>
          <w:rFonts w:ascii="Arial" w:hAnsi="Arial" w:cs="Arial"/>
          <w:sz w:val="20"/>
          <w:szCs w:val="20"/>
        </w:rPr>
        <w:t>31-5</w:t>
      </w:r>
      <w:r>
        <w:rPr>
          <w:rFonts w:ascii="Arial" w:hAnsi="Arial" w:cs="Arial"/>
          <w:sz w:val="20"/>
          <w:szCs w:val="20"/>
          <w:vertAlign w:val="superscript"/>
        </w:rPr>
        <w:t>o</w:t>
      </w:r>
      <w:r>
        <w:rPr>
          <w:rFonts w:ascii="Arial" w:hAnsi="Arial" w:cs="Arial"/>
          <w:sz w:val="20"/>
          <w:szCs w:val="20"/>
        </w:rPr>
        <w:t>31 and longitude 6</w:t>
      </w:r>
      <w:r>
        <w:rPr>
          <w:rFonts w:ascii="Arial" w:hAnsi="Arial" w:cs="Arial"/>
          <w:sz w:val="20"/>
          <w:szCs w:val="20"/>
          <w:vertAlign w:val="superscript"/>
        </w:rPr>
        <w:t>o</w:t>
      </w:r>
      <w:r>
        <w:rPr>
          <w:rFonts w:ascii="Arial" w:hAnsi="Arial" w:cs="Arial"/>
          <w:sz w:val="20"/>
          <w:szCs w:val="20"/>
        </w:rPr>
        <w:t>31-7</w:t>
      </w:r>
      <w:r>
        <w:rPr>
          <w:rFonts w:ascii="Arial" w:hAnsi="Arial" w:cs="Arial"/>
          <w:sz w:val="20"/>
          <w:szCs w:val="20"/>
          <w:vertAlign w:val="superscript"/>
        </w:rPr>
        <w:t>o</w:t>
      </w:r>
      <w:r>
        <w:rPr>
          <w:rFonts w:ascii="Arial" w:hAnsi="Arial" w:cs="Arial"/>
          <w:sz w:val="20"/>
          <w:szCs w:val="20"/>
        </w:rPr>
        <w:t>21. Port Harcourt was founded in 1912 and named after Lewis Harcourt, the then colonial secretary, it became a port after the opening of a rail link to the Enugu coalfields in 1916 (</w:t>
      </w:r>
      <w:proofErr w:type="spellStart"/>
      <w:r>
        <w:rPr>
          <w:rFonts w:ascii="Arial" w:hAnsi="Arial" w:cs="Arial"/>
          <w:sz w:val="20"/>
          <w:szCs w:val="20"/>
          <w:shd w:val="clear" w:color="auto" w:fill="FFFFFF"/>
        </w:rPr>
        <w:t>Ogbuigwe</w:t>
      </w:r>
      <w:proofErr w:type="spellEnd"/>
      <w:r>
        <w:rPr>
          <w:rFonts w:ascii="Arial" w:hAnsi="Arial" w:cs="Arial"/>
          <w:sz w:val="20"/>
          <w:szCs w:val="20"/>
          <w:shd w:val="clear" w:color="auto" w:fill="FFFFFF"/>
        </w:rPr>
        <w:t>, 2018)</w:t>
      </w:r>
      <w:r>
        <w:rPr>
          <w:rFonts w:ascii="Arial" w:hAnsi="Arial" w:cs="Arial"/>
          <w:sz w:val="20"/>
          <w:szCs w:val="20"/>
        </w:rPr>
        <w:t>. Presently, there are many tertiary institutions in the city</w:t>
      </w:r>
      <w:r w:rsidR="0001745A">
        <w:rPr>
          <w:rFonts w:ascii="Arial" w:hAnsi="Arial" w:cs="Arial"/>
          <w:sz w:val="20"/>
          <w:szCs w:val="20"/>
        </w:rPr>
        <w:t>.</w:t>
      </w:r>
    </w:p>
    <w:p w14:paraId="725A141B" w14:textId="77777777" w:rsidR="000E417F" w:rsidRDefault="000E417F" w:rsidP="000E417F">
      <w:pPr>
        <w:pStyle w:val="ListParagraph"/>
        <w:numPr>
          <w:ilvl w:val="1"/>
          <w:numId w:val="1"/>
        </w:numPr>
        <w:rPr>
          <w:rFonts w:ascii="Arial" w:hAnsi="Arial" w:cs="Arial"/>
          <w:b/>
        </w:rPr>
      </w:pPr>
      <w:r>
        <w:rPr>
          <w:rFonts w:ascii="Arial" w:hAnsi="Arial" w:cs="Arial"/>
          <w:b/>
          <w:bCs/>
        </w:rPr>
        <w:t>Study Design</w:t>
      </w:r>
    </w:p>
    <w:p w14:paraId="04C24A78" w14:textId="77777777" w:rsidR="000E417F" w:rsidRDefault="000E417F" w:rsidP="000E417F">
      <w:pPr>
        <w:spacing w:after="0" w:line="480" w:lineRule="auto"/>
        <w:jc w:val="both"/>
        <w:rPr>
          <w:rFonts w:ascii="Arial" w:hAnsi="Arial" w:cs="Arial"/>
          <w:sz w:val="20"/>
          <w:szCs w:val="20"/>
        </w:rPr>
      </w:pPr>
      <w:r>
        <w:rPr>
          <w:rFonts w:ascii="Arial" w:hAnsi="Arial" w:cs="Arial"/>
          <w:sz w:val="20"/>
          <w:szCs w:val="20"/>
        </w:rPr>
        <w:t xml:space="preserve">This study adopted a cross-sectional design. Three groups were involved: a Test group made up of subjects with premature canities, a Negative Control group which were age-matched subjects with the Test group but without canities, and a third group making the Positive Control group consisted of subjects with normal onset of canities.  </w:t>
      </w:r>
      <w:r>
        <w:rPr>
          <w:rFonts w:ascii="Arial" w:hAnsi="Arial" w:cs="Arial"/>
          <w:bCs/>
          <w:sz w:val="20"/>
          <w:szCs w:val="20"/>
        </w:rPr>
        <w:t xml:space="preserve">Simple random sampling techniques and well-structured self-administered questionnaires were employed. </w:t>
      </w:r>
      <w:r>
        <w:rPr>
          <w:rFonts w:ascii="Arial" w:hAnsi="Arial" w:cs="Arial"/>
          <w:sz w:val="20"/>
          <w:szCs w:val="20"/>
        </w:rPr>
        <w:t xml:space="preserve">One time, blood samples were collected. </w:t>
      </w:r>
    </w:p>
    <w:p w14:paraId="2CAF9E69" w14:textId="77777777" w:rsidR="000E417F" w:rsidRDefault="000E417F" w:rsidP="000E417F">
      <w:pPr>
        <w:pStyle w:val="ListParagraph"/>
        <w:numPr>
          <w:ilvl w:val="1"/>
          <w:numId w:val="1"/>
        </w:numPr>
        <w:rPr>
          <w:rFonts w:ascii="Arial" w:hAnsi="Arial" w:cs="Arial"/>
          <w:b/>
        </w:rPr>
      </w:pPr>
      <w:r>
        <w:rPr>
          <w:rFonts w:ascii="Arial" w:hAnsi="Arial" w:cs="Arial"/>
          <w:b/>
          <w:bCs/>
        </w:rPr>
        <w:t xml:space="preserve">Sample Size </w:t>
      </w:r>
    </w:p>
    <w:p w14:paraId="685CDA30" w14:textId="77777777" w:rsidR="000E417F" w:rsidRDefault="000E417F" w:rsidP="000E417F">
      <w:pPr>
        <w:tabs>
          <w:tab w:val="left" w:pos="1134"/>
          <w:tab w:val="left" w:pos="3969"/>
          <w:tab w:val="left" w:pos="4252"/>
          <w:tab w:val="left" w:pos="6804"/>
        </w:tabs>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The sample size was calculated using </w:t>
      </w:r>
      <w:r>
        <w:rPr>
          <w:rFonts w:ascii="Arial" w:hAnsi="Arial" w:cs="Arial"/>
          <w:bCs/>
          <w:sz w:val="20"/>
          <w:szCs w:val="20"/>
        </w:rPr>
        <w:t xml:space="preserve">F tests - </w:t>
      </w:r>
      <w:r>
        <w:rPr>
          <w:rFonts w:ascii="Arial" w:hAnsi="Arial" w:cs="Arial"/>
          <w:sz w:val="20"/>
          <w:szCs w:val="20"/>
        </w:rPr>
        <w:t xml:space="preserve">ANOVA: Fixed effects, omnibus, one-way with G*power statistical package version 3.1.9.2 (2014) as described by </w:t>
      </w:r>
      <w:r>
        <w:rPr>
          <w:rFonts w:ascii="Arial" w:hAnsi="Arial" w:cs="Arial"/>
          <w:sz w:val="20"/>
          <w:szCs w:val="20"/>
          <w:shd w:val="clear" w:color="auto" w:fill="FFFFFF"/>
        </w:rPr>
        <w:t>Kang (2021).</w:t>
      </w:r>
      <w:r>
        <w:rPr>
          <w:rFonts w:ascii="Arial" w:hAnsi="Arial" w:cs="Arial"/>
          <w:sz w:val="20"/>
          <w:szCs w:val="20"/>
        </w:rPr>
        <w:t xml:space="preserve"> This was used to obtain the minimum sample size of 27 for the test group. Non-Response: 10% Non-Response to make up for loss was also calculated.  10% of minimum sample size = 10% of 27= 10/100 x 27 = 2.7. Therefore, 27 + 2.7 = 29.7 approximately 30. This gave a sample size of 30 subjects for the test group; equal numbers of (30 subjects) were included as Negative and Positive Controls which made the total subjects recruited for this study to be 90. </w:t>
      </w:r>
    </w:p>
    <w:p w14:paraId="4D2B5E8B" w14:textId="77777777" w:rsidR="000E417F" w:rsidRDefault="000E417F" w:rsidP="000E417F">
      <w:pPr>
        <w:pStyle w:val="ListParagraph"/>
        <w:numPr>
          <w:ilvl w:val="1"/>
          <w:numId w:val="1"/>
        </w:numPr>
        <w:rPr>
          <w:rFonts w:ascii="Arial" w:hAnsi="Arial" w:cs="Arial"/>
          <w:b/>
        </w:rPr>
      </w:pPr>
      <w:r>
        <w:rPr>
          <w:rFonts w:ascii="Arial" w:hAnsi="Arial" w:cs="Arial"/>
          <w:b/>
          <w:bCs/>
        </w:rPr>
        <w:lastRenderedPageBreak/>
        <w:t>Eligibility Criteria</w:t>
      </w:r>
    </w:p>
    <w:p w14:paraId="13D6E50C" w14:textId="77777777" w:rsidR="000E417F" w:rsidRDefault="000E417F" w:rsidP="000E417F">
      <w:pPr>
        <w:spacing w:after="0" w:line="480" w:lineRule="auto"/>
        <w:jc w:val="both"/>
        <w:rPr>
          <w:rFonts w:ascii="Arial" w:hAnsi="Arial" w:cs="Arial"/>
          <w:bCs/>
          <w:sz w:val="20"/>
          <w:szCs w:val="20"/>
        </w:rPr>
      </w:pPr>
      <w:r>
        <w:rPr>
          <w:rFonts w:ascii="Arial" w:hAnsi="Arial" w:cs="Arial"/>
          <w:bCs/>
          <w:sz w:val="20"/>
          <w:szCs w:val="20"/>
        </w:rPr>
        <w:t>Apparently healthy individuals with or without premature canities under the age of 30 years and individuals whose canities started from 30 years and above and were not on multivitamin or blood supplements within the last four months who consented were included in the study. Individuals below 30 years with or without premature canities and those whose canities started from 30 years and above who did not give their consent were excluded from the study. Also, individuals who were on multivitamin or blood supplements within four months were excluded.</w:t>
      </w:r>
    </w:p>
    <w:p w14:paraId="361DBC13" w14:textId="77777777" w:rsidR="000E417F" w:rsidRDefault="000E417F" w:rsidP="000E417F">
      <w:pPr>
        <w:pStyle w:val="ListParagraph"/>
        <w:numPr>
          <w:ilvl w:val="1"/>
          <w:numId w:val="1"/>
        </w:numPr>
        <w:rPr>
          <w:rFonts w:ascii="Arial" w:hAnsi="Arial" w:cs="Arial"/>
          <w:b/>
        </w:rPr>
      </w:pPr>
      <w:r>
        <w:rPr>
          <w:rFonts w:ascii="Arial" w:hAnsi="Arial" w:cs="Arial"/>
          <w:b/>
          <w:bCs/>
        </w:rPr>
        <w:t>Specimen Collection, Transpo</w:t>
      </w:r>
      <w:r w:rsidR="00CA3010">
        <w:rPr>
          <w:rFonts w:ascii="Arial" w:hAnsi="Arial" w:cs="Arial"/>
          <w:b/>
          <w:bCs/>
        </w:rPr>
        <w:t xml:space="preserve">rtation and Preparation </w:t>
      </w:r>
    </w:p>
    <w:p w14:paraId="2DC50004" w14:textId="77777777" w:rsidR="000E417F" w:rsidRDefault="000E417F" w:rsidP="000E417F">
      <w:pPr>
        <w:spacing w:after="0" w:line="480" w:lineRule="auto"/>
        <w:jc w:val="both"/>
        <w:rPr>
          <w:rFonts w:ascii="Arial" w:hAnsi="Arial" w:cs="Arial"/>
          <w:bCs/>
          <w:sz w:val="20"/>
          <w:szCs w:val="20"/>
        </w:rPr>
      </w:pPr>
      <w:r>
        <w:rPr>
          <w:rFonts w:ascii="Arial" w:hAnsi="Arial" w:cs="Arial"/>
          <w:sz w:val="20"/>
          <w:szCs w:val="20"/>
        </w:rPr>
        <w:t xml:space="preserve">Five milliliters (5.00ml) of venous blood sample was collected from each study subject once by venipuncture into an ethylene diamine </w:t>
      </w:r>
      <w:proofErr w:type="spellStart"/>
      <w:r>
        <w:rPr>
          <w:rFonts w:ascii="Arial" w:hAnsi="Arial" w:cs="Arial"/>
          <w:sz w:val="20"/>
          <w:szCs w:val="20"/>
        </w:rPr>
        <w:t>tetraacetic</w:t>
      </w:r>
      <w:proofErr w:type="spellEnd"/>
      <w:r>
        <w:rPr>
          <w:rFonts w:ascii="Arial" w:hAnsi="Arial" w:cs="Arial"/>
          <w:sz w:val="20"/>
          <w:szCs w:val="20"/>
        </w:rPr>
        <w:t xml:space="preserve"> acid (EDTA) sample container using a vacutainer collection technique. </w:t>
      </w:r>
      <w:r>
        <w:rPr>
          <w:rFonts w:ascii="Arial" w:hAnsi="Arial" w:cs="Arial"/>
          <w:bCs/>
          <w:sz w:val="20"/>
          <w:szCs w:val="20"/>
        </w:rPr>
        <w:t>The sample was used for full bloo</w:t>
      </w:r>
      <w:r w:rsidR="00CA3010">
        <w:rPr>
          <w:rFonts w:ascii="Arial" w:hAnsi="Arial" w:cs="Arial"/>
          <w:bCs/>
          <w:sz w:val="20"/>
          <w:szCs w:val="20"/>
        </w:rPr>
        <w:t xml:space="preserve">d count </w:t>
      </w:r>
      <w:r>
        <w:rPr>
          <w:rFonts w:ascii="Arial" w:hAnsi="Arial" w:cs="Arial"/>
          <w:bCs/>
          <w:sz w:val="20"/>
          <w:szCs w:val="20"/>
        </w:rPr>
        <w:t>and reticulocyte count and analyzed within six (6) hours of collection. All the samples were transported from the point of collection to the points</w:t>
      </w:r>
      <w:r w:rsidR="00CA3010">
        <w:rPr>
          <w:rFonts w:ascii="Arial" w:hAnsi="Arial" w:cs="Arial"/>
          <w:bCs/>
          <w:sz w:val="20"/>
          <w:szCs w:val="20"/>
        </w:rPr>
        <w:t xml:space="preserve"> of sample preparation, </w:t>
      </w:r>
      <w:r>
        <w:rPr>
          <w:rFonts w:ascii="Arial" w:hAnsi="Arial" w:cs="Arial"/>
          <w:bCs/>
          <w:sz w:val="20"/>
          <w:szCs w:val="20"/>
        </w:rPr>
        <w:t xml:space="preserve">and analysis with the help of sample carriers. </w:t>
      </w:r>
    </w:p>
    <w:p w14:paraId="799E6E7E" w14:textId="77777777" w:rsidR="000E417F" w:rsidRDefault="000E417F" w:rsidP="000E417F">
      <w:pPr>
        <w:pStyle w:val="ListParagraph"/>
        <w:numPr>
          <w:ilvl w:val="1"/>
          <w:numId w:val="1"/>
        </w:numPr>
        <w:rPr>
          <w:rFonts w:ascii="Arial" w:hAnsi="Arial" w:cs="Arial"/>
          <w:b/>
        </w:rPr>
      </w:pPr>
      <w:r>
        <w:rPr>
          <w:rFonts w:ascii="Arial" w:hAnsi="Arial" w:cs="Arial"/>
          <w:b/>
        </w:rPr>
        <w:t>Methods of Analysis</w:t>
      </w:r>
    </w:p>
    <w:p w14:paraId="4E01DE32" w14:textId="77777777" w:rsidR="000E417F" w:rsidRDefault="000E417F" w:rsidP="000E417F">
      <w:pPr>
        <w:spacing w:line="480" w:lineRule="auto"/>
        <w:jc w:val="both"/>
        <w:rPr>
          <w:rFonts w:ascii="Arial" w:eastAsia="Times New Roman" w:hAnsi="Arial" w:cs="Arial"/>
          <w:sz w:val="20"/>
          <w:szCs w:val="20"/>
        </w:rPr>
      </w:pPr>
      <w:r>
        <w:rPr>
          <w:rFonts w:ascii="Arial" w:hAnsi="Arial" w:cs="Arial"/>
          <w:sz w:val="20"/>
          <w:szCs w:val="20"/>
        </w:rPr>
        <w:t xml:space="preserve">Automation method was used to determine the levels of the red blood cell metrics ((haemoglobin concentration(HGB), haematocrit (HCT), red blood cell count(RBC), mean cell volume(MCV), mean cell haemoglobin (MCH), mean cell haemoglobin concentration(MCHC), red cell distribution width(RDW)) with the Sysmex XP-300 automated haematology analyzer (Kobe, Japan) as described by </w:t>
      </w:r>
      <w:proofErr w:type="spellStart"/>
      <w:r>
        <w:rPr>
          <w:rFonts w:ascii="Arial" w:hAnsi="Arial" w:cs="Arial"/>
          <w:sz w:val="20"/>
          <w:szCs w:val="20"/>
        </w:rPr>
        <w:t>Hanchinal</w:t>
      </w:r>
      <w:proofErr w:type="spellEnd"/>
      <w:r w:rsidR="00CA3010">
        <w:rPr>
          <w:rFonts w:ascii="Arial" w:hAnsi="Arial" w:cs="Arial"/>
          <w:sz w:val="20"/>
          <w:szCs w:val="20"/>
        </w:rPr>
        <w:t xml:space="preserve"> </w:t>
      </w:r>
      <w:r>
        <w:rPr>
          <w:rFonts w:ascii="Arial" w:hAnsi="Arial" w:cs="Arial"/>
          <w:i/>
          <w:sz w:val="20"/>
          <w:szCs w:val="20"/>
        </w:rPr>
        <w:t>et al</w:t>
      </w:r>
      <w:r>
        <w:rPr>
          <w:rFonts w:ascii="Arial" w:hAnsi="Arial" w:cs="Arial"/>
          <w:sz w:val="20"/>
          <w:szCs w:val="20"/>
        </w:rPr>
        <w:t>. (2021); Hassan and Abdelrahman, (2015)  and Sysmex XP-300 Operator’s Manual, (2010). Supravital staining (New Methylene Blue) technique was used for reticulocyte count (RC)</w:t>
      </w:r>
      <w:r>
        <w:rPr>
          <w:rFonts w:ascii="Arial" w:eastAsia="Times New Roman" w:hAnsi="Arial" w:cs="Arial"/>
          <w:sz w:val="20"/>
          <w:szCs w:val="20"/>
        </w:rPr>
        <w:t xml:space="preserve">. </w:t>
      </w:r>
    </w:p>
    <w:p w14:paraId="38B5F8E9" w14:textId="77777777" w:rsidR="000E417F" w:rsidRDefault="000E417F" w:rsidP="000E417F">
      <w:pPr>
        <w:spacing w:after="0" w:line="240" w:lineRule="auto"/>
        <w:jc w:val="both"/>
        <w:rPr>
          <w:rFonts w:ascii="Arial" w:hAnsi="Arial" w:cs="Arial"/>
          <w:sz w:val="20"/>
          <w:szCs w:val="20"/>
        </w:rPr>
      </w:pPr>
    </w:p>
    <w:p w14:paraId="381AC6D5" w14:textId="77777777" w:rsidR="000E417F" w:rsidRDefault="000E417F" w:rsidP="000E417F">
      <w:pPr>
        <w:pStyle w:val="ListParagraph"/>
        <w:numPr>
          <w:ilvl w:val="2"/>
          <w:numId w:val="1"/>
        </w:numPr>
        <w:spacing w:line="480" w:lineRule="auto"/>
        <w:jc w:val="both"/>
        <w:rPr>
          <w:rFonts w:ascii="Arial" w:hAnsi="Arial" w:cs="Arial"/>
          <w:b/>
          <w:u w:val="single"/>
        </w:rPr>
      </w:pPr>
      <w:r>
        <w:rPr>
          <w:rFonts w:ascii="Arial" w:hAnsi="Arial" w:cs="Arial"/>
          <w:b/>
          <w:u w:val="single"/>
        </w:rPr>
        <w:t xml:space="preserve">Full Blood Count </w:t>
      </w:r>
    </w:p>
    <w:p w14:paraId="764A9817" w14:textId="77777777" w:rsidR="000E417F" w:rsidRDefault="000E417F" w:rsidP="000E417F">
      <w:pPr>
        <w:pStyle w:val="ListParagraph"/>
        <w:numPr>
          <w:ilvl w:val="3"/>
          <w:numId w:val="1"/>
        </w:numPr>
        <w:spacing w:line="480" w:lineRule="auto"/>
        <w:jc w:val="both"/>
        <w:rPr>
          <w:rFonts w:ascii="Arial" w:hAnsi="Arial" w:cs="Arial"/>
          <w:b/>
          <w:i/>
          <w:sz w:val="20"/>
          <w:szCs w:val="20"/>
        </w:rPr>
      </w:pPr>
      <w:r>
        <w:rPr>
          <w:rFonts w:ascii="Arial" w:hAnsi="Arial" w:cs="Arial"/>
          <w:b/>
          <w:i/>
          <w:sz w:val="20"/>
          <w:szCs w:val="20"/>
        </w:rPr>
        <w:t>Method</w:t>
      </w:r>
    </w:p>
    <w:p w14:paraId="26B9ABD5" w14:textId="77777777" w:rsidR="000E417F" w:rsidRDefault="000E417F" w:rsidP="000E417F">
      <w:pPr>
        <w:tabs>
          <w:tab w:val="center" w:pos="4680"/>
        </w:tabs>
        <w:spacing w:line="480" w:lineRule="auto"/>
        <w:jc w:val="both"/>
        <w:rPr>
          <w:rFonts w:ascii="Arial" w:hAnsi="Arial" w:cs="Arial"/>
          <w:sz w:val="20"/>
          <w:szCs w:val="20"/>
        </w:rPr>
      </w:pPr>
      <w:r>
        <w:rPr>
          <w:rFonts w:ascii="Arial" w:hAnsi="Arial" w:cs="Arial"/>
          <w:sz w:val="20"/>
          <w:szCs w:val="20"/>
        </w:rPr>
        <w:t>Automated method was used</w:t>
      </w:r>
      <w:r>
        <w:rPr>
          <w:rFonts w:ascii="Arial" w:hAnsi="Arial" w:cs="Arial"/>
          <w:sz w:val="20"/>
          <w:szCs w:val="20"/>
        </w:rPr>
        <w:tab/>
      </w:r>
    </w:p>
    <w:p w14:paraId="3C01DF6C" w14:textId="77777777" w:rsidR="000E417F" w:rsidRDefault="000E417F" w:rsidP="000E417F">
      <w:pPr>
        <w:pStyle w:val="ListParagraph"/>
        <w:numPr>
          <w:ilvl w:val="3"/>
          <w:numId w:val="1"/>
        </w:numPr>
        <w:spacing w:line="480" w:lineRule="auto"/>
        <w:jc w:val="both"/>
        <w:rPr>
          <w:rFonts w:ascii="Arial" w:hAnsi="Arial" w:cs="Arial"/>
          <w:b/>
          <w:i/>
          <w:sz w:val="20"/>
          <w:szCs w:val="20"/>
        </w:rPr>
      </w:pPr>
      <w:r>
        <w:rPr>
          <w:rFonts w:ascii="Arial" w:hAnsi="Arial" w:cs="Arial"/>
          <w:b/>
          <w:i/>
          <w:sz w:val="20"/>
          <w:szCs w:val="20"/>
        </w:rPr>
        <w:t xml:space="preserve">Principle </w:t>
      </w:r>
    </w:p>
    <w:p w14:paraId="2EE5124B" w14:textId="77777777" w:rsidR="000E417F" w:rsidRDefault="000E417F" w:rsidP="000E417F">
      <w:pPr>
        <w:spacing w:line="480" w:lineRule="auto"/>
        <w:jc w:val="both"/>
        <w:rPr>
          <w:rFonts w:ascii="Arial" w:hAnsi="Arial" w:cs="Arial"/>
          <w:sz w:val="20"/>
          <w:szCs w:val="20"/>
        </w:rPr>
      </w:pPr>
      <w:r>
        <w:rPr>
          <w:rFonts w:ascii="Arial" w:hAnsi="Arial" w:cs="Arial"/>
          <w:sz w:val="20"/>
          <w:szCs w:val="20"/>
        </w:rPr>
        <w:t xml:space="preserve">The principle of the Sysmex XP-300 automated haematology analyzer used was based on Coulter’s principle. It allows whole blood to pass between two electrodes through an aperture so narrow that only </w:t>
      </w:r>
      <w:r>
        <w:rPr>
          <w:rFonts w:ascii="Arial" w:hAnsi="Arial" w:cs="Arial"/>
          <w:sz w:val="20"/>
          <w:szCs w:val="20"/>
        </w:rPr>
        <w:lastRenderedPageBreak/>
        <w:t xml:space="preserve">one cell can pass through at a time. The impedance changes as a cell passes through, so that the change in impedance is proportional to cell volume, resulting in a cell count and measure of volume. </w:t>
      </w:r>
    </w:p>
    <w:p w14:paraId="24FB9BD8" w14:textId="77777777" w:rsidR="000E417F" w:rsidRDefault="000E417F" w:rsidP="000E417F">
      <w:pPr>
        <w:pStyle w:val="ListParagraph"/>
        <w:numPr>
          <w:ilvl w:val="3"/>
          <w:numId w:val="1"/>
        </w:numPr>
        <w:spacing w:line="480" w:lineRule="auto"/>
        <w:jc w:val="both"/>
        <w:rPr>
          <w:rFonts w:ascii="Arial" w:hAnsi="Arial" w:cs="Arial"/>
          <w:b/>
          <w:i/>
          <w:sz w:val="20"/>
          <w:szCs w:val="20"/>
        </w:rPr>
      </w:pPr>
      <w:r>
        <w:rPr>
          <w:rFonts w:ascii="Arial" w:hAnsi="Arial" w:cs="Arial"/>
          <w:b/>
          <w:i/>
          <w:sz w:val="20"/>
          <w:szCs w:val="20"/>
        </w:rPr>
        <w:t xml:space="preserve"> Procedure </w:t>
      </w:r>
    </w:p>
    <w:p w14:paraId="639663B7" w14:textId="77777777" w:rsidR="000E417F" w:rsidRDefault="000E417F" w:rsidP="000E417F">
      <w:pPr>
        <w:spacing w:line="480" w:lineRule="auto"/>
        <w:jc w:val="both"/>
        <w:rPr>
          <w:rFonts w:ascii="Arial" w:hAnsi="Arial" w:cs="Arial"/>
          <w:sz w:val="20"/>
          <w:szCs w:val="20"/>
        </w:rPr>
      </w:pPr>
      <w:r>
        <w:rPr>
          <w:rFonts w:ascii="Arial" w:hAnsi="Arial" w:cs="Arial"/>
          <w:sz w:val="20"/>
          <w:szCs w:val="20"/>
        </w:rPr>
        <w:t xml:space="preserve">The procedures below were all done at the same aspiration by the automated analyzer with each EDTA sample collected from the participants. The blood sample was mixed properly using a roller mixer. The automated analyzer XP-300 was turned on to boot. The participant sample identification number was entered into the machine, and the sample was introduced to the machine through the sample probe. The sample container was held continuously to the probe, allowing it to aspirate the blood sample until a beep was heard. Then the machine analyzed and estimated the parameters. The result was displayed on the screen and printed out. </w:t>
      </w:r>
    </w:p>
    <w:p w14:paraId="1B7C50CE" w14:textId="77777777" w:rsidR="000E417F" w:rsidRDefault="000E417F" w:rsidP="000E417F">
      <w:pPr>
        <w:pStyle w:val="ListParagraph"/>
        <w:spacing w:line="480" w:lineRule="auto"/>
        <w:jc w:val="both"/>
        <w:rPr>
          <w:rFonts w:ascii="Arial" w:hAnsi="Arial" w:cs="Arial"/>
          <w:b/>
          <w:sz w:val="20"/>
          <w:szCs w:val="20"/>
          <w:u w:val="single"/>
        </w:rPr>
      </w:pPr>
    </w:p>
    <w:p w14:paraId="0B34A2D7" w14:textId="77777777" w:rsidR="000E417F" w:rsidRDefault="000E417F" w:rsidP="000E417F">
      <w:pPr>
        <w:pStyle w:val="ListParagraph"/>
        <w:numPr>
          <w:ilvl w:val="2"/>
          <w:numId w:val="1"/>
        </w:numPr>
        <w:spacing w:line="480" w:lineRule="auto"/>
        <w:jc w:val="both"/>
        <w:rPr>
          <w:rFonts w:ascii="Arial" w:hAnsi="Arial" w:cs="Arial"/>
          <w:b/>
          <w:u w:val="single"/>
        </w:rPr>
      </w:pPr>
      <w:r>
        <w:rPr>
          <w:rFonts w:ascii="Arial" w:hAnsi="Arial" w:cs="Arial"/>
          <w:b/>
          <w:u w:val="single"/>
        </w:rPr>
        <w:t>Reticulocyte (Retics) Count</w:t>
      </w:r>
    </w:p>
    <w:p w14:paraId="7D57C7D3" w14:textId="77777777" w:rsidR="000E417F" w:rsidRDefault="000E417F" w:rsidP="000E417F">
      <w:pPr>
        <w:pStyle w:val="ListParagraph"/>
        <w:numPr>
          <w:ilvl w:val="3"/>
          <w:numId w:val="1"/>
        </w:numPr>
        <w:spacing w:line="480" w:lineRule="auto"/>
        <w:jc w:val="both"/>
        <w:rPr>
          <w:rFonts w:ascii="Arial" w:hAnsi="Arial" w:cs="Arial"/>
          <w:b/>
          <w:bCs/>
          <w:i/>
          <w:sz w:val="20"/>
          <w:szCs w:val="20"/>
        </w:rPr>
      </w:pPr>
      <w:r>
        <w:rPr>
          <w:rFonts w:ascii="Arial" w:hAnsi="Arial" w:cs="Arial"/>
          <w:b/>
          <w:bCs/>
          <w:i/>
          <w:sz w:val="20"/>
          <w:szCs w:val="20"/>
        </w:rPr>
        <w:t xml:space="preserve">Method </w:t>
      </w:r>
    </w:p>
    <w:p w14:paraId="2B99F2EC" w14:textId="77777777" w:rsidR="000E417F" w:rsidRDefault="000E417F" w:rsidP="000E417F">
      <w:pPr>
        <w:spacing w:line="480" w:lineRule="auto"/>
        <w:jc w:val="both"/>
        <w:rPr>
          <w:rFonts w:ascii="Arial" w:hAnsi="Arial" w:cs="Arial"/>
          <w:bCs/>
          <w:sz w:val="20"/>
          <w:szCs w:val="20"/>
        </w:rPr>
      </w:pPr>
      <w:r>
        <w:rPr>
          <w:rFonts w:ascii="Arial" w:hAnsi="Arial" w:cs="Arial"/>
          <w:bCs/>
          <w:sz w:val="20"/>
          <w:szCs w:val="20"/>
        </w:rPr>
        <w:t>Pradhan and Gurung (2023) and Cheesbrough (2004) described the supravital staining (new methylene blue) and Push/Wedge methods, which were</w:t>
      </w:r>
      <w:r>
        <w:rPr>
          <w:rFonts w:ascii="Arial" w:hAnsi="Arial" w:cs="Arial"/>
          <w:sz w:val="20"/>
          <w:szCs w:val="20"/>
          <w:shd w:val="clear" w:color="auto" w:fill="FFFFFF"/>
        </w:rPr>
        <w:t xml:space="preserve"> used.</w:t>
      </w:r>
    </w:p>
    <w:p w14:paraId="4C091895" w14:textId="77777777" w:rsidR="000E417F" w:rsidRDefault="000E417F" w:rsidP="000E417F">
      <w:pPr>
        <w:pStyle w:val="ListParagraph"/>
        <w:numPr>
          <w:ilvl w:val="3"/>
          <w:numId w:val="1"/>
        </w:numPr>
        <w:spacing w:line="480" w:lineRule="auto"/>
        <w:jc w:val="both"/>
        <w:rPr>
          <w:rFonts w:ascii="Arial" w:hAnsi="Arial" w:cs="Arial"/>
          <w:b/>
          <w:i/>
          <w:sz w:val="20"/>
          <w:szCs w:val="20"/>
          <w:u w:val="single"/>
        </w:rPr>
      </w:pPr>
      <w:r>
        <w:rPr>
          <w:rFonts w:ascii="Arial" w:hAnsi="Arial" w:cs="Arial"/>
          <w:b/>
          <w:i/>
          <w:sz w:val="20"/>
          <w:szCs w:val="20"/>
        </w:rPr>
        <w:t xml:space="preserve">Principle </w:t>
      </w:r>
    </w:p>
    <w:p w14:paraId="1400E599" w14:textId="77777777" w:rsidR="000E417F" w:rsidRDefault="000E417F" w:rsidP="000E417F">
      <w:pPr>
        <w:spacing w:line="480" w:lineRule="auto"/>
        <w:jc w:val="both"/>
        <w:rPr>
          <w:rFonts w:ascii="Arial" w:hAnsi="Arial" w:cs="Arial"/>
          <w:sz w:val="20"/>
          <w:szCs w:val="20"/>
        </w:rPr>
      </w:pPr>
      <w:r>
        <w:rPr>
          <w:rFonts w:ascii="Arial" w:hAnsi="Arial" w:cs="Arial"/>
          <w:sz w:val="20"/>
          <w:szCs w:val="20"/>
        </w:rPr>
        <w:t>When blood is mixed with an isotonic solution of a supravital stain (new methylene blue) and incubated, the</w:t>
      </w:r>
      <w:r>
        <w:rPr>
          <w:rFonts w:ascii="Arial" w:hAnsi="Arial" w:cs="Arial"/>
          <w:sz w:val="20"/>
          <w:szCs w:val="20"/>
          <w:shd w:val="clear" w:color="auto" w:fill="FFFFFF"/>
        </w:rPr>
        <w:t xml:space="preserve"> red cell's ribonucleic acid (RNA) gets precipitated as a </w:t>
      </w:r>
      <w:r w:rsidRPr="0046224F">
        <w:rPr>
          <w:rStyle w:val="Strong"/>
          <w:rFonts w:ascii="Arial" w:hAnsi="Arial" w:cs="Arial"/>
          <w:b w:val="0"/>
          <w:sz w:val="20"/>
          <w:szCs w:val="20"/>
          <w:shd w:val="clear" w:color="auto" w:fill="FFFFFF"/>
        </w:rPr>
        <w:t>dark blue network or reticulum</w:t>
      </w:r>
      <w:r>
        <w:rPr>
          <w:rFonts w:ascii="Arial" w:hAnsi="Arial" w:cs="Arial"/>
          <w:sz w:val="20"/>
          <w:szCs w:val="20"/>
          <w:shd w:val="clear" w:color="auto" w:fill="FFFFFF"/>
        </w:rPr>
        <w:t>.</w:t>
      </w:r>
      <w:r w:rsidR="0046224F">
        <w:rPr>
          <w:rFonts w:ascii="Arial" w:hAnsi="Arial" w:cs="Arial"/>
          <w:sz w:val="20"/>
          <w:szCs w:val="20"/>
          <w:shd w:val="clear" w:color="auto" w:fill="FFFFFF"/>
        </w:rPr>
        <w:t xml:space="preserve"> </w:t>
      </w:r>
      <w:r>
        <w:rPr>
          <w:rFonts w:ascii="Arial" w:hAnsi="Arial" w:cs="Arial"/>
          <w:sz w:val="20"/>
          <w:szCs w:val="20"/>
          <w:shd w:val="clear" w:color="auto" w:fill="FFFFFF"/>
        </w:rPr>
        <w:t xml:space="preserve">A thin blood smear was made and examined under a microscope. </w:t>
      </w:r>
      <w:r>
        <w:rPr>
          <w:rFonts w:ascii="Arial" w:hAnsi="Arial" w:cs="Arial"/>
          <w:sz w:val="20"/>
          <w:szCs w:val="20"/>
        </w:rPr>
        <w:t>Retics are recognized by the violet-blue stained granules of ribosomal RNA (</w:t>
      </w:r>
      <w:proofErr w:type="spellStart"/>
      <w:r>
        <w:rPr>
          <w:rFonts w:ascii="Arial" w:hAnsi="Arial" w:cs="Arial"/>
          <w:sz w:val="20"/>
          <w:szCs w:val="20"/>
        </w:rPr>
        <w:t>reticulins</w:t>
      </w:r>
      <w:proofErr w:type="spellEnd"/>
      <w:r>
        <w:rPr>
          <w:rFonts w:ascii="Arial" w:hAnsi="Arial" w:cs="Arial"/>
          <w:sz w:val="20"/>
          <w:szCs w:val="20"/>
        </w:rPr>
        <w:t>) they contain. The retic</w:t>
      </w:r>
      <w:r w:rsidR="0046224F">
        <w:rPr>
          <w:rFonts w:ascii="Arial" w:hAnsi="Arial" w:cs="Arial"/>
          <w:sz w:val="20"/>
          <w:szCs w:val="20"/>
        </w:rPr>
        <w:t xml:space="preserve">s </w:t>
      </w:r>
      <w:r>
        <w:rPr>
          <w:rFonts w:ascii="Arial" w:hAnsi="Arial" w:cs="Arial"/>
          <w:sz w:val="20"/>
          <w:szCs w:val="20"/>
        </w:rPr>
        <w:t xml:space="preserve">count is expressed as a percentage. </w:t>
      </w:r>
    </w:p>
    <w:p w14:paraId="0174CD6B" w14:textId="77777777" w:rsidR="000E417F" w:rsidRDefault="000E417F" w:rsidP="000E417F">
      <w:pPr>
        <w:pStyle w:val="ListParagraph"/>
        <w:numPr>
          <w:ilvl w:val="3"/>
          <w:numId w:val="1"/>
        </w:numPr>
        <w:spacing w:line="480" w:lineRule="auto"/>
        <w:jc w:val="both"/>
        <w:rPr>
          <w:rFonts w:ascii="Arial" w:hAnsi="Arial" w:cs="Arial"/>
          <w:b/>
          <w:i/>
          <w:sz w:val="20"/>
          <w:szCs w:val="20"/>
          <w:u w:val="single"/>
        </w:rPr>
      </w:pPr>
      <w:r>
        <w:rPr>
          <w:rFonts w:ascii="Arial" w:hAnsi="Arial" w:cs="Arial"/>
          <w:b/>
          <w:i/>
          <w:sz w:val="20"/>
          <w:szCs w:val="20"/>
        </w:rPr>
        <w:t xml:space="preserve">Procedure </w:t>
      </w:r>
    </w:p>
    <w:p w14:paraId="78F92323" w14:textId="77777777" w:rsidR="000E417F" w:rsidRDefault="000E417F" w:rsidP="000E417F">
      <w:pPr>
        <w:spacing w:line="480" w:lineRule="auto"/>
        <w:jc w:val="both"/>
        <w:rPr>
          <w:rFonts w:ascii="Arial" w:hAnsi="Arial" w:cs="Arial"/>
          <w:sz w:val="20"/>
          <w:szCs w:val="20"/>
        </w:rPr>
      </w:pPr>
      <w:r>
        <w:rPr>
          <w:rFonts w:ascii="Arial" w:hAnsi="Arial" w:cs="Arial"/>
          <w:sz w:val="20"/>
          <w:szCs w:val="20"/>
        </w:rPr>
        <w:t>The d</w:t>
      </w:r>
      <w:r w:rsidR="0046224F">
        <w:rPr>
          <w:rFonts w:ascii="Arial" w:hAnsi="Arial" w:cs="Arial"/>
          <w:sz w:val="20"/>
          <w:szCs w:val="20"/>
        </w:rPr>
        <w:t xml:space="preserve">esired number of glass tubes were </w:t>
      </w:r>
      <w:r>
        <w:rPr>
          <w:rFonts w:ascii="Arial" w:hAnsi="Arial" w:cs="Arial"/>
          <w:sz w:val="20"/>
          <w:szCs w:val="20"/>
        </w:rPr>
        <w:t>secured and adequately</w:t>
      </w:r>
      <w:r w:rsidR="0046224F">
        <w:rPr>
          <w:rFonts w:ascii="Arial" w:hAnsi="Arial" w:cs="Arial"/>
          <w:sz w:val="20"/>
          <w:szCs w:val="20"/>
        </w:rPr>
        <w:t xml:space="preserve"> </w:t>
      </w:r>
      <w:r>
        <w:rPr>
          <w:rFonts w:ascii="Arial" w:hAnsi="Arial" w:cs="Arial"/>
          <w:sz w:val="20"/>
          <w:szCs w:val="20"/>
        </w:rPr>
        <w:t>labeled. Two (2) drops of retics fluid was placed into each of the glass tubes. Two (2) drops of well-mixed ethylene</w:t>
      </w:r>
      <w:r w:rsidR="0046224F">
        <w:rPr>
          <w:rFonts w:ascii="Arial" w:hAnsi="Arial" w:cs="Arial"/>
          <w:sz w:val="20"/>
          <w:szCs w:val="20"/>
        </w:rPr>
        <w:t xml:space="preserve"> </w:t>
      </w:r>
      <w:r>
        <w:rPr>
          <w:rFonts w:ascii="Arial" w:hAnsi="Arial" w:cs="Arial"/>
          <w:sz w:val="20"/>
          <w:szCs w:val="20"/>
        </w:rPr>
        <w:t>diamine</w:t>
      </w:r>
      <w:r w:rsidR="0046224F">
        <w:rPr>
          <w:rFonts w:ascii="Arial" w:hAnsi="Arial" w:cs="Arial"/>
          <w:sz w:val="20"/>
          <w:szCs w:val="20"/>
        </w:rPr>
        <w:t xml:space="preserve"> </w:t>
      </w:r>
      <w:proofErr w:type="spellStart"/>
      <w:r>
        <w:rPr>
          <w:rFonts w:ascii="Arial" w:hAnsi="Arial" w:cs="Arial"/>
          <w:sz w:val="20"/>
          <w:szCs w:val="20"/>
        </w:rPr>
        <w:t>tetraacetic</w:t>
      </w:r>
      <w:proofErr w:type="spellEnd"/>
      <w:r>
        <w:rPr>
          <w:rFonts w:ascii="Arial" w:hAnsi="Arial" w:cs="Arial"/>
          <w:sz w:val="20"/>
          <w:szCs w:val="20"/>
        </w:rPr>
        <w:t xml:space="preserve"> acid (EDTA) blood samples (test and control samples) were added to the glass tubes respectively. The gla</w:t>
      </w:r>
      <w:r w:rsidR="0046224F">
        <w:rPr>
          <w:rFonts w:ascii="Arial" w:hAnsi="Arial" w:cs="Arial"/>
          <w:sz w:val="20"/>
          <w:szCs w:val="20"/>
        </w:rPr>
        <w:t>ss tubes were incubated at 37°</w:t>
      </w:r>
      <w:r>
        <w:rPr>
          <w:rFonts w:ascii="Arial" w:hAnsi="Arial" w:cs="Arial"/>
          <w:sz w:val="20"/>
          <w:szCs w:val="20"/>
        </w:rPr>
        <w:t>C</w:t>
      </w:r>
      <w:r w:rsidR="0046224F">
        <w:rPr>
          <w:rFonts w:ascii="Arial" w:hAnsi="Arial" w:cs="Arial"/>
          <w:sz w:val="20"/>
          <w:szCs w:val="20"/>
        </w:rPr>
        <w:t xml:space="preserve"> </w:t>
      </w:r>
      <w:r>
        <w:rPr>
          <w:rFonts w:ascii="Arial" w:hAnsi="Arial" w:cs="Arial"/>
          <w:sz w:val="20"/>
          <w:szCs w:val="20"/>
        </w:rPr>
        <w:t>for 10-15 minutes</w:t>
      </w:r>
      <w:r>
        <w:rPr>
          <w:rFonts w:ascii="Arial" w:eastAsia="Times New Roman" w:hAnsi="Arial" w:cs="Arial"/>
          <w:sz w:val="20"/>
          <w:szCs w:val="20"/>
        </w:rPr>
        <w:t xml:space="preserve"> or left at room temperature for 30-45 minutes. </w:t>
      </w:r>
      <w:r>
        <w:rPr>
          <w:rFonts w:ascii="Arial" w:hAnsi="Arial" w:cs="Arial"/>
          <w:sz w:val="20"/>
          <w:szCs w:val="20"/>
        </w:rPr>
        <w:t xml:space="preserve">Upon </w:t>
      </w:r>
      <w:r>
        <w:rPr>
          <w:rFonts w:ascii="Arial" w:hAnsi="Arial" w:cs="Arial"/>
          <w:sz w:val="20"/>
          <w:szCs w:val="20"/>
        </w:rPr>
        <w:lastRenderedPageBreak/>
        <w:t xml:space="preserve">removal, the contents were resuspended gently. A thin film was made on a clean, grease-free glass slide and allowed to air dry. Then, the cells were counted microscopically using an oil immersion objective. </w:t>
      </w:r>
    </w:p>
    <w:p w14:paraId="08C5E86F" w14:textId="77777777" w:rsidR="000E417F" w:rsidRDefault="000E417F" w:rsidP="000E417F">
      <w:pPr>
        <w:spacing w:after="0" w:line="480" w:lineRule="auto"/>
        <w:jc w:val="both"/>
        <w:rPr>
          <w:rFonts w:ascii="Arial" w:hAnsi="Arial" w:cs="Arial"/>
          <w:sz w:val="20"/>
          <w:szCs w:val="20"/>
        </w:rPr>
      </w:pPr>
      <w:r>
        <w:rPr>
          <w:rFonts w:ascii="Arial" w:hAnsi="Arial" w:cs="Arial"/>
          <w:sz w:val="20"/>
          <w:szCs w:val="20"/>
        </w:rPr>
        <w:t>Calculation</w:t>
      </w:r>
    </w:p>
    <w:p w14:paraId="2B72ACF0" w14:textId="77777777" w:rsidR="000E417F" w:rsidRDefault="000E417F" w:rsidP="000E417F">
      <w:pPr>
        <w:spacing w:after="0" w:line="480" w:lineRule="auto"/>
        <w:jc w:val="both"/>
        <w:rPr>
          <w:rFonts w:ascii="Arial" w:hAnsi="Arial" w:cs="Arial"/>
          <w:sz w:val="20"/>
          <w:szCs w:val="20"/>
        </w:rPr>
      </w:pPr>
      <w:r>
        <w:rPr>
          <w:rFonts w:ascii="Arial" w:hAnsi="Arial" w:cs="Arial"/>
          <w:sz w:val="20"/>
          <w:szCs w:val="20"/>
        </w:rPr>
        <w:t xml:space="preserve">After the counting of the cells, the calculation was done with the formula: </w:t>
      </w:r>
    </w:p>
    <w:p w14:paraId="69613905" w14:textId="77777777" w:rsidR="000E417F" w:rsidRDefault="000E417F" w:rsidP="000E417F">
      <w:pPr>
        <w:spacing w:after="0" w:line="240" w:lineRule="auto"/>
        <w:jc w:val="both"/>
        <w:rPr>
          <w:rFonts w:ascii="Arial" w:hAnsi="Arial" w:cs="Arial"/>
          <w:sz w:val="20"/>
          <w:szCs w:val="20"/>
        </w:rPr>
      </w:pPr>
      <w:r>
        <w:rPr>
          <w:rFonts w:ascii="Arial" w:hAnsi="Arial" w:cs="Arial"/>
          <w:sz w:val="20"/>
          <w:szCs w:val="20"/>
          <w:u w:val="single"/>
        </w:rPr>
        <w:t xml:space="preserve"> No. of Reticulocytes</w:t>
      </w:r>
      <w:r>
        <w:rPr>
          <w:rFonts w:ascii="Arial" w:hAnsi="Arial" w:cs="Arial"/>
          <w:sz w:val="20"/>
          <w:szCs w:val="20"/>
        </w:rPr>
        <w:t xml:space="preserve">   × 100</w:t>
      </w:r>
    </w:p>
    <w:p w14:paraId="51D559BE" w14:textId="77777777" w:rsidR="000E417F" w:rsidRDefault="000E417F" w:rsidP="000E417F">
      <w:pPr>
        <w:spacing w:after="0" w:line="240" w:lineRule="auto"/>
        <w:jc w:val="both"/>
        <w:rPr>
          <w:rFonts w:ascii="Arial" w:hAnsi="Arial" w:cs="Arial"/>
          <w:sz w:val="20"/>
          <w:szCs w:val="20"/>
        </w:rPr>
      </w:pPr>
      <w:r>
        <w:rPr>
          <w:rFonts w:ascii="Arial" w:hAnsi="Arial" w:cs="Arial"/>
          <w:sz w:val="20"/>
          <w:szCs w:val="20"/>
        </w:rPr>
        <w:t>No. of red blood cells</w:t>
      </w:r>
    </w:p>
    <w:p w14:paraId="00E0C191" w14:textId="77777777" w:rsidR="000E417F" w:rsidRDefault="000E417F" w:rsidP="000E417F">
      <w:pPr>
        <w:pStyle w:val="ListParagraph"/>
        <w:ind w:left="360"/>
        <w:rPr>
          <w:rFonts w:ascii="Arial" w:hAnsi="Arial" w:cs="Arial"/>
        </w:rPr>
      </w:pPr>
    </w:p>
    <w:p w14:paraId="496E8E99" w14:textId="77777777" w:rsidR="000E417F" w:rsidRDefault="000E417F" w:rsidP="000E417F">
      <w:pPr>
        <w:pStyle w:val="ListParagraph"/>
        <w:numPr>
          <w:ilvl w:val="1"/>
          <w:numId w:val="1"/>
        </w:numPr>
        <w:rPr>
          <w:rFonts w:ascii="Arial" w:hAnsi="Arial" w:cs="Arial"/>
          <w:b/>
        </w:rPr>
      </w:pPr>
      <w:r>
        <w:rPr>
          <w:rFonts w:ascii="Arial" w:hAnsi="Arial" w:cs="Arial"/>
          <w:b/>
        </w:rPr>
        <w:t>Grading of Canities</w:t>
      </w:r>
    </w:p>
    <w:p w14:paraId="316162E5" w14:textId="77777777" w:rsidR="000E417F" w:rsidRDefault="000E417F" w:rsidP="000E417F">
      <w:pPr>
        <w:spacing w:after="0" w:line="480" w:lineRule="auto"/>
        <w:jc w:val="both"/>
        <w:rPr>
          <w:rFonts w:ascii="Arial" w:eastAsia="Times New Roman" w:hAnsi="Arial" w:cs="Arial"/>
          <w:sz w:val="20"/>
          <w:szCs w:val="20"/>
        </w:rPr>
      </w:pPr>
      <w:r>
        <w:rPr>
          <w:rFonts w:ascii="Arial" w:eastAsia="Times New Roman" w:hAnsi="Arial" w:cs="Arial"/>
          <w:sz w:val="20"/>
          <w:szCs w:val="20"/>
        </w:rPr>
        <w:t>This was graded into three groups as follows: Group a (Mild) with&lt;10 gray hairs, Group b (Moderate) with 10–100 gray hairs, and Group c (Severe) with&gt;100 gray hairs as described by Shin </w:t>
      </w:r>
      <w:r>
        <w:rPr>
          <w:rFonts w:ascii="Arial" w:eastAsia="Times New Roman" w:hAnsi="Arial" w:cs="Arial"/>
          <w:i/>
          <w:iCs/>
          <w:sz w:val="20"/>
          <w:szCs w:val="20"/>
        </w:rPr>
        <w:t>et al</w:t>
      </w:r>
      <w:r>
        <w:rPr>
          <w:rFonts w:ascii="Arial" w:eastAsia="Times New Roman" w:hAnsi="Arial" w:cs="Arial"/>
          <w:sz w:val="20"/>
          <w:szCs w:val="20"/>
        </w:rPr>
        <w:t>. (2015).</w:t>
      </w:r>
    </w:p>
    <w:p w14:paraId="001BABEF" w14:textId="77777777" w:rsidR="000E417F" w:rsidRDefault="000E417F" w:rsidP="000E417F">
      <w:pPr>
        <w:pStyle w:val="ListParagraph"/>
        <w:ind w:left="360"/>
        <w:rPr>
          <w:rFonts w:ascii="Arial" w:hAnsi="Arial" w:cs="Arial"/>
          <w:b/>
          <w:sz w:val="20"/>
          <w:szCs w:val="20"/>
        </w:rPr>
      </w:pPr>
    </w:p>
    <w:p w14:paraId="409FA0E7" w14:textId="77777777" w:rsidR="000E417F" w:rsidRDefault="000E417F" w:rsidP="000E417F">
      <w:pPr>
        <w:pStyle w:val="ListParagraph"/>
        <w:numPr>
          <w:ilvl w:val="1"/>
          <w:numId w:val="1"/>
        </w:numPr>
        <w:rPr>
          <w:rFonts w:ascii="Arial" w:hAnsi="Arial" w:cs="Arial"/>
          <w:b/>
        </w:rPr>
      </w:pPr>
      <w:r>
        <w:rPr>
          <w:rFonts w:ascii="Arial" w:hAnsi="Arial" w:cs="Arial"/>
          <w:b/>
        </w:rPr>
        <w:t>Data Analysis</w:t>
      </w:r>
    </w:p>
    <w:p w14:paraId="46EC96C9" w14:textId="77777777" w:rsidR="000E417F" w:rsidRDefault="000E417F" w:rsidP="000E417F">
      <w:pPr>
        <w:spacing w:line="480" w:lineRule="auto"/>
        <w:jc w:val="both"/>
        <w:rPr>
          <w:rFonts w:ascii="Times New Roman" w:hAnsi="Times New Roman" w:cs="Times New Roman"/>
          <w:bCs/>
          <w:sz w:val="24"/>
          <w:szCs w:val="24"/>
        </w:rPr>
      </w:pPr>
      <w:r>
        <w:rPr>
          <w:rFonts w:ascii="Arial" w:hAnsi="Arial" w:cs="Arial"/>
          <w:sz w:val="20"/>
          <w:szCs w:val="20"/>
        </w:rPr>
        <w:t xml:space="preserve">Data obtained were analyzed, descriptively (percentage/frequency) and inferentially (ONE-WAY ANOVA, Pearson Correlations and ordinal </w:t>
      </w:r>
      <w:r>
        <w:rPr>
          <w:rFonts w:ascii="Arial" w:eastAsia="Times New Roman" w:hAnsi="Arial" w:cs="Arial"/>
          <w:sz w:val="20"/>
          <w:szCs w:val="20"/>
        </w:rPr>
        <w:t xml:space="preserve">logistic </w:t>
      </w:r>
      <w:r>
        <w:rPr>
          <w:rFonts w:ascii="Arial" w:hAnsi="Arial" w:cs="Arial"/>
          <w:sz w:val="20"/>
          <w:szCs w:val="20"/>
        </w:rPr>
        <w:t xml:space="preserve">regression analysis using the Statistical Package for Social Sciences (SPSS) Version 27, </w:t>
      </w:r>
      <w:r>
        <w:rPr>
          <w:rFonts w:ascii="Arial" w:hAnsi="Arial" w:cs="Arial"/>
          <w:bCs/>
          <w:i/>
          <w:sz w:val="20"/>
          <w:szCs w:val="20"/>
        </w:rPr>
        <w:t>P</w:t>
      </w:r>
      <w:r>
        <w:rPr>
          <w:rFonts w:ascii="Arial" w:hAnsi="Arial" w:cs="Arial"/>
          <w:bCs/>
          <w:sz w:val="20"/>
          <w:szCs w:val="20"/>
        </w:rPr>
        <w:t>-values less than 0.05 were considered statistically significant</w:t>
      </w:r>
      <w:r>
        <w:rPr>
          <w:rFonts w:ascii="Times New Roman" w:hAnsi="Times New Roman" w:cs="Times New Roman"/>
          <w:bCs/>
          <w:sz w:val="24"/>
          <w:szCs w:val="24"/>
        </w:rPr>
        <w:t xml:space="preserve">. </w:t>
      </w:r>
    </w:p>
    <w:p w14:paraId="7D616F36" w14:textId="77777777" w:rsidR="000E417F" w:rsidRDefault="000E417F" w:rsidP="000E417F">
      <w:pPr>
        <w:pStyle w:val="ListParagraph"/>
        <w:numPr>
          <w:ilvl w:val="0"/>
          <w:numId w:val="1"/>
        </w:numPr>
        <w:spacing w:line="480" w:lineRule="auto"/>
        <w:jc w:val="both"/>
        <w:rPr>
          <w:rFonts w:ascii="Arial" w:hAnsi="Arial" w:cs="Arial"/>
          <w:b/>
        </w:rPr>
      </w:pPr>
      <w:r>
        <w:rPr>
          <w:rFonts w:ascii="Arial" w:hAnsi="Arial" w:cs="Arial"/>
          <w:b/>
        </w:rPr>
        <w:t>RESULTS AND DISCUSSION</w:t>
      </w:r>
    </w:p>
    <w:p w14:paraId="1DF474CA" w14:textId="77777777" w:rsidR="000E417F" w:rsidRDefault="000E417F" w:rsidP="000E417F">
      <w:pPr>
        <w:spacing w:line="480" w:lineRule="auto"/>
        <w:jc w:val="both"/>
        <w:rPr>
          <w:rFonts w:ascii="Arial" w:hAnsi="Arial" w:cs="Arial"/>
          <w:b/>
        </w:rPr>
      </w:pPr>
      <w:r>
        <w:rPr>
          <w:rFonts w:ascii="Arial" w:hAnsi="Arial" w:cs="Arial"/>
          <w:b/>
        </w:rPr>
        <w:t>3.1 Results</w:t>
      </w:r>
    </w:p>
    <w:p w14:paraId="46311AC3" w14:textId="77777777" w:rsidR="000E417F" w:rsidRDefault="000E417F" w:rsidP="000E417F">
      <w:pPr>
        <w:autoSpaceDE w:val="0"/>
        <w:autoSpaceDN w:val="0"/>
        <w:adjustRightInd w:val="0"/>
        <w:spacing w:line="480" w:lineRule="auto"/>
        <w:jc w:val="both"/>
        <w:rPr>
          <w:rFonts w:ascii="Arial" w:hAnsi="Arial" w:cs="Arial"/>
          <w:bCs/>
          <w:sz w:val="20"/>
          <w:szCs w:val="20"/>
        </w:rPr>
      </w:pPr>
      <w:r>
        <w:rPr>
          <w:rFonts w:ascii="Arial" w:hAnsi="Arial" w:cs="Arial"/>
          <w:bCs/>
          <w:sz w:val="20"/>
          <w:szCs w:val="20"/>
        </w:rPr>
        <w:t>Table 1 shows the percentage f</w:t>
      </w:r>
      <w:r>
        <w:rPr>
          <w:rFonts w:ascii="Arial" w:hAnsi="Arial" w:cs="Arial"/>
          <w:sz w:val="20"/>
          <w:szCs w:val="20"/>
        </w:rPr>
        <w:t xml:space="preserve">requency distribution of the socio-demographic characteristics (number of subjects, gender, and age) of the study participants. A total of 90 subjects were recruited for this study, of which 30(33.30%) were Test subjects (individuals with premature canities), 30(33.30%) were Negative Control subjects (individuals under the age of 30 years without canities) and 30(33.30%) were Positive Control subjects (individuals with normal onset of canities (canities starts from 30 years and above). From 90 study participants </w:t>
      </w:r>
      <w:r>
        <w:rPr>
          <w:rFonts w:ascii="Arial" w:hAnsi="Arial" w:cs="Arial"/>
          <w:bCs/>
          <w:sz w:val="20"/>
          <w:szCs w:val="20"/>
        </w:rPr>
        <w:t>43(47.80%)</w:t>
      </w:r>
      <w:r>
        <w:rPr>
          <w:rFonts w:ascii="Arial" w:hAnsi="Arial" w:cs="Arial"/>
          <w:sz w:val="20"/>
          <w:szCs w:val="20"/>
        </w:rPr>
        <w:t xml:space="preserve"> were males while </w:t>
      </w:r>
      <w:r>
        <w:rPr>
          <w:rFonts w:ascii="Arial" w:hAnsi="Arial" w:cs="Arial"/>
          <w:bCs/>
          <w:sz w:val="20"/>
          <w:szCs w:val="20"/>
        </w:rPr>
        <w:t xml:space="preserve">47(52.20%) </w:t>
      </w:r>
      <w:r>
        <w:rPr>
          <w:rFonts w:ascii="Arial" w:hAnsi="Arial" w:cs="Arial"/>
          <w:sz w:val="20"/>
          <w:szCs w:val="20"/>
        </w:rPr>
        <w:t xml:space="preserve">were females. </w:t>
      </w:r>
      <w:r>
        <w:rPr>
          <w:rFonts w:ascii="Arial" w:hAnsi="Arial" w:cs="Arial"/>
          <w:bCs/>
          <w:sz w:val="20"/>
          <w:szCs w:val="20"/>
        </w:rPr>
        <w:t xml:space="preserve">In the Test group 18(60.00%) were males and females were 12(40.00%), in the Negative Control Group 14(46.70%) were males whereas 16(53.30%) were females and in the Positive Control Group there were 11(36.70%) males and 19(63.30%) females. </w:t>
      </w:r>
    </w:p>
    <w:p w14:paraId="64DC7937" w14:textId="77777777" w:rsidR="000E417F" w:rsidRDefault="000E417F" w:rsidP="000E417F">
      <w:pPr>
        <w:autoSpaceDE w:val="0"/>
        <w:autoSpaceDN w:val="0"/>
        <w:adjustRightInd w:val="0"/>
        <w:spacing w:line="480" w:lineRule="auto"/>
        <w:jc w:val="both"/>
        <w:rPr>
          <w:rFonts w:ascii="Arial" w:hAnsi="Arial" w:cs="Arial"/>
          <w:bCs/>
          <w:sz w:val="20"/>
          <w:szCs w:val="20"/>
        </w:rPr>
      </w:pPr>
      <w:r>
        <w:rPr>
          <w:rFonts w:ascii="Arial" w:hAnsi="Arial" w:cs="Arial"/>
          <w:bCs/>
          <w:sz w:val="20"/>
          <w:szCs w:val="20"/>
        </w:rPr>
        <w:lastRenderedPageBreak/>
        <w:t xml:space="preserve">The study participants were between the ages of 8 and 62, and the age was grouped into 8-18, 19-29, 30-40, 41-51, and 52-62 years. The percentage frequency distributions of age were 8(8.90%), 52(57.80%), 8(8.90%), 13(14.40%) and 9(10.00%) respectively among the total study participants. Among the Test and Negative Control groups the distributions were 5(16.70%) and 25(83.30%), and 3(10.00%) and 27(90.00%) for the 8-18 years and 19-29 years age ranges respectively, whereas among the Positive Control subjects it was 8(26.70%), 13(43.30%) and 9(30.00%) for the age ranges of 30-40 years, 41-51years and 52-62 years respectively. </w:t>
      </w:r>
    </w:p>
    <w:p w14:paraId="79230CAB" w14:textId="77777777" w:rsidR="000E417F" w:rsidRDefault="000E417F" w:rsidP="000E417F">
      <w:pPr>
        <w:spacing w:after="0" w:line="240" w:lineRule="auto"/>
        <w:ind w:left="720" w:hanging="720"/>
        <w:jc w:val="both"/>
        <w:rPr>
          <w:rFonts w:ascii="Arial" w:hAnsi="Arial" w:cs="Arial"/>
          <w:b/>
          <w:sz w:val="20"/>
          <w:szCs w:val="20"/>
        </w:rPr>
      </w:pPr>
      <w:r>
        <w:rPr>
          <w:rFonts w:ascii="Arial" w:hAnsi="Arial" w:cs="Arial"/>
          <w:b/>
          <w:sz w:val="20"/>
          <w:szCs w:val="20"/>
        </w:rPr>
        <w:t xml:space="preserve">Table 1 Percentage Frequency Distribution of Socio-Demographic Characteristics of the </w:t>
      </w:r>
    </w:p>
    <w:p w14:paraId="50A9E638" w14:textId="77777777" w:rsidR="000E417F" w:rsidRDefault="000E417F" w:rsidP="000E417F">
      <w:pPr>
        <w:spacing w:after="0" w:line="240" w:lineRule="auto"/>
        <w:ind w:left="720"/>
        <w:jc w:val="both"/>
        <w:rPr>
          <w:rFonts w:ascii="Arial" w:hAnsi="Arial" w:cs="Arial"/>
          <w:sz w:val="20"/>
          <w:szCs w:val="20"/>
        </w:rPr>
      </w:pPr>
      <w:r>
        <w:rPr>
          <w:rFonts w:ascii="Arial" w:hAnsi="Arial" w:cs="Arial"/>
          <w:b/>
          <w:sz w:val="20"/>
          <w:szCs w:val="20"/>
        </w:rPr>
        <w:t xml:space="preserve">    Study Participants</w:t>
      </w:r>
      <w:r>
        <w:rPr>
          <w:rFonts w:ascii="Arial" w:hAnsi="Arial" w:cs="Arial"/>
          <w:sz w:val="20"/>
          <w:szCs w:val="20"/>
        </w:rPr>
        <w:t>.</w:t>
      </w:r>
    </w:p>
    <w:p w14:paraId="20F1D3FA" w14:textId="77777777" w:rsidR="000E417F" w:rsidRDefault="000E417F" w:rsidP="000E417F">
      <w:pPr>
        <w:spacing w:after="0" w:line="240" w:lineRule="auto"/>
        <w:ind w:left="72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013"/>
        <w:gridCol w:w="1497"/>
        <w:gridCol w:w="1800"/>
        <w:gridCol w:w="1620"/>
      </w:tblGrid>
      <w:tr w:rsidR="000E417F" w14:paraId="657B891A" w14:textId="77777777" w:rsidTr="006175FA">
        <w:trPr>
          <w:trHeight w:val="539"/>
        </w:trPr>
        <w:tc>
          <w:tcPr>
            <w:tcW w:w="2538" w:type="dxa"/>
            <w:tcBorders>
              <w:top w:val="single" w:sz="4" w:space="0" w:color="auto"/>
              <w:bottom w:val="single" w:sz="4" w:space="0" w:color="auto"/>
            </w:tcBorders>
          </w:tcPr>
          <w:p w14:paraId="785DEB4B" w14:textId="77777777" w:rsidR="000E417F" w:rsidRDefault="000E417F" w:rsidP="006175FA">
            <w:pPr>
              <w:autoSpaceDE w:val="0"/>
              <w:autoSpaceDN w:val="0"/>
              <w:adjustRightInd w:val="0"/>
              <w:spacing w:after="0"/>
              <w:jc w:val="both"/>
              <w:rPr>
                <w:rFonts w:ascii="Arial" w:hAnsi="Arial" w:cs="Arial"/>
                <w:b/>
                <w:bCs/>
              </w:rPr>
            </w:pPr>
            <w:r>
              <w:rPr>
                <w:rFonts w:ascii="Arial" w:hAnsi="Arial" w:cs="Arial"/>
                <w:b/>
                <w:bCs/>
              </w:rPr>
              <w:t>Characteristics</w:t>
            </w:r>
          </w:p>
        </w:tc>
        <w:tc>
          <w:tcPr>
            <w:tcW w:w="2013" w:type="dxa"/>
            <w:tcBorders>
              <w:top w:val="single" w:sz="4" w:space="0" w:color="auto"/>
              <w:bottom w:val="single" w:sz="4" w:space="0" w:color="auto"/>
            </w:tcBorders>
          </w:tcPr>
          <w:p w14:paraId="46189568" w14:textId="77777777" w:rsidR="000E417F" w:rsidRDefault="000E417F" w:rsidP="006175FA">
            <w:pPr>
              <w:autoSpaceDE w:val="0"/>
              <w:autoSpaceDN w:val="0"/>
              <w:adjustRightInd w:val="0"/>
              <w:spacing w:after="0"/>
              <w:jc w:val="both"/>
              <w:rPr>
                <w:rFonts w:ascii="Arial" w:hAnsi="Arial" w:cs="Arial"/>
                <w:b/>
                <w:bCs/>
              </w:rPr>
            </w:pPr>
            <w:r>
              <w:rPr>
                <w:rFonts w:ascii="Arial" w:hAnsi="Arial" w:cs="Arial"/>
                <w:b/>
                <w:bCs/>
              </w:rPr>
              <w:t>Test</w:t>
            </w:r>
          </w:p>
        </w:tc>
        <w:tc>
          <w:tcPr>
            <w:tcW w:w="1497" w:type="dxa"/>
            <w:tcBorders>
              <w:top w:val="single" w:sz="4" w:space="0" w:color="auto"/>
              <w:bottom w:val="single" w:sz="4" w:space="0" w:color="auto"/>
            </w:tcBorders>
          </w:tcPr>
          <w:p w14:paraId="382885AE" w14:textId="77777777" w:rsidR="000E417F" w:rsidRDefault="000E417F" w:rsidP="006175FA">
            <w:pPr>
              <w:autoSpaceDE w:val="0"/>
              <w:autoSpaceDN w:val="0"/>
              <w:adjustRightInd w:val="0"/>
              <w:spacing w:after="0"/>
              <w:jc w:val="both"/>
              <w:rPr>
                <w:rFonts w:ascii="Arial" w:hAnsi="Arial" w:cs="Arial"/>
                <w:b/>
                <w:bCs/>
              </w:rPr>
            </w:pPr>
            <w:r>
              <w:rPr>
                <w:rFonts w:ascii="Arial" w:hAnsi="Arial" w:cs="Arial"/>
                <w:b/>
                <w:bCs/>
              </w:rPr>
              <w:t>Control 1</w:t>
            </w:r>
          </w:p>
        </w:tc>
        <w:tc>
          <w:tcPr>
            <w:tcW w:w="1800" w:type="dxa"/>
            <w:tcBorders>
              <w:top w:val="single" w:sz="4" w:space="0" w:color="auto"/>
              <w:bottom w:val="single" w:sz="4" w:space="0" w:color="auto"/>
            </w:tcBorders>
          </w:tcPr>
          <w:p w14:paraId="059D4852" w14:textId="77777777" w:rsidR="000E417F" w:rsidRDefault="000E417F" w:rsidP="006175FA">
            <w:pPr>
              <w:autoSpaceDE w:val="0"/>
              <w:autoSpaceDN w:val="0"/>
              <w:adjustRightInd w:val="0"/>
              <w:spacing w:after="0" w:line="240" w:lineRule="auto"/>
              <w:jc w:val="both"/>
              <w:rPr>
                <w:rFonts w:ascii="Arial" w:hAnsi="Arial" w:cs="Arial"/>
                <w:b/>
                <w:bCs/>
              </w:rPr>
            </w:pPr>
            <w:r>
              <w:rPr>
                <w:rFonts w:ascii="Arial" w:hAnsi="Arial" w:cs="Arial"/>
                <w:b/>
                <w:bCs/>
              </w:rPr>
              <w:t>Control 2</w:t>
            </w:r>
          </w:p>
        </w:tc>
        <w:tc>
          <w:tcPr>
            <w:tcW w:w="1620" w:type="dxa"/>
            <w:tcBorders>
              <w:top w:val="single" w:sz="4" w:space="0" w:color="auto"/>
              <w:bottom w:val="single" w:sz="4" w:space="0" w:color="auto"/>
            </w:tcBorders>
          </w:tcPr>
          <w:p w14:paraId="7DEC18AC" w14:textId="77777777" w:rsidR="000E417F" w:rsidRDefault="000E417F" w:rsidP="006175FA">
            <w:pPr>
              <w:autoSpaceDE w:val="0"/>
              <w:autoSpaceDN w:val="0"/>
              <w:adjustRightInd w:val="0"/>
              <w:spacing w:after="0" w:line="240" w:lineRule="auto"/>
              <w:jc w:val="both"/>
              <w:rPr>
                <w:rFonts w:ascii="Arial" w:hAnsi="Arial" w:cs="Arial"/>
                <w:b/>
                <w:bCs/>
              </w:rPr>
            </w:pPr>
            <w:r>
              <w:rPr>
                <w:rFonts w:ascii="Arial" w:hAnsi="Arial" w:cs="Arial"/>
                <w:b/>
                <w:bCs/>
              </w:rPr>
              <w:t>Total</w:t>
            </w:r>
          </w:p>
        </w:tc>
      </w:tr>
      <w:tr w:rsidR="000E417F" w14:paraId="625242CA" w14:textId="77777777" w:rsidTr="006175FA">
        <w:trPr>
          <w:trHeight w:val="593"/>
        </w:trPr>
        <w:tc>
          <w:tcPr>
            <w:tcW w:w="2538" w:type="dxa"/>
            <w:tcBorders>
              <w:top w:val="single" w:sz="4" w:space="0" w:color="auto"/>
            </w:tcBorders>
          </w:tcPr>
          <w:p w14:paraId="4F4785C8"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tl/>
              </w:rPr>
              <w:t>٭</w:t>
            </w:r>
            <w:r>
              <w:rPr>
                <w:rFonts w:ascii="Arial" w:hAnsi="Arial" w:cs="Arial"/>
                <w:bCs/>
              </w:rPr>
              <w:t>Number of Subjects</w:t>
            </w:r>
          </w:p>
        </w:tc>
        <w:tc>
          <w:tcPr>
            <w:tcW w:w="2013" w:type="dxa"/>
            <w:tcBorders>
              <w:top w:val="single" w:sz="4" w:space="0" w:color="auto"/>
            </w:tcBorders>
          </w:tcPr>
          <w:p w14:paraId="05E4339C"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30(33.33%)</w:t>
            </w:r>
          </w:p>
        </w:tc>
        <w:tc>
          <w:tcPr>
            <w:tcW w:w="1497" w:type="dxa"/>
            <w:tcBorders>
              <w:top w:val="single" w:sz="4" w:space="0" w:color="auto"/>
            </w:tcBorders>
          </w:tcPr>
          <w:p w14:paraId="1E9C9502"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30(33.33%)</w:t>
            </w:r>
          </w:p>
        </w:tc>
        <w:tc>
          <w:tcPr>
            <w:tcW w:w="1800" w:type="dxa"/>
            <w:tcBorders>
              <w:top w:val="single" w:sz="4" w:space="0" w:color="auto"/>
            </w:tcBorders>
          </w:tcPr>
          <w:p w14:paraId="780D1D14"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30(33.33%)</w:t>
            </w:r>
          </w:p>
        </w:tc>
        <w:tc>
          <w:tcPr>
            <w:tcW w:w="1620" w:type="dxa"/>
            <w:tcBorders>
              <w:top w:val="single" w:sz="4" w:space="0" w:color="auto"/>
            </w:tcBorders>
          </w:tcPr>
          <w:p w14:paraId="2A2180AD"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90(100.00%)</w:t>
            </w:r>
          </w:p>
        </w:tc>
      </w:tr>
      <w:tr w:rsidR="000E417F" w14:paraId="3A3045BA" w14:textId="77777777" w:rsidTr="006175FA">
        <w:trPr>
          <w:trHeight w:val="1268"/>
        </w:trPr>
        <w:tc>
          <w:tcPr>
            <w:tcW w:w="2538" w:type="dxa"/>
          </w:tcPr>
          <w:p w14:paraId="08D92657"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tl/>
              </w:rPr>
              <w:t>٭</w:t>
            </w:r>
            <w:r>
              <w:rPr>
                <w:rFonts w:ascii="Arial" w:hAnsi="Arial" w:cs="Arial"/>
                <w:bCs/>
              </w:rPr>
              <w:t>Gender</w:t>
            </w:r>
          </w:p>
          <w:p w14:paraId="0DA07AC0"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 xml:space="preserve">   Male</w:t>
            </w:r>
          </w:p>
          <w:p w14:paraId="6091D27E"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 xml:space="preserve">   Female</w:t>
            </w:r>
          </w:p>
        </w:tc>
        <w:tc>
          <w:tcPr>
            <w:tcW w:w="2013" w:type="dxa"/>
          </w:tcPr>
          <w:p w14:paraId="55451532" w14:textId="77777777" w:rsidR="000E417F" w:rsidRDefault="000E417F" w:rsidP="006175FA">
            <w:pPr>
              <w:autoSpaceDE w:val="0"/>
              <w:autoSpaceDN w:val="0"/>
              <w:adjustRightInd w:val="0"/>
              <w:spacing w:after="0"/>
              <w:jc w:val="both"/>
              <w:rPr>
                <w:rFonts w:ascii="Arial" w:hAnsi="Arial" w:cs="Arial"/>
                <w:bCs/>
              </w:rPr>
            </w:pPr>
          </w:p>
          <w:p w14:paraId="564B0ECE"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18(60.00</w:t>
            </w:r>
            <w:proofErr w:type="gramStart"/>
            <w:r>
              <w:rPr>
                <w:rFonts w:ascii="Arial" w:hAnsi="Arial" w:cs="Arial"/>
                <w:bCs/>
              </w:rPr>
              <w:t>%)  12</w:t>
            </w:r>
            <w:proofErr w:type="gramEnd"/>
            <w:r>
              <w:rPr>
                <w:rFonts w:ascii="Arial" w:hAnsi="Arial" w:cs="Arial"/>
                <w:bCs/>
              </w:rPr>
              <w:t>(40.00%)</w:t>
            </w:r>
          </w:p>
          <w:p w14:paraId="1883E767" w14:textId="77777777" w:rsidR="000E417F" w:rsidRDefault="000E417F" w:rsidP="006175FA">
            <w:pPr>
              <w:autoSpaceDE w:val="0"/>
              <w:autoSpaceDN w:val="0"/>
              <w:adjustRightInd w:val="0"/>
              <w:spacing w:after="0"/>
              <w:jc w:val="both"/>
              <w:rPr>
                <w:rFonts w:ascii="Arial" w:hAnsi="Arial" w:cs="Arial"/>
                <w:bCs/>
              </w:rPr>
            </w:pPr>
          </w:p>
        </w:tc>
        <w:tc>
          <w:tcPr>
            <w:tcW w:w="1497" w:type="dxa"/>
          </w:tcPr>
          <w:p w14:paraId="175129D8" w14:textId="77777777" w:rsidR="000E417F" w:rsidRDefault="000E417F" w:rsidP="006175FA">
            <w:pPr>
              <w:autoSpaceDE w:val="0"/>
              <w:autoSpaceDN w:val="0"/>
              <w:adjustRightInd w:val="0"/>
              <w:spacing w:after="0"/>
              <w:jc w:val="both"/>
              <w:rPr>
                <w:rFonts w:ascii="Arial" w:hAnsi="Arial" w:cs="Arial"/>
                <w:bCs/>
              </w:rPr>
            </w:pPr>
          </w:p>
          <w:p w14:paraId="1FBF0BA1"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14(46.70%)</w:t>
            </w:r>
          </w:p>
          <w:p w14:paraId="7F2DCFE3"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16(53.30%)</w:t>
            </w:r>
          </w:p>
        </w:tc>
        <w:tc>
          <w:tcPr>
            <w:tcW w:w="1800" w:type="dxa"/>
          </w:tcPr>
          <w:p w14:paraId="1B8D44B5" w14:textId="77777777" w:rsidR="000E417F" w:rsidRDefault="000E417F" w:rsidP="006175FA">
            <w:pPr>
              <w:autoSpaceDE w:val="0"/>
              <w:autoSpaceDN w:val="0"/>
              <w:adjustRightInd w:val="0"/>
              <w:spacing w:after="0" w:line="240" w:lineRule="auto"/>
              <w:jc w:val="both"/>
              <w:rPr>
                <w:rFonts w:ascii="Arial" w:hAnsi="Arial" w:cs="Arial"/>
                <w:bCs/>
              </w:rPr>
            </w:pPr>
          </w:p>
          <w:p w14:paraId="1591965E"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11(36.70%)</w:t>
            </w:r>
          </w:p>
          <w:p w14:paraId="0D4259FC"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19(63.30%)</w:t>
            </w:r>
          </w:p>
        </w:tc>
        <w:tc>
          <w:tcPr>
            <w:tcW w:w="1620" w:type="dxa"/>
          </w:tcPr>
          <w:p w14:paraId="4582D71D" w14:textId="77777777" w:rsidR="000E417F" w:rsidRDefault="000E417F" w:rsidP="006175FA">
            <w:pPr>
              <w:autoSpaceDE w:val="0"/>
              <w:autoSpaceDN w:val="0"/>
              <w:adjustRightInd w:val="0"/>
              <w:spacing w:after="0" w:line="240" w:lineRule="auto"/>
              <w:jc w:val="both"/>
              <w:rPr>
                <w:rFonts w:ascii="Arial" w:hAnsi="Arial" w:cs="Arial"/>
                <w:bCs/>
              </w:rPr>
            </w:pPr>
          </w:p>
          <w:p w14:paraId="478340B6"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43(47.80%)</w:t>
            </w:r>
          </w:p>
          <w:p w14:paraId="11566368"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47(52.20%)</w:t>
            </w:r>
          </w:p>
        </w:tc>
      </w:tr>
      <w:tr w:rsidR="000E417F" w14:paraId="2D5EB6FA" w14:textId="77777777" w:rsidTr="006175FA">
        <w:trPr>
          <w:trHeight w:val="1809"/>
        </w:trPr>
        <w:tc>
          <w:tcPr>
            <w:tcW w:w="2538" w:type="dxa"/>
            <w:tcBorders>
              <w:bottom w:val="single" w:sz="4" w:space="0" w:color="auto"/>
            </w:tcBorders>
          </w:tcPr>
          <w:p w14:paraId="68EFCC35"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tl/>
              </w:rPr>
              <w:t>٭</w:t>
            </w:r>
            <w:r>
              <w:rPr>
                <w:rFonts w:ascii="Arial" w:hAnsi="Arial" w:cs="Arial"/>
                <w:bCs/>
              </w:rPr>
              <w:t>Age Range (years)</w:t>
            </w:r>
          </w:p>
          <w:p w14:paraId="5279ECB6"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 xml:space="preserve">   8-18</w:t>
            </w:r>
          </w:p>
          <w:p w14:paraId="2A7AEBB1"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 xml:space="preserve">   19-29</w:t>
            </w:r>
          </w:p>
          <w:p w14:paraId="48B0BC84"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 xml:space="preserve">   30-40</w:t>
            </w:r>
          </w:p>
          <w:p w14:paraId="3F3CFE47"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 xml:space="preserve">   41-51</w:t>
            </w:r>
          </w:p>
          <w:p w14:paraId="21F3B9F8"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 xml:space="preserve">   52-62</w:t>
            </w:r>
          </w:p>
        </w:tc>
        <w:tc>
          <w:tcPr>
            <w:tcW w:w="2013" w:type="dxa"/>
            <w:tcBorders>
              <w:bottom w:val="single" w:sz="4" w:space="0" w:color="auto"/>
            </w:tcBorders>
          </w:tcPr>
          <w:p w14:paraId="1E322035" w14:textId="77777777" w:rsidR="000E417F" w:rsidRDefault="000E417F" w:rsidP="006175FA">
            <w:pPr>
              <w:autoSpaceDE w:val="0"/>
              <w:autoSpaceDN w:val="0"/>
              <w:adjustRightInd w:val="0"/>
              <w:spacing w:after="0"/>
              <w:jc w:val="both"/>
              <w:rPr>
                <w:rFonts w:ascii="Arial" w:hAnsi="Arial" w:cs="Arial"/>
                <w:bCs/>
              </w:rPr>
            </w:pPr>
          </w:p>
          <w:p w14:paraId="040A652D"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5(16.70%)</w:t>
            </w:r>
          </w:p>
          <w:p w14:paraId="1DD8339C"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25(83.30%)</w:t>
            </w:r>
          </w:p>
          <w:p w14:paraId="0A40AD5C" w14:textId="77777777" w:rsidR="000E417F" w:rsidRDefault="000E417F" w:rsidP="006175FA">
            <w:pPr>
              <w:autoSpaceDE w:val="0"/>
              <w:autoSpaceDN w:val="0"/>
              <w:adjustRightInd w:val="0"/>
              <w:spacing w:after="0"/>
              <w:jc w:val="both"/>
              <w:rPr>
                <w:rFonts w:ascii="Arial" w:hAnsi="Arial" w:cs="Arial"/>
                <w:bCs/>
              </w:rPr>
            </w:pPr>
          </w:p>
        </w:tc>
        <w:tc>
          <w:tcPr>
            <w:tcW w:w="1497" w:type="dxa"/>
            <w:tcBorders>
              <w:bottom w:val="single" w:sz="4" w:space="0" w:color="auto"/>
            </w:tcBorders>
          </w:tcPr>
          <w:p w14:paraId="6E47530C" w14:textId="77777777" w:rsidR="000E417F" w:rsidRDefault="000E417F" w:rsidP="006175FA">
            <w:pPr>
              <w:autoSpaceDE w:val="0"/>
              <w:autoSpaceDN w:val="0"/>
              <w:adjustRightInd w:val="0"/>
              <w:spacing w:after="0"/>
              <w:jc w:val="both"/>
              <w:rPr>
                <w:rFonts w:ascii="Arial" w:hAnsi="Arial" w:cs="Arial"/>
                <w:bCs/>
              </w:rPr>
            </w:pPr>
          </w:p>
          <w:p w14:paraId="4149EF24"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3(10.00%)</w:t>
            </w:r>
          </w:p>
          <w:p w14:paraId="4C68149D" w14:textId="77777777" w:rsidR="000E417F" w:rsidRDefault="000E417F" w:rsidP="006175FA">
            <w:pPr>
              <w:autoSpaceDE w:val="0"/>
              <w:autoSpaceDN w:val="0"/>
              <w:adjustRightInd w:val="0"/>
              <w:spacing w:after="0"/>
              <w:jc w:val="both"/>
              <w:rPr>
                <w:rFonts w:ascii="Arial" w:hAnsi="Arial" w:cs="Arial"/>
                <w:bCs/>
              </w:rPr>
            </w:pPr>
            <w:r>
              <w:rPr>
                <w:rFonts w:ascii="Arial" w:hAnsi="Arial" w:cs="Arial"/>
                <w:bCs/>
              </w:rPr>
              <w:t>27(90.00%)</w:t>
            </w:r>
          </w:p>
          <w:p w14:paraId="4FEBB163" w14:textId="77777777" w:rsidR="000E417F" w:rsidRDefault="000E417F" w:rsidP="006175FA">
            <w:pPr>
              <w:autoSpaceDE w:val="0"/>
              <w:autoSpaceDN w:val="0"/>
              <w:adjustRightInd w:val="0"/>
              <w:spacing w:after="0"/>
              <w:jc w:val="both"/>
              <w:rPr>
                <w:rFonts w:ascii="Arial" w:hAnsi="Arial" w:cs="Arial"/>
                <w:bCs/>
              </w:rPr>
            </w:pPr>
          </w:p>
        </w:tc>
        <w:tc>
          <w:tcPr>
            <w:tcW w:w="1800" w:type="dxa"/>
            <w:tcBorders>
              <w:bottom w:val="single" w:sz="4" w:space="0" w:color="auto"/>
            </w:tcBorders>
          </w:tcPr>
          <w:p w14:paraId="20010174" w14:textId="77777777" w:rsidR="000E417F" w:rsidRDefault="000E417F" w:rsidP="006175FA">
            <w:pPr>
              <w:autoSpaceDE w:val="0"/>
              <w:autoSpaceDN w:val="0"/>
              <w:adjustRightInd w:val="0"/>
              <w:spacing w:after="0" w:line="240" w:lineRule="auto"/>
              <w:jc w:val="both"/>
              <w:rPr>
                <w:rFonts w:ascii="Arial" w:hAnsi="Arial" w:cs="Arial"/>
                <w:bCs/>
              </w:rPr>
            </w:pPr>
          </w:p>
          <w:p w14:paraId="61A1747D" w14:textId="77777777" w:rsidR="000E417F" w:rsidRDefault="000E417F" w:rsidP="006175FA">
            <w:pPr>
              <w:autoSpaceDE w:val="0"/>
              <w:autoSpaceDN w:val="0"/>
              <w:adjustRightInd w:val="0"/>
              <w:spacing w:after="0" w:line="240" w:lineRule="auto"/>
              <w:jc w:val="both"/>
              <w:rPr>
                <w:rFonts w:ascii="Arial" w:hAnsi="Arial" w:cs="Arial"/>
                <w:bCs/>
              </w:rPr>
            </w:pPr>
          </w:p>
          <w:p w14:paraId="09FEC5D7" w14:textId="77777777" w:rsidR="000E417F" w:rsidRDefault="000E417F" w:rsidP="006175FA">
            <w:pPr>
              <w:autoSpaceDE w:val="0"/>
              <w:autoSpaceDN w:val="0"/>
              <w:adjustRightInd w:val="0"/>
              <w:spacing w:after="0" w:line="240" w:lineRule="auto"/>
              <w:jc w:val="both"/>
              <w:rPr>
                <w:rFonts w:ascii="Arial" w:hAnsi="Arial" w:cs="Arial"/>
                <w:bCs/>
              </w:rPr>
            </w:pPr>
          </w:p>
          <w:p w14:paraId="0DF88833"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8(26.70%)</w:t>
            </w:r>
          </w:p>
          <w:p w14:paraId="128DBDC2"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13(43.30%)</w:t>
            </w:r>
          </w:p>
          <w:p w14:paraId="62B57BEA"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9(30.00%)</w:t>
            </w:r>
          </w:p>
          <w:p w14:paraId="675FA1F0" w14:textId="77777777" w:rsidR="000E417F" w:rsidRDefault="000E417F" w:rsidP="006175FA">
            <w:pPr>
              <w:autoSpaceDE w:val="0"/>
              <w:autoSpaceDN w:val="0"/>
              <w:adjustRightInd w:val="0"/>
              <w:spacing w:after="0" w:line="240" w:lineRule="auto"/>
              <w:jc w:val="both"/>
              <w:rPr>
                <w:rFonts w:ascii="Arial" w:hAnsi="Arial" w:cs="Arial"/>
                <w:bCs/>
              </w:rPr>
            </w:pPr>
          </w:p>
        </w:tc>
        <w:tc>
          <w:tcPr>
            <w:tcW w:w="1620" w:type="dxa"/>
            <w:tcBorders>
              <w:bottom w:val="single" w:sz="4" w:space="0" w:color="auto"/>
            </w:tcBorders>
          </w:tcPr>
          <w:p w14:paraId="5AD45D89" w14:textId="77777777" w:rsidR="000E417F" w:rsidRDefault="000E417F" w:rsidP="006175FA">
            <w:pPr>
              <w:autoSpaceDE w:val="0"/>
              <w:autoSpaceDN w:val="0"/>
              <w:adjustRightInd w:val="0"/>
              <w:spacing w:after="0" w:line="240" w:lineRule="auto"/>
              <w:jc w:val="both"/>
              <w:rPr>
                <w:rFonts w:ascii="Arial" w:hAnsi="Arial" w:cs="Arial"/>
                <w:bCs/>
              </w:rPr>
            </w:pPr>
          </w:p>
          <w:p w14:paraId="20153972"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8(8.90%)</w:t>
            </w:r>
          </w:p>
          <w:p w14:paraId="69499ABC"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52(57.80%)</w:t>
            </w:r>
          </w:p>
          <w:p w14:paraId="47C213B6"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8(8.90%)</w:t>
            </w:r>
          </w:p>
          <w:p w14:paraId="7B7AF8CB"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13(14.40%)</w:t>
            </w:r>
          </w:p>
          <w:p w14:paraId="37A76F1F" w14:textId="77777777" w:rsidR="000E417F" w:rsidRDefault="000E417F" w:rsidP="006175FA">
            <w:pPr>
              <w:autoSpaceDE w:val="0"/>
              <w:autoSpaceDN w:val="0"/>
              <w:adjustRightInd w:val="0"/>
              <w:spacing w:after="0" w:line="240" w:lineRule="auto"/>
              <w:jc w:val="both"/>
              <w:rPr>
                <w:rFonts w:ascii="Arial" w:hAnsi="Arial" w:cs="Arial"/>
                <w:bCs/>
              </w:rPr>
            </w:pPr>
            <w:r>
              <w:rPr>
                <w:rFonts w:ascii="Arial" w:hAnsi="Arial" w:cs="Arial"/>
                <w:bCs/>
              </w:rPr>
              <w:t>9(10.00%)</w:t>
            </w:r>
          </w:p>
        </w:tc>
      </w:tr>
    </w:tbl>
    <w:p w14:paraId="259E6FEF" w14:textId="77777777" w:rsidR="000E417F" w:rsidRDefault="000E417F" w:rsidP="000E417F">
      <w:pPr>
        <w:pStyle w:val="ListParagraph"/>
        <w:spacing w:line="480" w:lineRule="auto"/>
        <w:ind w:left="360"/>
        <w:jc w:val="both"/>
        <w:rPr>
          <w:rFonts w:ascii="Arial" w:hAnsi="Arial" w:cs="Arial"/>
          <w:sz w:val="20"/>
          <w:szCs w:val="20"/>
        </w:rPr>
      </w:pPr>
      <w:r>
        <w:rPr>
          <w:rFonts w:ascii="Arial" w:hAnsi="Arial" w:cs="Arial"/>
          <w:b/>
          <w:sz w:val="20"/>
          <w:szCs w:val="20"/>
        </w:rPr>
        <w:t>*</w:t>
      </w:r>
      <w:r>
        <w:rPr>
          <w:rFonts w:ascii="Arial" w:hAnsi="Arial" w:cs="Arial"/>
          <w:sz w:val="20"/>
          <w:szCs w:val="20"/>
        </w:rPr>
        <w:t>= Socio-demographics, Control 1 = Negative control subjects, Control 2 = Positive control subjects</w:t>
      </w:r>
    </w:p>
    <w:p w14:paraId="4A38F8DE" w14:textId="77777777" w:rsidR="000E417F" w:rsidRDefault="000E417F" w:rsidP="000E417F">
      <w:pPr>
        <w:spacing w:line="480" w:lineRule="auto"/>
        <w:jc w:val="both"/>
        <w:rPr>
          <w:rFonts w:ascii="Arial" w:hAnsi="Arial" w:cs="Arial"/>
          <w:bCs/>
          <w:sz w:val="20"/>
          <w:szCs w:val="20"/>
        </w:rPr>
      </w:pPr>
      <w:r>
        <w:rPr>
          <w:rFonts w:ascii="Arial" w:hAnsi="Arial" w:cs="Arial"/>
          <w:bCs/>
          <w:sz w:val="20"/>
          <w:szCs w:val="20"/>
        </w:rPr>
        <w:t xml:space="preserve">Figure 1 presents the percentage frequency distribution of the degree of canities for both the Test and the Positive Control groups of the study participants, the degree of canities was graded into three categories mild (less than 10 strands of gray hair), moderate (10-100 strands of gray hair) and severe (above 100 strands of gray hair) based on the number of gray hairs found.  Among the total participants, the percentage frequency distribution of the degree of canities recorded in this study was 26(43.30%) mild degree of canities, 13(21.70%) moderate graying, and 21(35.00%) severe graying. </w:t>
      </w:r>
    </w:p>
    <w:p w14:paraId="06B03CB6" w14:textId="77777777" w:rsidR="000E417F" w:rsidRDefault="000E417F" w:rsidP="000E417F">
      <w:pPr>
        <w:spacing w:line="480" w:lineRule="auto"/>
        <w:jc w:val="both"/>
        <w:rPr>
          <w:rFonts w:ascii="Arial" w:hAnsi="Arial" w:cs="Arial"/>
          <w:bCs/>
          <w:sz w:val="20"/>
          <w:szCs w:val="20"/>
        </w:rPr>
      </w:pPr>
    </w:p>
    <w:p w14:paraId="3215C059" w14:textId="77777777" w:rsidR="000E417F" w:rsidRDefault="000E417F" w:rsidP="000E417F">
      <w:pPr>
        <w:spacing w:line="480" w:lineRule="auto"/>
        <w:jc w:val="both"/>
        <w:rPr>
          <w:rFonts w:ascii="Arial" w:hAnsi="Arial" w:cs="Arial"/>
          <w:bCs/>
          <w:sz w:val="20"/>
          <w:szCs w:val="20"/>
        </w:rPr>
      </w:pPr>
      <w:r>
        <w:rPr>
          <w:rFonts w:ascii="Arial" w:hAnsi="Arial" w:cs="Arial"/>
          <w:bCs/>
          <w:noProof/>
          <w:sz w:val="20"/>
          <w:szCs w:val="20"/>
        </w:rPr>
        <w:lastRenderedPageBreak/>
        <w:drawing>
          <wp:inline distT="0" distB="0" distL="0" distR="0" wp14:anchorId="0DD82D00" wp14:editId="39431E62">
            <wp:extent cx="5856605" cy="2743200"/>
            <wp:effectExtent l="19050" t="0" r="10436"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80F2F2" w14:textId="77777777" w:rsidR="000E417F" w:rsidRDefault="000E417F" w:rsidP="000E417F">
      <w:pPr>
        <w:spacing w:line="240" w:lineRule="auto"/>
        <w:jc w:val="both"/>
        <w:rPr>
          <w:rFonts w:ascii="Arial" w:hAnsi="Arial" w:cs="Arial"/>
          <w:b/>
          <w:bCs/>
          <w:sz w:val="20"/>
          <w:szCs w:val="20"/>
        </w:rPr>
      </w:pPr>
      <w:r>
        <w:rPr>
          <w:rFonts w:ascii="Arial" w:hAnsi="Arial" w:cs="Arial"/>
          <w:b/>
          <w:bCs/>
          <w:sz w:val="20"/>
          <w:szCs w:val="20"/>
        </w:rPr>
        <w:t xml:space="preserve">Figure 1: Percentage Frequency Distribution of the Degree of Canities for both the Test    </w:t>
      </w:r>
    </w:p>
    <w:p w14:paraId="78F4F4DE" w14:textId="77777777" w:rsidR="000E417F" w:rsidRDefault="000E417F" w:rsidP="000E417F">
      <w:pPr>
        <w:spacing w:line="240" w:lineRule="auto"/>
        <w:jc w:val="both"/>
        <w:rPr>
          <w:rFonts w:ascii="Arial" w:hAnsi="Arial" w:cs="Arial"/>
          <w:b/>
          <w:bCs/>
          <w:sz w:val="20"/>
          <w:szCs w:val="20"/>
        </w:rPr>
      </w:pPr>
      <w:r>
        <w:rPr>
          <w:rFonts w:ascii="Arial" w:hAnsi="Arial" w:cs="Arial"/>
          <w:b/>
          <w:bCs/>
          <w:sz w:val="20"/>
          <w:szCs w:val="20"/>
        </w:rPr>
        <w:t xml:space="preserve">               and the Positive Control Groups of the Study Participants</w:t>
      </w:r>
    </w:p>
    <w:p w14:paraId="6862E960" w14:textId="77777777" w:rsidR="000E417F" w:rsidRDefault="000E417F" w:rsidP="000E417F">
      <w:pPr>
        <w:spacing w:line="480" w:lineRule="auto"/>
        <w:jc w:val="both"/>
        <w:rPr>
          <w:rFonts w:ascii="Arial" w:hAnsi="Arial" w:cs="Arial"/>
          <w:bCs/>
          <w:sz w:val="20"/>
          <w:szCs w:val="20"/>
        </w:rPr>
      </w:pPr>
    </w:p>
    <w:p w14:paraId="359FE41D" w14:textId="77777777" w:rsidR="000E417F" w:rsidRDefault="000E417F" w:rsidP="000E417F">
      <w:pPr>
        <w:spacing w:line="480" w:lineRule="auto"/>
        <w:jc w:val="both"/>
        <w:rPr>
          <w:rFonts w:ascii="Arial" w:hAnsi="Arial" w:cs="Arial"/>
          <w:bCs/>
          <w:sz w:val="20"/>
          <w:szCs w:val="20"/>
        </w:rPr>
      </w:pPr>
      <w:r>
        <w:rPr>
          <w:rFonts w:ascii="Arial" w:hAnsi="Arial" w:cs="Arial"/>
          <w:bCs/>
          <w:sz w:val="20"/>
          <w:szCs w:val="20"/>
        </w:rPr>
        <w:t xml:space="preserve">Figure 2 shows the percentage frequency distribution of the degree of canities for the Test group of the study participants. In the Test group, 21(70.00%) participants had mild canities, 6(20.00%) subjects had moderate graying and 3(10.00%) subjects had severe canities. </w:t>
      </w:r>
    </w:p>
    <w:p w14:paraId="51FEF703" w14:textId="77777777" w:rsidR="000E417F" w:rsidRDefault="000E417F" w:rsidP="000E417F">
      <w:pPr>
        <w:spacing w:line="480" w:lineRule="auto"/>
        <w:jc w:val="both"/>
        <w:rPr>
          <w:rFonts w:ascii="Arial" w:hAnsi="Arial" w:cs="Arial"/>
          <w:bCs/>
          <w:sz w:val="20"/>
          <w:szCs w:val="20"/>
        </w:rPr>
      </w:pPr>
    </w:p>
    <w:p w14:paraId="3D571D0F" w14:textId="77777777" w:rsidR="000E417F" w:rsidRDefault="000E417F" w:rsidP="000E417F">
      <w:pPr>
        <w:spacing w:line="240" w:lineRule="auto"/>
        <w:ind w:left="360" w:hanging="720"/>
        <w:jc w:val="both"/>
        <w:rPr>
          <w:rFonts w:ascii="Arial" w:hAnsi="Arial" w:cs="Arial"/>
          <w:b/>
          <w:sz w:val="20"/>
          <w:szCs w:val="20"/>
        </w:rPr>
      </w:pPr>
      <w:r>
        <w:rPr>
          <w:rFonts w:ascii="Arial" w:hAnsi="Arial" w:cs="Arial"/>
          <w:b/>
          <w:noProof/>
          <w:sz w:val="20"/>
          <w:szCs w:val="20"/>
        </w:rPr>
        <w:lastRenderedPageBreak/>
        <w:drawing>
          <wp:inline distT="0" distB="0" distL="0" distR="0" wp14:anchorId="5EF17715" wp14:editId="70724687">
            <wp:extent cx="6148705" cy="3192145"/>
            <wp:effectExtent l="19050" t="0" r="23363"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02A2A9" w14:textId="77777777" w:rsidR="000E417F" w:rsidRDefault="000E417F" w:rsidP="000E417F">
      <w:pPr>
        <w:spacing w:line="240" w:lineRule="auto"/>
        <w:ind w:left="360" w:hanging="720"/>
        <w:jc w:val="both"/>
        <w:rPr>
          <w:rFonts w:ascii="Arial" w:hAnsi="Arial" w:cs="Arial"/>
          <w:b/>
          <w:sz w:val="20"/>
          <w:szCs w:val="20"/>
        </w:rPr>
      </w:pPr>
      <w:r>
        <w:rPr>
          <w:rFonts w:ascii="Arial" w:hAnsi="Arial" w:cs="Arial"/>
          <w:b/>
          <w:bCs/>
          <w:sz w:val="20"/>
          <w:szCs w:val="20"/>
        </w:rPr>
        <w:t>Figure 2: Percentage Frequency Distribution of the Degree of Canities for the Test Groupof the Study Participants</w:t>
      </w:r>
    </w:p>
    <w:p w14:paraId="4A2721E8" w14:textId="77777777" w:rsidR="000E417F" w:rsidRDefault="000E417F" w:rsidP="000E417F">
      <w:pPr>
        <w:spacing w:line="480" w:lineRule="auto"/>
        <w:jc w:val="both"/>
        <w:rPr>
          <w:rFonts w:ascii="Arial" w:hAnsi="Arial" w:cs="Arial"/>
          <w:bCs/>
          <w:sz w:val="20"/>
          <w:szCs w:val="20"/>
        </w:rPr>
      </w:pPr>
    </w:p>
    <w:p w14:paraId="5A4CAC6D" w14:textId="77777777" w:rsidR="000E417F" w:rsidRDefault="000E417F" w:rsidP="000E417F">
      <w:pPr>
        <w:spacing w:line="480" w:lineRule="auto"/>
        <w:jc w:val="both"/>
        <w:rPr>
          <w:rFonts w:ascii="Arial" w:hAnsi="Arial" w:cs="Arial"/>
          <w:bCs/>
          <w:sz w:val="20"/>
          <w:szCs w:val="20"/>
        </w:rPr>
      </w:pPr>
      <w:r>
        <w:rPr>
          <w:rFonts w:ascii="Arial" w:hAnsi="Arial" w:cs="Arial"/>
          <w:bCs/>
          <w:sz w:val="20"/>
          <w:szCs w:val="20"/>
        </w:rPr>
        <w:t>Figure 3 shows the percentage frequency distribution of the degree of canities for the Positive Control group of the study participants. In the Positive Control group, 5(16.70%) participants had mild graying, 7(23.30%) had moderate graying and 18 participants (60.00%) have severe canities.</w:t>
      </w:r>
    </w:p>
    <w:p w14:paraId="4A7FC80F" w14:textId="77777777" w:rsidR="000E417F" w:rsidRDefault="000E417F" w:rsidP="000E417F">
      <w:pPr>
        <w:spacing w:line="480" w:lineRule="auto"/>
        <w:jc w:val="both"/>
        <w:rPr>
          <w:rFonts w:ascii="Arial" w:hAnsi="Arial" w:cs="Arial"/>
          <w:bCs/>
          <w:sz w:val="20"/>
          <w:szCs w:val="20"/>
        </w:rPr>
      </w:pPr>
    </w:p>
    <w:p w14:paraId="721D8218" w14:textId="77777777" w:rsidR="00B232D6" w:rsidRDefault="000E417F" w:rsidP="000E417F">
      <w:pPr>
        <w:spacing w:line="240" w:lineRule="auto"/>
        <w:ind w:left="360" w:hanging="720"/>
        <w:jc w:val="both"/>
        <w:rPr>
          <w:rFonts w:ascii="Arial" w:hAnsi="Arial" w:cs="Arial"/>
          <w:b/>
          <w:sz w:val="20"/>
          <w:szCs w:val="20"/>
        </w:rPr>
      </w:pPr>
      <w:r>
        <w:rPr>
          <w:rFonts w:ascii="Arial" w:hAnsi="Arial" w:cs="Arial"/>
          <w:b/>
          <w:noProof/>
          <w:sz w:val="20"/>
          <w:szCs w:val="20"/>
        </w:rPr>
        <w:lastRenderedPageBreak/>
        <w:drawing>
          <wp:inline distT="0" distB="0" distL="0" distR="0" wp14:anchorId="6B08AA71" wp14:editId="467FA590">
            <wp:extent cx="5829300" cy="4330065"/>
            <wp:effectExtent l="19050" t="0" r="1869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567F71" w14:textId="70C47464" w:rsidR="00B232D6" w:rsidRPr="00B232D6" w:rsidRDefault="00B232D6" w:rsidP="00B232D6">
      <w:pPr>
        <w:ind w:firstLine="720"/>
        <w:rPr>
          <w:rFonts w:ascii="Arial" w:hAnsi="Arial" w:cs="Arial"/>
          <w:sz w:val="20"/>
          <w:szCs w:val="20"/>
        </w:rPr>
      </w:pPr>
      <w:r>
        <w:rPr>
          <w:rFonts w:ascii="Arial" w:hAnsi="Arial" w:cs="Arial"/>
          <w:sz w:val="20"/>
          <w:szCs w:val="20"/>
        </w:rPr>
        <w:t>(A)</w:t>
      </w:r>
    </w:p>
    <w:p w14:paraId="232AC7F5" w14:textId="67242E9F" w:rsidR="000E417F" w:rsidRDefault="000E417F" w:rsidP="000E417F">
      <w:pPr>
        <w:spacing w:line="240" w:lineRule="auto"/>
        <w:ind w:left="360" w:hanging="720"/>
        <w:jc w:val="both"/>
        <w:rPr>
          <w:rFonts w:ascii="Arial" w:hAnsi="Arial" w:cs="Arial"/>
          <w:b/>
          <w:sz w:val="20"/>
          <w:szCs w:val="20"/>
        </w:rPr>
      </w:pPr>
      <w:r>
        <w:rPr>
          <w:rFonts w:ascii="Arial" w:hAnsi="Arial" w:cs="Arial"/>
          <w:b/>
          <w:noProof/>
          <w:sz w:val="20"/>
          <w:szCs w:val="20"/>
        </w:rPr>
        <w:lastRenderedPageBreak/>
        <w:drawing>
          <wp:inline distT="0" distB="0" distL="0" distR="0" wp14:anchorId="29FF7089" wp14:editId="478D0ED6">
            <wp:extent cx="5199380" cy="4330065"/>
            <wp:effectExtent l="19050" t="0" r="19769"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2A461C" w14:textId="62540CE1" w:rsidR="00B232D6" w:rsidRDefault="000E417F" w:rsidP="000E417F">
      <w:pPr>
        <w:spacing w:line="240" w:lineRule="auto"/>
        <w:jc w:val="both"/>
        <w:rPr>
          <w:rFonts w:ascii="Arial" w:hAnsi="Arial" w:cs="Arial"/>
          <w:b/>
          <w:bCs/>
          <w:sz w:val="20"/>
          <w:szCs w:val="20"/>
        </w:rPr>
      </w:pPr>
      <w:r>
        <w:rPr>
          <w:rFonts w:ascii="Arial" w:hAnsi="Arial" w:cs="Arial"/>
          <w:b/>
          <w:bCs/>
          <w:sz w:val="20"/>
          <w:szCs w:val="20"/>
        </w:rPr>
        <w:t xml:space="preserve">   </w:t>
      </w:r>
      <w:r w:rsidR="00B232D6">
        <w:rPr>
          <w:rFonts w:ascii="Arial" w:hAnsi="Arial" w:cs="Arial"/>
          <w:b/>
          <w:bCs/>
          <w:sz w:val="20"/>
          <w:szCs w:val="20"/>
        </w:rPr>
        <w:t>(B)</w:t>
      </w:r>
    </w:p>
    <w:p w14:paraId="34FD1842" w14:textId="77777777" w:rsidR="00B232D6" w:rsidRDefault="00B232D6" w:rsidP="000E417F">
      <w:pPr>
        <w:spacing w:line="240" w:lineRule="auto"/>
        <w:jc w:val="both"/>
        <w:rPr>
          <w:rFonts w:ascii="Arial" w:hAnsi="Arial" w:cs="Arial"/>
          <w:b/>
          <w:bCs/>
          <w:sz w:val="20"/>
          <w:szCs w:val="20"/>
        </w:rPr>
      </w:pPr>
    </w:p>
    <w:p w14:paraId="3B45DA0C" w14:textId="77916B90" w:rsidR="000E417F" w:rsidRDefault="000E417F" w:rsidP="000E417F">
      <w:pPr>
        <w:spacing w:line="240" w:lineRule="auto"/>
        <w:jc w:val="both"/>
        <w:rPr>
          <w:rFonts w:ascii="Arial" w:hAnsi="Arial" w:cs="Arial"/>
          <w:b/>
          <w:bCs/>
          <w:sz w:val="20"/>
          <w:szCs w:val="20"/>
        </w:rPr>
      </w:pPr>
      <w:r>
        <w:rPr>
          <w:rFonts w:ascii="Arial" w:hAnsi="Arial" w:cs="Arial"/>
          <w:b/>
          <w:bCs/>
          <w:sz w:val="20"/>
          <w:szCs w:val="20"/>
        </w:rPr>
        <w:t xml:space="preserve">  Figure 3</w:t>
      </w:r>
      <w:r w:rsidR="00B232D6">
        <w:rPr>
          <w:rFonts w:ascii="Arial" w:hAnsi="Arial" w:cs="Arial"/>
          <w:b/>
          <w:bCs/>
          <w:sz w:val="20"/>
          <w:szCs w:val="20"/>
        </w:rPr>
        <w:t>(</w:t>
      </w:r>
      <w:proofErr w:type="gramStart"/>
      <w:r w:rsidR="00B232D6">
        <w:rPr>
          <w:rFonts w:ascii="Arial" w:hAnsi="Arial" w:cs="Arial"/>
          <w:b/>
          <w:bCs/>
          <w:sz w:val="20"/>
          <w:szCs w:val="20"/>
        </w:rPr>
        <w:t>A,B</w:t>
      </w:r>
      <w:proofErr w:type="gramEnd"/>
      <w:r w:rsidR="00B232D6">
        <w:rPr>
          <w:rFonts w:ascii="Arial" w:hAnsi="Arial" w:cs="Arial"/>
          <w:b/>
          <w:bCs/>
          <w:sz w:val="20"/>
          <w:szCs w:val="20"/>
        </w:rPr>
        <w:t>)</w:t>
      </w:r>
      <w:r>
        <w:rPr>
          <w:rFonts w:ascii="Arial" w:hAnsi="Arial" w:cs="Arial"/>
          <w:b/>
          <w:bCs/>
          <w:sz w:val="20"/>
          <w:szCs w:val="20"/>
        </w:rPr>
        <w:t xml:space="preserve">: Percentage Frequency Distribution of the Degree of Canities for the Positive    </w:t>
      </w:r>
    </w:p>
    <w:p w14:paraId="01CAC240" w14:textId="77777777" w:rsidR="000E417F" w:rsidRDefault="000E417F" w:rsidP="000E417F">
      <w:pPr>
        <w:spacing w:line="240" w:lineRule="auto"/>
        <w:jc w:val="both"/>
        <w:rPr>
          <w:rFonts w:ascii="Arial" w:eastAsia="Times New Roman" w:hAnsi="Arial" w:cs="Arial"/>
          <w:b/>
          <w:sz w:val="20"/>
          <w:szCs w:val="20"/>
        </w:rPr>
      </w:pPr>
      <w:r>
        <w:rPr>
          <w:rFonts w:ascii="Arial" w:hAnsi="Arial" w:cs="Arial"/>
          <w:b/>
          <w:bCs/>
          <w:sz w:val="20"/>
          <w:szCs w:val="20"/>
        </w:rPr>
        <w:t xml:space="preserve">                Control Group of the Study Participants</w:t>
      </w:r>
    </w:p>
    <w:p w14:paraId="5A8AB417" w14:textId="77777777" w:rsidR="000E417F" w:rsidRDefault="000E417F" w:rsidP="000E417F">
      <w:pPr>
        <w:spacing w:line="480" w:lineRule="auto"/>
        <w:jc w:val="both"/>
        <w:rPr>
          <w:rFonts w:ascii="Arial" w:hAnsi="Arial" w:cs="Arial"/>
          <w:sz w:val="20"/>
          <w:szCs w:val="20"/>
        </w:rPr>
      </w:pPr>
    </w:p>
    <w:p w14:paraId="162BC1F5" w14:textId="77777777" w:rsidR="000E417F" w:rsidRDefault="000E417F" w:rsidP="000E417F">
      <w:pPr>
        <w:spacing w:line="480" w:lineRule="auto"/>
        <w:jc w:val="both"/>
        <w:rPr>
          <w:rFonts w:ascii="Arial" w:hAnsi="Arial" w:cs="Arial"/>
          <w:sz w:val="20"/>
          <w:szCs w:val="20"/>
        </w:rPr>
      </w:pPr>
      <w:r>
        <w:rPr>
          <w:rFonts w:ascii="Arial" w:hAnsi="Arial" w:cs="Arial"/>
          <w:sz w:val="20"/>
          <w:szCs w:val="20"/>
        </w:rPr>
        <w:t xml:space="preserve">Table 2 </w:t>
      </w:r>
      <w:r>
        <w:rPr>
          <w:rFonts w:ascii="Arial" w:hAnsi="Arial" w:cs="Arial"/>
          <w:bCs/>
          <w:sz w:val="20"/>
          <w:szCs w:val="20"/>
        </w:rPr>
        <w:t>compares the mean and standard deviation of the haematological parameters (haemoglobin concentration (HGB), haematocrit (HCT), red blood cell count (RBC), mean cell volume (MCV), mean cell haemoglobin (MCH), mean cell haemoglobin concentration (MCHC), red cell distribution width (RDW) and reticulocyte count (RC) of the study participants using analysis of variance (ANOVA) and Post-Hoc</w:t>
      </w:r>
      <w:r>
        <w:rPr>
          <w:rFonts w:ascii="Arial" w:hAnsi="Arial" w:cs="Arial"/>
          <w:sz w:val="20"/>
          <w:szCs w:val="20"/>
        </w:rPr>
        <w:t xml:space="preserve"> Tukey HSD tests.  </w:t>
      </w:r>
    </w:p>
    <w:p w14:paraId="27BC9831" w14:textId="77777777" w:rsidR="000E417F" w:rsidRDefault="000E417F" w:rsidP="000E417F">
      <w:pPr>
        <w:spacing w:line="480" w:lineRule="auto"/>
        <w:jc w:val="both"/>
        <w:rPr>
          <w:rFonts w:ascii="Arial" w:hAnsi="Arial" w:cs="Arial"/>
          <w:sz w:val="20"/>
          <w:szCs w:val="20"/>
        </w:rPr>
      </w:pPr>
      <w:r>
        <w:rPr>
          <w:rFonts w:ascii="Arial" w:hAnsi="Arial" w:cs="Arial"/>
          <w:sz w:val="20"/>
          <w:szCs w:val="20"/>
        </w:rPr>
        <w:t xml:space="preserve">The result of this study showed the mean and standard deviation of the red blood cell metrics, HGB, HCT, RBC, MCV, MCH and MCHC for the Test, Negative Control (Control 1) and the Positive Control (Control </w:t>
      </w:r>
      <w:r>
        <w:rPr>
          <w:rFonts w:ascii="Arial" w:hAnsi="Arial" w:cs="Arial"/>
          <w:sz w:val="20"/>
          <w:szCs w:val="20"/>
        </w:rPr>
        <w:lastRenderedPageBreak/>
        <w:t>2) were found to be 12.83</w:t>
      </w:r>
      <w:r>
        <w:rPr>
          <w:rFonts w:ascii="Arial" w:hAnsi="Arial" w:cs="Arial"/>
          <w:bCs/>
          <w:sz w:val="20"/>
          <w:szCs w:val="20"/>
        </w:rPr>
        <w:t>±1.62g/dL, 13.88±1.03g/dL and 13.50±1.47g/dL for HGB (</w:t>
      </w:r>
      <w:r>
        <w:rPr>
          <w:rFonts w:ascii="Arial" w:hAnsi="Arial" w:cs="Arial"/>
          <w:bCs/>
          <w:i/>
          <w:sz w:val="20"/>
          <w:szCs w:val="20"/>
        </w:rPr>
        <w:t>P</w:t>
      </w:r>
      <w:r>
        <w:rPr>
          <w:rFonts w:ascii="Arial" w:hAnsi="Arial" w:cs="Arial"/>
          <w:bCs/>
          <w:sz w:val="20"/>
          <w:szCs w:val="20"/>
        </w:rPr>
        <w:t xml:space="preserve">=0.17 and F=1.82); 37.00±5.00%, 38.00±3.00% and  40.00±4.00% </w:t>
      </w:r>
      <w:r>
        <w:rPr>
          <w:rFonts w:ascii="Arial" w:hAnsi="Arial" w:cs="Arial"/>
          <w:sz w:val="20"/>
          <w:szCs w:val="20"/>
        </w:rPr>
        <w:t>respectively for HCT (</w:t>
      </w:r>
      <w:r>
        <w:rPr>
          <w:rFonts w:ascii="Arial" w:hAnsi="Arial" w:cs="Arial"/>
          <w:bCs/>
          <w:i/>
          <w:sz w:val="20"/>
          <w:szCs w:val="20"/>
        </w:rPr>
        <w:t>P</w:t>
      </w:r>
      <w:r>
        <w:rPr>
          <w:rFonts w:ascii="Arial" w:hAnsi="Arial" w:cs="Arial"/>
          <w:sz w:val="20"/>
          <w:szCs w:val="20"/>
        </w:rPr>
        <w:t>=</w:t>
      </w:r>
      <w:r>
        <w:rPr>
          <w:rFonts w:ascii="Arial" w:hAnsi="Arial" w:cs="Arial"/>
          <w:bCs/>
          <w:sz w:val="20"/>
          <w:szCs w:val="20"/>
        </w:rPr>
        <w:t>0.06 and F=2.91)</w:t>
      </w:r>
      <w:r>
        <w:rPr>
          <w:rFonts w:ascii="Arial" w:hAnsi="Arial" w:cs="Arial"/>
          <w:sz w:val="20"/>
          <w:szCs w:val="20"/>
        </w:rPr>
        <w:t>; 4.37</w:t>
      </w:r>
      <w:r>
        <w:rPr>
          <w:rFonts w:ascii="Arial" w:hAnsi="Arial" w:cs="Arial"/>
          <w:bCs/>
          <w:sz w:val="20"/>
          <w:szCs w:val="20"/>
        </w:rPr>
        <w:t>±0.68x10</w:t>
      </w:r>
      <w:r>
        <w:rPr>
          <w:rFonts w:ascii="Arial" w:hAnsi="Arial" w:cs="Arial"/>
          <w:bCs/>
          <w:sz w:val="20"/>
          <w:szCs w:val="20"/>
          <w:vertAlign w:val="superscript"/>
        </w:rPr>
        <w:t>12</w:t>
      </w:r>
      <w:r>
        <w:rPr>
          <w:rFonts w:ascii="Arial" w:hAnsi="Arial" w:cs="Arial"/>
          <w:bCs/>
          <w:sz w:val="20"/>
          <w:szCs w:val="20"/>
        </w:rPr>
        <w:t xml:space="preserve">/L, </w:t>
      </w:r>
      <w:r>
        <w:rPr>
          <w:rFonts w:ascii="Arial" w:hAnsi="Arial" w:cs="Arial"/>
          <w:sz w:val="20"/>
          <w:szCs w:val="20"/>
        </w:rPr>
        <w:t>4.57</w:t>
      </w:r>
      <w:r>
        <w:rPr>
          <w:rFonts w:ascii="Arial" w:hAnsi="Arial" w:cs="Arial"/>
          <w:bCs/>
          <w:sz w:val="20"/>
          <w:szCs w:val="20"/>
        </w:rPr>
        <w:t>±0.61x10</w:t>
      </w:r>
      <w:r>
        <w:rPr>
          <w:rFonts w:ascii="Arial" w:hAnsi="Arial" w:cs="Arial"/>
          <w:bCs/>
          <w:sz w:val="20"/>
          <w:szCs w:val="20"/>
          <w:vertAlign w:val="superscript"/>
        </w:rPr>
        <w:t>12</w:t>
      </w:r>
      <w:r>
        <w:rPr>
          <w:rFonts w:ascii="Arial" w:hAnsi="Arial" w:cs="Arial"/>
          <w:bCs/>
          <w:sz w:val="20"/>
          <w:szCs w:val="20"/>
        </w:rPr>
        <w:t xml:space="preserve">/L and </w:t>
      </w:r>
      <w:r>
        <w:rPr>
          <w:rFonts w:ascii="Arial" w:hAnsi="Arial" w:cs="Arial"/>
          <w:sz w:val="20"/>
          <w:szCs w:val="20"/>
        </w:rPr>
        <w:t>4.81</w:t>
      </w:r>
      <w:r>
        <w:rPr>
          <w:rFonts w:ascii="Arial" w:hAnsi="Arial" w:cs="Arial"/>
          <w:bCs/>
          <w:sz w:val="20"/>
          <w:szCs w:val="20"/>
        </w:rPr>
        <w:t>±0.45x10</w:t>
      </w:r>
      <w:r>
        <w:rPr>
          <w:rFonts w:ascii="Arial" w:hAnsi="Arial" w:cs="Arial"/>
          <w:bCs/>
          <w:sz w:val="20"/>
          <w:szCs w:val="20"/>
          <w:vertAlign w:val="superscript"/>
        </w:rPr>
        <w:t>12</w:t>
      </w:r>
      <w:r>
        <w:rPr>
          <w:rFonts w:ascii="Arial" w:hAnsi="Arial" w:cs="Arial"/>
          <w:bCs/>
          <w:sz w:val="20"/>
          <w:szCs w:val="20"/>
        </w:rPr>
        <w:t>/L</w:t>
      </w:r>
      <w:r>
        <w:rPr>
          <w:rFonts w:ascii="Arial" w:hAnsi="Arial" w:cs="Arial"/>
          <w:sz w:val="20"/>
          <w:szCs w:val="20"/>
        </w:rPr>
        <w:t xml:space="preserve">  respectively for RBC (</w:t>
      </w:r>
      <w:r>
        <w:rPr>
          <w:rFonts w:ascii="Arial" w:hAnsi="Arial" w:cs="Arial"/>
          <w:bCs/>
          <w:i/>
          <w:sz w:val="20"/>
          <w:szCs w:val="20"/>
        </w:rPr>
        <w:t>P</w:t>
      </w:r>
      <w:r>
        <w:rPr>
          <w:rFonts w:ascii="Arial" w:hAnsi="Arial" w:cs="Arial"/>
          <w:sz w:val="20"/>
          <w:szCs w:val="20"/>
        </w:rPr>
        <w:t xml:space="preserve">=0.01 and F=4.31); </w:t>
      </w:r>
      <w:r>
        <w:rPr>
          <w:rFonts w:ascii="Arial" w:hAnsi="Arial" w:cs="Arial"/>
          <w:bCs/>
          <w:sz w:val="20"/>
          <w:szCs w:val="20"/>
        </w:rPr>
        <w:t>82.76±5.49fL, 82.67±6.77fL and 83.24±7.52fL</w:t>
      </w:r>
      <w:r>
        <w:rPr>
          <w:rFonts w:ascii="Arial" w:hAnsi="Arial" w:cs="Arial"/>
          <w:sz w:val="20"/>
          <w:szCs w:val="20"/>
        </w:rPr>
        <w:t xml:space="preserve"> respectively for MCV (</w:t>
      </w:r>
      <w:r>
        <w:rPr>
          <w:rFonts w:ascii="Arial" w:hAnsi="Arial" w:cs="Arial"/>
          <w:bCs/>
          <w:i/>
          <w:sz w:val="20"/>
          <w:szCs w:val="20"/>
        </w:rPr>
        <w:t>P</w:t>
      </w:r>
      <w:r>
        <w:rPr>
          <w:rFonts w:ascii="Arial" w:hAnsi="Arial" w:cs="Arial"/>
          <w:sz w:val="20"/>
          <w:szCs w:val="20"/>
        </w:rPr>
        <w:t>=</w:t>
      </w:r>
      <w:r>
        <w:rPr>
          <w:rFonts w:ascii="Arial" w:hAnsi="Arial" w:cs="Arial"/>
          <w:bCs/>
          <w:sz w:val="20"/>
          <w:szCs w:val="20"/>
        </w:rPr>
        <w:t>0.06 and F=0.94)</w:t>
      </w:r>
      <w:r>
        <w:rPr>
          <w:rFonts w:ascii="Arial" w:hAnsi="Arial" w:cs="Arial"/>
          <w:sz w:val="20"/>
          <w:szCs w:val="20"/>
        </w:rPr>
        <w:t xml:space="preserve">; </w:t>
      </w:r>
      <w:r>
        <w:rPr>
          <w:rFonts w:ascii="Arial" w:hAnsi="Arial" w:cs="Arial"/>
          <w:bCs/>
          <w:sz w:val="20"/>
          <w:szCs w:val="20"/>
        </w:rPr>
        <w:t>29.16±2.05pg, 28.47±2.38pg and 28.39±2.87pg</w:t>
      </w:r>
      <w:r>
        <w:rPr>
          <w:rFonts w:ascii="Arial" w:hAnsi="Arial" w:cs="Arial"/>
          <w:sz w:val="20"/>
          <w:szCs w:val="20"/>
        </w:rPr>
        <w:t xml:space="preserve"> respectively for MCH (</w:t>
      </w:r>
      <w:r>
        <w:rPr>
          <w:rFonts w:ascii="Arial" w:hAnsi="Arial" w:cs="Arial"/>
          <w:bCs/>
          <w:i/>
          <w:sz w:val="20"/>
          <w:szCs w:val="20"/>
        </w:rPr>
        <w:t>P</w:t>
      </w:r>
      <w:r>
        <w:rPr>
          <w:rFonts w:ascii="Arial" w:hAnsi="Arial" w:cs="Arial"/>
          <w:bCs/>
          <w:sz w:val="20"/>
          <w:szCs w:val="20"/>
        </w:rPr>
        <w:t>=0.42</w:t>
      </w:r>
      <w:r>
        <w:rPr>
          <w:rFonts w:ascii="Arial" w:hAnsi="Arial" w:cs="Arial"/>
          <w:sz w:val="20"/>
          <w:szCs w:val="20"/>
        </w:rPr>
        <w:t xml:space="preserve"> and F=0.88); </w:t>
      </w:r>
      <w:r>
        <w:rPr>
          <w:rFonts w:ascii="Arial" w:hAnsi="Arial" w:cs="Arial"/>
          <w:bCs/>
          <w:sz w:val="20"/>
          <w:szCs w:val="20"/>
        </w:rPr>
        <w:t>34.53±2.81g/dL, 34.15±2.02g/dL and 34.12±2.67/dL</w:t>
      </w:r>
      <w:r>
        <w:rPr>
          <w:rFonts w:ascii="Arial" w:hAnsi="Arial" w:cs="Arial"/>
          <w:sz w:val="20"/>
          <w:szCs w:val="20"/>
        </w:rPr>
        <w:t xml:space="preserve"> respectively for MCHC (</w:t>
      </w:r>
      <w:r>
        <w:rPr>
          <w:rFonts w:ascii="Arial" w:hAnsi="Arial" w:cs="Arial"/>
          <w:bCs/>
          <w:i/>
          <w:sz w:val="20"/>
          <w:szCs w:val="20"/>
        </w:rPr>
        <w:t>P</w:t>
      </w:r>
      <w:r>
        <w:rPr>
          <w:rFonts w:ascii="Arial" w:hAnsi="Arial" w:cs="Arial"/>
          <w:sz w:val="20"/>
          <w:szCs w:val="20"/>
        </w:rPr>
        <w:t>=</w:t>
      </w:r>
      <w:r>
        <w:rPr>
          <w:rFonts w:ascii="Arial" w:hAnsi="Arial" w:cs="Arial"/>
          <w:bCs/>
          <w:sz w:val="20"/>
          <w:szCs w:val="20"/>
        </w:rPr>
        <w:t>0.78 and F=0.25)</w:t>
      </w:r>
      <w:r>
        <w:rPr>
          <w:rFonts w:ascii="Arial" w:hAnsi="Arial" w:cs="Arial"/>
          <w:sz w:val="20"/>
          <w:szCs w:val="20"/>
        </w:rPr>
        <w:t xml:space="preserve">; </w:t>
      </w:r>
      <w:r>
        <w:rPr>
          <w:rFonts w:ascii="Arial" w:hAnsi="Arial" w:cs="Arial"/>
          <w:bCs/>
          <w:sz w:val="20"/>
          <w:szCs w:val="20"/>
        </w:rPr>
        <w:t xml:space="preserve">14.62±3.95%, 14.15±3.97% and 13.87±1.37 </w:t>
      </w:r>
      <w:r>
        <w:rPr>
          <w:rFonts w:ascii="Arial" w:eastAsia="Times New Roman" w:hAnsi="Arial" w:cs="Arial"/>
          <w:sz w:val="20"/>
          <w:szCs w:val="20"/>
        </w:rPr>
        <w:t xml:space="preserve">respectively for </w:t>
      </w:r>
      <w:r>
        <w:rPr>
          <w:rFonts w:ascii="Arial" w:hAnsi="Arial" w:cs="Arial"/>
          <w:sz w:val="20"/>
          <w:szCs w:val="20"/>
        </w:rPr>
        <w:t>RDW (</w:t>
      </w:r>
      <w:r>
        <w:rPr>
          <w:rFonts w:ascii="Arial" w:hAnsi="Arial" w:cs="Arial"/>
          <w:bCs/>
          <w:i/>
          <w:sz w:val="20"/>
          <w:szCs w:val="20"/>
        </w:rPr>
        <w:t>P</w:t>
      </w:r>
      <w:r>
        <w:rPr>
          <w:rFonts w:ascii="Arial" w:hAnsi="Arial" w:cs="Arial"/>
          <w:sz w:val="20"/>
          <w:szCs w:val="20"/>
        </w:rPr>
        <w:t>=0.32 and</w:t>
      </w:r>
      <w:r>
        <w:rPr>
          <w:rFonts w:ascii="Arial" w:eastAsia="Times New Roman" w:hAnsi="Arial" w:cs="Arial"/>
          <w:sz w:val="20"/>
          <w:szCs w:val="20"/>
        </w:rPr>
        <w:t xml:space="preserve"> F=2.26) and </w:t>
      </w:r>
      <w:r>
        <w:rPr>
          <w:rFonts w:ascii="Arial" w:hAnsi="Arial" w:cs="Arial"/>
          <w:bCs/>
          <w:sz w:val="20"/>
          <w:szCs w:val="20"/>
        </w:rPr>
        <w:t>2.50±1.30%, 0.30±0.10% and 0.50±0.20%</w:t>
      </w:r>
      <w:r>
        <w:rPr>
          <w:rFonts w:ascii="Arial" w:eastAsia="Times New Roman" w:hAnsi="Arial" w:cs="Arial"/>
          <w:sz w:val="20"/>
          <w:szCs w:val="20"/>
        </w:rPr>
        <w:t xml:space="preserve"> respectively for </w:t>
      </w:r>
      <w:r>
        <w:rPr>
          <w:rFonts w:ascii="Arial" w:hAnsi="Arial" w:cs="Arial"/>
          <w:sz w:val="20"/>
          <w:szCs w:val="20"/>
        </w:rPr>
        <w:t>RC (</w:t>
      </w:r>
      <w:r>
        <w:rPr>
          <w:rFonts w:ascii="Arial" w:hAnsi="Arial" w:cs="Arial"/>
          <w:bCs/>
          <w:i/>
          <w:sz w:val="20"/>
          <w:szCs w:val="20"/>
        </w:rPr>
        <w:t>P</w:t>
      </w:r>
      <w:r>
        <w:rPr>
          <w:rFonts w:ascii="Arial" w:hAnsi="Arial" w:cs="Arial"/>
          <w:sz w:val="20"/>
          <w:szCs w:val="20"/>
        </w:rPr>
        <w:t xml:space="preserve">=0.00 and F=18.32). </w:t>
      </w:r>
    </w:p>
    <w:p w14:paraId="09274E85" w14:textId="77777777" w:rsidR="000E417F" w:rsidRDefault="000E417F" w:rsidP="000E417F">
      <w:pPr>
        <w:spacing w:line="480" w:lineRule="auto"/>
        <w:ind w:left="90"/>
        <w:jc w:val="both"/>
        <w:rPr>
          <w:rFonts w:ascii="Arial" w:hAnsi="Arial" w:cs="Arial"/>
          <w:sz w:val="20"/>
          <w:szCs w:val="20"/>
        </w:rPr>
      </w:pPr>
      <w:r>
        <w:rPr>
          <w:rFonts w:ascii="Arial" w:eastAsia="Times New Roman" w:hAnsi="Arial" w:cs="Arial"/>
          <w:sz w:val="20"/>
          <w:szCs w:val="20"/>
        </w:rPr>
        <w:t>No statistically significant differences (p&gt;0.05) were observed in the HGB, HCT, MCV, MCH, MCHC and RDW. However,</w:t>
      </w:r>
      <w:r>
        <w:rPr>
          <w:rFonts w:ascii="Arial" w:hAnsi="Arial" w:cs="Arial"/>
          <w:sz w:val="20"/>
          <w:szCs w:val="20"/>
        </w:rPr>
        <w:t xml:space="preserve"> there was a reduced statistically significant difference (</w:t>
      </w:r>
      <w:r>
        <w:rPr>
          <w:rFonts w:ascii="Arial" w:hAnsi="Arial" w:cs="Arial"/>
          <w:i/>
          <w:sz w:val="20"/>
          <w:szCs w:val="20"/>
        </w:rPr>
        <w:t>P</w:t>
      </w:r>
      <w:r>
        <w:rPr>
          <w:rFonts w:ascii="Arial" w:hAnsi="Arial" w:cs="Arial"/>
          <w:sz w:val="20"/>
          <w:szCs w:val="20"/>
        </w:rPr>
        <w:t>&lt;0.05) in the red blood cell count and an increased statistically significant difference (</w:t>
      </w:r>
      <w:r>
        <w:rPr>
          <w:rFonts w:ascii="Arial" w:hAnsi="Arial" w:cs="Arial"/>
          <w:bCs/>
          <w:i/>
          <w:sz w:val="20"/>
          <w:szCs w:val="20"/>
        </w:rPr>
        <w:t>P</w:t>
      </w:r>
      <w:r>
        <w:rPr>
          <w:rFonts w:ascii="Arial" w:hAnsi="Arial" w:cs="Arial"/>
          <w:sz w:val="20"/>
          <w:szCs w:val="20"/>
        </w:rPr>
        <w:t xml:space="preserve">&lt;0.05) in the reticulocytes count among the Test group when compared with the Control groups with </w:t>
      </w:r>
      <w:r>
        <w:rPr>
          <w:rFonts w:ascii="Arial" w:hAnsi="Arial" w:cs="Arial"/>
          <w:bCs/>
          <w:i/>
          <w:sz w:val="20"/>
          <w:szCs w:val="20"/>
        </w:rPr>
        <w:t>P</w:t>
      </w:r>
      <w:r>
        <w:rPr>
          <w:rFonts w:ascii="Arial" w:hAnsi="Arial" w:cs="Arial"/>
          <w:sz w:val="20"/>
          <w:szCs w:val="20"/>
        </w:rPr>
        <w:t>&lt;0.05 in this study. Using Post Hoc Tukey HSD test, the statistically significant difference in RBC was observed between the Test and Positive Control groups and that of RC was between the Test group and the Negative Control group, as well as between the Test group and the Positive Control group but there was no statistically significant difference (</w:t>
      </w:r>
      <w:r>
        <w:rPr>
          <w:rFonts w:ascii="Arial" w:hAnsi="Arial" w:cs="Arial"/>
          <w:bCs/>
          <w:i/>
          <w:sz w:val="20"/>
          <w:szCs w:val="20"/>
        </w:rPr>
        <w:t>P</w:t>
      </w:r>
      <w:r>
        <w:rPr>
          <w:rFonts w:ascii="Arial" w:hAnsi="Arial" w:cs="Arial"/>
          <w:sz w:val="20"/>
          <w:szCs w:val="20"/>
        </w:rPr>
        <w:t>&gt;0.05) between the Negative Control group and the Positive Control group.</w:t>
      </w:r>
    </w:p>
    <w:p w14:paraId="43FBF911" w14:textId="77777777" w:rsidR="000E417F" w:rsidRDefault="000E417F" w:rsidP="000E417F">
      <w:pPr>
        <w:spacing w:after="0" w:line="240" w:lineRule="auto"/>
        <w:ind w:left="360" w:hanging="720"/>
        <w:jc w:val="both"/>
        <w:rPr>
          <w:rFonts w:ascii="Arial" w:hAnsi="Arial" w:cs="Arial"/>
          <w:b/>
          <w:sz w:val="20"/>
          <w:szCs w:val="20"/>
        </w:rPr>
      </w:pPr>
    </w:p>
    <w:p w14:paraId="348ED638" w14:textId="77777777" w:rsidR="000E417F" w:rsidRDefault="000E417F" w:rsidP="000E417F">
      <w:pPr>
        <w:spacing w:after="0" w:line="240" w:lineRule="auto"/>
        <w:ind w:left="360" w:hanging="720"/>
        <w:jc w:val="both"/>
        <w:rPr>
          <w:rFonts w:ascii="Arial" w:hAnsi="Arial" w:cs="Arial"/>
          <w:b/>
          <w:sz w:val="20"/>
          <w:szCs w:val="20"/>
        </w:rPr>
      </w:pPr>
    </w:p>
    <w:p w14:paraId="66BD0266" w14:textId="77777777" w:rsidR="000E417F" w:rsidRDefault="000E417F" w:rsidP="000E417F">
      <w:pPr>
        <w:spacing w:after="0" w:line="240" w:lineRule="auto"/>
        <w:ind w:left="360" w:hanging="720"/>
        <w:jc w:val="both"/>
        <w:rPr>
          <w:rFonts w:ascii="Arial" w:hAnsi="Arial" w:cs="Arial"/>
          <w:b/>
          <w:sz w:val="20"/>
          <w:szCs w:val="20"/>
        </w:rPr>
      </w:pPr>
    </w:p>
    <w:p w14:paraId="7C11FE02" w14:textId="77777777" w:rsidR="000E417F" w:rsidRDefault="000E417F" w:rsidP="000E417F">
      <w:pPr>
        <w:spacing w:after="0" w:line="240" w:lineRule="auto"/>
        <w:ind w:left="360" w:hanging="720"/>
        <w:jc w:val="both"/>
        <w:rPr>
          <w:rFonts w:ascii="Arial" w:hAnsi="Arial" w:cs="Arial"/>
          <w:b/>
          <w:sz w:val="20"/>
          <w:szCs w:val="20"/>
        </w:rPr>
      </w:pPr>
    </w:p>
    <w:p w14:paraId="594A95B3" w14:textId="77777777" w:rsidR="000E417F" w:rsidRDefault="000E417F" w:rsidP="000E417F">
      <w:pPr>
        <w:spacing w:after="0" w:line="240" w:lineRule="auto"/>
        <w:ind w:left="360" w:hanging="720"/>
        <w:jc w:val="both"/>
        <w:rPr>
          <w:rFonts w:ascii="Arial" w:hAnsi="Arial" w:cs="Arial"/>
          <w:b/>
          <w:sz w:val="20"/>
          <w:szCs w:val="20"/>
        </w:rPr>
      </w:pPr>
    </w:p>
    <w:p w14:paraId="1D5DE15A" w14:textId="77777777" w:rsidR="000E417F" w:rsidRDefault="000E417F" w:rsidP="000E417F">
      <w:pPr>
        <w:spacing w:after="0" w:line="240" w:lineRule="auto"/>
        <w:ind w:left="360" w:hanging="720"/>
        <w:jc w:val="both"/>
        <w:rPr>
          <w:rFonts w:ascii="Arial" w:hAnsi="Arial" w:cs="Arial"/>
          <w:b/>
          <w:sz w:val="20"/>
          <w:szCs w:val="20"/>
        </w:rPr>
      </w:pPr>
    </w:p>
    <w:p w14:paraId="359AEDB2" w14:textId="77777777" w:rsidR="000E417F" w:rsidRDefault="000E417F" w:rsidP="000E417F">
      <w:pPr>
        <w:spacing w:after="0" w:line="240" w:lineRule="auto"/>
        <w:ind w:left="360" w:hanging="720"/>
        <w:jc w:val="both"/>
        <w:rPr>
          <w:rFonts w:ascii="Arial" w:hAnsi="Arial" w:cs="Arial"/>
          <w:b/>
          <w:sz w:val="20"/>
          <w:szCs w:val="20"/>
        </w:rPr>
      </w:pPr>
    </w:p>
    <w:p w14:paraId="139DA1C1" w14:textId="77777777" w:rsidR="000E417F" w:rsidRDefault="000E417F" w:rsidP="000E417F">
      <w:pPr>
        <w:spacing w:after="0" w:line="240" w:lineRule="auto"/>
        <w:ind w:left="360" w:hanging="720"/>
        <w:jc w:val="both"/>
        <w:rPr>
          <w:rFonts w:ascii="Arial" w:hAnsi="Arial" w:cs="Arial"/>
          <w:b/>
          <w:sz w:val="20"/>
          <w:szCs w:val="20"/>
        </w:rPr>
      </w:pPr>
    </w:p>
    <w:p w14:paraId="215325A8" w14:textId="77777777" w:rsidR="000E417F" w:rsidRDefault="000E417F" w:rsidP="000E417F">
      <w:pPr>
        <w:spacing w:after="0" w:line="240" w:lineRule="auto"/>
        <w:ind w:left="360" w:hanging="720"/>
        <w:jc w:val="both"/>
        <w:rPr>
          <w:rFonts w:ascii="Arial" w:hAnsi="Arial" w:cs="Arial"/>
          <w:b/>
          <w:sz w:val="20"/>
          <w:szCs w:val="20"/>
        </w:rPr>
      </w:pPr>
    </w:p>
    <w:p w14:paraId="0DD86EE2" w14:textId="77777777" w:rsidR="000E417F" w:rsidRDefault="000E417F" w:rsidP="000E417F">
      <w:pPr>
        <w:spacing w:after="0" w:line="240" w:lineRule="auto"/>
        <w:ind w:left="360" w:hanging="720"/>
        <w:jc w:val="both"/>
        <w:rPr>
          <w:rFonts w:ascii="Arial" w:hAnsi="Arial" w:cs="Arial"/>
          <w:b/>
          <w:sz w:val="20"/>
          <w:szCs w:val="20"/>
        </w:rPr>
      </w:pPr>
    </w:p>
    <w:p w14:paraId="43228734" w14:textId="77777777" w:rsidR="000E417F" w:rsidRDefault="000E417F" w:rsidP="000E417F">
      <w:pPr>
        <w:spacing w:after="0" w:line="240" w:lineRule="auto"/>
        <w:ind w:left="360" w:hanging="720"/>
        <w:jc w:val="both"/>
        <w:rPr>
          <w:rFonts w:ascii="Arial" w:hAnsi="Arial" w:cs="Arial"/>
          <w:b/>
          <w:sz w:val="20"/>
          <w:szCs w:val="20"/>
        </w:rPr>
      </w:pPr>
    </w:p>
    <w:p w14:paraId="1EA9AB16" w14:textId="77777777" w:rsidR="000E417F" w:rsidRDefault="000E417F" w:rsidP="000E417F">
      <w:pPr>
        <w:spacing w:after="0" w:line="240" w:lineRule="auto"/>
        <w:ind w:left="360" w:hanging="720"/>
        <w:jc w:val="both"/>
        <w:rPr>
          <w:rFonts w:ascii="Arial" w:hAnsi="Arial" w:cs="Arial"/>
          <w:b/>
          <w:sz w:val="20"/>
          <w:szCs w:val="20"/>
        </w:rPr>
      </w:pPr>
    </w:p>
    <w:p w14:paraId="6E15329F" w14:textId="77777777" w:rsidR="000E417F" w:rsidRDefault="000E417F" w:rsidP="000E417F">
      <w:pPr>
        <w:spacing w:after="0" w:line="240" w:lineRule="auto"/>
        <w:ind w:left="360" w:hanging="720"/>
        <w:jc w:val="both"/>
        <w:rPr>
          <w:rFonts w:ascii="Arial" w:hAnsi="Arial" w:cs="Arial"/>
          <w:b/>
          <w:sz w:val="20"/>
          <w:szCs w:val="20"/>
        </w:rPr>
      </w:pPr>
    </w:p>
    <w:p w14:paraId="3E43F07A" w14:textId="77777777" w:rsidR="000E417F" w:rsidRDefault="000E417F" w:rsidP="000E417F">
      <w:pPr>
        <w:spacing w:after="0" w:line="240" w:lineRule="auto"/>
        <w:ind w:left="360" w:hanging="720"/>
        <w:jc w:val="both"/>
        <w:rPr>
          <w:rFonts w:ascii="Arial" w:hAnsi="Arial" w:cs="Arial"/>
          <w:b/>
          <w:sz w:val="20"/>
          <w:szCs w:val="20"/>
        </w:rPr>
      </w:pPr>
    </w:p>
    <w:p w14:paraId="4F6D55C1" w14:textId="77777777" w:rsidR="000E417F" w:rsidRDefault="000E417F" w:rsidP="000E417F">
      <w:pPr>
        <w:spacing w:after="0" w:line="240" w:lineRule="auto"/>
        <w:ind w:left="360" w:hanging="720"/>
        <w:jc w:val="both"/>
        <w:rPr>
          <w:rFonts w:ascii="Arial" w:hAnsi="Arial" w:cs="Arial"/>
          <w:b/>
          <w:sz w:val="20"/>
          <w:szCs w:val="20"/>
        </w:rPr>
      </w:pPr>
    </w:p>
    <w:p w14:paraId="307FBA5C" w14:textId="77777777" w:rsidR="000E417F" w:rsidRDefault="000E417F" w:rsidP="000E417F">
      <w:pPr>
        <w:spacing w:after="0" w:line="240" w:lineRule="auto"/>
        <w:ind w:left="360" w:hanging="720"/>
        <w:jc w:val="both"/>
        <w:rPr>
          <w:rFonts w:ascii="Arial" w:hAnsi="Arial" w:cs="Arial"/>
          <w:b/>
          <w:sz w:val="20"/>
          <w:szCs w:val="20"/>
        </w:rPr>
      </w:pPr>
    </w:p>
    <w:p w14:paraId="2F1D2ED2" w14:textId="77777777" w:rsidR="000E417F" w:rsidRDefault="000E417F" w:rsidP="000E417F">
      <w:pPr>
        <w:spacing w:after="0" w:line="240" w:lineRule="auto"/>
        <w:ind w:left="360" w:hanging="720"/>
        <w:jc w:val="both"/>
        <w:rPr>
          <w:rFonts w:ascii="Arial" w:hAnsi="Arial" w:cs="Arial"/>
          <w:b/>
          <w:sz w:val="20"/>
          <w:szCs w:val="20"/>
        </w:rPr>
      </w:pPr>
    </w:p>
    <w:p w14:paraId="0D99E823" w14:textId="77777777" w:rsidR="000E417F" w:rsidRDefault="000E417F" w:rsidP="000E417F">
      <w:pPr>
        <w:spacing w:after="0" w:line="240" w:lineRule="auto"/>
        <w:ind w:left="360" w:hanging="720"/>
        <w:jc w:val="both"/>
        <w:rPr>
          <w:rFonts w:ascii="Arial" w:hAnsi="Arial" w:cs="Arial"/>
          <w:b/>
          <w:sz w:val="20"/>
          <w:szCs w:val="20"/>
        </w:rPr>
      </w:pPr>
    </w:p>
    <w:p w14:paraId="646B42E1" w14:textId="77777777" w:rsidR="000E417F" w:rsidRDefault="000E417F" w:rsidP="000E417F">
      <w:pPr>
        <w:spacing w:after="0" w:line="240" w:lineRule="auto"/>
        <w:rPr>
          <w:rFonts w:ascii="Arial" w:hAnsi="Arial" w:cs="Arial"/>
          <w:bCs/>
          <w:sz w:val="20"/>
          <w:szCs w:val="20"/>
        </w:rPr>
        <w:sectPr w:rsidR="000E417F" w:rsidSect="000E417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99"/>
        </w:sectPr>
      </w:pPr>
    </w:p>
    <w:p w14:paraId="01F1AC7A" w14:textId="77777777" w:rsidR="000E417F" w:rsidRDefault="000E417F" w:rsidP="000E417F">
      <w:pPr>
        <w:spacing w:after="0" w:line="240" w:lineRule="auto"/>
        <w:ind w:left="360" w:hanging="720"/>
        <w:jc w:val="both"/>
        <w:rPr>
          <w:rFonts w:ascii="Arial" w:hAnsi="Arial" w:cs="Arial"/>
          <w:b/>
          <w:bCs/>
          <w:sz w:val="20"/>
          <w:szCs w:val="20"/>
        </w:rPr>
      </w:pPr>
      <w:r>
        <w:rPr>
          <w:rFonts w:ascii="Arial" w:hAnsi="Arial" w:cs="Arial"/>
          <w:b/>
          <w:sz w:val="20"/>
          <w:szCs w:val="20"/>
        </w:rPr>
        <w:lastRenderedPageBreak/>
        <w:t xml:space="preserve">                 Table 2 </w:t>
      </w:r>
      <w:r>
        <w:rPr>
          <w:rFonts w:ascii="Arial" w:hAnsi="Arial" w:cs="Arial"/>
          <w:b/>
          <w:bCs/>
          <w:sz w:val="20"/>
          <w:szCs w:val="20"/>
        </w:rPr>
        <w:t>Comparison of the Mean and Standard Deviation of Res Blood Cell Metrics among the Study Participants.</w:t>
      </w:r>
    </w:p>
    <w:p w14:paraId="2F7265AA" w14:textId="77777777" w:rsidR="000E417F" w:rsidRDefault="000E417F" w:rsidP="000E417F">
      <w:pPr>
        <w:spacing w:line="240" w:lineRule="auto"/>
        <w:ind w:left="-360"/>
        <w:jc w:val="both"/>
        <w:rPr>
          <w:rFonts w:ascii="Arial" w:hAnsi="Arial" w:cs="Arial"/>
          <w:b/>
          <w:bCs/>
          <w:sz w:val="20"/>
          <w:szCs w:val="20"/>
        </w:rPr>
      </w:pPr>
    </w:p>
    <w:tbl>
      <w:tblPr>
        <w:tblStyle w:val="TableGrid"/>
        <w:tblW w:w="119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1366"/>
        <w:gridCol w:w="1286"/>
        <w:gridCol w:w="1601"/>
        <w:gridCol w:w="1286"/>
        <w:gridCol w:w="1286"/>
        <w:gridCol w:w="1588"/>
        <w:gridCol w:w="1286"/>
        <w:gridCol w:w="1182"/>
      </w:tblGrid>
      <w:tr w:rsidR="000E417F" w14:paraId="197928AF" w14:textId="77777777" w:rsidTr="006175FA">
        <w:trPr>
          <w:trHeight w:val="647"/>
          <w:jc w:val="center"/>
        </w:trPr>
        <w:tc>
          <w:tcPr>
            <w:tcW w:w="1077" w:type="dxa"/>
            <w:tcBorders>
              <w:top w:val="single" w:sz="4" w:space="0" w:color="auto"/>
              <w:left w:val="nil"/>
              <w:bottom w:val="single" w:sz="4" w:space="0" w:color="auto"/>
              <w:right w:val="nil"/>
            </w:tcBorders>
          </w:tcPr>
          <w:p w14:paraId="52B2FE14" w14:textId="77777777" w:rsidR="000E417F" w:rsidRDefault="000E417F" w:rsidP="006175FA">
            <w:pPr>
              <w:spacing w:after="0" w:line="240" w:lineRule="auto"/>
              <w:jc w:val="both"/>
              <w:rPr>
                <w:rFonts w:ascii="Arial" w:hAnsi="Arial" w:cs="Arial"/>
                <w:b/>
              </w:rPr>
            </w:pPr>
            <w:r>
              <w:rPr>
                <w:rFonts w:ascii="Arial" w:hAnsi="Arial" w:cs="Arial"/>
                <w:b/>
              </w:rPr>
              <w:t>Groups</w:t>
            </w:r>
          </w:p>
        </w:tc>
        <w:tc>
          <w:tcPr>
            <w:tcW w:w="1366" w:type="dxa"/>
            <w:tcBorders>
              <w:top w:val="single" w:sz="4" w:space="0" w:color="auto"/>
              <w:left w:val="nil"/>
              <w:bottom w:val="single" w:sz="4" w:space="0" w:color="auto"/>
              <w:right w:val="nil"/>
            </w:tcBorders>
          </w:tcPr>
          <w:p w14:paraId="37CA3582" w14:textId="77777777" w:rsidR="000E417F" w:rsidRDefault="000E417F" w:rsidP="006175FA">
            <w:pPr>
              <w:spacing w:after="0" w:line="240" w:lineRule="auto"/>
              <w:jc w:val="center"/>
              <w:rPr>
                <w:rFonts w:ascii="Arial" w:hAnsi="Arial" w:cs="Arial"/>
                <w:b/>
              </w:rPr>
            </w:pPr>
            <w:r>
              <w:rPr>
                <w:rFonts w:ascii="Arial" w:hAnsi="Arial" w:cs="Arial"/>
                <w:b/>
              </w:rPr>
              <w:t>HGB(g/dL)</w:t>
            </w:r>
          </w:p>
          <w:p w14:paraId="637399CF" w14:textId="77777777" w:rsidR="000E417F" w:rsidRDefault="000E417F" w:rsidP="006175FA">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286" w:type="dxa"/>
            <w:tcBorders>
              <w:top w:val="single" w:sz="4" w:space="0" w:color="auto"/>
              <w:left w:val="nil"/>
              <w:bottom w:val="single" w:sz="4" w:space="0" w:color="auto"/>
              <w:right w:val="nil"/>
            </w:tcBorders>
          </w:tcPr>
          <w:p w14:paraId="64E09561" w14:textId="77777777" w:rsidR="000E417F" w:rsidRDefault="000E417F" w:rsidP="006175FA">
            <w:pPr>
              <w:spacing w:after="0" w:line="240" w:lineRule="auto"/>
              <w:jc w:val="center"/>
              <w:rPr>
                <w:rFonts w:ascii="Arial" w:hAnsi="Arial" w:cs="Arial"/>
                <w:b/>
              </w:rPr>
            </w:pPr>
            <w:proofErr w:type="gramStart"/>
            <w:r>
              <w:rPr>
                <w:rFonts w:ascii="Arial" w:hAnsi="Arial" w:cs="Arial"/>
                <w:b/>
              </w:rPr>
              <w:t>HCT(</w:t>
            </w:r>
            <w:proofErr w:type="gramEnd"/>
            <w:r>
              <w:rPr>
                <w:rFonts w:ascii="Arial" w:hAnsi="Arial" w:cs="Arial"/>
                <w:b/>
              </w:rPr>
              <w:t>%)</w:t>
            </w:r>
          </w:p>
          <w:p w14:paraId="16CF9BC2" w14:textId="77777777" w:rsidR="000E417F" w:rsidRDefault="000E417F" w:rsidP="006175FA">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601" w:type="dxa"/>
            <w:tcBorders>
              <w:top w:val="single" w:sz="4" w:space="0" w:color="auto"/>
              <w:left w:val="nil"/>
              <w:bottom w:val="single" w:sz="4" w:space="0" w:color="auto"/>
              <w:right w:val="nil"/>
            </w:tcBorders>
          </w:tcPr>
          <w:p w14:paraId="35971C12" w14:textId="77777777" w:rsidR="000E417F" w:rsidRDefault="000E417F" w:rsidP="006175FA">
            <w:pPr>
              <w:spacing w:after="0" w:line="240" w:lineRule="auto"/>
              <w:jc w:val="center"/>
              <w:rPr>
                <w:rFonts w:ascii="Arial" w:hAnsi="Arial" w:cs="Arial"/>
                <w:b/>
              </w:rPr>
            </w:pPr>
            <w:r>
              <w:rPr>
                <w:rFonts w:ascii="Arial" w:hAnsi="Arial" w:cs="Arial"/>
                <w:b/>
              </w:rPr>
              <w:t>RBC(x10</w:t>
            </w:r>
            <w:r>
              <w:rPr>
                <w:rFonts w:ascii="Arial" w:hAnsi="Arial" w:cs="Arial"/>
                <w:b/>
                <w:vertAlign w:val="superscript"/>
              </w:rPr>
              <w:t>12</w:t>
            </w:r>
            <w:r>
              <w:rPr>
                <w:rFonts w:ascii="Arial" w:hAnsi="Arial" w:cs="Arial"/>
                <w:b/>
              </w:rPr>
              <w:t>/L)</w:t>
            </w:r>
          </w:p>
          <w:p w14:paraId="011CBA08" w14:textId="77777777" w:rsidR="000E417F" w:rsidRDefault="000E417F" w:rsidP="006175FA">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286" w:type="dxa"/>
            <w:tcBorders>
              <w:top w:val="single" w:sz="4" w:space="0" w:color="auto"/>
              <w:left w:val="nil"/>
              <w:bottom w:val="single" w:sz="4" w:space="0" w:color="auto"/>
              <w:right w:val="nil"/>
            </w:tcBorders>
          </w:tcPr>
          <w:p w14:paraId="46197011" w14:textId="77777777" w:rsidR="000E417F" w:rsidRDefault="000E417F" w:rsidP="006175FA">
            <w:pPr>
              <w:spacing w:after="0" w:line="240" w:lineRule="auto"/>
              <w:jc w:val="center"/>
              <w:rPr>
                <w:rFonts w:ascii="Arial" w:hAnsi="Arial" w:cs="Arial"/>
                <w:b/>
              </w:rPr>
            </w:pPr>
            <w:proofErr w:type="gramStart"/>
            <w:r>
              <w:rPr>
                <w:rFonts w:ascii="Arial" w:hAnsi="Arial" w:cs="Arial"/>
                <w:b/>
              </w:rPr>
              <w:t>MCV(</w:t>
            </w:r>
            <w:proofErr w:type="spellStart"/>
            <w:proofErr w:type="gramEnd"/>
            <w:r>
              <w:rPr>
                <w:rFonts w:ascii="Arial" w:hAnsi="Arial" w:cs="Arial"/>
                <w:b/>
              </w:rPr>
              <w:t>fL</w:t>
            </w:r>
            <w:proofErr w:type="spellEnd"/>
            <w:r>
              <w:rPr>
                <w:rFonts w:ascii="Arial" w:hAnsi="Arial" w:cs="Arial"/>
                <w:b/>
              </w:rPr>
              <w:t>)</w:t>
            </w:r>
          </w:p>
          <w:p w14:paraId="58ED07A1" w14:textId="77777777" w:rsidR="000E417F" w:rsidRDefault="000E417F" w:rsidP="006175FA">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286" w:type="dxa"/>
            <w:tcBorders>
              <w:top w:val="single" w:sz="4" w:space="0" w:color="auto"/>
              <w:left w:val="nil"/>
              <w:bottom w:val="single" w:sz="4" w:space="0" w:color="auto"/>
              <w:right w:val="nil"/>
            </w:tcBorders>
          </w:tcPr>
          <w:p w14:paraId="184A8D6C" w14:textId="77777777" w:rsidR="000E417F" w:rsidRDefault="000E417F" w:rsidP="006175FA">
            <w:pPr>
              <w:spacing w:after="0" w:line="240" w:lineRule="auto"/>
              <w:jc w:val="center"/>
              <w:rPr>
                <w:rFonts w:ascii="Arial" w:hAnsi="Arial" w:cs="Arial"/>
                <w:b/>
              </w:rPr>
            </w:pPr>
            <w:proofErr w:type="gramStart"/>
            <w:r>
              <w:rPr>
                <w:rFonts w:ascii="Arial" w:hAnsi="Arial" w:cs="Arial"/>
                <w:b/>
              </w:rPr>
              <w:t>MCH(</w:t>
            </w:r>
            <w:proofErr w:type="gramEnd"/>
            <w:r>
              <w:rPr>
                <w:rFonts w:ascii="Arial" w:hAnsi="Arial" w:cs="Arial"/>
                <w:b/>
              </w:rPr>
              <w:t>pg)</w:t>
            </w:r>
          </w:p>
          <w:p w14:paraId="7F202B37" w14:textId="77777777" w:rsidR="000E417F" w:rsidRDefault="000E417F" w:rsidP="006175FA">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588" w:type="dxa"/>
            <w:tcBorders>
              <w:top w:val="single" w:sz="4" w:space="0" w:color="auto"/>
              <w:left w:val="nil"/>
              <w:bottom w:val="single" w:sz="4" w:space="0" w:color="auto"/>
              <w:right w:val="nil"/>
            </w:tcBorders>
          </w:tcPr>
          <w:p w14:paraId="1026EC06" w14:textId="77777777" w:rsidR="000E417F" w:rsidRDefault="000E417F" w:rsidP="006175FA">
            <w:pPr>
              <w:spacing w:after="0" w:line="240" w:lineRule="auto"/>
              <w:jc w:val="center"/>
              <w:rPr>
                <w:rFonts w:ascii="Arial" w:hAnsi="Arial" w:cs="Arial"/>
                <w:b/>
              </w:rPr>
            </w:pPr>
            <w:r>
              <w:rPr>
                <w:rFonts w:ascii="Arial" w:hAnsi="Arial" w:cs="Arial"/>
                <w:b/>
              </w:rPr>
              <w:t>MCHC(g/dL)</w:t>
            </w:r>
          </w:p>
          <w:p w14:paraId="40394C37" w14:textId="77777777" w:rsidR="000E417F" w:rsidRDefault="000E417F" w:rsidP="006175FA">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286" w:type="dxa"/>
            <w:tcBorders>
              <w:top w:val="single" w:sz="4" w:space="0" w:color="auto"/>
              <w:left w:val="nil"/>
              <w:bottom w:val="single" w:sz="4" w:space="0" w:color="auto"/>
              <w:right w:val="nil"/>
            </w:tcBorders>
          </w:tcPr>
          <w:p w14:paraId="712DAFFF" w14:textId="77777777" w:rsidR="000E417F" w:rsidRDefault="000E417F" w:rsidP="006175FA">
            <w:pPr>
              <w:spacing w:after="0" w:line="240" w:lineRule="auto"/>
              <w:jc w:val="center"/>
              <w:rPr>
                <w:rFonts w:ascii="Arial" w:hAnsi="Arial" w:cs="Arial"/>
                <w:b/>
              </w:rPr>
            </w:pPr>
            <w:proofErr w:type="gramStart"/>
            <w:r>
              <w:rPr>
                <w:rFonts w:ascii="Arial" w:hAnsi="Arial" w:cs="Arial"/>
                <w:b/>
              </w:rPr>
              <w:t>RDW(</w:t>
            </w:r>
            <w:proofErr w:type="gramEnd"/>
            <w:r>
              <w:rPr>
                <w:rFonts w:ascii="Arial" w:hAnsi="Arial" w:cs="Arial"/>
                <w:b/>
              </w:rPr>
              <w:t>%)</w:t>
            </w:r>
          </w:p>
          <w:p w14:paraId="00C5B790" w14:textId="77777777" w:rsidR="000E417F" w:rsidRDefault="000E417F" w:rsidP="006175FA">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c>
          <w:tcPr>
            <w:tcW w:w="1182" w:type="dxa"/>
            <w:tcBorders>
              <w:top w:val="single" w:sz="4" w:space="0" w:color="auto"/>
              <w:left w:val="nil"/>
              <w:bottom w:val="single" w:sz="4" w:space="0" w:color="auto"/>
              <w:right w:val="nil"/>
            </w:tcBorders>
          </w:tcPr>
          <w:p w14:paraId="3C1FAE69" w14:textId="77777777" w:rsidR="000E417F" w:rsidRDefault="000E417F" w:rsidP="006175FA">
            <w:pPr>
              <w:spacing w:after="0" w:line="240" w:lineRule="auto"/>
              <w:jc w:val="center"/>
              <w:rPr>
                <w:rFonts w:ascii="Arial" w:hAnsi="Arial" w:cs="Arial"/>
                <w:b/>
              </w:rPr>
            </w:pPr>
            <w:proofErr w:type="gramStart"/>
            <w:r>
              <w:rPr>
                <w:rFonts w:ascii="Arial" w:hAnsi="Arial" w:cs="Arial"/>
                <w:b/>
              </w:rPr>
              <w:t>RC(</w:t>
            </w:r>
            <w:proofErr w:type="gramEnd"/>
            <w:r>
              <w:rPr>
                <w:rFonts w:ascii="Arial" w:hAnsi="Arial" w:cs="Arial"/>
                <w:b/>
              </w:rPr>
              <w:t>%)</w:t>
            </w:r>
          </w:p>
          <w:p w14:paraId="2672B43C" w14:textId="77777777" w:rsidR="000E417F" w:rsidRDefault="000E417F" w:rsidP="006175FA">
            <w:pPr>
              <w:spacing w:after="0" w:line="240" w:lineRule="auto"/>
              <w:jc w:val="center"/>
              <w:rPr>
                <w:rFonts w:ascii="Arial" w:hAnsi="Arial" w:cs="Arial"/>
                <w:b/>
              </w:rPr>
            </w:pPr>
            <w:proofErr w:type="spellStart"/>
            <w:r>
              <w:rPr>
                <w:rFonts w:ascii="Arial" w:hAnsi="Arial" w:cs="Arial"/>
                <w:b/>
              </w:rPr>
              <w:t>Mean</w:t>
            </w:r>
            <w:r>
              <w:rPr>
                <w:rFonts w:ascii="Arial" w:eastAsia="Times New Roman" w:hAnsi="Arial" w:cs="Arial"/>
                <w:b/>
              </w:rPr>
              <w:t>±SD</w:t>
            </w:r>
            <w:proofErr w:type="spellEnd"/>
          </w:p>
        </w:tc>
      </w:tr>
      <w:tr w:rsidR="000E417F" w14:paraId="13018324" w14:textId="77777777" w:rsidTr="006175FA">
        <w:trPr>
          <w:trHeight w:val="638"/>
          <w:jc w:val="center"/>
        </w:trPr>
        <w:tc>
          <w:tcPr>
            <w:tcW w:w="1077" w:type="dxa"/>
            <w:tcBorders>
              <w:top w:val="single" w:sz="4" w:space="0" w:color="auto"/>
              <w:left w:val="nil"/>
              <w:bottom w:val="nil"/>
              <w:right w:val="nil"/>
            </w:tcBorders>
          </w:tcPr>
          <w:p w14:paraId="581A6E9B" w14:textId="77777777" w:rsidR="000E417F" w:rsidRDefault="000E417F" w:rsidP="006175FA">
            <w:pPr>
              <w:spacing w:after="0" w:line="240" w:lineRule="auto"/>
              <w:jc w:val="both"/>
              <w:rPr>
                <w:rFonts w:ascii="Arial" w:hAnsi="Arial" w:cs="Arial"/>
              </w:rPr>
            </w:pPr>
            <w:r>
              <w:rPr>
                <w:rFonts w:ascii="Arial" w:hAnsi="Arial" w:cs="Arial"/>
              </w:rPr>
              <w:t xml:space="preserve">Test </w:t>
            </w:r>
          </w:p>
        </w:tc>
        <w:tc>
          <w:tcPr>
            <w:tcW w:w="1366" w:type="dxa"/>
            <w:tcBorders>
              <w:top w:val="single" w:sz="4" w:space="0" w:color="auto"/>
              <w:left w:val="nil"/>
              <w:bottom w:val="nil"/>
              <w:right w:val="nil"/>
            </w:tcBorders>
          </w:tcPr>
          <w:p w14:paraId="09121085" w14:textId="77777777" w:rsidR="000E417F" w:rsidRDefault="000E417F" w:rsidP="006175FA">
            <w:pPr>
              <w:spacing w:after="0" w:line="240" w:lineRule="auto"/>
              <w:jc w:val="center"/>
              <w:rPr>
                <w:rFonts w:ascii="Arial" w:hAnsi="Arial" w:cs="Arial"/>
                <w:bCs/>
              </w:rPr>
            </w:pPr>
            <w:r>
              <w:rPr>
                <w:rFonts w:ascii="Arial" w:hAnsi="Arial" w:cs="Arial"/>
                <w:bCs/>
              </w:rPr>
              <w:t>12.83±1.62</w:t>
            </w:r>
          </w:p>
        </w:tc>
        <w:tc>
          <w:tcPr>
            <w:tcW w:w="1286" w:type="dxa"/>
            <w:tcBorders>
              <w:top w:val="single" w:sz="4" w:space="0" w:color="auto"/>
              <w:left w:val="nil"/>
              <w:bottom w:val="nil"/>
              <w:right w:val="nil"/>
            </w:tcBorders>
          </w:tcPr>
          <w:p w14:paraId="15107A7D" w14:textId="77777777" w:rsidR="000E417F" w:rsidRDefault="000E417F" w:rsidP="006175FA">
            <w:pPr>
              <w:spacing w:after="0" w:line="240" w:lineRule="auto"/>
              <w:jc w:val="center"/>
              <w:rPr>
                <w:rFonts w:ascii="Arial" w:hAnsi="Arial" w:cs="Arial"/>
                <w:bCs/>
              </w:rPr>
            </w:pPr>
            <w:r>
              <w:rPr>
                <w:rFonts w:ascii="Arial" w:hAnsi="Arial" w:cs="Arial"/>
                <w:bCs/>
              </w:rPr>
              <w:t>37.00±5.00</w:t>
            </w:r>
          </w:p>
        </w:tc>
        <w:tc>
          <w:tcPr>
            <w:tcW w:w="1601" w:type="dxa"/>
            <w:tcBorders>
              <w:top w:val="single" w:sz="4" w:space="0" w:color="auto"/>
              <w:left w:val="nil"/>
              <w:bottom w:val="nil"/>
              <w:right w:val="nil"/>
            </w:tcBorders>
          </w:tcPr>
          <w:p w14:paraId="3437BB6B" w14:textId="77777777" w:rsidR="000E417F" w:rsidRDefault="000E417F" w:rsidP="006175FA">
            <w:pPr>
              <w:spacing w:after="0" w:line="240" w:lineRule="auto"/>
              <w:jc w:val="center"/>
              <w:rPr>
                <w:rFonts w:ascii="Arial" w:hAnsi="Arial" w:cs="Arial"/>
              </w:rPr>
            </w:pPr>
            <w:r>
              <w:rPr>
                <w:rFonts w:ascii="Arial" w:hAnsi="Arial" w:cs="Arial"/>
              </w:rPr>
              <w:t>4.37</w:t>
            </w:r>
            <w:r>
              <w:rPr>
                <w:rFonts w:ascii="Arial" w:hAnsi="Arial" w:cs="Arial"/>
                <w:bCs/>
              </w:rPr>
              <w:t>±0.68</w:t>
            </w:r>
          </w:p>
        </w:tc>
        <w:tc>
          <w:tcPr>
            <w:tcW w:w="1286" w:type="dxa"/>
            <w:tcBorders>
              <w:top w:val="single" w:sz="4" w:space="0" w:color="auto"/>
              <w:left w:val="nil"/>
              <w:bottom w:val="nil"/>
              <w:right w:val="nil"/>
            </w:tcBorders>
          </w:tcPr>
          <w:p w14:paraId="591DBF94" w14:textId="77777777" w:rsidR="000E417F" w:rsidRDefault="000E417F" w:rsidP="006175FA">
            <w:pPr>
              <w:spacing w:after="0" w:line="240" w:lineRule="auto"/>
              <w:jc w:val="center"/>
              <w:rPr>
                <w:rFonts w:ascii="Arial" w:hAnsi="Arial" w:cs="Arial"/>
                <w:bCs/>
              </w:rPr>
            </w:pPr>
            <w:r>
              <w:rPr>
                <w:rFonts w:ascii="Arial" w:hAnsi="Arial" w:cs="Arial"/>
                <w:bCs/>
              </w:rPr>
              <w:t>82.76±5.49</w:t>
            </w:r>
          </w:p>
        </w:tc>
        <w:tc>
          <w:tcPr>
            <w:tcW w:w="1286" w:type="dxa"/>
            <w:tcBorders>
              <w:top w:val="single" w:sz="4" w:space="0" w:color="auto"/>
              <w:left w:val="nil"/>
              <w:bottom w:val="nil"/>
              <w:right w:val="nil"/>
            </w:tcBorders>
          </w:tcPr>
          <w:p w14:paraId="654B6415" w14:textId="77777777" w:rsidR="000E417F" w:rsidRDefault="000E417F" w:rsidP="006175FA">
            <w:pPr>
              <w:spacing w:after="0" w:line="240" w:lineRule="auto"/>
              <w:jc w:val="center"/>
              <w:rPr>
                <w:rFonts w:ascii="Arial" w:hAnsi="Arial" w:cs="Arial"/>
                <w:bCs/>
              </w:rPr>
            </w:pPr>
            <w:r>
              <w:rPr>
                <w:rFonts w:ascii="Arial" w:hAnsi="Arial" w:cs="Arial"/>
                <w:bCs/>
              </w:rPr>
              <w:t>29.16±2.05</w:t>
            </w:r>
          </w:p>
        </w:tc>
        <w:tc>
          <w:tcPr>
            <w:tcW w:w="1588" w:type="dxa"/>
            <w:tcBorders>
              <w:top w:val="single" w:sz="4" w:space="0" w:color="auto"/>
              <w:left w:val="nil"/>
              <w:bottom w:val="nil"/>
              <w:right w:val="nil"/>
            </w:tcBorders>
          </w:tcPr>
          <w:p w14:paraId="184B793C" w14:textId="77777777" w:rsidR="000E417F" w:rsidRDefault="000E417F" w:rsidP="006175FA">
            <w:pPr>
              <w:spacing w:after="0" w:line="240" w:lineRule="auto"/>
              <w:jc w:val="center"/>
              <w:rPr>
                <w:rFonts w:ascii="Arial" w:hAnsi="Arial" w:cs="Arial"/>
                <w:bCs/>
              </w:rPr>
            </w:pPr>
            <w:r>
              <w:rPr>
                <w:rFonts w:ascii="Arial" w:hAnsi="Arial" w:cs="Arial"/>
                <w:bCs/>
              </w:rPr>
              <w:t>34.53±2.81</w:t>
            </w:r>
          </w:p>
        </w:tc>
        <w:tc>
          <w:tcPr>
            <w:tcW w:w="1286" w:type="dxa"/>
            <w:tcBorders>
              <w:top w:val="single" w:sz="4" w:space="0" w:color="auto"/>
              <w:left w:val="nil"/>
              <w:bottom w:val="nil"/>
              <w:right w:val="nil"/>
            </w:tcBorders>
          </w:tcPr>
          <w:p w14:paraId="2276B316" w14:textId="77777777" w:rsidR="000E417F" w:rsidRDefault="000E417F" w:rsidP="006175FA">
            <w:pPr>
              <w:spacing w:after="0" w:line="240" w:lineRule="auto"/>
              <w:jc w:val="center"/>
              <w:rPr>
                <w:rFonts w:ascii="Arial" w:hAnsi="Arial" w:cs="Arial"/>
                <w:bCs/>
              </w:rPr>
            </w:pPr>
            <w:r>
              <w:rPr>
                <w:rFonts w:ascii="Arial" w:hAnsi="Arial" w:cs="Arial"/>
                <w:bCs/>
              </w:rPr>
              <w:t>14.62±3.95</w:t>
            </w:r>
          </w:p>
        </w:tc>
        <w:tc>
          <w:tcPr>
            <w:tcW w:w="1182" w:type="dxa"/>
            <w:tcBorders>
              <w:top w:val="single" w:sz="4" w:space="0" w:color="auto"/>
              <w:left w:val="nil"/>
              <w:bottom w:val="nil"/>
              <w:right w:val="nil"/>
            </w:tcBorders>
          </w:tcPr>
          <w:p w14:paraId="3EC126FD" w14:textId="77777777" w:rsidR="000E417F" w:rsidRDefault="000E417F" w:rsidP="006175FA">
            <w:pPr>
              <w:spacing w:after="0" w:line="240" w:lineRule="auto"/>
              <w:jc w:val="center"/>
              <w:rPr>
                <w:rFonts w:ascii="Arial" w:hAnsi="Arial" w:cs="Arial"/>
                <w:bCs/>
              </w:rPr>
            </w:pPr>
            <w:r>
              <w:rPr>
                <w:rFonts w:ascii="Arial" w:hAnsi="Arial" w:cs="Arial"/>
                <w:bCs/>
              </w:rPr>
              <w:t>2.50±1.30</w:t>
            </w:r>
          </w:p>
        </w:tc>
      </w:tr>
      <w:tr w:rsidR="000E417F" w14:paraId="13848664" w14:textId="77777777" w:rsidTr="006175FA">
        <w:trPr>
          <w:trHeight w:val="540"/>
          <w:jc w:val="center"/>
        </w:trPr>
        <w:tc>
          <w:tcPr>
            <w:tcW w:w="1077" w:type="dxa"/>
          </w:tcPr>
          <w:p w14:paraId="3C10BDA4" w14:textId="77777777" w:rsidR="000E417F" w:rsidRDefault="000E417F" w:rsidP="006175FA">
            <w:pPr>
              <w:spacing w:after="0" w:line="240" w:lineRule="auto"/>
              <w:jc w:val="both"/>
              <w:rPr>
                <w:rFonts w:ascii="Arial" w:hAnsi="Arial" w:cs="Arial"/>
              </w:rPr>
            </w:pPr>
            <w:r>
              <w:rPr>
                <w:rFonts w:ascii="Arial" w:hAnsi="Arial" w:cs="Arial"/>
              </w:rPr>
              <w:t>Control 1</w:t>
            </w:r>
          </w:p>
        </w:tc>
        <w:tc>
          <w:tcPr>
            <w:tcW w:w="1366" w:type="dxa"/>
          </w:tcPr>
          <w:p w14:paraId="694813F1" w14:textId="77777777" w:rsidR="000E417F" w:rsidRDefault="000E417F" w:rsidP="006175FA">
            <w:pPr>
              <w:spacing w:after="0" w:line="240" w:lineRule="auto"/>
              <w:jc w:val="center"/>
              <w:rPr>
                <w:rFonts w:ascii="Arial" w:hAnsi="Arial" w:cs="Arial"/>
                <w:bCs/>
              </w:rPr>
            </w:pPr>
            <w:r>
              <w:rPr>
                <w:rFonts w:ascii="Arial" w:hAnsi="Arial" w:cs="Arial"/>
                <w:bCs/>
              </w:rPr>
              <w:t>13.88±1.03</w:t>
            </w:r>
          </w:p>
        </w:tc>
        <w:tc>
          <w:tcPr>
            <w:tcW w:w="1286" w:type="dxa"/>
          </w:tcPr>
          <w:p w14:paraId="0D31FCD0" w14:textId="77777777" w:rsidR="000E417F" w:rsidRDefault="000E417F" w:rsidP="006175FA">
            <w:pPr>
              <w:spacing w:after="0" w:line="240" w:lineRule="auto"/>
              <w:jc w:val="center"/>
              <w:rPr>
                <w:rFonts w:ascii="Arial" w:hAnsi="Arial" w:cs="Arial"/>
                <w:bCs/>
              </w:rPr>
            </w:pPr>
            <w:r>
              <w:rPr>
                <w:rFonts w:ascii="Arial" w:hAnsi="Arial" w:cs="Arial"/>
                <w:bCs/>
              </w:rPr>
              <w:t>38.00±3.00</w:t>
            </w:r>
          </w:p>
        </w:tc>
        <w:tc>
          <w:tcPr>
            <w:tcW w:w="1601" w:type="dxa"/>
          </w:tcPr>
          <w:p w14:paraId="51BC7F7E" w14:textId="77777777" w:rsidR="000E417F" w:rsidRDefault="000E417F" w:rsidP="006175FA">
            <w:pPr>
              <w:spacing w:after="0" w:line="240" w:lineRule="auto"/>
              <w:jc w:val="center"/>
              <w:rPr>
                <w:rFonts w:ascii="Arial" w:hAnsi="Arial" w:cs="Arial"/>
              </w:rPr>
            </w:pPr>
            <w:r>
              <w:rPr>
                <w:rFonts w:ascii="Arial" w:hAnsi="Arial" w:cs="Arial"/>
              </w:rPr>
              <w:t>4.57</w:t>
            </w:r>
            <w:r>
              <w:rPr>
                <w:rFonts w:ascii="Arial" w:hAnsi="Arial" w:cs="Arial"/>
                <w:bCs/>
              </w:rPr>
              <w:t>±0.61</w:t>
            </w:r>
          </w:p>
        </w:tc>
        <w:tc>
          <w:tcPr>
            <w:tcW w:w="1286" w:type="dxa"/>
          </w:tcPr>
          <w:p w14:paraId="4773ED00" w14:textId="77777777" w:rsidR="000E417F" w:rsidRDefault="000E417F" w:rsidP="006175FA">
            <w:pPr>
              <w:spacing w:after="0" w:line="240" w:lineRule="auto"/>
              <w:jc w:val="center"/>
              <w:rPr>
                <w:rFonts w:ascii="Arial" w:hAnsi="Arial" w:cs="Arial"/>
                <w:bCs/>
              </w:rPr>
            </w:pPr>
            <w:r>
              <w:rPr>
                <w:rFonts w:ascii="Arial" w:hAnsi="Arial" w:cs="Arial"/>
                <w:bCs/>
              </w:rPr>
              <w:t>82.67±6.77</w:t>
            </w:r>
          </w:p>
        </w:tc>
        <w:tc>
          <w:tcPr>
            <w:tcW w:w="1286" w:type="dxa"/>
          </w:tcPr>
          <w:p w14:paraId="4557E5E0" w14:textId="77777777" w:rsidR="000E417F" w:rsidRDefault="000E417F" w:rsidP="006175FA">
            <w:pPr>
              <w:spacing w:after="0" w:line="240" w:lineRule="auto"/>
              <w:jc w:val="center"/>
              <w:rPr>
                <w:rFonts w:ascii="Arial" w:hAnsi="Arial" w:cs="Arial"/>
                <w:bCs/>
              </w:rPr>
            </w:pPr>
            <w:r>
              <w:rPr>
                <w:rFonts w:ascii="Arial" w:hAnsi="Arial" w:cs="Arial"/>
                <w:bCs/>
              </w:rPr>
              <w:t>28.47±2.38</w:t>
            </w:r>
          </w:p>
        </w:tc>
        <w:tc>
          <w:tcPr>
            <w:tcW w:w="1588" w:type="dxa"/>
          </w:tcPr>
          <w:p w14:paraId="581AAA26" w14:textId="77777777" w:rsidR="000E417F" w:rsidRDefault="000E417F" w:rsidP="006175FA">
            <w:pPr>
              <w:spacing w:after="0" w:line="240" w:lineRule="auto"/>
              <w:jc w:val="center"/>
              <w:rPr>
                <w:rFonts w:ascii="Arial" w:hAnsi="Arial" w:cs="Arial"/>
                <w:bCs/>
              </w:rPr>
            </w:pPr>
            <w:r>
              <w:rPr>
                <w:rFonts w:ascii="Arial" w:hAnsi="Arial" w:cs="Arial"/>
                <w:bCs/>
              </w:rPr>
              <w:t>34.15±2.02</w:t>
            </w:r>
          </w:p>
        </w:tc>
        <w:tc>
          <w:tcPr>
            <w:tcW w:w="1286" w:type="dxa"/>
          </w:tcPr>
          <w:p w14:paraId="11FE639A" w14:textId="77777777" w:rsidR="000E417F" w:rsidRDefault="000E417F" w:rsidP="006175FA">
            <w:pPr>
              <w:spacing w:after="0" w:line="240" w:lineRule="auto"/>
              <w:jc w:val="center"/>
              <w:rPr>
                <w:rFonts w:ascii="Arial" w:hAnsi="Arial" w:cs="Arial"/>
                <w:bCs/>
              </w:rPr>
            </w:pPr>
            <w:r>
              <w:rPr>
                <w:rFonts w:ascii="Arial" w:hAnsi="Arial" w:cs="Arial"/>
                <w:bCs/>
              </w:rPr>
              <w:t>14.15±3.97</w:t>
            </w:r>
          </w:p>
        </w:tc>
        <w:tc>
          <w:tcPr>
            <w:tcW w:w="1182" w:type="dxa"/>
          </w:tcPr>
          <w:p w14:paraId="673FBEB8" w14:textId="77777777" w:rsidR="000E417F" w:rsidRDefault="000E417F" w:rsidP="006175FA">
            <w:pPr>
              <w:spacing w:after="0" w:line="240" w:lineRule="auto"/>
              <w:jc w:val="center"/>
              <w:rPr>
                <w:rFonts w:ascii="Arial" w:hAnsi="Arial" w:cs="Arial"/>
                <w:bCs/>
              </w:rPr>
            </w:pPr>
            <w:r>
              <w:rPr>
                <w:rFonts w:ascii="Arial" w:hAnsi="Arial" w:cs="Arial"/>
                <w:bCs/>
              </w:rPr>
              <w:t>0.30±0.10</w:t>
            </w:r>
          </w:p>
        </w:tc>
      </w:tr>
      <w:tr w:rsidR="000E417F" w14:paraId="0D7AE23C" w14:textId="77777777" w:rsidTr="006175FA">
        <w:trPr>
          <w:trHeight w:val="602"/>
          <w:jc w:val="center"/>
        </w:trPr>
        <w:tc>
          <w:tcPr>
            <w:tcW w:w="1077" w:type="dxa"/>
          </w:tcPr>
          <w:p w14:paraId="5E24733B" w14:textId="77777777" w:rsidR="000E417F" w:rsidRDefault="000E417F" w:rsidP="006175FA">
            <w:pPr>
              <w:spacing w:after="0" w:line="240" w:lineRule="auto"/>
              <w:jc w:val="both"/>
              <w:rPr>
                <w:rFonts w:ascii="Arial" w:hAnsi="Arial" w:cs="Arial"/>
              </w:rPr>
            </w:pPr>
            <w:r>
              <w:rPr>
                <w:rFonts w:ascii="Arial" w:hAnsi="Arial" w:cs="Arial"/>
              </w:rPr>
              <w:t>Control 2</w:t>
            </w:r>
          </w:p>
        </w:tc>
        <w:tc>
          <w:tcPr>
            <w:tcW w:w="1366" w:type="dxa"/>
          </w:tcPr>
          <w:p w14:paraId="37659485" w14:textId="77777777" w:rsidR="000E417F" w:rsidRDefault="000E417F" w:rsidP="006175FA">
            <w:pPr>
              <w:spacing w:after="0" w:line="240" w:lineRule="auto"/>
              <w:jc w:val="center"/>
              <w:rPr>
                <w:rFonts w:ascii="Arial" w:hAnsi="Arial" w:cs="Arial"/>
                <w:bCs/>
              </w:rPr>
            </w:pPr>
            <w:r>
              <w:rPr>
                <w:rFonts w:ascii="Arial" w:hAnsi="Arial" w:cs="Arial"/>
                <w:bCs/>
              </w:rPr>
              <w:t>13.50±1.47</w:t>
            </w:r>
          </w:p>
        </w:tc>
        <w:tc>
          <w:tcPr>
            <w:tcW w:w="1286" w:type="dxa"/>
          </w:tcPr>
          <w:p w14:paraId="4EFF9658" w14:textId="77777777" w:rsidR="000E417F" w:rsidRDefault="000E417F" w:rsidP="006175FA">
            <w:pPr>
              <w:spacing w:after="0" w:line="240" w:lineRule="auto"/>
              <w:jc w:val="center"/>
              <w:rPr>
                <w:rFonts w:ascii="Arial" w:hAnsi="Arial" w:cs="Arial"/>
                <w:bCs/>
              </w:rPr>
            </w:pPr>
            <w:r>
              <w:rPr>
                <w:rFonts w:ascii="Arial" w:hAnsi="Arial" w:cs="Arial"/>
                <w:bCs/>
              </w:rPr>
              <w:t>40.00±4.00</w:t>
            </w:r>
          </w:p>
        </w:tc>
        <w:tc>
          <w:tcPr>
            <w:tcW w:w="1601" w:type="dxa"/>
          </w:tcPr>
          <w:p w14:paraId="3E379A9D" w14:textId="77777777" w:rsidR="000E417F" w:rsidRDefault="000E417F" w:rsidP="006175FA">
            <w:pPr>
              <w:spacing w:after="0" w:line="240" w:lineRule="auto"/>
              <w:jc w:val="center"/>
              <w:rPr>
                <w:rFonts w:ascii="Arial" w:hAnsi="Arial" w:cs="Arial"/>
              </w:rPr>
            </w:pPr>
            <w:r>
              <w:rPr>
                <w:rFonts w:ascii="Arial" w:hAnsi="Arial" w:cs="Arial"/>
              </w:rPr>
              <w:t>4.81</w:t>
            </w:r>
            <w:r>
              <w:rPr>
                <w:rFonts w:ascii="Arial" w:hAnsi="Arial" w:cs="Arial"/>
                <w:bCs/>
              </w:rPr>
              <w:t>±0.45</w:t>
            </w:r>
          </w:p>
        </w:tc>
        <w:tc>
          <w:tcPr>
            <w:tcW w:w="1286" w:type="dxa"/>
          </w:tcPr>
          <w:p w14:paraId="76336168" w14:textId="77777777" w:rsidR="000E417F" w:rsidRDefault="000E417F" w:rsidP="006175FA">
            <w:pPr>
              <w:spacing w:after="0" w:line="240" w:lineRule="auto"/>
              <w:jc w:val="center"/>
              <w:rPr>
                <w:rFonts w:ascii="Arial" w:hAnsi="Arial" w:cs="Arial"/>
                <w:bCs/>
              </w:rPr>
            </w:pPr>
            <w:r>
              <w:rPr>
                <w:rFonts w:ascii="Arial" w:hAnsi="Arial" w:cs="Arial"/>
                <w:bCs/>
              </w:rPr>
              <w:t>83.24±7.52</w:t>
            </w:r>
          </w:p>
        </w:tc>
        <w:tc>
          <w:tcPr>
            <w:tcW w:w="1286" w:type="dxa"/>
          </w:tcPr>
          <w:p w14:paraId="2C2CD3F6" w14:textId="77777777" w:rsidR="000E417F" w:rsidRDefault="000E417F" w:rsidP="006175FA">
            <w:pPr>
              <w:spacing w:after="0" w:line="240" w:lineRule="auto"/>
              <w:jc w:val="center"/>
              <w:rPr>
                <w:rFonts w:ascii="Arial" w:hAnsi="Arial" w:cs="Arial"/>
                <w:bCs/>
              </w:rPr>
            </w:pPr>
            <w:r>
              <w:rPr>
                <w:rFonts w:ascii="Arial" w:hAnsi="Arial" w:cs="Arial"/>
                <w:bCs/>
              </w:rPr>
              <w:t>28.39±2.87</w:t>
            </w:r>
          </w:p>
        </w:tc>
        <w:tc>
          <w:tcPr>
            <w:tcW w:w="1588" w:type="dxa"/>
          </w:tcPr>
          <w:p w14:paraId="4ECC3D89" w14:textId="77777777" w:rsidR="000E417F" w:rsidRDefault="000E417F" w:rsidP="006175FA">
            <w:pPr>
              <w:spacing w:after="0" w:line="240" w:lineRule="auto"/>
              <w:jc w:val="center"/>
              <w:rPr>
                <w:rFonts w:ascii="Arial" w:hAnsi="Arial" w:cs="Arial"/>
                <w:bCs/>
              </w:rPr>
            </w:pPr>
            <w:r>
              <w:rPr>
                <w:rFonts w:ascii="Arial" w:hAnsi="Arial" w:cs="Arial"/>
                <w:bCs/>
              </w:rPr>
              <w:t>34.12±2.67</w:t>
            </w:r>
          </w:p>
        </w:tc>
        <w:tc>
          <w:tcPr>
            <w:tcW w:w="1286" w:type="dxa"/>
          </w:tcPr>
          <w:p w14:paraId="0C61A151" w14:textId="77777777" w:rsidR="000E417F" w:rsidRDefault="000E417F" w:rsidP="006175FA">
            <w:pPr>
              <w:spacing w:after="0" w:line="240" w:lineRule="auto"/>
              <w:jc w:val="center"/>
              <w:rPr>
                <w:rFonts w:ascii="Arial" w:hAnsi="Arial" w:cs="Arial"/>
                <w:bCs/>
              </w:rPr>
            </w:pPr>
            <w:r>
              <w:rPr>
                <w:rFonts w:ascii="Arial" w:hAnsi="Arial" w:cs="Arial"/>
                <w:bCs/>
              </w:rPr>
              <w:t>13.87±1.37</w:t>
            </w:r>
          </w:p>
        </w:tc>
        <w:tc>
          <w:tcPr>
            <w:tcW w:w="1182" w:type="dxa"/>
          </w:tcPr>
          <w:p w14:paraId="18764D29" w14:textId="77777777" w:rsidR="000E417F" w:rsidRDefault="000E417F" w:rsidP="006175FA">
            <w:pPr>
              <w:spacing w:after="0" w:line="240" w:lineRule="auto"/>
              <w:jc w:val="center"/>
              <w:rPr>
                <w:rFonts w:ascii="Arial" w:hAnsi="Arial" w:cs="Arial"/>
                <w:bCs/>
              </w:rPr>
            </w:pPr>
            <w:r>
              <w:rPr>
                <w:rFonts w:ascii="Arial" w:hAnsi="Arial" w:cs="Arial"/>
                <w:bCs/>
              </w:rPr>
              <w:t>0.50±0.20</w:t>
            </w:r>
          </w:p>
        </w:tc>
      </w:tr>
      <w:tr w:rsidR="000E417F" w14:paraId="148FFC14" w14:textId="77777777" w:rsidTr="006175FA">
        <w:trPr>
          <w:trHeight w:val="620"/>
          <w:jc w:val="center"/>
        </w:trPr>
        <w:tc>
          <w:tcPr>
            <w:tcW w:w="1077" w:type="dxa"/>
          </w:tcPr>
          <w:p w14:paraId="3E45BE16" w14:textId="77777777" w:rsidR="000E417F" w:rsidRDefault="000E417F" w:rsidP="006175FA">
            <w:pPr>
              <w:spacing w:after="0" w:line="240" w:lineRule="auto"/>
              <w:jc w:val="both"/>
              <w:rPr>
                <w:rFonts w:ascii="Arial" w:hAnsi="Arial" w:cs="Arial"/>
              </w:rPr>
            </w:pPr>
            <w:r>
              <w:rPr>
                <w:rFonts w:ascii="Arial" w:hAnsi="Arial" w:cs="Arial"/>
              </w:rPr>
              <w:t>F-value</w:t>
            </w:r>
          </w:p>
        </w:tc>
        <w:tc>
          <w:tcPr>
            <w:tcW w:w="1366" w:type="dxa"/>
          </w:tcPr>
          <w:p w14:paraId="149A24DE" w14:textId="77777777" w:rsidR="000E417F" w:rsidRDefault="000E417F" w:rsidP="006175FA">
            <w:pPr>
              <w:spacing w:after="0" w:line="240" w:lineRule="auto"/>
              <w:jc w:val="center"/>
              <w:rPr>
                <w:rFonts w:ascii="Arial" w:hAnsi="Arial" w:cs="Arial"/>
                <w:bCs/>
              </w:rPr>
            </w:pPr>
            <w:r>
              <w:rPr>
                <w:rFonts w:ascii="Arial" w:hAnsi="Arial" w:cs="Arial"/>
                <w:bCs/>
              </w:rPr>
              <w:t>1.82</w:t>
            </w:r>
          </w:p>
        </w:tc>
        <w:tc>
          <w:tcPr>
            <w:tcW w:w="1286" w:type="dxa"/>
          </w:tcPr>
          <w:p w14:paraId="78850813" w14:textId="77777777" w:rsidR="000E417F" w:rsidRDefault="000E417F" w:rsidP="006175FA">
            <w:pPr>
              <w:spacing w:after="0" w:line="240" w:lineRule="auto"/>
              <w:jc w:val="center"/>
              <w:rPr>
                <w:rFonts w:ascii="Arial" w:hAnsi="Arial" w:cs="Arial"/>
                <w:bCs/>
              </w:rPr>
            </w:pPr>
            <w:r>
              <w:rPr>
                <w:rFonts w:ascii="Arial" w:hAnsi="Arial" w:cs="Arial"/>
                <w:bCs/>
              </w:rPr>
              <w:t>2.91</w:t>
            </w:r>
          </w:p>
        </w:tc>
        <w:tc>
          <w:tcPr>
            <w:tcW w:w="1601" w:type="dxa"/>
          </w:tcPr>
          <w:p w14:paraId="2293C048" w14:textId="77777777" w:rsidR="000E417F" w:rsidRDefault="000E417F" w:rsidP="006175FA">
            <w:pPr>
              <w:spacing w:after="0" w:line="240" w:lineRule="auto"/>
              <w:jc w:val="center"/>
              <w:rPr>
                <w:rFonts w:ascii="Arial" w:hAnsi="Arial" w:cs="Arial"/>
              </w:rPr>
            </w:pPr>
            <w:r>
              <w:rPr>
                <w:rFonts w:ascii="Arial" w:hAnsi="Arial" w:cs="Arial"/>
              </w:rPr>
              <w:t>4.31</w:t>
            </w:r>
          </w:p>
        </w:tc>
        <w:tc>
          <w:tcPr>
            <w:tcW w:w="1286" w:type="dxa"/>
          </w:tcPr>
          <w:p w14:paraId="19445BE8" w14:textId="77777777" w:rsidR="000E417F" w:rsidRDefault="000E417F" w:rsidP="006175FA">
            <w:pPr>
              <w:spacing w:after="0" w:line="240" w:lineRule="auto"/>
              <w:jc w:val="center"/>
              <w:rPr>
                <w:rFonts w:ascii="Arial" w:hAnsi="Arial" w:cs="Arial"/>
                <w:bCs/>
              </w:rPr>
            </w:pPr>
            <w:r>
              <w:rPr>
                <w:rFonts w:ascii="Arial" w:hAnsi="Arial" w:cs="Arial"/>
                <w:bCs/>
              </w:rPr>
              <w:t>0.06</w:t>
            </w:r>
          </w:p>
        </w:tc>
        <w:tc>
          <w:tcPr>
            <w:tcW w:w="1286" w:type="dxa"/>
          </w:tcPr>
          <w:p w14:paraId="6E868D46" w14:textId="77777777" w:rsidR="000E417F" w:rsidRDefault="000E417F" w:rsidP="006175FA">
            <w:pPr>
              <w:spacing w:after="0" w:line="240" w:lineRule="auto"/>
              <w:jc w:val="center"/>
              <w:rPr>
                <w:rFonts w:ascii="Arial" w:hAnsi="Arial" w:cs="Arial"/>
                <w:bCs/>
              </w:rPr>
            </w:pPr>
            <w:r>
              <w:rPr>
                <w:rFonts w:ascii="Arial" w:hAnsi="Arial" w:cs="Arial"/>
                <w:bCs/>
              </w:rPr>
              <w:t>0.88</w:t>
            </w:r>
          </w:p>
        </w:tc>
        <w:tc>
          <w:tcPr>
            <w:tcW w:w="1588" w:type="dxa"/>
          </w:tcPr>
          <w:p w14:paraId="3AE6A6E6" w14:textId="77777777" w:rsidR="000E417F" w:rsidRDefault="000E417F" w:rsidP="006175FA">
            <w:pPr>
              <w:spacing w:after="0" w:line="240" w:lineRule="auto"/>
              <w:jc w:val="center"/>
              <w:rPr>
                <w:rFonts w:ascii="Arial" w:hAnsi="Arial" w:cs="Arial"/>
                <w:bCs/>
              </w:rPr>
            </w:pPr>
            <w:r>
              <w:rPr>
                <w:rFonts w:ascii="Arial" w:hAnsi="Arial" w:cs="Arial"/>
                <w:bCs/>
              </w:rPr>
              <w:t>0.25</w:t>
            </w:r>
          </w:p>
        </w:tc>
        <w:tc>
          <w:tcPr>
            <w:tcW w:w="1286" w:type="dxa"/>
          </w:tcPr>
          <w:p w14:paraId="3D9D91C2" w14:textId="77777777" w:rsidR="000E417F" w:rsidRDefault="000E417F" w:rsidP="006175FA">
            <w:pPr>
              <w:spacing w:after="0" w:line="240" w:lineRule="auto"/>
              <w:jc w:val="center"/>
              <w:rPr>
                <w:rFonts w:ascii="Arial" w:hAnsi="Arial" w:cs="Arial"/>
              </w:rPr>
            </w:pPr>
            <w:r>
              <w:rPr>
                <w:rFonts w:ascii="Arial" w:hAnsi="Arial" w:cs="Arial"/>
              </w:rPr>
              <w:t>2.26</w:t>
            </w:r>
          </w:p>
        </w:tc>
        <w:tc>
          <w:tcPr>
            <w:tcW w:w="1182" w:type="dxa"/>
          </w:tcPr>
          <w:p w14:paraId="60ED8EE6" w14:textId="77777777" w:rsidR="000E417F" w:rsidRDefault="000E417F" w:rsidP="006175FA">
            <w:pPr>
              <w:spacing w:after="0" w:line="240" w:lineRule="auto"/>
              <w:jc w:val="center"/>
              <w:rPr>
                <w:rFonts w:ascii="Arial" w:hAnsi="Arial" w:cs="Arial"/>
              </w:rPr>
            </w:pPr>
            <w:r>
              <w:rPr>
                <w:rFonts w:ascii="Arial" w:hAnsi="Arial" w:cs="Arial"/>
              </w:rPr>
              <w:t>18.32</w:t>
            </w:r>
          </w:p>
        </w:tc>
      </w:tr>
      <w:tr w:rsidR="000E417F" w14:paraId="13BCCD96" w14:textId="77777777" w:rsidTr="006175FA">
        <w:trPr>
          <w:trHeight w:val="530"/>
          <w:jc w:val="center"/>
        </w:trPr>
        <w:tc>
          <w:tcPr>
            <w:tcW w:w="1077" w:type="dxa"/>
          </w:tcPr>
          <w:p w14:paraId="72C63BAB" w14:textId="77777777" w:rsidR="000E417F" w:rsidRDefault="000E417F" w:rsidP="006175FA">
            <w:pPr>
              <w:spacing w:after="0" w:line="240" w:lineRule="auto"/>
              <w:jc w:val="both"/>
              <w:rPr>
                <w:rFonts w:ascii="Arial" w:hAnsi="Arial" w:cs="Arial"/>
              </w:rPr>
            </w:pPr>
            <w:r>
              <w:rPr>
                <w:rFonts w:ascii="Arial" w:hAnsi="Arial" w:cs="Arial"/>
              </w:rPr>
              <w:t>P-value</w:t>
            </w:r>
          </w:p>
        </w:tc>
        <w:tc>
          <w:tcPr>
            <w:tcW w:w="1366" w:type="dxa"/>
          </w:tcPr>
          <w:p w14:paraId="39EBF600" w14:textId="77777777" w:rsidR="000E417F" w:rsidRDefault="000E417F" w:rsidP="006175FA">
            <w:pPr>
              <w:spacing w:after="0" w:line="240" w:lineRule="auto"/>
              <w:jc w:val="center"/>
              <w:rPr>
                <w:rFonts w:ascii="Arial" w:hAnsi="Arial" w:cs="Arial"/>
                <w:bCs/>
              </w:rPr>
            </w:pPr>
            <w:r>
              <w:rPr>
                <w:rFonts w:ascii="Arial" w:hAnsi="Arial" w:cs="Arial"/>
                <w:bCs/>
              </w:rPr>
              <w:t>0.17</w:t>
            </w:r>
          </w:p>
        </w:tc>
        <w:tc>
          <w:tcPr>
            <w:tcW w:w="1286" w:type="dxa"/>
          </w:tcPr>
          <w:p w14:paraId="2C49209D" w14:textId="77777777" w:rsidR="000E417F" w:rsidRDefault="000E417F" w:rsidP="006175FA">
            <w:pPr>
              <w:spacing w:after="0" w:line="240" w:lineRule="auto"/>
              <w:jc w:val="center"/>
              <w:rPr>
                <w:rFonts w:ascii="Arial" w:hAnsi="Arial" w:cs="Arial"/>
                <w:bCs/>
              </w:rPr>
            </w:pPr>
            <w:r>
              <w:rPr>
                <w:rFonts w:ascii="Arial" w:hAnsi="Arial" w:cs="Arial"/>
                <w:bCs/>
              </w:rPr>
              <w:t>0.06</w:t>
            </w:r>
          </w:p>
        </w:tc>
        <w:tc>
          <w:tcPr>
            <w:tcW w:w="1601" w:type="dxa"/>
          </w:tcPr>
          <w:p w14:paraId="0C74ECDF" w14:textId="77777777" w:rsidR="000E417F" w:rsidRDefault="000E417F" w:rsidP="006175FA">
            <w:pPr>
              <w:spacing w:after="0" w:line="240" w:lineRule="auto"/>
              <w:jc w:val="center"/>
              <w:rPr>
                <w:rFonts w:ascii="Arial" w:hAnsi="Arial" w:cs="Arial"/>
              </w:rPr>
            </w:pPr>
            <w:r>
              <w:rPr>
                <w:rFonts w:ascii="Arial" w:hAnsi="Arial" w:cs="Arial"/>
              </w:rPr>
              <w:t>0.01</w:t>
            </w:r>
          </w:p>
        </w:tc>
        <w:tc>
          <w:tcPr>
            <w:tcW w:w="1286" w:type="dxa"/>
          </w:tcPr>
          <w:p w14:paraId="7CAFE593" w14:textId="77777777" w:rsidR="000E417F" w:rsidRDefault="000E417F" w:rsidP="006175FA">
            <w:pPr>
              <w:spacing w:after="0" w:line="240" w:lineRule="auto"/>
              <w:jc w:val="center"/>
              <w:rPr>
                <w:rFonts w:ascii="Arial" w:hAnsi="Arial" w:cs="Arial"/>
                <w:bCs/>
              </w:rPr>
            </w:pPr>
            <w:r>
              <w:rPr>
                <w:rFonts w:ascii="Arial" w:hAnsi="Arial" w:cs="Arial"/>
                <w:bCs/>
              </w:rPr>
              <w:t>0.94</w:t>
            </w:r>
          </w:p>
        </w:tc>
        <w:tc>
          <w:tcPr>
            <w:tcW w:w="1286" w:type="dxa"/>
          </w:tcPr>
          <w:p w14:paraId="03072BF2" w14:textId="77777777" w:rsidR="000E417F" w:rsidRDefault="000E417F" w:rsidP="006175FA">
            <w:pPr>
              <w:spacing w:after="0" w:line="240" w:lineRule="auto"/>
              <w:jc w:val="center"/>
              <w:rPr>
                <w:rFonts w:ascii="Arial" w:hAnsi="Arial" w:cs="Arial"/>
                <w:bCs/>
              </w:rPr>
            </w:pPr>
            <w:r>
              <w:rPr>
                <w:rFonts w:ascii="Arial" w:hAnsi="Arial" w:cs="Arial"/>
                <w:bCs/>
              </w:rPr>
              <w:t>0.42</w:t>
            </w:r>
          </w:p>
        </w:tc>
        <w:tc>
          <w:tcPr>
            <w:tcW w:w="1588" w:type="dxa"/>
          </w:tcPr>
          <w:p w14:paraId="452D99FD" w14:textId="77777777" w:rsidR="000E417F" w:rsidRDefault="000E417F" w:rsidP="006175FA">
            <w:pPr>
              <w:spacing w:after="0" w:line="240" w:lineRule="auto"/>
              <w:jc w:val="center"/>
              <w:rPr>
                <w:rFonts w:ascii="Arial" w:hAnsi="Arial" w:cs="Arial"/>
                <w:bCs/>
              </w:rPr>
            </w:pPr>
            <w:r>
              <w:rPr>
                <w:rFonts w:ascii="Arial" w:hAnsi="Arial" w:cs="Arial"/>
                <w:bCs/>
              </w:rPr>
              <w:t>0.78</w:t>
            </w:r>
          </w:p>
        </w:tc>
        <w:tc>
          <w:tcPr>
            <w:tcW w:w="1286" w:type="dxa"/>
          </w:tcPr>
          <w:p w14:paraId="017945CC" w14:textId="77777777" w:rsidR="000E417F" w:rsidRDefault="000E417F" w:rsidP="006175FA">
            <w:pPr>
              <w:spacing w:after="0" w:line="240" w:lineRule="auto"/>
              <w:jc w:val="center"/>
              <w:rPr>
                <w:rFonts w:ascii="Arial" w:hAnsi="Arial" w:cs="Arial"/>
              </w:rPr>
            </w:pPr>
            <w:r>
              <w:rPr>
                <w:rFonts w:ascii="Arial" w:hAnsi="Arial" w:cs="Arial"/>
              </w:rPr>
              <w:t>0.32</w:t>
            </w:r>
          </w:p>
        </w:tc>
        <w:tc>
          <w:tcPr>
            <w:tcW w:w="1182" w:type="dxa"/>
          </w:tcPr>
          <w:p w14:paraId="24776725" w14:textId="77777777" w:rsidR="000E417F" w:rsidRDefault="000E417F" w:rsidP="006175FA">
            <w:pPr>
              <w:spacing w:after="0" w:line="240" w:lineRule="auto"/>
              <w:jc w:val="center"/>
              <w:rPr>
                <w:rFonts w:ascii="Arial" w:hAnsi="Arial" w:cs="Arial"/>
              </w:rPr>
            </w:pPr>
            <w:r>
              <w:rPr>
                <w:rFonts w:ascii="Arial" w:hAnsi="Arial" w:cs="Arial"/>
              </w:rPr>
              <w:t>0.00</w:t>
            </w:r>
          </w:p>
        </w:tc>
      </w:tr>
      <w:tr w:rsidR="000E417F" w14:paraId="432A97DC" w14:textId="77777777" w:rsidTr="006175FA">
        <w:trPr>
          <w:trHeight w:val="530"/>
          <w:jc w:val="center"/>
        </w:trPr>
        <w:tc>
          <w:tcPr>
            <w:tcW w:w="1077" w:type="dxa"/>
          </w:tcPr>
          <w:p w14:paraId="4D27BBFC" w14:textId="77777777" w:rsidR="000E417F" w:rsidRDefault="000E417F" w:rsidP="006175FA">
            <w:pPr>
              <w:spacing w:after="0" w:line="240" w:lineRule="auto"/>
              <w:jc w:val="both"/>
              <w:rPr>
                <w:rFonts w:ascii="Arial" w:hAnsi="Arial" w:cs="Arial"/>
              </w:rPr>
            </w:pPr>
            <w:r>
              <w:rPr>
                <w:rFonts w:ascii="Arial" w:hAnsi="Arial" w:cs="Arial"/>
              </w:rPr>
              <w:t>Remark</w:t>
            </w:r>
          </w:p>
        </w:tc>
        <w:tc>
          <w:tcPr>
            <w:tcW w:w="1366" w:type="dxa"/>
          </w:tcPr>
          <w:p w14:paraId="0863957E" w14:textId="77777777" w:rsidR="000E417F" w:rsidRDefault="000E417F" w:rsidP="006175FA">
            <w:pPr>
              <w:spacing w:after="0" w:line="240" w:lineRule="auto"/>
              <w:jc w:val="center"/>
              <w:rPr>
                <w:rFonts w:ascii="Arial" w:hAnsi="Arial" w:cs="Arial"/>
              </w:rPr>
            </w:pPr>
            <w:r>
              <w:rPr>
                <w:rFonts w:ascii="Arial" w:hAnsi="Arial" w:cs="Arial"/>
              </w:rPr>
              <w:t>NSS</w:t>
            </w:r>
          </w:p>
        </w:tc>
        <w:tc>
          <w:tcPr>
            <w:tcW w:w="1286" w:type="dxa"/>
          </w:tcPr>
          <w:p w14:paraId="6F6AC3F5" w14:textId="77777777" w:rsidR="000E417F" w:rsidRDefault="000E417F" w:rsidP="006175FA">
            <w:pPr>
              <w:spacing w:after="0" w:line="240" w:lineRule="auto"/>
              <w:jc w:val="center"/>
              <w:rPr>
                <w:rFonts w:ascii="Arial" w:hAnsi="Arial" w:cs="Arial"/>
                <w:bCs/>
              </w:rPr>
            </w:pPr>
            <w:r>
              <w:rPr>
                <w:rFonts w:ascii="Arial" w:hAnsi="Arial" w:cs="Arial"/>
              </w:rPr>
              <w:t>NSS</w:t>
            </w:r>
          </w:p>
        </w:tc>
        <w:tc>
          <w:tcPr>
            <w:tcW w:w="1601" w:type="dxa"/>
          </w:tcPr>
          <w:p w14:paraId="6DEC8F41" w14:textId="77777777" w:rsidR="000E417F" w:rsidRDefault="000E417F" w:rsidP="006175FA">
            <w:pPr>
              <w:spacing w:after="0" w:line="240" w:lineRule="auto"/>
              <w:jc w:val="center"/>
              <w:rPr>
                <w:rFonts w:ascii="Arial" w:hAnsi="Arial" w:cs="Arial"/>
              </w:rPr>
            </w:pPr>
            <w:r>
              <w:rPr>
                <w:rFonts w:ascii="Arial" w:hAnsi="Arial" w:cs="Arial"/>
              </w:rPr>
              <w:t>SS</w:t>
            </w:r>
          </w:p>
        </w:tc>
        <w:tc>
          <w:tcPr>
            <w:tcW w:w="1286" w:type="dxa"/>
          </w:tcPr>
          <w:p w14:paraId="27409731" w14:textId="77777777" w:rsidR="000E417F" w:rsidRDefault="000E417F" w:rsidP="006175FA">
            <w:pPr>
              <w:spacing w:after="0" w:line="240" w:lineRule="auto"/>
              <w:jc w:val="center"/>
              <w:rPr>
                <w:rFonts w:ascii="Arial" w:hAnsi="Arial" w:cs="Arial"/>
                <w:bCs/>
              </w:rPr>
            </w:pPr>
            <w:r>
              <w:rPr>
                <w:rFonts w:ascii="Arial" w:hAnsi="Arial" w:cs="Arial"/>
              </w:rPr>
              <w:t>NSS</w:t>
            </w:r>
          </w:p>
        </w:tc>
        <w:tc>
          <w:tcPr>
            <w:tcW w:w="1286" w:type="dxa"/>
          </w:tcPr>
          <w:p w14:paraId="73F4FFE6" w14:textId="77777777" w:rsidR="000E417F" w:rsidRDefault="000E417F" w:rsidP="006175FA">
            <w:pPr>
              <w:spacing w:after="0" w:line="240" w:lineRule="auto"/>
              <w:jc w:val="center"/>
              <w:rPr>
                <w:rFonts w:ascii="Arial" w:hAnsi="Arial" w:cs="Arial"/>
                <w:bCs/>
              </w:rPr>
            </w:pPr>
            <w:r>
              <w:rPr>
                <w:rFonts w:ascii="Arial" w:hAnsi="Arial" w:cs="Arial"/>
              </w:rPr>
              <w:t>NSS</w:t>
            </w:r>
          </w:p>
        </w:tc>
        <w:tc>
          <w:tcPr>
            <w:tcW w:w="1588" w:type="dxa"/>
          </w:tcPr>
          <w:p w14:paraId="190A173D" w14:textId="77777777" w:rsidR="000E417F" w:rsidRDefault="000E417F" w:rsidP="006175FA">
            <w:pPr>
              <w:spacing w:after="0" w:line="240" w:lineRule="auto"/>
              <w:jc w:val="center"/>
              <w:rPr>
                <w:rFonts w:ascii="Arial" w:hAnsi="Arial" w:cs="Arial"/>
                <w:bCs/>
              </w:rPr>
            </w:pPr>
            <w:r>
              <w:rPr>
                <w:rFonts w:ascii="Arial" w:hAnsi="Arial" w:cs="Arial"/>
              </w:rPr>
              <w:t>NSS</w:t>
            </w:r>
          </w:p>
        </w:tc>
        <w:tc>
          <w:tcPr>
            <w:tcW w:w="1286" w:type="dxa"/>
          </w:tcPr>
          <w:p w14:paraId="332A3C3A" w14:textId="77777777" w:rsidR="000E417F" w:rsidRDefault="000E417F" w:rsidP="006175FA">
            <w:pPr>
              <w:spacing w:after="0" w:line="240" w:lineRule="auto"/>
              <w:jc w:val="center"/>
              <w:rPr>
                <w:rFonts w:ascii="Arial" w:hAnsi="Arial" w:cs="Arial"/>
                <w:bCs/>
              </w:rPr>
            </w:pPr>
            <w:r>
              <w:rPr>
                <w:rFonts w:ascii="Arial" w:hAnsi="Arial" w:cs="Arial"/>
                <w:bCs/>
              </w:rPr>
              <w:t>NSS</w:t>
            </w:r>
          </w:p>
        </w:tc>
        <w:tc>
          <w:tcPr>
            <w:tcW w:w="1182" w:type="dxa"/>
          </w:tcPr>
          <w:p w14:paraId="76555854" w14:textId="77777777" w:rsidR="000E417F" w:rsidRDefault="000E417F" w:rsidP="006175FA">
            <w:pPr>
              <w:spacing w:after="0" w:line="240" w:lineRule="auto"/>
              <w:jc w:val="center"/>
              <w:rPr>
                <w:rFonts w:ascii="Arial" w:hAnsi="Arial" w:cs="Arial"/>
                <w:bCs/>
              </w:rPr>
            </w:pPr>
            <w:r>
              <w:rPr>
                <w:rFonts w:ascii="Arial" w:hAnsi="Arial" w:cs="Arial"/>
              </w:rPr>
              <w:t>SS</w:t>
            </w:r>
          </w:p>
        </w:tc>
      </w:tr>
      <w:tr w:rsidR="000E417F" w14:paraId="6624B387" w14:textId="77777777" w:rsidTr="006175FA">
        <w:trPr>
          <w:jc w:val="center"/>
        </w:trPr>
        <w:tc>
          <w:tcPr>
            <w:tcW w:w="1077" w:type="dxa"/>
          </w:tcPr>
          <w:p w14:paraId="5410AAD0" w14:textId="77777777" w:rsidR="000E417F" w:rsidRDefault="000E417F" w:rsidP="006175FA">
            <w:pPr>
              <w:spacing w:after="0" w:line="240" w:lineRule="auto"/>
              <w:jc w:val="both"/>
              <w:rPr>
                <w:rFonts w:ascii="Arial" w:hAnsi="Arial" w:cs="Arial"/>
                <w:b/>
                <w:bCs/>
              </w:rPr>
            </w:pPr>
          </w:p>
        </w:tc>
        <w:tc>
          <w:tcPr>
            <w:tcW w:w="1366" w:type="dxa"/>
          </w:tcPr>
          <w:p w14:paraId="1E75C9E0" w14:textId="77777777" w:rsidR="000E417F" w:rsidRDefault="000E417F" w:rsidP="006175FA">
            <w:pPr>
              <w:spacing w:after="0" w:line="240" w:lineRule="auto"/>
              <w:jc w:val="center"/>
              <w:rPr>
                <w:rFonts w:ascii="Arial" w:hAnsi="Arial" w:cs="Arial"/>
                <w:b/>
                <w:bCs/>
              </w:rPr>
            </w:pPr>
          </w:p>
        </w:tc>
        <w:tc>
          <w:tcPr>
            <w:tcW w:w="1286" w:type="dxa"/>
          </w:tcPr>
          <w:p w14:paraId="27CE67D3" w14:textId="77777777" w:rsidR="000E417F" w:rsidRDefault="000E417F" w:rsidP="006175FA">
            <w:pPr>
              <w:spacing w:after="0" w:line="240" w:lineRule="auto"/>
              <w:jc w:val="center"/>
              <w:rPr>
                <w:rFonts w:ascii="Arial" w:hAnsi="Arial" w:cs="Arial"/>
                <w:b/>
                <w:bCs/>
              </w:rPr>
            </w:pPr>
          </w:p>
        </w:tc>
        <w:tc>
          <w:tcPr>
            <w:tcW w:w="1601" w:type="dxa"/>
          </w:tcPr>
          <w:p w14:paraId="3471CE23" w14:textId="77777777" w:rsidR="000E417F" w:rsidRDefault="000E417F" w:rsidP="006175FA">
            <w:pPr>
              <w:spacing w:after="0" w:line="240" w:lineRule="auto"/>
              <w:jc w:val="center"/>
              <w:rPr>
                <w:rFonts w:ascii="Arial" w:hAnsi="Arial" w:cs="Arial"/>
                <w:b/>
                <w:bCs/>
              </w:rPr>
            </w:pPr>
          </w:p>
        </w:tc>
        <w:tc>
          <w:tcPr>
            <w:tcW w:w="1286" w:type="dxa"/>
          </w:tcPr>
          <w:p w14:paraId="0CFDEF4E" w14:textId="77777777" w:rsidR="000E417F" w:rsidRDefault="000E417F" w:rsidP="006175FA">
            <w:pPr>
              <w:spacing w:after="0" w:line="240" w:lineRule="auto"/>
              <w:jc w:val="center"/>
              <w:rPr>
                <w:rFonts w:ascii="Arial" w:hAnsi="Arial" w:cs="Arial"/>
                <w:b/>
                <w:bCs/>
              </w:rPr>
            </w:pPr>
          </w:p>
        </w:tc>
        <w:tc>
          <w:tcPr>
            <w:tcW w:w="1286" w:type="dxa"/>
          </w:tcPr>
          <w:p w14:paraId="04D24DF8" w14:textId="77777777" w:rsidR="000E417F" w:rsidRDefault="000E417F" w:rsidP="006175FA">
            <w:pPr>
              <w:spacing w:after="0" w:line="240" w:lineRule="auto"/>
              <w:jc w:val="center"/>
              <w:rPr>
                <w:rFonts w:ascii="Arial" w:hAnsi="Arial" w:cs="Arial"/>
                <w:b/>
                <w:bCs/>
              </w:rPr>
            </w:pPr>
          </w:p>
        </w:tc>
        <w:tc>
          <w:tcPr>
            <w:tcW w:w="1588" w:type="dxa"/>
          </w:tcPr>
          <w:p w14:paraId="1305D347" w14:textId="77777777" w:rsidR="000E417F" w:rsidRDefault="000E417F" w:rsidP="006175FA">
            <w:pPr>
              <w:spacing w:after="0" w:line="240" w:lineRule="auto"/>
              <w:jc w:val="center"/>
              <w:rPr>
                <w:rFonts w:ascii="Arial" w:hAnsi="Arial" w:cs="Arial"/>
                <w:b/>
                <w:bCs/>
              </w:rPr>
            </w:pPr>
          </w:p>
        </w:tc>
        <w:tc>
          <w:tcPr>
            <w:tcW w:w="1286" w:type="dxa"/>
          </w:tcPr>
          <w:p w14:paraId="6186F666" w14:textId="77777777" w:rsidR="000E417F" w:rsidRDefault="000E417F" w:rsidP="006175FA">
            <w:pPr>
              <w:spacing w:after="0" w:line="240" w:lineRule="auto"/>
              <w:jc w:val="center"/>
              <w:rPr>
                <w:rFonts w:ascii="Arial" w:hAnsi="Arial" w:cs="Arial"/>
                <w:b/>
                <w:bCs/>
              </w:rPr>
            </w:pPr>
          </w:p>
        </w:tc>
        <w:tc>
          <w:tcPr>
            <w:tcW w:w="1182" w:type="dxa"/>
          </w:tcPr>
          <w:p w14:paraId="11A79C52" w14:textId="77777777" w:rsidR="000E417F" w:rsidRDefault="000E417F" w:rsidP="006175FA">
            <w:pPr>
              <w:spacing w:after="0" w:line="240" w:lineRule="auto"/>
              <w:jc w:val="center"/>
              <w:rPr>
                <w:rFonts w:ascii="Arial" w:hAnsi="Arial" w:cs="Arial"/>
                <w:b/>
                <w:bCs/>
              </w:rPr>
            </w:pPr>
          </w:p>
        </w:tc>
      </w:tr>
      <w:tr w:rsidR="000E417F" w14:paraId="086090B9" w14:textId="77777777" w:rsidTr="006175FA">
        <w:trPr>
          <w:jc w:val="center"/>
        </w:trPr>
        <w:tc>
          <w:tcPr>
            <w:tcW w:w="1077" w:type="dxa"/>
          </w:tcPr>
          <w:p w14:paraId="290835A9" w14:textId="77777777" w:rsidR="000E417F" w:rsidRDefault="000E417F" w:rsidP="006175FA">
            <w:pPr>
              <w:spacing w:after="0" w:line="240" w:lineRule="auto"/>
              <w:jc w:val="both"/>
              <w:rPr>
                <w:rFonts w:ascii="Arial" w:hAnsi="Arial" w:cs="Arial"/>
                <w:b/>
                <w:bCs/>
              </w:rPr>
            </w:pPr>
          </w:p>
        </w:tc>
        <w:tc>
          <w:tcPr>
            <w:tcW w:w="1366" w:type="dxa"/>
          </w:tcPr>
          <w:p w14:paraId="3AFF5249" w14:textId="77777777" w:rsidR="000E417F" w:rsidRDefault="000E417F" w:rsidP="006175FA">
            <w:pPr>
              <w:spacing w:after="0" w:line="240" w:lineRule="auto"/>
              <w:jc w:val="center"/>
              <w:rPr>
                <w:rFonts w:ascii="Arial" w:hAnsi="Arial" w:cs="Arial"/>
                <w:b/>
                <w:bCs/>
              </w:rPr>
            </w:pPr>
          </w:p>
        </w:tc>
        <w:tc>
          <w:tcPr>
            <w:tcW w:w="1286" w:type="dxa"/>
          </w:tcPr>
          <w:p w14:paraId="700495B4" w14:textId="77777777" w:rsidR="000E417F" w:rsidRDefault="000E417F" w:rsidP="006175FA">
            <w:pPr>
              <w:spacing w:after="0" w:line="240" w:lineRule="auto"/>
              <w:jc w:val="center"/>
              <w:rPr>
                <w:rFonts w:ascii="Arial" w:hAnsi="Arial" w:cs="Arial"/>
                <w:b/>
                <w:bCs/>
              </w:rPr>
            </w:pPr>
          </w:p>
        </w:tc>
        <w:tc>
          <w:tcPr>
            <w:tcW w:w="1601" w:type="dxa"/>
          </w:tcPr>
          <w:p w14:paraId="7AF01CC3" w14:textId="77777777" w:rsidR="000E417F" w:rsidRDefault="000E417F" w:rsidP="006175FA">
            <w:pPr>
              <w:spacing w:after="0" w:line="240" w:lineRule="auto"/>
              <w:jc w:val="center"/>
              <w:rPr>
                <w:rFonts w:ascii="Arial" w:hAnsi="Arial" w:cs="Arial"/>
                <w:b/>
                <w:bCs/>
              </w:rPr>
            </w:pPr>
          </w:p>
        </w:tc>
        <w:tc>
          <w:tcPr>
            <w:tcW w:w="1286" w:type="dxa"/>
          </w:tcPr>
          <w:p w14:paraId="688C6723" w14:textId="77777777" w:rsidR="000E417F" w:rsidRDefault="000E417F" w:rsidP="006175FA">
            <w:pPr>
              <w:spacing w:after="0" w:line="240" w:lineRule="auto"/>
              <w:jc w:val="center"/>
              <w:rPr>
                <w:rFonts w:ascii="Arial" w:hAnsi="Arial" w:cs="Arial"/>
                <w:b/>
                <w:bCs/>
              </w:rPr>
            </w:pPr>
          </w:p>
        </w:tc>
        <w:tc>
          <w:tcPr>
            <w:tcW w:w="1286" w:type="dxa"/>
          </w:tcPr>
          <w:p w14:paraId="6D5DA51F" w14:textId="77777777" w:rsidR="000E417F" w:rsidRDefault="000E417F" w:rsidP="006175FA">
            <w:pPr>
              <w:spacing w:after="0" w:line="240" w:lineRule="auto"/>
              <w:jc w:val="center"/>
              <w:rPr>
                <w:rFonts w:ascii="Arial" w:hAnsi="Arial" w:cs="Arial"/>
                <w:b/>
                <w:bCs/>
              </w:rPr>
            </w:pPr>
          </w:p>
        </w:tc>
        <w:tc>
          <w:tcPr>
            <w:tcW w:w="1588" w:type="dxa"/>
          </w:tcPr>
          <w:p w14:paraId="3C947652" w14:textId="77777777" w:rsidR="000E417F" w:rsidRDefault="000E417F" w:rsidP="006175FA">
            <w:pPr>
              <w:spacing w:after="0" w:line="240" w:lineRule="auto"/>
              <w:jc w:val="center"/>
              <w:rPr>
                <w:rFonts w:ascii="Arial" w:hAnsi="Arial" w:cs="Arial"/>
                <w:b/>
                <w:bCs/>
              </w:rPr>
            </w:pPr>
          </w:p>
        </w:tc>
        <w:tc>
          <w:tcPr>
            <w:tcW w:w="1286" w:type="dxa"/>
          </w:tcPr>
          <w:p w14:paraId="268BFC89" w14:textId="77777777" w:rsidR="000E417F" w:rsidRDefault="000E417F" w:rsidP="006175FA">
            <w:pPr>
              <w:spacing w:after="0" w:line="240" w:lineRule="auto"/>
              <w:jc w:val="center"/>
              <w:rPr>
                <w:rFonts w:ascii="Arial" w:hAnsi="Arial" w:cs="Arial"/>
                <w:b/>
                <w:bCs/>
              </w:rPr>
            </w:pPr>
          </w:p>
        </w:tc>
        <w:tc>
          <w:tcPr>
            <w:tcW w:w="1182" w:type="dxa"/>
          </w:tcPr>
          <w:p w14:paraId="6363D7F4" w14:textId="77777777" w:rsidR="000E417F" w:rsidRDefault="000E417F" w:rsidP="006175FA">
            <w:pPr>
              <w:spacing w:after="0" w:line="240" w:lineRule="auto"/>
              <w:jc w:val="center"/>
              <w:rPr>
                <w:rFonts w:ascii="Arial" w:hAnsi="Arial" w:cs="Arial"/>
                <w:b/>
                <w:bCs/>
              </w:rPr>
            </w:pPr>
          </w:p>
        </w:tc>
      </w:tr>
      <w:tr w:rsidR="000E417F" w14:paraId="5C1B9F34" w14:textId="77777777" w:rsidTr="006175FA">
        <w:trPr>
          <w:trHeight w:val="503"/>
          <w:jc w:val="center"/>
        </w:trPr>
        <w:tc>
          <w:tcPr>
            <w:tcW w:w="1077" w:type="dxa"/>
          </w:tcPr>
          <w:p w14:paraId="7B9CBDF4" w14:textId="77777777" w:rsidR="000E417F" w:rsidRDefault="000E417F" w:rsidP="006175FA">
            <w:pPr>
              <w:spacing w:after="0" w:line="240" w:lineRule="auto"/>
              <w:jc w:val="both"/>
              <w:rPr>
                <w:rFonts w:ascii="Arial" w:hAnsi="Arial" w:cs="Arial"/>
              </w:rPr>
            </w:pPr>
            <w:r>
              <w:rPr>
                <w:rFonts w:ascii="Arial" w:hAnsi="Arial" w:cs="Arial"/>
              </w:rPr>
              <w:t>Post Hoc</w:t>
            </w:r>
          </w:p>
        </w:tc>
        <w:tc>
          <w:tcPr>
            <w:tcW w:w="1366" w:type="dxa"/>
          </w:tcPr>
          <w:p w14:paraId="4730350C" w14:textId="77777777" w:rsidR="000E417F" w:rsidRDefault="000E417F" w:rsidP="006175FA">
            <w:pPr>
              <w:spacing w:after="0" w:line="240" w:lineRule="auto"/>
              <w:jc w:val="center"/>
              <w:rPr>
                <w:rFonts w:ascii="Arial" w:hAnsi="Arial" w:cs="Arial"/>
                <w:b/>
                <w:bCs/>
              </w:rPr>
            </w:pPr>
          </w:p>
        </w:tc>
        <w:tc>
          <w:tcPr>
            <w:tcW w:w="1286" w:type="dxa"/>
          </w:tcPr>
          <w:p w14:paraId="1F6FED7F" w14:textId="77777777" w:rsidR="000E417F" w:rsidRDefault="000E417F" w:rsidP="006175FA">
            <w:pPr>
              <w:spacing w:after="0" w:line="240" w:lineRule="auto"/>
              <w:jc w:val="center"/>
              <w:rPr>
                <w:rFonts w:ascii="Arial" w:hAnsi="Arial" w:cs="Arial"/>
                <w:b/>
                <w:bCs/>
              </w:rPr>
            </w:pPr>
          </w:p>
        </w:tc>
        <w:tc>
          <w:tcPr>
            <w:tcW w:w="1601" w:type="dxa"/>
          </w:tcPr>
          <w:p w14:paraId="23F6D656" w14:textId="77777777" w:rsidR="000E417F" w:rsidRDefault="000E417F" w:rsidP="006175FA">
            <w:pPr>
              <w:spacing w:after="0" w:line="240" w:lineRule="auto"/>
              <w:jc w:val="center"/>
              <w:rPr>
                <w:rFonts w:ascii="Arial" w:hAnsi="Arial" w:cs="Arial"/>
                <w:b/>
                <w:bCs/>
              </w:rPr>
            </w:pPr>
          </w:p>
        </w:tc>
        <w:tc>
          <w:tcPr>
            <w:tcW w:w="1286" w:type="dxa"/>
          </w:tcPr>
          <w:p w14:paraId="4F8979BB" w14:textId="77777777" w:rsidR="000E417F" w:rsidRDefault="000E417F" w:rsidP="006175FA">
            <w:pPr>
              <w:spacing w:after="0" w:line="240" w:lineRule="auto"/>
              <w:jc w:val="center"/>
              <w:rPr>
                <w:rFonts w:ascii="Arial" w:hAnsi="Arial" w:cs="Arial"/>
                <w:b/>
                <w:bCs/>
              </w:rPr>
            </w:pPr>
          </w:p>
        </w:tc>
        <w:tc>
          <w:tcPr>
            <w:tcW w:w="1286" w:type="dxa"/>
          </w:tcPr>
          <w:p w14:paraId="680FE8A0" w14:textId="77777777" w:rsidR="000E417F" w:rsidRDefault="000E417F" w:rsidP="006175FA">
            <w:pPr>
              <w:spacing w:after="0" w:line="240" w:lineRule="auto"/>
              <w:jc w:val="center"/>
              <w:rPr>
                <w:rFonts w:ascii="Arial" w:hAnsi="Arial" w:cs="Arial"/>
                <w:b/>
                <w:bCs/>
              </w:rPr>
            </w:pPr>
          </w:p>
        </w:tc>
        <w:tc>
          <w:tcPr>
            <w:tcW w:w="1588" w:type="dxa"/>
          </w:tcPr>
          <w:p w14:paraId="455C3F55" w14:textId="77777777" w:rsidR="000E417F" w:rsidRDefault="000E417F" w:rsidP="006175FA">
            <w:pPr>
              <w:spacing w:after="0" w:line="240" w:lineRule="auto"/>
              <w:jc w:val="center"/>
              <w:rPr>
                <w:rFonts w:ascii="Arial" w:hAnsi="Arial" w:cs="Arial"/>
                <w:b/>
                <w:bCs/>
              </w:rPr>
            </w:pPr>
          </w:p>
        </w:tc>
        <w:tc>
          <w:tcPr>
            <w:tcW w:w="1286" w:type="dxa"/>
          </w:tcPr>
          <w:p w14:paraId="7EF6675B" w14:textId="77777777" w:rsidR="000E417F" w:rsidRDefault="000E417F" w:rsidP="006175FA">
            <w:pPr>
              <w:spacing w:after="0" w:line="240" w:lineRule="auto"/>
              <w:jc w:val="center"/>
              <w:rPr>
                <w:rFonts w:ascii="Arial" w:hAnsi="Arial" w:cs="Arial"/>
                <w:b/>
                <w:bCs/>
              </w:rPr>
            </w:pPr>
          </w:p>
        </w:tc>
        <w:tc>
          <w:tcPr>
            <w:tcW w:w="1182" w:type="dxa"/>
          </w:tcPr>
          <w:p w14:paraId="4DE81933" w14:textId="77777777" w:rsidR="000E417F" w:rsidRDefault="000E417F" w:rsidP="006175FA">
            <w:pPr>
              <w:spacing w:after="0" w:line="240" w:lineRule="auto"/>
              <w:jc w:val="center"/>
              <w:rPr>
                <w:rFonts w:ascii="Arial" w:hAnsi="Arial" w:cs="Arial"/>
                <w:b/>
                <w:bCs/>
              </w:rPr>
            </w:pPr>
          </w:p>
        </w:tc>
      </w:tr>
      <w:tr w:rsidR="000E417F" w14:paraId="36137151" w14:textId="77777777" w:rsidTr="006175FA">
        <w:trPr>
          <w:trHeight w:val="620"/>
          <w:jc w:val="center"/>
        </w:trPr>
        <w:tc>
          <w:tcPr>
            <w:tcW w:w="1077" w:type="dxa"/>
          </w:tcPr>
          <w:p w14:paraId="2AB77A63" w14:textId="77777777" w:rsidR="000E417F" w:rsidRDefault="000E417F" w:rsidP="006175FA">
            <w:pPr>
              <w:spacing w:after="0" w:line="240" w:lineRule="auto"/>
              <w:jc w:val="both"/>
              <w:rPr>
                <w:rFonts w:ascii="Arial" w:hAnsi="Arial" w:cs="Arial"/>
              </w:rPr>
            </w:pPr>
            <w:r>
              <w:rPr>
                <w:rFonts w:ascii="Arial" w:hAnsi="Arial" w:cs="Arial"/>
              </w:rPr>
              <w:t>T</w:t>
            </w:r>
            <w:r>
              <w:rPr>
                <w:rFonts w:ascii="Arial" w:hAnsi="Arial" w:cs="Arial"/>
                <w:vertAlign w:val="subscript"/>
              </w:rPr>
              <w:t>1</w:t>
            </w:r>
            <w:r>
              <w:rPr>
                <w:rFonts w:ascii="Arial" w:hAnsi="Arial" w:cs="Arial"/>
              </w:rPr>
              <w:t xml:space="preserve"> vs T</w:t>
            </w:r>
            <w:r>
              <w:rPr>
                <w:rFonts w:ascii="Arial" w:hAnsi="Arial" w:cs="Arial"/>
                <w:vertAlign w:val="subscript"/>
              </w:rPr>
              <w:t>2</w:t>
            </w:r>
          </w:p>
        </w:tc>
        <w:tc>
          <w:tcPr>
            <w:tcW w:w="1366" w:type="dxa"/>
          </w:tcPr>
          <w:p w14:paraId="5BDF0267" w14:textId="77777777" w:rsidR="000E417F" w:rsidRDefault="000E417F" w:rsidP="006175FA">
            <w:pPr>
              <w:spacing w:after="0" w:line="240" w:lineRule="auto"/>
              <w:jc w:val="center"/>
              <w:rPr>
                <w:rFonts w:ascii="Arial" w:hAnsi="Arial" w:cs="Arial"/>
              </w:rPr>
            </w:pPr>
            <w:r>
              <w:rPr>
                <w:rFonts w:ascii="Arial" w:hAnsi="Arial" w:cs="Arial"/>
              </w:rPr>
              <w:t>NSS (0</w:t>
            </w:r>
            <w:r>
              <w:rPr>
                <w:rFonts w:ascii="Arial" w:eastAsia="Times New Roman" w:hAnsi="Arial" w:cs="Arial"/>
              </w:rPr>
              <w:t>.86)</w:t>
            </w:r>
          </w:p>
        </w:tc>
        <w:tc>
          <w:tcPr>
            <w:tcW w:w="1286" w:type="dxa"/>
          </w:tcPr>
          <w:p w14:paraId="156C0C7A" w14:textId="77777777" w:rsidR="000E417F" w:rsidRDefault="000E417F" w:rsidP="006175FA">
            <w:pPr>
              <w:spacing w:after="0" w:line="240" w:lineRule="auto"/>
              <w:jc w:val="center"/>
              <w:rPr>
                <w:rFonts w:ascii="Arial" w:hAnsi="Arial" w:cs="Arial"/>
                <w:b/>
                <w:bCs/>
              </w:rPr>
            </w:pPr>
            <w:r>
              <w:rPr>
                <w:rFonts w:ascii="Arial" w:hAnsi="Arial" w:cs="Arial"/>
              </w:rPr>
              <w:t>NSS (0.70)</w:t>
            </w:r>
          </w:p>
        </w:tc>
        <w:tc>
          <w:tcPr>
            <w:tcW w:w="1601" w:type="dxa"/>
          </w:tcPr>
          <w:p w14:paraId="6D275CBD" w14:textId="77777777" w:rsidR="000E417F" w:rsidRDefault="000E417F" w:rsidP="006175FA">
            <w:pPr>
              <w:spacing w:after="0" w:line="240" w:lineRule="auto"/>
              <w:jc w:val="center"/>
              <w:rPr>
                <w:rFonts w:ascii="Arial" w:hAnsi="Arial" w:cs="Arial"/>
                <w:b/>
                <w:bCs/>
              </w:rPr>
            </w:pPr>
            <w:r>
              <w:rPr>
                <w:rFonts w:ascii="Arial" w:hAnsi="Arial" w:cs="Arial"/>
              </w:rPr>
              <w:t>NSS (0.39)</w:t>
            </w:r>
          </w:p>
        </w:tc>
        <w:tc>
          <w:tcPr>
            <w:tcW w:w="1286" w:type="dxa"/>
          </w:tcPr>
          <w:p w14:paraId="1A1DB640" w14:textId="77777777" w:rsidR="000E417F" w:rsidRDefault="000E417F" w:rsidP="006175FA">
            <w:pPr>
              <w:spacing w:after="0" w:line="240" w:lineRule="auto"/>
              <w:jc w:val="center"/>
              <w:rPr>
                <w:rFonts w:ascii="Arial" w:hAnsi="Arial" w:cs="Arial"/>
                <w:b/>
                <w:bCs/>
              </w:rPr>
            </w:pPr>
            <w:r>
              <w:rPr>
                <w:rFonts w:ascii="Arial" w:hAnsi="Arial" w:cs="Arial"/>
              </w:rPr>
              <w:t>NSS (0.99)</w:t>
            </w:r>
          </w:p>
        </w:tc>
        <w:tc>
          <w:tcPr>
            <w:tcW w:w="1286" w:type="dxa"/>
          </w:tcPr>
          <w:p w14:paraId="00E564D5" w14:textId="77777777" w:rsidR="000E417F" w:rsidRDefault="000E417F" w:rsidP="006175FA">
            <w:pPr>
              <w:spacing w:after="0" w:line="240" w:lineRule="auto"/>
              <w:jc w:val="center"/>
              <w:rPr>
                <w:rFonts w:ascii="Arial" w:hAnsi="Arial" w:cs="Arial"/>
                <w:b/>
                <w:bCs/>
              </w:rPr>
            </w:pPr>
            <w:r>
              <w:rPr>
                <w:rFonts w:ascii="Arial" w:hAnsi="Arial" w:cs="Arial"/>
              </w:rPr>
              <w:t>NSS (0.33)</w:t>
            </w:r>
          </w:p>
        </w:tc>
        <w:tc>
          <w:tcPr>
            <w:tcW w:w="1588" w:type="dxa"/>
          </w:tcPr>
          <w:p w14:paraId="7B59FFF7" w14:textId="77777777" w:rsidR="000E417F" w:rsidRDefault="000E417F" w:rsidP="006175FA">
            <w:pPr>
              <w:spacing w:after="0" w:line="240" w:lineRule="auto"/>
              <w:jc w:val="center"/>
              <w:rPr>
                <w:rFonts w:ascii="Arial" w:hAnsi="Arial" w:cs="Arial"/>
                <w:b/>
                <w:bCs/>
              </w:rPr>
            </w:pPr>
            <w:r>
              <w:rPr>
                <w:rFonts w:ascii="Arial" w:hAnsi="Arial" w:cs="Arial"/>
              </w:rPr>
              <w:t>NSS (0.83)</w:t>
            </w:r>
          </w:p>
        </w:tc>
        <w:tc>
          <w:tcPr>
            <w:tcW w:w="1286" w:type="dxa"/>
          </w:tcPr>
          <w:p w14:paraId="46BD9699" w14:textId="77777777" w:rsidR="000E417F" w:rsidRDefault="000E417F" w:rsidP="006175FA">
            <w:pPr>
              <w:spacing w:after="0" w:line="240" w:lineRule="auto"/>
              <w:jc w:val="center"/>
              <w:rPr>
                <w:rFonts w:ascii="Arial" w:hAnsi="Arial" w:cs="Arial"/>
                <w:b/>
                <w:bCs/>
              </w:rPr>
            </w:pPr>
            <w:r>
              <w:rPr>
                <w:rFonts w:ascii="Arial" w:hAnsi="Arial" w:cs="Arial"/>
              </w:rPr>
              <w:t>NSS (0.85)</w:t>
            </w:r>
          </w:p>
        </w:tc>
        <w:tc>
          <w:tcPr>
            <w:tcW w:w="1182" w:type="dxa"/>
          </w:tcPr>
          <w:p w14:paraId="7247584D" w14:textId="77777777" w:rsidR="000E417F" w:rsidRDefault="000E417F" w:rsidP="006175FA">
            <w:pPr>
              <w:spacing w:after="0" w:line="240" w:lineRule="auto"/>
              <w:jc w:val="center"/>
              <w:rPr>
                <w:rFonts w:ascii="Arial" w:hAnsi="Arial" w:cs="Arial"/>
                <w:b/>
                <w:bCs/>
              </w:rPr>
            </w:pPr>
            <w:r>
              <w:rPr>
                <w:rFonts w:ascii="Arial" w:hAnsi="Arial" w:cs="Arial"/>
              </w:rPr>
              <w:t>SS (0.00)</w:t>
            </w:r>
          </w:p>
        </w:tc>
      </w:tr>
      <w:tr w:rsidR="000E417F" w14:paraId="5882C4DD" w14:textId="77777777" w:rsidTr="006175FA">
        <w:trPr>
          <w:trHeight w:val="530"/>
          <w:jc w:val="center"/>
        </w:trPr>
        <w:tc>
          <w:tcPr>
            <w:tcW w:w="1077" w:type="dxa"/>
          </w:tcPr>
          <w:p w14:paraId="22EF0745" w14:textId="77777777" w:rsidR="000E417F" w:rsidRDefault="000E417F" w:rsidP="006175FA">
            <w:pPr>
              <w:spacing w:after="0" w:line="240" w:lineRule="auto"/>
              <w:jc w:val="both"/>
              <w:rPr>
                <w:rFonts w:ascii="Arial" w:hAnsi="Arial" w:cs="Arial"/>
              </w:rPr>
            </w:pPr>
            <w:r>
              <w:rPr>
                <w:rFonts w:ascii="Arial" w:hAnsi="Arial" w:cs="Arial"/>
              </w:rPr>
              <w:t xml:space="preserve">  T</w:t>
            </w:r>
            <w:r>
              <w:rPr>
                <w:rFonts w:ascii="Arial" w:hAnsi="Arial" w:cs="Arial"/>
                <w:vertAlign w:val="subscript"/>
              </w:rPr>
              <w:t>1</w:t>
            </w:r>
            <w:r>
              <w:rPr>
                <w:rFonts w:ascii="Arial" w:hAnsi="Arial" w:cs="Arial"/>
              </w:rPr>
              <w:t xml:space="preserve"> vs T</w:t>
            </w:r>
            <w:r>
              <w:rPr>
                <w:rFonts w:ascii="Arial" w:hAnsi="Arial" w:cs="Arial"/>
                <w:vertAlign w:val="subscript"/>
              </w:rPr>
              <w:t>3</w:t>
            </w:r>
          </w:p>
        </w:tc>
        <w:tc>
          <w:tcPr>
            <w:tcW w:w="1366" w:type="dxa"/>
          </w:tcPr>
          <w:p w14:paraId="46F6A98C" w14:textId="77777777" w:rsidR="000E417F" w:rsidRDefault="000E417F" w:rsidP="006175FA">
            <w:pPr>
              <w:spacing w:after="0" w:line="240" w:lineRule="auto"/>
              <w:jc w:val="center"/>
              <w:rPr>
                <w:rFonts w:ascii="Arial" w:hAnsi="Arial" w:cs="Arial"/>
              </w:rPr>
            </w:pPr>
            <w:r>
              <w:rPr>
                <w:rFonts w:ascii="Arial" w:hAnsi="Arial" w:cs="Arial"/>
              </w:rPr>
              <w:t>NSS (0.16)</w:t>
            </w:r>
          </w:p>
        </w:tc>
        <w:tc>
          <w:tcPr>
            <w:tcW w:w="1286" w:type="dxa"/>
          </w:tcPr>
          <w:p w14:paraId="7FD344A2" w14:textId="77777777" w:rsidR="000E417F" w:rsidRDefault="000E417F" w:rsidP="006175FA">
            <w:pPr>
              <w:spacing w:after="0" w:line="240" w:lineRule="auto"/>
              <w:jc w:val="center"/>
              <w:rPr>
                <w:rFonts w:ascii="Arial" w:hAnsi="Arial" w:cs="Arial"/>
                <w:b/>
                <w:bCs/>
              </w:rPr>
            </w:pPr>
            <w:r>
              <w:rPr>
                <w:rFonts w:ascii="Arial" w:hAnsi="Arial" w:cs="Arial"/>
              </w:rPr>
              <w:t>NSS (0.05)</w:t>
            </w:r>
          </w:p>
        </w:tc>
        <w:tc>
          <w:tcPr>
            <w:tcW w:w="1601" w:type="dxa"/>
          </w:tcPr>
          <w:p w14:paraId="66FD06D1" w14:textId="77777777" w:rsidR="000E417F" w:rsidRDefault="000E417F" w:rsidP="006175FA">
            <w:pPr>
              <w:spacing w:after="0" w:line="240" w:lineRule="auto"/>
              <w:jc w:val="center"/>
              <w:rPr>
                <w:rFonts w:ascii="Arial" w:hAnsi="Arial" w:cs="Arial"/>
                <w:b/>
                <w:bCs/>
              </w:rPr>
            </w:pPr>
            <w:proofErr w:type="gramStart"/>
            <w:r>
              <w:rPr>
                <w:rFonts w:ascii="Arial" w:hAnsi="Arial" w:cs="Arial"/>
              </w:rPr>
              <w:t>SS(</w:t>
            </w:r>
            <w:proofErr w:type="gramEnd"/>
            <w:r>
              <w:rPr>
                <w:rFonts w:ascii="Arial" w:hAnsi="Arial" w:cs="Arial"/>
              </w:rPr>
              <w:t>0.01)</w:t>
            </w:r>
          </w:p>
        </w:tc>
        <w:tc>
          <w:tcPr>
            <w:tcW w:w="1286" w:type="dxa"/>
          </w:tcPr>
          <w:p w14:paraId="13FB6575" w14:textId="77777777" w:rsidR="000E417F" w:rsidRDefault="000E417F" w:rsidP="006175FA">
            <w:pPr>
              <w:spacing w:after="0" w:line="240" w:lineRule="auto"/>
              <w:jc w:val="center"/>
              <w:rPr>
                <w:rFonts w:ascii="Arial" w:hAnsi="Arial" w:cs="Arial"/>
                <w:b/>
                <w:bCs/>
              </w:rPr>
            </w:pPr>
            <w:r>
              <w:rPr>
                <w:rFonts w:ascii="Arial" w:hAnsi="Arial" w:cs="Arial"/>
              </w:rPr>
              <w:t>NSS (0.96)</w:t>
            </w:r>
          </w:p>
        </w:tc>
        <w:tc>
          <w:tcPr>
            <w:tcW w:w="1286" w:type="dxa"/>
          </w:tcPr>
          <w:p w14:paraId="2E6FF1B4" w14:textId="77777777" w:rsidR="000E417F" w:rsidRDefault="000E417F" w:rsidP="006175FA">
            <w:pPr>
              <w:spacing w:after="0" w:line="240" w:lineRule="auto"/>
              <w:jc w:val="center"/>
              <w:rPr>
                <w:rFonts w:ascii="Arial" w:hAnsi="Arial" w:cs="Arial"/>
                <w:b/>
                <w:bCs/>
              </w:rPr>
            </w:pPr>
            <w:r>
              <w:rPr>
                <w:rFonts w:ascii="Arial" w:hAnsi="Arial" w:cs="Arial"/>
              </w:rPr>
              <w:t>NSS (0.24)</w:t>
            </w:r>
          </w:p>
        </w:tc>
        <w:tc>
          <w:tcPr>
            <w:tcW w:w="1588" w:type="dxa"/>
          </w:tcPr>
          <w:p w14:paraId="179842B6" w14:textId="77777777" w:rsidR="000E417F" w:rsidRDefault="000E417F" w:rsidP="006175FA">
            <w:pPr>
              <w:spacing w:after="0" w:line="240" w:lineRule="auto"/>
              <w:jc w:val="center"/>
              <w:rPr>
                <w:rFonts w:ascii="Arial" w:hAnsi="Arial" w:cs="Arial"/>
                <w:b/>
                <w:bCs/>
              </w:rPr>
            </w:pPr>
            <w:r>
              <w:rPr>
                <w:rFonts w:ascii="Arial" w:hAnsi="Arial" w:cs="Arial"/>
              </w:rPr>
              <w:t>NSS (0.80)</w:t>
            </w:r>
          </w:p>
        </w:tc>
        <w:tc>
          <w:tcPr>
            <w:tcW w:w="1286" w:type="dxa"/>
          </w:tcPr>
          <w:p w14:paraId="4743FC0F" w14:textId="77777777" w:rsidR="000E417F" w:rsidRDefault="000E417F" w:rsidP="006175FA">
            <w:pPr>
              <w:spacing w:after="0" w:line="240" w:lineRule="auto"/>
              <w:jc w:val="center"/>
              <w:rPr>
                <w:rFonts w:ascii="Arial" w:hAnsi="Arial" w:cs="Arial"/>
                <w:b/>
                <w:bCs/>
              </w:rPr>
            </w:pPr>
            <w:r>
              <w:rPr>
                <w:rFonts w:ascii="Arial" w:hAnsi="Arial" w:cs="Arial"/>
              </w:rPr>
              <w:t>NSS (0.66)</w:t>
            </w:r>
          </w:p>
        </w:tc>
        <w:tc>
          <w:tcPr>
            <w:tcW w:w="1182" w:type="dxa"/>
          </w:tcPr>
          <w:p w14:paraId="1629B148" w14:textId="77777777" w:rsidR="000E417F" w:rsidRDefault="000E417F" w:rsidP="006175FA">
            <w:pPr>
              <w:spacing w:after="0" w:line="240" w:lineRule="auto"/>
              <w:jc w:val="center"/>
              <w:rPr>
                <w:rFonts w:ascii="Arial" w:hAnsi="Arial" w:cs="Arial"/>
                <w:b/>
                <w:bCs/>
              </w:rPr>
            </w:pPr>
            <w:r>
              <w:rPr>
                <w:rFonts w:ascii="Arial" w:hAnsi="Arial" w:cs="Arial"/>
              </w:rPr>
              <w:t>SS (0.00)</w:t>
            </w:r>
          </w:p>
        </w:tc>
      </w:tr>
      <w:tr w:rsidR="000E417F" w14:paraId="12A4D1B4" w14:textId="77777777" w:rsidTr="006175FA">
        <w:trPr>
          <w:trHeight w:val="378"/>
          <w:jc w:val="center"/>
        </w:trPr>
        <w:tc>
          <w:tcPr>
            <w:tcW w:w="1077" w:type="dxa"/>
            <w:tcBorders>
              <w:top w:val="nil"/>
              <w:left w:val="nil"/>
              <w:bottom w:val="single" w:sz="4" w:space="0" w:color="auto"/>
              <w:right w:val="nil"/>
            </w:tcBorders>
          </w:tcPr>
          <w:p w14:paraId="2BC7247C" w14:textId="77777777" w:rsidR="000E417F" w:rsidRDefault="000E417F" w:rsidP="006175FA">
            <w:pPr>
              <w:spacing w:after="0" w:line="240" w:lineRule="auto"/>
              <w:jc w:val="both"/>
              <w:rPr>
                <w:rFonts w:ascii="Arial" w:hAnsi="Arial" w:cs="Arial"/>
              </w:rPr>
            </w:pPr>
            <w:r>
              <w:rPr>
                <w:rFonts w:ascii="Arial" w:hAnsi="Arial" w:cs="Arial"/>
              </w:rPr>
              <w:t>T</w:t>
            </w:r>
            <w:r>
              <w:rPr>
                <w:rFonts w:ascii="Arial" w:hAnsi="Arial" w:cs="Arial"/>
                <w:vertAlign w:val="subscript"/>
              </w:rPr>
              <w:t>2</w:t>
            </w:r>
            <w:r>
              <w:rPr>
                <w:rFonts w:ascii="Arial" w:hAnsi="Arial" w:cs="Arial"/>
              </w:rPr>
              <w:t xml:space="preserve"> vs T</w:t>
            </w:r>
            <w:r>
              <w:rPr>
                <w:rFonts w:ascii="Arial" w:hAnsi="Arial" w:cs="Arial"/>
                <w:vertAlign w:val="subscript"/>
              </w:rPr>
              <w:t>3</w:t>
            </w:r>
          </w:p>
        </w:tc>
        <w:tc>
          <w:tcPr>
            <w:tcW w:w="1366" w:type="dxa"/>
            <w:tcBorders>
              <w:top w:val="nil"/>
              <w:left w:val="nil"/>
              <w:bottom w:val="single" w:sz="4" w:space="0" w:color="auto"/>
              <w:right w:val="nil"/>
            </w:tcBorders>
          </w:tcPr>
          <w:p w14:paraId="11CF667E" w14:textId="77777777" w:rsidR="000E417F" w:rsidRDefault="000E417F" w:rsidP="006175FA">
            <w:pPr>
              <w:spacing w:after="0" w:line="240" w:lineRule="auto"/>
              <w:jc w:val="center"/>
              <w:rPr>
                <w:rFonts w:ascii="Arial" w:hAnsi="Arial" w:cs="Arial"/>
                <w:b/>
                <w:bCs/>
              </w:rPr>
            </w:pPr>
            <w:r>
              <w:rPr>
                <w:rFonts w:ascii="Arial" w:hAnsi="Arial" w:cs="Arial"/>
              </w:rPr>
              <w:t>NSS (0.38)</w:t>
            </w:r>
          </w:p>
        </w:tc>
        <w:tc>
          <w:tcPr>
            <w:tcW w:w="1286" w:type="dxa"/>
            <w:tcBorders>
              <w:top w:val="nil"/>
              <w:left w:val="nil"/>
              <w:bottom w:val="single" w:sz="4" w:space="0" w:color="auto"/>
              <w:right w:val="nil"/>
            </w:tcBorders>
          </w:tcPr>
          <w:p w14:paraId="5C9BA126" w14:textId="77777777" w:rsidR="000E417F" w:rsidRDefault="000E417F" w:rsidP="006175FA">
            <w:pPr>
              <w:spacing w:after="0" w:line="240" w:lineRule="auto"/>
              <w:jc w:val="center"/>
              <w:rPr>
                <w:rFonts w:ascii="Arial" w:hAnsi="Arial" w:cs="Arial"/>
                <w:b/>
                <w:bCs/>
              </w:rPr>
            </w:pPr>
            <w:r>
              <w:rPr>
                <w:rFonts w:ascii="Arial" w:hAnsi="Arial" w:cs="Arial"/>
              </w:rPr>
              <w:t>NSS (0.26)</w:t>
            </w:r>
          </w:p>
        </w:tc>
        <w:tc>
          <w:tcPr>
            <w:tcW w:w="1601" w:type="dxa"/>
            <w:tcBorders>
              <w:top w:val="nil"/>
              <w:left w:val="nil"/>
              <w:bottom w:val="single" w:sz="4" w:space="0" w:color="auto"/>
              <w:right w:val="nil"/>
            </w:tcBorders>
          </w:tcPr>
          <w:p w14:paraId="5982238B" w14:textId="77777777" w:rsidR="000E417F" w:rsidRDefault="000E417F" w:rsidP="006175FA">
            <w:pPr>
              <w:spacing w:after="0" w:line="240" w:lineRule="auto"/>
              <w:jc w:val="center"/>
              <w:rPr>
                <w:rFonts w:ascii="Arial" w:hAnsi="Arial" w:cs="Arial"/>
                <w:b/>
                <w:bCs/>
              </w:rPr>
            </w:pPr>
            <w:r>
              <w:rPr>
                <w:rFonts w:ascii="Arial" w:hAnsi="Arial" w:cs="Arial"/>
              </w:rPr>
              <w:t>NSS (0.24)</w:t>
            </w:r>
          </w:p>
        </w:tc>
        <w:tc>
          <w:tcPr>
            <w:tcW w:w="1286" w:type="dxa"/>
            <w:tcBorders>
              <w:top w:val="nil"/>
              <w:left w:val="nil"/>
              <w:bottom w:val="single" w:sz="4" w:space="0" w:color="auto"/>
              <w:right w:val="nil"/>
            </w:tcBorders>
          </w:tcPr>
          <w:p w14:paraId="709A652F" w14:textId="77777777" w:rsidR="000E417F" w:rsidRDefault="000E417F" w:rsidP="006175FA">
            <w:pPr>
              <w:spacing w:after="0" w:line="240" w:lineRule="auto"/>
              <w:jc w:val="center"/>
              <w:rPr>
                <w:rFonts w:ascii="Arial" w:hAnsi="Arial" w:cs="Arial"/>
                <w:b/>
                <w:bCs/>
              </w:rPr>
            </w:pPr>
            <w:r>
              <w:rPr>
                <w:rFonts w:ascii="Arial" w:hAnsi="Arial" w:cs="Arial"/>
              </w:rPr>
              <w:t>NSS (0.94)</w:t>
            </w:r>
          </w:p>
        </w:tc>
        <w:tc>
          <w:tcPr>
            <w:tcW w:w="1286" w:type="dxa"/>
            <w:tcBorders>
              <w:top w:val="nil"/>
              <w:left w:val="nil"/>
              <w:bottom w:val="single" w:sz="4" w:space="0" w:color="auto"/>
              <w:right w:val="nil"/>
            </w:tcBorders>
          </w:tcPr>
          <w:p w14:paraId="6E28A62C" w14:textId="77777777" w:rsidR="000E417F" w:rsidRDefault="000E417F" w:rsidP="006175FA">
            <w:pPr>
              <w:spacing w:after="0" w:line="240" w:lineRule="auto"/>
              <w:jc w:val="center"/>
              <w:rPr>
                <w:rFonts w:ascii="Arial" w:hAnsi="Arial" w:cs="Arial"/>
                <w:b/>
                <w:bCs/>
              </w:rPr>
            </w:pPr>
            <w:r>
              <w:rPr>
                <w:rFonts w:ascii="Arial" w:hAnsi="Arial" w:cs="Arial"/>
              </w:rPr>
              <w:t>NSS (0.43)</w:t>
            </w:r>
          </w:p>
        </w:tc>
        <w:tc>
          <w:tcPr>
            <w:tcW w:w="1588" w:type="dxa"/>
            <w:tcBorders>
              <w:top w:val="nil"/>
              <w:left w:val="nil"/>
              <w:bottom w:val="single" w:sz="4" w:space="0" w:color="auto"/>
              <w:right w:val="nil"/>
            </w:tcBorders>
          </w:tcPr>
          <w:p w14:paraId="287BC79E" w14:textId="77777777" w:rsidR="000E417F" w:rsidRDefault="000E417F" w:rsidP="006175FA">
            <w:pPr>
              <w:spacing w:after="0" w:line="240" w:lineRule="auto"/>
              <w:jc w:val="center"/>
              <w:rPr>
                <w:rFonts w:ascii="Arial" w:hAnsi="Arial" w:cs="Arial"/>
                <w:b/>
                <w:bCs/>
              </w:rPr>
            </w:pPr>
            <w:r>
              <w:rPr>
                <w:rFonts w:ascii="Arial" w:hAnsi="Arial" w:cs="Arial"/>
              </w:rPr>
              <w:t>NSS (1.00)</w:t>
            </w:r>
          </w:p>
        </w:tc>
        <w:tc>
          <w:tcPr>
            <w:tcW w:w="1286" w:type="dxa"/>
            <w:tcBorders>
              <w:top w:val="nil"/>
              <w:left w:val="nil"/>
              <w:bottom w:val="single" w:sz="4" w:space="0" w:color="auto"/>
              <w:right w:val="nil"/>
            </w:tcBorders>
          </w:tcPr>
          <w:p w14:paraId="2FA5C5F3" w14:textId="77777777" w:rsidR="000E417F" w:rsidRDefault="000E417F" w:rsidP="006175FA">
            <w:pPr>
              <w:spacing w:after="0" w:line="240" w:lineRule="auto"/>
              <w:jc w:val="center"/>
              <w:rPr>
                <w:rFonts w:ascii="Arial" w:hAnsi="Arial" w:cs="Arial"/>
                <w:b/>
                <w:bCs/>
              </w:rPr>
            </w:pPr>
            <w:r>
              <w:rPr>
                <w:rFonts w:ascii="Arial" w:hAnsi="Arial" w:cs="Arial"/>
                <w:bCs/>
              </w:rPr>
              <w:t>NSS</w:t>
            </w:r>
            <w:r>
              <w:rPr>
                <w:rFonts w:ascii="Arial" w:hAnsi="Arial" w:cs="Arial"/>
              </w:rPr>
              <w:t xml:space="preserve"> (0.94)</w:t>
            </w:r>
          </w:p>
        </w:tc>
        <w:tc>
          <w:tcPr>
            <w:tcW w:w="1182" w:type="dxa"/>
            <w:tcBorders>
              <w:top w:val="nil"/>
              <w:left w:val="nil"/>
              <w:bottom w:val="single" w:sz="4" w:space="0" w:color="auto"/>
              <w:right w:val="nil"/>
            </w:tcBorders>
          </w:tcPr>
          <w:p w14:paraId="05A7D50C" w14:textId="77777777" w:rsidR="000E417F" w:rsidRDefault="000E417F" w:rsidP="006175FA">
            <w:pPr>
              <w:spacing w:after="0" w:line="240" w:lineRule="auto"/>
              <w:jc w:val="center"/>
              <w:rPr>
                <w:rFonts w:ascii="Arial" w:hAnsi="Arial" w:cs="Arial"/>
                <w:b/>
                <w:bCs/>
              </w:rPr>
            </w:pPr>
            <w:r>
              <w:rPr>
                <w:rFonts w:ascii="Arial" w:hAnsi="Arial" w:cs="Arial"/>
              </w:rPr>
              <w:t>NSS (0.86)</w:t>
            </w:r>
          </w:p>
        </w:tc>
      </w:tr>
    </w:tbl>
    <w:p w14:paraId="580D9D89" w14:textId="77777777" w:rsidR="000E417F" w:rsidRDefault="000E417F" w:rsidP="000E417F">
      <w:pPr>
        <w:jc w:val="both"/>
        <w:rPr>
          <w:rFonts w:ascii="Arial" w:eastAsiaTheme="minorEastAsia" w:hAnsi="Arial" w:cs="Arial"/>
          <w:sz w:val="20"/>
          <w:szCs w:val="20"/>
        </w:rPr>
      </w:pPr>
      <w:r>
        <w:rPr>
          <w:rFonts w:ascii="Arial" w:hAnsi="Arial" w:cs="Arial"/>
          <w:sz w:val="20"/>
          <w:szCs w:val="20"/>
        </w:rPr>
        <w:t>p&lt; 0.05 = statistically significant</w:t>
      </w:r>
    </w:p>
    <w:p w14:paraId="1D6184FC" w14:textId="77777777" w:rsidR="000E417F" w:rsidRDefault="000E417F" w:rsidP="000E417F">
      <w:pPr>
        <w:spacing w:line="240" w:lineRule="auto"/>
        <w:jc w:val="both"/>
        <w:rPr>
          <w:rFonts w:ascii="Arial" w:hAnsi="Arial" w:cs="Arial"/>
          <w:bCs/>
          <w:sz w:val="20"/>
          <w:szCs w:val="20"/>
        </w:rPr>
      </w:pPr>
      <w:r>
        <w:rPr>
          <w:rFonts w:ascii="Arial" w:hAnsi="Arial" w:cs="Arial"/>
          <w:sz w:val="20"/>
          <w:szCs w:val="20"/>
        </w:rPr>
        <w:t>Key</w:t>
      </w:r>
      <w:r>
        <w:rPr>
          <w:rFonts w:ascii="Arial" w:hAnsi="Arial" w:cs="Arial"/>
          <w:b/>
          <w:sz w:val="20"/>
          <w:szCs w:val="20"/>
        </w:rPr>
        <w:t xml:space="preserve">: </w:t>
      </w:r>
      <w:r>
        <w:rPr>
          <w:rFonts w:ascii="Arial" w:hAnsi="Arial" w:cs="Arial"/>
          <w:bCs/>
          <w:sz w:val="20"/>
          <w:szCs w:val="20"/>
        </w:rPr>
        <w:t>T</w:t>
      </w:r>
      <w:r>
        <w:rPr>
          <w:rFonts w:ascii="Arial" w:hAnsi="Arial" w:cs="Arial"/>
          <w:bCs/>
          <w:sz w:val="20"/>
          <w:szCs w:val="20"/>
          <w:vertAlign w:val="subscript"/>
        </w:rPr>
        <w:t>1</w:t>
      </w:r>
      <w:r>
        <w:rPr>
          <w:rFonts w:ascii="Arial" w:hAnsi="Arial" w:cs="Arial"/>
          <w:bCs/>
          <w:sz w:val="20"/>
          <w:szCs w:val="20"/>
        </w:rPr>
        <w:t>= Test, T</w:t>
      </w:r>
      <w:r>
        <w:rPr>
          <w:rFonts w:ascii="Arial" w:hAnsi="Arial" w:cs="Arial"/>
          <w:bCs/>
          <w:sz w:val="20"/>
          <w:szCs w:val="20"/>
          <w:vertAlign w:val="subscript"/>
        </w:rPr>
        <w:t>2</w:t>
      </w:r>
      <w:r>
        <w:rPr>
          <w:rFonts w:ascii="Arial" w:hAnsi="Arial" w:cs="Arial"/>
          <w:bCs/>
          <w:sz w:val="20"/>
          <w:szCs w:val="20"/>
        </w:rPr>
        <w:t>= Control 1, T</w:t>
      </w:r>
      <w:r>
        <w:rPr>
          <w:rFonts w:ascii="Arial" w:hAnsi="Arial" w:cs="Arial"/>
          <w:bCs/>
          <w:sz w:val="20"/>
          <w:szCs w:val="20"/>
          <w:vertAlign w:val="subscript"/>
        </w:rPr>
        <w:t>3</w:t>
      </w:r>
      <w:r>
        <w:rPr>
          <w:rFonts w:ascii="Arial" w:hAnsi="Arial" w:cs="Arial"/>
          <w:bCs/>
          <w:sz w:val="20"/>
          <w:szCs w:val="20"/>
        </w:rPr>
        <w:t xml:space="preserve">= Control 2, </w:t>
      </w:r>
      <w:r>
        <w:rPr>
          <w:rFonts w:ascii="Arial" w:hAnsi="Arial" w:cs="Arial"/>
          <w:sz w:val="20"/>
          <w:szCs w:val="20"/>
        </w:rPr>
        <w:t xml:space="preserve">SS = statistically significant, NSS = Not statistically significant, SD= Standard Deviation, </w:t>
      </w:r>
      <w:r>
        <w:rPr>
          <w:rFonts w:ascii="Arial" w:hAnsi="Arial" w:cs="Arial"/>
          <w:bCs/>
          <w:sz w:val="20"/>
          <w:szCs w:val="20"/>
        </w:rPr>
        <w:t>RBC= Red Blood Cell Count, HGB=Haemoglobin concentration, HCT= Haematocrit, MCV= Mean Cell Volume, MCH= Mean Cell Haemoglobin, MCHC= Mean Cell Haemoglobin Concentration, RDW= Red cell Distribution Width, RC= Reticulocyte Count.</w:t>
      </w:r>
    </w:p>
    <w:p w14:paraId="413786D2" w14:textId="77777777" w:rsidR="000E417F" w:rsidRDefault="000E417F" w:rsidP="000E417F">
      <w:pPr>
        <w:spacing w:after="0" w:line="240" w:lineRule="auto"/>
        <w:rPr>
          <w:rFonts w:ascii="Arial" w:hAnsi="Arial" w:cs="Arial"/>
          <w:bCs/>
          <w:sz w:val="20"/>
          <w:szCs w:val="20"/>
        </w:rPr>
        <w:sectPr w:rsidR="000E417F" w:rsidSect="000E417F">
          <w:pgSz w:w="15840" w:h="12240" w:orient="landscape"/>
          <w:pgMar w:top="1440" w:right="1440" w:bottom="1440" w:left="1440" w:header="720" w:footer="720" w:gutter="0"/>
          <w:cols w:space="720"/>
        </w:sectPr>
      </w:pPr>
    </w:p>
    <w:p w14:paraId="0A3C06E0" w14:textId="77777777" w:rsidR="000E417F" w:rsidRDefault="000E417F" w:rsidP="000E417F">
      <w:pPr>
        <w:autoSpaceDE w:val="0"/>
        <w:autoSpaceDN w:val="0"/>
        <w:adjustRightInd w:val="0"/>
        <w:spacing w:after="0" w:line="480" w:lineRule="auto"/>
        <w:jc w:val="both"/>
        <w:rPr>
          <w:rFonts w:ascii="Arial" w:hAnsi="Arial" w:cs="Arial"/>
          <w:sz w:val="20"/>
          <w:szCs w:val="20"/>
        </w:rPr>
      </w:pPr>
      <w:r>
        <w:rPr>
          <w:rFonts w:ascii="Arial" w:hAnsi="Arial" w:cs="Arial"/>
          <w:sz w:val="20"/>
          <w:szCs w:val="20"/>
        </w:rPr>
        <w:lastRenderedPageBreak/>
        <w:t xml:space="preserve">Figure 4 showed the correlations between premature canities and the red blood cell metrics (haemoglobin concentration (HGB), haematocrit (HCT), red cell count (RBC), mean cell volume (MCV), mean cell haemoglobin (MCH), mean cell haemoglobin concentration (MCHC), red cell distribution width (RDW) and reticulocyte count (RC)) among the study participants. </w:t>
      </w:r>
    </w:p>
    <w:p w14:paraId="3BE07805" w14:textId="77777777" w:rsidR="000E417F" w:rsidRDefault="000E417F" w:rsidP="000E417F">
      <w:pPr>
        <w:spacing w:line="480" w:lineRule="auto"/>
        <w:jc w:val="both"/>
        <w:rPr>
          <w:rFonts w:ascii="Arial" w:hAnsi="Arial" w:cs="Arial"/>
          <w:bCs/>
          <w:sz w:val="20"/>
          <w:szCs w:val="20"/>
        </w:rPr>
      </w:pPr>
      <w:r>
        <w:rPr>
          <w:rFonts w:ascii="Arial" w:hAnsi="Arial" w:cs="Arial"/>
          <w:sz w:val="20"/>
          <w:szCs w:val="20"/>
        </w:rPr>
        <w:t xml:space="preserve">Using the Pearson correlation, the correlation between premature canities and HCT, RBC, MCV, MCH, MCHC and RDW showed weak positive correlations with the coefficient of correlation (r) = 0.24, 0.16, 0.17, 0.11, 0.11 and 0.04 and P= 0.21, 0.39, 0.35, 0.56, 0.56 and 0.80 in the same order. The HGB showed a statistically significant moderate positive correlation with a coefficient of correlation (r) = 0.38 and </w:t>
      </w:r>
      <w:r>
        <w:rPr>
          <w:rFonts w:ascii="Arial" w:hAnsi="Arial" w:cs="Arial"/>
          <w:i/>
          <w:sz w:val="20"/>
          <w:szCs w:val="20"/>
        </w:rPr>
        <w:t>P</w:t>
      </w:r>
      <w:r>
        <w:rPr>
          <w:rFonts w:ascii="Arial" w:hAnsi="Arial" w:cs="Arial"/>
          <w:sz w:val="20"/>
          <w:szCs w:val="20"/>
        </w:rPr>
        <w:t xml:space="preserve">=0.04; that between premature canities and RC showed a weak negative correlation (r = -0.28) with a </w:t>
      </w:r>
      <w:r>
        <w:rPr>
          <w:rFonts w:ascii="Arial" w:hAnsi="Arial" w:cs="Arial"/>
          <w:i/>
          <w:sz w:val="20"/>
          <w:szCs w:val="20"/>
        </w:rPr>
        <w:t>P</w:t>
      </w:r>
      <w:r>
        <w:rPr>
          <w:rFonts w:ascii="Arial" w:hAnsi="Arial" w:cs="Arial"/>
          <w:sz w:val="20"/>
          <w:szCs w:val="20"/>
        </w:rPr>
        <w:t>-value of 0.14.</w:t>
      </w:r>
    </w:p>
    <w:p w14:paraId="2D693DF2" w14:textId="77777777" w:rsidR="000E417F" w:rsidRDefault="000E417F" w:rsidP="000E417F">
      <w:pPr>
        <w:spacing w:after="0" w:line="240" w:lineRule="auto"/>
        <w:jc w:val="both"/>
        <w:rPr>
          <w:rFonts w:ascii="Arial" w:hAnsi="Arial" w:cs="Arial"/>
          <w:sz w:val="20"/>
          <w:szCs w:val="20"/>
        </w:rPr>
      </w:pPr>
    </w:p>
    <w:p w14:paraId="397A367F" w14:textId="77777777" w:rsidR="000E417F" w:rsidRDefault="000E417F" w:rsidP="000E417F">
      <w:pPr>
        <w:spacing w:after="0" w:line="240" w:lineRule="auto"/>
        <w:jc w:val="both"/>
        <w:rPr>
          <w:rFonts w:ascii="Arial" w:hAnsi="Arial" w:cs="Arial"/>
          <w:sz w:val="20"/>
          <w:szCs w:val="20"/>
        </w:rPr>
      </w:pPr>
      <w:r>
        <w:rPr>
          <w:rFonts w:ascii="Arial" w:hAnsi="Arial" w:cs="Arial"/>
          <w:noProof/>
          <w:sz w:val="20"/>
          <w:szCs w:val="20"/>
        </w:rPr>
        <w:drawing>
          <wp:inline distT="0" distB="0" distL="0" distR="0" wp14:anchorId="097F0422" wp14:editId="68CE3E67">
            <wp:extent cx="5953125" cy="3476625"/>
            <wp:effectExtent l="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8967DA" w14:textId="77777777" w:rsidR="000E417F" w:rsidRDefault="000E417F" w:rsidP="000E417F">
      <w:pPr>
        <w:spacing w:after="0" w:line="240" w:lineRule="auto"/>
        <w:jc w:val="both"/>
        <w:rPr>
          <w:rFonts w:ascii="Arial" w:hAnsi="Arial" w:cs="Arial"/>
          <w:sz w:val="20"/>
          <w:szCs w:val="20"/>
        </w:rPr>
      </w:pPr>
    </w:p>
    <w:p w14:paraId="5261D522" w14:textId="77777777" w:rsidR="000E417F" w:rsidRDefault="000E417F" w:rsidP="000E417F">
      <w:pPr>
        <w:spacing w:after="0" w:line="240" w:lineRule="auto"/>
        <w:ind w:left="720" w:hanging="720"/>
        <w:jc w:val="both"/>
        <w:rPr>
          <w:rFonts w:ascii="Arial" w:hAnsi="Arial" w:cs="Arial"/>
          <w:b/>
          <w:sz w:val="20"/>
          <w:szCs w:val="20"/>
        </w:rPr>
      </w:pPr>
      <w:r>
        <w:rPr>
          <w:rFonts w:ascii="Arial" w:hAnsi="Arial" w:cs="Arial"/>
          <w:b/>
          <w:sz w:val="20"/>
          <w:szCs w:val="20"/>
        </w:rPr>
        <w:t>Figure 4 Correlation between Premature Canities and Red Blood Cell Metrics among the</w:t>
      </w:r>
    </w:p>
    <w:p w14:paraId="0E3A695F" w14:textId="77777777" w:rsidR="000E417F" w:rsidRDefault="000E417F" w:rsidP="000E417F">
      <w:pPr>
        <w:spacing w:after="0" w:line="240" w:lineRule="auto"/>
        <w:ind w:left="720" w:hanging="720"/>
        <w:jc w:val="both"/>
        <w:rPr>
          <w:rFonts w:ascii="Arial" w:hAnsi="Arial" w:cs="Arial"/>
          <w:b/>
          <w:sz w:val="20"/>
          <w:szCs w:val="20"/>
        </w:rPr>
      </w:pPr>
      <w:r>
        <w:rPr>
          <w:rFonts w:ascii="Arial" w:hAnsi="Arial" w:cs="Arial"/>
          <w:b/>
          <w:sz w:val="20"/>
          <w:szCs w:val="20"/>
        </w:rPr>
        <w:t xml:space="preserve">               Study Participants.</w:t>
      </w:r>
    </w:p>
    <w:p w14:paraId="71E92A30" w14:textId="77777777" w:rsidR="000E417F" w:rsidRDefault="000E417F" w:rsidP="000E417F">
      <w:pPr>
        <w:spacing w:after="0" w:line="240" w:lineRule="auto"/>
        <w:ind w:left="720" w:hanging="720"/>
        <w:jc w:val="both"/>
        <w:rPr>
          <w:rFonts w:ascii="Arial" w:hAnsi="Arial" w:cs="Arial"/>
          <w:b/>
          <w:sz w:val="20"/>
          <w:szCs w:val="20"/>
        </w:rPr>
      </w:pPr>
    </w:p>
    <w:p w14:paraId="19047AFC" w14:textId="77777777" w:rsidR="000E417F" w:rsidRDefault="000E417F" w:rsidP="000E417F">
      <w:pPr>
        <w:jc w:val="both"/>
        <w:rPr>
          <w:rFonts w:ascii="Arial" w:hAnsi="Arial" w:cs="Arial"/>
          <w:sz w:val="20"/>
          <w:szCs w:val="20"/>
        </w:rPr>
      </w:pPr>
      <w:r>
        <w:rPr>
          <w:rFonts w:ascii="Arial" w:hAnsi="Arial" w:cs="Arial"/>
          <w:i/>
          <w:sz w:val="20"/>
          <w:szCs w:val="20"/>
        </w:rPr>
        <w:t>P</w:t>
      </w:r>
      <w:r>
        <w:rPr>
          <w:rFonts w:ascii="Arial" w:hAnsi="Arial" w:cs="Arial"/>
          <w:sz w:val="20"/>
          <w:szCs w:val="20"/>
        </w:rPr>
        <w:t xml:space="preserve">&lt;0.05 = statistically significant </w:t>
      </w:r>
    </w:p>
    <w:p w14:paraId="5BEEDFA6" w14:textId="77777777" w:rsidR="000E417F" w:rsidRDefault="000E417F" w:rsidP="000E417F">
      <w:pPr>
        <w:spacing w:after="0" w:line="240" w:lineRule="auto"/>
        <w:jc w:val="both"/>
        <w:rPr>
          <w:rFonts w:ascii="Arial" w:hAnsi="Arial" w:cs="Arial"/>
          <w:sz w:val="20"/>
          <w:szCs w:val="20"/>
        </w:rPr>
      </w:pPr>
      <w:r>
        <w:rPr>
          <w:rFonts w:ascii="Arial" w:hAnsi="Arial" w:cs="Arial"/>
          <w:i/>
          <w:sz w:val="20"/>
          <w:szCs w:val="20"/>
        </w:rPr>
        <w:t>P</w:t>
      </w:r>
      <w:r>
        <w:rPr>
          <w:rFonts w:ascii="Arial" w:hAnsi="Arial" w:cs="Arial"/>
          <w:sz w:val="20"/>
          <w:szCs w:val="20"/>
        </w:rPr>
        <w:t xml:space="preserve"> values: PC*HGB= 0.04, PC*HCT = 0.21, PC*RBC= 0.39, PC*MCV= 0.35, PC*MCH= 0.56, </w:t>
      </w:r>
    </w:p>
    <w:p w14:paraId="7606D5CB" w14:textId="77777777" w:rsidR="000E417F" w:rsidRDefault="000E417F" w:rsidP="000E417F">
      <w:pPr>
        <w:spacing w:after="0" w:line="240" w:lineRule="auto"/>
        <w:jc w:val="both"/>
        <w:rPr>
          <w:rFonts w:ascii="Arial" w:hAnsi="Arial" w:cs="Arial"/>
          <w:sz w:val="20"/>
          <w:szCs w:val="20"/>
        </w:rPr>
      </w:pPr>
      <w:r>
        <w:rPr>
          <w:rFonts w:ascii="Arial" w:hAnsi="Arial" w:cs="Arial"/>
          <w:sz w:val="20"/>
          <w:szCs w:val="20"/>
        </w:rPr>
        <w:t>PC*MCHC =0.56, PC*RDW= 0.80, PC*RC =0.14</w:t>
      </w:r>
    </w:p>
    <w:p w14:paraId="7F44BB90" w14:textId="77777777" w:rsidR="000E417F" w:rsidRDefault="000E417F" w:rsidP="000E417F">
      <w:pPr>
        <w:spacing w:after="0" w:line="240" w:lineRule="auto"/>
        <w:jc w:val="both"/>
        <w:rPr>
          <w:rFonts w:ascii="Arial" w:eastAsia="Times New Roman" w:hAnsi="Arial" w:cs="Arial"/>
          <w:sz w:val="20"/>
          <w:szCs w:val="20"/>
        </w:rPr>
      </w:pPr>
    </w:p>
    <w:p w14:paraId="0ADC7608" w14:textId="77777777" w:rsidR="000E417F" w:rsidRDefault="000E417F" w:rsidP="000E417F">
      <w:pPr>
        <w:spacing w:after="0" w:line="240" w:lineRule="auto"/>
        <w:jc w:val="both"/>
        <w:rPr>
          <w:rFonts w:ascii="Arial" w:eastAsiaTheme="minorEastAsia" w:hAnsi="Arial" w:cs="Arial"/>
          <w:b/>
          <w:sz w:val="20"/>
          <w:szCs w:val="20"/>
        </w:rPr>
      </w:pPr>
    </w:p>
    <w:p w14:paraId="46A8C7FA" w14:textId="77777777" w:rsidR="000E417F" w:rsidRDefault="000E417F" w:rsidP="000E417F">
      <w:pPr>
        <w:spacing w:after="0" w:line="240" w:lineRule="auto"/>
        <w:jc w:val="both"/>
        <w:rPr>
          <w:rFonts w:ascii="Arial" w:hAnsi="Arial" w:cs="Arial"/>
          <w:sz w:val="20"/>
          <w:szCs w:val="20"/>
        </w:rPr>
      </w:pPr>
      <w:r>
        <w:rPr>
          <w:rFonts w:ascii="Arial" w:hAnsi="Arial" w:cs="Arial"/>
          <w:sz w:val="20"/>
          <w:szCs w:val="20"/>
        </w:rPr>
        <w:t>Key: PC = Premature Canities</w:t>
      </w:r>
      <w:r>
        <w:rPr>
          <w:rFonts w:ascii="Arial" w:hAnsi="Arial" w:cs="Arial"/>
          <w:b/>
          <w:sz w:val="20"/>
          <w:szCs w:val="20"/>
        </w:rPr>
        <w:t xml:space="preserve">, </w:t>
      </w:r>
      <w:r>
        <w:rPr>
          <w:rFonts w:ascii="Arial" w:hAnsi="Arial" w:cs="Arial"/>
          <w:sz w:val="20"/>
          <w:szCs w:val="20"/>
        </w:rPr>
        <w:t xml:space="preserve">Haemoglobin concentration = (HGB), Haematocrit = (HCT), Red </w:t>
      </w:r>
    </w:p>
    <w:p w14:paraId="540CAF11" w14:textId="77777777" w:rsidR="000E417F" w:rsidRDefault="000E417F" w:rsidP="000E417F">
      <w:pPr>
        <w:spacing w:after="0" w:line="240" w:lineRule="auto"/>
        <w:jc w:val="both"/>
        <w:rPr>
          <w:rFonts w:ascii="Arial" w:hAnsi="Arial" w:cs="Arial"/>
          <w:b/>
          <w:sz w:val="20"/>
          <w:szCs w:val="20"/>
        </w:rPr>
      </w:pPr>
      <w:r>
        <w:rPr>
          <w:rFonts w:ascii="Arial" w:hAnsi="Arial" w:cs="Arial"/>
          <w:sz w:val="20"/>
          <w:szCs w:val="20"/>
        </w:rPr>
        <w:t xml:space="preserve">Blood Cell Count = (RBC), Mean Cell Volume = (MCV), Mean Cell Haemoglobin = (MCH), Mean Cell Haemoglobin Concentration = (MCHC), Red Cell Distribution Width= (RDW) and Reticulocyte Count = </w:t>
      </w:r>
      <w:r>
        <w:rPr>
          <w:rFonts w:ascii="Arial" w:hAnsi="Arial" w:cs="Arial"/>
          <w:sz w:val="20"/>
          <w:szCs w:val="20"/>
        </w:rPr>
        <w:lastRenderedPageBreak/>
        <w:t>(RC). WNC= Weak Negative Correlation, WPC= Weak Positive Correlation, MPC= Moderate Positive Correlation, * = and.</w:t>
      </w:r>
    </w:p>
    <w:p w14:paraId="05A4F293" w14:textId="77777777" w:rsidR="000E417F" w:rsidRDefault="000E417F" w:rsidP="000E417F">
      <w:pPr>
        <w:pStyle w:val="ListParagraph"/>
        <w:spacing w:line="480" w:lineRule="auto"/>
        <w:ind w:left="360"/>
        <w:jc w:val="both"/>
        <w:rPr>
          <w:rFonts w:ascii="Arial" w:hAnsi="Arial" w:cs="Arial"/>
          <w:b/>
          <w:sz w:val="20"/>
          <w:szCs w:val="20"/>
        </w:rPr>
      </w:pPr>
    </w:p>
    <w:p w14:paraId="23FAAB40" w14:textId="77777777" w:rsidR="000E417F" w:rsidRDefault="000E417F" w:rsidP="000E417F">
      <w:pPr>
        <w:spacing w:after="0" w:line="480" w:lineRule="auto"/>
        <w:jc w:val="both"/>
        <w:rPr>
          <w:rFonts w:ascii="Arial" w:hAnsi="Arial" w:cs="Arial"/>
          <w:sz w:val="20"/>
          <w:szCs w:val="20"/>
        </w:rPr>
      </w:pPr>
      <w:r>
        <w:rPr>
          <w:rFonts w:ascii="Arial" w:hAnsi="Arial" w:cs="Arial"/>
          <w:sz w:val="20"/>
          <w:szCs w:val="20"/>
        </w:rPr>
        <w:t xml:space="preserve">Table 3 presents the correlation between degree of canities and the red blood cell metrics (haemoglobin concentration (HGB), haematocrit (HCT), red cell count (RBC), mean cell volume (MCV), mean cell haemoglobin (MCH), mean cell haemoglobin concentration (MCHC), red cell distribution width (RDW) and reticulocyte count (RC)) of the Test group among the study participants using Pearson correlation. </w:t>
      </w:r>
    </w:p>
    <w:p w14:paraId="6288726A" w14:textId="77777777" w:rsidR="000E417F" w:rsidRDefault="000E417F" w:rsidP="000E417F">
      <w:pPr>
        <w:spacing w:after="0" w:line="480" w:lineRule="auto"/>
        <w:jc w:val="both"/>
        <w:rPr>
          <w:rFonts w:ascii="Arial" w:hAnsi="Arial" w:cs="Arial"/>
          <w:sz w:val="20"/>
          <w:szCs w:val="20"/>
        </w:rPr>
      </w:pPr>
    </w:p>
    <w:p w14:paraId="279A473E" w14:textId="77777777" w:rsidR="000E417F" w:rsidRDefault="000E417F" w:rsidP="000E417F">
      <w:pPr>
        <w:spacing w:after="0" w:line="480" w:lineRule="auto"/>
        <w:jc w:val="both"/>
        <w:rPr>
          <w:rFonts w:ascii="Arial" w:hAnsi="Arial" w:cs="Arial"/>
          <w:sz w:val="20"/>
          <w:szCs w:val="20"/>
        </w:rPr>
      </w:pPr>
      <w:r>
        <w:rPr>
          <w:rFonts w:ascii="Arial" w:hAnsi="Arial" w:cs="Arial"/>
          <w:sz w:val="20"/>
          <w:szCs w:val="20"/>
        </w:rPr>
        <w:t xml:space="preserve">The result obtained from this study revealed that degree of canities had statistically not significant weak positive correlations with HCT, RBC, MCV, MCH, RDW and RC with coefficient of correlation r = 0.25, 0.11, 0.22, 0.25, 0.28 and 0.26 and </w:t>
      </w:r>
      <w:r>
        <w:rPr>
          <w:rFonts w:ascii="Arial" w:hAnsi="Arial" w:cs="Arial"/>
          <w:i/>
          <w:sz w:val="20"/>
          <w:szCs w:val="20"/>
        </w:rPr>
        <w:t>P</w:t>
      </w:r>
      <w:r>
        <w:rPr>
          <w:rFonts w:ascii="Arial" w:hAnsi="Arial" w:cs="Arial"/>
          <w:sz w:val="20"/>
          <w:szCs w:val="20"/>
        </w:rPr>
        <w:t xml:space="preserve"> = 0.19, 0.57, 0.19, 0.07, 0.14 and 0.16 in the same order. The correlation between the degree of canities and HGB was a moderate positive correlation with a correlation coefficient r = 0.53 and </w:t>
      </w:r>
      <w:r>
        <w:rPr>
          <w:rFonts w:ascii="Arial" w:hAnsi="Arial" w:cs="Arial"/>
          <w:i/>
          <w:sz w:val="20"/>
          <w:szCs w:val="20"/>
        </w:rPr>
        <w:t>P</w:t>
      </w:r>
      <w:r>
        <w:rPr>
          <w:rFonts w:ascii="Arial" w:hAnsi="Arial" w:cs="Arial"/>
          <w:sz w:val="20"/>
          <w:szCs w:val="20"/>
        </w:rPr>
        <w:t xml:space="preserve"> = 0.78.   Finally, a strong negative correlation was observed between the degree of canities and MCHC with a coefficient of correlation r = -0.94 and </w:t>
      </w:r>
      <w:r>
        <w:rPr>
          <w:rFonts w:ascii="Arial" w:hAnsi="Arial" w:cs="Arial"/>
          <w:i/>
          <w:sz w:val="20"/>
          <w:szCs w:val="20"/>
        </w:rPr>
        <w:t>P</w:t>
      </w:r>
      <w:r>
        <w:rPr>
          <w:rFonts w:ascii="Arial" w:hAnsi="Arial" w:cs="Arial"/>
          <w:sz w:val="20"/>
          <w:szCs w:val="20"/>
        </w:rPr>
        <w:t xml:space="preserve"> = 0.62.</w:t>
      </w:r>
    </w:p>
    <w:p w14:paraId="64ABDD3A" w14:textId="77777777" w:rsidR="000E417F" w:rsidRDefault="000E417F" w:rsidP="000E417F">
      <w:pPr>
        <w:pStyle w:val="ListParagraph"/>
        <w:spacing w:line="480" w:lineRule="auto"/>
        <w:ind w:left="360"/>
        <w:jc w:val="both"/>
        <w:rPr>
          <w:rFonts w:ascii="Arial" w:hAnsi="Arial" w:cs="Arial"/>
          <w:b/>
          <w:sz w:val="20"/>
          <w:szCs w:val="20"/>
        </w:rPr>
      </w:pPr>
    </w:p>
    <w:p w14:paraId="3052F3C1" w14:textId="77777777" w:rsidR="000E417F" w:rsidRDefault="000E417F" w:rsidP="000E417F">
      <w:pPr>
        <w:spacing w:after="0" w:line="240" w:lineRule="auto"/>
        <w:ind w:left="720" w:hanging="720"/>
        <w:jc w:val="both"/>
        <w:rPr>
          <w:rFonts w:ascii="Arial" w:hAnsi="Arial" w:cs="Arial"/>
          <w:b/>
          <w:sz w:val="20"/>
          <w:szCs w:val="20"/>
        </w:rPr>
      </w:pPr>
      <w:r>
        <w:rPr>
          <w:rFonts w:ascii="Arial" w:hAnsi="Arial" w:cs="Arial"/>
          <w:b/>
          <w:sz w:val="20"/>
          <w:szCs w:val="20"/>
        </w:rPr>
        <w:t>Table 3 Correlation between Degree of Canities and Red Blood Cell Metrics among the Test Group of the Study Participants.</w:t>
      </w:r>
    </w:p>
    <w:p w14:paraId="795E0C5A" w14:textId="77777777" w:rsidR="000E417F" w:rsidRDefault="000E417F" w:rsidP="000E417F">
      <w:pPr>
        <w:spacing w:after="0" w:line="240" w:lineRule="auto"/>
        <w:ind w:left="720" w:hanging="720"/>
        <w:jc w:val="both"/>
        <w:rPr>
          <w:rFonts w:ascii="Arial" w:hAnsi="Arial" w:cs="Arial"/>
          <w:b/>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046"/>
        <w:gridCol w:w="1464"/>
        <w:gridCol w:w="1639"/>
        <w:gridCol w:w="1422"/>
        <w:gridCol w:w="1489"/>
      </w:tblGrid>
      <w:tr w:rsidR="000E417F" w14:paraId="1AF5A7DA" w14:textId="77777777" w:rsidTr="006175FA">
        <w:tc>
          <w:tcPr>
            <w:tcW w:w="2142" w:type="dxa"/>
            <w:tcBorders>
              <w:top w:val="single" w:sz="4" w:space="0" w:color="auto"/>
              <w:left w:val="nil"/>
              <w:bottom w:val="single" w:sz="4" w:space="0" w:color="auto"/>
              <w:right w:val="nil"/>
            </w:tcBorders>
          </w:tcPr>
          <w:p w14:paraId="280CBF59" w14:textId="77777777" w:rsidR="000E417F" w:rsidRDefault="000E417F" w:rsidP="006175FA">
            <w:pPr>
              <w:spacing w:after="0" w:line="480" w:lineRule="auto"/>
              <w:jc w:val="both"/>
              <w:rPr>
                <w:rFonts w:ascii="Arial" w:hAnsi="Arial" w:cs="Arial"/>
                <w:b/>
              </w:rPr>
            </w:pPr>
            <w:r>
              <w:rPr>
                <w:rFonts w:ascii="Arial" w:hAnsi="Arial" w:cs="Arial"/>
                <w:b/>
              </w:rPr>
              <w:t>Variables</w:t>
            </w:r>
          </w:p>
        </w:tc>
        <w:tc>
          <w:tcPr>
            <w:tcW w:w="1098" w:type="dxa"/>
            <w:tcBorders>
              <w:top w:val="single" w:sz="4" w:space="0" w:color="auto"/>
              <w:left w:val="nil"/>
              <w:bottom w:val="single" w:sz="4" w:space="0" w:color="auto"/>
              <w:right w:val="nil"/>
            </w:tcBorders>
          </w:tcPr>
          <w:p w14:paraId="0C158D7B" w14:textId="77777777" w:rsidR="000E417F" w:rsidRDefault="000E417F" w:rsidP="006175FA">
            <w:pPr>
              <w:spacing w:after="0" w:line="480" w:lineRule="auto"/>
              <w:jc w:val="center"/>
              <w:rPr>
                <w:rFonts w:ascii="Arial" w:hAnsi="Arial" w:cs="Arial"/>
                <w:b/>
              </w:rPr>
            </w:pPr>
            <w:r>
              <w:rPr>
                <w:rFonts w:ascii="Arial" w:hAnsi="Arial" w:cs="Arial"/>
                <w:b/>
              </w:rPr>
              <w:t>N</w:t>
            </w:r>
          </w:p>
        </w:tc>
        <w:tc>
          <w:tcPr>
            <w:tcW w:w="1530" w:type="dxa"/>
            <w:tcBorders>
              <w:top w:val="single" w:sz="4" w:space="0" w:color="auto"/>
              <w:left w:val="nil"/>
              <w:bottom w:val="single" w:sz="4" w:space="0" w:color="auto"/>
              <w:right w:val="nil"/>
            </w:tcBorders>
          </w:tcPr>
          <w:p w14:paraId="31E15A7C" w14:textId="77777777" w:rsidR="000E417F" w:rsidRDefault="000E417F" w:rsidP="006175FA">
            <w:pPr>
              <w:spacing w:after="0" w:line="480" w:lineRule="auto"/>
              <w:jc w:val="center"/>
              <w:rPr>
                <w:rFonts w:ascii="Arial" w:hAnsi="Arial" w:cs="Arial"/>
                <w:b/>
              </w:rPr>
            </w:pPr>
            <w:r>
              <w:rPr>
                <w:rFonts w:ascii="Arial" w:hAnsi="Arial" w:cs="Arial"/>
                <w:b/>
              </w:rPr>
              <w:t>r</w:t>
            </w:r>
          </w:p>
        </w:tc>
        <w:tc>
          <w:tcPr>
            <w:tcW w:w="1701" w:type="dxa"/>
            <w:tcBorders>
              <w:top w:val="single" w:sz="4" w:space="0" w:color="auto"/>
              <w:left w:val="nil"/>
              <w:bottom w:val="single" w:sz="4" w:space="0" w:color="auto"/>
              <w:right w:val="nil"/>
            </w:tcBorders>
          </w:tcPr>
          <w:p w14:paraId="2D5926BB" w14:textId="77777777" w:rsidR="000E417F" w:rsidRDefault="000E417F" w:rsidP="006175FA">
            <w:pPr>
              <w:spacing w:after="0" w:line="480" w:lineRule="auto"/>
              <w:jc w:val="center"/>
              <w:rPr>
                <w:rFonts w:ascii="Arial" w:hAnsi="Arial" w:cs="Arial"/>
                <w:b/>
              </w:rPr>
            </w:pPr>
            <w:r>
              <w:rPr>
                <w:rFonts w:ascii="Arial" w:hAnsi="Arial" w:cs="Arial"/>
                <w:b/>
              </w:rPr>
              <w:t>r-Interp.</w:t>
            </w:r>
          </w:p>
        </w:tc>
        <w:tc>
          <w:tcPr>
            <w:tcW w:w="1475" w:type="dxa"/>
            <w:tcBorders>
              <w:top w:val="single" w:sz="4" w:space="0" w:color="auto"/>
              <w:left w:val="nil"/>
              <w:bottom w:val="single" w:sz="4" w:space="0" w:color="auto"/>
              <w:right w:val="nil"/>
            </w:tcBorders>
          </w:tcPr>
          <w:p w14:paraId="502FAC0C" w14:textId="77777777" w:rsidR="000E417F" w:rsidRDefault="000E417F" w:rsidP="006175FA">
            <w:pPr>
              <w:spacing w:after="0" w:line="480" w:lineRule="auto"/>
              <w:jc w:val="center"/>
              <w:rPr>
                <w:rFonts w:ascii="Arial" w:hAnsi="Arial" w:cs="Arial"/>
                <w:b/>
              </w:rPr>
            </w:pPr>
            <w:r>
              <w:rPr>
                <w:rFonts w:ascii="Arial" w:hAnsi="Arial" w:cs="Arial"/>
                <w:b/>
                <w:i/>
              </w:rPr>
              <w:t>P</w:t>
            </w:r>
            <w:r>
              <w:rPr>
                <w:rFonts w:ascii="Arial" w:hAnsi="Arial" w:cs="Arial"/>
                <w:b/>
              </w:rPr>
              <w:t>-value</w:t>
            </w:r>
          </w:p>
        </w:tc>
        <w:tc>
          <w:tcPr>
            <w:tcW w:w="1522" w:type="dxa"/>
            <w:tcBorders>
              <w:top w:val="single" w:sz="4" w:space="0" w:color="auto"/>
              <w:left w:val="nil"/>
              <w:bottom w:val="single" w:sz="4" w:space="0" w:color="auto"/>
              <w:right w:val="nil"/>
            </w:tcBorders>
          </w:tcPr>
          <w:p w14:paraId="4FE83993" w14:textId="77777777" w:rsidR="000E417F" w:rsidRDefault="000E417F" w:rsidP="006175FA">
            <w:pPr>
              <w:spacing w:after="0" w:line="480" w:lineRule="auto"/>
              <w:jc w:val="center"/>
              <w:rPr>
                <w:rFonts w:ascii="Arial" w:hAnsi="Arial" w:cs="Arial"/>
                <w:b/>
              </w:rPr>
            </w:pPr>
            <w:r>
              <w:rPr>
                <w:rFonts w:ascii="Arial" w:hAnsi="Arial" w:cs="Arial"/>
                <w:b/>
              </w:rPr>
              <w:t>Remarks</w:t>
            </w:r>
          </w:p>
        </w:tc>
      </w:tr>
      <w:tr w:rsidR="000E417F" w14:paraId="2A63335B" w14:textId="77777777" w:rsidTr="006175FA">
        <w:tc>
          <w:tcPr>
            <w:tcW w:w="2142" w:type="dxa"/>
          </w:tcPr>
          <w:p w14:paraId="5D351BCD" w14:textId="77777777" w:rsidR="000E417F" w:rsidRDefault="000E417F" w:rsidP="006175FA">
            <w:pPr>
              <w:spacing w:after="0" w:line="240" w:lineRule="auto"/>
              <w:jc w:val="both"/>
              <w:rPr>
                <w:rFonts w:ascii="Arial" w:hAnsi="Arial" w:cs="Arial"/>
              </w:rPr>
            </w:pPr>
            <w:r>
              <w:rPr>
                <w:rFonts w:ascii="Arial" w:hAnsi="Arial" w:cs="Arial"/>
              </w:rPr>
              <w:t>DC*HGB</w:t>
            </w:r>
          </w:p>
        </w:tc>
        <w:tc>
          <w:tcPr>
            <w:tcW w:w="1098" w:type="dxa"/>
          </w:tcPr>
          <w:p w14:paraId="59787DDC" w14:textId="77777777" w:rsidR="000E417F" w:rsidRDefault="000E417F" w:rsidP="006175FA">
            <w:pPr>
              <w:spacing w:after="0" w:line="480" w:lineRule="auto"/>
              <w:jc w:val="center"/>
              <w:rPr>
                <w:rFonts w:ascii="Arial" w:hAnsi="Arial" w:cs="Arial"/>
              </w:rPr>
            </w:pPr>
          </w:p>
        </w:tc>
        <w:tc>
          <w:tcPr>
            <w:tcW w:w="1530" w:type="dxa"/>
          </w:tcPr>
          <w:p w14:paraId="7E813A75" w14:textId="77777777" w:rsidR="000E417F" w:rsidRDefault="000E417F" w:rsidP="006175FA">
            <w:pPr>
              <w:spacing w:after="0" w:line="240" w:lineRule="auto"/>
              <w:jc w:val="center"/>
              <w:rPr>
                <w:rFonts w:ascii="Arial" w:hAnsi="Arial" w:cs="Arial"/>
              </w:rPr>
            </w:pPr>
            <w:r>
              <w:rPr>
                <w:rFonts w:ascii="Arial" w:hAnsi="Arial" w:cs="Arial"/>
              </w:rPr>
              <w:t>0.53</w:t>
            </w:r>
          </w:p>
        </w:tc>
        <w:tc>
          <w:tcPr>
            <w:tcW w:w="1701" w:type="dxa"/>
          </w:tcPr>
          <w:p w14:paraId="3EAC9D08" w14:textId="77777777" w:rsidR="000E417F" w:rsidRDefault="000E417F" w:rsidP="006175FA">
            <w:pPr>
              <w:spacing w:after="0" w:line="240" w:lineRule="auto"/>
              <w:jc w:val="center"/>
              <w:rPr>
                <w:rFonts w:ascii="Arial" w:hAnsi="Arial" w:cs="Arial"/>
              </w:rPr>
            </w:pPr>
            <w:r>
              <w:rPr>
                <w:rFonts w:ascii="Arial" w:hAnsi="Arial" w:cs="Arial"/>
              </w:rPr>
              <w:t>MPC</w:t>
            </w:r>
          </w:p>
        </w:tc>
        <w:tc>
          <w:tcPr>
            <w:tcW w:w="1475" w:type="dxa"/>
          </w:tcPr>
          <w:p w14:paraId="7F10FF90" w14:textId="77777777" w:rsidR="000E417F" w:rsidRDefault="000E417F" w:rsidP="006175FA">
            <w:pPr>
              <w:spacing w:after="0" w:line="240" w:lineRule="auto"/>
              <w:jc w:val="center"/>
              <w:rPr>
                <w:rFonts w:ascii="Arial" w:hAnsi="Arial" w:cs="Arial"/>
              </w:rPr>
            </w:pPr>
            <w:r>
              <w:rPr>
                <w:rFonts w:ascii="Arial" w:hAnsi="Arial" w:cs="Arial"/>
              </w:rPr>
              <w:t>0.78</w:t>
            </w:r>
          </w:p>
        </w:tc>
        <w:tc>
          <w:tcPr>
            <w:tcW w:w="1522" w:type="dxa"/>
          </w:tcPr>
          <w:p w14:paraId="4A293857" w14:textId="77777777" w:rsidR="000E417F" w:rsidRDefault="000E417F" w:rsidP="006175FA">
            <w:pPr>
              <w:spacing w:after="0" w:line="240" w:lineRule="auto"/>
              <w:jc w:val="center"/>
              <w:rPr>
                <w:rFonts w:ascii="Arial" w:hAnsi="Arial" w:cs="Arial"/>
              </w:rPr>
            </w:pPr>
            <w:r>
              <w:rPr>
                <w:rFonts w:ascii="Arial" w:hAnsi="Arial" w:cs="Arial"/>
              </w:rPr>
              <w:t>NSS</w:t>
            </w:r>
          </w:p>
        </w:tc>
      </w:tr>
      <w:tr w:rsidR="000E417F" w14:paraId="43CF4810" w14:textId="77777777" w:rsidTr="006175FA">
        <w:tc>
          <w:tcPr>
            <w:tcW w:w="2142" w:type="dxa"/>
          </w:tcPr>
          <w:p w14:paraId="3AB5E40E" w14:textId="77777777" w:rsidR="000E417F" w:rsidRDefault="000E417F" w:rsidP="006175FA">
            <w:pPr>
              <w:spacing w:after="0" w:line="240" w:lineRule="auto"/>
              <w:jc w:val="both"/>
              <w:rPr>
                <w:rFonts w:ascii="Arial" w:hAnsi="Arial" w:cs="Arial"/>
              </w:rPr>
            </w:pPr>
            <w:r>
              <w:rPr>
                <w:rFonts w:ascii="Arial" w:hAnsi="Arial" w:cs="Arial"/>
              </w:rPr>
              <w:t>DC*HCT</w:t>
            </w:r>
          </w:p>
        </w:tc>
        <w:tc>
          <w:tcPr>
            <w:tcW w:w="1098" w:type="dxa"/>
          </w:tcPr>
          <w:p w14:paraId="6EFAB730" w14:textId="77777777" w:rsidR="000E417F" w:rsidRDefault="000E417F" w:rsidP="006175FA">
            <w:pPr>
              <w:spacing w:after="0" w:line="480" w:lineRule="auto"/>
              <w:jc w:val="center"/>
              <w:rPr>
                <w:rFonts w:ascii="Arial" w:hAnsi="Arial" w:cs="Arial"/>
              </w:rPr>
            </w:pPr>
          </w:p>
        </w:tc>
        <w:tc>
          <w:tcPr>
            <w:tcW w:w="1530" w:type="dxa"/>
          </w:tcPr>
          <w:p w14:paraId="23529EEE" w14:textId="77777777" w:rsidR="000E417F" w:rsidRDefault="000E417F" w:rsidP="006175FA">
            <w:pPr>
              <w:spacing w:after="0" w:line="240" w:lineRule="auto"/>
              <w:jc w:val="center"/>
              <w:rPr>
                <w:rFonts w:ascii="Arial" w:hAnsi="Arial" w:cs="Arial"/>
              </w:rPr>
            </w:pPr>
            <w:r>
              <w:rPr>
                <w:rFonts w:ascii="Arial" w:hAnsi="Arial" w:cs="Arial"/>
              </w:rPr>
              <w:t>0.25</w:t>
            </w:r>
          </w:p>
        </w:tc>
        <w:tc>
          <w:tcPr>
            <w:tcW w:w="1701" w:type="dxa"/>
          </w:tcPr>
          <w:p w14:paraId="33A7D8EB" w14:textId="77777777" w:rsidR="000E417F" w:rsidRDefault="000E417F" w:rsidP="006175FA">
            <w:pPr>
              <w:spacing w:after="0" w:line="240" w:lineRule="auto"/>
              <w:jc w:val="center"/>
              <w:rPr>
                <w:rFonts w:ascii="Arial" w:hAnsi="Arial" w:cs="Arial"/>
              </w:rPr>
            </w:pPr>
            <w:r>
              <w:rPr>
                <w:rFonts w:ascii="Arial" w:hAnsi="Arial" w:cs="Arial"/>
              </w:rPr>
              <w:t>WPC</w:t>
            </w:r>
          </w:p>
        </w:tc>
        <w:tc>
          <w:tcPr>
            <w:tcW w:w="1475" w:type="dxa"/>
          </w:tcPr>
          <w:p w14:paraId="49397BA6" w14:textId="77777777" w:rsidR="000E417F" w:rsidRDefault="000E417F" w:rsidP="006175FA">
            <w:pPr>
              <w:spacing w:after="0" w:line="240" w:lineRule="auto"/>
              <w:jc w:val="center"/>
              <w:rPr>
                <w:rFonts w:ascii="Arial" w:hAnsi="Arial" w:cs="Arial"/>
              </w:rPr>
            </w:pPr>
            <w:r>
              <w:rPr>
                <w:rFonts w:ascii="Arial" w:hAnsi="Arial" w:cs="Arial"/>
              </w:rPr>
              <w:t>0.19</w:t>
            </w:r>
          </w:p>
        </w:tc>
        <w:tc>
          <w:tcPr>
            <w:tcW w:w="1522" w:type="dxa"/>
          </w:tcPr>
          <w:p w14:paraId="3D4965B3" w14:textId="77777777" w:rsidR="000E417F" w:rsidRDefault="000E417F" w:rsidP="006175FA">
            <w:pPr>
              <w:spacing w:after="0" w:line="240" w:lineRule="auto"/>
              <w:jc w:val="center"/>
              <w:rPr>
                <w:rFonts w:ascii="Arial" w:hAnsi="Arial" w:cs="Arial"/>
              </w:rPr>
            </w:pPr>
            <w:r>
              <w:rPr>
                <w:rFonts w:ascii="Arial" w:hAnsi="Arial" w:cs="Arial"/>
              </w:rPr>
              <w:t>NSS</w:t>
            </w:r>
          </w:p>
        </w:tc>
      </w:tr>
      <w:tr w:rsidR="000E417F" w14:paraId="069D003F" w14:textId="77777777" w:rsidTr="006175FA">
        <w:tc>
          <w:tcPr>
            <w:tcW w:w="2142" w:type="dxa"/>
          </w:tcPr>
          <w:p w14:paraId="020C64F5" w14:textId="77777777" w:rsidR="000E417F" w:rsidRDefault="000E417F" w:rsidP="006175FA">
            <w:pPr>
              <w:spacing w:after="0" w:line="240" w:lineRule="auto"/>
              <w:jc w:val="both"/>
              <w:rPr>
                <w:rFonts w:ascii="Arial" w:hAnsi="Arial" w:cs="Arial"/>
              </w:rPr>
            </w:pPr>
            <w:r>
              <w:rPr>
                <w:rFonts w:ascii="Arial" w:hAnsi="Arial" w:cs="Arial"/>
              </w:rPr>
              <w:t>DC*RBC</w:t>
            </w:r>
          </w:p>
        </w:tc>
        <w:tc>
          <w:tcPr>
            <w:tcW w:w="1098" w:type="dxa"/>
          </w:tcPr>
          <w:p w14:paraId="3089C7FF" w14:textId="77777777" w:rsidR="000E417F" w:rsidRDefault="000E417F" w:rsidP="006175FA">
            <w:pPr>
              <w:spacing w:after="0" w:line="480" w:lineRule="auto"/>
              <w:jc w:val="center"/>
              <w:rPr>
                <w:rFonts w:ascii="Arial" w:hAnsi="Arial" w:cs="Arial"/>
              </w:rPr>
            </w:pPr>
          </w:p>
        </w:tc>
        <w:tc>
          <w:tcPr>
            <w:tcW w:w="1530" w:type="dxa"/>
          </w:tcPr>
          <w:p w14:paraId="30CA55EF" w14:textId="77777777" w:rsidR="000E417F" w:rsidRDefault="000E417F" w:rsidP="006175FA">
            <w:pPr>
              <w:spacing w:after="0" w:line="240" w:lineRule="auto"/>
              <w:jc w:val="center"/>
              <w:rPr>
                <w:rFonts w:ascii="Arial" w:hAnsi="Arial" w:cs="Arial"/>
              </w:rPr>
            </w:pPr>
            <w:r>
              <w:rPr>
                <w:rFonts w:ascii="Arial" w:hAnsi="Arial" w:cs="Arial"/>
              </w:rPr>
              <w:t>0.11</w:t>
            </w:r>
          </w:p>
        </w:tc>
        <w:tc>
          <w:tcPr>
            <w:tcW w:w="1701" w:type="dxa"/>
          </w:tcPr>
          <w:p w14:paraId="5D4F8990" w14:textId="77777777" w:rsidR="000E417F" w:rsidRDefault="000E417F" w:rsidP="006175FA">
            <w:pPr>
              <w:spacing w:after="0" w:line="240" w:lineRule="auto"/>
              <w:jc w:val="center"/>
              <w:rPr>
                <w:rFonts w:ascii="Arial" w:hAnsi="Arial" w:cs="Arial"/>
              </w:rPr>
            </w:pPr>
            <w:r>
              <w:rPr>
                <w:rFonts w:ascii="Arial" w:hAnsi="Arial" w:cs="Arial"/>
              </w:rPr>
              <w:t>WPC</w:t>
            </w:r>
          </w:p>
        </w:tc>
        <w:tc>
          <w:tcPr>
            <w:tcW w:w="1475" w:type="dxa"/>
          </w:tcPr>
          <w:p w14:paraId="4F5D4E0D" w14:textId="77777777" w:rsidR="000E417F" w:rsidRDefault="000E417F" w:rsidP="006175FA">
            <w:pPr>
              <w:spacing w:after="0" w:line="240" w:lineRule="auto"/>
              <w:jc w:val="center"/>
              <w:rPr>
                <w:rFonts w:ascii="Arial" w:hAnsi="Arial" w:cs="Arial"/>
              </w:rPr>
            </w:pPr>
            <w:r>
              <w:rPr>
                <w:rFonts w:ascii="Arial" w:hAnsi="Arial" w:cs="Arial"/>
              </w:rPr>
              <w:t>0.57</w:t>
            </w:r>
          </w:p>
        </w:tc>
        <w:tc>
          <w:tcPr>
            <w:tcW w:w="1522" w:type="dxa"/>
          </w:tcPr>
          <w:p w14:paraId="49882269" w14:textId="77777777" w:rsidR="000E417F" w:rsidRDefault="000E417F" w:rsidP="006175FA">
            <w:pPr>
              <w:spacing w:after="0" w:line="240" w:lineRule="auto"/>
              <w:jc w:val="center"/>
              <w:rPr>
                <w:rFonts w:ascii="Arial" w:hAnsi="Arial" w:cs="Arial"/>
              </w:rPr>
            </w:pPr>
            <w:r>
              <w:rPr>
                <w:rFonts w:ascii="Arial" w:hAnsi="Arial" w:cs="Arial"/>
              </w:rPr>
              <w:t>NSS</w:t>
            </w:r>
          </w:p>
        </w:tc>
      </w:tr>
      <w:tr w:rsidR="000E417F" w14:paraId="4D283564" w14:textId="77777777" w:rsidTr="006175FA">
        <w:tc>
          <w:tcPr>
            <w:tcW w:w="2142" w:type="dxa"/>
          </w:tcPr>
          <w:p w14:paraId="501F2C28" w14:textId="77777777" w:rsidR="000E417F" w:rsidRDefault="000E417F" w:rsidP="006175FA">
            <w:pPr>
              <w:spacing w:after="0" w:line="240" w:lineRule="auto"/>
              <w:jc w:val="both"/>
              <w:rPr>
                <w:rFonts w:ascii="Arial" w:hAnsi="Arial" w:cs="Arial"/>
              </w:rPr>
            </w:pPr>
            <w:r>
              <w:rPr>
                <w:rFonts w:ascii="Arial" w:hAnsi="Arial" w:cs="Arial"/>
              </w:rPr>
              <w:t>DC*MCV</w:t>
            </w:r>
          </w:p>
        </w:tc>
        <w:tc>
          <w:tcPr>
            <w:tcW w:w="1098" w:type="dxa"/>
          </w:tcPr>
          <w:p w14:paraId="56EDC802" w14:textId="77777777" w:rsidR="000E417F" w:rsidRDefault="000E417F" w:rsidP="006175FA">
            <w:pPr>
              <w:spacing w:after="0" w:line="480" w:lineRule="auto"/>
              <w:jc w:val="center"/>
              <w:rPr>
                <w:rFonts w:ascii="Arial" w:hAnsi="Arial" w:cs="Arial"/>
              </w:rPr>
            </w:pPr>
          </w:p>
        </w:tc>
        <w:tc>
          <w:tcPr>
            <w:tcW w:w="1530" w:type="dxa"/>
          </w:tcPr>
          <w:p w14:paraId="7B1EC785" w14:textId="77777777" w:rsidR="000E417F" w:rsidRDefault="000E417F" w:rsidP="006175FA">
            <w:pPr>
              <w:spacing w:after="0" w:line="240" w:lineRule="auto"/>
              <w:jc w:val="center"/>
              <w:rPr>
                <w:rFonts w:ascii="Arial" w:hAnsi="Arial" w:cs="Arial"/>
              </w:rPr>
            </w:pPr>
            <w:r>
              <w:rPr>
                <w:rFonts w:ascii="Arial" w:hAnsi="Arial" w:cs="Arial"/>
              </w:rPr>
              <w:t>0.22</w:t>
            </w:r>
          </w:p>
        </w:tc>
        <w:tc>
          <w:tcPr>
            <w:tcW w:w="1701" w:type="dxa"/>
          </w:tcPr>
          <w:p w14:paraId="66D92E81" w14:textId="77777777" w:rsidR="000E417F" w:rsidRDefault="000E417F" w:rsidP="006175FA">
            <w:pPr>
              <w:spacing w:after="0" w:line="240" w:lineRule="auto"/>
              <w:jc w:val="center"/>
              <w:rPr>
                <w:rFonts w:ascii="Arial" w:hAnsi="Arial" w:cs="Arial"/>
              </w:rPr>
            </w:pPr>
            <w:r>
              <w:rPr>
                <w:rFonts w:ascii="Arial" w:hAnsi="Arial" w:cs="Arial"/>
              </w:rPr>
              <w:t>WPC</w:t>
            </w:r>
          </w:p>
        </w:tc>
        <w:tc>
          <w:tcPr>
            <w:tcW w:w="1475" w:type="dxa"/>
          </w:tcPr>
          <w:p w14:paraId="34D9E800" w14:textId="77777777" w:rsidR="000E417F" w:rsidRDefault="000E417F" w:rsidP="006175FA">
            <w:pPr>
              <w:spacing w:after="0" w:line="240" w:lineRule="auto"/>
              <w:jc w:val="center"/>
              <w:rPr>
                <w:rFonts w:ascii="Arial" w:hAnsi="Arial" w:cs="Arial"/>
              </w:rPr>
            </w:pPr>
            <w:r>
              <w:rPr>
                <w:rFonts w:ascii="Arial" w:hAnsi="Arial" w:cs="Arial"/>
              </w:rPr>
              <w:t>0.19</w:t>
            </w:r>
          </w:p>
        </w:tc>
        <w:tc>
          <w:tcPr>
            <w:tcW w:w="1522" w:type="dxa"/>
          </w:tcPr>
          <w:p w14:paraId="26A61960" w14:textId="77777777" w:rsidR="000E417F" w:rsidRDefault="000E417F" w:rsidP="006175FA">
            <w:pPr>
              <w:spacing w:after="0" w:line="240" w:lineRule="auto"/>
              <w:jc w:val="center"/>
              <w:rPr>
                <w:rFonts w:ascii="Arial" w:hAnsi="Arial" w:cs="Arial"/>
              </w:rPr>
            </w:pPr>
            <w:r>
              <w:rPr>
                <w:rFonts w:ascii="Arial" w:hAnsi="Arial" w:cs="Arial"/>
              </w:rPr>
              <w:t>NSS</w:t>
            </w:r>
          </w:p>
        </w:tc>
      </w:tr>
      <w:tr w:rsidR="000E417F" w14:paraId="74D1057C" w14:textId="77777777" w:rsidTr="006175FA">
        <w:tc>
          <w:tcPr>
            <w:tcW w:w="2142" w:type="dxa"/>
          </w:tcPr>
          <w:p w14:paraId="1A951C0A" w14:textId="77777777" w:rsidR="000E417F" w:rsidRDefault="000E417F" w:rsidP="006175FA">
            <w:pPr>
              <w:spacing w:after="0" w:line="240" w:lineRule="auto"/>
              <w:jc w:val="both"/>
              <w:rPr>
                <w:rFonts w:ascii="Arial" w:hAnsi="Arial" w:cs="Arial"/>
              </w:rPr>
            </w:pPr>
            <w:r>
              <w:rPr>
                <w:rFonts w:ascii="Arial" w:hAnsi="Arial" w:cs="Arial"/>
              </w:rPr>
              <w:t>DC*MCH</w:t>
            </w:r>
          </w:p>
        </w:tc>
        <w:tc>
          <w:tcPr>
            <w:tcW w:w="1098" w:type="dxa"/>
          </w:tcPr>
          <w:p w14:paraId="656175E3" w14:textId="77777777" w:rsidR="000E417F" w:rsidRDefault="000E417F" w:rsidP="006175FA">
            <w:pPr>
              <w:spacing w:after="0" w:line="480" w:lineRule="auto"/>
              <w:jc w:val="center"/>
              <w:rPr>
                <w:rFonts w:ascii="Arial" w:hAnsi="Arial" w:cs="Arial"/>
              </w:rPr>
            </w:pPr>
          </w:p>
        </w:tc>
        <w:tc>
          <w:tcPr>
            <w:tcW w:w="1530" w:type="dxa"/>
          </w:tcPr>
          <w:p w14:paraId="66F45F87" w14:textId="77777777" w:rsidR="000E417F" w:rsidRDefault="000E417F" w:rsidP="006175FA">
            <w:pPr>
              <w:spacing w:after="0" w:line="240" w:lineRule="auto"/>
              <w:jc w:val="center"/>
              <w:rPr>
                <w:rFonts w:ascii="Arial" w:hAnsi="Arial" w:cs="Arial"/>
              </w:rPr>
            </w:pPr>
            <w:r>
              <w:rPr>
                <w:rFonts w:ascii="Arial" w:hAnsi="Arial" w:cs="Arial"/>
              </w:rPr>
              <w:t>0.25</w:t>
            </w:r>
          </w:p>
        </w:tc>
        <w:tc>
          <w:tcPr>
            <w:tcW w:w="1701" w:type="dxa"/>
          </w:tcPr>
          <w:p w14:paraId="4801A49F" w14:textId="77777777" w:rsidR="000E417F" w:rsidRDefault="000E417F" w:rsidP="006175FA">
            <w:pPr>
              <w:spacing w:after="0" w:line="240" w:lineRule="auto"/>
              <w:jc w:val="center"/>
              <w:rPr>
                <w:rFonts w:ascii="Arial" w:hAnsi="Arial" w:cs="Arial"/>
              </w:rPr>
            </w:pPr>
            <w:r>
              <w:rPr>
                <w:rFonts w:ascii="Arial" w:hAnsi="Arial" w:cs="Arial"/>
              </w:rPr>
              <w:t>WPC</w:t>
            </w:r>
          </w:p>
        </w:tc>
        <w:tc>
          <w:tcPr>
            <w:tcW w:w="1475" w:type="dxa"/>
          </w:tcPr>
          <w:p w14:paraId="021534CB" w14:textId="77777777" w:rsidR="000E417F" w:rsidRDefault="000E417F" w:rsidP="006175FA">
            <w:pPr>
              <w:spacing w:after="0" w:line="240" w:lineRule="auto"/>
              <w:jc w:val="center"/>
              <w:rPr>
                <w:rFonts w:ascii="Arial" w:hAnsi="Arial" w:cs="Arial"/>
              </w:rPr>
            </w:pPr>
            <w:r>
              <w:rPr>
                <w:rFonts w:ascii="Arial" w:hAnsi="Arial" w:cs="Arial"/>
              </w:rPr>
              <w:t>0.07</w:t>
            </w:r>
          </w:p>
        </w:tc>
        <w:tc>
          <w:tcPr>
            <w:tcW w:w="1522" w:type="dxa"/>
          </w:tcPr>
          <w:p w14:paraId="0296F8BC" w14:textId="77777777" w:rsidR="000E417F" w:rsidRDefault="000E417F" w:rsidP="006175FA">
            <w:pPr>
              <w:spacing w:after="0" w:line="240" w:lineRule="auto"/>
              <w:jc w:val="center"/>
              <w:rPr>
                <w:rFonts w:ascii="Arial" w:hAnsi="Arial" w:cs="Arial"/>
              </w:rPr>
            </w:pPr>
            <w:r>
              <w:rPr>
                <w:rFonts w:ascii="Arial" w:hAnsi="Arial" w:cs="Arial"/>
              </w:rPr>
              <w:t>NSS</w:t>
            </w:r>
          </w:p>
        </w:tc>
      </w:tr>
      <w:tr w:rsidR="000E417F" w14:paraId="20701E25" w14:textId="77777777" w:rsidTr="006175FA">
        <w:tc>
          <w:tcPr>
            <w:tcW w:w="2142" w:type="dxa"/>
          </w:tcPr>
          <w:p w14:paraId="11CC57F0" w14:textId="77777777" w:rsidR="000E417F" w:rsidRDefault="000E417F" w:rsidP="006175FA">
            <w:pPr>
              <w:spacing w:after="0" w:line="240" w:lineRule="auto"/>
              <w:jc w:val="both"/>
              <w:rPr>
                <w:rFonts w:ascii="Arial" w:hAnsi="Arial" w:cs="Arial"/>
              </w:rPr>
            </w:pPr>
            <w:r>
              <w:rPr>
                <w:rFonts w:ascii="Arial" w:hAnsi="Arial" w:cs="Arial"/>
              </w:rPr>
              <w:t>DC*MCHC</w:t>
            </w:r>
          </w:p>
        </w:tc>
        <w:tc>
          <w:tcPr>
            <w:tcW w:w="1098" w:type="dxa"/>
          </w:tcPr>
          <w:p w14:paraId="675641C4" w14:textId="77777777" w:rsidR="000E417F" w:rsidRDefault="000E417F" w:rsidP="006175FA">
            <w:pPr>
              <w:spacing w:after="0" w:line="480" w:lineRule="auto"/>
              <w:jc w:val="center"/>
              <w:rPr>
                <w:rFonts w:ascii="Arial" w:hAnsi="Arial" w:cs="Arial"/>
              </w:rPr>
            </w:pPr>
          </w:p>
        </w:tc>
        <w:tc>
          <w:tcPr>
            <w:tcW w:w="1530" w:type="dxa"/>
          </w:tcPr>
          <w:p w14:paraId="7325E327" w14:textId="77777777" w:rsidR="000E417F" w:rsidRDefault="000E417F" w:rsidP="006175FA">
            <w:pPr>
              <w:spacing w:after="0" w:line="240" w:lineRule="auto"/>
              <w:jc w:val="center"/>
              <w:rPr>
                <w:rFonts w:ascii="Arial" w:hAnsi="Arial" w:cs="Arial"/>
              </w:rPr>
            </w:pPr>
            <w:r>
              <w:rPr>
                <w:rFonts w:ascii="Arial" w:hAnsi="Arial" w:cs="Arial"/>
              </w:rPr>
              <w:t>-0.94</w:t>
            </w:r>
          </w:p>
        </w:tc>
        <w:tc>
          <w:tcPr>
            <w:tcW w:w="1701" w:type="dxa"/>
          </w:tcPr>
          <w:p w14:paraId="0F883F0A" w14:textId="77777777" w:rsidR="000E417F" w:rsidRDefault="000E417F" w:rsidP="006175FA">
            <w:pPr>
              <w:spacing w:after="0" w:line="240" w:lineRule="auto"/>
              <w:jc w:val="center"/>
              <w:rPr>
                <w:rFonts w:ascii="Arial" w:hAnsi="Arial" w:cs="Arial"/>
              </w:rPr>
            </w:pPr>
            <w:r>
              <w:rPr>
                <w:rFonts w:ascii="Arial" w:hAnsi="Arial" w:cs="Arial"/>
              </w:rPr>
              <w:t>SNC</w:t>
            </w:r>
          </w:p>
        </w:tc>
        <w:tc>
          <w:tcPr>
            <w:tcW w:w="1475" w:type="dxa"/>
          </w:tcPr>
          <w:p w14:paraId="78E71D73" w14:textId="77777777" w:rsidR="000E417F" w:rsidRDefault="000E417F" w:rsidP="006175FA">
            <w:pPr>
              <w:spacing w:after="0" w:line="240" w:lineRule="auto"/>
              <w:jc w:val="center"/>
              <w:rPr>
                <w:rFonts w:ascii="Arial" w:hAnsi="Arial" w:cs="Arial"/>
              </w:rPr>
            </w:pPr>
            <w:r>
              <w:rPr>
                <w:rFonts w:ascii="Arial" w:hAnsi="Arial" w:cs="Arial"/>
              </w:rPr>
              <w:t>0.62</w:t>
            </w:r>
          </w:p>
        </w:tc>
        <w:tc>
          <w:tcPr>
            <w:tcW w:w="1522" w:type="dxa"/>
          </w:tcPr>
          <w:p w14:paraId="5561B52B" w14:textId="77777777" w:rsidR="000E417F" w:rsidRDefault="000E417F" w:rsidP="006175FA">
            <w:pPr>
              <w:spacing w:after="0" w:line="240" w:lineRule="auto"/>
              <w:jc w:val="center"/>
              <w:rPr>
                <w:rFonts w:ascii="Arial" w:hAnsi="Arial" w:cs="Arial"/>
              </w:rPr>
            </w:pPr>
            <w:r>
              <w:rPr>
                <w:rFonts w:ascii="Arial" w:hAnsi="Arial" w:cs="Arial"/>
              </w:rPr>
              <w:t>NSS</w:t>
            </w:r>
          </w:p>
        </w:tc>
      </w:tr>
      <w:tr w:rsidR="000E417F" w14:paraId="6A6D06F0" w14:textId="77777777" w:rsidTr="006175FA">
        <w:tc>
          <w:tcPr>
            <w:tcW w:w="2142" w:type="dxa"/>
          </w:tcPr>
          <w:p w14:paraId="08413E06" w14:textId="77777777" w:rsidR="000E417F" w:rsidRDefault="000E417F" w:rsidP="006175FA">
            <w:pPr>
              <w:spacing w:after="0" w:line="240" w:lineRule="auto"/>
              <w:jc w:val="both"/>
              <w:rPr>
                <w:rFonts w:ascii="Arial" w:hAnsi="Arial" w:cs="Arial"/>
              </w:rPr>
            </w:pPr>
            <w:r>
              <w:rPr>
                <w:rFonts w:ascii="Arial" w:hAnsi="Arial" w:cs="Arial"/>
              </w:rPr>
              <w:t>DC*RDW</w:t>
            </w:r>
          </w:p>
        </w:tc>
        <w:tc>
          <w:tcPr>
            <w:tcW w:w="1098" w:type="dxa"/>
          </w:tcPr>
          <w:p w14:paraId="49F511B8" w14:textId="77777777" w:rsidR="000E417F" w:rsidRDefault="000E417F" w:rsidP="006175FA">
            <w:pPr>
              <w:spacing w:after="0" w:line="480" w:lineRule="auto"/>
              <w:jc w:val="center"/>
              <w:rPr>
                <w:rFonts w:ascii="Arial" w:hAnsi="Arial" w:cs="Arial"/>
              </w:rPr>
            </w:pPr>
          </w:p>
        </w:tc>
        <w:tc>
          <w:tcPr>
            <w:tcW w:w="1530" w:type="dxa"/>
          </w:tcPr>
          <w:p w14:paraId="59B599C2" w14:textId="77777777" w:rsidR="000E417F" w:rsidRDefault="000E417F" w:rsidP="006175FA">
            <w:pPr>
              <w:spacing w:after="0" w:line="240" w:lineRule="auto"/>
              <w:jc w:val="center"/>
              <w:rPr>
                <w:rFonts w:ascii="Arial" w:hAnsi="Arial" w:cs="Arial"/>
              </w:rPr>
            </w:pPr>
            <w:r>
              <w:rPr>
                <w:rFonts w:ascii="Arial" w:hAnsi="Arial" w:cs="Arial"/>
              </w:rPr>
              <w:t>0.28</w:t>
            </w:r>
          </w:p>
        </w:tc>
        <w:tc>
          <w:tcPr>
            <w:tcW w:w="1701" w:type="dxa"/>
          </w:tcPr>
          <w:p w14:paraId="26D8801E" w14:textId="77777777" w:rsidR="000E417F" w:rsidRDefault="000E417F" w:rsidP="006175FA">
            <w:pPr>
              <w:spacing w:after="0" w:line="240" w:lineRule="auto"/>
              <w:jc w:val="center"/>
              <w:rPr>
                <w:rFonts w:ascii="Arial" w:hAnsi="Arial" w:cs="Arial"/>
              </w:rPr>
            </w:pPr>
            <w:r>
              <w:rPr>
                <w:rFonts w:ascii="Arial" w:hAnsi="Arial" w:cs="Arial"/>
              </w:rPr>
              <w:t>WPC</w:t>
            </w:r>
          </w:p>
        </w:tc>
        <w:tc>
          <w:tcPr>
            <w:tcW w:w="1475" w:type="dxa"/>
          </w:tcPr>
          <w:p w14:paraId="5AB7D42A" w14:textId="77777777" w:rsidR="000E417F" w:rsidRDefault="000E417F" w:rsidP="006175FA">
            <w:pPr>
              <w:spacing w:after="0" w:line="240" w:lineRule="auto"/>
              <w:jc w:val="center"/>
              <w:rPr>
                <w:rFonts w:ascii="Arial" w:hAnsi="Arial" w:cs="Arial"/>
              </w:rPr>
            </w:pPr>
            <w:r>
              <w:rPr>
                <w:rFonts w:ascii="Arial" w:hAnsi="Arial" w:cs="Arial"/>
              </w:rPr>
              <w:t>0.14</w:t>
            </w:r>
          </w:p>
        </w:tc>
        <w:tc>
          <w:tcPr>
            <w:tcW w:w="1522" w:type="dxa"/>
          </w:tcPr>
          <w:p w14:paraId="59534438" w14:textId="77777777" w:rsidR="000E417F" w:rsidRDefault="000E417F" w:rsidP="006175FA">
            <w:pPr>
              <w:spacing w:after="0" w:line="240" w:lineRule="auto"/>
              <w:jc w:val="center"/>
              <w:rPr>
                <w:rFonts w:ascii="Arial" w:hAnsi="Arial" w:cs="Arial"/>
              </w:rPr>
            </w:pPr>
            <w:r>
              <w:rPr>
                <w:rFonts w:ascii="Arial" w:hAnsi="Arial" w:cs="Arial"/>
              </w:rPr>
              <w:t>NSS</w:t>
            </w:r>
          </w:p>
        </w:tc>
      </w:tr>
      <w:tr w:rsidR="000E417F" w14:paraId="175456B4" w14:textId="77777777" w:rsidTr="006175FA">
        <w:trPr>
          <w:trHeight w:val="432"/>
        </w:trPr>
        <w:tc>
          <w:tcPr>
            <w:tcW w:w="2142" w:type="dxa"/>
            <w:tcBorders>
              <w:top w:val="nil"/>
              <w:left w:val="nil"/>
              <w:bottom w:val="single" w:sz="4" w:space="0" w:color="auto"/>
              <w:right w:val="nil"/>
            </w:tcBorders>
          </w:tcPr>
          <w:p w14:paraId="73B002EC" w14:textId="77777777" w:rsidR="000E417F" w:rsidRDefault="000E417F" w:rsidP="006175FA">
            <w:pPr>
              <w:spacing w:after="0" w:line="240" w:lineRule="auto"/>
              <w:jc w:val="both"/>
              <w:rPr>
                <w:rFonts w:ascii="Arial" w:hAnsi="Arial" w:cs="Arial"/>
              </w:rPr>
            </w:pPr>
            <w:r>
              <w:rPr>
                <w:rFonts w:ascii="Arial" w:hAnsi="Arial" w:cs="Arial"/>
              </w:rPr>
              <w:t>DC*RC</w:t>
            </w:r>
          </w:p>
        </w:tc>
        <w:tc>
          <w:tcPr>
            <w:tcW w:w="1098" w:type="dxa"/>
            <w:tcBorders>
              <w:top w:val="nil"/>
              <w:left w:val="nil"/>
              <w:bottom w:val="single" w:sz="4" w:space="0" w:color="auto"/>
              <w:right w:val="nil"/>
            </w:tcBorders>
          </w:tcPr>
          <w:p w14:paraId="426CFA7D" w14:textId="77777777" w:rsidR="000E417F" w:rsidRDefault="000E417F" w:rsidP="006175FA">
            <w:pPr>
              <w:spacing w:after="0" w:line="480" w:lineRule="auto"/>
              <w:jc w:val="center"/>
              <w:rPr>
                <w:rFonts w:ascii="Arial" w:hAnsi="Arial" w:cs="Arial"/>
              </w:rPr>
            </w:pPr>
          </w:p>
        </w:tc>
        <w:tc>
          <w:tcPr>
            <w:tcW w:w="1530" w:type="dxa"/>
            <w:tcBorders>
              <w:top w:val="nil"/>
              <w:left w:val="nil"/>
              <w:bottom w:val="single" w:sz="4" w:space="0" w:color="auto"/>
              <w:right w:val="nil"/>
            </w:tcBorders>
          </w:tcPr>
          <w:p w14:paraId="69D276D5" w14:textId="77777777" w:rsidR="000E417F" w:rsidRDefault="000E417F" w:rsidP="006175FA">
            <w:pPr>
              <w:spacing w:after="0" w:line="240" w:lineRule="auto"/>
              <w:jc w:val="center"/>
              <w:rPr>
                <w:rFonts w:ascii="Arial" w:hAnsi="Arial" w:cs="Arial"/>
              </w:rPr>
            </w:pPr>
            <w:r>
              <w:rPr>
                <w:rFonts w:ascii="Arial" w:hAnsi="Arial" w:cs="Arial"/>
              </w:rPr>
              <w:t>0.26</w:t>
            </w:r>
          </w:p>
        </w:tc>
        <w:tc>
          <w:tcPr>
            <w:tcW w:w="1701" w:type="dxa"/>
            <w:tcBorders>
              <w:top w:val="nil"/>
              <w:left w:val="nil"/>
              <w:bottom w:val="single" w:sz="4" w:space="0" w:color="auto"/>
              <w:right w:val="nil"/>
            </w:tcBorders>
          </w:tcPr>
          <w:p w14:paraId="4A25B906" w14:textId="77777777" w:rsidR="000E417F" w:rsidRDefault="000E417F" w:rsidP="006175FA">
            <w:pPr>
              <w:spacing w:after="0" w:line="240" w:lineRule="auto"/>
              <w:jc w:val="center"/>
              <w:rPr>
                <w:rFonts w:ascii="Arial" w:hAnsi="Arial" w:cs="Arial"/>
              </w:rPr>
            </w:pPr>
            <w:r>
              <w:rPr>
                <w:rFonts w:ascii="Arial" w:hAnsi="Arial" w:cs="Arial"/>
              </w:rPr>
              <w:t>WPC</w:t>
            </w:r>
          </w:p>
        </w:tc>
        <w:tc>
          <w:tcPr>
            <w:tcW w:w="1475" w:type="dxa"/>
            <w:tcBorders>
              <w:top w:val="nil"/>
              <w:left w:val="nil"/>
              <w:bottom w:val="single" w:sz="4" w:space="0" w:color="auto"/>
              <w:right w:val="nil"/>
            </w:tcBorders>
          </w:tcPr>
          <w:p w14:paraId="2437E762" w14:textId="77777777" w:rsidR="000E417F" w:rsidRDefault="000E417F" w:rsidP="006175FA">
            <w:pPr>
              <w:spacing w:after="0" w:line="240" w:lineRule="auto"/>
              <w:jc w:val="center"/>
              <w:rPr>
                <w:rFonts w:ascii="Arial" w:hAnsi="Arial" w:cs="Arial"/>
              </w:rPr>
            </w:pPr>
            <w:r>
              <w:rPr>
                <w:rFonts w:ascii="Arial" w:hAnsi="Arial" w:cs="Arial"/>
              </w:rPr>
              <w:t>0.16</w:t>
            </w:r>
          </w:p>
        </w:tc>
        <w:tc>
          <w:tcPr>
            <w:tcW w:w="1522" w:type="dxa"/>
            <w:tcBorders>
              <w:top w:val="nil"/>
              <w:left w:val="nil"/>
              <w:bottom w:val="single" w:sz="4" w:space="0" w:color="auto"/>
              <w:right w:val="nil"/>
            </w:tcBorders>
          </w:tcPr>
          <w:p w14:paraId="0FB46A07" w14:textId="77777777" w:rsidR="000E417F" w:rsidRDefault="000E417F" w:rsidP="006175FA">
            <w:pPr>
              <w:spacing w:after="0" w:line="240" w:lineRule="auto"/>
              <w:jc w:val="center"/>
              <w:rPr>
                <w:rFonts w:ascii="Arial" w:hAnsi="Arial" w:cs="Arial"/>
              </w:rPr>
            </w:pPr>
            <w:r>
              <w:rPr>
                <w:rFonts w:ascii="Arial" w:hAnsi="Arial" w:cs="Arial"/>
              </w:rPr>
              <w:t>NSS</w:t>
            </w:r>
          </w:p>
        </w:tc>
      </w:tr>
    </w:tbl>
    <w:p w14:paraId="198EE7CC" w14:textId="77777777" w:rsidR="000E417F" w:rsidRDefault="000E417F" w:rsidP="000E417F">
      <w:pPr>
        <w:jc w:val="both"/>
        <w:rPr>
          <w:rFonts w:ascii="Arial" w:eastAsiaTheme="minorEastAsia" w:hAnsi="Arial" w:cs="Arial"/>
          <w:sz w:val="20"/>
          <w:szCs w:val="20"/>
        </w:rPr>
      </w:pPr>
      <w:r>
        <w:rPr>
          <w:rFonts w:ascii="Arial" w:hAnsi="Arial" w:cs="Arial"/>
          <w:i/>
          <w:sz w:val="20"/>
          <w:szCs w:val="20"/>
        </w:rPr>
        <w:t>P</w:t>
      </w:r>
      <w:r>
        <w:rPr>
          <w:rFonts w:ascii="Arial" w:hAnsi="Arial" w:cs="Arial"/>
          <w:sz w:val="20"/>
          <w:szCs w:val="20"/>
        </w:rPr>
        <w:t>&lt; 0.05= Statistically Significant</w:t>
      </w:r>
    </w:p>
    <w:p w14:paraId="1A5F3DA0" w14:textId="77777777" w:rsidR="000E417F" w:rsidRDefault="000E417F" w:rsidP="000E417F">
      <w:pPr>
        <w:spacing w:after="0" w:line="240" w:lineRule="auto"/>
        <w:jc w:val="both"/>
        <w:rPr>
          <w:rFonts w:ascii="Arial" w:hAnsi="Arial" w:cs="Arial"/>
          <w:sz w:val="20"/>
          <w:szCs w:val="20"/>
        </w:rPr>
      </w:pPr>
      <w:r>
        <w:rPr>
          <w:rFonts w:ascii="Arial" w:hAnsi="Arial" w:cs="Arial"/>
          <w:sz w:val="20"/>
          <w:szCs w:val="20"/>
        </w:rPr>
        <w:t xml:space="preserve">Key: DC = Degree of Canities, Haemoglobin concentration = (HGB), Haematocrit = (HCT), Red Cell Count = (RBC), Mean Cell Volume = (MCV), Mean Cell Haemoglobin = (MCH), Mean Cell Haemoglobin Concentration = (MCHC), Red Cell Distribution Width = (RDW) and Reticulocyte Count = (RC), N = Number of Subjects, r = coefficient of correlation, WPC = Weak Positive Correlation, MPC </w:t>
      </w:r>
      <w:r>
        <w:rPr>
          <w:rFonts w:ascii="Arial" w:hAnsi="Arial" w:cs="Arial"/>
          <w:sz w:val="20"/>
          <w:szCs w:val="20"/>
        </w:rPr>
        <w:lastRenderedPageBreak/>
        <w:t>= Moderate Positive Correlation, SNC = Strong Negative Correlation, * = and, N = Number of subjects.</w:t>
      </w:r>
    </w:p>
    <w:p w14:paraId="52CBE5A9" w14:textId="77777777" w:rsidR="000E417F" w:rsidRDefault="000E417F" w:rsidP="000E417F">
      <w:pPr>
        <w:spacing w:after="0" w:line="480" w:lineRule="auto"/>
        <w:jc w:val="center"/>
        <w:rPr>
          <w:rFonts w:ascii="Arial" w:hAnsi="Arial" w:cs="Arial"/>
          <w:b/>
          <w:bCs/>
          <w:sz w:val="20"/>
          <w:szCs w:val="20"/>
        </w:rPr>
      </w:pPr>
    </w:p>
    <w:p w14:paraId="7336699F" w14:textId="77777777" w:rsidR="000E417F" w:rsidRDefault="000E417F" w:rsidP="000E417F">
      <w:pPr>
        <w:pStyle w:val="ListParagraph"/>
        <w:spacing w:line="480" w:lineRule="auto"/>
        <w:ind w:left="360"/>
        <w:jc w:val="both"/>
        <w:rPr>
          <w:rFonts w:ascii="Arial" w:hAnsi="Arial" w:cs="Arial"/>
          <w:b/>
          <w:sz w:val="20"/>
          <w:szCs w:val="20"/>
        </w:rPr>
      </w:pPr>
    </w:p>
    <w:p w14:paraId="097EE1D1" w14:textId="77777777" w:rsidR="000E417F" w:rsidRDefault="000E417F" w:rsidP="000E417F">
      <w:pPr>
        <w:spacing w:before="100" w:beforeAutospacing="1" w:after="100" w:afterAutospacing="1" w:line="480" w:lineRule="auto"/>
        <w:jc w:val="both"/>
        <w:rPr>
          <w:rFonts w:ascii="Arial" w:eastAsia="Times New Roman" w:hAnsi="Arial" w:cs="Arial"/>
          <w:sz w:val="20"/>
          <w:szCs w:val="20"/>
        </w:rPr>
      </w:pPr>
      <w:r>
        <w:rPr>
          <w:rFonts w:ascii="Arial" w:hAnsi="Arial" w:cs="Arial"/>
          <w:sz w:val="20"/>
          <w:szCs w:val="20"/>
        </w:rPr>
        <w:t>Table 4 presents the ordinal logistic regression analysis of the effect of the red blood cell metrics on the degree of canities among the study participant's Test group (individuals with premature canities). There were statistically not significant associations between these parameters and the degree of canities,</w:t>
      </w:r>
      <w:r>
        <w:rPr>
          <w:rFonts w:ascii="Arial" w:eastAsia="Times New Roman" w:hAnsi="Arial" w:cs="Arial"/>
          <w:sz w:val="20"/>
          <w:szCs w:val="20"/>
        </w:rPr>
        <w:t xml:space="preserve"> as all </w:t>
      </w:r>
      <w:r>
        <w:rPr>
          <w:rFonts w:ascii="Arial" w:eastAsia="Times New Roman" w:hAnsi="Arial" w:cs="Arial"/>
          <w:i/>
          <w:sz w:val="20"/>
          <w:szCs w:val="20"/>
        </w:rPr>
        <w:t>P</w:t>
      </w:r>
      <w:r>
        <w:rPr>
          <w:rFonts w:ascii="Arial" w:eastAsia="Times New Roman" w:hAnsi="Arial" w:cs="Arial"/>
          <w:sz w:val="20"/>
          <w:szCs w:val="20"/>
        </w:rPr>
        <w:t xml:space="preserve">-values were greater than 0.05. This means that, according to this model, they do not have a significant independent effect on the degree of canities. </w:t>
      </w:r>
    </w:p>
    <w:p w14:paraId="63A9B583" w14:textId="77777777" w:rsidR="000E417F" w:rsidRDefault="000E417F" w:rsidP="000E417F">
      <w:pPr>
        <w:autoSpaceDE w:val="0"/>
        <w:autoSpaceDN w:val="0"/>
        <w:adjustRightInd w:val="0"/>
        <w:spacing w:after="0" w:line="240" w:lineRule="auto"/>
        <w:jc w:val="both"/>
        <w:rPr>
          <w:rFonts w:ascii="Arial" w:eastAsia="Times New Roman" w:hAnsi="Arial" w:cs="Arial"/>
          <w:sz w:val="20"/>
          <w:szCs w:val="20"/>
        </w:rPr>
      </w:pPr>
    </w:p>
    <w:p w14:paraId="00A55157" w14:textId="77777777" w:rsidR="000E417F" w:rsidRDefault="000E417F" w:rsidP="000E417F">
      <w:pPr>
        <w:autoSpaceDE w:val="0"/>
        <w:autoSpaceDN w:val="0"/>
        <w:adjustRightInd w:val="0"/>
        <w:spacing w:after="0" w:line="240" w:lineRule="auto"/>
        <w:jc w:val="both"/>
        <w:rPr>
          <w:rFonts w:ascii="Arial" w:hAnsi="Arial" w:cs="Arial"/>
          <w:b/>
          <w:sz w:val="20"/>
          <w:szCs w:val="20"/>
        </w:rPr>
      </w:pPr>
    </w:p>
    <w:p w14:paraId="612E158D" w14:textId="77777777" w:rsidR="000E417F" w:rsidRDefault="000E417F" w:rsidP="000E417F">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Table 4 </w:t>
      </w:r>
      <w:proofErr w:type="gramStart"/>
      <w:r>
        <w:rPr>
          <w:rFonts w:ascii="Arial" w:hAnsi="Arial" w:cs="Arial"/>
          <w:b/>
          <w:sz w:val="20"/>
          <w:szCs w:val="20"/>
        </w:rPr>
        <w:t>Ordinal  LogisticRegression</w:t>
      </w:r>
      <w:proofErr w:type="gramEnd"/>
      <w:r>
        <w:rPr>
          <w:rFonts w:ascii="Arial" w:hAnsi="Arial" w:cs="Arial"/>
          <w:b/>
          <w:sz w:val="20"/>
          <w:szCs w:val="20"/>
        </w:rPr>
        <w:t xml:space="preserve">  Analysisof  theEffect  of  the Red Blood Cell  </w:t>
      </w:r>
    </w:p>
    <w:p w14:paraId="3FFD9CBD" w14:textId="77777777" w:rsidR="000E417F" w:rsidRDefault="000E417F" w:rsidP="000E417F">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Metrics on the Degree of </w:t>
      </w:r>
      <w:proofErr w:type="gramStart"/>
      <w:r>
        <w:rPr>
          <w:rFonts w:ascii="Arial" w:hAnsi="Arial" w:cs="Arial"/>
          <w:b/>
          <w:sz w:val="20"/>
          <w:szCs w:val="20"/>
        </w:rPr>
        <w:t>Canities  among</w:t>
      </w:r>
      <w:proofErr w:type="gramEnd"/>
      <w:r>
        <w:rPr>
          <w:rFonts w:ascii="Arial" w:hAnsi="Arial" w:cs="Arial"/>
          <w:b/>
          <w:sz w:val="20"/>
          <w:szCs w:val="20"/>
        </w:rPr>
        <w:t xml:space="preserve"> the Test Group of the Study Participants</w:t>
      </w:r>
    </w:p>
    <w:p w14:paraId="7F72CDC8" w14:textId="77777777" w:rsidR="000E417F" w:rsidRDefault="000E417F" w:rsidP="000E417F">
      <w:pPr>
        <w:autoSpaceDE w:val="0"/>
        <w:autoSpaceDN w:val="0"/>
        <w:adjustRightInd w:val="0"/>
        <w:spacing w:after="0" w:line="240" w:lineRule="auto"/>
        <w:ind w:firstLine="720"/>
        <w:jc w:val="both"/>
        <w:rPr>
          <w:rFonts w:ascii="Arial" w:hAnsi="Arial" w:cs="Arial"/>
          <w:b/>
          <w:sz w:val="20"/>
          <w:szCs w:val="20"/>
        </w:rPr>
      </w:pPr>
    </w:p>
    <w:p w14:paraId="724D6AAA" w14:textId="77777777" w:rsidR="000E417F" w:rsidRDefault="000E417F" w:rsidP="000E417F">
      <w:pPr>
        <w:autoSpaceDE w:val="0"/>
        <w:autoSpaceDN w:val="0"/>
        <w:adjustRightInd w:val="0"/>
        <w:spacing w:after="0" w:line="240" w:lineRule="auto"/>
        <w:ind w:firstLine="720"/>
        <w:jc w:val="both"/>
        <w:rPr>
          <w:rFonts w:ascii="Arial" w:hAnsi="Arial" w:cs="Arial"/>
          <w:b/>
          <w:sz w:val="20"/>
          <w:szCs w:val="20"/>
        </w:rPr>
      </w:pPr>
    </w:p>
    <w:tbl>
      <w:tblPr>
        <w:tblStyle w:val="TableGrid"/>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1530"/>
        <w:gridCol w:w="1530"/>
        <w:gridCol w:w="1170"/>
        <w:gridCol w:w="1890"/>
      </w:tblGrid>
      <w:tr w:rsidR="000E417F" w14:paraId="6073D20C" w14:textId="77777777" w:rsidTr="006175FA">
        <w:trPr>
          <w:trHeight w:val="349"/>
        </w:trPr>
        <w:tc>
          <w:tcPr>
            <w:tcW w:w="3780" w:type="dxa"/>
            <w:tcBorders>
              <w:top w:val="single" w:sz="4" w:space="0" w:color="auto"/>
              <w:left w:val="nil"/>
              <w:bottom w:val="single" w:sz="4" w:space="0" w:color="auto"/>
              <w:right w:val="nil"/>
            </w:tcBorders>
          </w:tcPr>
          <w:p w14:paraId="1F01E316" w14:textId="77777777" w:rsidR="000E417F" w:rsidRDefault="000E417F" w:rsidP="006175FA">
            <w:pPr>
              <w:spacing w:after="0" w:line="480" w:lineRule="auto"/>
              <w:rPr>
                <w:rFonts w:ascii="Arial" w:eastAsia="Times New Roman" w:hAnsi="Arial" w:cs="Arial"/>
                <w:b/>
                <w:lang w:eastAsia="en-GB"/>
              </w:rPr>
            </w:pPr>
            <w:r>
              <w:rPr>
                <w:rFonts w:ascii="Arial" w:eastAsia="Times New Roman" w:hAnsi="Arial" w:cs="Arial"/>
                <w:b/>
                <w:lang w:eastAsia="en-GB"/>
              </w:rPr>
              <w:t>Variable</w:t>
            </w:r>
          </w:p>
        </w:tc>
        <w:tc>
          <w:tcPr>
            <w:tcW w:w="1530" w:type="dxa"/>
            <w:tcBorders>
              <w:top w:val="single" w:sz="4" w:space="0" w:color="auto"/>
              <w:left w:val="nil"/>
              <w:bottom w:val="single" w:sz="4" w:space="0" w:color="auto"/>
              <w:right w:val="nil"/>
            </w:tcBorders>
          </w:tcPr>
          <w:p w14:paraId="2671890D" w14:textId="77777777" w:rsidR="000E417F" w:rsidRDefault="000E417F" w:rsidP="006175FA">
            <w:pPr>
              <w:spacing w:after="0" w:line="480" w:lineRule="auto"/>
              <w:jc w:val="center"/>
              <w:rPr>
                <w:rFonts w:ascii="Arial" w:eastAsia="Times New Roman" w:hAnsi="Arial" w:cs="Arial"/>
                <w:b/>
                <w:lang w:eastAsia="en-GB"/>
              </w:rPr>
            </w:pPr>
            <w:r>
              <w:rPr>
                <w:rFonts w:ascii="Arial" w:eastAsia="Times New Roman" w:hAnsi="Arial" w:cs="Arial"/>
                <w:b/>
                <w:lang w:eastAsia="en-GB"/>
              </w:rPr>
              <w:t>Estimate</w:t>
            </w:r>
          </w:p>
        </w:tc>
        <w:tc>
          <w:tcPr>
            <w:tcW w:w="1530" w:type="dxa"/>
            <w:tcBorders>
              <w:top w:val="single" w:sz="4" w:space="0" w:color="auto"/>
              <w:left w:val="nil"/>
              <w:bottom w:val="single" w:sz="4" w:space="0" w:color="auto"/>
              <w:right w:val="nil"/>
            </w:tcBorders>
          </w:tcPr>
          <w:p w14:paraId="6CA38B31" w14:textId="77777777" w:rsidR="000E417F" w:rsidRDefault="000E417F" w:rsidP="006175FA">
            <w:pPr>
              <w:spacing w:after="0" w:line="480" w:lineRule="auto"/>
              <w:jc w:val="center"/>
              <w:rPr>
                <w:rFonts w:ascii="Arial" w:eastAsia="Times New Roman" w:hAnsi="Arial" w:cs="Arial"/>
                <w:b/>
                <w:lang w:eastAsia="en-GB"/>
              </w:rPr>
            </w:pPr>
            <w:r>
              <w:rPr>
                <w:rFonts w:ascii="Arial" w:eastAsia="Times New Roman" w:hAnsi="Arial" w:cs="Arial"/>
                <w:b/>
                <w:lang w:eastAsia="en-GB"/>
              </w:rPr>
              <w:t>Odd ratio</w:t>
            </w:r>
          </w:p>
        </w:tc>
        <w:tc>
          <w:tcPr>
            <w:tcW w:w="1170" w:type="dxa"/>
            <w:tcBorders>
              <w:top w:val="single" w:sz="4" w:space="0" w:color="auto"/>
              <w:left w:val="nil"/>
              <w:bottom w:val="single" w:sz="4" w:space="0" w:color="auto"/>
              <w:right w:val="nil"/>
            </w:tcBorders>
          </w:tcPr>
          <w:p w14:paraId="591FBDFA" w14:textId="77777777" w:rsidR="000E417F" w:rsidRDefault="000E417F" w:rsidP="006175FA">
            <w:pPr>
              <w:spacing w:after="0" w:line="480" w:lineRule="auto"/>
              <w:jc w:val="center"/>
              <w:rPr>
                <w:rFonts w:ascii="Arial" w:eastAsia="Times New Roman" w:hAnsi="Arial" w:cs="Arial"/>
                <w:b/>
                <w:lang w:eastAsia="en-GB"/>
              </w:rPr>
            </w:pPr>
            <w:r>
              <w:rPr>
                <w:rFonts w:ascii="Arial" w:eastAsia="Times New Roman" w:hAnsi="Arial" w:cs="Arial"/>
                <w:b/>
                <w:lang w:eastAsia="en-GB"/>
              </w:rPr>
              <w:t>Sig.</w:t>
            </w:r>
          </w:p>
        </w:tc>
        <w:tc>
          <w:tcPr>
            <w:tcW w:w="1890" w:type="dxa"/>
            <w:tcBorders>
              <w:top w:val="single" w:sz="4" w:space="0" w:color="auto"/>
              <w:left w:val="nil"/>
              <w:bottom w:val="single" w:sz="4" w:space="0" w:color="auto"/>
              <w:right w:val="nil"/>
            </w:tcBorders>
          </w:tcPr>
          <w:p w14:paraId="31C7FE4E" w14:textId="77777777" w:rsidR="000E417F" w:rsidRDefault="000E417F" w:rsidP="006175FA">
            <w:pPr>
              <w:spacing w:after="0" w:line="480" w:lineRule="auto"/>
              <w:jc w:val="center"/>
              <w:rPr>
                <w:rFonts w:ascii="Arial" w:eastAsia="Times New Roman" w:hAnsi="Arial" w:cs="Arial"/>
                <w:b/>
                <w:lang w:eastAsia="en-GB"/>
              </w:rPr>
            </w:pPr>
            <w:r>
              <w:rPr>
                <w:rFonts w:ascii="Arial" w:eastAsia="Times New Roman" w:hAnsi="Arial" w:cs="Arial"/>
                <w:b/>
                <w:lang w:eastAsia="en-GB"/>
              </w:rPr>
              <w:t>Remark</w:t>
            </w:r>
          </w:p>
        </w:tc>
      </w:tr>
      <w:tr w:rsidR="000E417F" w14:paraId="38AEB094" w14:textId="77777777" w:rsidTr="006175FA">
        <w:trPr>
          <w:trHeight w:val="300"/>
        </w:trPr>
        <w:tc>
          <w:tcPr>
            <w:tcW w:w="3780" w:type="dxa"/>
          </w:tcPr>
          <w:p w14:paraId="564DFCC9" w14:textId="77777777" w:rsidR="000E417F" w:rsidRDefault="000E417F" w:rsidP="006175FA">
            <w:pPr>
              <w:spacing w:after="0" w:line="480" w:lineRule="auto"/>
              <w:rPr>
                <w:rFonts w:ascii="Arial" w:eastAsia="Times New Roman" w:hAnsi="Arial" w:cs="Arial"/>
                <w:lang w:eastAsia="en-GB"/>
              </w:rPr>
            </w:pPr>
            <w:r>
              <w:rPr>
                <w:rFonts w:ascii="Arial" w:eastAsia="Times New Roman" w:hAnsi="Arial" w:cs="Arial"/>
                <w:lang w:eastAsia="en-GB"/>
              </w:rPr>
              <w:t>HGB*DC</w:t>
            </w:r>
          </w:p>
        </w:tc>
        <w:tc>
          <w:tcPr>
            <w:tcW w:w="1530" w:type="dxa"/>
          </w:tcPr>
          <w:p w14:paraId="08E7907A"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-0.30</w:t>
            </w:r>
          </w:p>
        </w:tc>
        <w:tc>
          <w:tcPr>
            <w:tcW w:w="1530" w:type="dxa"/>
          </w:tcPr>
          <w:p w14:paraId="369E498D"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0.74</w:t>
            </w:r>
          </w:p>
        </w:tc>
        <w:tc>
          <w:tcPr>
            <w:tcW w:w="1170" w:type="dxa"/>
          </w:tcPr>
          <w:p w14:paraId="717866A9"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0.51</w:t>
            </w:r>
          </w:p>
        </w:tc>
        <w:tc>
          <w:tcPr>
            <w:tcW w:w="1890" w:type="dxa"/>
          </w:tcPr>
          <w:p w14:paraId="33074354"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NSS</w:t>
            </w:r>
          </w:p>
        </w:tc>
      </w:tr>
      <w:tr w:rsidR="000E417F" w14:paraId="24814154" w14:textId="77777777" w:rsidTr="006175FA">
        <w:trPr>
          <w:trHeight w:val="300"/>
        </w:trPr>
        <w:tc>
          <w:tcPr>
            <w:tcW w:w="3780" w:type="dxa"/>
          </w:tcPr>
          <w:p w14:paraId="20B8E70C" w14:textId="77777777" w:rsidR="000E417F" w:rsidRDefault="000E417F" w:rsidP="006175FA">
            <w:pPr>
              <w:spacing w:after="0" w:line="360" w:lineRule="auto"/>
              <w:rPr>
                <w:rFonts w:ascii="Arial" w:eastAsia="Times New Roman" w:hAnsi="Arial" w:cs="Arial"/>
                <w:lang w:eastAsia="en-GB"/>
              </w:rPr>
            </w:pPr>
            <w:r>
              <w:rPr>
                <w:rFonts w:ascii="Arial" w:eastAsia="Times New Roman" w:hAnsi="Arial" w:cs="Arial"/>
                <w:lang w:eastAsia="en-GB"/>
              </w:rPr>
              <w:t>HCT*DC</w:t>
            </w:r>
          </w:p>
        </w:tc>
        <w:tc>
          <w:tcPr>
            <w:tcW w:w="1530" w:type="dxa"/>
          </w:tcPr>
          <w:p w14:paraId="7084838F"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-0.02</w:t>
            </w:r>
          </w:p>
        </w:tc>
        <w:tc>
          <w:tcPr>
            <w:tcW w:w="1530" w:type="dxa"/>
          </w:tcPr>
          <w:p w14:paraId="26B7FABD"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0.99</w:t>
            </w:r>
          </w:p>
        </w:tc>
        <w:tc>
          <w:tcPr>
            <w:tcW w:w="1170" w:type="dxa"/>
          </w:tcPr>
          <w:p w14:paraId="7B1AECD0"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0.99</w:t>
            </w:r>
          </w:p>
        </w:tc>
        <w:tc>
          <w:tcPr>
            <w:tcW w:w="1890" w:type="dxa"/>
          </w:tcPr>
          <w:p w14:paraId="52FBE4B1" w14:textId="77777777" w:rsidR="000E417F" w:rsidRDefault="000E417F" w:rsidP="006175FA">
            <w:pPr>
              <w:spacing w:after="0" w:line="240" w:lineRule="auto"/>
              <w:jc w:val="center"/>
              <w:rPr>
                <w:rFonts w:ascii="Arial" w:hAnsi="Arial" w:cs="Arial"/>
              </w:rPr>
            </w:pPr>
            <w:r>
              <w:rPr>
                <w:rFonts w:ascii="Arial" w:eastAsia="Times New Roman" w:hAnsi="Arial" w:cs="Arial"/>
                <w:lang w:eastAsia="en-GB"/>
              </w:rPr>
              <w:t>NSS</w:t>
            </w:r>
          </w:p>
        </w:tc>
      </w:tr>
      <w:tr w:rsidR="000E417F" w14:paraId="1BC95AE5" w14:textId="77777777" w:rsidTr="006175FA">
        <w:trPr>
          <w:trHeight w:val="480"/>
        </w:trPr>
        <w:tc>
          <w:tcPr>
            <w:tcW w:w="3780" w:type="dxa"/>
          </w:tcPr>
          <w:p w14:paraId="0DB403FE" w14:textId="77777777" w:rsidR="000E417F" w:rsidRDefault="000E417F" w:rsidP="006175FA">
            <w:pPr>
              <w:spacing w:after="0" w:line="480" w:lineRule="auto"/>
              <w:rPr>
                <w:rFonts w:ascii="Arial" w:eastAsia="Times New Roman" w:hAnsi="Arial" w:cs="Arial"/>
                <w:lang w:eastAsia="en-GB"/>
              </w:rPr>
            </w:pPr>
            <w:r>
              <w:rPr>
                <w:rFonts w:ascii="Arial" w:eastAsia="Times New Roman" w:hAnsi="Arial" w:cs="Arial"/>
                <w:lang w:eastAsia="en-GB"/>
              </w:rPr>
              <w:t>RBC*DC</w:t>
            </w:r>
          </w:p>
        </w:tc>
        <w:tc>
          <w:tcPr>
            <w:tcW w:w="1530" w:type="dxa"/>
          </w:tcPr>
          <w:p w14:paraId="4E09DDE5"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-1.15</w:t>
            </w:r>
          </w:p>
        </w:tc>
        <w:tc>
          <w:tcPr>
            <w:tcW w:w="1530" w:type="dxa"/>
          </w:tcPr>
          <w:p w14:paraId="6B9283FD"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3.16</w:t>
            </w:r>
          </w:p>
        </w:tc>
        <w:tc>
          <w:tcPr>
            <w:tcW w:w="1170" w:type="dxa"/>
          </w:tcPr>
          <w:p w14:paraId="6EDE6D07"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0.10</w:t>
            </w:r>
          </w:p>
        </w:tc>
        <w:tc>
          <w:tcPr>
            <w:tcW w:w="1890" w:type="dxa"/>
          </w:tcPr>
          <w:p w14:paraId="6609A9F0" w14:textId="77777777" w:rsidR="000E417F" w:rsidRDefault="000E417F" w:rsidP="006175FA">
            <w:pPr>
              <w:spacing w:after="0" w:line="240" w:lineRule="auto"/>
              <w:jc w:val="center"/>
              <w:rPr>
                <w:rFonts w:ascii="Arial" w:hAnsi="Arial" w:cs="Arial"/>
              </w:rPr>
            </w:pPr>
            <w:r>
              <w:rPr>
                <w:rFonts w:ascii="Arial" w:eastAsia="Times New Roman" w:hAnsi="Arial" w:cs="Arial"/>
                <w:lang w:eastAsia="en-GB"/>
              </w:rPr>
              <w:t>NSS</w:t>
            </w:r>
          </w:p>
        </w:tc>
      </w:tr>
      <w:tr w:rsidR="000E417F" w14:paraId="0FE34B13" w14:textId="77777777" w:rsidTr="006175FA">
        <w:trPr>
          <w:trHeight w:val="300"/>
        </w:trPr>
        <w:tc>
          <w:tcPr>
            <w:tcW w:w="3780" w:type="dxa"/>
          </w:tcPr>
          <w:p w14:paraId="16B0BC97" w14:textId="77777777" w:rsidR="000E417F" w:rsidRDefault="000E417F" w:rsidP="006175FA">
            <w:pPr>
              <w:spacing w:after="0" w:line="480" w:lineRule="auto"/>
              <w:rPr>
                <w:rFonts w:ascii="Arial" w:eastAsia="Times New Roman" w:hAnsi="Arial" w:cs="Arial"/>
                <w:lang w:eastAsia="en-GB"/>
              </w:rPr>
            </w:pPr>
            <w:r>
              <w:rPr>
                <w:rFonts w:ascii="Arial" w:eastAsia="Times New Roman" w:hAnsi="Arial" w:cs="Arial"/>
                <w:lang w:eastAsia="en-GB"/>
              </w:rPr>
              <w:t>MCV*DC</w:t>
            </w:r>
          </w:p>
        </w:tc>
        <w:tc>
          <w:tcPr>
            <w:tcW w:w="1530" w:type="dxa"/>
          </w:tcPr>
          <w:p w14:paraId="153FA594"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0.07</w:t>
            </w:r>
          </w:p>
        </w:tc>
        <w:tc>
          <w:tcPr>
            <w:tcW w:w="1530" w:type="dxa"/>
          </w:tcPr>
          <w:p w14:paraId="45BFE57F"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1.07</w:t>
            </w:r>
          </w:p>
        </w:tc>
        <w:tc>
          <w:tcPr>
            <w:tcW w:w="1170" w:type="dxa"/>
          </w:tcPr>
          <w:p w14:paraId="6DD424F5"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0.28</w:t>
            </w:r>
          </w:p>
        </w:tc>
        <w:tc>
          <w:tcPr>
            <w:tcW w:w="1890" w:type="dxa"/>
          </w:tcPr>
          <w:p w14:paraId="7E9AB373" w14:textId="77777777" w:rsidR="000E417F" w:rsidRDefault="000E417F" w:rsidP="006175FA">
            <w:pPr>
              <w:spacing w:after="0" w:line="240" w:lineRule="auto"/>
              <w:jc w:val="center"/>
              <w:rPr>
                <w:rFonts w:ascii="Arial" w:hAnsi="Arial" w:cs="Arial"/>
              </w:rPr>
            </w:pPr>
            <w:r>
              <w:rPr>
                <w:rFonts w:ascii="Arial" w:eastAsia="Times New Roman" w:hAnsi="Arial" w:cs="Arial"/>
                <w:lang w:eastAsia="en-GB"/>
              </w:rPr>
              <w:t>NSS</w:t>
            </w:r>
          </w:p>
        </w:tc>
      </w:tr>
      <w:tr w:rsidR="000E417F" w14:paraId="5348201B" w14:textId="77777777" w:rsidTr="006175FA">
        <w:trPr>
          <w:trHeight w:val="300"/>
        </w:trPr>
        <w:tc>
          <w:tcPr>
            <w:tcW w:w="3780" w:type="dxa"/>
          </w:tcPr>
          <w:p w14:paraId="1DC3DAF7" w14:textId="77777777" w:rsidR="000E417F" w:rsidRDefault="000E417F" w:rsidP="006175FA">
            <w:pPr>
              <w:spacing w:after="0" w:line="480" w:lineRule="auto"/>
              <w:rPr>
                <w:rFonts w:ascii="Arial" w:eastAsia="Times New Roman" w:hAnsi="Arial" w:cs="Arial"/>
                <w:lang w:eastAsia="en-GB"/>
              </w:rPr>
            </w:pPr>
            <w:r>
              <w:rPr>
                <w:rFonts w:ascii="Arial" w:eastAsia="Times New Roman" w:hAnsi="Arial" w:cs="Arial"/>
                <w:lang w:eastAsia="en-GB"/>
              </w:rPr>
              <w:t>MCH*DC</w:t>
            </w:r>
          </w:p>
        </w:tc>
        <w:tc>
          <w:tcPr>
            <w:tcW w:w="1530" w:type="dxa"/>
          </w:tcPr>
          <w:p w14:paraId="7DB3FF02"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-0.03</w:t>
            </w:r>
          </w:p>
        </w:tc>
        <w:tc>
          <w:tcPr>
            <w:tcW w:w="1530" w:type="dxa"/>
          </w:tcPr>
          <w:p w14:paraId="7D4AE24A"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0.97</w:t>
            </w:r>
          </w:p>
        </w:tc>
        <w:tc>
          <w:tcPr>
            <w:tcW w:w="1170" w:type="dxa"/>
          </w:tcPr>
          <w:p w14:paraId="3CD826BF"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0.87</w:t>
            </w:r>
          </w:p>
        </w:tc>
        <w:tc>
          <w:tcPr>
            <w:tcW w:w="1890" w:type="dxa"/>
          </w:tcPr>
          <w:p w14:paraId="4B533C96" w14:textId="77777777" w:rsidR="000E417F" w:rsidRDefault="000E417F" w:rsidP="006175FA">
            <w:pPr>
              <w:spacing w:after="0" w:line="240" w:lineRule="auto"/>
              <w:jc w:val="center"/>
              <w:rPr>
                <w:rFonts w:ascii="Arial" w:hAnsi="Arial" w:cs="Arial"/>
              </w:rPr>
            </w:pPr>
            <w:r>
              <w:rPr>
                <w:rFonts w:ascii="Arial" w:eastAsia="Times New Roman" w:hAnsi="Arial" w:cs="Arial"/>
                <w:lang w:eastAsia="en-GB"/>
              </w:rPr>
              <w:t>NSS</w:t>
            </w:r>
          </w:p>
        </w:tc>
      </w:tr>
      <w:tr w:rsidR="000E417F" w14:paraId="6D5469F9" w14:textId="77777777" w:rsidTr="006175FA">
        <w:trPr>
          <w:trHeight w:val="300"/>
        </w:trPr>
        <w:tc>
          <w:tcPr>
            <w:tcW w:w="3780" w:type="dxa"/>
          </w:tcPr>
          <w:p w14:paraId="11048EF1" w14:textId="77777777" w:rsidR="000E417F" w:rsidRDefault="000E417F" w:rsidP="006175FA">
            <w:pPr>
              <w:spacing w:after="0" w:line="480" w:lineRule="auto"/>
              <w:rPr>
                <w:rFonts w:ascii="Arial" w:eastAsia="Times New Roman" w:hAnsi="Arial" w:cs="Arial"/>
                <w:lang w:eastAsia="en-GB"/>
              </w:rPr>
            </w:pPr>
            <w:r>
              <w:rPr>
                <w:rFonts w:ascii="Arial" w:eastAsia="Times New Roman" w:hAnsi="Arial" w:cs="Arial"/>
                <w:lang w:eastAsia="en-GB"/>
              </w:rPr>
              <w:t>MCHC*DC</w:t>
            </w:r>
          </w:p>
        </w:tc>
        <w:tc>
          <w:tcPr>
            <w:tcW w:w="1530" w:type="dxa"/>
          </w:tcPr>
          <w:p w14:paraId="76EC72F0"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-0.01</w:t>
            </w:r>
          </w:p>
        </w:tc>
        <w:tc>
          <w:tcPr>
            <w:tcW w:w="1530" w:type="dxa"/>
          </w:tcPr>
          <w:p w14:paraId="680254A6"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0.99</w:t>
            </w:r>
          </w:p>
        </w:tc>
        <w:tc>
          <w:tcPr>
            <w:tcW w:w="1170" w:type="dxa"/>
          </w:tcPr>
          <w:p w14:paraId="3C766110"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1.00</w:t>
            </w:r>
          </w:p>
        </w:tc>
        <w:tc>
          <w:tcPr>
            <w:tcW w:w="1890" w:type="dxa"/>
          </w:tcPr>
          <w:p w14:paraId="247666D9" w14:textId="77777777" w:rsidR="000E417F" w:rsidRDefault="000E417F" w:rsidP="006175FA">
            <w:pPr>
              <w:spacing w:after="0" w:line="240" w:lineRule="auto"/>
              <w:jc w:val="center"/>
              <w:rPr>
                <w:rFonts w:ascii="Arial" w:hAnsi="Arial" w:cs="Arial"/>
              </w:rPr>
            </w:pPr>
            <w:r>
              <w:rPr>
                <w:rFonts w:ascii="Arial" w:eastAsia="Times New Roman" w:hAnsi="Arial" w:cs="Arial"/>
                <w:lang w:eastAsia="en-GB"/>
              </w:rPr>
              <w:t>NSS</w:t>
            </w:r>
          </w:p>
        </w:tc>
      </w:tr>
      <w:tr w:rsidR="000E417F" w14:paraId="119CE201" w14:textId="77777777" w:rsidTr="006175FA">
        <w:trPr>
          <w:trHeight w:val="300"/>
        </w:trPr>
        <w:tc>
          <w:tcPr>
            <w:tcW w:w="3780" w:type="dxa"/>
          </w:tcPr>
          <w:p w14:paraId="5A7258D0" w14:textId="77777777" w:rsidR="000E417F" w:rsidRDefault="000E417F" w:rsidP="006175FA">
            <w:pPr>
              <w:spacing w:after="0" w:line="480" w:lineRule="auto"/>
              <w:rPr>
                <w:rFonts w:ascii="Arial" w:eastAsia="Times New Roman" w:hAnsi="Arial" w:cs="Arial"/>
                <w:lang w:eastAsia="en-GB"/>
              </w:rPr>
            </w:pPr>
            <w:r>
              <w:rPr>
                <w:rFonts w:ascii="Arial" w:eastAsia="Times New Roman" w:hAnsi="Arial" w:cs="Arial"/>
                <w:lang w:eastAsia="en-GB"/>
              </w:rPr>
              <w:t>RDW*DC</w:t>
            </w:r>
          </w:p>
        </w:tc>
        <w:tc>
          <w:tcPr>
            <w:tcW w:w="1530" w:type="dxa"/>
          </w:tcPr>
          <w:p w14:paraId="6FC5F801"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0.02</w:t>
            </w:r>
          </w:p>
        </w:tc>
        <w:tc>
          <w:tcPr>
            <w:tcW w:w="1530" w:type="dxa"/>
          </w:tcPr>
          <w:p w14:paraId="18C83367"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1.02</w:t>
            </w:r>
          </w:p>
        </w:tc>
        <w:tc>
          <w:tcPr>
            <w:tcW w:w="1170" w:type="dxa"/>
          </w:tcPr>
          <w:p w14:paraId="5368C5C4"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0.73</w:t>
            </w:r>
          </w:p>
        </w:tc>
        <w:tc>
          <w:tcPr>
            <w:tcW w:w="1890" w:type="dxa"/>
          </w:tcPr>
          <w:p w14:paraId="7577D7C0" w14:textId="77777777" w:rsidR="000E417F" w:rsidRDefault="000E417F" w:rsidP="006175FA">
            <w:pPr>
              <w:spacing w:after="0" w:line="240" w:lineRule="auto"/>
              <w:jc w:val="center"/>
              <w:rPr>
                <w:rFonts w:ascii="Arial" w:hAnsi="Arial" w:cs="Arial"/>
              </w:rPr>
            </w:pPr>
            <w:r>
              <w:rPr>
                <w:rFonts w:ascii="Arial" w:eastAsia="Times New Roman" w:hAnsi="Arial" w:cs="Arial"/>
                <w:lang w:eastAsia="en-GB"/>
              </w:rPr>
              <w:t>NSS</w:t>
            </w:r>
          </w:p>
        </w:tc>
      </w:tr>
      <w:tr w:rsidR="000E417F" w14:paraId="2D380538" w14:textId="77777777" w:rsidTr="006175FA">
        <w:trPr>
          <w:trHeight w:val="300"/>
        </w:trPr>
        <w:tc>
          <w:tcPr>
            <w:tcW w:w="3780" w:type="dxa"/>
            <w:tcBorders>
              <w:top w:val="nil"/>
              <w:left w:val="nil"/>
              <w:bottom w:val="single" w:sz="4" w:space="0" w:color="auto"/>
              <w:right w:val="nil"/>
            </w:tcBorders>
          </w:tcPr>
          <w:p w14:paraId="4A970094" w14:textId="77777777" w:rsidR="000E417F" w:rsidRDefault="000E417F" w:rsidP="006175FA">
            <w:pPr>
              <w:spacing w:after="0" w:line="480" w:lineRule="auto"/>
              <w:rPr>
                <w:rFonts w:ascii="Arial" w:eastAsia="Times New Roman" w:hAnsi="Arial" w:cs="Arial"/>
                <w:lang w:eastAsia="en-GB"/>
              </w:rPr>
            </w:pPr>
            <w:r>
              <w:rPr>
                <w:rFonts w:ascii="Arial" w:eastAsia="Times New Roman" w:hAnsi="Arial" w:cs="Arial"/>
                <w:lang w:eastAsia="en-GB"/>
              </w:rPr>
              <w:t>RC*DC</w:t>
            </w:r>
          </w:p>
        </w:tc>
        <w:tc>
          <w:tcPr>
            <w:tcW w:w="1530" w:type="dxa"/>
            <w:tcBorders>
              <w:top w:val="nil"/>
              <w:left w:val="nil"/>
              <w:bottom w:val="single" w:sz="4" w:space="0" w:color="auto"/>
              <w:right w:val="nil"/>
            </w:tcBorders>
          </w:tcPr>
          <w:p w14:paraId="1DFDFACB"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1.47</w:t>
            </w:r>
          </w:p>
        </w:tc>
        <w:tc>
          <w:tcPr>
            <w:tcW w:w="1530" w:type="dxa"/>
            <w:tcBorders>
              <w:top w:val="nil"/>
              <w:left w:val="nil"/>
              <w:bottom w:val="single" w:sz="4" w:space="0" w:color="auto"/>
              <w:right w:val="nil"/>
            </w:tcBorders>
          </w:tcPr>
          <w:p w14:paraId="338B0D19"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0.23</w:t>
            </w:r>
          </w:p>
        </w:tc>
        <w:tc>
          <w:tcPr>
            <w:tcW w:w="1170" w:type="dxa"/>
            <w:tcBorders>
              <w:top w:val="nil"/>
              <w:left w:val="nil"/>
              <w:bottom w:val="single" w:sz="4" w:space="0" w:color="auto"/>
              <w:right w:val="nil"/>
            </w:tcBorders>
          </w:tcPr>
          <w:p w14:paraId="78823944" w14:textId="77777777" w:rsidR="000E417F" w:rsidRDefault="000E417F" w:rsidP="006175FA">
            <w:pPr>
              <w:spacing w:after="0" w:line="480" w:lineRule="auto"/>
              <w:jc w:val="center"/>
              <w:rPr>
                <w:rFonts w:ascii="Arial" w:eastAsia="Times New Roman" w:hAnsi="Arial" w:cs="Arial"/>
                <w:lang w:eastAsia="en-GB"/>
              </w:rPr>
            </w:pPr>
            <w:r>
              <w:rPr>
                <w:rFonts w:ascii="Arial" w:eastAsia="Times New Roman" w:hAnsi="Arial" w:cs="Arial"/>
                <w:lang w:eastAsia="en-GB"/>
              </w:rPr>
              <w:t>0.24</w:t>
            </w:r>
          </w:p>
        </w:tc>
        <w:tc>
          <w:tcPr>
            <w:tcW w:w="1890" w:type="dxa"/>
            <w:tcBorders>
              <w:top w:val="nil"/>
              <w:left w:val="nil"/>
              <w:bottom w:val="single" w:sz="4" w:space="0" w:color="auto"/>
              <w:right w:val="nil"/>
            </w:tcBorders>
          </w:tcPr>
          <w:p w14:paraId="36DBE6F5" w14:textId="77777777" w:rsidR="000E417F" w:rsidRDefault="000E417F" w:rsidP="006175FA">
            <w:pPr>
              <w:spacing w:after="0" w:line="240" w:lineRule="auto"/>
              <w:jc w:val="center"/>
              <w:rPr>
                <w:rFonts w:ascii="Arial" w:hAnsi="Arial" w:cs="Arial"/>
              </w:rPr>
            </w:pPr>
            <w:r>
              <w:rPr>
                <w:rFonts w:ascii="Arial" w:eastAsia="Times New Roman" w:hAnsi="Arial" w:cs="Arial"/>
                <w:lang w:eastAsia="en-GB"/>
              </w:rPr>
              <w:t>NSS</w:t>
            </w:r>
          </w:p>
        </w:tc>
      </w:tr>
    </w:tbl>
    <w:p w14:paraId="592D025E" w14:textId="77777777" w:rsidR="000E417F" w:rsidRDefault="000E417F" w:rsidP="000E417F">
      <w:pPr>
        <w:jc w:val="both"/>
        <w:rPr>
          <w:rFonts w:ascii="Arial" w:eastAsiaTheme="minorEastAsia" w:hAnsi="Arial" w:cs="Arial"/>
          <w:sz w:val="20"/>
          <w:szCs w:val="20"/>
        </w:rPr>
      </w:pPr>
      <w:r>
        <w:rPr>
          <w:rFonts w:ascii="Arial" w:hAnsi="Arial" w:cs="Arial"/>
          <w:i/>
          <w:sz w:val="20"/>
          <w:szCs w:val="20"/>
        </w:rPr>
        <w:t>P</w:t>
      </w:r>
      <w:r>
        <w:rPr>
          <w:rFonts w:ascii="Arial" w:hAnsi="Arial" w:cs="Arial"/>
          <w:sz w:val="20"/>
          <w:szCs w:val="20"/>
        </w:rPr>
        <w:t>&lt; 0.05= Statistically Significant</w:t>
      </w:r>
    </w:p>
    <w:p w14:paraId="2EC0C5DD" w14:textId="77777777" w:rsidR="000E417F" w:rsidRDefault="000E417F" w:rsidP="000E417F">
      <w:pPr>
        <w:spacing w:after="0" w:line="240" w:lineRule="auto"/>
        <w:jc w:val="both"/>
        <w:rPr>
          <w:rFonts w:ascii="Arial" w:hAnsi="Arial" w:cs="Arial"/>
          <w:sz w:val="20"/>
          <w:szCs w:val="20"/>
        </w:rPr>
      </w:pPr>
      <w:r>
        <w:rPr>
          <w:rFonts w:ascii="Arial" w:hAnsi="Arial" w:cs="Arial"/>
          <w:sz w:val="20"/>
          <w:szCs w:val="20"/>
        </w:rPr>
        <w:t xml:space="preserve">Key: DC = Degree of Canities, Haemoglobin concentration = (HGB), Haematocrit = (HCT), Red Cell Count = (RBC), Mean Cell Volume = (MCV), Mean Cell Haemoglobin = (MCH), Mean Cell Haemoglobin Concentration = (MCHC), Red Cell Distribution Width = (RDW) and Reticulocyte Count = (RC), Estimate = coefficient of regression, Sig.= </w:t>
      </w:r>
      <w:r>
        <w:rPr>
          <w:rFonts w:ascii="Arial" w:hAnsi="Arial" w:cs="Arial"/>
          <w:i/>
          <w:sz w:val="20"/>
          <w:szCs w:val="20"/>
        </w:rPr>
        <w:t>P</w:t>
      </w:r>
      <w:r>
        <w:rPr>
          <w:rFonts w:ascii="Arial" w:hAnsi="Arial" w:cs="Arial"/>
          <w:sz w:val="20"/>
          <w:szCs w:val="20"/>
        </w:rPr>
        <w:t>-value</w:t>
      </w:r>
    </w:p>
    <w:p w14:paraId="34737079" w14:textId="77777777" w:rsidR="000E417F" w:rsidRDefault="000E417F" w:rsidP="000E417F">
      <w:pPr>
        <w:spacing w:line="480" w:lineRule="auto"/>
        <w:jc w:val="both"/>
        <w:rPr>
          <w:rFonts w:ascii="Times New Roman" w:hAnsi="Times New Roman" w:cs="Times New Roman"/>
          <w:b/>
          <w:bCs/>
          <w:sz w:val="24"/>
          <w:szCs w:val="24"/>
        </w:rPr>
      </w:pPr>
    </w:p>
    <w:p w14:paraId="4BAEACD8" w14:textId="77777777" w:rsidR="000E417F" w:rsidRDefault="000E417F" w:rsidP="000E417F">
      <w:pPr>
        <w:spacing w:line="480" w:lineRule="auto"/>
        <w:jc w:val="both"/>
        <w:rPr>
          <w:rFonts w:ascii="Arial" w:hAnsi="Arial" w:cs="Arial"/>
          <w:b/>
        </w:rPr>
      </w:pPr>
      <w:r>
        <w:rPr>
          <w:rFonts w:ascii="Arial" w:hAnsi="Arial" w:cs="Arial"/>
          <w:b/>
        </w:rPr>
        <w:t>3.2 Discussion</w:t>
      </w:r>
    </w:p>
    <w:p w14:paraId="0729C0F9" w14:textId="77777777" w:rsidR="000E417F" w:rsidRDefault="000E417F" w:rsidP="000E417F">
      <w:pPr>
        <w:spacing w:after="0" w:line="480" w:lineRule="auto"/>
        <w:jc w:val="both"/>
        <w:rPr>
          <w:rFonts w:ascii="Arial" w:hAnsi="Arial" w:cs="Arial"/>
          <w:bCs/>
          <w:sz w:val="20"/>
          <w:szCs w:val="20"/>
        </w:rPr>
      </w:pPr>
      <w:r>
        <w:rPr>
          <w:rFonts w:ascii="Arial" w:hAnsi="Arial" w:cs="Arial"/>
          <w:bCs/>
          <w:sz w:val="20"/>
          <w:szCs w:val="20"/>
        </w:rPr>
        <w:t xml:space="preserve">In this study, the assessment of red blood cell metrics among individuals with premature canities revealed that a total of 90(100.00%) subjects were recruited and divided into three equal groups: a test group and two control groups. The Test group was made up of 30 subjects with premature </w:t>
      </w:r>
      <w:r>
        <w:rPr>
          <w:rFonts w:ascii="Arial" w:hAnsi="Arial" w:cs="Arial"/>
          <w:bCs/>
          <w:sz w:val="20"/>
          <w:szCs w:val="20"/>
        </w:rPr>
        <w:lastRenderedPageBreak/>
        <w:t>canities below the age of 30 years, those in the first control (Control 1) group were 30 subjects under the age of 30 years without canities (Negative Control group) and the participants in the second control (Control 2) group were also subjects of 30 years and above with typicalonset of canities (Positive Control group).</w:t>
      </w:r>
    </w:p>
    <w:p w14:paraId="67DCD683" w14:textId="77777777" w:rsidR="000E417F" w:rsidRDefault="000E417F" w:rsidP="000E417F">
      <w:pPr>
        <w:spacing w:after="0" w:line="480" w:lineRule="auto"/>
        <w:jc w:val="both"/>
        <w:rPr>
          <w:rFonts w:ascii="Arial" w:hAnsi="Arial" w:cs="Arial"/>
          <w:bCs/>
          <w:sz w:val="20"/>
          <w:szCs w:val="20"/>
        </w:rPr>
      </w:pPr>
    </w:p>
    <w:p w14:paraId="1E1E596D" w14:textId="77777777" w:rsidR="000E417F" w:rsidRDefault="000E417F" w:rsidP="000E417F">
      <w:pPr>
        <w:spacing w:after="0" w:line="480" w:lineRule="auto"/>
        <w:ind w:hanging="180"/>
        <w:jc w:val="both"/>
        <w:rPr>
          <w:rFonts w:ascii="Arial" w:hAnsi="Arial" w:cs="Arial"/>
          <w:sz w:val="20"/>
          <w:szCs w:val="20"/>
        </w:rPr>
      </w:pPr>
      <w:r>
        <w:rPr>
          <w:rFonts w:ascii="Arial" w:hAnsi="Arial" w:cs="Arial"/>
          <w:bCs/>
          <w:sz w:val="20"/>
          <w:szCs w:val="20"/>
        </w:rPr>
        <w:t xml:space="preserve">   There were more females (47) than males (43) among the total study participants and in the two control groups compared to the test group with more males. Generally, the higher number of females in the study participants may be because females are more flexible and convincing than males. Also, higher numbers of females were encountered during this research. The Test group had more males with premature canities than females, and this might be because </w:t>
      </w:r>
      <w:r>
        <w:rPr>
          <w:rFonts w:ascii="Arial" w:hAnsi="Arial" w:cs="Arial"/>
          <w:sz w:val="20"/>
          <w:szCs w:val="20"/>
        </w:rPr>
        <w:t xml:space="preserve">men are said to be more affected. This study agrees with that of Anaba </w:t>
      </w:r>
      <w:r>
        <w:rPr>
          <w:rFonts w:ascii="Arial" w:hAnsi="Arial" w:cs="Arial"/>
          <w:i/>
          <w:sz w:val="20"/>
          <w:szCs w:val="20"/>
        </w:rPr>
        <w:t>et al</w:t>
      </w:r>
      <w:r>
        <w:rPr>
          <w:rFonts w:ascii="Arial" w:hAnsi="Arial" w:cs="Arial"/>
          <w:sz w:val="20"/>
          <w:szCs w:val="20"/>
        </w:rPr>
        <w:t xml:space="preserve">. (2022), Chandran </w:t>
      </w:r>
      <w:r w:rsidRPr="0046224F">
        <w:rPr>
          <w:rFonts w:ascii="Arial" w:hAnsi="Arial" w:cs="Arial"/>
          <w:i/>
          <w:sz w:val="20"/>
          <w:szCs w:val="20"/>
        </w:rPr>
        <w:t>et al</w:t>
      </w:r>
      <w:r>
        <w:rPr>
          <w:rFonts w:ascii="Arial" w:hAnsi="Arial" w:cs="Arial"/>
          <w:sz w:val="20"/>
          <w:szCs w:val="20"/>
        </w:rPr>
        <w:t xml:space="preserve">. (2022), and Yadav </w:t>
      </w:r>
      <w:r w:rsidRPr="0046224F">
        <w:rPr>
          <w:rFonts w:ascii="Arial" w:hAnsi="Arial" w:cs="Arial"/>
          <w:i/>
          <w:sz w:val="20"/>
          <w:szCs w:val="20"/>
        </w:rPr>
        <w:t>et al</w:t>
      </w:r>
      <w:r>
        <w:rPr>
          <w:rFonts w:ascii="Arial" w:hAnsi="Arial" w:cs="Arial"/>
          <w:sz w:val="20"/>
          <w:szCs w:val="20"/>
        </w:rPr>
        <w:t xml:space="preserve">. (2022), which reported a higher prevalence of gray hair among males compared to females. It disagrees with the studies of </w:t>
      </w:r>
      <w:proofErr w:type="spellStart"/>
      <w:r>
        <w:rPr>
          <w:rFonts w:ascii="Arial" w:hAnsi="Arial" w:cs="Arial"/>
          <w:sz w:val="20"/>
          <w:szCs w:val="20"/>
        </w:rPr>
        <w:t>Sonthalia</w:t>
      </w:r>
      <w:proofErr w:type="spellEnd"/>
      <w:r w:rsidR="0046224F">
        <w:rPr>
          <w:rFonts w:ascii="Arial" w:hAnsi="Arial" w:cs="Arial"/>
          <w:sz w:val="20"/>
          <w:szCs w:val="20"/>
        </w:rPr>
        <w:t xml:space="preserve"> </w:t>
      </w:r>
      <w:r w:rsidRPr="0046224F">
        <w:rPr>
          <w:rFonts w:ascii="Arial" w:hAnsi="Arial" w:cs="Arial"/>
          <w:i/>
          <w:sz w:val="20"/>
          <w:szCs w:val="20"/>
        </w:rPr>
        <w:t>et al.</w:t>
      </w:r>
      <w:r>
        <w:rPr>
          <w:rFonts w:ascii="Arial" w:hAnsi="Arial" w:cs="Arial"/>
          <w:sz w:val="20"/>
          <w:szCs w:val="20"/>
        </w:rPr>
        <w:t xml:space="preserve"> (.2017), which recorded equal gender distribution, and </w:t>
      </w:r>
      <w:proofErr w:type="spellStart"/>
      <w:r>
        <w:rPr>
          <w:rFonts w:ascii="Arial" w:hAnsi="Arial" w:cs="Arial"/>
          <w:sz w:val="20"/>
          <w:szCs w:val="20"/>
        </w:rPr>
        <w:t>Bhramaramba</w:t>
      </w:r>
      <w:proofErr w:type="spellEnd"/>
      <w:r>
        <w:rPr>
          <w:rFonts w:ascii="Arial" w:hAnsi="Arial" w:cs="Arial"/>
          <w:sz w:val="20"/>
          <w:szCs w:val="20"/>
        </w:rPr>
        <w:t xml:space="preserve"> </w:t>
      </w:r>
      <w:r w:rsidRPr="0046224F">
        <w:rPr>
          <w:rFonts w:ascii="Arial" w:hAnsi="Arial" w:cs="Arial"/>
          <w:i/>
          <w:sz w:val="20"/>
          <w:szCs w:val="20"/>
        </w:rPr>
        <w:t>et al</w:t>
      </w:r>
      <w:r>
        <w:rPr>
          <w:rFonts w:ascii="Arial" w:hAnsi="Arial" w:cs="Arial"/>
          <w:sz w:val="20"/>
          <w:szCs w:val="20"/>
        </w:rPr>
        <w:t>. (.2016), which reported more females with premature gray hair than males among their study participants.</w:t>
      </w:r>
    </w:p>
    <w:p w14:paraId="0D596B6A" w14:textId="77777777" w:rsidR="000E417F" w:rsidRDefault="000E417F" w:rsidP="000E417F">
      <w:pPr>
        <w:spacing w:after="0" w:line="480" w:lineRule="auto"/>
        <w:jc w:val="both"/>
        <w:rPr>
          <w:rFonts w:ascii="Arial" w:hAnsi="Arial" w:cs="Arial"/>
          <w:bCs/>
          <w:sz w:val="20"/>
          <w:szCs w:val="20"/>
        </w:rPr>
      </w:pPr>
    </w:p>
    <w:p w14:paraId="3A7A798E" w14:textId="77777777" w:rsidR="000E417F" w:rsidRDefault="000E417F" w:rsidP="000E417F">
      <w:pPr>
        <w:spacing w:after="0" w:line="480" w:lineRule="auto"/>
        <w:ind w:hanging="180"/>
        <w:jc w:val="both"/>
        <w:rPr>
          <w:rFonts w:ascii="Arial" w:hAnsi="Arial" w:cs="Arial"/>
          <w:sz w:val="20"/>
          <w:szCs w:val="20"/>
        </w:rPr>
      </w:pPr>
      <w:r>
        <w:rPr>
          <w:rFonts w:ascii="Arial" w:hAnsi="Arial" w:cs="Arial"/>
          <w:bCs/>
          <w:sz w:val="20"/>
          <w:szCs w:val="20"/>
        </w:rPr>
        <w:t xml:space="preserve">   Both children and adults can develop canities as the participants in this study ranged from 8 to 62 years with 19-29 years age range having the highest percentage and the 8-18 age range having the least. The subjects of 19-29 years age range were more because two groups (the Test and Negative Control groups) of this study were below the age of 30, and at that age range (19-29 years), the subjects do not require parental consent to participate. This study agrees with Anaba </w:t>
      </w:r>
      <w:r w:rsidRPr="0046224F">
        <w:rPr>
          <w:rFonts w:ascii="Arial" w:hAnsi="Arial" w:cs="Arial"/>
          <w:bCs/>
          <w:i/>
          <w:sz w:val="20"/>
          <w:szCs w:val="20"/>
        </w:rPr>
        <w:t>et al</w:t>
      </w:r>
      <w:r>
        <w:rPr>
          <w:rFonts w:ascii="Arial" w:hAnsi="Arial" w:cs="Arial"/>
          <w:bCs/>
          <w:sz w:val="20"/>
          <w:szCs w:val="20"/>
        </w:rPr>
        <w:t xml:space="preserve">. (2022) and Choi </w:t>
      </w:r>
      <w:r>
        <w:rPr>
          <w:rFonts w:ascii="Arial" w:hAnsi="Arial" w:cs="Arial"/>
          <w:bCs/>
          <w:i/>
          <w:sz w:val="20"/>
          <w:szCs w:val="20"/>
        </w:rPr>
        <w:t>et al</w:t>
      </w:r>
      <w:r>
        <w:rPr>
          <w:rFonts w:ascii="Arial" w:hAnsi="Arial" w:cs="Arial"/>
          <w:bCs/>
          <w:sz w:val="20"/>
          <w:szCs w:val="20"/>
        </w:rPr>
        <w:t>. (2016),</w:t>
      </w:r>
      <w:r>
        <w:rPr>
          <w:rFonts w:ascii="Arial" w:hAnsi="Arial" w:cs="Arial"/>
          <w:sz w:val="20"/>
          <w:szCs w:val="20"/>
        </w:rPr>
        <w:t xml:space="preserve"> who worked with different age grades.</w:t>
      </w:r>
    </w:p>
    <w:p w14:paraId="07961155" w14:textId="77777777" w:rsidR="000E417F" w:rsidRDefault="000E417F" w:rsidP="000E417F">
      <w:pPr>
        <w:spacing w:line="480" w:lineRule="auto"/>
        <w:jc w:val="both"/>
        <w:rPr>
          <w:rFonts w:ascii="Arial" w:hAnsi="Arial" w:cs="Arial"/>
          <w:bCs/>
          <w:sz w:val="20"/>
          <w:szCs w:val="20"/>
        </w:rPr>
      </w:pPr>
      <w:r>
        <w:rPr>
          <w:rFonts w:ascii="Arial" w:hAnsi="Arial" w:cs="Arial"/>
          <w:bCs/>
          <w:sz w:val="20"/>
          <w:szCs w:val="20"/>
        </w:rPr>
        <w:t xml:space="preserve">Among the Test and Positive Control groups with canities, the degree of canities was graded into three categories: mild, moderate, and severe based on the number of </w:t>
      </w:r>
      <w:proofErr w:type="gramStart"/>
      <w:r>
        <w:rPr>
          <w:rFonts w:ascii="Arial" w:hAnsi="Arial" w:cs="Arial"/>
          <w:bCs/>
          <w:sz w:val="20"/>
          <w:szCs w:val="20"/>
        </w:rPr>
        <w:t>gray</w:t>
      </w:r>
      <w:proofErr w:type="gramEnd"/>
      <w:r>
        <w:rPr>
          <w:rFonts w:ascii="Arial" w:hAnsi="Arial" w:cs="Arial"/>
          <w:bCs/>
          <w:sz w:val="20"/>
          <w:szCs w:val="20"/>
        </w:rPr>
        <w:t xml:space="preserve">. The mild degree of canities was the most prevalent among the test subjects in this study, while the positive and severe degrees were more prevalent. These findings could be age-related and the onset or duration of canities. This study was similar to that of </w:t>
      </w:r>
      <w:r>
        <w:rPr>
          <w:rFonts w:ascii="Arial" w:eastAsia="Times New Roman" w:hAnsi="Arial" w:cs="Arial"/>
          <w:sz w:val="20"/>
          <w:szCs w:val="20"/>
        </w:rPr>
        <w:t xml:space="preserve">Yadav </w:t>
      </w:r>
      <w:r>
        <w:rPr>
          <w:rFonts w:ascii="Arial" w:eastAsia="Times New Roman" w:hAnsi="Arial" w:cs="Arial"/>
          <w:i/>
          <w:sz w:val="20"/>
          <w:szCs w:val="20"/>
        </w:rPr>
        <w:t>et al</w:t>
      </w:r>
      <w:r>
        <w:rPr>
          <w:rFonts w:ascii="Arial" w:eastAsia="Times New Roman" w:hAnsi="Arial" w:cs="Arial"/>
          <w:sz w:val="20"/>
          <w:szCs w:val="20"/>
        </w:rPr>
        <w:t xml:space="preserve">. (2022) and that of </w:t>
      </w:r>
      <w:proofErr w:type="spellStart"/>
      <w:proofErr w:type="gramStart"/>
      <w:r>
        <w:rPr>
          <w:rFonts w:ascii="Arial" w:eastAsia="Times New Roman" w:hAnsi="Arial" w:cs="Arial"/>
          <w:sz w:val="20"/>
          <w:szCs w:val="20"/>
        </w:rPr>
        <w:t>Bhramaramba</w:t>
      </w:r>
      <w:proofErr w:type="spellEnd"/>
      <w:r w:rsidR="0046224F">
        <w:rPr>
          <w:rFonts w:ascii="Arial" w:eastAsia="Times New Roman" w:hAnsi="Arial" w:cs="Arial"/>
          <w:sz w:val="20"/>
          <w:szCs w:val="20"/>
        </w:rPr>
        <w:t xml:space="preserve">  </w:t>
      </w:r>
      <w:r>
        <w:rPr>
          <w:rFonts w:ascii="Arial" w:eastAsia="Times New Roman" w:hAnsi="Arial" w:cs="Arial"/>
          <w:i/>
          <w:sz w:val="20"/>
          <w:szCs w:val="20"/>
        </w:rPr>
        <w:t>et a</w:t>
      </w:r>
      <w:r>
        <w:rPr>
          <w:rFonts w:ascii="Arial" w:eastAsia="Times New Roman" w:hAnsi="Arial" w:cs="Arial"/>
          <w:sz w:val="20"/>
          <w:szCs w:val="20"/>
        </w:rPr>
        <w:t>l.</w:t>
      </w:r>
      <w:proofErr w:type="gramEnd"/>
      <w:r>
        <w:rPr>
          <w:rFonts w:ascii="Arial" w:eastAsia="Times New Roman" w:hAnsi="Arial" w:cs="Arial"/>
          <w:sz w:val="20"/>
          <w:szCs w:val="20"/>
        </w:rPr>
        <w:t xml:space="preserve"> (2016) which reported </w:t>
      </w:r>
      <w:r>
        <w:rPr>
          <w:rFonts w:ascii="Arial" w:hAnsi="Arial" w:cs="Arial"/>
          <w:bCs/>
          <w:sz w:val="20"/>
          <w:szCs w:val="20"/>
        </w:rPr>
        <w:t>mild canities as the most prevalent among the Test subjects.</w:t>
      </w:r>
    </w:p>
    <w:p w14:paraId="2323AE11" w14:textId="77777777" w:rsidR="000E417F" w:rsidRDefault="000E417F" w:rsidP="000E417F">
      <w:pPr>
        <w:spacing w:line="480" w:lineRule="auto"/>
        <w:ind w:left="90"/>
        <w:jc w:val="both"/>
        <w:rPr>
          <w:rFonts w:ascii="Arial" w:hAnsi="Arial" w:cs="Arial"/>
          <w:sz w:val="20"/>
          <w:szCs w:val="20"/>
        </w:rPr>
      </w:pPr>
      <w:r>
        <w:rPr>
          <w:rFonts w:ascii="Arial" w:hAnsi="Arial" w:cs="Arial"/>
          <w:sz w:val="20"/>
          <w:szCs w:val="20"/>
        </w:rPr>
        <w:t xml:space="preserve">There were statistically significant reduced and increased differences (p&lt;0.05) in the levels of red blood cell count (RBC) and reticulocyte count (RC) respectively in the Test group when compared </w:t>
      </w:r>
      <w:r>
        <w:rPr>
          <w:rFonts w:ascii="Arial" w:hAnsi="Arial" w:cs="Arial"/>
          <w:sz w:val="20"/>
          <w:szCs w:val="20"/>
        </w:rPr>
        <w:lastRenderedPageBreak/>
        <w:t xml:space="preserve">with the Control groups in this study. The statistically significant difference in RBC was observed between the Test and Positive Control groups, and those of RC were between the Test group and the Negative Control group, as well as between the Test group and the Positive Control group. However, there was no statistically significant difference between the Negative Control and Positive Control groups. </w:t>
      </w:r>
      <w:r>
        <w:rPr>
          <w:rFonts w:ascii="Arial" w:eastAsia="Times New Roman" w:hAnsi="Arial" w:cs="Arial"/>
          <w:sz w:val="20"/>
          <w:szCs w:val="20"/>
        </w:rPr>
        <w:t xml:space="preserve">The observed </w:t>
      </w:r>
      <w:r>
        <w:rPr>
          <w:rFonts w:ascii="Arial" w:hAnsi="Arial" w:cs="Arial"/>
          <w:sz w:val="20"/>
          <w:szCs w:val="20"/>
        </w:rPr>
        <w:t xml:space="preserve">statistically significant differences in the red blood cell count and reticulocyte count raise the suspicion that premature canities could be accompanied by some haemopoietic pathology resulting in red blood cell depletion and its compensatory reticulocytosis. To buttress more, the Post Hoc Tukey HSD test showed statistically insignificant differences between the Negative Control and Positive Control groups. This justifies the foregoing and underscores the underlying effect of low red cell count in premature canities among the study subjects. A low level of red blood cells can result in oxygen deprivation to the melanocytes, which could lead to the death of the melanocytes and eventually premature canities. </w:t>
      </w:r>
      <w:r>
        <w:rPr>
          <w:rFonts w:ascii="Arial" w:eastAsia="Times New Roman" w:hAnsi="Arial" w:cs="Arial"/>
          <w:sz w:val="20"/>
          <w:szCs w:val="20"/>
        </w:rPr>
        <w:t>Non-statistically significant differences were observed in HGB, HCT, MCV, MCH, MCHC, and RDW levels</w:t>
      </w:r>
      <w:r>
        <w:rPr>
          <w:rFonts w:ascii="Arial" w:hAnsi="Arial" w:cs="Arial"/>
          <w:sz w:val="20"/>
          <w:szCs w:val="20"/>
          <w:shd w:val="clear" w:color="auto" w:fill="FFFFFF"/>
        </w:rPr>
        <w:t xml:space="preserve">. </w:t>
      </w:r>
      <w:r>
        <w:rPr>
          <w:rFonts w:ascii="Arial" w:hAnsi="Arial" w:cs="Arial"/>
          <w:sz w:val="20"/>
          <w:szCs w:val="20"/>
        </w:rPr>
        <w:t xml:space="preserve"> The finding on haemoglobin concentration in this study was in line with that of </w:t>
      </w:r>
      <w:proofErr w:type="spellStart"/>
      <w:r>
        <w:rPr>
          <w:rFonts w:ascii="Arial" w:hAnsi="Arial" w:cs="Arial"/>
          <w:sz w:val="20"/>
          <w:szCs w:val="20"/>
        </w:rPr>
        <w:t>Sonthalia</w:t>
      </w:r>
      <w:proofErr w:type="spellEnd"/>
      <w:r w:rsidR="0046224F">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(2017) and that of Chakrabarty </w:t>
      </w:r>
      <w:r>
        <w:rPr>
          <w:rFonts w:ascii="Arial" w:hAnsi="Arial" w:cs="Arial"/>
          <w:i/>
          <w:sz w:val="20"/>
          <w:szCs w:val="20"/>
        </w:rPr>
        <w:t>et al</w:t>
      </w:r>
      <w:r>
        <w:rPr>
          <w:rFonts w:ascii="Arial" w:hAnsi="Arial" w:cs="Arial"/>
          <w:sz w:val="20"/>
          <w:szCs w:val="20"/>
        </w:rPr>
        <w:t xml:space="preserve">. (2016), as they also reported no statistically significant difference in HB levels between subjects with premature canities and non-premature canities subjects. This study was in contrast with the studies of Chandran </w:t>
      </w:r>
      <w:r>
        <w:rPr>
          <w:rFonts w:ascii="Arial" w:hAnsi="Arial" w:cs="Arial"/>
          <w:i/>
          <w:sz w:val="20"/>
          <w:szCs w:val="20"/>
        </w:rPr>
        <w:t>et al</w:t>
      </w:r>
      <w:r>
        <w:rPr>
          <w:rFonts w:ascii="Arial" w:hAnsi="Arial" w:cs="Arial"/>
          <w:sz w:val="20"/>
          <w:szCs w:val="20"/>
        </w:rPr>
        <w:t xml:space="preserve">. (2022) and that of </w:t>
      </w:r>
      <w:proofErr w:type="spellStart"/>
      <w:r>
        <w:rPr>
          <w:rFonts w:ascii="Arial" w:hAnsi="Arial" w:cs="Arial"/>
          <w:sz w:val="20"/>
          <w:szCs w:val="20"/>
        </w:rPr>
        <w:t>Bhramaramba</w:t>
      </w:r>
      <w:proofErr w:type="spellEnd"/>
      <w:r w:rsidR="0046224F">
        <w:rPr>
          <w:rFonts w:ascii="Arial" w:hAnsi="Arial" w:cs="Arial"/>
          <w:sz w:val="20"/>
          <w:szCs w:val="20"/>
        </w:rPr>
        <w:t xml:space="preserve"> </w:t>
      </w:r>
      <w:r>
        <w:rPr>
          <w:rFonts w:ascii="Arial" w:hAnsi="Arial" w:cs="Arial"/>
          <w:i/>
          <w:sz w:val="20"/>
          <w:szCs w:val="20"/>
        </w:rPr>
        <w:t>et al</w:t>
      </w:r>
      <w:r>
        <w:rPr>
          <w:rFonts w:ascii="Arial" w:hAnsi="Arial" w:cs="Arial"/>
          <w:sz w:val="20"/>
          <w:szCs w:val="20"/>
        </w:rPr>
        <w:t>. (2016) who reported statistically significant lower level of haemoglobin concentration in PHG subjects compared to non-PHG subjects.</w:t>
      </w:r>
    </w:p>
    <w:p w14:paraId="2AD980E4" w14:textId="77777777" w:rsidR="000E417F" w:rsidRDefault="000E417F" w:rsidP="000E417F">
      <w:pPr>
        <w:spacing w:line="480" w:lineRule="auto"/>
        <w:jc w:val="both"/>
        <w:rPr>
          <w:rFonts w:ascii="Arial" w:eastAsia="Times New Roman" w:hAnsi="Arial" w:cs="Arial"/>
          <w:sz w:val="20"/>
          <w:szCs w:val="20"/>
        </w:rPr>
      </w:pPr>
      <w:r>
        <w:rPr>
          <w:rFonts w:ascii="Arial" w:hAnsi="Arial" w:cs="Arial"/>
          <w:sz w:val="20"/>
          <w:szCs w:val="20"/>
        </w:rPr>
        <w:t>There were no statistically significant correlations between premature canities HCT, RBC, MCV, MCH, MCHC, and RDW, except for haemoglobin concentration (HGB) that had a statistically significant (</w:t>
      </w:r>
      <w:r>
        <w:rPr>
          <w:rFonts w:ascii="Arial" w:hAnsi="Arial" w:cs="Arial"/>
          <w:i/>
          <w:sz w:val="20"/>
          <w:szCs w:val="20"/>
        </w:rPr>
        <w:t>P</w:t>
      </w:r>
      <w:r>
        <w:rPr>
          <w:rFonts w:ascii="Arial" w:hAnsi="Arial" w:cs="Arial"/>
          <w:sz w:val="20"/>
          <w:szCs w:val="20"/>
        </w:rPr>
        <w:t>=0.04) correlation using Pearson correlation analysis. Degree of canities had statistically insignificant (</w:t>
      </w:r>
      <w:r>
        <w:rPr>
          <w:rFonts w:ascii="Arial" w:hAnsi="Arial" w:cs="Arial"/>
          <w:i/>
          <w:sz w:val="20"/>
          <w:szCs w:val="20"/>
        </w:rPr>
        <w:t>P</w:t>
      </w:r>
      <w:r>
        <w:rPr>
          <w:rFonts w:ascii="Arial" w:hAnsi="Arial" w:cs="Arial"/>
          <w:sz w:val="20"/>
          <w:szCs w:val="20"/>
        </w:rPr>
        <w:t xml:space="preserve">&gt;0.05) correlations with all red cell metrics among the Test group of the study participants. </w:t>
      </w:r>
      <w:r>
        <w:rPr>
          <w:rFonts w:ascii="Arial" w:eastAsia="Times New Roman" w:hAnsi="Arial" w:cs="Arial"/>
          <w:sz w:val="20"/>
          <w:szCs w:val="20"/>
        </w:rPr>
        <w:t xml:space="preserve">Finally, the ordinal regression analysis of the effect of </w:t>
      </w:r>
      <w:r>
        <w:rPr>
          <w:rFonts w:ascii="Arial" w:hAnsi="Arial" w:cs="Arial"/>
          <w:sz w:val="20"/>
          <w:szCs w:val="20"/>
        </w:rPr>
        <w:t>haemoglobin concentration (HGB), haematocrit (HCT), red cell count (RBC), mean cell volume (MCV), mean cell haemoglobin (MCH), mean cell haemoglobin concentration (MCHC), red cell distribution width (RDW) and reticulocyte count (RC</w:t>
      </w:r>
      <w:proofErr w:type="gramStart"/>
      <w:r>
        <w:rPr>
          <w:rFonts w:ascii="Arial" w:hAnsi="Arial" w:cs="Arial"/>
          <w:sz w:val="20"/>
          <w:szCs w:val="20"/>
        </w:rPr>
        <w:t>))The</w:t>
      </w:r>
      <w:proofErr w:type="gramEnd"/>
      <w:r>
        <w:rPr>
          <w:rFonts w:ascii="Arial" w:hAnsi="Arial" w:cs="Arial"/>
          <w:sz w:val="20"/>
          <w:szCs w:val="20"/>
        </w:rPr>
        <w:t xml:space="preserve"> degree of canities among the test group (individual with premature canities) of the study participants also</w:t>
      </w:r>
      <w:r>
        <w:rPr>
          <w:rFonts w:ascii="Arial" w:eastAsia="Times New Roman" w:hAnsi="Arial" w:cs="Arial"/>
          <w:sz w:val="20"/>
          <w:szCs w:val="20"/>
        </w:rPr>
        <w:t xml:space="preserve"> showed no statistically significant associations.</w:t>
      </w:r>
    </w:p>
    <w:p w14:paraId="753285F0" w14:textId="77777777" w:rsidR="0046224F" w:rsidRDefault="0046224F" w:rsidP="000E417F">
      <w:pPr>
        <w:spacing w:line="480" w:lineRule="auto"/>
        <w:jc w:val="both"/>
        <w:rPr>
          <w:rFonts w:ascii="Arial" w:hAnsi="Arial" w:cs="Arial"/>
          <w:b/>
          <w:sz w:val="20"/>
          <w:szCs w:val="20"/>
        </w:rPr>
      </w:pPr>
    </w:p>
    <w:p w14:paraId="2E494399" w14:textId="77777777" w:rsidR="000E417F" w:rsidRDefault="000E417F" w:rsidP="000E417F">
      <w:pPr>
        <w:spacing w:line="480" w:lineRule="auto"/>
        <w:jc w:val="both"/>
        <w:rPr>
          <w:rFonts w:ascii="Arial" w:hAnsi="Arial" w:cs="Arial"/>
          <w:b/>
          <w:sz w:val="20"/>
          <w:szCs w:val="20"/>
        </w:rPr>
      </w:pPr>
      <w:r>
        <w:rPr>
          <w:rFonts w:ascii="Arial" w:hAnsi="Arial" w:cs="Arial"/>
          <w:b/>
          <w:sz w:val="20"/>
          <w:szCs w:val="20"/>
        </w:rPr>
        <w:lastRenderedPageBreak/>
        <w:t>3.3 Conclusion</w:t>
      </w:r>
    </w:p>
    <w:p w14:paraId="4BB2FE5A" w14:textId="77777777" w:rsidR="000E417F" w:rsidRDefault="000E417F" w:rsidP="000E417F">
      <w:pPr>
        <w:spacing w:before="100" w:beforeAutospacing="1" w:after="100" w:afterAutospacing="1" w:line="480" w:lineRule="auto"/>
        <w:jc w:val="both"/>
        <w:rPr>
          <w:rFonts w:ascii="Arial" w:hAnsi="Arial" w:cs="Arial"/>
          <w:bCs/>
          <w:sz w:val="20"/>
          <w:szCs w:val="20"/>
        </w:rPr>
      </w:pPr>
      <w:r>
        <w:rPr>
          <w:rFonts w:ascii="Arial" w:hAnsi="Arial" w:cs="Arial"/>
          <w:bCs/>
          <w:sz w:val="20"/>
          <w:szCs w:val="20"/>
        </w:rPr>
        <w:t>This study recorded statisti</w:t>
      </w:r>
      <w:r w:rsidR="0046224F">
        <w:rPr>
          <w:rFonts w:ascii="Arial" w:hAnsi="Arial" w:cs="Arial"/>
          <w:bCs/>
          <w:sz w:val="20"/>
          <w:szCs w:val="20"/>
        </w:rPr>
        <w:t>cally significant reduced level</w:t>
      </w:r>
      <w:r>
        <w:rPr>
          <w:rFonts w:ascii="Arial" w:hAnsi="Arial" w:cs="Arial"/>
          <w:bCs/>
          <w:sz w:val="20"/>
          <w:szCs w:val="20"/>
        </w:rPr>
        <w:t xml:space="preserve"> of red blood cell count (RBC) and statistica</w:t>
      </w:r>
      <w:r w:rsidR="0046224F">
        <w:rPr>
          <w:rFonts w:ascii="Arial" w:hAnsi="Arial" w:cs="Arial"/>
          <w:bCs/>
          <w:sz w:val="20"/>
          <w:szCs w:val="20"/>
        </w:rPr>
        <w:t>lly significant increased level</w:t>
      </w:r>
      <w:r>
        <w:rPr>
          <w:rFonts w:ascii="Arial" w:hAnsi="Arial" w:cs="Arial"/>
          <w:bCs/>
          <w:sz w:val="20"/>
          <w:szCs w:val="20"/>
        </w:rPr>
        <w:t xml:space="preserve"> of reticulocyte count among the subjects with premature canities compared to the other groups. Though there were individual group differences for other parameters, they were not statistically significant. Different degrees of correlations were observed; premature canities had statistically significant positive correlations with haemoglobin concentration. Ordinal regression analysis revealed no </w:t>
      </w:r>
      <w:r>
        <w:rPr>
          <w:rFonts w:ascii="Arial" w:hAnsi="Arial" w:cs="Arial"/>
          <w:sz w:val="20"/>
          <w:szCs w:val="20"/>
        </w:rPr>
        <w:t xml:space="preserve">statistically </w:t>
      </w:r>
      <w:r>
        <w:rPr>
          <w:rFonts w:ascii="Arial" w:eastAsia="Times New Roman" w:hAnsi="Arial" w:cs="Arial"/>
          <w:sz w:val="20"/>
          <w:szCs w:val="20"/>
        </w:rPr>
        <w:t xml:space="preserve">significant associations between the red blood cell metrics and the degree of canities. </w:t>
      </w:r>
      <w:r>
        <w:rPr>
          <w:rFonts w:ascii="Arial" w:hAnsi="Arial" w:cs="Arial"/>
          <w:bCs/>
          <w:sz w:val="20"/>
          <w:szCs w:val="20"/>
        </w:rPr>
        <w:t xml:space="preserve">Therefore, the premature canities may be pointing more to the study participants' low levels of red blood cells. </w:t>
      </w:r>
    </w:p>
    <w:p w14:paraId="5FDF1CED" w14:textId="77777777" w:rsidR="000E417F" w:rsidRDefault="000E417F" w:rsidP="000E417F">
      <w:pPr>
        <w:spacing w:before="100" w:beforeAutospacing="1" w:after="100" w:afterAutospacing="1" w:line="480" w:lineRule="auto"/>
        <w:jc w:val="both"/>
        <w:rPr>
          <w:rFonts w:ascii="Arial" w:hAnsi="Arial" w:cs="Arial"/>
          <w:b/>
          <w:bCs/>
        </w:rPr>
      </w:pPr>
      <w:bookmarkStart w:id="0" w:name="_GoBack"/>
      <w:bookmarkEnd w:id="0"/>
      <w:r>
        <w:rPr>
          <w:rFonts w:ascii="Arial" w:hAnsi="Arial" w:cs="Arial"/>
          <w:b/>
          <w:bCs/>
        </w:rPr>
        <w:t>COMPETING INTEREST</w:t>
      </w:r>
    </w:p>
    <w:p w14:paraId="0D6586F1" w14:textId="77777777" w:rsidR="000E417F" w:rsidRDefault="000E417F" w:rsidP="000E417F">
      <w:pPr>
        <w:spacing w:before="100" w:beforeAutospacing="1" w:after="100" w:afterAutospacing="1" w:line="480" w:lineRule="auto"/>
        <w:jc w:val="both"/>
        <w:rPr>
          <w:rFonts w:ascii="Arial" w:hAnsi="Arial" w:cs="Arial"/>
          <w:sz w:val="20"/>
          <w:szCs w:val="20"/>
        </w:rPr>
      </w:pPr>
      <w:r>
        <w:rPr>
          <w:rFonts w:ascii="Arial" w:hAnsi="Arial" w:cs="Arial"/>
          <w:bCs/>
          <w:sz w:val="20"/>
          <w:szCs w:val="20"/>
        </w:rPr>
        <w:t>There is no conflicting interest</w:t>
      </w:r>
    </w:p>
    <w:p w14:paraId="0AF69309" w14:textId="77777777" w:rsidR="000E417F" w:rsidRDefault="000E417F" w:rsidP="000E417F">
      <w:pPr>
        <w:spacing w:line="480" w:lineRule="auto"/>
        <w:jc w:val="both"/>
        <w:rPr>
          <w:rFonts w:ascii="Arial" w:hAnsi="Arial" w:cs="Arial"/>
          <w:b/>
          <w:sz w:val="20"/>
          <w:szCs w:val="20"/>
        </w:rPr>
      </w:pPr>
      <w:r>
        <w:rPr>
          <w:rFonts w:ascii="Arial" w:hAnsi="Arial" w:cs="Arial"/>
          <w:b/>
          <w:sz w:val="20"/>
          <w:szCs w:val="20"/>
        </w:rPr>
        <w:t>REFERENCES</w:t>
      </w:r>
    </w:p>
    <w:p w14:paraId="30737EB0" w14:textId="77777777" w:rsidR="000E417F" w:rsidRDefault="000E417F" w:rsidP="000E417F">
      <w:pPr>
        <w:pStyle w:val="ListParagraph"/>
        <w:spacing w:line="240" w:lineRule="auto"/>
        <w:jc w:val="both"/>
        <w:rPr>
          <w:rFonts w:ascii="Arial" w:hAnsi="Arial" w:cs="Arial"/>
          <w:sz w:val="20"/>
          <w:szCs w:val="20"/>
        </w:rPr>
      </w:pPr>
    </w:p>
    <w:p w14:paraId="59CFE52D" w14:textId="77777777" w:rsidR="000E417F" w:rsidRPr="006C7A4C" w:rsidRDefault="000E417F" w:rsidP="006C7A4C">
      <w:pPr>
        <w:spacing w:after="0" w:line="240" w:lineRule="auto"/>
        <w:jc w:val="both"/>
        <w:rPr>
          <w:rStyle w:val="HTMLCite"/>
          <w:rFonts w:ascii="Arial" w:hAnsi="Arial" w:cs="Arial"/>
          <w:i w:val="0"/>
          <w:sz w:val="20"/>
          <w:szCs w:val="20"/>
        </w:rPr>
      </w:pPr>
      <w:r w:rsidRPr="006C7A4C">
        <w:rPr>
          <w:rStyle w:val="HTMLCite"/>
          <w:rFonts w:ascii="Arial" w:hAnsi="Arial" w:cs="Arial"/>
          <w:i w:val="0"/>
          <w:sz w:val="20"/>
          <w:szCs w:val="20"/>
        </w:rPr>
        <w:t>Abdel, A. E.</w:t>
      </w:r>
      <w:r w:rsidR="006C7A4C" w:rsidRPr="006C7A4C">
        <w:rPr>
          <w:rStyle w:val="HTMLCite"/>
          <w:rFonts w:ascii="Arial" w:hAnsi="Arial" w:cs="Arial"/>
          <w:i w:val="0"/>
          <w:sz w:val="20"/>
          <w:szCs w:val="20"/>
        </w:rPr>
        <w:t>,</w:t>
      </w:r>
      <w:r w:rsidRPr="006C7A4C">
        <w:rPr>
          <w:rStyle w:val="HTMLCite"/>
          <w:rFonts w:ascii="Arial" w:hAnsi="Arial" w:cs="Arial"/>
          <w:i w:val="0"/>
          <w:sz w:val="20"/>
          <w:szCs w:val="20"/>
        </w:rPr>
        <w:t xml:space="preserve"> &amp; Hossam, I. K. (2018</w:t>
      </w:r>
      <w:proofErr w:type="gramStart"/>
      <w:r w:rsidRPr="006C7A4C">
        <w:rPr>
          <w:rStyle w:val="HTMLCite"/>
          <w:rFonts w:ascii="Arial" w:hAnsi="Arial" w:cs="Arial"/>
          <w:i w:val="0"/>
          <w:sz w:val="20"/>
          <w:szCs w:val="20"/>
        </w:rPr>
        <w:t>).The</w:t>
      </w:r>
      <w:proofErr w:type="gramEnd"/>
      <w:r w:rsidRPr="006C7A4C">
        <w:rPr>
          <w:rStyle w:val="HTMLCite"/>
          <w:rFonts w:ascii="Arial" w:hAnsi="Arial" w:cs="Arial"/>
          <w:i w:val="0"/>
          <w:sz w:val="20"/>
          <w:szCs w:val="20"/>
        </w:rPr>
        <w:t xml:space="preserve"> degree of hair graying as an independent risk marker for coronary artery disease, a coronary angiography study. </w:t>
      </w:r>
      <w:r w:rsidRPr="006C7A4C">
        <w:rPr>
          <w:rStyle w:val="HTMLCite"/>
          <w:rFonts w:ascii="Arial" w:hAnsi="Arial" w:cs="Arial"/>
          <w:sz w:val="20"/>
          <w:szCs w:val="20"/>
        </w:rPr>
        <w:t>The Egyptian Heart Journal</w:t>
      </w:r>
      <w:r w:rsidRPr="006C7A4C">
        <w:rPr>
          <w:rStyle w:val="HTMLCite"/>
          <w:rFonts w:ascii="Arial" w:hAnsi="Arial" w:cs="Arial"/>
          <w:i w:val="0"/>
          <w:sz w:val="20"/>
          <w:szCs w:val="20"/>
        </w:rPr>
        <w:t>, 70(1), 15-19</w:t>
      </w:r>
      <w:r w:rsidR="006C7A4C" w:rsidRPr="006C7A4C">
        <w:rPr>
          <w:rStyle w:val="HTMLCite"/>
          <w:rFonts w:ascii="Arial" w:hAnsi="Arial" w:cs="Arial"/>
          <w:i w:val="0"/>
          <w:sz w:val="20"/>
          <w:szCs w:val="20"/>
        </w:rPr>
        <w:t>.</w:t>
      </w:r>
    </w:p>
    <w:p w14:paraId="1797D4E1" w14:textId="77777777" w:rsidR="000E417F" w:rsidRDefault="000E417F" w:rsidP="000E417F">
      <w:pPr>
        <w:pStyle w:val="ListParagraph"/>
        <w:spacing w:after="0" w:line="240" w:lineRule="auto"/>
        <w:jc w:val="both"/>
        <w:rPr>
          <w:rStyle w:val="HTMLCite"/>
          <w:rFonts w:ascii="Arial" w:eastAsia="Times New Roman" w:hAnsi="Arial" w:cs="Arial"/>
          <w:i w:val="0"/>
          <w:iCs w:val="0"/>
          <w:sz w:val="20"/>
          <w:szCs w:val="20"/>
          <w:lang w:eastAsia="en-GB"/>
        </w:rPr>
      </w:pPr>
      <w:r>
        <w:rPr>
          <w:rStyle w:val="HTMLCite"/>
          <w:rFonts w:ascii="Arial" w:hAnsi="Arial" w:cs="Arial"/>
          <w:sz w:val="20"/>
          <w:szCs w:val="20"/>
        </w:rPr>
        <w:t>.</w:t>
      </w:r>
    </w:p>
    <w:p w14:paraId="36CE73EF" w14:textId="77777777" w:rsidR="000E417F" w:rsidRPr="006C7A4C" w:rsidRDefault="000E417F" w:rsidP="006C7A4C">
      <w:pPr>
        <w:spacing w:after="0" w:line="240" w:lineRule="auto"/>
        <w:jc w:val="both"/>
        <w:rPr>
          <w:rFonts w:ascii="Arial" w:eastAsia="Arial" w:hAnsi="Arial" w:cs="Arial"/>
          <w:sz w:val="20"/>
          <w:szCs w:val="20"/>
        </w:rPr>
      </w:pPr>
      <w:r w:rsidRPr="006C7A4C">
        <w:rPr>
          <w:rFonts w:ascii="Arial" w:eastAsia="Arial" w:hAnsi="Arial" w:cs="Arial"/>
          <w:sz w:val="20"/>
          <w:szCs w:val="20"/>
        </w:rPr>
        <w:t>Aktaş, B.</w:t>
      </w:r>
      <w:r w:rsidR="006C7A4C" w:rsidRPr="006C7A4C">
        <w:rPr>
          <w:rFonts w:ascii="Arial" w:eastAsia="Arial" w:hAnsi="Arial" w:cs="Arial"/>
          <w:sz w:val="20"/>
          <w:szCs w:val="20"/>
        </w:rPr>
        <w:t>,</w:t>
      </w:r>
      <w:r w:rsidRPr="006C7A4C">
        <w:rPr>
          <w:rFonts w:ascii="Arial" w:eastAsia="Arial" w:hAnsi="Arial" w:cs="Arial"/>
          <w:sz w:val="20"/>
          <w:szCs w:val="20"/>
        </w:rPr>
        <w:t xml:space="preserve"> &amp; Erbas, O. (2021). Interferon regulatory factors 4 (IRF4) gene and hair graying. </w:t>
      </w:r>
      <w:r w:rsidRPr="006C7A4C">
        <w:rPr>
          <w:rFonts w:ascii="Arial" w:eastAsia="Arial" w:hAnsi="Arial" w:cs="Arial"/>
          <w:i/>
          <w:sz w:val="20"/>
          <w:szCs w:val="20"/>
        </w:rPr>
        <w:t>Journal of Hair Research</w:t>
      </w:r>
      <w:r w:rsidRPr="006C7A4C">
        <w:rPr>
          <w:rFonts w:ascii="Arial" w:eastAsia="Arial" w:hAnsi="Arial" w:cs="Arial"/>
          <w:sz w:val="20"/>
          <w:szCs w:val="20"/>
        </w:rPr>
        <w:t>, 2, 158-162.</w:t>
      </w:r>
    </w:p>
    <w:p w14:paraId="29427A82" w14:textId="77777777" w:rsidR="000E417F" w:rsidRDefault="000E417F" w:rsidP="000E417F">
      <w:pPr>
        <w:pStyle w:val="ListParagraph"/>
        <w:spacing w:after="0" w:line="240" w:lineRule="auto"/>
        <w:jc w:val="both"/>
        <w:rPr>
          <w:rFonts w:ascii="Arial" w:eastAsia="Arial" w:hAnsi="Arial" w:cs="Arial"/>
          <w:sz w:val="20"/>
          <w:szCs w:val="20"/>
        </w:rPr>
      </w:pPr>
    </w:p>
    <w:p w14:paraId="7662892B" w14:textId="77777777" w:rsidR="000E417F" w:rsidRPr="006C7A4C" w:rsidRDefault="000E417F" w:rsidP="006C7A4C">
      <w:pPr>
        <w:spacing w:after="0" w:line="240" w:lineRule="auto"/>
        <w:jc w:val="both"/>
        <w:rPr>
          <w:rFonts w:ascii="Arial" w:eastAsia="Arial" w:hAnsi="Arial" w:cs="Arial"/>
          <w:sz w:val="20"/>
          <w:szCs w:val="20"/>
        </w:rPr>
      </w:pPr>
      <w:r w:rsidRPr="006C7A4C">
        <w:rPr>
          <w:rFonts w:ascii="Arial" w:eastAsia="Arial" w:hAnsi="Arial" w:cs="Arial"/>
          <w:sz w:val="20"/>
          <w:szCs w:val="20"/>
        </w:rPr>
        <w:t xml:space="preserve">Anaba, E., </w:t>
      </w:r>
      <w:proofErr w:type="spellStart"/>
      <w:r w:rsidRPr="006C7A4C">
        <w:rPr>
          <w:rFonts w:ascii="Arial" w:eastAsia="Arial" w:hAnsi="Arial" w:cs="Arial"/>
          <w:sz w:val="20"/>
          <w:szCs w:val="20"/>
        </w:rPr>
        <w:t>Ayanlowo</w:t>
      </w:r>
      <w:proofErr w:type="spellEnd"/>
      <w:r w:rsidRPr="006C7A4C">
        <w:rPr>
          <w:rFonts w:ascii="Arial" w:eastAsia="Arial" w:hAnsi="Arial" w:cs="Arial"/>
          <w:sz w:val="20"/>
          <w:szCs w:val="20"/>
        </w:rPr>
        <w:t>, O., Cole-</w:t>
      </w:r>
      <w:proofErr w:type="spellStart"/>
      <w:r w:rsidRPr="006C7A4C">
        <w:rPr>
          <w:rFonts w:ascii="Arial" w:eastAsia="Arial" w:hAnsi="Arial" w:cs="Arial"/>
          <w:sz w:val="20"/>
          <w:szCs w:val="20"/>
        </w:rPr>
        <w:t>Adeife</w:t>
      </w:r>
      <w:proofErr w:type="spellEnd"/>
      <w:r w:rsidRPr="006C7A4C">
        <w:rPr>
          <w:rFonts w:ascii="Arial" w:eastAsia="Arial" w:hAnsi="Arial" w:cs="Arial"/>
          <w:sz w:val="20"/>
          <w:szCs w:val="20"/>
        </w:rPr>
        <w:t xml:space="preserve">, O., </w:t>
      </w:r>
      <w:proofErr w:type="spellStart"/>
      <w:r w:rsidRPr="006C7A4C">
        <w:rPr>
          <w:rFonts w:ascii="Arial" w:eastAsia="Arial" w:hAnsi="Arial" w:cs="Arial"/>
          <w:sz w:val="20"/>
          <w:szCs w:val="20"/>
        </w:rPr>
        <w:t>Otrofanowei</w:t>
      </w:r>
      <w:proofErr w:type="spellEnd"/>
      <w:r w:rsidRPr="006C7A4C">
        <w:rPr>
          <w:rFonts w:ascii="Arial" w:eastAsia="Arial" w:hAnsi="Arial" w:cs="Arial"/>
          <w:sz w:val="20"/>
          <w:szCs w:val="20"/>
        </w:rPr>
        <w:t xml:space="preserve">, E., </w:t>
      </w:r>
      <w:proofErr w:type="spellStart"/>
      <w:r w:rsidRPr="006C7A4C">
        <w:rPr>
          <w:rFonts w:ascii="Arial" w:eastAsia="Arial" w:hAnsi="Arial" w:cs="Arial"/>
          <w:sz w:val="20"/>
          <w:szCs w:val="20"/>
        </w:rPr>
        <w:t>Akinkugbe</w:t>
      </w:r>
      <w:proofErr w:type="spellEnd"/>
      <w:r w:rsidRPr="006C7A4C">
        <w:rPr>
          <w:rFonts w:ascii="Arial" w:eastAsia="Arial" w:hAnsi="Arial" w:cs="Arial"/>
          <w:sz w:val="20"/>
          <w:szCs w:val="20"/>
        </w:rPr>
        <w:t xml:space="preserve">, A., </w:t>
      </w:r>
      <w:proofErr w:type="spellStart"/>
      <w:r w:rsidRPr="006C7A4C">
        <w:rPr>
          <w:rFonts w:ascii="Arial" w:eastAsia="Arial" w:hAnsi="Arial" w:cs="Arial"/>
          <w:sz w:val="20"/>
          <w:szCs w:val="20"/>
        </w:rPr>
        <w:t>Oaku</w:t>
      </w:r>
      <w:proofErr w:type="spellEnd"/>
      <w:r w:rsidRPr="006C7A4C">
        <w:rPr>
          <w:rFonts w:ascii="Arial" w:eastAsia="Arial" w:hAnsi="Arial" w:cs="Arial"/>
          <w:sz w:val="20"/>
          <w:szCs w:val="20"/>
        </w:rPr>
        <w:t>, R., &amp;</w:t>
      </w:r>
      <w:r w:rsidR="0046224F" w:rsidRPr="006C7A4C">
        <w:rPr>
          <w:rFonts w:ascii="Arial" w:eastAsia="Arial" w:hAnsi="Arial" w:cs="Arial"/>
          <w:sz w:val="20"/>
          <w:szCs w:val="20"/>
        </w:rPr>
        <w:t xml:space="preserve"> </w:t>
      </w:r>
      <w:proofErr w:type="spellStart"/>
      <w:r w:rsidRPr="006C7A4C">
        <w:rPr>
          <w:rFonts w:ascii="Arial" w:eastAsia="Arial" w:hAnsi="Arial" w:cs="Arial"/>
          <w:sz w:val="20"/>
          <w:szCs w:val="20"/>
        </w:rPr>
        <w:t>Akwara</w:t>
      </w:r>
      <w:proofErr w:type="spellEnd"/>
      <w:r w:rsidRPr="006C7A4C">
        <w:rPr>
          <w:rFonts w:ascii="Arial" w:eastAsia="Arial" w:hAnsi="Arial" w:cs="Arial"/>
          <w:sz w:val="20"/>
          <w:szCs w:val="20"/>
        </w:rPr>
        <w:t xml:space="preserve">, I. (2022). Clinical, epidemiological characteristics and associated factors of hair graying in Lagos, Nigeria. </w:t>
      </w:r>
      <w:r w:rsidRPr="006C7A4C">
        <w:rPr>
          <w:rFonts w:ascii="Arial" w:eastAsia="Arial" w:hAnsi="Arial" w:cs="Arial"/>
          <w:i/>
          <w:sz w:val="20"/>
          <w:szCs w:val="20"/>
        </w:rPr>
        <w:t xml:space="preserve">Ghana Medical Journal, </w:t>
      </w:r>
      <w:r w:rsidRPr="006C7A4C">
        <w:rPr>
          <w:rFonts w:ascii="Arial" w:eastAsia="Arial" w:hAnsi="Arial" w:cs="Arial"/>
          <w:sz w:val="20"/>
          <w:szCs w:val="20"/>
        </w:rPr>
        <w:t>56, 1-4.</w:t>
      </w:r>
    </w:p>
    <w:p w14:paraId="3D351C73" w14:textId="77777777" w:rsidR="006C7A4C" w:rsidRDefault="006C7A4C" w:rsidP="000E417F">
      <w:pPr>
        <w:pStyle w:val="ListParagraph"/>
        <w:spacing w:after="0" w:line="240" w:lineRule="auto"/>
        <w:jc w:val="both"/>
        <w:rPr>
          <w:rFonts w:ascii="Arial" w:eastAsia="Arial" w:hAnsi="Arial" w:cs="Arial"/>
          <w:sz w:val="20"/>
          <w:szCs w:val="20"/>
        </w:rPr>
      </w:pPr>
    </w:p>
    <w:p w14:paraId="39913BEC"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lang w:val="zh-CN"/>
        </w:rPr>
        <w:t xml:space="preserve">Bhramaramba, T. S., Sathyanarayana, B. D., Swaroop, M. R., Devaraj, Y., Raghavendra, J. C., &amp; Dukkipati, M. (2016). </w:t>
      </w:r>
      <w:r w:rsidRPr="00490E04">
        <w:rPr>
          <w:rFonts w:ascii="Arial" w:hAnsi="Arial" w:cs="Arial"/>
          <w:sz w:val="20"/>
          <w:szCs w:val="20"/>
          <w:shd w:val="clear" w:color="auto" w:fill="FFFFFF"/>
        </w:rPr>
        <w:t>A clinic-epidemiological study of premature canities of degree college students in the rural area. </w:t>
      </w:r>
      <w:r w:rsidRPr="00490E04">
        <w:rPr>
          <w:rStyle w:val="Emphasis"/>
          <w:rFonts w:ascii="Arial" w:hAnsi="Arial" w:cs="Arial"/>
          <w:bCs/>
          <w:sz w:val="20"/>
          <w:szCs w:val="20"/>
          <w:shd w:val="clear" w:color="auto" w:fill="FFFFFF"/>
        </w:rPr>
        <w:t>International Journal</w:t>
      </w:r>
      <w:r w:rsidRPr="00490E04">
        <w:rPr>
          <w:rFonts w:ascii="Arial" w:hAnsi="Arial" w:cs="Arial"/>
          <w:sz w:val="20"/>
          <w:szCs w:val="20"/>
          <w:shd w:val="clear" w:color="auto" w:fill="FFFFFF"/>
        </w:rPr>
        <w:t> </w:t>
      </w:r>
      <w:r w:rsidRPr="00490E04">
        <w:rPr>
          <w:rFonts w:ascii="Arial" w:hAnsi="Arial" w:cs="Arial"/>
          <w:i/>
          <w:sz w:val="20"/>
          <w:szCs w:val="20"/>
          <w:shd w:val="clear" w:color="auto" w:fill="FFFFFF"/>
        </w:rPr>
        <w:t>of Advances in </w:t>
      </w:r>
      <w:r w:rsidRPr="00490E04">
        <w:rPr>
          <w:rStyle w:val="Emphasis"/>
          <w:rFonts w:ascii="Arial" w:hAnsi="Arial" w:cs="Arial"/>
          <w:bCs/>
          <w:sz w:val="20"/>
          <w:szCs w:val="20"/>
          <w:shd w:val="clear" w:color="auto" w:fill="FFFFFF"/>
        </w:rPr>
        <w:t>Case Reports,</w:t>
      </w:r>
      <w:r w:rsidRPr="00490E04">
        <w:rPr>
          <w:rFonts w:ascii="Arial" w:hAnsi="Arial" w:cs="Arial"/>
          <w:i/>
          <w:iCs/>
          <w:sz w:val="20"/>
          <w:szCs w:val="20"/>
          <w:shd w:val="clear" w:color="auto" w:fill="FFFFFF"/>
        </w:rPr>
        <w:t> </w:t>
      </w:r>
      <w:r w:rsidRPr="00490E04">
        <w:rPr>
          <w:rFonts w:ascii="Arial" w:hAnsi="Arial" w:cs="Arial"/>
          <w:iCs/>
          <w:sz w:val="20"/>
          <w:szCs w:val="20"/>
          <w:shd w:val="clear" w:color="auto" w:fill="FFFFFF"/>
        </w:rPr>
        <w:t>3</w:t>
      </w:r>
      <w:r w:rsidRPr="00490E04">
        <w:rPr>
          <w:rFonts w:ascii="Arial" w:hAnsi="Arial" w:cs="Arial"/>
          <w:sz w:val="20"/>
          <w:szCs w:val="20"/>
          <w:shd w:val="clear" w:color="auto" w:fill="FFFFFF"/>
        </w:rPr>
        <w:t>(14), 489-493.</w:t>
      </w:r>
    </w:p>
    <w:p w14:paraId="13B4A5E7" w14:textId="77777777" w:rsidR="000E417F" w:rsidRDefault="000E417F" w:rsidP="000E417F">
      <w:pPr>
        <w:pStyle w:val="ListParagraph"/>
        <w:spacing w:after="0" w:line="240" w:lineRule="auto"/>
        <w:jc w:val="both"/>
        <w:rPr>
          <w:rFonts w:ascii="Arial" w:hAnsi="Arial" w:cs="Arial"/>
          <w:sz w:val="20"/>
          <w:szCs w:val="20"/>
          <w:shd w:val="clear" w:color="auto" w:fill="FFFFFF"/>
        </w:rPr>
      </w:pPr>
    </w:p>
    <w:p w14:paraId="144D483E"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Chakrabarty, S., Krishnappa, P. G., Gowda, D. G., &amp; Hiremath, J. (2016). Factors associated with premature hair graying in a young Indian population. </w:t>
      </w:r>
      <w:r w:rsidRPr="00490E04">
        <w:rPr>
          <w:rFonts w:ascii="Arial" w:hAnsi="Arial" w:cs="Arial"/>
          <w:i/>
          <w:iCs/>
          <w:sz w:val="20"/>
          <w:szCs w:val="20"/>
          <w:shd w:val="clear" w:color="auto" w:fill="FFFFFF"/>
        </w:rPr>
        <w:t>International Journal of Trichology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8</w:t>
      </w:r>
      <w:r w:rsidRPr="00490E04">
        <w:rPr>
          <w:rFonts w:ascii="Arial" w:hAnsi="Arial" w:cs="Arial"/>
          <w:sz w:val="20"/>
          <w:szCs w:val="20"/>
          <w:shd w:val="clear" w:color="auto" w:fill="FFFFFF"/>
        </w:rPr>
        <w:t xml:space="preserve">(1), 11-14. </w:t>
      </w:r>
    </w:p>
    <w:p w14:paraId="73D92446" w14:textId="77777777" w:rsidR="000E417F" w:rsidRDefault="000E417F" w:rsidP="000E417F">
      <w:pPr>
        <w:pStyle w:val="ListParagraph"/>
        <w:spacing w:after="0" w:line="240" w:lineRule="auto"/>
        <w:jc w:val="both"/>
        <w:rPr>
          <w:rFonts w:ascii="Arial" w:hAnsi="Arial" w:cs="Arial"/>
          <w:sz w:val="20"/>
          <w:szCs w:val="20"/>
          <w:shd w:val="clear" w:color="auto" w:fill="FFFFFF"/>
        </w:rPr>
      </w:pPr>
    </w:p>
    <w:p w14:paraId="6C5182A5"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Chandran, S., Simon, S. A., &amp; George, A. E. (2022).</w:t>
      </w:r>
      <w:r w:rsidR="006C7A4C" w:rsidRPr="00490E04">
        <w:rPr>
          <w:rFonts w:ascii="Arial" w:hAnsi="Arial" w:cs="Arial"/>
          <w:sz w:val="20"/>
          <w:szCs w:val="20"/>
          <w:shd w:val="clear" w:color="auto" w:fill="FFFFFF"/>
        </w:rPr>
        <w:t xml:space="preserve"> </w:t>
      </w:r>
      <w:r w:rsidRPr="00490E04">
        <w:rPr>
          <w:rFonts w:ascii="Arial" w:hAnsi="Arial" w:cs="Arial"/>
          <w:sz w:val="20"/>
          <w:szCs w:val="20"/>
          <w:shd w:val="clear" w:color="auto" w:fill="FFFFFF"/>
        </w:rPr>
        <w:t>A clinical study of premature canities and its association with haemoglobin, ferritin and calcium levels. </w:t>
      </w:r>
      <w:r w:rsidRPr="00490E04">
        <w:rPr>
          <w:rFonts w:ascii="Arial" w:hAnsi="Arial" w:cs="Arial"/>
          <w:i/>
          <w:iCs/>
          <w:sz w:val="20"/>
          <w:szCs w:val="20"/>
          <w:shd w:val="clear" w:color="auto" w:fill="FFFFFF"/>
        </w:rPr>
        <w:t>Indian Journal of Dermatology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67</w:t>
      </w:r>
      <w:r w:rsidRPr="00490E04">
        <w:rPr>
          <w:rFonts w:ascii="Arial" w:hAnsi="Arial" w:cs="Arial"/>
          <w:sz w:val="20"/>
          <w:szCs w:val="20"/>
          <w:shd w:val="clear" w:color="auto" w:fill="FFFFFF"/>
        </w:rPr>
        <w:t>(3), 216-221.</w:t>
      </w:r>
    </w:p>
    <w:p w14:paraId="0E0DDF78" w14:textId="77777777" w:rsidR="000E417F" w:rsidRDefault="000E417F" w:rsidP="000E417F">
      <w:pPr>
        <w:pStyle w:val="ListParagraph"/>
        <w:spacing w:after="0" w:line="240" w:lineRule="auto"/>
        <w:jc w:val="both"/>
        <w:rPr>
          <w:rFonts w:ascii="Arial" w:hAnsi="Arial" w:cs="Arial"/>
          <w:sz w:val="20"/>
          <w:szCs w:val="20"/>
          <w:shd w:val="clear" w:color="auto" w:fill="FFFFFF"/>
        </w:rPr>
      </w:pPr>
    </w:p>
    <w:p w14:paraId="4542A4E2"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Cheesbrough, M. (2004). District Laboratory Practice in Tropical Countries, Part 2 (Cambridge Low Price Edition) United Kingdom: Cambridge University Press.</w:t>
      </w:r>
      <w:r w:rsidRPr="00490E04">
        <w:rPr>
          <w:rStyle w:val="z3988"/>
          <w:rFonts w:ascii="Arial" w:hAnsi="Arial" w:cs="Arial"/>
          <w:vanish/>
          <w:sz w:val="20"/>
          <w:szCs w:val="20"/>
        </w:rPr>
        <w:t> </w:t>
      </w:r>
    </w:p>
    <w:p w14:paraId="28BC44F9" w14:textId="77777777" w:rsidR="000E417F" w:rsidRDefault="000E417F" w:rsidP="000E417F">
      <w:pPr>
        <w:pStyle w:val="ListParagraph"/>
        <w:spacing w:after="0" w:line="240" w:lineRule="auto"/>
        <w:jc w:val="both"/>
        <w:rPr>
          <w:rFonts w:ascii="Arial" w:hAnsi="Arial" w:cs="Arial"/>
          <w:iCs/>
          <w:sz w:val="20"/>
          <w:szCs w:val="20"/>
        </w:rPr>
      </w:pPr>
    </w:p>
    <w:p w14:paraId="59AEDA40"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lang w:val="zh-CN"/>
        </w:rPr>
        <w:t xml:space="preserve">Choi, J. W., Lew, B. L., &amp; Sim, W. Y. (2016). </w:t>
      </w:r>
      <w:r w:rsidRPr="00490E04">
        <w:rPr>
          <w:rFonts w:ascii="Arial" w:hAnsi="Arial" w:cs="Arial"/>
          <w:sz w:val="20"/>
          <w:szCs w:val="20"/>
          <w:shd w:val="clear" w:color="auto" w:fill="FFFFFF"/>
        </w:rPr>
        <w:t>A case of premature hair graying treated with ferrous sulfate. </w:t>
      </w:r>
      <w:r w:rsidRPr="00490E04">
        <w:rPr>
          <w:rFonts w:ascii="Arial" w:hAnsi="Arial" w:cs="Arial"/>
          <w:i/>
          <w:iCs/>
          <w:sz w:val="20"/>
          <w:szCs w:val="20"/>
          <w:shd w:val="clear" w:color="auto" w:fill="FFFFFF"/>
        </w:rPr>
        <w:t>Annals of Dermatology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28</w:t>
      </w:r>
      <w:r w:rsidRPr="00490E04">
        <w:rPr>
          <w:rFonts w:ascii="Arial" w:hAnsi="Arial" w:cs="Arial"/>
          <w:sz w:val="20"/>
          <w:szCs w:val="20"/>
          <w:shd w:val="clear" w:color="auto" w:fill="FFFFFF"/>
        </w:rPr>
        <w:t>(6), 775-776.</w:t>
      </w:r>
    </w:p>
    <w:p w14:paraId="23F7A244" w14:textId="77777777" w:rsidR="000E417F" w:rsidRDefault="000E417F" w:rsidP="000E417F">
      <w:pPr>
        <w:pStyle w:val="ListParagraph"/>
        <w:spacing w:after="0" w:line="240" w:lineRule="auto"/>
        <w:jc w:val="both"/>
        <w:rPr>
          <w:rFonts w:ascii="Arial" w:hAnsi="Arial" w:cs="Arial"/>
          <w:sz w:val="20"/>
          <w:szCs w:val="20"/>
          <w:shd w:val="clear" w:color="auto" w:fill="FFFFFF"/>
        </w:rPr>
      </w:pPr>
    </w:p>
    <w:p w14:paraId="6E18DC73" w14:textId="77777777" w:rsidR="000E417F" w:rsidRPr="00490E04" w:rsidRDefault="000E417F" w:rsidP="00490E04">
      <w:pPr>
        <w:spacing w:line="240" w:lineRule="auto"/>
        <w:jc w:val="both"/>
        <w:rPr>
          <w:rFonts w:ascii="Arial" w:hAnsi="Arial" w:cs="Arial"/>
          <w:sz w:val="20"/>
          <w:szCs w:val="20"/>
        </w:rPr>
      </w:pPr>
      <w:r w:rsidRPr="00490E04">
        <w:rPr>
          <w:rFonts w:ascii="Arial" w:hAnsi="Arial" w:cs="Arial"/>
          <w:sz w:val="20"/>
          <w:szCs w:val="20"/>
        </w:rPr>
        <w:lastRenderedPageBreak/>
        <w:t xml:space="preserve">Gonzalez, L. P. M., </w:t>
      </w:r>
      <w:proofErr w:type="spellStart"/>
      <w:r w:rsidRPr="00490E04">
        <w:rPr>
          <w:rFonts w:ascii="Arial" w:hAnsi="Arial" w:cs="Arial"/>
          <w:sz w:val="20"/>
          <w:szCs w:val="20"/>
        </w:rPr>
        <w:t>Tschen</w:t>
      </w:r>
      <w:proofErr w:type="spellEnd"/>
      <w:r w:rsidRPr="00490E04">
        <w:rPr>
          <w:rFonts w:ascii="Arial" w:hAnsi="Arial" w:cs="Arial"/>
          <w:sz w:val="20"/>
          <w:szCs w:val="20"/>
        </w:rPr>
        <w:t xml:space="preserve">, J. A., &amp; Cohen, P. R. (2018). Ectopic sebaceous glands in the hair follicle matrix: case reports and literature review of this embryogenic anomaly. </w:t>
      </w:r>
      <w:proofErr w:type="spellStart"/>
      <w:r w:rsidRPr="00490E04">
        <w:rPr>
          <w:rFonts w:ascii="Arial" w:hAnsi="Arial" w:cs="Arial"/>
          <w:i/>
          <w:sz w:val="20"/>
          <w:szCs w:val="20"/>
        </w:rPr>
        <w:t>Cureus</w:t>
      </w:r>
      <w:proofErr w:type="spellEnd"/>
      <w:r w:rsidRPr="00490E04">
        <w:rPr>
          <w:rFonts w:ascii="Arial" w:hAnsi="Arial" w:cs="Arial"/>
          <w:sz w:val="20"/>
          <w:szCs w:val="20"/>
        </w:rPr>
        <w:t>, 10(11), 3605-3634.</w:t>
      </w:r>
    </w:p>
    <w:p w14:paraId="4ACE0823" w14:textId="77777777" w:rsidR="000E417F" w:rsidRPr="00490E04" w:rsidRDefault="000E417F" w:rsidP="00490E04">
      <w:pPr>
        <w:spacing w:after="0" w:line="240" w:lineRule="auto"/>
        <w:jc w:val="both"/>
        <w:rPr>
          <w:rFonts w:ascii="Arial" w:hAnsi="Arial" w:cs="Arial"/>
          <w:sz w:val="20"/>
          <w:szCs w:val="20"/>
        </w:rPr>
      </w:pPr>
      <w:proofErr w:type="spellStart"/>
      <w:r w:rsidRPr="00490E04">
        <w:rPr>
          <w:rFonts w:ascii="Arial" w:hAnsi="Arial" w:cs="Arial"/>
          <w:sz w:val="20"/>
          <w:szCs w:val="20"/>
        </w:rPr>
        <w:t>Hanchinal</w:t>
      </w:r>
      <w:proofErr w:type="spellEnd"/>
      <w:r w:rsidRPr="00490E04">
        <w:rPr>
          <w:rFonts w:ascii="Arial" w:hAnsi="Arial" w:cs="Arial"/>
          <w:sz w:val="20"/>
          <w:szCs w:val="20"/>
        </w:rPr>
        <w:t xml:space="preserve">, V. B., </w:t>
      </w:r>
      <w:proofErr w:type="spellStart"/>
      <w:r w:rsidRPr="00490E04">
        <w:rPr>
          <w:rFonts w:ascii="Arial" w:hAnsi="Arial" w:cs="Arial"/>
          <w:sz w:val="20"/>
          <w:szCs w:val="20"/>
        </w:rPr>
        <w:t>Sambrani</w:t>
      </w:r>
      <w:proofErr w:type="spellEnd"/>
      <w:r w:rsidRPr="00490E04">
        <w:rPr>
          <w:rFonts w:ascii="Arial" w:hAnsi="Arial" w:cs="Arial"/>
          <w:sz w:val="20"/>
          <w:szCs w:val="20"/>
        </w:rPr>
        <w:t xml:space="preserve">, A., </w:t>
      </w:r>
      <w:proofErr w:type="gramStart"/>
      <w:r w:rsidRPr="00490E04">
        <w:rPr>
          <w:rFonts w:ascii="Arial" w:hAnsi="Arial" w:cs="Arial"/>
          <w:sz w:val="20"/>
          <w:szCs w:val="20"/>
        </w:rPr>
        <w:t>&amp;</w:t>
      </w:r>
      <w:r w:rsidR="006C7A4C" w:rsidRPr="00490E04">
        <w:rPr>
          <w:rFonts w:ascii="Arial" w:hAnsi="Arial" w:cs="Arial"/>
          <w:sz w:val="20"/>
          <w:szCs w:val="20"/>
        </w:rPr>
        <w:t xml:space="preserve">  </w:t>
      </w:r>
      <w:proofErr w:type="spellStart"/>
      <w:r w:rsidRPr="00490E04">
        <w:rPr>
          <w:rFonts w:ascii="Arial" w:hAnsi="Arial" w:cs="Arial"/>
          <w:sz w:val="20"/>
          <w:szCs w:val="20"/>
        </w:rPr>
        <w:t>Baljoshi</w:t>
      </w:r>
      <w:proofErr w:type="spellEnd"/>
      <w:proofErr w:type="gramEnd"/>
      <w:r w:rsidRPr="00490E04">
        <w:rPr>
          <w:rFonts w:ascii="Arial" w:hAnsi="Arial" w:cs="Arial"/>
          <w:sz w:val="20"/>
          <w:szCs w:val="20"/>
        </w:rPr>
        <w:t xml:space="preserve">, V. (2021). A study on influence of different phases of menstrual cycle on haematological parameters. </w:t>
      </w:r>
      <w:r w:rsidRPr="00490E04">
        <w:rPr>
          <w:rFonts w:ascii="Arial" w:hAnsi="Arial" w:cs="Arial"/>
          <w:i/>
          <w:sz w:val="20"/>
          <w:szCs w:val="20"/>
        </w:rPr>
        <w:t>Journal of Experimental and Clinical Medicine</w:t>
      </w:r>
      <w:r w:rsidRPr="00490E04">
        <w:rPr>
          <w:rFonts w:ascii="Arial" w:hAnsi="Arial" w:cs="Arial"/>
          <w:sz w:val="20"/>
          <w:szCs w:val="20"/>
        </w:rPr>
        <w:t xml:space="preserve">, 38(3), 308-311. </w:t>
      </w:r>
    </w:p>
    <w:p w14:paraId="5D1AF0F8" w14:textId="77777777" w:rsidR="000E417F" w:rsidRDefault="000E417F" w:rsidP="000E417F">
      <w:pPr>
        <w:pStyle w:val="ListParagraph"/>
        <w:spacing w:after="0" w:line="240" w:lineRule="auto"/>
        <w:jc w:val="both"/>
        <w:rPr>
          <w:rStyle w:val="HTMLCite"/>
          <w:rFonts w:ascii="Arial" w:hAnsi="Arial" w:cs="Arial"/>
          <w:i w:val="0"/>
          <w:iCs w:val="0"/>
          <w:sz w:val="20"/>
          <w:szCs w:val="20"/>
        </w:rPr>
      </w:pPr>
    </w:p>
    <w:p w14:paraId="6D9B3428" w14:textId="77777777" w:rsidR="000E417F" w:rsidRPr="00490E04" w:rsidRDefault="000E417F" w:rsidP="00490E04">
      <w:pPr>
        <w:spacing w:after="0" w:line="240" w:lineRule="auto"/>
        <w:jc w:val="both"/>
        <w:rPr>
          <w:rFonts w:ascii="Arial" w:hAnsi="Arial" w:cs="Arial"/>
          <w:sz w:val="20"/>
          <w:szCs w:val="20"/>
        </w:rPr>
      </w:pPr>
      <w:r w:rsidRPr="00490E04">
        <w:rPr>
          <w:rFonts w:ascii="Arial" w:hAnsi="Arial" w:cs="Arial"/>
          <w:sz w:val="20"/>
          <w:szCs w:val="20"/>
          <w:lang w:val="zh-CN"/>
        </w:rPr>
        <w:t xml:space="preserve">Juhász,  M. L. W., &amp; Atanaskova, M. N. (2020). </w:t>
      </w:r>
      <w:r w:rsidRPr="00490E04">
        <w:rPr>
          <w:rFonts w:ascii="Arial" w:hAnsi="Arial" w:cs="Arial"/>
          <w:sz w:val="20"/>
          <w:szCs w:val="20"/>
        </w:rPr>
        <w:t>The use of phosphodiesterase inhibitors for the treatment of alopecia. </w:t>
      </w:r>
      <w:r w:rsidRPr="00490E04">
        <w:rPr>
          <w:rFonts w:ascii="Arial" w:hAnsi="Arial" w:cs="Arial"/>
          <w:i/>
          <w:sz w:val="20"/>
          <w:szCs w:val="20"/>
          <w:shd w:val="clear" w:color="auto" w:fill="FFFFFF"/>
        </w:rPr>
        <w:t>Journal of Dermatological </w:t>
      </w:r>
      <w:r w:rsidRPr="00490E04">
        <w:rPr>
          <w:rStyle w:val="Emphasis"/>
          <w:rFonts w:ascii="Arial" w:hAnsi="Arial" w:cs="Arial"/>
          <w:bCs/>
          <w:sz w:val="20"/>
          <w:szCs w:val="20"/>
          <w:shd w:val="clear" w:color="auto" w:fill="FFFFFF"/>
        </w:rPr>
        <w:t>Treatment</w:t>
      </w:r>
      <w:r w:rsidRPr="00490E04">
        <w:rPr>
          <w:rFonts w:ascii="Arial" w:hAnsi="Arial" w:cs="Arial"/>
          <w:sz w:val="20"/>
          <w:szCs w:val="20"/>
          <w:shd w:val="clear" w:color="auto" w:fill="FFFFFF"/>
        </w:rPr>
        <w:t>,</w:t>
      </w:r>
      <w:r w:rsidRPr="00490E04">
        <w:rPr>
          <w:rStyle w:val="ref-vol"/>
          <w:rFonts w:ascii="Arial" w:hAnsi="Arial" w:cs="Arial"/>
          <w:sz w:val="20"/>
          <w:szCs w:val="20"/>
        </w:rPr>
        <w:t xml:space="preserve"> 31</w:t>
      </w:r>
      <w:r w:rsidRPr="00490E04">
        <w:rPr>
          <w:rFonts w:ascii="Arial" w:hAnsi="Arial" w:cs="Arial"/>
          <w:sz w:val="20"/>
          <w:szCs w:val="20"/>
        </w:rPr>
        <w:t>(3), 245-253.</w:t>
      </w:r>
    </w:p>
    <w:p w14:paraId="762CC91B" w14:textId="77777777" w:rsidR="000E417F" w:rsidRDefault="000E417F" w:rsidP="000E417F">
      <w:pPr>
        <w:pStyle w:val="ListParagraph"/>
        <w:spacing w:after="0" w:line="240" w:lineRule="auto"/>
        <w:jc w:val="both"/>
        <w:rPr>
          <w:rFonts w:ascii="Arial" w:hAnsi="Arial" w:cs="Arial"/>
          <w:iCs/>
          <w:sz w:val="20"/>
          <w:szCs w:val="20"/>
        </w:rPr>
      </w:pPr>
    </w:p>
    <w:p w14:paraId="2F2C0446" w14:textId="77777777" w:rsidR="000E417F" w:rsidRPr="00490E04" w:rsidRDefault="000E417F" w:rsidP="00490E04">
      <w:pPr>
        <w:spacing w:after="0" w:line="240" w:lineRule="auto"/>
        <w:jc w:val="both"/>
        <w:rPr>
          <w:rStyle w:val="Hyperlink"/>
          <w:rFonts w:ascii="Arial" w:hAnsi="Arial" w:cs="Arial"/>
          <w:color w:val="auto"/>
          <w:sz w:val="20"/>
          <w:szCs w:val="20"/>
          <w:shd w:val="clear" w:color="auto" w:fill="FFFFFF"/>
        </w:rPr>
      </w:pPr>
      <w:r w:rsidRPr="00490E04">
        <w:rPr>
          <w:rFonts w:ascii="Arial" w:hAnsi="Arial" w:cs="Arial"/>
          <w:sz w:val="20"/>
          <w:szCs w:val="20"/>
          <w:shd w:val="clear" w:color="auto" w:fill="FFFFFF"/>
        </w:rPr>
        <w:t>Kang, H. (2021). Sample size determination and power analysis using the G* Power software. </w:t>
      </w:r>
      <w:r w:rsidRPr="00490E04">
        <w:rPr>
          <w:rFonts w:ascii="Arial" w:hAnsi="Arial" w:cs="Arial"/>
          <w:i/>
          <w:iCs/>
          <w:sz w:val="20"/>
          <w:szCs w:val="20"/>
          <w:shd w:val="clear" w:color="auto" w:fill="FFFFFF"/>
        </w:rPr>
        <w:t>Journal of Educational Evaluation for Health Professions</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18</w:t>
      </w:r>
      <w:r w:rsidRPr="00490E04">
        <w:rPr>
          <w:rFonts w:ascii="Arial" w:hAnsi="Arial" w:cs="Arial"/>
          <w:sz w:val="20"/>
          <w:szCs w:val="20"/>
          <w:shd w:val="clear" w:color="auto" w:fill="FFFFFF"/>
        </w:rPr>
        <w:t xml:space="preserve">, 17.  </w:t>
      </w:r>
      <w:proofErr w:type="spellStart"/>
      <w:r w:rsidRPr="00490E04">
        <w:rPr>
          <w:rFonts w:ascii="Arial" w:hAnsi="Arial" w:cs="Arial"/>
          <w:sz w:val="20"/>
          <w:szCs w:val="20"/>
          <w:shd w:val="clear" w:color="auto" w:fill="FFFFFF"/>
        </w:rPr>
        <w:t>doi</w:t>
      </w:r>
      <w:proofErr w:type="spellEnd"/>
      <w:r w:rsidRPr="00490E04">
        <w:rPr>
          <w:rFonts w:ascii="Arial" w:hAnsi="Arial" w:cs="Arial"/>
          <w:sz w:val="20"/>
          <w:szCs w:val="20"/>
          <w:shd w:val="clear" w:color="auto" w:fill="FFFFFF"/>
        </w:rPr>
        <w:t>: </w:t>
      </w:r>
      <w:hyperlink r:id="rId18" w:tgtFrame="_blank" w:history="1">
        <w:r w:rsidRPr="00490E04">
          <w:rPr>
            <w:rStyle w:val="Hyperlink"/>
            <w:rFonts w:ascii="Arial" w:hAnsi="Arial" w:cs="Arial"/>
            <w:color w:val="auto"/>
            <w:sz w:val="20"/>
            <w:szCs w:val="20"/>
            <w:u w:val="none"/>
            <w:shd w:val="clear" w:color="auto" w:fill="FFFFFF"/>
          </w:rPr>
          <w:t>10.3352/jeehp.2021.18.17</w:t>
        </w:r>
      </w:hyperlink>
    </w:p>
    <w:p w14:paraId="46ACC7D2" w14:textId="77777777" w:rsidR="000E417F" w:rsidRDefault="000E417F" w:rsidP="000E417F">
      <w:pPr>
        <w:pStyle w:val="ListParagraph"/>
        <w:spacing w:after="0" w:line="240" w:lineRule="auto"/>
        <w:jc w:val="both"/>
        <w:rPr>
          <w:rFonts w:ascii="Arial" w:hAnsi="Arial" w:cs="Arial"/>
          <w:iCs/>
          <w:sz w:val="20"/>
          <w:szCs w:val="20"/>
        </w:rPr>
      </w:pPr>
    </w:p>
    <w:p w14:paraId="6D7AADAF"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Kumar, A. B., Shamim, H., &amp; Nagaraju, U. (2018). Premature graying of hair: review with updates. </w:t>
      </w:r>
      <w:r w:rsidRPr="00490E04">
        <w:rPr>
          <w:rFonts w:ascii="Arial" w:hAnsi="Arial" w:cs="Arial"/>
          <w:i/>
          <w:iCs/>
          <w:sz w:val="20"/>
          <w:szCs w:val="20"/>
          <w:shd w:val="clear" w:color="auto" w:fill="FFFFFF"/>
        </w:rPr>
        <w:t>International Journal of Trichology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10</w:t>
      </w:r>
      <w:r w:rsidRPr="00490E04">
        <w:rPr>
          <w:rFonts w:ascii="Arial" w:hAnsi="Arial" w:cs="Arial"/>
          <w:sz w:val="20"/>
          <w:szCs w:val="20"/>
          <w:shd w:val="clear" w:color="auto" w:fill="FFFFFF"/>
        </w:rPr>
        <w:t>(5), 198-203.</w:t>
      </w:r>
    </w:p>
    <w:p w14:paraId="16661015" w14:textId="77777777" w:rsidR="000E417F" w:rsidRDefault="000E417F" w:rsidP="000E417F">
      <w:pPr>
        <w:pStyle w:val="ListParagraph"/>
        <w:spacing w:after="0" w:line="240" w:lineRule="auto"/>
        <w:jc w:val="both"/>
        <w:rPr>
          <w:rFonts w:ascii="Arial" w:hAnsi="Arial" w:cs="Arial"/>
          <w:sz w:val="20"/>
          <w:szCs w:val="20"/>
          <w:shd w:val="clear" w:color="auto" w:fill="FFFFFF"/>
        </w:rPr>
      </w:pPr>
    </w:p>
    <w:p w14:paraId="6483B2B2" w14:textId="77777777" w:rsidR="000E417F" w:rsidRPr="00490E04" w:rsidRDefault="000E417F" w:rsidP="00490E04">
      <w:pPr>
        <w:spacing w:line="240" w:lineRule="auto"/>
        <w:jc w:val="both"/>
        <w:rPr>
          <w:rFonts w:ascii="Arial" w:hAnsi="Arial" w:cs="Arial"/>
          <w:sz w:val="20"/>
          <w:szCs w:val="20"/>
        </w:rPr>
      </w:pPr>
      <w:r w:rsidRPr="00490E04">
        <w:rPr>
          <w:rFonts w:ascii="Arial" w:hAnsi="Arial" w:cs="Arial"/>
          <w:sz w:val="20"/>
          <w:szCs w:val="20"/>
        </w:rPr>
        <w:t xml:space="preserve">Lenox-Prince, T., Eze, E. M., </w:t>
      </w:r>
      <w:proofErr w:type="spellStart"/>
      <w:r w:rsidRPr="00490E04">
        <w:rPr>
          <w:rFonts w:ascii="Arial" w:hAnsi="Arial" w:cs="Arial"/>
          <w:sz w:val="20"/>
          <w:szCs w:val="20"/>
        </w:rPr>
        <w:t>Ibegbulem</w:t>
      </w:r>
      <w:proofErr w:type="spellEnd"/>
      <w:r w:rsidRPr="00490E04">
        <w:rPr>
          <w:rFonts w:ascii="Arial" w:hAnsi="Arial" w:cs="Arial"/>
          <w:sz w:val="20"/>
          <w:szCs w:val="20"/>
        </w:rPr>
        <w:t xml:space="preserve">, E. O., &amp; Jeremiah, Z. A. (2024). Gray hair and </w:t>
      </w:r>
      <w:proofErr w:type="spellStart"/>
      <w:r w:rsidRPr="00490E04">
        <w:rPr>
          <w:rFonts w:ascii="Arial" w:hAnsi="Arial" w:cs="Arial"/>
          <w:sz w:val="20"/>
          <w:szCs w:val="20"/>
        </w:rPr>
        <w:t>haermatology</w:t>
      </w:r>
      <w:proofErr w:type="spellEnd"/>
      <w:r w:rsidRPr="00490E04">
        <w:rPr>
          <w:rFonts w:ascii="Arial" w:hAnsi="Arial" w:cs="Arial"/>
          <w:sz w:val="20"/>
          <w:szCs w:val="20"/>
        </w:rPr>
        <w:t xml:space="preserve">: a union of deficiency. </w:t>
      </w:r>
      <w:r w:rsidRPr="00490E04">
        <w:rPr>
          <w:rFonts w:ascii="Arial" w:hAnsi="Arial" w:cs="Arial"/>
          <w:i/>
          <w:sz w:val="20"/>
          <w:szCs w:val="20"/>
        </w:rPr>
        <w:t>African Journal of Laboratory Haematology and Transfusion Science</w:t>
      </w:r>
      <w:r w:rsidRPr="00490E04">
        <w:rPr>
          <w:rFonts w:ascii="Arial" w:hAnsi="Arial" w:cs="Arial"/>
          <w:sz w:val="20"/>
          <w:szCs w:val="20"/>
        </w:rPr>
        <w:t>, 3(3): 241-253. doi.org/10.59708/</w:t>
      </w:r>
      <w:proofErr w:type="gramStart"/>
      <w:r w:rsidRPr="00490E04">
        <w:rPr>
          <w:rFonts w:ascii="Arial" w:hAnsi="Arial" w:cs="Arial"/>
          <w:sz w:val="20"/>
          <w:szCs w:val="20"/>
        </w:rPr>
        <w:t>ajlhts.v</w:t>
      </w:r>
      <w:proofErr w:type="gramEnd"/>
      <w:r w:rsidRPr="00490E04">
        <w:rPr>
          <w:rFonts w:ascii="Arial" w:hAnsi="Arial" w:cs="Arial"/>
          <w:sz w:val="20"/>
          <w:szCs w:val="20"/>
        </w:rPr>
        <w:t xml:space="preserve">3i3.2434 </w:t>
      </w:r>
    </w:p>
    <w:p w14:paraId="2B6B31EE" w14:textId="77777777" w:rsidR="000E417F" w:rsidRPr="00490E04" w:rsidRDefault="000E417F" w:rsidP="00490E04">
      <w:pPr>
        <w:spacing w:after="0" w:line="240" w:lineRule="auto"/>
        <w:jc w:val="both"/>
        <w:rPr>
          <w:rFonts w:ascii="Arial" w:hAnsi="Arial" w:cs="Arial"/>
          <w:sz w:val="20"/>
          <w:szCs w:val="20"/>
          <w:shd w:val="clear" w:color="auto" w:fill="FFFFFF"/>
        </w:rPr>
      </w:pPr>
      <w:proofErr w:type="spellStart"/>
      <w:r w:rsidRPr="00490E04">
        <w:rPr>
          <w:rFonts w:ascii="Arial" w:hAnsi="Arial" w:cs="Arial"/>
          <w:sz w:val="20"/>
          <w:szCs w:val="20"/>
          <w:shd w:val="clear" w:color="auto" w:fill="FFFFFF"/>
        </w:rPr>
        <w:t>Ogbuigwe</w:t>
      </w:r>
      <w:proofErr w:type="spellEnd"/>
      <w:r w:rsidRPr="00490E04">
        <w:rPr>
          <w:rFonts w:ascii="Arial" w:hAnsi="Arial" w:cs="Arial"/>
          <w:sz w:val="20"/>
          <w:szCs w:val="20"/>
          <w:shd w:val="clear" w:color="auto" w:fill="FFFFFF"/>
        </w:rPr>
        <w:t>, A. (2018). </w:t>
      </w:r>
      <w:hyperlink r:id="rId19" w:history="1">
        <w:r w:rsidRPr="00490E04">
          <w:rPr>
            <w:rStyle w:val="Hyperlink"/>
            <w:rFonts w:ascii="Arial" w:hAnsi="Arial" w:cs="Arial"/>
            <w:color w:val="auto"/>
            <w:sz w:val="20"/>
            <w:szCs w:val="20"/>
            <w:u w:val="none"/>
          </w:rPr>
          <w:t>Refining in Nigeria: history, challenges and prospects</w:t>
        </w:r>
      </w:hyperlink>
      <w:r w:rsidRPr="00490E04">
        <w:rPr>
          <w:rFonts w:ascii="Arial" w:hAnsi="Arial" w:cs="Arial"/>
          <w:sz w:val="20"/>
          <w:szCs w:val="20"/>
          <w:shd w:val="clear" w:color="auto" w:fill="FFFFFF"/>
        </w:rPr>
        <w:t>. </w:t>
      </w:r>
      <w:r w:rsidRPr="00490E04">
        <w:rPr>
          <w:rFonts w:ascii="Arial" w:hAnsi="Arial" w:cs="Arial"/>
          <w:i/>
          <w:iCs/>
          <w:sz w:val="20"/>
          <w:szCs w:val="20"/>
          <w:shd w:val="clear" w:color="auto" w:fill="FFFFFF"/>
        </w:rPr>
        <w:t>Applied Petrochemical Research</w:t>
      </w:r>
      <w:r w:rsidRPr="00490E04">
        <w:rPr>
          <w:rFonts w:ascii="Arial" w:hAnsi="Arial" w:cs="Arial"/>
          <w:sz w:val="20"/>
          <w:szCs w:val="20"/>
          <w:shd w:val="clear" w:color="auto" w:fill="FFFFFF"/>
        </w:rPr>
        <w:t>. </w:t>
      </w:r>
      <w:r w:rsidRPr="00490E04">
        <w:rPr>
          <w:rFonts w:ascii="Arial" w:hAnsi="Arial" w:cs="Arial"/>
          <w:bCs/>
          <w:sz w:val="20"/>
          <w:szCs w:val="20"/>
          <w:shd w:val="clear" w:color="auto" w:fill="FFFFFF"/>
        </w:rPr>
        <w:t>8</w:t>
      </w:r>
      <w:r w:rsidRPr="00490E04">
        <w:rPr>
          <w:rFonts w:ascii="Arial" w:hAnsi="Arial" w:cs="Arial"/>
          <w:sz w:val="20"/>
          <w:szCs w:val="20"/>
          <w:shd w:val="clear" w:color="auto" w:fill="FFFFFF"/>
        </w:rPr>
        <w:t xml:space="preserve"> (4), </w:t>
      </w:r>
      <w:r w:rsidRPr="00490E04">
        <w:rPr>
          <w:rStyle w:val="nowrap"/>
          <w:rFonts w:ascii="Arial" w:hAnsi="Arial" w:cs="Arial"/>
          <w:sz w:val="20"/>
          <w:szCs w:val="20"/>
          <w:shd w:val="clear" w:color="auto" w:fill="FFFFFF"/>
        </w:rPr>
        <w:t>181-</w:t>
      </w:r>
      <w:r w:rsidRPr="00490E04">
        <w:rPr>
          <w:rFonts w:ascii="Arial" w:hAnsi="Arial" w:cs="Arial"/>
          <w:sz w:val="20"/>
          <w:szCs w:val="20"/>
          <w:shd w:val="clear" w:color="auto" w:fill="FFFFFF"/>
        </w:rPr>
        <w:t>192.</w:t>
      </w:r>
    </w:p>
    <w:p w14:paraId="4A673414" w14:textId="77777777" w:rsidR="000E417F" w:rsidRDefault="000E417F" w:rsidP="000E417F">
      <w:pPr>
        <w:pStyle w:val="ListParagraph"/>
        <w:spacing w:after="0" w:line="240" w:lineRule="auto"/>
        <w:jc w:val="both"/>
        <w:rPr>
          <w:rStyle w:val="HTMLCite"/>
          <w:rFonts w:ascii="Arial" w:hAnsi="Arial" w:cs="Arial"/>
          <w:i w:val="0"/>
          <w:iCs w:val="0"/>
          <w:sz w:val="20"/>
          <w:szCs w:val="20"/>
        </w:rPr>
      </w:pPr>
    </w:p>
    <w:p w14:paraId="7445BB14"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 xml:space="preserve">O'Sullivan, J. D., Nicu, C., Picard, M., </w:t>
      </w:r>
      <w:proofErr w:type="spellStart"/>
      <w:r w:rsidRPr="00490E04">
        <w:rPr>
          <w:rFonts w:ascii="Arial" w:hAnsi="Arial" w:cs="Arial"/>
          <w:sz w:val="20"/>
          <w:szCs w:val="20"/>
          <w:shd w:val="clear" w:color="auto" w:fill="FFFFFF"/>
        </w:rPr>
        <w:t>Chéret</w:t>
      </w:r>
      <w:proofErr w:type="spellEnd"/>
      <w:r w:rsidRPr="00490E04">
        <w:rPr>
          <w:rFonts w:ascii="Arial" w:hAnsi="Arial" w:cs="Arial"/>
          <w:sz w:val="20"/>
          <w:szCs w:val="20"/>
          <w:shd w:val="clear" w:color="auto" w:fill="FFFFFF"/>
        </w:rPr>
        <w:t xml:space="preserve">, J., </w:t>
      </w:r>
      <w:proofErr w:type="spellStart"/>
      <w:r w:rsidRPr="00490E04">
        <w:rPr>
          <w:rFonts w:ascii="Arial" w:hAnsi="Arial" w:cs="Arial"/>
          <w:sz w:val="20"/>
          <w:szCs w:val="20"/>
          <w:shd w:val="clear" w:color="auto" w:fill="FFFFFF"/>
        </w:rPr>
        <w:t>Bedogni</w:t>
      </w:r>
      <w:proofErr w:type="spellEnd"/>
      <w:r w:rsidRPr="00490E04">
        <w:rPr>
          <w:rFonts w:ascii="Arial" w:hAnsi="Arial" w:cs="Arial"/>
          <w:sz w:val="20"/>
          <w:szCs w:val="20"/>
          <w:shd w:val="clear" w:color="auto" w:fill="FFFFFF"/>
        </w:rPr>
        <w:t>, B., Tobin, D. J., &amp; Paus, R. (2021</w:t>
      </w:r>
      <w:proofErr w:type="gramStart"/>
      <w:r w:rsidRPr="00490E04">
        <w:rPr>
          <w:rFonts w:ascii="Arial" w:hAnsi="Arial" w:cs="Arial"/>
          <w:sz w:val="20"/>
          <w:szCs w:val="20"/>
          <w:shd w:val="clear" w:color="auto" w:fill="FFFFFF"/>
        </w:rPr>
        <w:t>).The</w:t>
      </w:r>
      <w:proofErr w:type="gramEnd"/>
      <w:r w:rsidRPr="00490E04">
        <w:rPr>
          <w:rFonts w:ascii="Arial" w:hAnsi="Arial" w:cs="Arial"/>
          <w:sz w:val="20"/>
          <w:szCs w:val="20"/>
          <w:shd w:val="clear" w:color="auto" w:fill="FFFFFF"/>
        </w:rPr>
        <w:t xml:space="preserve"> biology of human hair greying. </w:t>
      </w:r>
      <w:r w:rsidRPr="00490E04">
        <w:rPr>
          <w:rFonts w:ascii="Arial" w:hAnsi="Arial" w:cs="Arial"/>
          <w:i/>
          <w:iCs/>
          <w:sz w:val="20"/>
          <w:szCs w:val="20"/>
          <w:shd w:val="clear" w:color="auto" w:fill="FFFFFF"/>
        </w:rPr>
        <w:t>Biological Reviews</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96</w:t>
      </w:r>
      <w:r w:rsidRPr="00490E04">
        <w:rPr>
          <w:rFonts w:ascii="Arial" w:hAnsi="Arial" w:cs="Arial"/>
          <w:sz w:val="20"/>
          <w:szCs w:val="20"/>
          <w:shd w:val="clear" w:color="auto" w:fill="FFFFFF"/>
        </w:rPr>
        <w:t>(1), 107-128.</w:t>
      </w:r>
    </w:p>
    <w:p w14:paraId="3226E9F9" w14:textId="77777777" w:rsidR="000E417F" w:rsidRDefault="000E417F" w:rsidP="000E417F">
      <w:pPr>
        <w:pStyle w:val="ListParagraph"/>
        <w:spacing w:after="0" w:line="240" w:lineRule="auto"/>
        <w:jc w:val="both"/>
        <w:rPr>
          <w:rFonts w:ascii="Arial" w:hAnsi="Arial" w:cs="Arial"/>
          <w:sz w:val="20"/>
          <w:szCs w:val="20"/>
          <w:shd w:val="clear" w:color="auto" w:fill="FFFFFF"/>
        </w:rPr>
      </w:pPr>
    </w:p>
    <w:p w14:paraId="19EACB1A" w14:textId="77777777" w:rsidR="006C7A4C" w:rsidRPr="00490E04" w:rsidRDefault="000E417F" w:rsidP="00490E04">
      <w:pPr>
        <w:spacing w:after="0" w:line="240" w:lineRule="auto"/>
        <w:jc w:val="both"/>
        <w:rPr>
          <w:rFonts w:ascii="Arial" w:hAnsi="Arial" w:cs="Arial"/>
          <w:sz w:val="20"/>
          <w:szCs w:val="20"/>
          <w:u w:val="single"/>
          <w:shd w:val="clear" w:color="auto" w:fill="FFFFFF"/>
        </w:rPr>
      </w:pPr>
      <w:r>
        <w:rPr>
          <w:rFonts w:ascii="Arial" w:hAnsi="Arial" w:cs="Arial"/>
          <w:sz w:val="20"/>
          <w:szCs w:val="20"/>
          <w:shd w:val="clear" w:color="auto" w:fill="FFFFFF"/>
        </w:rPr>
        <w:t>Papaccio, F., D′ Arino, A., Caputo, S., &amp;</w:t>
      </w:r>
      <w:r w:rsidR="006C7A4C">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Bellei</w:t>
      </w:r>
      <w:proofErr w:type="spellEnd"/>
      <w:r>
        <w:rPr>
          <w:rFonts w:ascii="Arial" w:hAnsi="Arial" w:cs="Arial"/>
          <w:sz w:val="20"/>
          <w:szCs w:val="20"/>
          <w:shd w:val="clear" w:color="auto" w:fill="FFFFFF"/>
        </w:rPr>
        <w:t xml:space="preserve">, B. (2022). Focus on the contribution of oxidative stress in skin aging.  </w:t>
      </w:r>
      <w:r>
        <w:rPr>
          <w:rFonts w:ascii="Arial" w:hAnsi="Arial" w:cs="Arial"/>
          <w:i/>
          <w:iCs/>
          <w:sz w:val="20"/>
          <w:szCs w:val="20"/>
          <w:shd w:val="clear" w:color="auto" w:fill="FFFFFF"/>
        </w:rPr>
        <w:t>Antioxidants</w:t>
      </w:r>
      <w:r>
        <w:rPr>
          <w:rFonts w:ascii="Arial" w:hAnsi="Arial" w:cs="Arial"/>
          <w:sz w:val="20"/>
          <w:szCs w:val="20"/>
          <w:shd w:val="clear" w:color="auto" w:fill="FFFFFF"/>
        </w:rPr>
        <w:t xml:space="preserve">, </w:t>
      </w:r>
      <w:r>
        <w:rPr>
          <w:rFonts w:ascii="Arial" w:hAnsi="Arial" w:cs="Arial"/>
          <w:iCs/>
          <w:sz w:val="20"/>
          <w:szCs w:val="20"/>
          <w:shd w:val="clear" w:color="auto" w:fill="FFFFFF"/>
        </w:rPr>
        <w:t>11</w:t>
      </w:r>
      <w:r w:rsidR="006C7A4C">
        <w:rPr>
          <w:rFonts w:ascii="Arial" w:hAnsi="Arial" w:cs="Arial"/>
          <w:sz w:val="20"/>
          <w:szCs w:val="20"/>
          <w:shd w:val="clear" w:color="auto" w:fill="FFFFFF"/>
        </w:rPr>
        <w:t xml:space="preserve">(6), </w:t>
      </w:r>
      <w:r>
        <w:rPr>
          <w:rFonts w:ascii="Arial" w:hAnsi="Arial" w:cs="Arial"/>
          <w:sz w:val="20"/>
          <w:szCs w:val="20"/>
          <w:shd w:val="clear" w:color="auto" w:fill="FFFFFF"/>
        </w:rPr>
        <w:t>1121.</w:t>
      </w:r>
      <w:r w:rsidR="006C7A4C">
        <w:rPr>
          <w:rFonts w:ascii="Arial" w:hAnsi="Arial" w:cs="Arial"/>
          <w:sz w:val="20"/>
          <w:szCs w:val="20"/>
          <w:shd w:val="clear" w:color="auto" w:fill="FFFFFF"/>
        </w:rPr>
        <w:t xml:space="preserve"> </w:t>
      </w:r>
      <w:hyperlink r:id="rId20" w:history="1">
        <w:r w:rsidR="006C7A4C" w:rsidRPr="006C7A4C">
          <w:rPr>
            <w:rStyle w:val="Hyperlink"/>
            <w:rFonts w:ascii="Arial" w:hAnsi="Arial" w:cs="Arial"/>
            <w:color w:val="auto"/>
            <w:sz w:val="20"/>
            <w:szCs w:val="20"/>
            <w:u w:val="none"/>
            <w:shd w:val="clear" w:color="auto" w:fill="FFFFFF"/>
          </w:rPr>
          <w:t>https://doi.org/10.3390/antiox11061121</w:t>
        </w:r>
      </w:hyperlink>
    </w:p>
    <w:p w14:paraId="5F7E6F86" w14:textId="77777777" w:rsidR="000E417F" w:rsidRPr="00490E04" w:rsidRDefault="000E417F" w:rsidP="00490E04">
      <w:pPr>
        <w:spacing w:after="0" w:line="240" w:lineRule="auto"/>
        <w:jc w:val="both"/>
        <w:rPr>
          <w:rFonts w:ascii="Arial" w:hAnsi="Arial" w:cs="Arial"/>
          <w:sz w:val="20"/>
          <w:szCs w:val="20"/>
          <w:u w:val="single"/>
          <w:shd w:val="clear" w:color="auto" w:fill="FFFFFF"/>
        </w:rPr>
      </w:pPr>
      <w:r w:rsidRPr="006C7A4C">
        <w:rPr>
          <w:rFonts w:ascii="Arial" w:hAnsi="Arial" w:cs="Arial"/>
          <w:sz w:val="20"/>
          <w:szCs w:val="20"/>
          <w:shd w:val="clear" w:color="auto" w:fill="FFFFFF"/>
        </w:rPr>
        <w:t xml:space="preserve"> </w:t>
      </w:r>
    </w:p>
    <w:p w14:paraId="108941AC"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Parihar, S., Verma, M., Sharma, S., &amp; Meena, R. (2023). Prevalence of premature hair graying, its associated factors and impact on quality of life in medical students from Rajasthan, India. </w:t>
      </w:r>
      <w:r w:rsidRPr="00490E04">
        <w:rPr>
          <w:rFonts w:ascii="Arial" w:hAnsi="Arial" w:cs="Arial"/>
          <w:i/>
          <w:iCs/>
          <w:sz w:val="20"/>
          <w:szCs w:val="20"/>
          <w:shd w:val="clear" w:color="auto" w:fill="FFFFFF"/>
        </w:rPr>
        <w:t>Journal of Medical Evidence</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4</w:t>
      </w:r>
      <w:r w:rsidRPr="00490E04">
        <w:rPr>
          <w:rFonts w:ascii="Arial" w:hAnsi="Arial" w:cs="Arial"/>
          <w:sz w:val="20"/>
          <w:szCs w:val="20"/>
          <w:shd w:val="clear" w:color="auto" w:fill="FFFFFF"/>
        </w:rPr>
        <w:t>(3), 213-219.</w:t>
      </w:r>
    </w:p>
    <w:p w14:paraId="7CA91CBA" w14:textId="77777777" w:rsidR="000E417F" w:rsidRDefault="000E417F" w:rsidP="000E417F">
      <w:pPr>
        <w:pStyle w:val="ListParagraph"/>
        <w:spacing w:after="0" w:line="240" w:lineRule="auto"/>
        <w:jc w:val="both"/>
        <w:rPr>
          <w:rFonts w:ascii="Arial" w:hAnsi="Arial" w:cs="Arial"/>
          <w:sz w:val="20"/>
          <w:szCs w:val="20"/>
          <w:shd w:val="clear" w:color="auto" w:fill="FFFFFF"/>
        </w:rPr>
      </w:pPr>
    </w:p>
    <w:p w14:paraId="7EC00314" w14:textId="77777777" w:rsidR="000E417F" w:rsidRPr="00490E04" w:rsidRDefault="000E417F" w:rsidP="00490E04">
      <w:pPr>
        <w:spacing w:line="240" w:lineRule="auto"/>
        <w:jc w:val="both"/>
        <w:rPr>
          <w:rFonts w:ascii="Arial" w:hAnsi="Arial" w:cs="Arial"/>
          <w:sz w:val="20"/>
          <w:szCs w:val="20"/>
        </w:rPr>
      </w:pPr>
      <w:r w:rsidRPr="00490E04">
        <w:rPr>
          <w:rFonts w:ascii="Arial" w:hAnsi="Arial" w:cs="Arial"/>
          <w:sz w:val="20"/>
          <w:szCs w:val="20"/>
        </w:rPr>
        <w:t xml:space="preserve">Pradhan, A., &amp; Gurung, S. (2023). A cross-sectional study of reticulocyte count and haemoglobin content of umbilical cord blood with relation to maternal factors in newborns of </w:t>
      </w:r>
      <w:proofErr w:type="spellStart"/>
      <w:r w:rsidRPr="00490E04">
        <w:rPr>
          <w:rFonts w:ascii="Arial" w:hAnsi="Arial" w:cs="Arial"/>
          <w:sz w:val="20"/>
          <w:szCs w:val="20"/>
        </w:rPr>
        <w:t>sikkim</w:t>
      </w:r>
      <w:proofErr w:type="spellEnd"/>
      <w:r w:rsidRPr="00490E04">
        <w:rPr>
          <w:rFonts w:ascii="Arial" w:hAnsi="Arial" w:cs="Arial"/>
          <w:sz w:val="20"/>
          <w:szCs w:val="20"/>
        </w:rPr>
        <w:t xml:space="preserve">. </w:t>
      </w:r>
      <w:r w:rsidRPr="00490E04">
        <w:rPr>
          <w:rFonts w:ascii="Arial" w:hAnsi="Arial" w:cs="Arial"/>
          <w:i/>
          <w:sz w:val="20"/>
          <w:szCs w:val="20"/>
        </w:rPr>
        <w:t>National Journal of Physiology, Pharmacy and Pharmacology</w:t>
      </w:r>
      <w:r w:rsidRPr="00490E04">
        <w:rPr>
          <w:rFonts w:ascii="Arial" w:hAnsi="Arial" w:cs="Arial"/>
          <w:sz w:val="20"/>
          <w:szCs w:val="20"/>
        </w:rPr>
        <w:t>, 13(1), 96-96.</w:t>
      </w:r>
    </w:p>
    <w:p w14:paraId="27430BAE" w14:textId="77777777" w:rsidR="000E417F" w:rsidRPr="00490E04" w:rsidRDefault="000E417F" w:rsidP="00490E04">
      <w:pPr>
        <w:spacing w:after="0" w:line="240" w:lineRule="auto"/>
        <w:jc w:val="both"/>
        <w:rPr>
          <w:rFonts w:ascii="Arial" w:hAnsi="Arial" w:cs="Arial"/>
          <w:sz w:val="20"/>
          <w:szCs w:val="20"/>
        </w:rPr>
      </w:pPr>
      <w:r w:rsidRPr="00490E04">
        <w:rPr>
          <w:rFonts w:ascii="Arial" w:hAnsi="Arial" w:cs="Arial"/>
          <w:sz w:val="20"/>
          <w:szCs w:val="20"/>
          <w:lang w:val="zh-CN"/>
        </w:rPr>
        <w:t xml:space="preserve">Prashant, K. M., Anil, K. G., &amp; Rajkumar, N. (2024). </w:t>
      </w:r>
      <w:r w:rsidRPr="00490E04">
        <w:rPr>
          <w:rFonts w:ascii="Arial" w:hAnsi="Arial" w:cs="Arial"/>
          <w:sz w:val="20"/>
          <w:szCs w:val="20"/>
        </w:rPr>
        <w:t>Comparative study of micronutrient deficiency in prepubertal and post-pubertal patients of premature canities.</w:t>
      </w:r>
      <w:r w:rsidR="00490E04">
        <w:rPr>
          <w:rFonts w:ascii="Arial" w:hAnsi="Arial" w:cs="Arial"/>
          <w:sz w:val="20"/>
          <w:szCs w:val="20"/>
        </w:rPr>
        <w:t xml:space="preserve"> </w:t>
      </w:r>
      <w:r w:rsidRPr="00490E04">
        <w:rPr>
          <w:rFonts w:ascii="Arial" w:hAnsi="Arial" w:cs="Arial"/>
          <w:i/>
          <w:sz w:val="20"/>
          <w:szCs w:val="20"/>
        </w:rPr>
        <w:t>International Journal of Health Sciences and Research</w:t>
      </w:r>
      <w:r w:rsidRPr="00490E04">
        <w:rPr>
          <w:rFonts w:ascii="Arial" w:hAnsi="Arial" w:cs="Arial"/>
          <w:sz w:val="20"/>
          <w:szCs w:val="20"/>
        </w:rPr>
        <w:t>, 14(3), 11-15.</w:t>
      </w:r>
    </w:p>
    <w:p w14:paraId="5223DDF6" w14:textId="77777777" w:rsidR="000E417F" w:rsidRDefault="000E417F" w:rsidP="000E417F">
      <w:pPr>
        <w:pStyle w:val="ListParagraph"/>
        <w:spacing w:after="0" w:line="240" w:lineRule="auto"/>
        <w:jc w:val="both"/>
        <w:rPr>
          <w:rFonts w:ascii="Arial" w:eastAsia="Times New Roman" w:hAnsi="Arial" w:cs="Arial"/>
          <w:sz w:val="20"/>
          <w:szCs w:val="20"/>
          <w:lang w:eastAsia="en-GB"/>
        </w:rPr>
      </w:pPr>
    </w:p>
    <w:p w14:paraId="450718B5"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Saxena, S., Gautam, R. K., Gupta, A.</w:t>
      </w:r>
      <w:r w:rsidR="00490E04">
        <w:rPr>
          <w:rFonts w:ascii="Arial" w:hAnsi="Arial" w:cs="Arial"/>
          <w:sz w:val="20"/>
          <w:szCs w:val="20"/>
          <w:shd w:val="clear" w:color="auto" w:fill="FFFFFF"/>
        </w:rPr>
        <w:t>,</w:t>
      </w:r>
      <w:r w:rsidRPr="00490E04">
        <w:rPr>
          <w:rFonts w:ascii="Arial" w:hAnsi="Arial" w:cs="Arial"/>
          <w:sz w:val="20"/>
          <w:szCs w:val="20"/>
          <w:shd w:val="clear" w:color="auto" w:fill="FFFFFF"/>
        </w:rPr>
        <w:t xml:space="preserve"> &amp; Chitkara, A. (2020</w:t>
      </w:r>
      <w:proofErr w:type="gramStart"/>
      <w:r w:rsidRPr="00490E04">
        <w:rPr>
          <w:rFonts w:ascii="Arial" w:hAnsi="Arial" w:cs="Arial"/>
          <w:sz w:val="20"/>
          <w:szCs w:val="20"/>
          <w:shd w:val="clear" w:color="auto" w:fill="FFFFFF"/>
        </w:rPr>
        <w:t>).Evaluation</w:t>
      </w:r>
      <w:proofErr w:type="gramEnd"/>
      <w:r w:rsidRPr="00490E04">
        <w:rPr>
          <w:rFonts w:ascii="Arial" w:hAnsi="Arial" w:cs="Arial"/>
          <w:sz w:val="20"/>
          <w:szCs w:val="20"/>
          <w:shd w:val="clear" w:color="auto" w:fill="FFFFFF"/>
        </w:rPr>
        <w:t xml:space="preserve"> of systemic oxidative stress in patients with premature canities and correlation of severity of hair graying with the degree of redox imbalance. </w:t>
      </w:r>
      <w:r w:rsidRPr="00490E04">
        <w:rPr>
          <w:rFonts w:ascii="Arial" w:hAnsi="Arial" w:cs="Arial"/>
          <w:i/>
          <w:iCs/>
          <w:sz w:val="20"/>
          <w:szCs w:val="20"/>
          <w:shd w:val="clear" w:color="auto" w:fill="FFFFFF"/>
        </w:rPr>
        <w:t>International Journal of Trichology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12</w:t>
      </w:r>
      <w:r w:rsidRPr="00490E04">
        <w:rPr>
          <w:rFonts w:ascii="Arial" w:hAnsi="Arial" w:cs="Arial"/>
          <w:sz w:val="20"/>
          <w:szCs w:val="20"/>
          <w:shd w:val="clear" w:color="auto" w:fill="FFFFFF"/>
        </w:rPr>
        <w:t>(1), 16-21.</w:t>
      </w:r>
    </w:p>
    <w:p w14:paraId="3C4BB8A3" w14:textId="77777777" w:rsidR="000E417F" w:rsidRDefault="000E417F" w:rsidP="000E417F">
      <w:pPr>
        <w:pStyle w:val="ListParagraph"/>
        <w:spacing w:after="0" w:line="240" w:lineRule="auto"/>
        <w:jc w:val="both"/>
        <w:rPr>
          <w:rFonts w:ascii="Arial" w:hAnsi="Arial" w:cs="Arial"/>
          <w:sz w:val="20"/>
          <w:szCs w:val="20"/>
          <w:shd w:val="clear" w:color="auto" w:fill="FFFFFF"/>
        </w:rPr>
      </w:pPr>
    </w:p>
    <w:p w14:paraId="3FF719BC"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Sharma, N.</w:t>
      </w:r>
      <w:r w:rsidR="00490E04">
        <w:rPr>
          <w:rFonts w:ascii="Arial" w:hAnsi="Arial" w:cs="Arial"/>
          <w:sz w:val="20"/>
          <w:szCs w:val="20"/>
          <w:shd w:val="clear" w:color="auto" w:fill="FFFFFF"/>
        </w:rPr>
        <w:t>,</w:t>
      </w:r>
      <w:r w:rsidRPr="00490E04">
        <w:rPr>
          <w:rFonts w:ascii="Arial" w:hAnsi="Arial" w:cs="Arial"/>
          <w:sz w:val="20"/>
          <w:szCs w:val="20"/>
          <w:shd w:val="clear" w:color="auto" w:fill="FFFFFF"/>
        </w:rPr>
        <w:t xml:space="preserve"> &amp; Dogra, D. (2018). Association of epidemiological and biochemical factors with premature graying of hair: a case–control study. </w:t>
      </w:r>
      <w:r w:rsidRPr="00490E04">
        <w:rPr>
          <w:rFonts w:ascii="Arial" w:hAnsi="Arial" w:cs="Arial"/>
          <w:i/>
          <w:iCs/>
          <w:sz w:val="20"/>
          <w:szCs w:val="20"/>
          <w:shd w:val="clear" w:color="auto" w:fill="FFFFFF"/>
        </w:rPr>
        <w:t>International Journal of Trichology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10</w:t>
      </w:r>
      <w:r w:rsidRPr="00490E04">
        <w:rPr>
          <w:rFonts w:ascii="Arial" w:hAnsi="Arial" w:cs="Arial"/>
          <w:sz w:val="20"/>
          <w:szCs w:val="20"/>
          <w:shd w:val="clear" w:color="auto" w:fill="FFFFFF"/>
        </w:rPr>
        <w:t>(5), 211-217.</w:t>
      </w:r>
    </w:p>
    <w:p w14:paraId="05A316F2" w14:textId="77777777" w:rsidR="000E417F" w:rsidRDefault="000E417F" w:rsidP="000E417F">
      <w:pPr>
        <w:pStyle w:val="ListParagraph"/>
        <w:spacing w:after="0" w:line="240" w:lineRule="auto"/>
        <w:jc w:val="both"/>
        <w:rPr>
          <w:rFonts w:ascii="Arial" w:hAnsi="Arial" w:cs="Arial"/>
          <w:sz w:val="20"/>
          <w:szCs w:val="20"/>
          <w:shd w:val="clear" w:color="auto" w:fill="FFFFFF"/>
        </w:rPr>
      </w:pPr>
    </w:p>
    <w:p w14:paraId="5CB3E6A1"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Shin, H., Ryu, H. H., Yoon, J., Jo, S., Jang, S., Choi, M., Kwon. O., &amp; Jo, S. J. (2015). Association of premature hair graying with family history, smoking and obesity: a cross-sectional study. </w:t>
      </w:r>
      <w:r w:rsidRPr="00490E04">
        <w:rPr>
          <w:rFonts w:ascii="Arial" w:hAnsi="Arial" w:cs="Arial"/>
          <w:i/>
          <w:iCs/>
          <w:sz w:val="20"/>
          <w:szCs w:val="20"/>
          <w:shd w:val="clear" w:color="auto" w:fill="FFFFFF"/>
        </w:rPr>
        <w:t>Journal of the American Academy of Dermatology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72</w:t>
      </w:r>
      <w:r w:rsidRPr="00490E04">
        <w:rPr>
          <w:rFonts w:ascii="Arial" w:hAnsi="Arial" w:cs="Arial"/>
          <w:sz w:val="20"/>
          <w:szCs w:val="20"/>
          <w:shd w:val="clear" w:color="auto" w:fill="FFFFFF"/>
        </w:rPr>
        <w:t>(2), 321-327.</w:t>
      </w:r>
    </w:p>
    <w:p w14:paraId="7CA38879" w14:textId="77777777" w:rsidR="000E417F" w:rsidRDefault="000E417F" w:rsidP="000E417F">
      <w:pPr>
        <w:pStyle w:val="ListParagraph"/>
        <w:spacing w:after="0" w:line="240" w:lineRule="auto"/>
        <w:jc w:val="both"/>
        <w:rPr>
          <w:rFonts w:ascii="Arial" w:eastAsia="Times New Roman" w:hAnsi="Arial" w:cs="Arial"/>
          <w:sz w:val="20"/>
          <w:szCs w:val="20"/>
        </w:rPr>
      </w:pPr>
    </w:p>
    <w:p w14:paraId="28B78FEE" w14:textId="77777777" w:rsidR="000E417F" w:rsidRDefault="000E417F" w:rsidP="00490E04">
      <w:pPr>
        <w:pStyle w:val="Heading1"/>
        <w:shd w:val="clear" w:color="auto" w:fill="FFFFFF"/>
        <w:spacing w:before="0" w:line="240" w:lineRule="auto"/>
        <w:jc w:val="both"/>
        <w:rPr>
          <w:rFonts w:ascii="Arial" w:hAnsi="Arial" w:cs="Arial"/>
          <w:b/>
          <w:color w:val="auto"/>
          <w:sz w:val="20"/>
          <w:szCs w:val="20"/>
          <w:shd w:val="clear" w:color="auto" w:fill="FFFFFF"/>
        </w:rPr>
      </w:pPr>
      <w:proofErr w:type="spellStart"/>
      <w:r>
        <w:rPr>
          <w:rFonts w:ascii="Arial" w:hAnsi="Arial" w:cs="Arial"/>
          <w:color w:val="auto"/>
          <w:sz w:val="20"/>
          <w:szCs w:val="20"/>
          <w:shd w:val="clear" w:color="auto" w:fill="FFFFFF"/>
        </w:rPr>
        <w:t>Sonthalia</w:t>
      </w:r>
      <w:proofErr w:type="spellEnd"/>
      <w:r>
        <w:rPr>
          <w:rFonts w:ascii="Arial" w:hAnsi="Arial" w:cs="Arial"/>
          <w:color w:val="auto"/>
          <w:sz w:val="20"/>
          <w:szCs w:val="20"/>
          <w:shd w:val="clear" w:color="auto" w:fill="FFFFFF"/>
        </w:rPr>
        <w:t>, S., Priya, A., &amp; Tobin, D. J. (2017). Demographic characteristics and association of serum vitamin B</w:t>
      </w:r>
      <w:r>
        <w:rPr>
          <w:rFonts w:ascii="Arial" w:hAnsi="Arial" w:cs="Arial"/>
          <w:color w:val="auto"/>
          <w:sz w:val="20"/>
          <w:szCs w:val="20"/>
          <w:shd w:val="clear" w:color="auto" w:fill="FFFFFF"/>
          <w:vertAlign w:val="subscript"/>
        </w:rPr>
        <w:t>12</w:t>
      </w:r>
      <w:r>
        <w:rPr>
          <w:rFonts w:ascii="Arial" w:hAnsi="Arial" w:cs="Arial"/>
          <w:color w:val="auto"/>
          <w:sz w:val="20"/>
          <w:szCs w:val="20"/>
          <w:shd w:val="clear" w:color="auto" w:fill="FFFFFF"/>
        </w:rPr>
        <w:t>, ferritin and thyroid function with premature canities in Indian patients from an urban skin clinic of North India: a retrospective analysis of 71 cases. </w:t>
      </w:r>
      <w:r>
        <w:rPr>
          <w:rFonts w:ascii="Arial" w:hAnsi="Arial" w:cs="Arial"/>
          <w:i/>
          <w:iCs/>
          <w:color w:val="auto"/>
          <w:sz w:val="20"/>
          <w:szCs w:val="20"/>
          <w:shd w:val="clear" w:color="auto" w:fill="FFFFFF"/>
        </w:rPr>
        <w:t>Indian Journal of Dermatology</w:t>
      </w:r>
      <w:r>
        <w:rPr>
          <w:rFonts w:ascii="Arial" w:hAnsi="Arial" w:cs="Arial"/>
          <w:color w:val="auto"/>
          <w:sz w:val="20"/>
          <w:szCs w:val="20"/>
          <w:shd w:val="clear" w:color="auto" w:fill="FFFFFF"/>
        </w:rPr>
        <w:t>, </w:t>
      </w:r>
      <w:r>
        <w:rPr>
          <w:rFonts w:ascii="Arial" w:hAnsi="Arial" w:cs="Arial"/>
          <w:iCs/>
          <w:color w:val="auto"/>
          <w:sz w:val="20"/>
          <w:szCs w:val="20"/>
          <w:shd w:val="clear" w:color="auto" w:fill="FFFFFF"/>
        </w:rPr>
        <w:t>62</w:t>
      </w:r>
      <w:r>
        <w:rPr>
          <w:rFonts w:ascii="Arial" w:hAnsi="Arial" w:cs="Arial"/>
          <w:color w:val="auto"/>
          <w:sz w:val="20"/>
          <w:szCs w:val="20"/>
          <w:shd w:val="clear" w:color="auto" w:fill="FFFFFF"/>
        </w:rPr>
        <w:t>(3), 304-308.</w:t>
      </w:r>
    </w:p>
    <w:p w14:paraId="25196E9C" w14:textId="77777777" w:rsidR="00490E04" w:rsidRDefault="00490E04" w:rsidP="00490E04">
      <w:pPr>
        <w:spacing w:after="0" w:line="240" w:lineRule="auto"/>
        <w:jc w:val="both"/>
        <w:rPr>
          <w:rFonts w:ascii="Arial" w:hAnsi="Arial" w:cs="Arial"/>
          <w:sz w:val="20"/>
          <w:szCs w:val="20"/>
          <w:shd w:val="clear" w:color="auto" w:fill="FFFFFF"/>
        </w:rPr>
      </w:pPr>
    </w:p>
    <w:p w14:paraId="5BB525A5" w14:textId="77777777" w:rsidR="000E417F" w:rsidRPr="00490E04" w:rsidRDefault="000E417F" w:rsidP="00490E04">
      <w:pPr>
        <w:spacing w:after="0" w:line="240" w:lineRule="auto"/>
        <w:jc w:val="both"/>
        <w:rPr>
          <w:rFonts w:ascii="Arial" w:hAnsi="Arial" w:cs="Arial"/>
          <w:sz w:val="20"/>
          <w:szCs w:val="20"/>
          <w:shd w:val="clear" w:color="auto" w:fill="FFFFFF"/>
        </w:rPr>
      </w:pPr>
      <w:r w:rsidRPr="00490E04">
        <w:rPr>
          <w:rFonts w:ascii="Arial" w:hAnsi="Arial" w:cs="Arial"/>
          <w:sz w:val="20"/>
          <w:szCs w:val="20"/>
          <w:shd w:val="clear" w:color="auto" w:fill="FFFFFF"/>
        </w:rPr>
        <w:t>Wang, S., Kang, Y., Qi, F., &amp; Jin, H. (2023). Genetics of hair graying with age. </w:t>
      </w:r>
      <w:r w:rsidRPr="00490E04">
        <w:rPr>
          <w:rFonts w:ascii="Arial" w:hAnsi="Arial" w:cs="Arial"/>
          <w:i/>
          <w:iCs/>
          <w:sz w:val="20"/>
          <w:szCs w:val="20"/>
          <w:shd w:val="clear" w:color="auto" w:fill="FFFFFF"/>
        </w:rPr>
        <w:t>Ageing Research Reviews</w:t>
      </w:r>
      <w:r w:rsidRPr="00490E04">
        <w:rPr>
          <w:rFonts w:ascii="Arial" w:hAnsi="Arial" w:cs="Arial"/>
          <w:sz w:val="20"/>
          <w:szCs w:val="20"/>
          <w:shd w:val="clear" w:color="auto" w:fill="FFFFFF"/>
        </w:rPr>
        <w:t xml:space="preserve">, 89, 101977. </w:t>
      </w:r>
      <w:proofErr w:type="spellStart"/>
      <w:r w:rsidRPr="00490E04">
        <w:rPr>
          <w:rFonts w:ascii="Arial" w:hAnsi="Arial" w:cs="Arial"/>
          <w:sz w:val="20"/>
          <w:szCs w:val="20"/>
          <w:shd w:val="clear" w:color="auto" w:fill="FFFFFF"/>
        </w:rPr>
        <w:t>doi</w:t>
      </w:r>
      <w:proofErr w:type="spellEnd"/>
      <w:r w:rsidRPr="00490E04">
        <w:rPr>
          <w:rFonts w:ascii="Arial" w:hAnsi="Arial" w:cs="Arial"/>
          <w:sz w:val="20"/>
          <w:szCs w:val="20"/>
          <w:shd w:val="clear" w:color="auto" w:fill="FFFFFF"/>
        </w:rPr>
        <w:t>: 10.1016/j.arr.2023.101977.</w:t>
      </w:r>
    </w:p>
    <w:p w14:paraId="4F721603" w14:textId="77777777" w:rsidR="00490E04" w:rsidRDefault="00490E04" w:rsidP="00490E04">
      <w:pPr>
        <w:spacing w:after="0" w:line="240" w:lineRule="auto"/>
        <w:jc w:val="both"/>
        <w:rPr>
          <w:rFonts w:ascii="Arial" w:hAnsi="Arial" w:cs="Arial"/>
          <w:sz w:val="20"/>
          <w:szCs w:val="20"/>
          <w:shd w:val="clear" w:color="auto" w:fill="FFFFFF"/>
        </w:rPr>
      </w:pPr>
    </w:p>
    <w:p w14:paraId="66C36095" w14:textId="77777777" w:rsidR="000E417F" w:rsidRPr="00490E04" w:rsidRDefault="000E417F" w:rsidP="00490E04">
      <w:pPr>
        <w:spacing w:after="0" w:line="240" w:lineRule="auto"/>
        <w:jc w:val="both"/>
        <w:rPr>
          <w:rFonts w:ascii="Arial" w:hAnsi="Arial" w:cs="Arial"/>
          <w:iCs/>
          <w:sz w:val="20"/>
          <w:szCs w:val="20"/>
        </w:rPr>
      </w:pPr>
      <w:r w:rsidRPr="00490E04">
        <w:rPr>
          <w:rFonts w:ascii="Arial" w:hAnsi="Arial" w:cs="Arial"/>
          <w:sz w:val="20"/>
          <w:szCs w:val="20"/>
          <w:shd w:val="clear" w:color="auto" w:fill="FFFFFF"/>
        </w:rPr>
        <w:lastRenderedPageBreak/>
        <w:t xml:space="preserve">Yadav, D., Chander, R., Mendiratta, V., Debnath, E., </w:t>
      </w:r>
      <w:proofErr w:type="spellStart"/>
      <w:r w:rsidRPr="00490E04">
        <w:rPr>
          <w:rFonts w:ascii="Arial" w:hAnsi="Arial" w:cs="Arial"/>
          <w:sz w:val="20"/>
          <w:szCs w:val="20"/>
          <w:shd w:val="clear" w:color="auto" w:fill="FFFFFF"/>
        </w:rPr>
        <w:t>Bisherwal</w:t>
      </w:r>
      <w:proofErr w:type="spellEnd"/>
      <w:r w:rsidRPr="00490E04">
        <w:rPr>
          <w:rFonts w:ascii="Arial" w:hAnsi="Arial" w:cs="Arial"/>
          <w:sz w:val="20"/>
          <w:szCs w:val="20"/>
          <w:shd w:val="clear" w:color="auto" w:fill="FFFFFF"/>
        </w:rPr>
        <w:t>, K., &amp; Das, S. (2022). A Study of micronutrient levels in premature canities in children. </w:t>
      </w:r>
      <w:r w:rsidRPr="00490E04">
        <w:rPr>
          <w:rFonts w:ascii="Arial" w:hAnsi="Arial" w:cs="Arial"/>
          <w:i/>
          <w:iCs/>
          <w:sz w:val="20"/>
          <w:szCs w:val="20"/>
          <w:shd w:val="clear" w:color="auto" w:fill="FFFFFF"/>
        </w:rPr>
        <w:t>Indian Journal of Paediatric Dermatology</w:t>
      </w:r>
      <w:r w:rsidRPr="00490E04">
        <w:rPr>
          <w:rFonts w:ascii="Arial" w:hAnsi="Arial" w:cs="Arial"/>
          <w:sz w:val="20"/>
          <w:szCs w:val="20"/>
          <w:shd w:val="clear" w:color="auto" w:fill="FFFFFF"/>
        </w:rPr>
        <w:t>, </w:t>
      </w:r>
      <w:r w:rsidRPr="00490E04">
        <w:rPr>
          <w:rFonts w:ascii="Arial" w:hAnsi="Arial" w:cs="Arial"/>
          <w:iCs/>
          <w:sz w:val="20"/>
          <w:szCs w:val="20"/>
          <w:shd w:val="clear" w:color="auto" w:fill="FFFFFF"/>
        </w:rPr>
        <w:t>23</w:t>
      </w:r>
      <w:r w:rsidRPr="00490E04">
        <w:rPr>
          <w:rFonts w:ascii="Arial" w:hAnsi="Arial" w:cs="Arial"/>
          <w:sz w:val="20"/>
          <w:szCs w:val="20"/>
          <w:shd w:val="clear" w:color="auto" w:fill="FFFFFF"/>
        </w:rPr>
        <w:t xml:space="preserve">(4), 297-301.  </w:t>
      </w:r>
    </w:p>
    <w:p w14:paraId="705D18C1" w14:textId="77777777" w:rsidR="000E417F" w:rsidRDefault="000E417F" w:rsidP="000E417F">
      <w:pPr>
        <w:spacing w:after="0" w:line="240" w:lineRule="auto"/>
        <w:ind w:left="360"/>
        <w:jc w:val="both"/>
        <w:rPr>
          <w:rFonts w:ascii="Times New Roman" w:eastAsia="Times New Roman" w:hAnsi="Times New Roman" w:cs="Times New Roman"/>
          <w:sz w:val="24"/>
          <w:szCs w:val="24"/>
          <w:lang w:eastAsia="en-GB"/>
        </w:rPr>
      </w:pPr>
    </w:p>
    <w:p w14:paraId="3E8BA225" w14:textId="77777777" w:rsidR="0080547E" w:rsidRDefault="0080547E"/>
    <w:sectPr w:rsidR="0080547E" w:rsidSect="00F020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28A7B" w14:textId="77777777" w:rsidR="009F19AE" w:rsidRDefault="009F19AE" w:rsidP="0063313C">
      <w:pPr>
        <w:spacing w:after="0" w:line="240" w:lineRule="auto"/>
      </w:pPr>
      <w:r>
        <w:separator/>
      </w:r>
    </w:p>
  </w:endnote>
  <w:endnote w:type="continuationSeparator" w:id="0">
    <w:p w14:paraId="102BBA25" w14:textId="77777777" w:rsidR="009F19AE" w:rsidRDefault="009F19AE" w:rsidP="0063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9B437" w14:textId="77777777" w:rsidR="0063313C" w:rsidRDefault="00633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A22A5" w14:textId="77777777" w:rsidR="0063313C" w:rsidRDefault="00633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0010" w14:textId="77777777" w:rsidR="0063313C" w:rsidRDefault="00633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A2BCB" w14:textId="77777777" w:rsidR="009F19AE" w:rsidRDefault="009F19AE" w:rsidP="0063313C">
      <w:pPr>
        <w:spacing w:after="0" w:line="240" w:lineRule="auto"/>
      </w:pPr>
      <w:r>
        <w:separator/>
      </w:r>
    </w:p>
  </w:footnote>
  <w:footnote w:type="continuationSeparator" w:id="0">
    <w:p w14:paraId="6BF0C82A" w14:textId="77777777" w:rsidR="009F19AE" w:rsidRDefault="009F19AE" w:rsidP="00633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CE2B" w14:textId="71B0CC43" w:rsidR="0063313C" w:rsidRDefault="0063313C">
    <w:pPr>
      <w:pStyle w:val="Header"/>
    </w:pPr>
    <w:r>
      <w:rPr>
        <w:noProof/>
      </w:rPr>
      <w:pict w14:anchorId="44079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7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7B69" w14:textId="70EF6709" w:rsidR="0063313C" w:rsidRDefault="0063313C">
    <w:pPr>
      <w:pStyle w:val="Header"/>
    </w:pPr>
    <w:r>
      <w:rPr>
        <w:noProof/>
      </w:rPr>
      <w:pict w14:anchorId="375C7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7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F805" w14:textId="21EBA8C7" w:rsidR="0063313C" w:rsidRDefault="0063313C">
    <w:pPr>
      <w:pStyle w:val="Header"/>
    </w:pPr>
    <w:r>
      <w:rPr>
        <w:noProof/>
      </w:rPr>
      <w:pict w14:anchorId="540D6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7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D1A73"/>
    <w:multiLevelType w:val="multilevel"/>
    <w:tmpl w:val="3A2D1A73"/>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89778A"/>
    <w:multiLevelType w:val="multilevel"/>
    <w:tmpl w:val="4C8977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417F"/>
    <w:rsid w:val="0001745A"/>
    <w:rsid w:val="00062CCD"/>
    <w:rsid w:val="000A029E"/>
    <w:rsid w:val="000D1D0B"/>
    <w:rsid w:val="000E417F"/>
    <w:rsid w:val="000F216A"/>
    <w:rsid w:val="002C26C1"/>
    <w:rsid w:val="00401C93"/>
    <w:rsid w:val="00402545"/>
    <w:rsid w:val="0046224F"/>
    <w:rsid w:val="00490E04"/>
    <w:rsid w:val="0051646A"/>
    <w:rsid w:val="00541934"/>
    <w:rsid w:val="0063313C"/>
    <w:rsid w:val="006C7A4C"/>
    <w:rsid w:val="0080547E"/>
    <w:rsid w:val="00922AE0"/>
    <w:rsid w:val="00997E97"/>
    <w:rsid w:val="009C0A6B"/>
    <w:rsid w:val="009F19AE"/>
    <w:rsid w:val="00A240BB"/>
    <w:rsid w:val="00A2645F"/>
    <w:rsid w:val="00A33A46"/>
    <w:rsid w:val="00A86C62"/>
    <w:rsid w:val="00B232D6"/>
    <w:rsid w:val="00B54571"/>
    <w:rsid w:val="00CA3010"/>
    <w:rsid w:val="00CC1529"/>
    <w:rsid w:val="00D63A12"/>
    <w:rsid w:val="00DD3972"/>
    <w:rsid w:val="00E46198"/>
    <w:rsid w:val="00E81285"/>
    <w:rsid w:val="00F020FF"/>
    <w:rsid w:val="00FC2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01515F"/>
  <w15:docId w15:val="{F15C5339-42A4-402A-9616-127719A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17F"/>
    <w:pPr>
      <w:spacing w:after="200" w:line="276" w:lineRule="auto"/>
    </w:pPr>
  </w:style>
  <w:style w:type="paragraph" w:styleId="Heading1">
    <w:name w:val="heading 1"/>
    <w:basedOn w:val="Normal"/>
    <w:next w:val="Normal"/>
    <w:link w:val="Heading1Char"/>
    <w:uiPriority w:val="9"/>
    <w:qFormat/>
    <w:rsid w:val="000E4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1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1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1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1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1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1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1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17F"/>
    <w:rPr>
      <w:rFonts w:eastAsiaTheme="majorEastAsia" w:cstheme="majorBidi"/>
      <w:color w:val="272727" w:themeColor="text1" w:themeTint="D8"/>
    </w:rPr>
  </w:style>
  <w:style w:type="paragraph" w:styleId="Title">
    <w:name w:val="Title"/>
    <w:basedOn w:val="Normal"/>
    <w:next w:val="Normal"/>
    <w:link w:val="TitleChar"/>
    <w:uiPriority w:val="10"/>
    <w:qFormat/>
    <w:rsid w:val="000E4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17F"/>
    <w:pPr>
      <w:spacing w:before="160"/>
      <w:jc w:val="center"/>
    </w:pPr>
    <w:rPr>
      <w:i/>
      <w:iCs/>
      <w:color w:val="404040" w:themeColor="text1" w:themeTint="BF"/>
    </w:rPr>
  </w:style>
  <w:style w:type="character" w:customStyle="1" w:styleId="QuoteChar">
    <w:name w:val="Quote Char"/>
    <w:basedOn w:val="DefaultParagraphFont"/>
    <w:link w:val="Quote"/>
    <w:uiPriority w:val="29"/>
    <w:rsid w:val="000E417F"/>
    <w:rPr>
      <w:i/>
      <w:iCs/>
      <w:color w:val="404040" w:themeColor="text1" w:themeTint="BF"/>
    </w:rPr>
  </w:style>
  <w:style w:type="paragraph" w:styleId="ListParagraph">
    <w:name w:val="List Paragraph"/>
    <w:basedOn w:val="Normal"/>
    <w:uiPriority w:val="34"/>
    <w:qFormat/>
    <w:rsid w:val="000E417F"/>
    <w:pPr>
      <w:ind w:left="720"/>
      <w:contextualSpacing/>
    </w:pPr>
  </w:style>
  <w:style w:type="character" w:styleId="IntenseEmphasis">
    <w:name w:val="Intense Emphasis"/>
    <w:basedOn w:val="DefaultParagraphFont"/>
    <w:uiPriority w:val="21"/>
    <w:qFormat/>
    <w:rsid w:val="000E417F"/>
    <w:rPr>
      <w:i/>
      <w:iCs/>
      <w:color w:val="2F5496" w:themeColor="accent1" w:themeShade="BF"/>
    </w:rPr>
  </w:style>
  <w:style w:type="paragraph" w:styleId="IntenseQuote">
    <w:name w:val="Intense Quote"/>
    <w:basedOn w:val="Normal"/>
    <w:next w:val="Normal"/>
    <w:link w:val="IntenseQuoteChar"/>
    <w:uiPriority w:val="30"/>
    <w:qFormat/>
    <w:rsid w:val="000E4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17F"/>
    <w:rPr>
      <w:i/>
      <w:iCs/>
      <w:color w:val="2F5496" w:themeColor="accent1" w:themeShade="BF"/>
    </w:rPr>
  </w:style>
  <w:style w:type="character" w:styleId="IntenseReference">
    <w:name w:val="Intense Reference"/>
    <w:basedOn w:val="DefaultParagraphFont"/>
    <w:uiPriority w:val="32"/>
    <w:qFormat/>
    <w:rsid w:val="000E417F"/>
    <w:rPr>
      <w:b/>
      <w:bCs/>
      <w:smallCaps/>
      <w:color w:val="2F5496" w:themeColor="accent1" w:themeShade="BF"/>
      <w:spacing w:val="5"/>
    </w:rPr>
  </w:style>
  <w:style w:type="paragraph" w:styleId="BalloonText">
    <w:name w:val="Balloon Text"/>
    <w:basedOn w:val="Normal"/>
    <w:link w:val="BalloonTextChar"/>
    <w:uiPriority w:val="99"/>
    <w:semiHidden/>
    <w:unhideWhenUsed/>
    <w:qFormat/>
    <w:rsid w:val="000E4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7F"/>
    <w:rPr>
      <w:rFonts w:ascii="Tahoma" w:hAnsi="Tahoma" w:cs="Tahoma"/>
      <w:sz w:val="16"/>
      <w:szCs w:val="16"/>
      <w:lang w:val="en-US"/>
    </w:rPr>
  </w:style>
  <w:style w:type="character" w:styleId="Emphasis">
    <w:name w:val="Emphasis"/>
    <w:basedOn w:val="DefaultParagraphFont"/>
    <w:uiPriority w:val="20"/>
    <w:qFormat/>
    <w:rsid w:val="000E417F"/>
    <w:rPr>
      <w:i/>
      <w:iCs/>
    </w:rPr>
  </w:style>
  <w:style w:type="character" w:styleId="HTMLCite">
    <w:name w:val="HTML Cite"/>
    <w:basedOn w:val="DefaultParagraphFont"/>
    <w:uiPriority w:val="99"/>
    <w:semiHidden/>
    <w:unhideWhenUsed/>
    <w:qFormat/>
    <w:rsid w:val="000E417F"/>
    <w:rPr>
      <w:i/>
      <w:iCs/>
    </w:rPr>
  </w:style>
  <w:style w:type="character" w:styleId="Hyperlink">
    <w:name w:val="Hyperlink"/>
    <w:basedOn w:val="DefaultParagraphFont"/>
    <w:uiPriority w:val="99"/>
    <w:unhideWhenUsed/>
    <w:qFormat/>
    <w:rsid w:val="000E417F"/>
    <w:rPr>
      <w:color w:val="0000FF"/>
      <w:u w:val="single"/>
    </w:rPr>
  </w:style>
  <w:style w:type="paragraph" w:styleId="NormalWeb">
    <w:name w:val="Normal (Web)"/>
    <w:basedOn w:val="Normal"/>
    <w:uiPriority w:val="99"/>
    <w:unhideWhenUsed/>
    <w:qFormat/>
    <w:rsid w:val="000E41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417F"/>
    <w:rPr>
      <w:b/>
      <w:bCs/>
    </w:rPr>
  </w:style>
  <w:style w:type="table" w:styleId="TableGrid">
    <w:name w:val="Table Grid"/>
    <w:basedOn w:val="TableNormal"/>
    <w:uiPriority w:val="59"/>
    <w:rsid w:val="000E417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0E417F"/>
  </w:style>
  <w:style w:type="character" w:customStyle="1" w:styleId="nowrap">
    <w:name w:val="nowrap"/>
    <w:basedOn w:val="DefaultParagraphFont"/>
    <w:rsid w:val="000E417F"/>
  </w:style>
  <w:style w:type="character" w:customStyle="1" w:styleId="ref-vol">
    <w:name w:val="ref-vol"/>
    <w:basedOn w:val="DefaultParagraphFont"/>
    <w:rsid w:val="000E417F"/>
  </w:style>
  <w:style w:type="character" w:customStyle="1" w:styleId="z3988">
    <w:name w:val="z3988"/>
    <w:basedOn w:val="DefaultParagraphFont"/>
    <w:qFormat/>
    <w:rsid w:val="000E417F"/>
  </w:style>
  <w:style w:type="paragraph" w:styleId="Revision">
    <w:name w:val="Revision"/>
    <w:hidden/>
    <w:uiPriority w:val="99"/>
    <w:unhideWhenUsed/>
    <w:rsid w:val="000E417F"/>
    <w:pPr>
      <w:spacing w:after="0" w:line="240" w:lineRule="auto"/>
    </w:pPr>
  </w:style>
  <w:style w:type="paragraph" w:styleId="Header">
    <w:name w:val="header"/>
    <w:basedOn w:val="Normal"/>
    <w:link w:val="HeaderChar"/>
    <w:uiPriority w:val="99"/>
    <w:unhideWhenUsed/>
    <w:rsid w:val="00633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13C"/>
  </w:style>
  <w:style w:type="paragraph" w:styleId="Footer">
    <w:name w:val="footer"/>
    <w:basedOn w:val="Normal"/>
    <w:link w:val="FooterChar"/>
    <w:uiPriority w:val="99"/>
    <w:unhideWhenUsed/>
    <w:rsid w:val="00633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hyperlink" Target="https://doi.org/10.3352%2Fjeehp.2021.18.1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390/antiox110611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yperlink" Target="https://doi.org/10.1007%2Fs13203-018-0211-z"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851947869237416E-2"/>
          <c:y val="5.0925925925926041E-2"/>
          <c:w val="0.85905667168178046"/>
          <c:h val="0.82184784193642502"/>
        </c:manualLayout>
      </c:layout>
      <c:barChart>
        <c:barDir val="col"/>
        <c:grouping val="stacked"/>
        <c:varyColors val="0"/>
        <c:ser>
          <c:idx val="0"/>
          <c:order val="0"/>
          <c:tx>
            <c:strRef>
              <c:f>Sheet1!$E$2</c:f>
              <c:strCache>
                <c:ptCount val="1"/>
                <c:pt idx="0">
                  <c:v>Frequency</c:v>
                </c:pt>
              </c:strCache>
            </c:strRef>
          </c:tx>
          <c:spPr>
            <a:solidFill>
              <a:schemeClr val="bg1">
                <a:lumMod val="75000"/>
              </a:schemeClr>
            </a:solidFill>
          </c:spPr>
          <c:invertIfNegative val="0"/>
          <c:dPt>
            <c:idx val="1"/>
            <c:invertIfNegative val="0"/>
            <c:bubble3D val="0"/>
            <c:spPr>
              <a:solidFill>
                <a:schemeClr val="bg1">
                  <a:lumMod val="65000"/>
                </a:schemeClr>
              </a:solidFill>
            </c:spPr>
            <c:extLst>
              <c:ext xmlns:c16="http://schemas.microsoft.com/office/drawing/2014/chart" uri="{C3380CC4-5D6E-409C-BE32-E72D297353CC}">
                <c16:uniqueId val="{00000001-937C-44B6-AF29-3C2344793F4B}"/>
              </c:ext>
            </c:extLst>
          </c:dPt>
          <c:dPt>
            <c:idx val="2"/>
            <c:invertIfNegative val="0"/>
            <c:bubble3D val="0"/>
            <c:spPr>
              <a:solidFill>
                <a:schemeClr val="tx1">
                  <a:lumMod val="50000"/>
                  <a:lumOff val="50000"/>
                </a:schemeClr>
              </a:solidFill>
            </c:spPr>
            <c:extLst>
              <c:ext xmlns:c16="http://schemas.microsoft.com/office/drawing/2014/chart" uri="{C3380CC4-5D6E-409C-BE32-E72D297353CC}">
                <c16:uniqueId val="{00000003-937C-44B6-AF29-3C2344793F4B}"/>
              </c:ext>
            </c:extLst>
          </c:dPt>
          <c:dLbls>
            <c:dLbl>
              <c:idx val="0"/>
              <c:layout>
                <c:manualLayout>
                  <c:x val="-4.3367177944068159E-3"/>
                  <c:y val="-0.39351851851851921"/>
                </c:manualLayout>
              </c:layout>
              <c:tx>
                <c:rich>
                  <a:bodyPr/>
                  <a:lstStyle/>
                  <a:p>
                    <a:r>
                      <a:rPr lang="en-US">
                        <a:latin typeface="Times New Roman" panose="02020603050405020304" charset="0"/>
                        <a:cs typeface="Times New Roman" panose="02020603050405020304" charset="0"/>
                      </a:rPr>
                      <a:t>26(43</a:t>
                    </a:r>
                    <a:r>
                      <a:rPr lang="en-US" sz="1000" b="0" i="0" u="none" strike="noStrike" baseline="0">
                        <a:latin typeface="Times New Roman" panose="02020603050405020304" charset="0"/>
                        <a:cs typeface="Times New Roman" panose="02020603050405020304" charset="0"/>
                      </a:rPr>
                      <a:t>.</a:t>
                    </a:r>
                    <a:r>
                      <a:rPr lang="en-US">
                        <a:latin typeface="Times New Roman" panose="02020603050405020304" charset="0"/>
                        <a:cs typeface="Times New Roman" panose="02020603050405020304" charset="0"/>
                      </a:rPr>
                      <a:t>30%)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7C-44B6-AF29-3C2344793F4B}"/>
                </c:ext>
              </c:extLst>
            </c:dLbl>
            <c:dLbl>
              <c:idx val="1"/>
              <c:layout>
                <c:manualLayout>
                  <c:x val="2.602030676644081E-2"/>
                  <c:y val="-0.26851851851851899"/>
                </c:manualLayout>
              </c:layout>
              <c:tx>
                <c:rich>
                  <a:bodyPr/>
                  <a:lstStyle/>
                  <a:p>
                    <a:r>
                      <a:rPr lang="en-US">
                        <a:latin typeface="Times New Roman" panose="02020603050405020304" charset="0"/>
                        <a:cs typeface="Times New Roman" panose="02020603050405020304" charset="0"/>
                      </a:rPr>
                      <a:t>13(21</a:t>
                    </a:r>
                    <a:r>
                      <a:rPr lang="en-US" sz="1000" b="0" i="0" u="none" strike="noStrike" baseline="0">
                        <a:latin typeface="Times New Roman" panose="02020603050405020304" charset="0"/>
                        <a:cs typeface="Times New Roman" panose="02020603050405020304" charset="0"/>
                      </a:rPr>
                      <a:t>.70%)</a:t>
                    </a:r>
                    <a:endParaRPr lang="en-US">
                      <a:latin typeface="Times New Roman" panose="02020603050405020304" charset="0"/>
                      <a:cs typeface="Times New Roman" panose="02020603050405020304" charset="0"/>
                    </a:endParaRP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7C-44B6-AF29-3C2344793F4B}"/>
                </c:ext>
              </c:extLst>
            </c:dLbl>
            <c:dLbl>
              <c:idx val="2"/>
              <c:layout>
                <c:manualLayout>
                  <c:x val="6.2882408018898855E-2"/>
                  <c:y val="-0.37962962962963137"/>
                </c:manualLayout>
              </c:layout>
              <c:tx>
                <c:rich>
                  <a:bodyPr/>
                  <a:lstStyle/>
                  <a:p>
                    <a:r>
                      <a:rPr lang="en-US">
                        <a:latin typeface="Times New Roman" panose="02020603050405020304" charset="0"/>
                        <a:cs typeface="Times New Roman" panose="02020603050405020304" charset="0"/>
                      </a:rPr>
                      <a:t>21(35</a:t>
                    </a:r>
                    <a:r>
                      <a:rPr lang="en-US" sz="1000" b="0" i="0" u="none" strike="noStrike" baseline="0">
                        <a:latin typeface="Times New Roman" panose="02020603050405020304" charset="0"/>
                        <a:cs typeface="Times New Roman" panose="02020603050405020304" charset="0"/>
                      </a:rPr>
                      <a:t>.00%)</a:t>
                    </a:r>
                    <a:endParaRPr lang="en-US">
                      <a:latin typeface="Times New Roman" panose="02020603050405020304" charset="0"/>
                      <a:cs typeface="Times New Roman" panose="02020603050405020304" charset="0"/>
                    </a:endParaRP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7C-44B6-AF29-3C2344793F4B}"/>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Sheet1!$D$3:$D$5</c:f>
              <c:strCache>
                <c:ptCount val="3"/>
                <c:pt idx="0">
                  <c:v>   Mild</c:v>
                </c:pt>
                <c:pt idx="1">
                  <c:v>   Moderate</c:v>
                </c:pt>
                <c:pt idx="2">
                  <c:v>  Severe</c:v>
                </c:pt>
              </c:strCache>
            </c:strRef>
          </c:cat>
          <c:val>
            <c:numRef>
              <c:f>Sheet1!$E$3:$E$5</c:f>
              <c:numCache>
                <c:formatCode>General</c:formatCode>
                <c:ptCount val="3"/>
                <c:pt idx="0">
                  <c:v>26</c:v>
                </c:pt>
                <c:pt idx="1">
                  <c:v>13</c:v>
                </c:pt>
                <c:pt idx="2">
                  <c:v>21</c:v>
                </c:pt>
              </c:numCache>
            </c:numRef>
          </c:val>
          <c:extLst>
            <c:ext xmlns:c16="http://schemas.microsoft.com/office/drawing/2014/chart" uri="{C3380CC4-5D6E-409C-BE32-E72D297353CC}">
              <c16:uniqueId val="{00000005-937C-44B6-AF29-3C2344793F4B}"/>
            </c:ext>
          </c:extLst>
        </c:ser>
        <c:ser>
          <c:idx val="1"/>
          <c:order val="1"/>
          <c:tx>
            <c:strRef>
              <c:f>Sheet1!$F$2</c:f>
              <c:strCache>
                <c:ptCount val="1"/>
                <c:pt idx="0">
                  <c:v>Percentage</c:v>
                </c:pt>
              </c:strCache>
            </c:strRef>
          </c:tx>
          <c:spPr>
            <a:solidFill>
              <a:schemeClr val="bg1">
                <a:lumMod val="75000"/>
              </a:schemeClr>
            </a:solidFill>
          </c:spPr>
          <c:invertIfNegative val="0"/>
          <c:dPt>
            <c:idx val="1"/>
            <c:invertIfNegative val="0"/>
            <c:bubble3D val="0"/>
            <c:spPr>
              <a:solidFill>
                <a:schemeClr val="bg1">
                  <a:lumMod val="65000"/>
                </a:schemeClr>
              </a:solidFill>
            </c:spPr>
            <c:extLst>
              <c:ext xmlns:c16="http://schemas.microsoft.com/office/drawing/2014/chart" uri="{C3380CC4-5D6E-409C-BE32-E72D297353CC}">
                <c16:uniqueId val="{00000007-937C-44B6-AF29-3C2344793F4B}"/>
              </c:ext>
            </c:extLst>
          </c:dPt>
          <c:dPt>
            <c:idx val="2"/>
            <c:invertIfNegative val="0"/>
            <c:bubble3D val="0"/>
            <c:spPr>
              <a:solidFill>
                <a:schemeClr val="tx1">
                  <a:lumMod val="50000"/>
                  <a:lumOff val="50000"/>
                </a:schemeClr>
              </a:solidFill>
            </c:spPr>
            <c:extLst>
              <c:ext xmlns:c16="http://schemas.microsoft.com/office/drawing/2014/chart" uri="{C3380CC4-5D6E-409C-BE32-E72D297353CC}">
                <c16:uniqueId val="{00000009-937C-44B6-AF29-3C2344793F4B}"/>
              </c:ext>
            </c:extLst>
          </c:dPt>
          <c:cat>
            <c:strRef>
              <c:f>Sheet1!$D$3:$D$5</c:f>
              <c:strCache>
                <c:ptCount val="3"/>
                <c:pt idx="0">
                  <c:v>   Mild</c:v>
                </c:pt>
                <c:pt idx="1">
                  <c:v>   Moderate</c:v>
                </c:pt>
                <c:pt idx="2">
                  <c:v>  Severe</c:v>
                </c:pt>
              </c:strCache>
            </c:strRef>
          </c:cat>
          <c:val>
            <c:numRef>
              <c:f>Sheet1!$F$3:$F$5</c:f>
              <c:numCache>
                <c:formatCode>General</c:formatCode>
                <c:ptCount val="3"/>
                <c:pt idx="0">
                  <c:v>43.3</c:v>
                </c:pt>
                <c:pt idx="1">
                  <c:v>21.7</c:v>
                </c:pt>
                <c:pt idx="2">
                  <c:v>35</c:v>
                </c:pt>
              </c:numCache>
            </c:numRef>
          </c:val>
          <c:extLst>
            <c:ext xmlns:c16="http://schemas.microsoft.com/office/drawing/2014/chart" uri="{C3380CC4-5D6E-409C-BE32-E72D297353CC}">
              <c16:uniqueId val="{0000000A-937C-44B6-AF29-3C2344793F4B}"/>
            </c:ext>
          </c:extLst>
        </c:ser>
        <c:dLbls>
          <c:showLegendKey val="0"/>
          <c:showVal val="0"/>
          <c:showCatName val="0"/>
          <c:showSerName val="0"/>
          <c:showPercent val="0"/>
          <c:showBubbleSize val="0"/>
        </c:dLbls>
        <c:gapWidth val="100"/>
        <c:overlap val="100"/>
        <c:axId val="77033856"/>
        <c:axId val="77036544"/>
      </c:barChart>
      <c:catAx>
        <c:axId val="7703385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77036544"/>
        <c:crosses val="autoZero"/>
        <c:auto val="1"/>
        <c:lblAlgn val="ctr"/>
        <c:lblOffset val="100"/>
        <c:noMultiLvlLbl val="0"/>
      </c:catAx>
      <c:valAx>
        <c:axId val="77036544"/>
        <c:scaling>
          <c:orientation val="minMax"/>
        </c:scaling>
        <c:delete val="1"/>
        <c:axPos val="l"/>
        <c:numFmt formatCode="General" sourceLinked="1"/>
        <c:majorTickMark val="out"/>
        <c:minorTickMark val="none"/>
        <c:tickLblPos val="nextTo"/>
        <c:crossAx val="77033856"/>
        <c:crosses val="autoZero"/>
        <c:crossBetween val="between"/>
      </c:valAx>
      <c:spPr>
        <a:noFill/>
        <a:ln w="25400">
          <a:noFill/>
        </a:ln>
        <a:effectLst/>
      </c:spPr>
    </c:plotArea>
    <c:plotVisOnly val="1"/>
    <c:dispBlanksAs val="gap"/>
    <c:showDLblsOverMax val="0"/>
    <c:extLst>
      <c:ext uri="{0b15fc19-7d7d-44ad-8c2d-2c3a37ce22c3}">
        <chartProps xmlns="https://web.wps.cn/et/2018/main" chartId="{53cde519-ec30-4977-840c-701aa8a776f9}"/>
      </c:ext>
    </c:extLst>
  </c:chart>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702329074587889E-2"/>
          <c:y val="0"/>
          <c:w val="0.6931886468937144"/>
          <c:h val="0.94271301654428974"/>
        </c:manualLayout>
      </c:layout>
      <c:barChart>
        <c:barDir val="col"/>
        <c:grouping val="stacked"/>
        <c:varyColors val="0"/>
        <c:ser>
          <c:idx val="0"/>
          <c:order val="0"/>
          <c:tx>
            <c:strRef>
              <c:f>Sheet1!$F$27</c:f>
              <c:strCache>
                <c:ptCount val="1"/>
                <c:pt idx="0">
                  <c:v>Frequency</c:v>
                </c:pt>
              </c:strCache>
            </c:strRef>
          </c:tx>
          <c:invertIfNegative val="0"/>
          <c:dPt>
            <c:idx val="0"/>
            <c:invertIfNegative val="0"/>
            <c:bubble3D val="0"/>
            <c:spPr>
              <a:solidFill>
                <a:schemeClr val="accent1">
                  <a:lumMod val="40000"/>
                  <a:lumOff val="60000"/>
                </a:schemeClr>
              </a:solidFill>
            </c:spPr>
            <c:extLst>
              <c:ext xmlns:c16="http://schemas.microsoft.com/office/drawing/2014/chart" uri="{C3380CC4-5D6E-409C-BE32-E72D297353CC}">
                <c16:uniqueId val="{00000001-03F1-4AC1-8233-13214EA84374}"/>
              </c:ext>
            </c:extLst>
          </c:dPt>
          <c:dPt>
            <c:idx val="1"/>
            <c:invertIfNegative val="0"/>
            <c:bubble3D val="0"/>
            <c:spPr>
              <a:solidFill>
                <a:schemeClr val="accent2">
                  <a:lumMod val="60000"/>
                  <a:lumOff val="40000"/>
                </a:schemeClr>
              </a:solidFill>
            </c:spPr>
            <c:extLst>
              <c:ext xmlns:c16="http://schemas.microsoft.com/office/drawing/2014/chart" uri="{C3380CC4-5D6E-409C-BE32-E72D297353CC}">
                <c16:uniqueId val="{00000003-03F1-4AC1-8233-13214EA84374}"/>
              </c:ext>
            </c:extLst>
          </c:dPt>
          <c:dLbls>
            <c:dLbl>
              <c:idx val="0"/>
              <c:layout>
                <c:manualLayout>
                  <c:x val="2.1465690236414602E-2"/>
                  <c:y val="-0.36246190574610498"/>
                </c:manualLayout>
              </c:layout>
              <c:tx>
                <c:rich>
                  <a:bodyPr rot="0" spcFirstLastPara="0" vertOverflow="ellipsis" vert="horz" wrap="square" lIns="38100" tIns="19050" rIns="38100" bIns="19050"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sz="1000" b="0" i="0" u="none" strike="noStrike" baseline="0">
                        <a:latin typeface="Times New Roman" panose="02020603050405020304" charset="0"/>
                        <a:cs typeface="Times New Roman" panose="02020603050405020304" charset="0"/>
                      </a:rPr>
                      <a:t>21(70.00%)</a:t>
                    </a:r>
                    <a:endParaRPr lang="en-US">
                      <a:latin typeface="Times New Roman" panose="02020603050405020304" charset="0"/>
                      <a:cs typeface="Times New Roman" panose="02020603050405020304" charset="0"/>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F1-4AC1-8233-13214EA84374}"/>
                </c:ext>
              </c:extLst>
            </c:dLbl>
            <c:dLbl>
              <c:idx val="1"/>
              <c:layout>
                <c:manualLayout>
                  <c:x val="2.3417116621543225E-2"/>
                  <c:y val="-0.13144222955628018"/>
                </c:manualLayout>
              </c:layout>
              <c:tx>
                <c:rich>
                  <a:bodyPr rot="0" spcFirstLastPara="0" vertOverflow="ellipsis" vert="horz" wrap="square" lIns="38100" tIns="19050" rIns="38100" bIns="19050"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a:latin typeface="Times New Roman" panose="02020603050405020304" charset="0"/>
                        <a:cs typeface="Times New Roman" panose="02020603050405020304" charset="0"/>
                      </a:rPr>
                      <a:t>6(20</a:t>
                    </a:r>
                    <a:r>
                      <a:rPr lang="en-US" sz="1000" b="0" i="0" u="none" strike="noStrike" baseline="0">
                        <a:latin typeface="Times New Roman" panose="02020603050405020304" charset="0"/>
                        <a:cs typeface="Times New Roman" panose="02020603050405020304" charset="0"/>
                      </a:rPr>
                      <a:t>.00%)</a:t>
                    </a:r>
                    <a:endParaRPr lang="en-US">
                      <a:latin typeface="Times New Roman" panose="02020603050405020304" charset="0"/>
                      <a:cs typeface="Times New Roman" panose="02020603050405020304" charset="0"/>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F1-4AC1-8233-13214EA84374}"/>
                </c:ext>
              </c:extLst>
            </c:dLbl>
            <c:dLbl>
              <c:idx val="2"/>
              <c:layout>
                <c:manualLayout>
                  <c:x val="6.63484970943721E-2"/>
                  <c:y val="-9.5594348768204551E-2"/>
                </c:manualLayout>
              </c:layout>
              <c:tx>
                <c:rich>
                  <a:bodyPr rot="0" spcFirstLastPara="0" vertOverflow="ellipsis" vert="horz" wrap="square" lIns="38100" tIns="19050" rIns="38100" bIns="19050"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a:latin typeface="Times New Roman" panose="02020603050405020304" charset="0"/>
                        <a:cs typeface="Times New Roman" panose="02020603050405020304" charset="0"/>
                      </a:rPr>
                      <a:t>3(10</a:t>
                    </a:r>
                    <a:r>
                      <a:rPr lang="en-US" sz="1000" b="0" i="0" u="none" strike="noStrike" baseline="0">
                        <a:latin typeface="Times New Roman" panose="02020603050405020304" charset="0"/>
                        <a:cs typeface="Times New Roman" panose="02020603050405020304" charset="0"/>
                      </a:rPr>
                      <a:t>.</a:t>
                    </a:r>
                    <a:r>
                      <a:rPr lang="en-US">
                        <a:latin typeface="Times New Roman" panose="02020603050405020304" charset="0"/>
                        <a:cs typeface="Times New Roman" panose="02020603050405020304" charset="0"/>
                      </a:rPr>
                      <a:t>00%)</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F1-4AC1-8233-13214EA84374}"/>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Sheet1!$E$28:$E$30</c:f>
              <c:strCache>
                <c:ptCount val="3"/>
                <c:pt idx="0">
                  <c:v>   Mild</c:v>
                </c:pt>
                <c:pt idx="1">
                  <c:v>   Moderate</c:v>
                </c:pt>
                <c:pt idx="2">
                  <c:v>  Severe</c:v>
                </c:pt>
              </c:strCache>
            </c:strRef>
          </c:cat>
          <c:val>
            <c:numRef>
              <c:f>Sheet1!$F$28:$F$30</c:f>
              <c:numCache>
                <c:formatCode>General</c:formatCode>
                <c:ptCount val="3"/>
                <c:pt idx="0">
                  <c:v>21</c:v>
                </c:pt>
                <c:pt idx="1">
                  <c:v>6</c:v>
                </c:pt>
                <c:pt idx="2">
                  <c:v>3</c:v>
                </c:pt>
              </c:numCache>
            </c:numRef>
          </c:val>
          <c:extLst>
            <c:ext xmlns:c16="http://schemas.microsoft.com/office/drawing/2014/chart" uri="{C3380CC4-5D6E-409C-BE32-E72D297353CC}">
              <c16:uniqueId val="{00000005-03F1-4AC1-8233-13214EA84374}"/>
            </c:ext>
          </c:extLst>
        </c:ser>
        <c:dLbls>
          <c:showLegendKey val="0"/>
          <c:showVal val="1"/>
          <c:showCatName val="0"/>
          <c:showSerName val="0"/>
          <c:showPercent val="0"/>
          <c:showBubbleSize val="0"/>
        </c:dLbls>
        <c:gapWidth val="100"/>
        <c:overlap val="100"/>
        <c:axId val="81961344"/>
        <c:axId val="81964416"/>
      </c:barChart>
      <c:catAx>
        <c:axId val="819613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81964416"/>
        <c:crosses val="autoZero"/>
        <c:auto val="1"/>
        <c:lblAlgn val="ctr"/>
        <c:lblOffset val="100"/>
        <c:noMultiLvlLbl val="0"/>
      </c:catAx>
      <c:valAx>
        <c:axId val="81964416"/>
        <c:scaling>
          <c:orientation val="minMax"/>
        </c:scaling>
        <c:delete val="1"/>
        <c:axPos val="l"/>
        <c:numFmt formatCode="General" sourceLinked="1"/>
        <c:majorTickMark val="out"/>
        <c:minorTickMark val="none"/>
        <c:tickLblPos val="nextTo"/>
        <c:crossAx val="81961344"/>
        <c:crosses val="autoZero"/>
        <c:crossBetween val="between"/>
      </c:valAx>
      <c:spPr>
        <a:noFill/>
        <a:ln w="25400">
          <a:noFill/>
        </a:ln>
        <a:effectLst/>
      </c:spPr>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0676cb90-4f6e-49a3-bfd9-40d8aa917461}"/>
      </c:ext>
    </c:extLst>
  </c:chart>
  <c:txPr>
    <a:bodyPr/>
    <a:lstStyle/>
    <a:p>
      <a:pPr>
        <a:defRPr lang="en-GB"/>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
          <c:y val="0.17703269398632118"/>
          <c:w val="0.86226888117616896"/>
          <c:h val="0.80163239009250797"/>
        </c:manualLayout>
      </c:layout>
      <c:pie3DChart>
        <c:varyColors val="1"/>
        <c:ser>
          <c:idx val="0"/>
          <c:order val="0"/>
          <c:tx>
            <c:strRef>
              <c:f>Sheet1!$F$40</c:f>
              <c:strCache>
                <c:ptCount val="1"/>
                <c:pt idx="0">
                  <c:v>Frequency</c:v>
                </c:pt>
              </c:strCache>
            </c:strRef>
          </c:tx>
          <c:spPr>
            <a:solidFill>
              <a:schemeClr val="accent2"/>
            </a:solidFill>
          </c:spPr>
          <c:dPt>
            <c:idx val="0"/>
            <c:bubble3D val="0"/>
            <c:spPr>
              <a:solidFill>
                <a:schemeClr val="accent5"/>
              </a:solidFill>
            </c:spPr>
            <c:extLst>
              <c:ext xmlns:c16="http://schemas.microsoft.com/office/drawing/2014/chart" uri="{C3380CC4-5D6E-409C-BE32-E72D297353CC}">
                <c16:uniqueId val="{00000001-7A4A-4B98-8B18-12363BE34B65}"/>
              </c:ext>
            </c:extLst>
          </c:dPt>
          <c:dPt>
            <c:idx val="1"/>
            <c:bubble3D val="0"/>
            <c:spPr>
              <a:solidFill>
                <a:schemeClr val="accent3">
                  <a:lumMod val="60000"/>
                  <a:lumOff val="40000"/>
                </a:schemeClr>
              </a:solidFill>
            </c:spPr>
            <c:extLst>
              <c:ext xmlns:c16="http://schemas.microsoft.com/office/drawing/2014/chart" uri="{C3380CC4-5D6E-409C-BE32-E72D297353CC}">
                <c16:uniqueId val="{00000003-7A4A-4B98-8B18-12363BE34B65}"/>
              </c:ext>
            </c:extLst>
          </c:dPt>
          <c:dPt>
            <c:idx val="2"/>
            <c:bubble3D val="0"/>
            <c:spPr>
              <a:solidFill>
                <a:schemeClr val="accent2">
                  <a:lumMod val="40000"/>
                  <a:lumOff val="60000"/>
                </a:schemeClr>
              </a:solidFill>
            </c:spPr>
            <c:extLst>
              <c:ext xmlns:c16="http://schemas.microsoft.com/office/drawing/2014/chart" uri="{C3380CC4-5D6E-409C-BE32-E72D297353CC}">
                <c16:uniqueId val="{00000005-7A4A-4B98-8B18-12363BE34B65}"/>
              </c:ext>
            </c:extLst>
          </c:dPt>
          <c:dLbls>
            <c:dLbl>
              <c:idx val="0"/>
              <c:layout>
                <c:manualLayout>
                  <c:x val="-0.12307534120647209"/>
                  <c:y val="6.2630759780716097E-2"/>
                </c:manualLayout>
              </c:layout>
              <c:tx>
                <c:rich>
                  <a:bodyPr/>
                  <a:lstStyle/>
                  <a:p>
                    <a:r>
                      <a:rPr lang="en-US">
                        <a:latin typeface="Arial" panose="020B0604020202020204" pitchFamily="2" charset="0"/>
                        <a:cs typeface="Arial" panose="020B0604020202020204" pitchFamily="2" charset="0"/>
                      </a:rPr>
                      <a:t>5(16</a:t>
                    </a:r>
                    <a:r>
                      <a:rPr lang="en-US" sz="1000" b="0" i="0" u="none" strike="noStrike" baseline="0">
                        <a:latin typeface="Arial" panose="020B0604020202020204" pitchFamily="2" charset="0"/>
                        <a:cs typeface="Arial" panose="020B0604020202020204" pitchFamily="2" charset="0"/>
                      </a:rPr>
                      <a:t>.</a:t>
                    </a:r>
                    <a:r>
                      <a:rPr lang="en-US">
                        <a:latin typeface="Arial" panose="020B0604020202020204" pitchFamily="2" charset="0"/>
                        <a:cs typeface="Arial" panose="020B0604020202020204" pitchFamily="2" charset="0"/>
                      </a:rPr>
                      <a:t>70%)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4A-4B98-8B18-12363BE34B65}"/>
                </c:ext>
              </c:extLst>
            </c:dLbl>
            <c:dLbl>
              <c:idx val="1"/>
              <c:layout>
                <c:manualLayout>
                  <c:x val="-0.15866015115807011"/>
                  <c:y val="-0.16527479765862388"/>
                </c:manualLayout>
              </c:layout>
              <c:tx>
                <c:rich>
                  <a:bodyPr/>
                  <a:lstStyle/>
                  <a:p>
                    <a:r>
                      <a:rPr lang="en-US">
                        <a:latin typeface="Arial" panose="020B0604020202020204" pitchFamily="2" charset="0"/>
                        <a:cs typeface="Arial" panose="020B0604020202020204" pitchFamily="2" charset="0"/>
                      </a:rPr>
                      <a:t>7(23</a:t>
                    </a:r>
                    <a:r>
                      <a:rPr lang="en-US" sz="1000" b="0" i="0" u="none" strike="noStrike" baseline="0">
                        <a:latin typeface="Arial" panose="020B0604020202020204" pitchFamily="2" charset="0"/>
                        <a:cs typeface="Arial" panose="020B0604020202020204" pitchFamily="2" charset="0"/>
                      </a:rPr>
                      <a:t>.</a:t>
                    </a:r>
                    <a:r>
                      <a:rPr lang="en-US">
                        <a:latin typeface="Arial" panose="020B0604020202020204" pitchFamily="2" charset="0"/>
                        <a:cs typeface="Arial" panose="020B0604020202020204" pitchFamily="2" charset="0"/>
                      </a:rPr>
                      <a:t>30%)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4A-4B98-8B18-12363BE34B65}"/>
                </c:ext>
              </c:extLst>
            </c:dLbl>
            <c:dLbl>
              <c:idx val="2"/>
              <c:layout>
                <c:manualLayout>
                  <c:x val="0.18242122064103311"/>
                  <c:y val="-0.17659177635986401"/>
                </c:manualLayout>
              </c:layout>
              <c:tx>
                <c:rich>
                  <a:bodyPr/>
                  <a:lstStyle/>
                  <a:p>
                    <a:r>
                      <a:rPr lang="en-US">
                        <a:latin typeface="Arial" panose="020B0604020202020204" pitchFamily="2" charset="0"/>
                        <a:cs typeface="Arial" panose="020B0604020202020204" pitchFamily="2" charset="0"/>
                      </a:rPr>
                      <a:t>18(60</a:t>
                    </a:r>
                    <a:r>
                      <a:rPr lang="en-US" sz="1000" b="0" i="0" u="none" strike="noStrike" baseline="0">
                        <a:latin typeface="Arial" panose="020B0604020202020204" pitchFamily="2" charset="0"/>
                        <a:cs typeface="Arial" panose="020B0604020202020204" pitchFamily="2" charset="0"/>
                      </a:rPr>
                      <a:t>.</a:t>
                    </a:r>
                    <a:r>
                      <a:rPr lang="en-US">
                        <a:latin typeface="Arial" panose="020B0604020202020204" pitchFamily="2" charset="0"/>
                        <a:cs typeface="Arial" panose="020B0604020202020204" pitchFamily="2" charset="0"/>
                      </a:rPr>
                      <a:t>00%)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4A-4B98-8B18-12363BE34B65}"/>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Arial" panose="020B0604020202020204" pitchFamily="2" charset="0"/>
                    <a:ea typeface="+mn-ea"/>
                    <a:cs typeface="Arial" panose="020B0604020202020204" pitchFamily="2" charset="0"/>
                  </a:defRPr>
                </a:pPr>
                <a:endParaRPr lang="en-US"/>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Sheet1!$E$41:$E$43</c:f>
              <c:strCache>
                <c:ptCount val="3"/>
                <c:pt idx="0">
                  <c:v>   Mild</c:v>
                </c:pt>
                <c:pt idx="1">
                  <c:v>   Moderate</c:v>
                </c:pt>
                <c:pt idx="2">
                  <c:v>  Severe</c:v>
                </c:pt>
              </c:strCache>
            </c:strRef>
          </c:cat>
          <c:val>
            <c:numRef>
              <c:f>Sheet1!$F$41:$F$43</c:f>
              <c:numCache>
                <c:formatCode>General</c:formatCode>
                <c:ptCount val="3"/>
                <c:pt idx="0">
                  <c:v>5</c:v>
                </c:pt>
                <c:pt idx="1">
                  <c:v>7</c:v>
                </c:pt>
                <c:pt idx="2">
                  <c:v>18</c:v>
                </c:pt>
              </c:numCache>
            </c:numRef>
          </c:val>
          <c:extLst>
            <c:ext xmlns:c16="http://schemas.microsoft.com/office/drawing/2014/chart" uri="{C3380CC4-5D6E-409C-BE32-E72D297353CC}">
              <c16:uniqueId val="{00000006-7A4A-4B98-8B18-12363BE34B65}"/>
            </c:ext>
          </c:extLst>
        </c:ser>
        <c:dLbls>
          <c:showLegendKey val="0"/>
          <c:showVal val="1"/>
          <c:showCatName val="0"/>
          <c:showSerName val="0"/>
          <c:showPercent val="0"/>
          <c:showBubbleSize val="0"/>
          <c:showLeaderLines val="1"/>
        </c:dLbls>
      </c:pie3DChart>
    </c:plotArea>
    <c:plotVisOnly val="1"/>
    <c:dispBlanksAs val="zero"/>
    <c:showDLblsOverMax val="0"/>
    <c:extLst>
      <c:ext uri="{0b15fc19-7d7d-44ad-8c2d-2c3a37ce22c3}">
        <chartProps xmlns="https://web.wps.cn/et/2018/main" chartId="{71ac2fda-9853-4740-bb17-4d9d5dbd9a87}"/>
      </c:ext>
    </c:extLst>
  </c:chart>
  <c:txPr>
    <a:bodyPr/>
    <a:lstStyle/>
    <a:p>
      <a:pPr>
        <a:defRPr lang="en-GB"/>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
          <c:y val="5.0925925925925902E-2"/>
          <c:w val="1"/>
          <c:h val="0.9277390854551254"/>
        </c:manualLayout>
      </c:layout>
      <c:pie3DChart>
        <c:varyColors val="1"/>
        <c:ser>
          <c:idx val="0"/>
          <c:order val="0"/>
          <c:tx>
            <c:strRef>
              <c:f>Sheet1!$F$40</c:f>
              <c:strCache>
                <c:ptCount val="1"/>
                <c:pt idx="0">
                  <c:v>Frequency</c:v>
                </c:pt>
              </c:strCache>
            </c:strRef>
          </c:tx>
          <c:spPr>
            <a:solidFill>
              <a:schemeClr val="accent2"/>
            </a:solidFill>
          </c:spPr>
          <c:dPt>
            <c:idx val="0"/>
            <c:bubble3D val="0"/>
            <c:spPr>
              <a:solidFill>
                <a:schemeClr val="accent5"/>
              </a:solidFill>
            </c:spPr>
            <c:extLst>
              <c:ext xmlns:c16="http://schemas.microsoft.com/office/drawing/2014/chart" uri="{C3380CC4-5D6E-409C-BE32-E72D297353CC}">
                <c16:uniqueId val="{00000001-EF4A-431C-BA59-0652AAF74C1B}"/>
              </c:ext>
            </c:extLst>
          </c:dPt>
          <c:dPt>
            <c:idx val="1"/>
            <c:bubble3D val="0"/>
            <c:spPr>
              <a:solidFill>
                <a:schemeClr val="accent3">
                  <a:lumMod val="60000"/>
                  <a:lumOff val="40000"/>
                </a:schemeClr>
              </a:solidFill>
            </c:spPr>
            <c:extLst>
              <c:ext xmlns:c16="http://schemas.microsoft.com/office/drawing/2014/chart" uri="{C3380CC4-5D6E-409C-BE32-E72D297353CC}">
                <c16:uniqueId val="{00000003-EF4A-431C-BA59-0652AAF74C1B}"/>
              </c:ext>
            </c:extLst>
          </c:dPt>
          <c:dPt>
            <c:idx val="2"/>
            <c:bubble3D val="0"/>
            <c:spPr>
              <a:solidFill>
                <a:schemeClr val="accent2">
                  <a:lumMod val="40000"/>
                  <a:lumOff val="60000"/>
                </a:schemeClr>
              </a:solidFill>
            </c:spPr>
            <c:extLst>
              <c:ext xmlns:c16="http://schemas.microsoft.com/office/drawing/2014/chart" uri="{C3380CC4-5D6E-409C-BE32-E72D297353CC}">
                <c16:uniqueId val="{00000005-EF4A-431C-BA59-0652AAF74C1B}"/>
              </c:ext>
            </c:extLst>
          </c:dPt>
          <c:dLbls>
            <c:dLbl>
              <c:idx val="0"/>
              <c:layout>
                <c:manualLayout>
                  <c:x val="-0.13823738107802619"/>
                  <c:y val="3.9168972139512599E-2"/>
                </c:manualLayout>
              </c:layout>
              <c:tx>
                <c:rich>
                  <a:bodyPr/>
                  <a:lstStyle/>
                  <a:p>
                    <a:r>
                      <a:rPr lang="en-US">
                        <a:latin typeface="Times New Roman" panose="02020603050405020304" charset="0"/>
                        <a:cs typeface="Times New Roman" panose="02020603050405020304" charset="0"/>
                      </a:rPr>
                      <a:t>5(16</a:t>
                    </a:r>
                    <a:r>
                      <a:rPr lang="en-US" sz="1000" b="0" i="0" u="none" strike="noStrike" baseline="0">
                        <a:latin typeface="Times New Roman" panose="02020603050405020304" charset="0"/>
                        <a:cs typeface="Times New Roman" panose="02020603050405020304" charset="0"/>
                      </a:rPr>
                      <a:t>.</a:t>
                    </a:r>
                    <a:r>
                      <a:rPr lang="en-US">
                        <a:latin typeface="Times New Roman" panose="02020603050405020304" charset="0"/>
                        <a:cs typeface="Times New Roman" panose="02020603050405020304" charset="0"/>
                      </a:rPr>
                      <a:t>70%)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4A-431C-BA59-0652AAF74C1B}"/>
                </c:ext>
              </c:extLst>
            </c:dLbl>
            <c:dLbl>
              <c:idx val="1"/>
              <c:layout>
                <c:manualLayout>
                  <c:x val="-0.15866015115807011"/>
                  <c:y val="-0.16527479765862388"/>
                </c:manualLayout>
              </c:layout>
              <c:tx>
                <c:rich>
                  <a:bodyPr/>
                  <a:lstStyle/>
                  <a:p>
                    <a:r>
                      <a:rPr lang="en-US">
                        <a:latin typeface="Times New Roman" panose="02020603050405020304" charset="0"/>
                        <a:cs typeface="Times New Roman" panose="02020603050405020304" charset="0"/>
                      </a:rPr>
                      <a:t>7(23</a:t>
                    </a:r>
                    <a:r>
                      <a:rPr lang="en-US" sz="1000" b="0" i="0" u="none" strike="noStrike" baseline="0">
                        <a:latin typeface="Times New Roman" panose="02020603050405020304" charset="0"/>
                        <a:cs typeface="Times New Roman" panose="02020603050405020304" charset="0"/>
                      </a:rPr>
                      <a:t>.</a:t>
                    </a:r>
                    <a:r>
                      <a:rPr lang="en-US">
                        <a:latin typeface="Times New Roman" panose="02020603050405020304" charset="0"/>
                        <a:cs typeface="Times New Roman" panose="02020603050405020304" charset="0"/>
                      </a:rPr>
                      <a:t>30%)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4A-431C-BA59-0652AAF74C1B}"/>
                </c:ext>
              </c:extLst>
            </c:dLbl>
            <c:dLbl>
              <c:idx val="2"/>
              <c:layout>
                <c:manualLayout>
                  <c:x val="0.18242122064103311"/>
                  <c:y val="-0.17659177635986401"/>
                </c:manualLayout>
              </c:layout>
              <c:tx>
                <c:rich>
                  <a:bodyPr/>
                  <a:lstStyle/>
                  <a:p>
                    <a:r>
                      <a:rPr lang="en-US">
                        <a:latin typeface="Times New Roman" panose="02020603050405020304" charset="0"/>
                        <a:cs typeface="Times New Roman" panose="02020603050405020304" charset="0"/>
                      </a:rPr>
                      <a:t>18(60</a:t>
                    </a:r>
                    <a:r>
                      <a:rPr lang="en-US" sz="1000" b="0" i="0" u="none" strike="noStrike" baseline="0">
                        <a:latin typeface="Times New Roman" panose="02020603050405020304" charset="0"/>
                        <a:cs typeface="Times New Roman" panose="02020603050405020304" charset="0"/>
                      </a:rPr>
                      <a:t>.</a:t>
                    </a:r>
                    <a:r>
                      <a:rPr lang="en-US">
                        <a:latin typeface="Times New Roman" panose="02020603050405020304" charset="0"/>
                        <a:cs typeface="Times New Roman" panose="02020603050405020304" charset="0"/>
                      </a:rPr>
                      <a:t>00%)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4A-431C-BA59-0652AAF74C1B}"/>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Sheet1!$E$41:$E$43</c:f>
              <c:strCache>
                <c:ptCount val="3"/>
                <c:pt idx="0">
                  <c:v>   Mild</c:v>
                </c:pt>
                <c:pt idx="1">
                  <c:v>   Moderate</c:v>
                </c:pt>
                <c:pt idx="2">
                  <c:v>  Severe</c:v>
                </c:pt>
              </c:strCache>
            </c:strRef>
          </c:cat>
          <c:val>
            <c:numRef>
              <c:f>Sheet1!$F$41:$F$43</c:f>
              <c:numCache>
                <c:formatCode>General</c:formatCode>
                <c:ptCount val="3"/>
                <c:pt idx="0">
                  <c:v>5</c:v>
                </c:pt>
                <c:pt idx="1">
                  <c:v>7</c:v>
                </c:pt>
                <c:pt idx="2">
                  <c:v>18</c:v>
                </c:pt>
              </c:numCache>
            </c:numRef>
          </c:val>
          <c:extLst>
            <c:ext xmlns:c16="http://schemas.microsoft.com/office/drawing/2014/chart" uri="{C3380CC4-5D6E-409C-BE32-E72D297353CC}">
              <c16:uniqueId val="{00000006-EF4A-431C-BA59-0652AAF74C1B}"/>
            </c:ext>
          </c:extLst>
        </c:ser>
        <c:dLbls>
          <c:showLegendKey val="0"/>
          <c:showVal val="1"/>
          <c:showCatName val="0"/>
          <c:showSerName val="0"/>
          <c:showPercent val="0"/>
          <c:showBubbleSize val="0"/>
          <c:showLeaderLines val="1"/>
        </c:dLbls>
      </c:pie3DChart>
    </c:plotArea>
    <c:plotVisOnly val="1"/>
    <c:dispBlanksAs val="zero"/>
    <c:showDLblsOverMax val="0"/>
    <c:extLst>
      <c:ext uri="{0b15fc19-7d7d-44ad-8c2d-2c3a37ce22c3}">
        <chartProps xmlns="https://web.wps.cn/et/2018/main" chartId="{741290f3-249c-4816-afff-17dfa794ee7d}"/>
      </c:ext>
    </c:extLst>
  </c:chart>
  <c:txPr>
    <a:bodyPr/>
    <a:lstStyle/>
    <a:p>
      <a:pPr>
        <a:defRPr lang="en-GB"/>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Sheet2!$B$1</c:f>
              <c:strCache>
                <c:ptCount val="1"/>
                <c:pt idx="0">
                  <c:v>r</c:v>
                </c:pt>
              </c:strCache>
            </c:strRef>
          </c:tx>
          <c:spPr>
            <a:ln w="28575" cap="rnd" cmpd="sng" algn="ctr">
              <a:noFill/>
              <a:prstDash val="solid"/>
              <a:round/>
            </a:ln>
          </c:spPr>
          <c:dPt>
            <c:idx val="1"/>
            <c:marker>
              <c:spPr>
                <a:solidFill>
                  <a:srgbClr val="FFC000"/>
                </a:solidFill>
              </c:spPr>
            </c:marker>
            <c:bubble3D val="0"/>
            <c:extLst>
              <c:ext xmlns:c16="http://schemas.microsoft.com/office/drawing/2014/chart" uri="{C3380CC4-5D6E-409C-BE32-E72D297353CC}">
                <c16:uniqueId val="{00000000-D3A3-40E5-891C-B75C63171877}"/>
              </c:ext>
            </c:extLst>
          </c:dPt>
          <c:dPt>
            <c:idx val="2"/>
            <c:marker>
              <c:spPr>
                <a:solidFill>
                  <a:srgbClr val="00B050"/>
                </a:solidFill>
              </c:spPr>
            </c:marker>
            <c:bubble3D val="0"/>
            <c:extLst>
              <c:ext xmlns:c16="http://schemas.microsoft.com/office/drawing/2014/chart" uri="{C3380CC4-5D6E-409C-BE32-E72D297353CC}">
                <c16:uniqueId val="{00000001-D3A3-40E5-891C-B75C63171877}"/>
              </c:ext>
            </c:extLst>
          </c:dPt>
          <c:dPt>
            <c:idx val="3"/>
            <c:marker>
              <c:spPr>
                <a:solidFill>
                  <a:schemeClr val="accent2"/>
                </a:solidFill>
              </c:spPr>
            </c:marker>
            <c:bubble3D val="0"/>
            <c:extLst>
              <c:ext xmlns:c16="http://schemas.microsoft.com/office/drawing/2014/chart" uri="{C3380CC4-5D6E-409C-BE32-E72D297353CC}">
                <c16:uniqueId val="{00000002-D3A3-40E5-891C-B75C63171877}"/>
              </c:ext>
            </c:extLst>
          </c:dPt>
          <c:dPt>
            <c:idx val="4"/>
            <c:marker>
              <c:spPr>
                <a:solidFill>
                  <a:schemeClr val="accent6">
                    <a:lumMod val="75000"/>
                  </a:schemeClr>
                </a:solidFill>
              </c:spPr>
            </c:marker>
            <c:bubble3D val="0"/>
            <c:extLst>
              <c:ext xmlns:c16="http://schemas.microsoft.com/office/drawing/2014/chart" uri="{C3380CC4-5D6E-409C-BE32-E72D297353CC}">
                <c16:uniqueId val="{00000003-D3A3-40E5-891C-B75C63171877}"/>
              </c:ext>
            </c:extLst>
          </c:dPt>
          <c:dPt>
            <c:idx val="5"/>
            <c:marker>
              <c:spPr>
                <a:solidFill>
                  <a:schemeClr val="bg2">
                    <a:lumMod val="10000"/>
                  </a:schemeClr>
                </a:solidFill>
              </c:spPr>
            </c:marker>
            <c:bubble3D val="0"/>
            <c:extLst>
              <c:ext xmlns:c16="http://schemas.microsoft.com/office/drawing/2014/chart" uri="{C3380CC4-5D6E-409C-BE32-E72D297353CC}">
                <c16:uniqueId val="{00000004-D3A3-40E5-891C-B75C63171877}"/>
              </c:ext>
            </c:extLst>
          </c:dPt>
          <c:dPt>
            <c:idx val="6"/>
            <c:marker>
              <c:spPr>
                <a:solidFill>
                  <a:srgbClr val="FF0000"/>
                </a:solidFill>
              </c:spPr>
            </c:marker>
            <c:bubble3D val="0"/>
            <c:extLst>
              <c:ext xmlns:c16="http://schemas.microsoft.com/office/drawing/2014/chart" uri="{C3380CC4-5D6E-409C-BE32-E72D297353CC}">
                <c16:uniqueId val="{00000005-D3A3-40E5-891C-B75C63171877}"/>
              </c:ext>
            </c:extLst>
          </c:dPt>
          <c:dPt>
            <c:idx val="7"/>
            <c:marker>
              <c:spPr>
                <a:solidFill>
                  <a:srgbClr val="00B0F0"/>
                </a:solidFill>
              </c:spPr>
            </c:marker>
            <c:bubble3D val="0"/>
            <c:extLst>
              <c:ext xmlns:c16="http://schemas.microsoft.com/office/drawing/2014/chart" uri="{C3380CC4-5D6E-409C-BE32-E72D297353CC}">
                <c16:uniqueId val="{00000006-D3A3-40E5-891C-B75C63171877}"/>
              </c:ext>
            </c:extLst>
          </c:dPt>
          <c:dLbls>
            <c:dLbl>
              <c:idx val="0"/>
              <c:tx>
                <c:rich>
                  <a:bodyPr/>
                  <a:lstStyle/>
                  <a:p>
                    <a:r>
                      <a:rPr lang="en-US"/>
                      <a:t>PC*HGB</a:t>
                    </a:r>
                    <a:r>
                      <a:rPr lang="en-US" baseline="0"/>
                      <a:t> </a:t>
                    </a:r>
                    <a:r>
                      <a:rPr lang="en-US"/>
                      <a:t>                      r = 0.38 (MPC)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A3-40E5-891C-B75C63171877}"/>
                </c:ext>
              </c:extLst>
            </c:dLbl>
            <c:dLbl>
              <c:idx val="1"/>
              <c:layout>
                <c:manualLayout>
                  <c:x val="-0.134696833639562"/>
                  <c:y val="7.6907128082520995E-2"/>
                </c:manualLayout>
              </c:layout>
              <c:tx>
                <c:rich>
                  <a:bodyPr/>
                  <a:lstStyle/>
                  <a:p>
                    <a:r>
                      <a:rPr lang="en-US"/>
                      <a:t>PC*PCV</a:t>
                    </a:r>
                    <a:r>
                      <a:rPr lang="en-US" baseline="0"/>
                      <a:t>                         r = </a:t>
                    </a:r>
                    <a:r>
                      <a:rPr lang="en-US"/>
                      <a:t>0.24 (WPC)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A3-40E5-891C-B75C63171877}"/>
                </c:ext>
              </c:extLst>
            </c:dLbl>
            <c:dLbl>
              <c:idx val="2"/>
              <c:layout>
                <c:manualLayout>
                  <c:x val="-6.4141349352172389E-2"/>
                  <c:y val="6.5920395499303702E-2"/>
                </c:manualLayout>
              </c:layout>
              <c:tx>
                <c:rich>
                  <a:bodyPr/>
                  <a:lstStyle/>
                  <a:p>
                    <a:r>
                      <a:rPr lang="en-US"/>
                      <a:t>PC*RBC</a:t>
                    </a:r>
                    <a:r>
                      <a:rPr lang="en-US" baseline="0"/>
                      <a:t>                        r = </a:t>
                    </a:r>
                    <a:r>
                      <a:rPr lang="en-US"/>
                      <a:t>0.16 (WPC)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A3-40E5-891C-B75C63171877}"/>
                </c:ext>
              </c:extLst>
            </c:dLbl>
            <c:dLbl>
              <c:idx val="3"/>
              <c:layout>
                <c:manualLayout>
                  <c:x val="-5.7727214416955434E-2"/>
                  <c:y val="-7.6907128082520995E-2"/>
                </c:manualLayout>
              </c:layout>
              <c:tx>
                <c:rich>
                  <a:bodyPr/>
                  <a:lstStyle/>
                  <a:p>
                    <a:r>
                      <a:rPr lang="en-US"/>
                      <a:t>PC*MCV</a:t>
                    </a:r>
                    <a:r>
                      <a:rPr lang="en-US" baseline="0"/>
                      <a:t>                      r = </a:t>
                    </a:r>
                    <a:r>
                      <a:rPr lang="en-US"/>
                      <a:t>0.17 (WPC)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A3-40E5-891C-B75C63171877}"/>
                </c:ext>
              </c:extLst>
            </c:dLbl>
            <c:dLbl>
              <c:idx val="4"/>
              <c:layout>
                <c:manualLayout>
                  <c:x val="-6.4141349352172389E-2"/>
                  <c:y val="5.1271418721680263E-2"/>
                </c:manualLayout>
              </c:layout>
              <c:tx>
                <c:rich>
                  <a:bodyPr/>
                  <a:lstStyle/>
                  <a:p>
                    <a:r>
                      <a:rPr lang="en-US"/>
                      <a:t>PC*MCH                      </a:t>
                    </a:r>
                    <a:r>
                      <a:rPr lang="en-US" baseline="0"/>
                      <a:t> r =</a:t>
                    </a:r>
                    <a:r>
                      <a:rPr lang="en-US"/>
                      <a:t> 0.11 (WPC)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A3-40E5-891C-B75C63171877}"/>
                </c:ext>
              </c:extLst>
            </c:dLbl>
            <c:dLbl>
              <c:idx val="5"/>
              <c:layout>
                <c:manualLayout>
                  <c:x val="-3.8484809611303537E-2"/>
                  <c:y val="-8.0569372276928244E-2"/>
                </c:manualLayout>
              </c:layout>
              <c:tx>
                <c:rich>
                  <a:bodyPr/>
                  <a:lstStyle/>
                  <a:p>
                    <a:r>
                      <a:rPr lang="en-US"/>
                      <a:t>PC*MCHC</a:t>
                    </a:r>
                    <a:r>
                      <a:rPr lang="en-US" baseline="0"/>
                      <a:t>                     r = </a:t>
                    </a:r>
                    <a:r>
                      <a:rPr lang="en-US"/>
                      <a:t>0.11 (WPC)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A3-40E5-891C-B75C63171877}"/>
                </c:ext>
              </c:extLst>
            </c:dLbl>
            <c:dLbl>
              <c:idx val="6"/>
              <c:tx>
                <c:rich>
                  <a:bodyPr/>
                  <a:lstStyle/>
                  <a:p>
                    <a:r>
                      <a:rPr lang="en-US"/>
                      <a:t>PC*RDW</a:t>
                    </a:r>
                    <a:r>
                      <a:rPr lang="en-US" baseline="0"/>
                      <a:t>                        r = </a:t>
                    </a:r>
                    <a:r>
                      <a:rPr lang="en-US"/>
                      <a:t>0.04(WPC)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A3-40E5-891C-B75C63171877}"/>
                </c:ext>
              </c:extLst>
            </c:dLbl>
            <c:dLbl>
              <c:idx val="7"/>
              <c:layout>
                <c:manualLayout>
                  <c:x val="-0.18600991312130619"/>
                  <c:y val="1.0986732583217303E-2"/>
                </c:manualLayout>
              </c:layout>
              <c:tx>
                <c:rich>
                  <a:bodyPr/>
                  <a:lstStyle/>
                  <a:p>
                    <a:r>
                      <a:rPr lang="en-US"/>
                      <a:t>PC*RC</a:t>
                    </a:r>
                    <a:r>
                      <a:rPr lang="en-US" baseline="0"/>
                      <a:t>                           r = </a:t>
                    </a:r>
                    <a:r>
                      <a:rPr lang="en-US"/>
                      <a:t> -0.28 (WNC)</a:t>
                    </a:r>
                  </a:p>
                </c:rich>
              </c:tx>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A3-40E5-891C-B75C63171877}"/>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dLblPos val="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xVal>
            <c:strRef>
              <c:f>Sheet2!$A$2:$A$9</c:f>
              <c:strCache>
                <c:ptCount val="8"/>
                <c:pt idx="0">
                  <c:v>PC*HGB</c:v>
                </c:pt>
                <c:pt idx="1">
                  <c:v>PC*PCV</c:v>
                </c:pt>
                <c:pt idx="2">
                  <c:v>PC*RBC</c:v>
                </c:pt>
                <c:pt idx="3">
                  <c:v>PC*MCV</c:v>
                </c:pt>
                <c:pt idx="4">
                  <c:v>PC*MCH</c:v>
                </c:pt>
                <c:pt idx="5">
                  <c:v>PC*MCHC</c:v>
                </c:pt>
                <c:pt idx="6">
                  <c:v>PC*RDW</c:v>
                </c:pt>
                <c:pt idx="7">
                  <c:v>PC*Retics</c:v>
                </c:pt>
              </c:strCache>
            </c:strRef>
          </c:xVal>
          <c:yVal>
            <c:numRef>
              <c:f>Sheet2!$B$2:$B$9</c:f>
              <c:numCache>
                <c:formatCode>General</c:formatCode>
                <c:ptCount val="8"/>
                <c:pt idx="0">
                  <c:v>0.38000000000001122</c:v>
                </c:pt>
                <c:pt idx="1">
                  <c:v>0.2400000000000001</c:v>
                </c:pt>
                <c:pt idx="2">
                  <c:v>0.16</c:v>
                </c:pt>
                <c:pt idx="3">
                  <c:v>0.17</c:v>
                </c:pt>
                <c:pt idx="4">
                  <c:v>0.11</c:v>
                </c:pt>
                <c:pt idx="5">
                  <c:v>0.11</c:v>
                </c:pt>
                <c:pt idx="6">
                  <c:v>4.0000000000000022E-2</c:v>
                </c:pt>
                <c:pt idx="7">
                  <c:v>-0.28000000000000008</c:v>
                </c:pt>
              </c:numCache>
            </c:numRef>
          </c:yVal>
          <c:smooth val="0"/>
          <c:extLst>
            <c:ext xmlns:c16="http://schemas.microsoft.com/office/drawing/2014/chart" uri="{C3380CC4-5D6E-409C-BE32-E72D297353CC}">
              <c16:uniqueId val="{00000008-D3A3-40E5-891C-B75C63171877}"/>
            </c:ext>
          </c:extLst>
        </c:ser>
        <c:dLbls>
          <c:showLegendKey val="0"/>
          <c:showVal val="1"/>
          <c:showCatName val="1"/>
          <c:showSerName val="0"/>
          <c:showPercent val="0"/>
          <c:showBubbleSize val="0"/>
        </c:dLbls>
        <c:axId val="77697792"/>
        <c:axId val="77699328"/>
      </c:scatterChart>
      <c:valAx>
        <c:axId val="77697792"/>
        <c:scaling>
          <c:orientation val="minMax"/>
        </c:scaling>
        <c:delete val="1"/>
        <c:axPos val="b"/>
        <c:majorTickMark val="out"/>
        <c:minorTickMark val="none"/>
        <c:tickLblPos val="nextTo"/>
        <c:crossAx val="77699328"/>
        <c:crosses val="autoZero"/>
        <c:crossBetween val="midCat"/>
      </c:valAx>
      <c:valAx>
        <c:axId val="77699328"/>
        <c:scaling>
          <c:orientation val="minMax"/>
        </c:scaling>
        <c:delete val="0"/>
        <c:axPos val="l"/>
        <c:majorGridlines/>
        <c:title>
          <c:tx>
            <c:rich>
              <a:bodyPr rot="-540000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b="0"/>
                  <a:t>Coefficient of correlation</a:t>
                </a:r>
                <a:r>
                  <a:rPr lang="en-US" b="0" baseline="0"/>
                  <a:t> (r)</a:t>
                </a:r>
                <a:endParaRPr lang="en-US" b="0"/>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77697792"/>
        <c:crosses val="autoZero"/>
        <c:crossBetween val="midCat"/>
      </c:valAx>
      <c:spPr>
        <a:solidFill>
          <a:schemeClr val="accent6">
            <a:lumMod val="60000"/>
            <a:lumOff val="40000"/>
          </a:schemeClr>
        </a:solidFill>
      </c:spPr>
    </c:plotArea>
    <c:plotVisOnly val="1"/>
    <c:dispBlanksAs val="gap"/>
    <c:showDLblsOverMax val="0"/>
    <c:extLst>
      <c:ext uri="{0b15fc19-7d7d-44ad-8c2d-2c3a37ce22c3}">
        <chartProps xmlns="https://web.wps.cn/et/2018/main" chartId="{486128e3-7a3b-453a-a8d6-bd88bfe5b6d3}"/>
      </c:ext>
    </c:extLst>
  </c:chart>
  <c:txPr>
    <a:bodyPr/>
    <a:lstStyle/>
    <a:p>
      <a:pPr>
        <a:defRPr lang="en-GB"/>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0.28166</cdr:x>
      <cdr:y>0.48606</cdr:y>
    </cdr:from>
    <cdr:to>
      <cdr:x>0.39366</cdr:x>
      <cdr:y>0.55777</cdr:y>
    </cdr:to>
    <cdr:sp macro="" textlink="">
      <cdr:nvSpPr>
        <cdr:cNvPr id="2" name="Rectangles 1"/>
        <cdr:cNvSpPr/>
      </cdr:nvSpPr>
      <cdr:spPr>
        <a:xfrm xmlns:a="http://schemas.openxmlformats.org/drawingml/2006/main">
          <a:off x="1887388" y="2104844"/>
          <a:ext cx="750497" cy="310551"/>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en-US" sz="1100"/>
            <a:t>Severe </a:t>
          </a:r>
        </a:p>
      </cdr:txBody>
    </cdr:sp>
  </cdr:relSizeAnchor>
  <cdr:relSizeAnchor xmlns:cdr="http://schemas.openxmlformats.org/drawingml/2006/chartDrawing">
    <cdr:from>
      <cdr:x>0.23357</cdr:x>
      <cdr:y>0.43825</cdr:y>
    </cdr:from>
    <cdr:to>
      <cdr:x>0.36794</cdr:x>
      <cdr:y>0.49402</cdr:y>
    </cdr:to>
    <cdr:sp macro="" textlink="">
      <cdr:nvSpPr>
        <cdr:cNvPr id="3" name="Rectangles 2"/>
        <cdr:cNvSpPr/>
      </cdr:nvSpPr>
      <cdr:spPr>
        <a:xfrm xmlns:a="http://schemas.openxmlformats.org/drawingml/2006/main">
          <a:off x="1214528" y="1897811"/>
          <a:ext cx="698739" cy="24154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0.64984</cdr:x>
      <cdr:y>0.46614</cdr:y>
    </cdr:from>
    <cdr:to>
      <cdr:x>0.79016</cdr:x>
      <cdr:y>0.52191</cdr:y>
    </cdr:to>
    <cdr:sp macro="" textlink="">
      <cdr:nvSpPr>
        <cdr:cNvPr id="4" name="Rectangles 3"/>
        <cdr:cNvSpPr/>
      </cdr:nvSpPr>
      <cdr:spPr>
        <a:xfrm xmlns:a="http://schemas.openxmlformats.org/drawingml/2006/main">
          <a:off x="4354543" y="2018581"/>
          <a:ext cx="940279" cy="24154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en-US" sz="1100"/>
            <a:t>Moderate</a:t>
          </a:r>
        </a:p>
      </cdr:txBody>
    </cdr:sp>
  </cdr:relSizeAnchor>
  <cdr:relSizeAnchor xmlns:cdr="http://schemas.openxmlformats.org/drawingml/2006/chartDrawing">
    <cdr:from>
      <cdr:x>0.47765</cdr:x>
      <cdr:y>0.34004</cdr:y>
    </cdr:from>
    <cdr:to>
      <cdr:x>0.58858</cdr:x>
      <cdr:y>0.38048</cdr:y>
    </cdr:to>
    <cdr:sp macro="" textlink="">
      <cdr:nvSpPr>
        <cdr:cNvPr id="5" name="Rectangles 4"/>
        <cdr:cNvSpPr/>
      </cdr:nvSpPr>
      <cdr:spPr>
        <a:xfrm xmlns:a="http://schemas.openxmlformats.org/drawingml/2006/main">
          <a:off x="2784535" y="1472529"/>
          <a:ext cx="646691" cy="175116"/>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en-US" sz="1000">
              <a:latin typeface="Arial" panose="020B0604020202020204" pitchFamily="2" charset="0"/>
              <a:cs typeface="Arial" panose="020B0604020202020204" pitchFamily="2" charset="0"/>
            </a:rPr>
            <a:t>Mild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5423</Words>
  <Characters>30916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ZACCHEAUS JEREMIAH</dc:creator>
  <cp:lastModifiedBy>SDI PC 1170</cp:lastModifiedBy>
  <cp:revision>20</cp:revision>
  <dcterms:created xsi:type="dcterms:W3CDTF">2025-04-23T09:24:00Z</dcterms:created>
  <dcterms:modified xsi:type="dcterms:W3CDTF">2025-04-24T12:11:00Z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00f97dc5-e617-4b42-981c-54c7026b9080</vt:lpwstr>
  </property>
</Properties>
</file>