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E2CD" w14:textId="5EBC723C" w:rsidR="009C22FC" w:rsidRPr="009C22FC" w:rsidRDefault="009C22FC" w:rsidP="009C22FC">
      <w:pPr>
        <w:spacing w:after="0" w:line="360" w:lineRule="auto"/>
        <w:rPr>
          <w:rFonts w:cs="Times New Roman"/>
          <w:szCs w:val="28"/>
          <w:u w:val="single"/>
        </w:rPr>
      </w:pPr>
      <w:bookmarkStart w:id="0" w:name="_Hlk197215005"/>
      <w:bookmarkEnd w:id="0"/>
      <w:r w:rsidRPr="009C22FC">
        <w:rPr>
          <w:rFonts w:cs="Times New Roman"/>
          <w:szCs w:val="28"/>
          <w:u w:val="single"/>
        </w:rPr>
        <w:t>Original Research Article</w:t>
      </w:r>
    </w:p>
    <w:p w14:paraId="25735759" w14:textId="54F9588C" w:rsidR="00FF67DA" w:rsidRPr="003063EE" w:rsidRDefault="00FF67DA" w:rsidP="00223067">
      <w:pPr>
        <w:spacing w:after="0" w:line="360" w:lineRule="auto"/>
        <w:jc w:val="center"/>
        <w:rPr>
          <w:rFonts w:cs="Times New Roman"/>
          <w:szCs w:val="28"/>
        </w:rPr>
      </w:pPr>
      <w:r w:rsidRPr="003063EE">
        <w:rPr>
          <w:rFonts w:cs="Times New Roman"/>
          <w:szCs w:val="28"/>
        </w:rPr>
        <w:t xml:space="preserve">Effect </w:t>
      </w:r>
      <w:r w:rsidR="009C633F" w:rsidRPr="003063EE">
        <w:rPr>
          <w:rFonts w:cs="Times New Roman"/>
          <w:szCs w:val="28"/>
        </w:rPr>
        <w:t>of iron and boron on growth, flowering</w:t>
      </w:r>
      <w:r w:rsidR="00542B11" w:rsidRPr="003063EE">
        <w:rPr>
          <w:rFonts w:cs="Times New Roman"/>
          <w:szCs w:val="28"/>
        </w:rPr>
        <w:t xml:space="preserve"> </w:t>
      </w:r>
      <w:r w:rsidR="00804B5B" w:rsidRPr="003063EE">
        <w:rPr>
          <w:rFonts w:cs="Times New Roman"/>
          <w:szCs w:val="28"/>
        </w:rPr>
        <w:t>and</w:t>
      </w:r>
      <w:r w:rsidR="009C633F" w:rsidRPr="003063EE">
        <w:rPr>
          <w:rFonts w:cs="Times New Roman"/>
          <w:szCs w:val="28"/>
        </w:rPr>
        <w:t xml:space="preserve"> corm and corm</w:t>
      </w:r>
      <w:r w:rsidR="00804B5B" w:rsidRPr="003063EE">
        <w:rPr>
          <w:rFonts w:cs="Times New Roman"/>
          <w:szCs w:val="28"/>
        </w:rPr>
        <w:t xml:space="preserve"> characters in</w:t>
      </w:r>
      <w:r w:rsidR="009C633F" w:rsidRPr="003063EE">
        <w:rPr>
          <w:rFonts w:cs="Times New Roman"/>
          <w:szCs w:val="28"/>
        </w:rPr>
        <w:t xml:space="preserve"> gladiolus </w:t>
      </w:r>
      <w:r w:rsidRPr="003063EE">
        <w:rPr>
          <w:rFonts w:cs="Times New Roman"/>
          <w:szCs w:val="28"/>
        </w:rPr>
        <w:t>cv. Malaviya Shatabdi</w:t>
      </w:r>
    </w:p>
    <w:p w14:paraId="775E44C2"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448F5BC0"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1502E30E" w14:textId="7680C195" w:rsidR="00690480" w:rsidRPr="00223067" w:rsidRDefault="00690480" w:rsidP="00223067">
      <w:pPr>
        <w:pStyle w:val="NormalWeb"/>
        <w:spacing w:before="0" w:beforeAutospacing="0" w:after="0" w:afterAutospacing="0" w:line="360" w:lineRule="auto"/>
        <w:jc w:val="center"/>
      </w:pPr>
      <w:r w:rsidRPr="00223067">
        <w:rPr>
          <w:rStyle w:val="Strong"/>
          <w:rFonts w:eastAsiaTheme="majorEastAsia"/>
        </w:rPr>
        <w:t>ABSTRACT</w:t>
      </w:r>
    </w:p>
    <w:p w14:paraId="7D34CD6E" w14:textId="04C3DA32" w:rsidR="00690480" w:rsidRPr="00E24908" w:rsidRDefault="00D0440F" w:rsidP="00223067">
      <w:pPr>
        <w:spacing w:after="0" w:line="360" w:lineRule="auto"/>
        <w:jc w:val="both"/>
        <w:rPr>
          <w:rFonts w:cs="Times New Roman"/>
          <w:b w:val="0"/>
          <w:bCs/>
          <w:color w:val="auto"/>
          <w:sz w:val="24"/>
          <w:szCs w:val="24"/>
        </w:rPr>
      </w:pPr>
      <w:bookmarkStart w:id="1" w:name="_Hlk197202846"/>
      <w:r w:rsidRPr="00E24908">
        <w:rPr>
          <w:rFonts w:cs="Times New Roman"/>
          <w:b w:val="0"/>
          <w:bCs/>
          <w:color w:val="auto"/>
          <w:sz w:val="24"/>
          <w:szCs w:val="24"/>
        </w:rPr>
        <w:t>A study was conducted to determine the optimal iron and boron dosage for enhancing growth, flowering</w:t>
      </w:r>
      <w:r w:rsidR="009C633F" w:rsidRPr="00E24908">
        <w:rPr>
          <w:rFonts w:cs="Times New Roman"/>
          <w:b w:val="0"/>
          <w:bCs/>
          <w:color w:val="auto"/>
          <w:sz w:val="24"/>
          <w:szCs w:val="24"/>
        </w:rPr>
        <w:t xml:space="preserve"> </w:t>
      </w:r>
      <w:r w:rsidRPr="00E24908">
        <w:rPr>
          <w:rFonts w:cs="Times New Roman"/>
          <w:b w:val="0"/>
          <w:bCs/>
          <w:color w:val="auto"/>
          <w:sz w:val="24"/>
          <w:szCs w:val="24"/>
        </w:rPr>
        <w:t>and corm yield in gladiolus (</w:t>
      </w:r>
      <w:r w:rsidRPr="00E24908">
        <w:rPr>
          <w:rFonts w:cs="Times New Roman"/>
          <w:b w:val="0"/>
          <w:bCs/>
          <w:i/>
          <w:iCs/>
          <w:color w:val="auto"/>
          <w:sz w:val="24"/>
          <w:szCs w:val="24"/>
        </w:rPr>
        <w:t>Gladiolus</w:t>
      </w:r>
      <w:r w:rsidRPr="00E24908">
        <w:rPr>
          <w:rFonts w:cs="Times New Roman"/>
          <w:b w:val="0"/>
          <w:bCs/>
          <w:color w:val="auto"/>
          <w:sz w:val="24"/>
          <w:szCs w:val="24"/>
        </w:rPr>
        <w:t xml:space="preserve"> </w:t>
      </w:r>
      <w:r w:rsidR="005D65E8" w:rsidRPr="00E24908">
        <w:rPr>
          <w:rFonts w:cs="Times New Roman"/>
          <w:b w:val="0"/>
          <w:bCs/>
          <w:color w:val="auto"/>
          <w:sz w:val="24"/>
          <w:szCs w:val="24"/>
        </w:rPr>
        <w:t>spp.</w:t>
      </w:r>
      <w:r w:rsidRPr="00E24908">
        <w:rPr>
          <w:rFonts w:cs="Times New Roman"/>
          <w:b w:val="0"/>
          <w:bCs/>
          <w:color w:val="auto"/>
          <w:sz w:val="24"/>
          <w:szCs w:val="24"/>
        </w:rPr>
        <w:t xml:space="preserve">) cv. Malaviya Shatabdi. The experiment took place at the </w:t>
      </w:r>
      <w:r w:rsidR="009C633F" w:rsidRPr="00E24908">
        <w:rPr>
          <w:rFonts w:cs="Times New Roman"/>
          <w:b w:val="0"/>
          <w:bCs/>
          <w:color w:val="auto"/>
          <w:sz w:val="24"/>
          <w:szCs w:val="24"/>
        </w:rPr>
        <w:t>Horticulture Research Farm, Department of Horticulture, Institute of Agricultural Sciences, Banaras Hindu University, Varanasi, Uttar Pradesh, during 2023-24</w:t>
      </w:r>
      <w:r w:rsidRPr="00E24908">
        <w:rPr>
          <w:rFonts w:cs="Times New Roman"/>
          <w:b w:val="0"/>
          <w:bCs/>
          <w:color w:val="auto"/>
          <w:sz w:val="24"/>
          <w:szCs w:val="24"/>
        </w:rPr>
        <w:t xml:space="preserve">. The treatments included a control (distilled water) and varying concentrations of iron and boron, applied </w:t>
      </w:r>
      <w:r w:rsidR="009C633F" w:rsidRPr="00E24908">
        <w:rPr>
          <w:rFonts w:cs="Times New Roman"/>
          <w:b w:val="0"/>
          <w:bCs/>
          <w:color w:val="auto"/>
          <w:sz w:val="24"/>
          <w:szCs w:val="24"/>
        </w:rPr>
        <w:t>as foliar sprays at 3</w:t>
      </w:r>
      <w:r w:rsidR="009C633F" w:rsidRPr="00E24908">
        <w:rPr>
          <w:rFonts w:cs="Times New Roman"/>
          <w:b w:val="0"/>
          <w:bCs/>
          <w:color w:val="auto"/>
          <w:sz w:val="24"/>
          <w:szCs w:val="24"/>
          <w:vertAlign w:val="superscript"/>
        </w:rPr>
        <w:t>rd</w:t>
      </w:r>
      <w:r w:rsidR="009C633F" w:rsidRPr="00E24908">
        <w:rPr>
          <w:rFonts w:cs="Times New Roman"/>
          <w:b w:val="0"/>
          <w:bCs/>
          <w:color w:val="auto"/>
          <w:sz w:val="24"/>
          <w:szCs w:val="24"/>
        </w:rPr>
        <w:t xml:space="preserve"> and 6</w:t>
      </w:r>
      <w:r w:rsidR="009C633F" w:rsidRPr="00E24908">
        <w:rPr>
          <w:rFonts w:cs="Times New Roman"/>
          <w:b w:val="0"/>
          <w:bCs/>
          <w:color w:val="auto"/>
          <w:sz w:val="24"/>
          <w:szCs w:val="24"/>
          <w:vertAlign w:val="superscript"/>
        </w:rPr>
        <w:t>th</w:t>
      </w:r>
      <w:r w:rsidR="009C633F" w:rsidRPr="00E24908">
        <w:rPr>
          <w:rFonts w:cs="Times New Roman"/>
          <w:b w:val="0"/>
          <w:bCs/>
          <w:color w:val="auto"/>
          <w:sz w:val="24"/>
          <w:szCs w:val="24"/>
        </w:rPr>
        <w:t xml:space="preserve"> leaf stage</w:t>
      </w:r>
      <w:r w:rsidRPr="00E24908">
        <w:rPr>
          <w:rFonts w:cs="Times New Roman"/>
          <w:b w:val="0"/>
          <w:bCs/>
          <w:color w:val="auto"/>
          <w:sz w:val="24"/>
          <w:szCs w:val="24"/>
        </w:rPr>
        <w:t>.</w:t>
      </w:r>
      <w:r w:rsidR="009C633F" w:rsidRPr="00E24908">
        <w:rPr>
          <w:rFonts w:cs="Times New Roman"/>
          <w:b w:val="0"/>
          <w:bCs/>
          <w:color w:val="auto"/>
          <w:sz w:val="24"/>
          <w:szCs w:val="24"/>
        </w:rPr>
        <w:t xml:space="preserve"> </w:t>
      </w:r>
      <w:r w:rsidR="00690480" w:rsidRPr="00E24908">
        <w:rPr>
          <w:rFonts w:cs="Times New Roman"/>
          <w:b w:val="0"/>
          <w:bCs/>
          <w:color w:val="auto"/>
          <w:sz w:val="24"/>
          <w:szCs w:val="24"/>
        </w:rPr>
        <w:t>The results demonstrated that the combined application of</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significantly improved plant growth</w:t>
      </w:r>
      <w:r w:rsidR="00196DC8" w:rsidRPr="00E24908">
        <w:rPr>
          <w:rFonts w:cs="Times New Roman"/>
          <w:b w:val="0"/>
          <w:bCs/>
          <w:color w:val="auto"/>
          <w:sz w:val="24"/>
          <w:szCs w:val="24"/>
        </w:rPr>
        <w:t>, flowering</w:t>
      </w:r>
      <w:r w:rsidR="00690480" w:rsidRPr="00E24908">
        <w:rPr>
          <w:rFonts w:cs="Times New Roman"/>
          <w:b w:val="0"/>
          <w:bCs/>
          <w:color w:val="auto"/>
          <w:sz w:val="24"/>
          <w:szCs w:val="24"/>
        </w:rPr>
        <w:t xml:space="preserve"> and </w:t>
      </w:r>
      <w:r w:rsidR="00804B5B" w:rsidRPr="00E24908">
        <w:rPr>
          <w:rFonts w:cs="Times New Roman"/>
          <w:b w:val="0"/>
          <w:bCs/>
          <w:color w:val="auto"/>
          <w:sz w:val="24"/>
          <w:szCs w:val="24"/>
        </w:rPr>
        <w:t xml:space="preserve">corm </w:t>
      </w:r>
      <w:r w:rsidR="00690480" w:rsidRPr="00E24908">
        <w:rPr>
          <w:rFonts w:cs="Times New Roman"/>
          <w:b w:val="0"/>
          <w:bCs/>
          <w:color w:val="auto"/>
          <w:sz w:val="24"/>
          <w:szCs w:val="24"/>
        </w:rPr>
        <w:t xml:space="preserve">yield parameters. This treatment </w:t>
      </w:r>
      <w:r w:rsidR="00542B11" w:rsidRPr="00E24908">
        <w:rPr>
          <w:rFonts w:cs="Times New Roman"/>
          <w:b w:val="0"/>
          <w:bCs/>
          <w:color w:val="auto"/>
          <w:sz w:val="24"/>
          <w:szCs w:val="24"/>
        </w:rPr>
        <w:t>results in</w:t>
      </w:r>
      <w:r w:rsidR="00690480" w:rsidRPr="00E24908">
        <w:rPr>
          <w:rFonts w:cs="Times New Roman"/>
          <w:b w:val="0"/>
          <w:bCs/>
          <w:color w:val="auto"/>
          <w:sz w:val="24"/>
          <w:szCs w:val="24"/>
        </w:rPr>
        <w:t xml:space="preserve"> the</w:t>
      </w:r>
      <w:r w:rsidR="007F52EE" w:rsidRPr="00E24908">
        <w:rPr>
          <w:rFonts w:cs="Times New Roman"/>
          <w:b w:val="0"/>
          <w:bCs/>
          <w:color w:val="auto"/>
          <w:sz w:val="24"/>
          <w:szCs w:val="24"/>
        </w:rPr>
        <w:t xml:space="preserve"> highest sprouts count per hill (3.63),</w:t>
      </w:r>
      <w:r w:rsidR="00690480" w:rsidRPr="00E24908">
        <w:rPr>
          <w:rFonts w:cs="Times New Roman"/>
          <w:b w:val="0"/>
          <w:bCs/>
          <w:color w:val="auto"/>
          <w:sz w:val="24"/>
          <w:szCs w:val="24"/>
        </w:rPr>
        <w:t xml:space="preserve"> compared to the control (2.07). Additionally, plants treated with</w:t>
      </w:r>
      <w:r w:rsidR="007F52EE" w:rsidRPr="00E24908">
        <w:rPr>
          <w:rFonts w:cs="Times New Roman"/>
          <w:b w:val="0"/>
          <w:bCs/>
          <w:color w:val="auto"/>
          <w:sz w:val="24"/>
          <w:szCs w:val="24"/>
        </w:rPr>
        <w:t xml:space="preserve"> 0.2% B + 0.4% Fe </w:t>
      </w:r>
      <w:r w:rsidR="00690480" w:rsidRPr="00E24908">
        <w:rPr>
          <w:rFonts w:cs="Times New Roman"/>
          <w:b w:val="0"/>
          <w:bCs/>
          <w:color w:val="auto"/>
          <w:sz w:val="24"/>
          <w:szCs w:val="24"/>
        </w:rPr>
        <w:t>exhibited the</w:t>
      </w:r>
      <w:r w:rsidR="007F52EE" w:rsidRPr="00E24908">
        <w:rPr>
          <w:rFonts w:cs="Times New Roman"/>
          <w:b w:val="0"/>
          <w:bCs/>
          <w:color w:val="auto"/>
          <w:sz w:val="24"/>
          <w:szCs w:val="24"/>
        </w:rPr>
        <w:t xml:space="preserve"> tallest plant height (55.21 cm),</w:t>
      </w:r>
      <w:r w:rsidR="00690480" w:rsidRPr="00E24908">
        <w:rPr>
          <w:rFonts w:cs="Times New Roman"/>
          <w:b w:val="0"/>
          <w:bCs/>
          <w:color w:val="auto"/>
          <w:sz w:val="24"/>
          <w:szCs w:val="24"/>
        </w:rPr>
        <w:t xml:space="preserve"> </w:t>
      </w:r>
      <w:r w:rsidR="00196DC8" w:rsidRPr="00E24908">
        <w:rPr>
          <w:rFonts w:cs="Times New Roman"/>
          <w:b w:val="0"/>
          <w:bCs/>
          <w:color w:val="auto"/>
          <w:sz w:val="24"/>
          <w:szCs w:val="24"/>
        </w:rPr>
        <w:t>length of longest lea</w:t>
      </w:r>
      <w:r w:rsidR="00542B11" w:rsidRPr="00E24908">
        <w:rPr>
          <w:rFonts w:cs="Times New Roman"/>
          <w:b w:val="0"/>
          <w:bCs/>
          <w:color w:val="auto"/>
          <w:sz w:val="24"/>
          <w:szCs w:val="24"/>
        </w:rPr>
        <w:t>f</w:t>
      </w:r>
      <w:r w:rsidR="007F52EE" w:rsidRPr="00E24908">
        <w:rPr>
          <w:rFonts w:cs="Times New Roman"/>
          <w:b w:val="0"/>
          <w:bCs/>
          <w:color w:val="auto"/>
          <w:sz w:val="24"/>
          <w:szCs w:val="24"/>
        </w:rPr>
        <w:t xml:space="preserve"> (51.81 cm)</w:t>
      </w:r>
      <w:r w:rsidR="00542B11" w:rsidRPr="00E24908">
        <w:rPr>
          <w:rFonts w:cs="Times New Roman"/>
          <w:b w:val="0"/>
          <w:bCs/>
          <w:color w:val="auto"/>
          <w:sz w:val="24"/>
          <w:szCs w:val="24"/>
        </w:rPr>
        <w:t>,</w:t>
      </w:r>
      <w:r w:rsidR="004462C1" w:rsidRPr="00E24908">
        <w:rPr>
          <w:rFonts w:cs="Times New Roman"/>
          <w:b w:val="0"/>
          <w:bCs/>
          <w:color w:val="auto"/>
          <w:sz w:val="24"/>
          <w:szCs w:val="24"/>
        </w:rPr>
        <w:t xml:space="preserve"> days to spike emergence, days to opening of </w:t>
      </w:r>
      <w:bookmarkStart w:id="2" w:name="_Hlk194575793"/>
      <w:r w:rsidR="004462C1" w:rsidRPr="00E24908">
        <w:rPr>
          <w:rFonts w:cs="Times New Roman"/>
          <w:b w:val="0"/>
          <w:bCs/>
          <w:color w:val="auto"/>
          <w:sz w:val="24"/>
          <w:szCs w:val="24"/>
        </w:rPr>
        <w:t>1</w:t>
      </w:r>
      <w:r w:rsidR="004462C1" w:rsidRPr="00E24908">
        <w:rPr>
          <w:rFonts w:cs="Times New Roman"/>
          <w:b w:val="0"/>
          <w:bCs/>
          <w:color w:val="auto"/>
          <w:sz w:val="24"/>
          <w:szCs w:val="24"/>
          <w:vertAlign w:val="superscript"/>
        </w:rPr>
        <w:t xml:space="preserve">st </w:t>
      </w:r>
      <w:r w:rsidR="004462C1" w:rsidRPr="00E24908">
        <w:rPr>
          <w:rFonts w:cs="Times New Roman"/>
          <w:b w:val="0"/>
          <w:bCs/>
          <w:color w:val="auto"/>
          <w:sz w:val="24"/>
          <w:szCs w:val="24"/>
        </w:rPr>
        <w:t>and last floret</w:t>
      </w:r>
      <w:bookmarkEnd w:id="2"/>
      <w:r w:rsidR="004462C1" w:rsidRPr="00E24908">
        <w:rPr>
          <w:rFonts w:cs="Times New Roman"/>
          <w:b w:val="0"/>
          <w:bCs/>
          <w:color w:val="auto"/>
          <w:sz w:val="24"/>
          <w:szCs w:val="24"/>
        </w:rPr>
        <w:t>, diameter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length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n</w:t>
      </w:r>
      <w:r w:rsidR="00542B11" w:rsidRPr="00E24908">
        <w:rPr>
          <w:rFonts w:cs="Times New Roman"/>
          <w:b w:val="0"/>
          <w:bCs/>
          <w:color w:val="auto"/>
          <w:sz w:val="24"/>
          <w:szCs w:val="24"/>
        </w:rPr>
        <w:t>umber</w:t>
      </w:r>
      <w:r w:rsidR="004462C1" w:rsidRPr="00E24908">
        <w:rPr>
          <w:rFonts w:cs="Times New Roman"/>
          <w:b w:val="0"/>
          <w:bCs/>
          <w:color w:val="auto"/>
          <w:sz w:val="24"/>
          <w:szCs w:val="24"/>
        </w:rPr>
        <w:t xml:space="preserve"> of florets</w:t>
      </w:r>
      <w:r w:rsidR="004462C1" w:rsidRPr="00E24908">
        <w:rPr>
          <w:rFonts w:cs="Times New Roman"/>
          <w:b w:val="0"/>
          <w:bCs/>
          <w:color w:val="auto"/>
          <w:sz w:val="24"/>
          <w:szCs w:val="24"/>
          <w:lang w:bidi="hi-IN"/>
        </w:rPr>
        <w:t xml:space="preserve"> per spike</w:t>
      </w:r>
      <w:r w:rsidR="004462C1" w:rsidRPr="00E24908">
        <w:rPr>
          <w:rFonts w:cs="Times New Roman"/>
          <w:b w:val="0"/>
          <w:bCs/>
          <w:color w:val="auto"/>
          <w:sz w:val="24"/>
          <w:szCs w:val="24"/>
        </w:rPr>
        <w:t>,</w:t>
      </w:r>
      <w:r w:rsidR="004462C1" w:rsidRPr="00E24908">
        <w:rPr>
          <w:rFonts w:cs="Times New Roman"/>
          <w:b w:val="0"/>
          <w:bCs/>
          <w:color w:val="auto"/>
          <w:sz w:val="24"/>
          <w:szCs w:val="24"/>
          <w:lang w:bidi="hi-IN"/>
        </w:rPr>
        <w:t xml:space="preserve"> </w:t>
      </w:r>
      <w:r w:rsidR="004462C1" w:rsidRPr="00E24908">
        <w:rPr>
          <w:rFonts w:cs="Times New Roman"/>
          <w:b w:val="0"/>
          <w:bCs/>
          <w:color w:val="auto"/>
          <w:sz w:val="24"/>
          <w:szCs w:val="24"/>
        </w:rPr>
        <w:t>total flowering duration and spike length.</w:t>
      </w:r>
      <w:r w:rsidR="00542B11" w:rsidRPr="00E24908">
        <w:rPr>
          <w:rFonts w:cs="Times New Roman"/>
          <w:b w:val="0"/>
          <w:bCs/>
          <w:color w:val="auto"/>
          <w:sz w:val="24"/>
          <w:szCs w:val="24"/>
        </w:rPr>
        <w:t xml:space="preserve"> Similarly,</w:t>
      </w:r>
      <w:r w:rsidR="004462C1" w:rsidRPr="00E24908">
        <w:rPr>
          <w:rFonts w:cs="Times New Roman"/>
          <w:b w:val="0"/>
          <w:bCs/>
          <w:color w:val="auto"/>
          <w:sz w:val="24"/>
          <w:szCs w:val="24"/>
        </w:rPr>
        <w:t xml:space="preserve"> </w:t>
      </w:r>
      <w:r w:rsidR="00542B11" w:rsidRPr="00E24908">
        <w:rPr>
          <w:rFonts w:cs="Times New Roman"/>
          <w:b w:val="0"/>
          <w:bCs/>
          <w:color w:val="auto"/>
          <w:sz w:val="24"/>
          <w:szCs w:val="24"/>
        </w:rPr>
        <w:t>co</w:t>
      </w:r>
      <w:r w:rsidR="00690480" w:rsidRPr="00E24908">
        <w:rPr>
          <w:rFonts w:cs="Times New Roman"/>
          <w:b w:val="0"/>
          <w:bCs/>
          <w:color w:val="auto"/>
          <w:sz w:val="24"/>
          <w:szCs w:val="24"/>
        </w:rPr>
        <w:t>rm production was also significantly influenced by Fe and B applications.</w:t>
      </w:r>
      <w:r w:rsidR="007F52EE" w:rsidRPr="00E24908">
        <w:rPr>
          <w:rFonts w:cs="Times New Roman"/>
          <w:b w:val="0"/>
          <w:bCs/>
          <w:color w:val="auto"/>
          <w:sz w:val="24"/>
          <w:szCs w:val="24"/>
        </w:rPr>
        <w:t xml:space="preserve"> Maximum weight of </w:t>
      </w:r>
      <w:proofErr w:type="spellStart"/>
      <w:r w:rsidR="007F52EE" w:rsidRPr="00E24908">
        <w:rPr>
          <w:rFonts w:cs="Times New Roman"/>
          <w:b w:val="0"/>
          <w:bCs/>
          <w:color w:val="auto"/>
          <w:sz w:val="24"/>
          <w:szCs w:val="24"/>
        </w:rPr>
        <w:t>cormel</w:t>
      </w:r>
      <w:proofErr w:type="spellEnd"/>
      <w:r w:rsidR="007F52EE" w:rsidRPr="00E24908">
        <w:rPr>
          <w:rFonts w:cs="Times New Roman"/>
          <w:b w:val="0"/>
          <w:bCs/>
          <w:color w:val="auto"/>
          <w:sz w:val="24"/>
          <w:szCs w:val="24"/>
        </w:rPr>
        <w:t xml:space="preserve"> per hill (3.03 g),</w:t>
      </w:r>
      <w:r w:rsidR="00196DC8" w:rsidRPr="00E24908">
        <w:rPr>
          <w:rFonts w:cs="Times New Roman"/>
          <w:b w:val="0"/>
          <w:bCs/>
          <w:color w:val="auto"/>
          <w:sz w:val="24"/>
          <w:szCs w:val="24"/>
        </w:rPr>
        <w:t xml:space="preserve"> number of corms per hill </w:t>
      </w:r>
      <w:r w:rsidR="004462C1" w:rsidRPr="00E24908">
        <w:rPr>
          <w:rFonts w:cs="Times New Roman"/>
          <w:b w:val="0"/>
          <w:bCs/>
          <w:color w:val="auto"/>
          <w:sz w:val="24"/>
          <w:szCs w:val="24"/>
        </w:rPr>
        <w:t xml:space="preserve">(3.68) </w:t>
      </w:r>
      <w:r w:rsidR="00196DC8" w:rsidRPr="00E24908">
        <w:rPr>
          <w:rFonts w:cs="Times New Roman"/>
          <w:b w:val="0"/>
          <w:bCs/>
          <w:color w:val="auto"/>
          <w:sz w:val="24"/>
          <w:szCs w:val="24"/>
        </w:rPr>
        <w:t>and maximum</w:t>
      </w:r>
      <w:r w:rsidR="007F52EE" w:rsidRPr="00E24908">
        <w:rPr>
          <w:rFonts w:cs="Times New Roman"/>
          <w:b w:val="0"/>
          <w:bCs/>
          <w:color w:val="auto"/>
          <w:sz w:val="24"/>
          <w:szCs w:val="24"/>
        </w:rPr>
        <w:t xml:space="preserve"> diameter of corm (40.26 mm)</w:t>
      </w:r>
      <w:r w:rsidR="00690480" w:rsidRPr="00E24908">
        <w:rPr>
          <w:rFonts w:cs="Times New Roman"/>
          <w:b w:val="0"/>
          <w:bCs/>
          <w:color w:val="auto"/>
          <w:sz w:val="24"/>
          <w:szCs w:val="24"/>
        </w:rPr>
        <w:t> were recorded with</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xml:space="preserve"> whereas</w:t>
      </w:r>
      <w:r w:rsidR="005D65E8" w:rsidRPr="00E24908">
        <w:rPr>
          <w:rFonts w:cs="Times New Roman"/>
          <w:b w:val="0"/>
          <w:bCs/>
          <w:color w:val="auto"/>
          <w:sz w:val="24"/>
          <w:szCs w:val="24"/>
        </w:rPr>
        <w:t>,</w:t>
      </w:r>
      <w:r w:rsidR="00690480" w:rsidRPr="00E24908">
        <w:rPr>
          <w:rFonts w:cs="Times New Roman"/>
          <w:b w:val="0"/>
          <w:bCs/>
          <w:color w:val="auto"/>
          <w:sz w:val="24"/>
          <w:szCs w:val="24"/>
        </w:rPr>
        <w:t xml:space="preserve"> the control yielded the lowest</w:t>
      </w:r>
      <w:r w:rsidR="00196DC8" w:rsidRPr="00E24908">
        <w:rPr>
          <w:rFonts w:cs="Times New Roman"/>
          <w:b w:val="0"/>
          <w:bCs/>
          <w:color w:val="auto"/>
          <w:sz w:val="24"/>
          <w:szCs w:val="24"/>
        </w:rPr>
        <w:t>.</w:t>
      </w:r>
      <w:r w:rsidR="004462C1" w:rsidRPr="00E24908">
        <w:rPr>
          <w:rFonts w:cs="Times New Roman"/>
          <w:b w:val="0"/>
          <w:bCs/>
          <w:color w:val="auto"/>
          <w:sz w:val="24"/>
          <w:szCs w:val="24"/>
        </w:rPr>
        <w:t xml:space="preserve"> </w:t>
      </w:r>
      <w:r w:rsidR="00690480" w:rsidRPr="00E24908">
        <w:rPr>
          <w:rFonts w:cs="Times New Roman"/>
          <w:b w:val="0"/>
          <w:bCs/>
          <w:color w:val="auto"/>
          <w:sz w:val="24"/>
          <w:szCs w:val="24"/>
        </w:rPr>
        <w:t>These findings suggest that foliar application of</w:t>
      </w:r>
      <w:r w:rsidR="007F52EE" w:rsidRPr="00E24908">
        <w:rPr>
          <w:rFonts w:cs="Times New Roman"/>
          <w:b w:val="0"/>
          <w:bCs/>
          <w:color w:val="auto"/>
          <w:sz w:val="24"/>
          <w:szCs w:val="24"/>
        </w:rPr>
        <w:t xml:space="preserve"> </w:t>
      </w:r>
      <w:bookmarkStart w:id="3" w:name="_Hlk197203709"/>
      <w:r w:rsidR="007F52EE" w:rsidRPr="00E24908">
        <w:rPr>
          <w:rFonts w:cs="Times New Roman"/>
          <w:b w:val="0"/>
          <w:bCs/>
          <w:color w:val="auto"/>
          <w:sz w:val="24"/>
          <w:szCs w:val="24"/>
        </w:rPr>
        <w:t>0.2% B + 0.4% Fe</w:t>
      </w:r>
      <w:bookmarkEnd w:id="3"/>
      <w:r w:rsidR="007F52EE" w:rsidRPr="00E24908">
        <w:rPr>
          <w:rFonts w:cs="Times New Roman"/>
          <w:b w:val="0"/>
          <w:bCs/>
          <w:color w:val="auto"/>
          <w:sz w:val="24"/>
          <w:szCs w:val="24"/>
        </w:rPr>
        <w:t xml:space="preserve"> </w:t>
      </w:r>
      <w:r w:rsidR="00690480" w:rsidRPr="00E24908">
        <w:rPr>
          <w:rFonts w:cs="Times New Roman"/>
          <w:b w:val="0"/>
          <w:bCs/>
          <w:color w:val="auto"/>
          <w:sz w:val="24"/>
          <w:szCs w:val="24"/>
        </w:rPr>
        <w:t xml:space="preserve">optimizes vegetative growth, floral </w:t>
      </w:r>
      <w:r w:rsidR="00085CD8" w:rsidRPr="00E24908">
        <w:rPr>
          <w:rFonts w:cs="Times New Roman"/>
          <w:b w:val="0"/>
          <w:bCs/>
          <w:color w:val="auto"/>
          <w:sz w:val="24"/>
          <w:szCs w:val="24"/>
        </w:rPr>
        <w:t>attribute</w:t>
      </w:r>
      <w:r w:rsidR="00690480" w:rsidRPr="00E24908">
        <w:rPr>
          <w:rFonts w:cs="Times New Roman"/>
          <w:b w:val="0"/>
          <w:bCs/>
          <w:color w:val="auto"/>
          <w:sz w:val="24"/>
          <w:szCs w:val="24"/>
        </w:rPr>
        <w:t>s and corm yield in gladiolus cv. Malaviya Shatabdi.</w:t>
      </w:r>
    </w:p>
    <w:bookmarkEnd w:id="1"/>
    <w:p w14:paraId="303CA63F" w14:textId="21C2876B" w:rsidR="003063EE" w:rsidRPr="00223067" w:rsidRDefault="003063EE" w:rsidP="003063EE">
      <w:pPr>
        <w:pStyle w:val="NormalWeb"/>
        <w:spacing w:line="360" w:lineRule="auto"/>
        <w:jc w:val="both"/>
      </w:pPr>
      <w:r w:rsidRPr="00223067">
        <w:rPr>
          <w:rStyle w:val="Strong"/>
          <w:rFonts w:eastAsiaTheme="majorEastAsia"/>
        </w:rPr>
        <w:t>Keywords</w:t>
      </w:r>
      <w:r w:rsidR="00690480" w:rsidRPr="00223067">
        <w:rPr>
          <w:rStyle w:val="Strong"/>
          <w:rFonts w:eastAsiaTheme="majorEastAsia"/>
        </w:rPr>
        <w:t>:</w:t>
      </w:r>
      <w:r w:rsidR="00690480" w:rsidRPr="00223067">
        <w:t> </w:t>
      </w:r>
      <w:r w:rsidR="00D0440F" w:rsidRPr="00223067">
        <w:t>Gladiolus corms, foliar spray, ferrous sulphate, boron, f</w:t>
      </w:r>
      <w:r w:rsidR="00804B5B">
        <w:t>lowering</w:t>
      </w:r>
      <w:r w:rsidR="00D0440F" w:rsidRPr="00223067">
        <w:t>, yield.</w:t>
      </w:r>
    </w:p>
    <w:p w14:paraId="5EF9D5AD" w14:textId="77777777" w:rsidR="003063EE" w:rsidRDefault="00D0440F" w:rsidP="003063EE">
      <w:pPr>
        <w:spacing w:after="0" w:line="360" w:lineRule="auto"/>
        <w:jc w:val="both"/>
        <w:rPr>
          <w:rFonts w:cs="Times New Roman"/>
          <w:bCs/>
          <w:color w:val="auto"/>
          <w:sz w:val="24"/>
          <w:szCs w:val="24"/>
        </w:rPr>
      </w:pPr>
      <w:r w:rsidRPr="00223067">
        <w:rPr>
          <w:rFonts w:cs="Times New Roman"/>
          <w:bCs/>
          <w:color w:val="auto"/>
          <w:sz w:val="24"/>
          <w:szCs w:val="24"/>
        </w:rPr>
        <w:t>INTRODUCTION</w:t>
      </w:r>
    </w:p>
    <w:p w14:paraId="477C81D8" w14:textId="7D206619" w:rsidR="00D0440F" w:rsidRPr="003063EE" w:rsidRDefault="00D0440F" w:rsidP="003063EE">
      <w:pPr>
        <w:spacing w:after="0" w:line="360" w:lineRule="auto"/>
        <w:jc w:val="both"/>
        <w:rPr>
          <w:rFonts w:cs="Times New Roman"/>
          <w:bCs/>
          <w:color w:val="auto"/>
          <w:sz w:val="24"/>
          <w:szCs w:val="24"/>
        </w:rPr>
      </w:pPr>
      <w:r w:rsidRPr="00223067">
        <w:rPr>
          <w:rFonts w:cs="Times New Roman"/>
          <w:b w:val="0"/>
          <w:bCs/>
          <w:color w:val="auto"/>
          <w:sz w:val="24"/>
          <w:szCs w:val="24"/>
        </w:rPr>
        <w:t>Gladiolus (</w:t>
      </w:r>
      <w:r w:rsidRPr="00223067">
        <w:rPr>
          <w:rFonts w:cs="Times New Roman"/>
          <w:b w:val="0"/>
          <w:bCs/>
          <w:i/>
          <w:iCs/>
          <w:color w:val="auto"/>
          <w:sz w:val="24"/>
          <w:szCs w:val="24"/>
        </w:rPr>
        <w:t xml:space="preserve">Gladiolus </w:t>
      </w:r>
      <w:proofErr w:type="spellStart"/>
      <w:r w:rsidRPr="00223067">
        <w:rPr>
          <w:rFonts w:cs="Times New Roman"/>
          <w:b w:val="0"/>
          <w:bCs/>
          <w:i/>
          <w:iCs/>
          <w:color w:val="auto"/>
          <w:sz w:val="24"/>
          <w:szCs w:val="24"/>
        </w:rPr>
        <w:t>grandiflorus</w:t>
      </w:r>
      <w:proofErr w:type="spellEnd"/>
      <w:r w:rsidRPr="00223067">
        <w:rPr>
          <w:rFonts w:cs="Times New Roman"/>
          <w:b w:val="0"/>
          <w:bCs/>
          <w:color w:val="auto"/>
          <w:sz w:val="24"/>
          <w:szCs w:val="24"/>
        </w:rPr>
        <w:t xml:space="preserve"> L.), a member of the Iridaceae family, is a bulbous ornamental plant primarily cultivated for its highly valued cut flowers. Its spikes are widely used in floral decorations and bouquets. Gladiolus is a prominent flowering crop in the floriculture industry and is cultivated commercially across multiple states in India (Singh, 2014). The plant produces an elegant spike adorned with numerous vibrant and graceful florets. Its cultivation dates back to the late sixteenth century and the flowers are widely used in floral arrangements, bouquets and indoor decorations. In India, gladiolus is commercially grown in </w:t>
      </w:r>
      <w:r w:rsidRPr="00223067">
        <w:rPr>
          <w:rFonts w:cs="Times New Roman"/>
          <w:b w:val="0"/>
          <w:bCs/>
          <w:color w:val="auto"/>
          <w:sz w:val="24"/>
          <w:szCs w:val="24"/>
        </w:rPr>
        <w:lastRenderedPageBreak/>
        <w:t xml:space="preserve">states including West Bengal, Maharashtra, Uttar Pradesh, Uttarakhand, Punjab, Haryana, Sikkim, Jammu and Kashmir, Karnataka, Gujarat, Himachal Pradesh, Tamil Nadu, Madhya Pradesh, Delhi and Rajasthan (Singh </w:t>
      </w:r>
      <w:r w:rsidR="00085CD8" w:rsidRPr="00223067">
        <w:rPr>
          <w:rFonts w:cs="Times New Roman"/>
          <w:b w:val="0"/>
          <w:bCs/>
          <w:color w:val="auto"/>
          <w:sz w:val="24"/>
          <w:szCs w:val="24"/>
        </w:rPr>
        <w:t>and</w:t>
      </w:r>
      <w:r w:rsidRPr="00223067">
        <w:rPr>
          <w:rFonts w:cs="Times New Roman"/>
          <w:b w:val="0"/>
          <w:bCs/>
          <w:color w:val="auto"/>
          <w:sz w:val="24"/>
          <w:szCs w:val="24"/>
        </w:rPr>
        <w:t xml:space="preserve"> Sisodia, 2017).</w:t>
      </w:r>
    </w:p>
    <w:p w14:paraId="130638CC" w14:textId="7F2072C2" w:rsidR="00690480" w:rsidRDefault="00D0440F"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Fertilizers play a crucial role in enhancing gladiolus growth, improving flower quality and boosting corm and cormel production, just as they do in other crops. Robust vegetative growth is vital for producing high-quality flowers and healthy plants. The availability and balance of macro and micro</w:t>
      </w:r>
      <w:r w:rsidR="00804B5B">
        <w:rPr>
          <w:rFonts w:cs="Times New Roman"/>
          <w:b w:val="0"/>
          <w:bCs/>
          <w:color w:val="auto"/>
          <w:sz w:val="24"/>
          <w:szCs w:val="24"/>
        </w:rPr>
        <w:t xml:space="preserve"> </w:t>
      </w:r>
      <w:r w:rsidRPr="00223067">
        <w:rPr>
          <w:rFonts w:cs="Times New Roman"/>
          <w:b w:val="0"/>
          <w:bCs/>
          <w:color w:val="auto"/>
          <w:sz w:val="24"/>
          <w:szCs w:val="24"/>
        </w:rPr>
        <w:t>nutrients in the soil significantly impact plant development. While macro</w:t>
      </w:r>
      <w:r w:rsidR="00804B5B">
        <w:rPr>
          <w:rFonts w:cs="Times New Roman"/>
          <w:b w:val="0"/>
          <w:bCs/>
          <w:color w:val="auto"/>
          <w:sz w:val="24"/>
          <w:szCs w:val="24"/>
        </w:rPr>
        <w:t xml:space="preserve"> </w:t>
      </w:r>
      <w:r w:rsidRPr="00223067">
        <w:rPr>
          <w:rFonts w:cs="Times New Roman"/>
          <w:b w:val="0"/>
          <w:bCs/>
          <w:color w:val="auto"/>
          <w:sz w:val="24"/>
          <w:szCs w:val="24"/>
        </w:rPr>
        <w:t>nutrients are fundamental for overall growth, micro</w:t>
      </w:r>
      <w:r w:rsidR="00804B5B">
        <w:rPr>
          <w:rFonts w:cs="Times New Roman"/>
          <w:b w:val="0"/>
          <w:bCs/>
          <w:color w:val="auto"/>
          <w:sz w:val="24"/>
          <w:szCs w:val="24"/>
        </w:rPr>
        <w:t xml:space="preserve"> </w:t>
      </w:r>
      <w:r w:rsidRPr="00223067">
        <w:rPr>
          <w:rFonts w:cs="Times New Roman"/>
          <w:b w:val="0"/>
          <w:bCs/>
          <w:color w:val="auto"/>
          <w:sz w:val="24"/>
          <w:szCs w:val="24"/>
        </w:rPr>
        <w:t>nutrients play a particularly essential role in optimizing gladiolus cultivation. Boron plays a key role in plant growth by reinforcing the pectic network within the cell wall (</w:t>
      </w:r>
      <w:proofErr w:type="spellStart"/>
      <w:r w:rsidRPr="00223067">
        <w:rPr>
          <w:rFonts w:cs="Times New Roman"/>
          <w:b w:val="0"/>
          <w:bCs/>
          <w:color w:val="auto"/>
          <w:sz w:val="24"/>
          <w:szCs w:val="24"/>
        </w:rPr>
        <w:t>Dordas</w:t>
      </w:r>
      <w:proofErr w:type="spellEnd"/>
      <w:r w:rsidRPr="00223067">
        <w:rPr>
          <w:rFonts w:cs="Times New Roman"/>
          <w:b w:val="0"/>
          <w:bCs/>
          <w:color w:val="auto"/>
          <w:sz w:val="24"/>
          <w:szCs w:val="24"/>
        </w:rPr>
        <w:t xml:space="preserve"> and Brown, 2005). It enhances cell wall stability and rigidity, thereby strengthening plant structure and supporting overall development (Brown </w:t>
      </w:r>
      <w:r w:rsidRPr="00223067">
        <w:rPr>
          <w:rFonts w:cs="Times New Roman"/>
          <w:b w:val="0"/>
          <w:bCs/>
          <w:i/>
          <w:iCs/>
          <w:color w:val="auto"/>
          <w:sz w:val="24"/>
          <w:szCs w:val="24"/>
        </w:rPr>
        <w:t>et al</w:t>
      </w:r>
      <w:r w:rsidRPr="00223067">
        <w:rPr>
          <w:rFonts w:cs="Times New Roman"/>
          <w:b w:val="0"/>
          <w:bCs/>
          <w:color w:val="auto"/>
          <w:sz w:val="24"/>
          <w:szCs w:val="24"/>
        </w:rPr>
        <w:t xml:space="preserve">., 2002). </w:t>
      </w:r>
      <w:r w:rsidR="00085CD8" w:rsidRPr="00223067">
        <w:rPr>
          <w:rFonts w:cs="Times New Roman"/>
          <w:b w:val="0"/>
          <w:bCs/>
          <w:color w:val="auto"/>
          <w:sz w:val="24"/>
          <w:szCs w:val="24"/>
        </w:rPr>
        <w:t>Whereas, i</w:t>
      </w:r>
      <w:r w:rsidRPr="00223067">
        <w:rPr>
          <w:rFonts w:cs="Times New Roman"/>
          <w:b w:val="0"/>
          <w:bCs/>
          <w:color w:val="auto"/>
          <w:sz w:val="24"/>
          <w:szCs w:val="24"/>
        </w:rPr>
        <w:t xml:space="preserve">ron plays a crucial role in plant metabolism as it is a key component of cytochrome, which participates in the electron transport chain and functions as an oxygen carrier, thereby facilitating respiration. Since certain nutrients are not readily available in the soil, foliar application of micronutrients serves as an effective method for ensuring their efficient uptake. This approach enhances nutrient availability, promoting plant growth and improving corm yield in gladiolus. The positive impact of iron </w:t>
      </w:r>
      <w:r w:rsidR="00085CD8" w:rsidRPr="00223067">
        <w:rPr>
          <w:rFonts w:cs="Times New Roman"/>
          <w:b w:val="0"/>
          <w:bCs/>
          <w:color w:val="auto"/>
          <w:sz w:val="24"/>
          <w:szCs w:val="24"/>
        </w:rPr>
        <w:t xml:space="preserve">and boron </w:t>
      </w:r>
      <w:r w:rsidRPr="00223067">
        <w:rPr>
          <w:rFonts w:cs="Times New Roman"/>
          <w:b w:val="0"/>
          <w:bCs/>
          <w:color w:val="auto"/>
          <w:sz w:val="24"/>
          <w:szCs w:val="24"/>
        </w:rPr>
        <w:t xml:space="preserve">application on gladiolus has been previously reported Singh </w:t>
      </w:r>
      <w:r w:rsidRPr="00223067">
        <w:rPr>
          <w:rFonts w:cs="Times New Roman"/>
          <w:b w:val="0"/>
          <w:bCs/>
          <w:i/>
          <w:iCs/>
          <w:color w:val="auto"/>
          <w:sz w:val="24"/>
          <w:szCs w:val="24"/>
        </w:rPr>
        <w:t>et al</w:t>
      </w:r>
      <w:r w:rsidRPr="00223067">
        <w:rPr>
          <w:rFonts w:cs="Times New Roman"/>
          <w:b w:val="0"/>
          <w:bCs/>
          <w:color w:val="auto"/>
          <w:sz w:val="24"/>
          <w:szCs w:val="24"/>
        </w:rPr>
        <w:t>. 2016</w:t>
      </w:r>
      <w:r w:rsidR="00085CD8" w:rsidRPr="00223067">
        <w:rPr>
          <w:rFonts w:cs="Times New Roman"/>
          <w:b w:val="0"/>
          <w:bCs/>
          <w:color w:val="auto"/>
          <w:sz w:val="24"/>
          <w:szCs w:val="24"/>
        </w:rPr>
        <w:t>, 2017</w:t>
      </w:r>
      <w:r w:rsidR="00804B5B">
        <w:rPr>
          <w:rFonts w:cs="Times New Roman"/>
          <w:b w:val="0"/>
          <w:bCs/>
          <w:color w:val="auto"/>
          <w:sz w:val="24"/>
          <w:szCs w:val="24"/>
        </w:rPr>
        <w:t xml:space="preserve"> and </w:t>
      </w:r>
      <w:r w:rsidR="00085CD8" w:rsidRPr="00223067">
        <w:rPr>
          <w:rFonts w:cs="Times New Roman"/>
          <w:b w:val="0"/>
          <w:bCs/>
          <w:color w:val="auto"/>
          <w:sz w:val="24"/>
          <w:szCs w:val="24"/>
        </w:rPr>
        <w:t>2024</w:t>
      </w:r>
      <w:r w:rsidR="00804B5B">
        <w:rPr>
          <w:rFonts w:cs="Times New Roman"/>
          <w:b w:val="0"/>
          <w:bCs/>
          <w:color w:val="auto"/>
          <w:sz w:val="24"/>
          <w:szCs w:val="24"/>
        </w:rPr>
        <w:t xml:space="preserve">; </w:t>
      </w:r>
      <w:proofErr w:type="spellStart"/>
      <w:r w:rsidR="00085CD8" w:rsidRPr="00223067">
        <w:rPr>
          <w:rFonts w:cs="Times New Roman"/>
          <w:b w:val="0"/>
          <w:bCs/>
          <w:color w:val="auto"/>
          <w:sz w:val="24"/>
          <w:szCs w:val="24"/>
        </w:rPr>
        <w:t>Somkuwar</w:t>
      </w:r>
      <w:proofErr w:type="spellEnd"/>
      <w:r w:rsidR="00085CD8" w:rsidRPr="00223067">
        <w:rPr>
          <w:rFonts w:cs="Times New Roman"/>
          <w:b w:val="0"/>
          <w:bCs/>
          <w:color w:val="auto"/>
          <w:sz w:val="24"/>
          <w:szCs w:val="24"/>
        </w:rPr>
        <w:t xml:space="preserve"> </w:t>
      </w:r>
      <w:r w:rsidR="00085CD8" w:rsidRPr="00223067">
        <w:rPr>
          <w:rFonts w:cs="Times New Roman"/>
          <w:b w:val="0"/>
          <w:bCs/>
          <w:i/>
          <w:iCs/>
          <w:color w:val="auto"/>
          <w:sz w:val="24"/>
          <w:szCs w:val="24"/>
        </w:rPr>
        <w:t>et al</w:t>
      </w:r>
      <w:r w:rsidRPr="00223067">
        <w:rPr>
          <w:rFonts w:cs="Times New Roman"/>
          <w:b w:val="0"/>
          <w:bCs/>
          <w:color w:val="auto"/>
          <w:sz w:val="24"/>
          <w:szCs w:val="24"/>
        </w:rPr>
        <w:t>.</w:t>
      </w:r>
      <w:r w:rsidR="00085CD8" w:rsidRPr="00223067">
        <w:rPr>
          <w:rFonts w:cs="Times New Roman"/>
          <w:b w:val="0"/>
          <w:bCs/>
          <w:color w:val="auto"/>
          <w:sz w:val="24"/>
          <w:szCs w:val="24"/>
        </w:rPr>
        <w:t>,</w:t>
      </w:r>
      <w:r w:rsidR="00804B5B">
        <w:rPr>
          <w:rFonts w:cs="Times New Roman"/>
          <w:b w:val="0"/>
          <w:bCs/>
          <w:color w:val="auto"/>
          <w:sz w:val="24"/>
          <w:szCs w:val="24"/>
        </w:rPr>
        <w:t xml:space="preserve"> </w:t>
      </w:r>
      <w:r w:rsidR="00085CD8" w:rsidRPr="00223067">
        <w:rPr>
          <w:rFonts w:cs="Times New Roman"/>
          <w:b w:val="0"/>
          <w:bCs/>
          <w:color w:val="auto"/>
          <w:sz w:val="24"/>
          <w:szCs w:val="24"/>
        </w:rPr>
        <w:t>2023</w:t>
      </w:r>
      <w:r w:rsidRPr="00223067">
        <w:rPr>
          <w:rFonts w:cs="Times New Roman"/>
          <w:b w:val="0"/>
          <w:bCs/>
          <w:color w:val="auto"/>
          <w:sz w:val="24"/>
          <w:szCs w:val="24"/>
        </w:rPr>
        <w:t xml:space="preserve"> Considering its significance, a field study was undertaken to evaluate the effects of different iron and boron concentrations on the growth and corm yield of gladiolus cv. Malaviya Shatabdi.</w:t>
      </w:r>
    </w:p>
    <w:p w14:paraId="176FB915" w14:textId="77777777" w:rsidR="003063EE" w:rsidRPr="00223067" w:rsidRDefault="003063EE" w:rsidP="003063EE">
      <w:pPr>
        <w:spacing w:after="0" w:line="360" w:lineRule="auto"/>
        <w:jc w:val="both"/>
        <w:rPr>
          <w:rFonts w:cs="Times New Roman"/>
          <w:b w:val="0"/>
          <w:bCs/>
          <w:color w:val="auto"/>
          <w:sz w:val="24"/>
          <w:szCs w:val="24"/>
        </w:rPr>
      </w:pPr>
    </w:p>
    <w:p w14:paraId="70BDB675"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MATERIALS AND METHODS</w:t>
      </w:r>
    </w:p>
    <w:p w14:paraId="390DAA3B" w14:textId="7C3977E9" w:rsidR="00690480" w:rsidRDefault="00565C02" w:rsidP="003063EE">
      <w:pPr>
        <w:spacing w:after="0" w:line="360" w:lineRule="auto"/>
        <w:jc w:val="both"/>
        <w:rPr>
          <w:rFonts w:cs="Times New Roman"/>
          <w:b w:val="0"/>
          <w:bCs/>
          <w:color w:val="auto"/>
          <w:sz w:val="24"/>
          <w:szCs w:val="24"/>
        </w:rPr>
      </w:pPr>
      <w:bookmarkStart w:id="4" w:name="_Hlk194535463"/>
      <w:r>
        <w:rPr>
          <w:rFonts w:cs="Times New Roman"/>
          <w:b w:val="0"/>
          <w:bCs/>
          <w:color w:val="auto"/>
          <w:sz w:val="24"/>
          <w:szCs w:val="24"/>
        </w:rPr>
        <w:t>Present</w:t>
      </w:r>
      <w:r w:rsidR="007F17A8" w:rsidRPr="00223067">
        <w:rPr>
          <w:rFonts w:cs="Times New Roman"/>
          <w:b w:val="0"/>
          <w:bCs/>
          <w:color w:val="auto"/>
          <w:sz w:val="24"/>
          <w:szCs w:val="24"/>
        </w:rPr>
        <w:t xml:space="preserve"> field study was conducted at the Horticulture Research Farm, Institute of Agricultural Sciences, Banaras Hindu University, Varanasi, Uttar Pradesh, India, during the winter season of 2023-24. The experiment followed a Randomized Block Design (RBD), with </w:t>
      </w:r>
      <w:r>
        <w:rPr>
          <w:rFonts w:cs="Times New Roman"/>
          <w:b w:val="0"/>
          <w:bCs/>
          <w:color w:val="auto"/>
          <w:sz w:val="24"/>
          <w:szCs w:val="24"/>
        </w:rPr>
        <w:t xml:space="preserve">incorporation of </w:t>
      </w:r>
      <w:r w:rsidR="007F17A8" w:rsidRPr="00223067">
        <w:rPr>
          <w:rFonts w:cs="Times New Roman"/>
          <w:b w:val="0"/>
          <w:bCs/>
          <w:color w:val="auto"/>
          <w:sz w:val="24"/>
          <w:szCs w:val="24"/>
        </w:rPr>
        <w:t xml:space="preserve">farmyard manure and NPK fertilizers applied as per recommended guidelines. Disease and pest-free corms of the gladiolus variety Malaviya Shatabdi were procured from the Department of Horticulture, Institute of Agricultural Sciences, Banaras Hindu University, and planted at a spacing of 30 cm × 20 cm, </w:t>
      </w:r>
      <w:r w:rsidR="007B2FD1" w:rsidRPr="00223067">
        <w:rPr>
          <w:rFonts w:cs="Times New Roman"/>
          <w:b w:val="0"/>
          <w:bCs/>
          <w:color w:val="auto"/>
          <w:sz w:val="24"/>
          <w:szCs w:val="24"/>
        </w:rPr>
        <w:t>at</w:t>
      </w:r>
      <w:r w:rsidR="007F17A8" w:rsidRPr="00223067">
        <w:rPr>
          <w:rFonts w:cs="Times New Roman"/>
          <w:b w:val="0"/>
          <w:bCs/>
          <w:color w:val="auto"/>
          <w:sz w:val="24"/>
          <w:szCs w:val="24"/>
        </w:rPr>
        <w:t xml:space="preserve"> a depth of</w:t>
      </w:r>
      <w:r w:rsidR="001E0E7E" w:rsidRPr="00223067">
        <w:rPr>
          <w:rFonts w:cs="Times New Roman"/>
          <w:b w:val="0"/>
          <w:bCs/>
          <w:color w:val="auto"/>
          <w:sz w:val="24"/>
          <w:szCs w:val="24"/>
        </w:rPr>
        <w:t xml:space="preserve"> 10-12</w:t>
      </w:r>
      <w:r w:rsidR="007F17A8" w:rsidRPr="00223067">
        <w:rPr>
          <w:rFonts w:cs="Times New Roman"/>
          <w:b w:val="0"/>
          <w:bCs/>
          <w:color w:val="auto"/>
          <w:sz w:val="24"/>
          <w:szCs w:val="24"/>
        </w:rPr>
        <w:t xml:space="preserve"> cm. The study comprised </w:t>
      </w:r>
      <w:r w:rsidR="007B2FD1" w:rsidRPr="00223067">
        <w:rPr>
          <w:rFonts w:cs="Times New Roman"/>
          <w:b w:val="0"/>
          <w:bCs/>
          <w:color w:val="auto"/>
          <w:sz w:val="24"/>
          <w:szCs w:val="24"/>
        </w:rPr>
        <w:t>eight</w:t>
      </w:r>
      <w:r w:rsidR="007F17A8" w:rsidRPr="00223067">
        <w:rPr>
          <w:rFonts w:cs="Times New Roman"/>
          <w:b w:val="0"/>
          <w:bCs/>
          <w:color w:val="auto"/>
          <w:sz w:val="24"/>
          <w:szCs w:val="24"/>
        </w:rPr>
        <w:t xml:space="preserve"> treatments </w:t>
      </w:r>
      <w:r w:rsidR="007B2FD1" w:rsidRPr="00223067">
        <w:rPr>
          <w:rFonts w:cs="Times New Roman"/>
          <w:b w:val="0"/>
          <w:bCs/>
          <w:color w:val="auto"/>
          <w:sz w:val="24"/>
          <w:szCs w:val="24"/>
        </w:rPr>
        <w:t>with</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three</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replications</w:t>
      </w:r>
      <w:r w:rsidR="007F17A8" w:rsidRPr="00223067">
        <w:rPr>
          <w:rFonts w:cs="Times New Roman"/>
          <w:b w:val="0"/>
          <w:bCs/>
          <w:color w:val="auto"/>
          <w:sz w:val="24"/>
          <w:szCs w:val="24"/>
        </w:rPr>
        <w:t>. Iron was applied in the form of ferrous sulphate (</w:t>
      </w:r>
      <w:proofErr w:type="spellStart"/>
      <w:r w:rsidR="007F17A8" w:rsidRPr="00223067">
        <w:rPr>
          <w:rFonts w:cs="Times New Roman"/>
          <w:b w:val="0"/>
          <w:bCs/>
          <w:color w:val="auto"/>
          <w:sz w:val="24"/>
          <w:szCs w:val="24"/>
        </w:rPr>
        <w:t>FeSO</w:t>
      </w:r>
      <w:proofErr w:type="spellEnd"/>
      <w:r w:rsidR="007F17A8" w:rsidRPr="00223067">
        <w:rPr>
          <w:rFonts w:cs="Times New Roman"/>
          <w:b w:val="0"/>
          <w:bCs/>
          <w:color w:val="auto"/>
          <w:sz w:val="24"/>
          <w:szCs w:val="24"/>
        </w:rPr>
        <w:t xml:space="preserve">₄), with lime used to neutralize its effect and boron was used in the form of boric acid </w:t>
      </w:r>
      <w:r w:rsidR="007B2FD1" w:rsidRPr="00223067">
        <w:rPr>
          <w:rFonts w:cs="Times New Roman"/>
          <w:b w:val="0"/>
          <w:bCs/>
          <w:color w:val="auto"/>
          <w:sz w:val="24"/>
          <w:szCs w:val="24"/>
        </w:rPr>
        <w:t>were</w:t>
      </w:r>
      <w:r w:rsidR="007F17A8" w:rsidRPr="00223067">
        <w:rPr>
          <w:rFonts w:cs="Times New Roman"/>
          <w:b w:val="0"/>
          <w:bCs/>
          <w:color w:val="auto"/>
          <w:sz w:val="24"/>
          <w:szCs w:val="24"/>
        </w:rPr>
        <w:t xml:space="preserve"> applied through foliar spray</w:t>
      </w:r>
      <w:r>
        <w:rPr>
          <w:rFonts w:cs="Times New Roman"/>
          <w:b w:val="0"/>
          <w:bCs/>
          <w:color w:val="auto"/>
          <w:sz w:val="24"/>
          <w:szCs w:val="24"/>
        </w:rPr>
        <w:t xml:space="preserve"> till runoff stage</w:t>
      </w:r>
      <w:r w:rsidR="007F17A8" w:rsidRPr="00223067">
        <w:rPr>
          <w:rFonts w:cs="Times New Roman"/>
          <w:b w:val="0"/>
          <w:bCs/>
          <w:color w:val="auto"/>
          <w:sz w:val="24"/>
          <w:szCs w:val="24"/>
        </w:rPr>
        <w:t>. The</w:t>
      </w:r>
      <w:r>
        <w:rPr>
          <w:rFonts w:cs="Times New Roman"/>
          <w:b w:val="0"/>
          <w:bCs/>
          <w:color w:val="auto"/>
          <w:sz w:val="24"/>
          <w:szCs w:val="24"/>
        </w:rPr>
        <w:t>se</w:t>
      </w:r>
      <w:r w:rsidR="007F17A8" w:rsidRPr="00223067">
        <w:rPr>
          <w:rFonts w:cs="Times New Roman"/>
          <w:b w:val="0"/>
          <w:bCs/>
          <w:color w:val="auto"/>
          <w:sz w:val="24"/>
          <w:szCs w:val="24"/>
        </w:rPr>
        <w:t xml:space="preserve"> 8 treatments included </w:t>
      </w:r>
      <w:r>
        <w:rPr>
          <w:rFonts w:cs="Times New Roman"/>
          <w:b w:val="0"/>
          <w:bCs/>
          <w:color w:val="auto"/>
          <w:sz w:val="24"/>
          <w:szCs w:val="24"/>
        </w:rPr>
        <w:t>c</w:t>
      </w:r>
      <w:r w:rsidR="007F17A8" w:rsidRPr="00223067">
        <w:rPr>
          <w:rFonts w:cs="Times New Roman"/>
          <w:b w:val="0"/>
          <w:bCs/>
          <w:color w:val="auto"/>
          <w:sz w:val="24"/>
          <w:szCs w:val="24"/>
        </w:rPr>
        <w:t xml:space="preserve">ontrol (distilled water), B (0.2%), B (0.4%), Fe (0.2%), Fe (0.4%), B (0.2%) + Fe (0.2%), B (0.2%) + Fe (0.4%), B (0.4%) + Fe </w:t>
      </w:r>
      <w:r w:rsidR="007F17A8" w:rsidRPr="00223067">
        <w:rPr>
          <w:rFonts w:cs="Times New Roman"/>
          <w:b w:val="0"/>
          <w:bCs/>
          <w:color w:val="auto"/>
          <w:sz w:val="24"/>
          <w:szCs w:val="24"/>
        </w:rPr>
        <w:lastRenderedPageBreak/>
        <w:t xml:space="preserve">(0.4%).  Foliar application of iron and boron was carried out </w:t>
      </w:r>
      <w:r w:rsidR="007B2FD1" w:rsidRPr="00223067">
        <w:rPr>
          <w:rFonts w:cs="Times New Roman"/>
          <w:b w:val="0"/>
          <w:sz w:val="24"/>
          <w:szCs w:val="24"/>
        </w:rPr>
        <w:t>at 3</w:t>
      </w:r>
      <w:r w:rsidR="007B2FD1" w:rsidRPr="00223067">
        <w:rPr>
          <w:rFonts w:cs="Times New Roman"/>
          <w:b w:val="0"/>
          <w:sz w:val="24"/>
          <w:szCs w:val="24"/>
          <w:vertAlign w:val="superscript"/>
        </w:rPr>
        <w:t>rd</w:t>
      </w:r>
      <w:r w:rsidR="007B2FD1" w:rsidRPr="00223067">
        <w:rPr>
          <w:rFonts w:cs="Times New Roman"/>
          <w:b w:val="0"/>
          <w:sz w:val="24"/>
          <w:szCs w:val="24"/>
        </w:rPr>
        <w:t xml:space="preserve"> and 6</w:t>
      </w:r>
      <w:r w:rsidR="007B2FD1" w:rsidRPr="00223067">
        <w:rPr>
          <w:rFonts w:cs="Times New Roman"/>
          <w:b w:val="0"/>
          <w:sz w:val="24"/>
          <w:szCs w:val="24"/>
          <w:vertAlign w:val="superscript"/>
        </w:rPr>
        <w:t>th</w:t>
      </w:r>
      <w:r w:rsidR="007B2FD1" w:rsidRPr="00223067">
        <w:rPr>
          <w:rFonts w:cs="Times New Roman"/>
          <w:b w:val="0"/>
          <w:sz w:val="24"/>
          <w:szCs w:val="24"/>
        </w:rPr>
        <w:t xml:space="preserve"> leaf stage</w:t>
      </w:r>
      <w:r w:rsidR="007F17A8" w:rsidRPr="00223067">
        <w:rPr>
          <w:rFonts w:cs="Times New Roman"/>
          <w:b w:val="0"/>
          <w:bCs/>
          <w:color w:val="auto"/>
          <w:sz w:val="24"/>
          <w:szCs w:val="24"/>
        </w:rPr>
        <w:t>.</w:t>
      </w:r>
      <w:r w:rsidR="00BA4719" w:rsidRPr="00223067">
        <w:rPr>
          <w:rFonts w:cs="Times New Roman"/>
          <w:b w:val="0"/>
          <w:sz w:val="24"/>
          <w:szCs w:val="24"/>
        </w:rPr>
        <w:t xml:space="preserve"> All the growth</w:t>
      </w:r>
      <w:r>
        <w:rPr>
          <w:rFonts w:cs="Times New Roman"/>
          <w:b w:val="0"/>
          <w:sz w:val="24"/>
          <w:szCs w:val="24"/>
        </w:rPr>
        <w:t>,</w:t>
      </w:r>
      <w:r w:rsidR="00BA4719" w:rsidRPr="00223067">
        <w:rPr>
          <w:rFonts w:cs="Times New Roman"/>
          <w:b w:val="0"/>
          <w:sz w:val="24"/>
          <w:szCs w:val="24"/>
        </w:rPr>
        <w:t xml:space="preserve"> flowering and corm parameters were recorded and analysed statistically.</w:t>
      </w:r>
      <w:r w:rsidR="003063EE">
        <w:rPr>
          <w:rFonts w:cs="Times New Roman"/>
          <w:b w:val="0"/>
          <w:bCs/>
          <w:color w:val="auto"/>
          <w:sz w:val="24"/>
          <w:szCs w:val="24"/>
        </w:rPr>
        <w:t xml:space="preserve"> </w:t>
      </w:r>
      <w:r w:rsidR="007F17A8" w:rsidRPr="00223067">
        <w:rPr>
          <w:rFonts w:cs="Times New Roman"/>
          <w:b w:val="0"/>
          <w:bCs/>
          <w:color w:val="auto"/>
          <w:sz w:val="24"/>
          <w:szCs w:val="24"/>
        </w:rPr>
        <w:t xml:space="preserve">Essential cultural practices such as earthing up, weeding, hoeing, irrigation and plant protection were performed as needed. </w:t>
      </w:r>
      <w:bookmarkEnd w:id="4"/>
    </w:p>
    <w:p w14:paraId="561CF53B" w14:textId="77777777" w:rsidR="003063EE" w:rsidRPr="003063EE" w:rsidRDefault="003063EE" w:rsidP="003063EE">
      <w:pPr>
        <w:spacing w:after="0" w:line="360" w:lineRule="auto"/>
        <w:jc w:val="both"/>
        <w:rPr>
          <w:rFonts w:cs="Times New Roman"/>
          <w:b w:val="0"/>
          <w:sz w:val="24"/>
          <w:szCs w:val="24"/>
        </w:rPr>
      </w:pPr>
    </w:p>
    <w:p w14:paraId="5C48597F"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 xml:space="preserve">RESULTS AND DISCUSSION </w:t>
      </w:r>
    </w:p>
    <w:p w14:paraId="5E9E4297"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Growth parameters</w:t>
      </w:r>
    </w:p>
    <w:p w14:paraId="3896035C" w14:textId="2867E61D"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Growth parameters in gladiolus</w:t>
      </w:r>
      <w:r w:rsidR="00565C02">
        <w:rPr>
          <w:rFonts w:cs="Times New Roman"/>
          <w:b w:val="0"/>
          <w:bCs/>
          <w:color w:val="auto"/>
          <w:sz w:val="24"/>
          <w:szCs w:val="24"/>
        </w:rPr>
        <w:t xml:space="preserve"> variety Malaviya Shatabdi were</w:t>
      </w:r>
      <w:r w:rsidRPr="00223067">
        <w:rPr>
          <w:rFonts w:cs="Times New Roman"/>
          <w:b w:val="0"/>
          <w:bCs/>
          <w:color w:val="auto"/>
          <w:sz w:val="24"/>
          <w:szCs w:val="24"/>
        </w:rPr>
        <w:t xml:space="preserve"> recorded 60 days after planting</w:t>
      </w:r>
      <w:r w:rsidR="00A07B4B">
        <w:rPr>
          <w:rFonts w:cs="Times New Roman"/>
          <w:b w:val="0"/>
          <w:bCs/>
          <w:color w:val="auto"/>
          <w:sz w:val="24"/>
          <w:szCs w:val="24"/>
        </w:rPr>
        <w:t xml:space="preserve"> and found</w:t>
      </w:r>
      <w:r w:rsidRPr="00223067">
        <w:rPr>
          <w:rFonts w:cs="Times New Roman"/>
          <w:b w:val="0"/>
          <w:bCs/>
          <w:color w:val="auto"/>
          <w:sz w:val="24"/>
          <w:szCs w:val="24"/>
        </w:rPr>
        <w:t xml:space="preserve"> significantly affected by different iron and boron treatments (Table 1). The number of plants per hill is a crucial growth parameter influencing overall yield. The highest number of plants per hill</w:t>
      </w:r>
      <w:r w:rsidR="00F65B83" w:rsidRPr="00223067">
        <w:rPr>
          <w:rFonts w:cs="Times New Roman"/>
          <w:b w:val="0"/>
          <w:bCs/>
          <w:color w:val="auto"/>
          <w:sz w:val="24"/>
          <w:szCs w:val="24"/>
        </w:rPr>
        <w:t xml:space="preserve"> (3.63)</w:t>
      </w:r>
      <w:r w:rsidRPr="00223067">
        <w:rPr>
          <w:rFonts w:cs="Times New Roman"/>
          <w:b w:val="0"/>
          <w:bCs/>
          <w:color w:val="auto"/>
          <w:sz w:val="24"/>
          <w:szCs w:val="24"/>
        </w:rPr>
        <w:t xml:space="preserve"> w</w:t>
      </w:r>
      <w:r w:rsidR="00A07B4B">
        <w:rPr>
          <w:rFonts w:cs="Times New Roman"/>
          <w:b w:val="0"/>
          <w:bCs/>
          <w:color w:val="auto"/>
          <w:sz w:val="24"/>
          <w:szCs w:val="24"/>
        </w:rPr>
        <w:t>ere</w:t>
      </w:r>
      <w:r w:rsidRPr="00223067">
        <w:rPr>
          <w:rFonts w:cs="Times New Roman"/>
          <w:b w:val="0"/>
          <w:bCs/>
          <w:color w:val="auto"/>
          <w:sz w:val="24"/>
          <w:szCs w:val="24"/>
        </w:rPr>
        <w:t xml:space="preserve"> observed in plants treated with </w:t>
      </w:r>
      <w:r w:rsidRPr="00223067">
        <w:rPr>
          <w:rFonts w:cs="Times New Roman"/>
          <w:b w:val="0"/>
          <w:color w:val="auto"/>
          <w:sz w:val="24"/>
          <w:szCs w:val="24"/>
        </w:rPr>
        <w:t>0.2% B + 0.4% Fe</w:t>
      </w:r>
      <w:r w:rsidRPr="00223067">
        <w:rPr>
          <w:rFonts w:cs="Times New Roman"/>
          <w:b w:val="0"/>
          <w:bCs/>
          <w:color w:val="auto"/>
          <w:sz w:val="24"/>
          <w:szCs w:val="24"/>
        </w:rPr>
        <w:t>, which was statistically comparable to 0.2% B + 0.2% Fe (3.38),</w:t>
      </w:r>
      <w:r w:rsidRPr="00223067">
        <w:rPr>
          <w:rFonts w:cs="Times New Roman"/>
          <w:color w:val="auto"/>
          <w:sz w:val="24"/>
          <w:szCs w:val="24"/>
        </w:rPr>
        <w:t xml:space="preserve"> </w:t>
      </w:r>
      <w:r w:rsidRPr="00223067">
        <w:rPr>
          <w:rFonts w:cs="Times New Roman"/>
          <w:b w:val="0"/>
          <w:bCs/>
          <w:color w:val="auto"/>
          <w:sz w:val="24"/>
          <w:szCs w:val="24"/>
        </w:rPr>
        <w:t>0.4% B + 0.4% Fe (3.07) and 0.4% Fe (2.90)</w:t>
      </w:r>
      <w:r w:rsidRPr="00223067">
        <w:rPr>
          <w:rFonts w:cs="Times New Roman"/>
          <w:color w:val="auto"/>
          <w:sz w:val="24"/>
          <w:szCs w:val="24"/>
        </w:rPr>
        <w:t xml:space="preserve"> </w:t>
      </w:r>
      <w:r w:rsidRPr="00223067">
        <w:rPr>
          <w:rFonts w:cs="Times New Roman"/>
          <w:b w:val="0"/>
          <w:bCs/>
          <w:color w:val="auto"/>
          <w:sz w:val="24"/>
          <w:szCs w:val="24"/>
        </w:rPr>
        <w:t xml:space="preserve">but significantly different from </w:t>
      </w:r>
      <w:r w:rsidR="00F65B83" w:rsidRPr="00223067">
        <w:rPr>
          <w:rFonts w:cs="Times New Roman"/>
          <w:b w:val="0"/>
          <w:bCs/>
          <w:color w:val="auto"/>
          <w:sz w:val="24"/>
          <w:szCs w:val="24"/>
        </w:rPr>
        <w:t>other treatment. Whereas,</w:t>
      </w:r>
      <w:r w:rsidR="00A07B4B">
        <w:rPr>
          <w:rFonts w:cs="Times New Roman"/>
          <w:b w:val="0"/>
          <w:bCs/>
          <w:color w:val="auto"/>
          <w:sz w:val="24"/>
          <w:szCs w:val="24"/>
        </w:rPr>
        <w:t xml:space="preserve"> B and Fe being</w:t>
      </w:r>
      <w:r w:rsidR="00F65B83" w:rsidRPr="00223067">
        <w:rPr>
          <w:rFonts w:cs="Times New Roman"/>
          <w:b w:val="0"/>
          <w:bCs/>
          <w:color w:val="auto"/>
          <w:sz w:val="24"/>
          <w:szCs w:val="24"/>
        </w:rPr>
        <w:t xml:space="preserve"> an</w:t>
      </w:r>
      <w:r w:rsidRPr="00223067">
        <w:rPr>
          <w:rFonts w:cs="Times New Roman"/>
          <w:b w:val="0"/>
          <w:bCs/>
          <w:color w:val="auto"/>
          <w:sz w:val="24"/>
          <w:szCs w:val="24"/>
        </w:rPr>
        <w:t xml:space="preserve"> </w:t>
      </w:r>
      <w:r w:rsidR="00A07B4B" w:rsidRPr="00223067">
        <w:rPr>
          <w:rFonts w:cs="Times New Roman"/>
          <w:b w:val="0"/>
          <w:bCs/>
          <w:color w:val="auto"/>
          <w:sz w:val="24"/>
          <w:szCs w:val="24"/>
        </w:rPr>
        <w:t>essential micronutrient</w:t>
      </w:r>
      <w:r w:rsidRPr="00223067">
        <w:rPr>
          <w:rFonts w:cs="Times New Roman"/>
          <w:b w:val="0"/>
          <w:bCs/>
          <w:color w:val="auto"/>
          <w:sz w:val="24"/>
          <w:szCs w:val="24"/>
        </w:rPr>
        <w:t>, plays a key role in plant growth by facilitating cell division and multiplication. This could explain the increased number of plants per hill under certain iron</w:t>
      </w:r>
      <w:r w:rsidR="00F65B83" w:rsidRPr="00223067">
        <w:rPr>
          <w:rFonts w:cs="Times New Roman"/>
          <w:b w:val="0"/>
          <w:bCs/>
          <w:color w:val="auto"/>
          <w:sz w:val="24"/>
          <w:szCs w:val="24"/>
        </w:rPr>
        <w:t xml:space="preserve"> and boron</w:t>
      </w:r>
      <w:r w:rsidRPr="00223067">
        <w:rPr>
          <w:rFonts w:cs="Times New Roman"/>
          <w:b w:val="0"/>
          <w:bCs/>
          <w:color w:val="auto"/>
          <w:sz w:val="24"/>
          <w:szCs w:val="24"/>
        </w:rPr>
        <w:t xml:space="preserve"> treatments.</w:t>
      </w:r>
      <w:r w:rsidR="00F65B83" w:rsidRPr="00223067">
        <w:rPr>
          <w:rFonts w:cs="Times New Roman"/>
          <w:b w:val="0"/>
          <w:bCs/>
          <w:color w:val="auto"/>
          <w:sz w:val="24"/>
          <w:szCs w:val="24"/>
        </w:rPr>
        <w:t xml:space="preserve"> These findings align with the research conducted</w:t>
      </w:r>
      <w:r w:rsidR="00F65B83" w:rsidRPr="00FB4C7A">
        <w:rPr>
          <w:rFonts w:cs="Times New Roman"/>
          <w:b w:val="0"/>
          <w:bCs/>
          <w:color w:val="auto"/>
          <w:sz w:val="24"/>
          <w:szCs w:val="24"/>
        </w:rPr>
        <w:t xml:space="preserve"> </w:t>
      </w:r>
      <w:r w:rsidR="00AA7B85" w:rsidRPr="00FB4C7A">
        <w:rPr>
          <w:rFonts w:cs="Times New Roman"/>
          <w:b w:val="0"/>
          <w:bCs/>
          <w:color w:val="auto"/>
          <w:sz w:val="24"/>
          <w:szCs w:val="24"/>
        </w:rPr>
        <w:t xml:space="preserve">by </w:t>
      </w:r>
      <w:r w:rsidR="00F65B83" w:rsidRPr="00FB4C7A">
        <w:rPr>
          <w:rFonts w:cs="Times New Roman"/>
          <w:b w:val="0"/>
          <w:bCs/>
          <w:color w:val="auto"/>
          <w:sz w:val="24"/>
          <w:szCs w:val="24"/>
        </w:rPr>
        <w:t xml:space="preserve">Pal </w:t>
      </w:r>
      <w:r w:rsidR="00F65B83" w:rsidRPr="00FB4C7A">
        <w:rPr>
          <w:rFonts w:cs="Times New Roman"/>
          <w:b w:val="0"/>
          <w:bCs/>
          <w:i/>
          <w:iCs/>
          <w:color w:val="auto"/>
          <w:sz w:val="24"/>
          <w:szCs w:val="24"/>
        </w:rPr>
        <w:t>et al</w:t>
      </w:r>
      <w:r w:rsidR="00F65B83" w:rsidRPr="00FB4C7A">
        <w:rPr>
          <w:rFonts w:cs="Times New Roman"/>
          <w:b w:val="0"/>
          <w:bCs/>
          <w:color w:val="auto"/>
          <w:sz w:val="24"/>
          <w:szCs w:val="24"/>
        </w:rPr>
        <w:t xml:space="preserve">. </w:t>
      </w:r>
      <w:r w:rsidR="00AA7B85" w:rsidRPr="00FB4C7A">
        <w:rPr>
          <w:rFonts w:cs="Times New Roman"/>
          <w:b w:val="0"/>
          <w:bCs/>
          <w:color w:val="auto"/>
          <w:sz w:val="24"/>
          <w:szCs w:val="24"/>
        </w:rPr>
        <w:t>(</w:t>
      </w:r>
      <w:r w:rsidR="00F65B83" w:rsidRPr="00FB4C7A">
        <w:rPr>
          <w:rFonts w:cs="Times New Roman"/>
          <w:b w:val="0"/>
          <w:bCs/>
          <w:color w:val="auto"/>
          <w:sz w:val="24"/>
          <w:szCs w:val="24"/>
        </w:rPr>
        <w:t>2016)</w:t>
      </w:r>
      <w:r w:rsidR="00FB4C7A" w:rsidRPr="00FB4C7A">
        <w:rPr>
          <w:rFonts w:cs="Times New Roman"/>
          <w:b w:val="0"/>
          <w:bCs/>
          <w:color w:val="auto"/>
          <w:sz w:val="24"/>
          <w:szCs w:val="24"/>
        </w:rPr>
        <w:t xml:space="preserve"> in </w:t>
      </w:r>
      <w:r w:rsidR="00FB4C7A" w:rsidRPr="00FB4C7A">
        <w:rPr>
          <w:rFonts w:cs="Times New Roman"/>
          <w:b w:val="0"/>
          <w:bCs/>
          <w:color w:val="auto"/>
          <w:sz w:val="24"/>
          <w:szCs w:val="24"/>
          <w:lang w:val="en-US"/>
        </w:rPr>
        <w:t>gerbera</w:t>
      </w:r>
      <w:r w:rsidR="00F65B83" w:rsidRPr="00FB4C7A">
        <w:rPr>
          <w:rFonts w:cs="Times New Roman"/>
          <w:b w:val="0"/>
          <w:bCs/>
          <w:color w:val="auto"/>
          <w:sz w:val="24"/>
          <w:szCs w:val="24"/>
        </w:rPr>
        <w:t>.</w:t>
      </w:r>
    </w:p>
    <w:p w14:paraId="2FD423E8" w14:textId="38C131A1"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w:t>
      </w:r>
      <w:r w:rsidR="00F65B83" w:rsidRPr="00223067">
        <w:rPr>
          <w:rFonts w:cs="Times New Roman"/>
          <w:b w:val="0"/>
          <w:bCs/>
          <w:color w:val="auto"/>
          <w:sz w:val="24"/>
          <w:szCs w:val="24"/>
        </w:rPr>
        <w:t xml:space="preserve">maximum </w:t>
      </w:r>
      <w:r w:rsidRPr="00223067">
        <w:rPr>
          <w:rFonts w:cs="Times New Roman"/>
          <w:b w:val="0"/>
          <w:bCs/>
          <w:color w:val="auto"/>
          <w:sz w:val="24"/>
          <w:szCs w:val="24"/>
        </w:rPr>
        <w:t>plant</w:t>
      </w:r>
      <w:r w:rsidR="00F65B83" w:rsidRPr="00223067">
        <w:rPr>
          <w:rFonts w:cs="Times New Roman"/>
          <w:b w:val="0"/>
          <w:bCs/>
          <w:color w:val="auto"/>
          <w:sz w:val="24"/>
          <w:szCs w:val="24"/>
        </w:rPr>
        <w:t xml:space="preserve"> height (55.21 cm)</w:t>
      </w:r>
      <w:r w:rsidRPr="00223067">
        <w:rPr>
          <w:rFonts w:cs="Times New Roman"/>
          <w:b w:val="0"/>
          <w:bCs/>
          <w:color w:val="auto"/>
          <w:sz w:val="24"/>
          <w:szCs w:val="24"/>
        </w:rPr>
        <w:t xml:space="preserve"> </w:t>
      </w:r>
      <w:r w:rsidR="00F65B83" w:rsidRPr="00223067">
        <w:rPr>
          <w:rFonts w:cs="Times New Roman"/>
          <w:b w:val="0"/>
          <w:bCs/>
          <w:color w:val="auto"/>
          <w:sz w:val="24"/>
          <w:szCs w:val="24"/>
        </w:rPr>
        <w:t>was</w:t>
      </w:r>
      <w:r w:rsidRPr="00223067">
        <w:rPr>
          <w:rFonts w:cs="Times New Roman"/>
          <w:b w:val="0"/>
          <w:bCs/>
          <w:color w:val="auto"/>
          <w:sz w:val="24"/>
          <w:szCs w:val="24"/>
        </w:rPr>
        <w:t xml:space="preserve"> observed with 0.2% B + 0.4% Fe treatment, likely due to the role of micronutrients in chlorophyll synthesis and various physiological processes by activating multiple enzymes.</w:t>
      </w:r>
      <w:r w:rsidRPr="00223067">
        <w:rPr>
          <w:rFonts w:cs="Times New Roman"/>
          <w:color w:val="auto"/>
          <w:sz w:val="24"/>
          <w:szCs w:val="24"/>
        </w:rPr>
        <w:t xml:space="preserve"> </w:t>
      </w:r>
      <w:r w:rsidRPr="00223067">
        <w:rPr>
          <w:rFonts w:cs="Times New Roman"/>
          <w:b w:val="0"/>
          <w:bCs/>
          <w:color w:val="auto"/>
          <w:sz w:val="24"/>
          <w:szCs w:val="24"/>
        </w:rPr>
        <w:t>The effectiveness of this treatment in promoting plant height can be attributed to the role of iron in activating key enzymes such as catalase, peroxidase and tryptophan synthetase, which are involved in chlorophyll synthesis and various physiological functions that support plant growth and development (Kumar and Arora, 2000). Iron plays a crucial role as a metabolic catalyst, facilitating the biosynthesis of photo assimilates, thereby promoting vegetative growth. Additionally, boron enhances nutrient mobility, RNA metabolism and IAA biosynthesis, all of which contribute to increased plant height</w:t>
      </w:r>
      <w:r w:rsidR="00AA7B85" w:rsidRPr="00223067">
        <w:rPr>
          <w:rFonts w:cs="Times New Roman"/>
          <w:b w:val="0"/>
          <w:bCs/>
          <w:color w:val="auto"/>
          <w:sz w:val="24"/>
          <w:szCs w:val="24"/>
        </w:rPr>
        <w:t>,</w:t>
      </w:r>
      <w:r w:rsidRPr="00223067">
        <w:rPr>
          <w:rFonts w:cs="Times New Roman"/>
          <w:b w:val="0"/>
          <w:bCs/>
          <w:color w:val="auto"/>
          <w:sz w:val="24"/>
          <w:szCs w:val="24"/>
        </w:rPr>
        <w:t xml:space="preserve"> Jauhari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2005). This observation is supported by studies conducted by Chopde </w:t>
      </w:r>
      <w:r w:rsidRPr="00223067">
        <w:rPr>
          <w:rFonts w:cs="Times New Roman"/>
          <w:b w:val="0"/>
          <w:bCs/>
          <w:i/>
          <w:iCs/>
          <w:color w:val="auto"/>
          <w:sz w:val="24"/>
          <w:szCs w:val="24"/>
        </w:rPr>
        <w:t>et al</w:t>
      </w:r>
      <w:r w:rsidRPr="00223067">
        <w:rPr>
          <w:rFonts w:cs="Times New Roman"/>
          <w:b w:val="0"/>
          <w:bCs/>
          <w:color w:val="auto"/>
          <w:sz w:val="24"/>
          <w:szCs w:val="24"/>
        </w:rPr>
        <w:t>.</w:t>
      </w:r>
      <w:r w:rsidR="00A07B4B">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2015)</w:t>
      </w:r>
      <w:r w:rsidR="00A07B4B" w:rsidRPr="00A07B4B">
        <w:rPr>
          <w:rFonts w:cs="Times New Roman"/>
          <w:b w:val="0"/>
          <w:bCs/>
          <w:color w:val="auto"/>
          <w:sz w:val="24"/>
          <w:szCs w:val="24"/>
        </w:rPr>
        <w:t xml:space="preserve"> in gladiolus</w:t>
      </w:r>
      <w:r w:rsidRPr="00223067">
        <w:rPr>
          <w:rFonts w:cs="Times New Roman"/>
          <w:b w:val="0"/>
          <w:bCs/>
          <w:color w:val="auto"/>
          <w:sz w:val="24"/>
          <w:szCs w:val="24"/>
        </w:rPr>
        <w:t xml:space="preserve">, Singh </w:t>
      </w:r>
      <w:r w:rsidRPr="00223067">
        <w:rPr>
          <w:rFonts w:cs="Times New Roman"/>
          <w:b w:val="0"/>
          <w:bCs/>
          <w:i/>
          <w:iCs/>
          <w:color w:val="auto"/>
          <w:sz w:val="24"/>
          <w:szCs w:val="24"/>
        </w:rPr>
        <w:t>et al</w:t>
      </w:r>
      <w:r w:rsidRPr="00223067">
        <w:rPr>
          <w:rFonts w:cs="Times New Roman"/>
          <w:b w:val="0"/>
          <w:bCs/>
          <w:color w:val="auto"/>
          <w:sz w:val="24"/>
          <w:szCs w:val="24"/>
        </w:rPr>
        <w:t>.</w:t>
      </w:r>
      <w:r w:rsidR="00A07B4B">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2017) in lilium, </w:t>
      </w:r>
      <w:proofErr w:type="spellStart"/>
      <w:r w:rsidRPr="00223067">
        <w:rPr>
          <w:rFonts w:cs="Times New Roman"/>
          <w:b w:val="0"/>
          <w:bCs/>
          <w:color w:val="auto"/>
          <w:sz w:val="24"/>
          <w:szCs w:val="24"/>
        </w:rPr>
        <w:t>Kolukunde</w:t>
      </w:r>
      <w:proofErr w:type="spellEnd"/>
      <w:r w:rsidRPr="00223067">
        <w:rPr>
          <w:rFonts w:cs="Times New Roman"/>
          <w:b w:val="0"/>
          <w:bCs/>
          <w:color w:val="auto"/>
          <w:sz w:val="24"/>
          <w:szCs w:val="24"/>
        </w:rPr>
        <w:t xml:space="preserve">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2014) in gerbera, Verma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2018) in China aster, Hussain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2020) in marigold, and Singh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2024) in gladiolus.</w:t>
      </w:r>
    </w:p>
    <w:p w14:paraId="57083008" w14:textId="069DA2EB" w:rsidR="00A07B4B" w:rsidRPr="001E1D87" w:rsidRDefault="00EA799E" w:rsidP="001E1D87">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maximum leaf length (51.81 cm) was recorded in plants treated with 0.2% B + 0.4% Fe contributes to reducing ethylene and abscisic acid levels, playing a crucial role in protein synthesis, respiration, photosynthesis and floral development, which likely led to increased leaf length and width. This observation is consistent with Singh </w:t>
      </w:r>
      <w:r w:rsidRPr="00223067">
        <w:rPr>
          <w:rFonts w:cs="Times New Roman"/>
          <w:b w:val="0"/>
          <w:bCs/>
          <w:i/>
          <w:iCs/>
          <w:color w:val="auto"/>
          <w:sz w:val="24"/>
          <w:szCs w:val="24"/>
        </w:rPr>
        <w:t>et al</w:t>
      </w:r>
      <w:r w:rsidRPr="00223067">
        <w:rPr>
          <w:rFonts w:cs="Times New Roman"/>
          <w:b w:val="0"/>
          <w:bCs/>
          <w:color w:val="auto"/>
          <w:sz w:val="24"/>
          <w:szCs w:val="24"/>
        </w:rPr>
        <w:t xml:space="preserve">. (2024) in gladiolus. </w:t>
      </w:r>
    </w:p>
    <w:p w14:paraId="0A6A6A54" w14:textId="4009E7A3" w:rsidR="00FE363A" w:rsidRPr="00223067" w:rsidRDefault="00FE363A" w:rsidP="00223067">
      <w:pPr>
        <w:spacing w:after="0" w:line="360" w:lineRule="auto"/>
        <w:jc w:val="both"/>
        <w:rPr>
          <w:rFonts w:cs="Times New Roman"/>
          <w:bCs/>
          <w:color w:val="auto"/>
          <w:sz w:val="24"/>
          <w:szCs w:val="24"/>
        </w:rPr>
      </w:pPr>
      <w:r w:rsidRPr="00223067">
        <w:rPr>
          <w:rFonts w:cs="Times New Roman"/>
          <w:bCs/>
          <w:color w:val="auto"/>
          <w:sz w:val="24"/>
          <w:szCs w:val="24"/>
        </w:rPr>
        <w:t>Flowering characters</w:t>
      </w:r>
    </w:p>
    <w:p w14:paraId="1501C379" w14:textId="7027783F" w:rsidR="00FE363A" w:rsidRPr="00223067" w:rsidRDefault="00D20C8B"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lastRenderedPageBreak/>
        <w:t>Table 1 and 2 shows the effect of i</w:t>
      </w:r>
      <w:r w:rsidR="00FE363A" w:rsidRPr="00223067">
        <w:rPr>
          <w:rFonts w:cs="Times New Roman"/>
          <w:b w:val="0"/>
          <w:bCs/>
          <w:color w:val="auto"/>
          <w:sz w:val="24"/>
          <w:szCs w:val="24"/>
        </w:rPr>
        <w:t>ron</w:t>
      </w:r>
      <w:r w:rsidRPr="00223067">
        <w:rPr>
          <w:rFonts w:cs="Times New Roman"/>
          <w:b w:val="0"/>
          <w:bCs/>
          <w:color w:val="auto"/>
          <w:sz w:val="24"/>
          <w:szCs w:val="24"/>
        </w:rPr>
        <w:t xml:space="preserve"> and boron</w:t>
      </w:r>
      <w:r w:rsidR="00FE363A" w:rsidRPr="00223067">
        <w:rPr>
          <w:rFonts w:cs="Times New Roman"/>
          <w:b w:val="0"/>
          <w:bCs/>
          <w:color w:val="auto"/>
          <w:sz w:val="24"/>
          <w:szCs w:val="24"/>
        </w:rPr>
        <w:t xml:space="preserve"> treatments significantly influenced </w:t>
      </w:r>
      <w:r w:rsidRPr="00223067">
        <w:rPr>
          <w:rFonts w:cs="Times New Roman"/>
          <w:b w:val="0"/>
          <w:bCs/>
          <w:color w:val="auto"/>
          <w:sz w:val="24"/>
          <w:szCs w:val="24"/>
        </w:rPr>
        <w:t xml:space="preserve">various flowering parameter in gladiolus cv. Malaviya Shatabdi. </w:t>
      </w:r>
      <w:r w:rsidR="00FE363A" w:rsidRPr="00223067">
        <w:rPr>
          <w:rFonts w:cs="Times New Roman"/>
          <w:b w:val="0"/>
          <w:bCs/>
          <w:color w:val="auto"/>
          <w:sz w:val="24"/>
          <w:szCs w:val="24"/>
        </w:rPr>
        <w:t xml:space="preserve">The </w:t>
      </w:r>
      <w:r w:rsidRPr="00223067">
        <w:rPr>
          <w:rFonts w:cs="Times New Roman"/>
          <w:b w:val="0"/>
          <w:bCs/>
          <w:color w:val="auto"/>
          <w:sz w:val="24"/>
          <w:szCs w:val="24"/>
        </w:rPr>
        <w:t>lowest</w:t>
      </w:r>
      <w:r w:rsidR="00FE363A" w:rsidRPr="00223067">
        <w:rPr>
          <w:rFonts w:cs="Times New Roman"/>
          <w:b w:val="0"/>
          <w:bCs/>
          <w:color w:val="auto"/>
          <w:sz w:val="24"/>
          <w:szCs w:val="24"/>
        </w:rPr>
        <w:t xml:space="preserve"> duration for spike emergence </w:t>
      </w:r>
      <w:r w:rsidRPr="00223067">
        <w:rPr>
          <w:rFonts w:cs="Times New Roman"/>
          <w:b w:val="0"/>
          <w:bCs/>
          <w:color w:val="auto"/>
          <w:sz w:val="24"/>
          <w:szCs w:val="24"/>
        </w:rPr>
        <w:t xml:space="preserve">(78.76 days) </w:t>
      </w:r>
      <w:r w:rsidR="00FE363A" w:rsidRPr="00223067">
        <w:rPr>
          <w:rFonts w:cs="Times New Roman"/>
          <w:b w:val="0"/>
          <w:bCs/>
          <w:color w:val="auto"/>
          <w:sz w:val="24"/>
          <w:szCs w:val="24"/>
        </w:rPr>
        <w:t>was observed in plants treated with 0.2% B + 0.4% Fe, whereas</w:t>
      </w:r>
      <w:r w:rsidR="00A07B4B">
        <w:rPr>
          <w:rFonts w:cs="Times New Roman"/>
          <w:b w:val="0"/>
          <w:bCs/>
          <w:color w:val="auto"/>
          <w:sz w:val="24"/>
          <w:szCs w:val="24"/>
        </w:rPr>
        <w:t>,</w:t>
      </w:r>
      <w:r w:rsidR="00FE363A" w:rsidRPr="00223067">
        <w:rPr>
          <w:rFonts w:cs="Times New Roman"/>
          <w:b w:val="0"/>
          <w:bCs/>
          <w:color w:val="auto"/>
          <w:sz w:val="24"/>
          <w:szCs w:val="24"/>
        </w:rPr>
        <w:t xml:space="preserve"> the longest duration was recorded in the control </w:t>
      </w:r>
      <w:r w:rsidRPr="00223067">
        <w:rPr>
          <w:rFonts w:cs="Times New Roman"/>
          <w:b w:val="0"/>
          <w:bCs/>
          <w:color w:val="auto"/>
          <w:sz w:val="24"/>
          <w:szCs w:val="24"/>
        </w:rPr>
        <w:t>treatment</w:t>
      </w:r>
      <w:r w:rsidR="00FE363A" w:rsidRPr="00223067">
        <w:rPr>
          <w:rFonts w:cs="Times New Roman"/>
          <w:b w:val="0"/>
          <w:bCs/>
          <w:color w:val="auto"/>
          <w:sz w:val="24"/>
          <w:szCs w:val="24"/>
        </w:rPr>
        <w:t xml:space="preserve">. Boron plays a crucial role in cell differentiation, particularly in the shoot apical meristem, which may have triggered early flowering. Its involvement in cellular differentiation likely accelerated plant maturity, allowing the shoot meristem to effectively receive and respond to internal and external flowering signals. Similar effects of boron on early flowering were reported by Ahmad </w:t>
      </w:r>
      <w:r w:rsidR="00FE363A" w:rsidRPr="00223067">
        <w:rPr>
          <w:rFonts w:cs="Times New Roman"/>
          <w:b w:val="0"/>
          <w:bCs/>
          <w:i/>
          <w:iCs/>
          <w:color w:val="auto"/>
          <w:sz w:val="24"/>
          <w:szCs w:val="24"/>
        </w:rPr>
        <w:t>et al</w:t>
      </w:r>
      <w:r w:rsidR="00FE363A" w:rsidRPr="00223067">
        <w:rPr>
          <w:rFonts w:cs="Times New Roman"/>
          <w:b w:val="0"/>
          <w:bCs/>
          <w:color w:val="auto"/>
          <w:sz w:val="24"/>
          <w:szCs w:val="24"/>
        </w:rPr>
        <w:t xml:space="preserve">. (2010) in roses and Kumar </w:t>
      </w:r>
      <w:r w:rsidR="00FE363A" w:rsidRPr="00223067">
        <w:rPr>
          <w:rFonts w:cs="Times New Roman"/>
          <w:b w:val="0"/>
          <w:bCs/>
          <w:i/>
          <w:iCs/>
          <w:color w:val="auto"/>
          <w:sz w:val="24"/>
          <w:szCs w:val="24"/>
        </w:rPr>
        <w:t>et al</w:t>
      </w:r>
      <w:r w:rsidR="00FE363A" w:rsidRPr="00223067">
        <w:rPr>
          <w:rFonts w:cs="Times New Roman"/>
          <w:b w:val="0"/>
          <w:bCs/>
          <w:color w:val="auto"/>
          <w:sz w:val="24"/>
          <w:szCs w:val="24"/>
        </w:rPr>
        <w:t>. (2003) in gladiolus.</w:t>
      </w:r>
    </w:p>
    <w:p w14:paraId="485778DC" w14:textId="62D27CC8" w:rsidR="0012571E" w:rsidRPr="00223067" w:rsidRDefault="0012571E" w:rsidP="003063EE">
      <w:pPr>
        <w:spacing w:after="0" w:line="360" w:lineRule="auto"/>
        <w:jc w:val="both"/>
        <w:rPr>
          <w:rFonts w:cs="Times New Roman"/>
          <w:b w:val="0"/>
          <w:color w:val="auto"/>
          <w:sz w:val="24"/>
          <w:szCs w:val="24"/>
        </w:rPr>
      </w:pPr>
      <w:r w:rsidRPr="00223067">
        <w:rPr>
          <w:rFonts w:cs="Times New Roman"/>
          <w:b w:val="0"/>
          <w:color w:val="auto"/>
          <w:sz w:val="24"/>
          <w:szCs w:val="24"/>
        </w:rPr>
        <w:t>T</w:t>
      </w:r>
      <w:r w:rsidR="00BC0BA7" w:rsidRPr="00223067">
        <w:rPr>
          <w:rFonts w:cs="Times New Roman"/>
          <w:b w:val="0"/>
          <w:color w:val="auto"/>
          <w:sz w:val="24"/>
          <w:szCs w:val="24"/>
        </w:rPr>
        <w:t xml:space="preserve">he </w:t>
      </w:r>
      <w:r w:rsidRPr="00223067">
        <w:rPr>
          <w:rFonts w:cs="Times New Roman"/>
          <w:b w:val="0"/>
          <w:color w:val="auto"/>
          <w:sz w:val="24"/>
          <w:szCs w:val="24"/>
        </w:rPr>
        <w:t>maximum</w:t>
      </w:r>
      <w:r w:rsidR="00BC0BA7" w:rsidRPr="00223067">
        <w:rPr>
          <w:rFonts w:cs="Times New Roman"/>
          <w:b w:val="0"/>
          <w:color w:val="auto"/>
          <w:sz w:val="24"/>
          <w:szCs w:val="24"/>
        </w:rPr>
        <w:t xml:space="preserve"> number of florets per spike (13.28) was recorded in plants treated with 0.2% B + 0.4% Fe. Essential micronutrients like iron and </w:t>
      </w:r>
      <w:r w:rsidR="00A07B4B">
        <w:rPr>
          <w:rFonts w:cs="Times New Roman"/>
          <w:b w:val="0"/>
          <w:color w:val="auto"/>
          <w:sz w:val="24"/>
          <w:szCs w:val="24"/>
        </w:rPr>
        <w:t>boron</w:t>
      </w:r>
      <w:r w:rsidR="00BC0BA7" w:rsidRPr="00223067">
        <w:rPr>
          <w:rFonts w:cs="Times New Roman"/>
          <w:b w:val="0"/>
          <w:color w:val="auto"/>
          <w:sz w:val="24"/>
          <w:szCs w:val="24"/>
        </w:rPr>
        <w:t xml:space="preserve"> play a critical role in regulating plant growth, aiding bio-assimilation and accelerating floral development, which could explain the enhanced flowering observed. These results are consistent with studies by Hembrom </w:t>
      </w:r>
      <w:r w:rsidR="00BC0BA7" w:rsidRPr="00223067">
        <w:rPr>
          <w:rFonts w:cs="Times New Roman"/>
          <w:b w:val="0"/>
          <w:i/>
          <w:iCs/>
          <w:color w:val="auto"/>
          <w:sz w:val="24"/>
          <w:szCs w:val="24"/>
        </w:rPr>
        <w:t>et al</w:t>
      </w:r>
      <w:r w:rsidR="00BC0BA7" w:rsidRPr="00223067">
        <w:rPr>
          <w:rFonts w:cs="Times New Roman"/>
          <w:b w:val="0"/>
          <w:color w:val="auto"/>
          <w:sz w:val="24"/>
          <w:szCs w:val="24"/>
        </w:rPr>
        <w:t xml:space="preserve">. (2015) and </w:t>
      </w:r>
      <w:proofErr w:type="spellStart"/>
      <w:r w:rsidR="00BC0BA7" w:rsidRPr="00223067">
        <w:rPr>
          <w:rFonts w:cs="Times New Roman"/>
          <w:b w:val="0"/>
          <w:color w:val="auto"/>
          <w:sz w:val="24"/>
          <w:szCs w:val="24"/>
        </w:rPr>
        <w:t>Erao</w:t>
      </w:r>
      <w:proofErr w:type="spellEnd"/>
      <w:r w:rsidR="00BC0BA7" w:rsidRPr="00223067">
        <w:rPr>
          <w:rFonts w:cs="Times New Roman"/>
          <w:b w:val="0"/>
          <w:color w:val="auto"/>
          <w:sz w:val="24"/>
          <w:szCs w:val="24"/>
        </w:rPr>
        <w:t xml:space="preserve"> (2005) in gladiolus. </w:t>
      </w:r>
    </w:p>
    <w:p w14:paraId="6869045A" w14:textId="718FADF9" w:rsidR="00223067" w:rsidRDefault="00FB64B7" w:rsidP="003063EE">
      <w:pPr>
        <w:spacing w:after="0" w:line="360" w:lineRule="auto"/>
        <w:jc w:val="both"/>
        <w:rPr>
          <w:rFonts w:cs="Times New Roman"/>
          <w:b w:val="0"/>
          <w:color w:val="auto"/>
          <w:sz w:val="24"/>
          <w:szCs w:val="24"/>
        </w:rPr>
      </w:pPr>
      <w:r w:rsidRPr="00223067">
        <w:rPr>
          <w:rFonts w:cs="Times New Roman"/>
          <w:b w:val="0"/>
          <w:color w:val="auto"/>
          <w:sz w:val="24"/>
          <w:szCs w:val="24"/>
        </w:rPr>
        <w:t>Additionally, the timing of the opening of the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was notably influenced by iron and boron treatments. The earliest floret opening (93.83 days) was recorded in plants treated with 0.2% B + 0.4% Fe, which may be attributed to iron and boron role in regulating plant hormone levels, promoting early maturation and floret development. Similar effects were observed in marigold by Kumar </w:t>
      </w:r>
      <w:r w:rsidRPr="00223067">
        <w:rPr>
          <w:rFonts w:cs="Times New Roman"/>
          <w:b w:val="0"/>
          <w:i/>
          <w:iCs/>
          <w:color w:val="auto"/>
          <w:sz w:val="24"/>
          <w:szCs w:val="24"/>
        </w:rPr>
        <w:t>et al</w:t>
      </w:r>
      <w:r w:rsidRPr="00223067">
        <w:rPr>
          <w:rFonts w:cs="Times New Roman"/>
          <w:b w:val="0"/>
          <w:color w:val="auto"/>
          <w:sz w:val="24"/>
          <w:szCs w:val="24"/>
        </w:rPr>
        <w:t xml:space="preserve">. (2010) following foliar iron application and in gladiolus by Memon </w:t>
      </w:r>
      <w:r w:rsidRPr="00223067">
        <w:rPr>
          <w:rFonts w:cs="Times New Roman"/>
          <w:b w:val="0"/>
          <w:i/>
          <w:iCs/>
          <w:color w:val="auto"/>
          <w:sz w:val="24"/>
          <w:szCs w:val="24"/>
        </w:rPr>
        <w:t>et al</w:t>
      </w:r>
      <w:r w:rsidRPr="00223067">
        <w:rPr>
          <w:rFonts w:cs="Times New Roman"/>
          <w:b w:val="0"/>
          <w:color w:val="auto"/>
          <w:sz w:val="24"/>
          <w:szCs w:val="24"/>
        </w:rPr>
        <w:t xml:space="preserve">. (2013). </w:t>
      </w:r>
    </w:p>
    <w:p w14:paraId="451E4940" w14:textId="1452466A" w:rsidR="00223067" w:rsidRPr="00223067" w:rsidRDefault="00223067" w:rsidP="003063EE">
      <w:pPr>
        <w:spacing w:after="0" w:line="360" w:lineRule="auto"/>
        <w:jc w:val="both"/>
        <w:rPr>
          <w:rFonts w:cs="Times New Roman"/>
          <w:b w:val="0"/>
          <w:color w:val="auto"/>
          <w:sz w:val="24"/>
          <w:szCs w:val="24"/>
        </w:rPr>
      </w:pPr>
      <w:r w:rsidRPr="00223067">
        <w:rPr>
          <w:rFonts w:cs="Times New Roman"/>
          <w:b w:val="0"/>
          <w:color w:val="auto"/>
          <w:sz w:val="24"/>
          <w:szCs w:val="24"/>
        </w:rPr>
        <w:t>The maximum floret diameter and length of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were recorded </w:t>
      </w:r>
      <w:r w:rsidR="00A07B4B">
        <w:rPr>
          <w:rFonts w:cs="Times New Roman"/>
          <w:b w:val="0"/>
          <w:color w:val="auto"/>
          <w:sz w:val="24"/>
          <w:szCs w:val="24"/>
        </w:rPr>
        <w:t xml:space="preserve">in </w:t>
      </w:r>
      <w:r w:rsidRPr="00223067">
        <w:rPr>
          <w:rFonts w:cs="Times New Roman"/>
          <w:b w:val="0"/>
          <w:color w:val="auto"/>
          <w:sz w:val="24"/>
          <w:szCs w:val="24"/>
        </w:rPr>
        <w:t xml:space="preserve">treatment 0.2% B + 0.4% Fe. Iron and boron play a vital role in promoting vegetative growth, which subsequently enhances flowering and may contribute to an increase in floret diameter. Similar results were reported by Bhandari </w:t>
      </w:r>
      <w:r w:rsidRPr="00223067">
        <w:rPr>
          <w:rFonts w:cs="Times New Roman"/>
          <w:b w:val="0"/>
          <w:i/>
          <w:iCs/>
          <w:color w:val="auto"/>
          <w:sz w:val="24"/>
          <w:szCs w:val="24"/>
        </w:rPr>
        <w:t>et al</w:t>
      </w:r>
      <w:r w:rsidRPr="00223067">
        <w:rPr>
          <w:rFonts w:cs="Times New Roman"/>
          <w:b w:val="0"/>
          <w:color w:val="auto"/>
          <w:sz w:val="24"/>
          <w:szCs w:val="24"/>
        </w:rPr>
        <w:t xml:space="preserve">. (2022) in calendula, Chopde </w:t>
      </w:r>
      <w:r w:rsidRPr="00223067">
        <w:rPr>
          <w:rFonts w:cs="Times New Roman"/>
          <w:b w:val="0"/>
          <w:i/>
          <w:iCs/>
          <w:color w:val="auto"/>
          <w:sz w:val="24"/>
          <w:szCs w:val="24"/>
        </w:rPr>
        <w:t>et al</w:t>
      </w:r>
      <w:r w:rsidRPr="00223067">
        <w:rPr>
          <w:rFonts w:cs="Times New Roman"/>
          <w:b w:val="0"/>
          <w:color w:val="auto"/>
          <w:sz w:val="24"/>
          <w:szCs w:val="24"/>
        </w:rPr>
        <w:t xml:space="preserve">. (2016) in </w:t>
      </w:r>
      <w:r w:rsidR="00A07B4B">
        <w:rPr>
          <w:rFonts w:cs="Times New Roman"/>
          <w:b w:val="0"/>
          <w:color w:val="auto"/>
          <w:sz w:val="24"/>
          <w:szCs w:val="24"/>
        </w:rPr>
        <w:t xml:space="preserve">annual </w:t>
      </w:r>
      <w:r w:rsidRPr="00223067">
        <w:rPr>
          <w:rFonts w:cs="Times New Roman"/>
          <w:b w:val="0"/>
          <w:color w:val="auto"/>
          <w:sz w:val="24"/>
          <w:szCs w:val="24"/>
        </w:rPr>
        <w:t xml:space="preserve">chrysanthemum, Balakrishnan </w:t>
      </w:r>
      <w:r w:rsidRPr="00223067">
        <w:rPr>
          <w:rFonts w:cs="Times New Roman"/>
          <w:b w:val="0"/>
          <w:i/>
          <w:iCs/>
          <w:color w:val="auto"/>
          <w:sz w:val="24"/>
          <w:szCs w:val="24"/>
        </w:rPr>
        <w:t>et al</w:t>
      </w:r>
      <w:r w:rsidRPr="00223067">
        <w:rPr>
          <w:rFonts w:cs="Times New Roman"/>
          <w:b w:val="0"/>
          <w:color w:val="auto"/>
          <w:sz w:val="24"/>
          <w:szCs w:val="24"/>
        </w:rPr>
        <w:t xml:space="preserve">. (2007) in marigold and Verma </w:t>
      </w:r>
      <w:r w:rsidRPr="00223067">
        <w:rPr>
          <w:rFonts w:cs="Times New Roman"/>
          <w:b w:val="0"/>
          <w:i/>
          <w:iCs/>
          <w:color w:val="auto"/>
          <w:sz w:val="24"/>
          <w:szCs w:val="24"/>
        </w:rPr>
        <w:t>et al</w:t>
      </w:r>
      <w:r w:rsidRPr="00223067">
        <w:rPr>
          <w:rFonts w:cs="Times New Roman"/>
          <w:b w:val="0"/>
          <w:color w:val="auto"/>
          <w:sz w:val="24"/>
          <w:szCs w:val="24"/>
        </w:rPr>
        <w:t xml:space="preserve">. (2018) in China aster. </w:t>
      </w:r>
      <w:r w:rsidR="001E1D87" w:rsidRPr="001E1D87">
        <w:rPr>
          <w:rFonts w:cs="Times New Roman"/>
          <w:b w:val="0"/>
          <w:color w:val="auto"/>
          <w:sz w:val="24"/>
          <w:szCs w:val="24"/>
        </w:rPr>
        <w:t>Additionally, the application of 0.2% B + 0.4% Fe showed the longest spike (64.61). The increase in plant height was closely associated with the elongation of these structures, likely due to enhanced physiological growth and protein synthesis stimulated by iron application in gladiolus plants.</w:t>
      </w:r>
      <w:r w:rsidR="001E1D87" w:rsidRPr="001E1D87">
        <w:rPr>
          <w:rFonts w:eastAsia="Times New Roman" w:cs="Times New Roman"/>
          <w:b w:val="0"/>
          <w:color w:val="auto"/>
          <w:sz w:val="24"/>
          <w:szCs w:val="24"/>
          <w:lang w:eastAsia="en-IN" w:bidi="hi-IN"/>
        </w:rPr>
        <w:t xml:space="preserve"> </w:t>
      </w:r>
      <w:r w:rsidR="001E1D87" w:rsidRPr="001E1D87">
        <w:rPr>
          <w:rFonts w:cs="Times New Roman"/>
          <w:b w:val="0"/>
          <w:color w:val="auto"/>
          <w:sz w:val="24"/>
          <w:szCs w:val="24"/>
        </w:rPr>
        <w:t xml:space="preserve">Similar observations have been reported by Chopde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(2015) and Kumar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(2022) in gladiolus, Verma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(2017) in chrysanthemum, Pal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(2016) in gerbera, Ganga </w:t>
      </w:r>
      <w:r w:rsidR="001E1D87" w:rsidRPr="001E1D87">
        <w:rPr>
          <w:rFonts w:cs="Times New Roman"/>
          <w:b w:val="0"/>
          <w:i/>
          <w:iCs/>
          <w:color w:val="auto"/>
          <w:sz w:val="24"/>
          <w:szCs w:val="24"/>
        </w:rPr>
        <w:t>et al</w:t>
      </w:r>
      <w:r w:rsidR="001E1D87" w:rsidRPr="001E1D87">
        <w:rPr>
          <w:rFonts w:cs="Times New Roman"/>
          <w:b w:val="0"/>
          <w:color w:val="auto"/>
          <w:sz w:val="24"/>
          <w:szCs w:val="24"/>
        </w:rPr>
        <w:t>. (2009) in orchid and El-</w:t>
      </w:r>
      <w:proofErr w:type="spellStart"/>
      <w:r w:rsidR="001E1D87" w:rsidRPr="001E1D87">
        <w:rPr>
          <w:rFonts w:cs="Times New Roman"/>
          <w:b w:val="0"/>
          <w:color w:val="auto"/>
          <w:sz w:val="24"/>
          <w:szCs w:val="24"/>
        </w:rPr>
        <w:t>Yazal</w:t>
      </w:r>
      <w:proofErr w:type="spellEnd"/>
      <w:r w:rsidR="001E1D87" w:rsidRPr="001E1D87">
        <w:rPr>
          <w:rFonts w:cs="Times New Roman"/>
          <w:b w:val="0"/>
          <w:color w:val="auto"/>
          <w:sz w:val="24"/>
          <w:szCs w:val="24"/>
        </w:rPr>
        <w:t xml:space="preserve"> (2008) and Ganesh </w:t>
      </w:r>
      <w:r w:rsidR="001E1D87" w:rsidRPr="001E1D87">
        <w:rPr>
          <w:rFonts w:cs="Times New Roman"/>
          <w:b w:val="0"/>
          <w:i/>
          <w:iCs/>
          <w:color w:val="auto"/>
          <w:sz w:val="24"/>
          <w:szCs w:val="24"/>
        </w:rPr>
        <w:t>et al</w:t>
      </w:r>
      <w:r w:rsidR="001E1D87" w:rsidRPr="001E1D87">
        <w:rPr>
          <w:rFonts w:cs="Times New Roman"/>
          <w:b w:val="0"/>
          <w:color w:val="auto"/>
          <w:sz w:val="24"/>
          <w:szCs w:val="24"/>
        </w:rPr>
        <w:t>. (2013) in tuberose.</w:t>
      </w:r>
    </w:p>
    <w:p w14:paraId="66376230" w14:textId="77777777" w:rsidR="00223067" w:rsidRDefault="00223067" w:rsidP="00223067">
      <w:pPr>
        <w:spacing w:after="0" w:line="360" w:lineRule="auto"/>
        <w:ind w:firstLine="720"/>
        <w:jc w:val="both"/>
        <w:rPr>
          <w:rFonts w:cs="Times New Roman"/>
          <w:b w:val="0"/>
          <w:color w:val="auto"/>
          <w:sz w:val="24"/>
          <w:szCs w:val="24"/>
        </w:rPr>
      </w:pPr>
    </w:p>
    <w:p w14:paraId="2B72E388" w14:textId="16FF7CF1" w:rsidR="00690480" w:rsidRPr="00223067" w:rsidRDefault="00223067" w:rsidP="00223067">
      <w:pPr>
        <w:rPr>
          <w:rFonts w:cs="Times New Roman"/>
          <w:b w:val="0"/>
          <w:color w:val="auto"/>
          <w:sz w:val="24"/>
          <w:szCs w:val="24"/>
        </w:rPr>
      </w:pPr>
      <w:r>
        <w:rPr>
          <w:rFonts w:cs="Times New Roman"/>
          <w:b w:val="0"/>
          <w:color w:val="auto"/>
          <w:sz w:val="24"/>
          <w:szCs w:val="24"/>
        </w:rPr>
        <w:br w:type="page"/>
      </w:r>
    </w:p>
    <w:tbl>
      <w:tblPr>
        <w:tblStyle w:val="TableGrid"/>
        <w:tblpPr w:leftFromText="180" w:rightFromText="180" w:vertAnchor="text" w:horzAnchor="margin" w:tblpY="841"/>
        <w:tblW w:w="5151"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343"/>
        <w:gridCol w:w="1142"/>
        <w:gridCol w:w="984"/>
        <w:gridCol w:w="896"/>
        <w:gridCol w:w="896"/>
        <w:gridCol w:w="898"/>
        <w:gridCol w:w="876"/>
      </w:tblGrid>
      <w:tr w:rsidR="0096359B" w:rsidRPr="00223067" w14:paraId="7DEC0051" w14:textId="76CECE58" w:rsidTr="003C5E65">
        <w:trPr>
          <w:trHeight w:val="639"/>
        </w:trPr>
        <w:tc>
          <w:tcPr>
            <w:tcW w:w="1217" w:type="pct"/>
            <w:vMerge w:val="restart"/>
            <w:vAlign w:val="center"/>
          </w:tcPr>
          <w:p w14:paraId="67967D01"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lastRenderedPageBreak/>
              <w:t>Treatment</w:t>
            </w:r>
          </w:p>
        </w:tc>
        <w:tc>
          <w:tcPr>
            <w:tcW w:w="722" w:type="pct"/>
            <w:vMerge w:val="restart"/>
            <w:vAlign w:val="center"/>
          </w:tcPr>
          <w:p w14:paraId="1346884D"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Number of leaves/hills</w:t>
            </w:r>
          </w:p>
        </w:tc>
        <w:tc>
          <w:tcPr>
            <w:tcW w:w="614" w:type="pct"/>
            <w:vMerge w:val="restart"/>
            <w:vAlign w:val="center"/>
          </w:tcPr>
          <w:p w14:paraId="13E7ABE5"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Leaf width (cm)</w:t>
            </w:r>
          </w:p>
        </w:tc>
        <w:tc>
          <w:tcPr>
            <w:tcW w:w="529" w:type="pct"/>
            <w:vMerge w:val="restart"/>
            <w:vAlign w:val="center"/>
          </w:tcPr>
          <w:p w14:paraId="39BA3354"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Scape width (cm)</w:t>
            </w:r>
          </w:p>
        </w:tc>
        <w:tc>
          <w:tcPr>
            <w:tcW w:w="964" w:type="pct"/>
            <w:gridSpan w:val="2"/>
            <w:tcBorders>
              <w:bottom w:val="single" w:sz="4" w:space="0" w:color="auto"/>
            </w:tcBorders>
            <w:shd w:val="clear" w:color="auto" w:fill="auto"/>
            <w:vAlign w:val="center"/>
          </w:tcPr>
          <w:p w14:paraId="16D99AE2" w14:textId="4A14F84A"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diameter (cm)</w:t>
            </w:r>
          </w:p>
        </w:tc>
        <w:tc>
          <w:tcPr>
            <w:tcW w:w="954" w:type="pct"/>
            <w:gridSpan w:val="2"/>
            <w:tcBorders>
              <w:bottom w:val="single" w:sz="4" w:space="0" w:color="auto"/>
            </w:tcBorders>
            <w:shd w:val="clear" w:color="auto" w:fill="auto"/>
            <w:vAlign w:val="center"/>
          </w:tcPr>
          <w:p w14:paraId="76CEF469" w14:textId="21861324"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length (cm)</w:t>
            </w:r>
          </w:p>
        </w:tc>
      </w:tr>
      <w:tr w:rsidR="000D45CC" w:rsidRPr="00223067" w14:paraId="07F54891" w14:textId="737898C1" w:rsidTr="003C5E65">
        <w:trPr>
          <w:trHeight w:val="869"/>
        </w:trPr>
        <w:tc>
          <w:tcPr>
            <w:tcW w:w="1217" w:type="pct"/>
            <w:vMerge/>
            <w:vAlign w:val="center"/>
          </w:tcPr>
          <w:p w14:paraId="440D0611" w14:textId="77777777" w:rsidR="0096359B" w:rsidRPr="00223067" w:rsidRDefault="0096359B" w:rsidP="00223067">
            <w:pPr>
              <w:spacing w:line="360" w:lineRule="auto"/>
              <w:jc w:val="both"/>
              <w:rPr>
                <w:rFonts w:cs="Times New Roman"/>
                <w:bCs/>
                <w:color w:val="auto"/>
                <w:sz w:val="24"/>
                <w:szCs w:val="24"/>
              </w:rPr>
            </w:pPr>
          </w:p>
        </w:tc>
        <w:tc>
          <w:tcPr>
            <w:tcW w:w="722" w:type="pct"/>
            <w:vMerge/>
            <w:vAlign w:val="center"/>
          </w:tcPr>
          <w:p w14:paraId="42AE9DAE" w14:textId="77777777" w:rsidR="0096359B" w:rsidRPr="00223067" w:rsidRDefault="0096359B" w:rsidP="00223067">
            <w:pPr>
              <w:spacing w:line="360" w:lineRule="auto"/>
              <w:jc w:val="both"/>
              <w:rPr>
                <w:rFonts w:cs="Times New Roman"/>
                <w:bCs/>
                <w:color w:val="auto"/>
                <w:sz w:val="24"/>
                <w:szCs w:val="24"/>
              </w:rPr>
            </w:pPr>
          </w:p>
        </w:tc>
        <w:tc>
          <w:tcPr>
            <w:tcW w:w="614" w:type="pct"/>
            <w:vMerge/>
            <w:vAlign w:val="center"/>
          </w:tcPr>
          <w:p w14:paraId="3FE3FE71" w14:textId="77777777" w:rsidR="0096359B" w:rsidRPr="00223067" w:rsidRDefault="0096359B" w:rsidP="00223067">
            <w:pPr>
              <w:spacing w:line="360" w:lineRule="auto"/>
              <w:jc w:val="both"/>
              <w:rPr>
                <w:rFonts w:cs="Times New Roman"/>
                <w:bCs/>
                <w:color w:val="auto"/>
                <w:sz w:val="24"/>
                <w:szCs w:val="24"/>
              </w:rPr>
            </w:pPr>
          </w:p>
        </w:tc>
        <w:tc>
          <w:tcPr>
            <w:tcW w:w="529" w:type="pct"/>
            <w:vMerge/>
            <w:vAlign w:val="center"/>
          </w:tcPr>
          <w:p w14:paraId="28A513E9" w14:textId="77777777" w:rsidR="0096359B" w:rsidRPr="00223067" w:rsidRDefault="0096359B" w:rsidP="00223067">
            <w:pPr>
              <w:spacing w:line="360" w:lineRule="auto"/>
              <w:jc w:val="both"/>
              <w:rPr>
                <w:rFonts w:cs="Times New Roman"/>
                <w:bCs/>
                <w:color w:val="auto"/>
                <w:sz w:val="24"/>
                <w:szCs w:val="24"/>
              </w:rPr>
            </w:pPr>
          </w:p>
        </w:tc>
        <w:tc>
          <w:tcPr>
            <w:tcW w:w="482" w:type="pct"/>
            <w:tcBorders>
              <w:top w:val="single" w:sz="4" w:space="0" w:color="auto"/>
            </w:tcBorders>
            <w:shd w:val="clear" w:color="auto" w:fill="auto"/>
            <w:vAlign w:val="center"/>
          </w:tcPr>
          <w:p w14:paraId="5FF9A9D5" w14:textId="2F9900E7"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81" w:type="pct"/>
            <w:tcBorders>
              <w:top w:val="single" w:sz="4" w:space="0" w:color="auto"/>
            </w:tcBorders>
            <w:shd w:val="clear" w:color="auto" w:fill="auto"/>
            <w:vAlign w:val="center"/>
          </w:tcPr>
          <w:p w14:paraId="25EF456E" w14:textId="1BC479EF"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c>
          <w:tcPr>
            <w:tcW w:w="483" w:type="pct"/>
            <w:tcBorders>
              <w:top w:val="single" w:sz="4" w:space="0" w:color="auto"/>
            </w:tcBorders>
            <w:shd w:val="clear" w:color="auto" w:fill="auto"/>
            <w:vAlign w:val="center"/>
          </w:tcPr>
          <w:p w14:paraId="7FFD2E12" w14:textId="545CC35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71" w:type="pct"/>
            <w:tcBorders>
              <w:top w:val="single" w:sz="4" w:space="0" w:color="auto"/>
            </w:tcBorders>
            <w:shd w:val="clear" w:color="auto" w:fill="auto"/>
            <w:vAlign w:val="center"/>
          </w:tcPr>
          <w:p w14:paraId="74891F84" w14:textId="05BE947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r>
      <w:tr w:rsidR="00C4357B" w:rsidRPr="00223067" w14:paraId="254AE742" w14:textId="03E6998C" w:rsidTr="003C5E65">
        <w:trPr>
          <w:trHeight w:val="900"/>
        </w:trPr>
        <w:tc>
          <w:tcPr>
            <w:tcW w:w="1217" w:type="pct"/>
            <w:tcBorders>
              <w:top w:val="single" w:sz="4" w:space="0" w:color="auto"/>
            </w:tcBorders>
            <w:vAlign w:val="center"/>
          </w:tcPr>
          <w:p w14:paraId="61D50E6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Control (Distilled water)</w:t>
            </w:r>
          </w:p>
        </w:tc>
        <w:tc>
          <w:tcPr>
            <w:tcW w:w="722" w:type="pct"/>
            <w:tcBorders>
              <w:top w:val="single" w:sz="4" w:space="0" w:color="auto"/>
            </w:tcBorders>
            <w:vAlign w:val="center"/>
          </w:tcPr>
          <w:p w14:paraId="45972DC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12.55</w:t>
            </w:r>
          </w:p>
        </w:tc>
        <w:tc>
          <w:tcPr>
            <w:tcW w:w="614" w:type="pct"/>
            <w:tcBorders>
              <w:top w:val="single" w:sz="4" w:space="0" w:color="auto"/>
            </w:tcBorders>
            <w:vAlign w:val="center"/>
          </w:tcPr>
          <w:p w14:paraId="53C3543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2.07</w:t>
            </w:r>
          </w:p>
        </w:tc>
        <w:tc>
          <w:tcPr>
            <w:tcW w:w="529" w:type="pct"/>
            <w:tcBorders>
              <w:top w:val="single" w:sz="4" w:space="0" w:color="auto"/>
            </w:tcBorders>
            <w:vAlign w:val="center"/>
          </w:tcPr>
          <w:p w14:paraId="07830C5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1.90</w:t>
            </w:r>
          </w:p>
        </w:tc>
        <w:tc>
          <w:tcPr>
            <w:tcW w:w="482" w:type="pct"/>
            <w:tcBorders>
              <w:top w:val="single" w:sz="4" w:space="0" w:color="auto"/>
            </w:tcBorders>
            <w:vAlign w:val="center"/>
          </w:tcPr>
          <w:p w14:paraId="409D44C2" w14:textId="5B867B6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81" w:type="pct"/>
            <w:tcBorders>
              <w:top w:val="single" w:sz="4" w:space="0" w:color="auto"/>
            </w:tcBorders>
            <w:vAlign w:val="center"/>
          </w:tcPr>
          <w:p w14:paraId="6C63A974" w14:textId="5138CD0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c>
          <w:tcPr>
            <w:tcW w:w="483" w:type="pct"/>
            <w:tcBorders>
              <w:top w:val="single" w:sz="4" w:space="0" w:color="auto"/>
            </w:tcBorders>
            <w:vAlign w:val="center"/>
          </w:tcPr>
          <w:p w14:paraId="4668C552" w14:textId="7B521AA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71" w:type="pct"/>
            <w:tcBorders>
              <w:top w:val="single" w:sz="4" w:space="0" w:color="auto"/>
            </w:tcBorders>
            <w:vAlign w:val="center"/>
          </w:tcPr>
          <w:p w14:paraId="3C66B022" w14:textId="17D563D1"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r>
      <w:tr w:rsidR="00C4357B" w:rsidRPr="00223067" w14:paraId="699E94F9" w14:textId="638DBBAB" w:rsidTr="003C5E65">
        <w:trPr>
          <w:trHeight w:val="900"/>
        </w:trPr>
        <w:tc>
          <w:tcPr>
            <w:tcW w:w="1217" w:type="pct"/>
            <w:vAlign w:val="center"/>
          </w:tcPr>
          <w:p w14:paraId="45969F6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w:t>
            </w:r>
          </w:p>
        </w:tc>
        <w:tc>
          <w:tcPr>
            <w:tcW w:w="722" w:type="pct"/>
            <w:vAlign w:val="center"/>
          </w:tcPr>
          <w:p w14:paraId="3E6CFBE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13.16</w:t>
            </w:r>
          </w:p>
        </w:tc>
        <w:tc>
          <w:tcPr>
            <w:tcW w:w="614" w:type="pct"/>
            <w:vAlign w:val="center"/>
          </w:tcPr>
          <w:p w14:paraId="760847BF"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2.24</w:t>
            </w:r>
          </w:p>
        </w:tc>
        <w:tc>
          <w:tcPr>
            <w:tcW w:w="529" w:type="pct"/>
            <w:vAlign w:val="center"/>
          </w:tcPr>
          <w:p w14:paraId="36B5562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2.14</w:t>
            </w:r>
          </w:p>
        </w:tc>
        <w:tc>
          <w:tcPr>
            <w:tcW w:w="482" w:type="pct"/>
            <w:vAlign w:val="center"/>
          </w:tcPr>
          <w:p w14:paraId="4F6572B3" w14:textId="0B1E384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81" w:type="pct"/>
            <w:vAlign w:val="center"/>
          </w:tcPr>
          <w:p w14:paraId="01EE263B" w14:textId="216187C9"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c>
          <w:tcPr>
            <w:tcW w:w="483" w:type="pct"/>
            <w:vAlign w:val="center"/>
          </w:tcPr>
          <w:p w14:paraId="283D59CF" w14:textId="7063192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71" w:type="pct"/>
            <w:vAlign w:val="center"/>
          </w:tcPr>
          <w:p w14:paraId="54AB32C4" w14:textId="24C99B6E"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r>
      <w:tr w:rsidR="00C4357B" w:rsidRPr="00223067" w14:paraId="241D6FF0" w14:textId="06FC0EE1" w:rsidTr="003C5E65">
        <w:trPr>
          <w:trHeight w:val="900"/>
        </w:trPr>
        <w:tc>
          <w:tcPr>
            <w:tcW w:w="1217" w:type="pct"/>
            <w:vAlign w:val="center"/>
          </w:tcPr>
          <w:p w14:paraId="03C609A6"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w:t>
            </w:r>
          </w:p>
        </w:tc>
        <w:tc>
          <w:tcPr>
            <w:tcW w:w="722" w:type="pct"/>
            <w:vAlign w:val="center"/>
          </w:tcPr>
          <w:p w14:paraId="5F6CDC1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13.54</w:t>
            </w:r>
          </w:p>
        </w:tc>
        <w:tc>
          <w:tcPr>
            <w:tcW w:w="614" w:type="pct"/>
            <w:vAlign w:val="center"/>
          </w:tcPr>
          <w:p w14:paraId="6E43BCA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2.27</w:t>
            </w:r>
          </w:p>
        </w:tc>
        <w:tc>
          <w:tcPr>
            <w:tcW w:w="529" w:type="pct"/>
            <w:vAlign w:val="center"/>
          </w:tcPr>
          <w:p w14:paraId="37A89D18"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2.19</w:t>
            </w:r>
          </w:p>
        </w:tc>
        <w:tc>
          <w:tcPr>
            <w:tcW w:w="482" w:type="pct"/>
            <w:vAlign w:val="center"/>
          </w:tcPr>
          <w:p w14:paraId="0ED38AA9" w14:textId="35A2DFE5"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81" w:type="pct"/>
            <w:vAlign w:val="center"/>
          </w:tcPr>
          <w:p w14:paraId="647B1C5B" w14:textId="44741EAC"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c>
          <w:tcPr>
            <w:tcW w:w="483" w:type="pct"/>
            <w:vAlign w:val="center"/>
          </w:tcPr>
          <w:p w14:paraId="61FBBA47" w14:textId="655C9AE8"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71" w:type="pct"/>
            <w:vAlign w:val="center"/>
          </w:tcPr>
          <w:p w14:paraId="1126333A" w14:textId="2CAFAF38"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r>
      <w:tr w:rsidR="00C4357B" w:rsidRPr="00223067" w14:paraId="2F70089F" w14:textId="4AA556C1" w:rsidTr="003C5E65">
        <w:trPr>
          <w:trHeight w:val="900"/>
        </w:trPr>
        <w:tc>
          <w:tcPr>
            <w:tcW w:w="1217" w:type="pct"/>
            <w:vAlign w:val="center"/>
          </w:tcPr>
          <w:p w14:paraId="185C0AC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Fe</w:t>
            </w:r>
          </w:p>
        </w:tc>
        <w:tc>
          <w:tcPr>
            <w:tcW w:w="722" w:type="pct"/>
            <w:vAlign w:val="center"/>
          </w:tcPr>
          <w:p w14:paraId="1E163DC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14.50</w:t>
            </w:r>
          </w:p>
        </w:tc>
        <w:tc>
          <w:tcPr>
            <w:tcW w:w="614" w:type="pct"/>
            <w:vAlign w:val="center"/>
          </w:tcPr>
          <w:p w14:paraId="564D9C3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2.45</w:t>
            </w:r>
          </w:p>
        </w:tc>
        <w:tc>
          <w:tcPr>
            <w:tcW w:w="529" w:type="pct"/>
            <w:vAlign w:val="center"/>
          </w:tcPr>
          <w:p w14:paraId="7A6ED36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2.28</w:t>
            </w:r>
          </w:p>
        </w:tc>
        <w:tc>
          <w:tcPr>
            <w:tcW w:w="482" w:type="pct"/>
            <w:vAlign w:val="center"/>
          </w:tcPr>
          <w:p w14:paraId="43FE0D35" w14:textId="35C9751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81" w:type="pct"/>
            <w:vAlign w:val="center"/>
          </w:tcPr>
          <w:p w14:paraId="044D7962" w14:textId="0C9DCD93"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c>
          <w:tcPr>
            <w:tcW w:w="483" w:type="pct"/>
            <w:vAlign w:val="center"/>
          </w:tcPr>
          <w:p w14:paraId="2B3650E3" w14:textId="6AE1B14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71" w:type="pct"/>
            <w:vAlign w:val="center"/>
          </w:tcPr>
          <w:p w14:paraId="5DC9D55A" w14:textId="6F5A40D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r>
      <w:tr w:rsidR="00C4357B" w:rsidRPr="00223067" w14:paraId="25140ED8" w14:textId="1650B33F" w:rsidTr="003C5E65">
        <w:trPr>
          <w:trHeight w:val="900"/>
        </w:trPr>
        <w:tc>
          <w:tcPr>
            <w:tcW w:w="1217" w:type="pct"/>
            <w:vAlign w:val="center"/>
          </w:tcPr>
          <w:p w14:paraId="78077BA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Fe</w:t>
            </w:r>
          </w:p>
        </w:tc>
        <w:tc>
          <w:tcPr>
            <w:tcW w:w="722" w:type="pct"/>
            <w:vAlign w:val="center"/>
          </w:tcPr>
          <w:p w14:paraId="5220735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14.97</w:t>
            </w:r>
          </w:p>
        </w:tc>
        <w:tc>
          <w:tcPr>
            <w:tcW w:w="614" w:type="pct"/>
            <w:vAlign w:val="center"/>
          </w:tcPr>
          <w:p w14:paraId="41F6969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2.60</w:t>
            </w:r>
          </w:p>
        </w:tc>
        <w:tc>
          <w:tcPr>
            <w:tcW w:w="529" w:type="pct"/>
            <w:vAlign w:val="center"/>
          </w:tcPr>
          <w:p w14:paraId="2BFD117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2.37</w:t>
            </w:r>
          </w:p>
        </w:tc>
        <w:tc>
          <w:tcPr>
            <w:tcW w:w="482" w:type="pct"/>
            <w:vAlign w:val="center"/>
          </w:tcPr>
          <w:p w14:paraId="30F92452" w14:textId="1CE42831"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81" w:type="pct"/>
            <w:vAlign w:val="center"/>
          </w:tcPr>
          <w:p w14:paraId="60F32C9D" w14:textId="77E6A495"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c>
          <w:tcPr>
            <w:tcW w:w="483" w:type="pct"/>
            <w:vAlign w:val="center"/>
          </w:tcPr>
          <w:p w14:paraId="6C03602B" w14:textId="7476485A"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71" w:type="pct"/>
            <w:vAlign w:val="center"/>
          </w:tcPr>
          <w:p w14:paraId="588D495B" w14:textId="78C293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r>
      <w:tr w:rsidR="00C4357B" w:rsidRPr="00223067" w14:paraId="3B61C403" w14:textId="68CFCFA7" w:rsidTr="003C5E65">
        <w:trPr>
          <w:trHeight w:val="900"/>
        </w:trPr>
        <w:tc>
          <w:tcPr>
            <w:tcW w:w="1217" w:type="pct"/>
            <w:vAlign w:val="center"/>
          </w:tcPr>
          <w:p w14:paraId="0D8A41B9"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+ 0.2 % Fe</w:t>
            </w:r>
          </w:p>
        </w:tc>
        <w:tc>
          <w:tcPr>
            <w:tcW w:w="722" w:type="pct"/>
            <w:vAlign w:val="center"/>
          </w:tcPr>
          <w:p w14:paraId="0C08141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15.81</w:t>
            </w:r>
          </w:p>
        </w:tc>
        <w:tc>
          <w:tcPr>
            <w:tcW w:w="614" w:type="pct"/>
            <w:vAlign w:val="center"/>
          </w:tcPr>
          <w:p w14:paraId="2CF7DE4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2.66</w:t>
            </w:r>
          </w:p>
        </w:tc>
        <w:tc>
          <w:tcPr>
            <w:tcW w:w="529" w:type="pct"/>
            <w:vAlign w:val="center"/>
          </w:tcPr>
          <w:p w14:paraId="3C16D91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2.48</w:t>
            </w:r>
          </w:p>
        </w:tc>
        <w:tc>
          <w:tcPr>
            <w:tcW w:w="482" w:type="pct"/>
            <w:vAlign w:val="center"/>
          </w:tcPr>
          <w:p w14:paraId="075E2A37" w14:textId="6644DE9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81" w:type="pct"/>
            <w:vAlign w:val="center"/>
          </w:tcPr>
          <w:p w14:paraId="42862CB6" w14:textId="7B1C276F"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c>
          <w:tcPr>
            <w:tcW w:w="483" w:type="pct"/>
            <w:vAlign w:val="center"/>
          </w:tcPr>
          <w:p w14:paraId="306E2CD1" w14:textId="5B967BD2"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71" w:type="pct"/>
            <w:vAlign w:val="center"/>
          </w:tcPr>
          <w:p w14:paraId="0DBA1A95" w14:textId="371915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r>
      <w:tr w:rsidR="00C4357B" w:rsidRPr="00223067" w14:paraId="192F1D52" w14:textId="4CD0B5EC" w:rsidTr="003C5E65">
        <w:trPr>
          <w:trHeight w:val="900"/>
        </w:trPr>
        <w:tc>
          <w:tcPr>
            <w:tcW w:w="1217" w:type="pct"/>
            <w:vAlign w:val="center"/>
          </w:tcPr>
          <w:p w14:paraId="30A97F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+0.4 % Fe</w:t>
            </w:r>
          </w:p>
        </w:tc>
        <w:tc>
          <w:tcPr>
            <w:tcW w:w="722" w:type="pct"/>
            <w:vAlign w:val="center"/>
          </w:tcPr>
          <w:p w14:paraId="7198DE1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16.04</w:t>
            </w:r>
          </w:p>
        </w:tc>
        <w:tc>
          <w:tcPr>
            <w:tcW w:w="614" w:type="pct"/>
            <w:vAlign w:val="center"/>
          </w:tcPr>
          <w:p w14:paraId="108C496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2.73</w:t>
            </w:r>
          </w:p>
        </w:tc>
        <w:tc>
          <w:tcPr>
            <w:tcW w:w="529" w:type="pct"/>
            <w:vAlign w:val="center"/>
          </w:tcPr>
          <w:p w14:paraId="70E7FD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2.54</w:t>
            </w:r>
          </w:p>
        </w:tc>
        <w:tc>
          <w:tcPr>
            <w:tcW w:w="482" w:type="pct"/>
            <w:vAlign w:val="center"/>
          </w:tcPr>
          <w:p w14:paraId="7DE00F33" w14:textId="0221D2B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81" w:type="pct"/>
            <w:vAlign w:val="center"/>
          </w:tcPr>
          <w:p w14:paraId="17B40A05" w14:textId="669CDCC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c>
          <w:tcPr>
            <w:tcW w:w="483" w:type="pct"/>
            <w:vAlign w:val="center"/>
          </w:tcPr>
          <w:p w14:paraId="70F12A45" w14:textId="584F7E00"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71" w:type="pct"/>
            <w:vAlign w:val="center"/>
          </w:tcPr>
          <w:p w14:paraId="6EEF8BB4" w14:textId="7CA1A77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r>
      <w:tr w:rsidR="00C4357B" w:rsidRPr="00223067" w14:paraId="129D0062" w14:textId="0628A0A7" w:rsidTr="003C5E65">
        <w:trPr>
          <w:trHeight w:val="900"/>
        </w:trPr>
        <w:tc>
          <w:tcPr>
            <w:tcW w:w="1217" w:type="pct"/>
            <w:vAlign w:val="center"/>
          </w:tcPr>
          <w:p w14:paraId="3F84939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 + 0.4 % Fe</w:t>
            </w:r>
          </w:p>
        </w:tc>
        <w:tc>
          <w:tcPr>
            <w:tcW w:w="722" w:type="pct"/>
            <w:vAlign w:val="center"/>
          </w:tcPr>
          <w:p w14:paraId="5C1F59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15.78</w:t>
            </w:r>
          </w:p>
        </w:tc>
        <w:tc>
          <w:tcPr>
            <w:tcW w:w="614" w:type="pct"/>
            <w:vAlign w:val="center"/>
          </w:tcPr>
          <w:p w14:paraId="39B3CC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2.62</w:t>
            </w:r>
          </w:p>
        </w:tc>
        <w:tc>
          <w:tcPr>
            <w:tcW w:w="529" w:type="pct"/>
            <w:vAlign w:val="center"/>
          </w:tcPr>
          <w:p w14:paraId="41C4BF0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2.40</w:t>
            </w:r>
          </w:p>
        </w:tc>
        <w:tc>
          <w:tcPr>
            <w:tcW w:w="482" w:type="pct"/>
            <w:vAlign w:val="center"/>
          </w:tcPr>
          <w:p w14:paraId="5FA7E169" w14:textId="2ACF2154"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81" w:type="pct"/>
            <w:vAlign w:val="center"/>
          </w:tcPr>
          <w:p w14:paraId="467F6292" w14:textId="673E6C3B"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c>
          <w:tcPr>
            <w:tcW w:w="483" w:type="pct"/>
            <w:vAlign w:val="center"/>
          </w:tcPr>
          <w:p w14:paraId="1FF54452" w14:textId="60A2FF9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71" w:type="pct"/>
            <w:vAlign w:val="center"/>
          </w:tcPr>
          <w:p w14:paraId="1F4AC9FE" w14:textId="6833F88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r>
      <w:tr w:rsidR="00C4357B" w:rsidRPr="00223067" w14:paraId="4B45ABE9" w14:textId="43BA4015" w:rsidTr="003C5E65">
        <w:trPr>
          <w:trHeight w:val="900"/>
        </w:trPr>
        <w:tc>
          <w:tcPr>
            <w:tcW w:w="1217" w:type="pct"/>
            <w:tcBorders>
              <w:bottom w:val="single" w:sz="4" w:space="0" w:color="auto"/>
            </w:tcBorders>
            <w:vAlign w:val="center"/>
          </w:tcPr>
          <w:p w14:paraId="2C24694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C.D. at 5%</w:t>
            </w:r>
          </w:p>
        </w:tc>
        <w:tc>
          <w:tcPr>
            <w:tcW w:w="722" w:type="pct"/>
            <w:tcBorders>
              <w:bottom w:val="single" w:sz="4" w:space="0" w:color="auto"/>
            </w:tcBorders>
            <w:vAlign w:val="center"/>
          </w:tcPr>
          <w:p w14:paraId="0BE85D3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1.59</w:t>
            </w:r>
          </w:p>
        </w:tc>
        <w:tc>
          <w:tcPr>
            <w:tcW w:w="614" w:type="pct"/>
            <w:tcBorders>
              <w:bottom w:val="single" w:sz="4" w:space="0" w:color="auto"/>
            </w:tcBorders>
            <w:vAlign w:val="center"/>
          </w:tcPr>
          <w:p w14:paraId="6C4C708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0.23</w:t>
            </w:r>
          </w:p>
        </w:tc>
        <w:tc>
          <w:tcPr>
            <w:tcW w:w="529" w:type="pct"/>
            <w:tcBorders>
              <w:bottom w:val="single" w:sz="4" w:space="0" w:color="auto"/>
            </w:tcBorders>
            <w:vAlign w:val="center"/>
          </w:tcPr>
          <w:p w14:paraId="4B84CBD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0.20</w:t>
            </w:r>
          </w:p>
        </w:tc>
        <w:tc>
          <w:tcPr>
            <w:tcW w:w="482" w:type="pct"/>
            <w:tcBorders>
              <w:bottom w:val="single" w:sz="4" w:space="0" w:color="auto"/>
            </w:tcBorders>
            <w:vAlign w:val="center"/>
          </w:tcPr>
          <w:p w14:paraId="5B394ADB" w14:textId="60CAEFAB"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81" w:type="pct"/>
            <w:tcBorders>
              <w:bottom w:val="single" w:sz="4" w:space="0" w:color="auto"/>
            </w:tcBorders>
            <w:vAlign w:val="center"/>
          </w:tcPr>
          <w:p w14:paraId="3FF99C9C" w14:textId="645963F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c>
          <w:tcPr>
            <w:tcW w:w="483" w:type="pct"/>
            <w:tcBorders>
              <w:bottom w:val="single" w:sz="4" w:space="0" w:color="auto"/>
            </w:tcBorders>
            <w:vAlign w:val="center"/>
          </w:tcPr>
          <w:p w14:paraId="65F9D979" w14:textId="2CD2477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71" w:type="pct"/>
            <w:tcBorders>
              <w:bottom w:val="single" w:sz="4" w:space="0" w:color="auto"/>
            </w:tcBorders>
            <w:vAlign w:val="center"/>
          </w:tcPr>
          <w:p w14:paraId="3D18D7C4" w14:textId="1A0D1DDE"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r>
    </w:tbl>
    <w:p w14:paraId="591CB0AB" w14:textId="1696CA0D" w:rsidR="000D45CC" w:rsidRPr="00223067" w:rsidRDefault="00DD1074" w:rsidP="00223067">
      <w:pPr>
        <w:spacing w:after="0" w:line="360" w:lineRule="auto"/>
        <w:jc w:val="both"/>
        <w:rPr>
          <w:rFonts w:cs="Times New Roman"/>
          <w:b w:val="0"/>
          <w:bCs/>
          <w:sz w:val="24"/>
          <w:szCs w:val="24"/>
        </w:rPr>
      </w:pPr>
      <w:r w:rsidRPr="00223067">
        <w:rPr>
          <w:rFonts w:cs="Times New Roman"/>
          <w:color w:val="auto"/>
          <w:sz w:val="24"/>
          <w:szCs w:val="24"/>
        </w:rPr>
        <w:t>Table 1.</w:t>
      </w:r>
      <w:r w:rsidRPr="00223067">
        <w:rPr>
          <w:rFonts w:cs="Times New Roman"/>
          <w:b w:val="0"/>
          <w:bCs/>
          <w:color w:val="auto"/>
          <w:sz w:val="24"/>
          <w:szCs w:val="24"/>
        </w:rPr>
        <w:t xml:space="preserve"> Effects of different concentrations of iron and boron on growth </w:t>
      </w:r>
      <w:r w:rsidR="000D45CC" w:rsidRPr="00223067">
        <w:rPr>
          <w:rFonts w:cs="Times New Roman"/>
          <w:b w:val="0"/>
          <w:bCs/>
          <w:sz w:val="24"/>
          <w:szCs w:val="24"/>
        </w:rPr>
        <w:t>and flowering attributes in gladiolus cv. Malaviya Shatabdi.</w:t>
      </w:r>
    </w:p>
    <w:p w14:paraId="2802838E" w14:textId="77777777" w:rsidR="001E1D87" w:rsidRDefault="001E1D87" w:rsidP="001E1D87">
      <w:pPr>
        <w:spacing w:after="0" w:line="360" w:lineRule="auto"/>
        <w:jc w:val="both"/>
        <w:rPr>
          <w:rFonts w:cs="Times New Roman"/>
          <w:b w:val="0"/>
          <w:color w:val="auto"/>
          <w:sz w:val="24"/>
          <w:szCs w:val="24"/>
        </w:rPr>
      </w:pPr>
    </w:p>
    <w:p w14:paraId="60945249" w14:textId="4F127E84" w:rsidR="000D45CC" w:rsidRPr="00223067" w:rsidRDefault="00690480" w:rsidP="001E1D87">
      <w:pPr>
        <w:spacing w:after="0" w:line="360" w:lineRule="auto"/>
        <w:jc w:val="both"/>
        <w:rPr>
          <w:rFonts w:cs="Times New Roman"/>
          <w:b w:val="0"/>
          <w:color w:val="auto"/>
          <w:sz w:val="24"/>
          <w:szCs w:val="24"/>
        </w:rPr>
      </w:pPr>
      <w:r w:rsidRPr="00223067">
        <w:rPr>
          <w:rFonts w:eastAsia="Times New Roman" w:cs="Times New Roman"/>
          <w:b w:val="0"/>
          <w:color w:val="auto"/>
          <w:sz w:val="24"/>
          <w:szCs w:val="24"/>
          <w:lang w:eastAsia="en-IN" w:bidi="hi-IN"/>
        </w:rPr>
        <w:t>Furthermore, th</w:t>
      </w:r>
      <w:r w:rsidR="00D54BB7" w:rsidRPr="00223067">
        <w:rPr>
          <w:rFonts w:eastAsia="Times New Roman" w:cs="Times New Roman"/>
          <w:b w:val="0"/>
          <w:color w:val="auto"/>
          <w:sz w:val="24"/>
          <w:szCs w:val="24"/>
          <w:lang w:eastAsia="en-IN" w:bidi="hi-IN"/>
        </w:rPr>
        <w:t xml:space="preserve">e </w:t>
      </w:r>
      <w:r w:rsidRPr="00223067">
        <w:rPr>
          <w:rFonts w:eastAsia="Times New Roman" w:cs="Times New Roman"/>
          <w:b w:val="0"/>
          <w:color w:val="auto"/>
          <w:sz w:val="24"/>
          <w:szCs w:val="24"/>
          <w:lang w:eastAsia="en-IN" w:bidi="hi-IN"/>
        </w:rPr>
        <w:t xml:space="preserve">overall flowering duration, was maximized under the 0.2% B + 0.4% Fe treatment. </w:t>
      </w:r>
      <w:r w:rsidR="00EE225C" w:rsidRPr="00223067">
        <w:rPr>
          <w:rFonts w:eastAsia="Times New Roman" w:cs="Times New Roman"/>
          <w:b w:val="0"/>
          <w:color w:val="auto"/>
          <w:sz w:val="24"/>
          <w:szCs w:val="24"/>
          <w:lang w:eastAsia="en-IN" w:bidi="hi-IN"/>
        </w:rPr>
        <w:t xml:space="preserve"> Iron and boron play </w:t>
      </w:r>
      <w:r w:rsidR="000D45CC" w:rsidRPr="00223067">
        <w:rPr>
          <w:rFonts w:eastAsia="Times New Roman" w:cs="Times New Roman"/>
          <w:b w:val="0"/>
          <w:color w:val="auto"/>
          <w:sz w:val="24"/>
          <w:szCs w:val="24"/>
          <w:lang w:eastAsia="en-IN" w:bidi="hi-IN"/>
        </w:rPr>
        <w:t xml:space="preserve">important </w:t>
      </w:r>
      <w:r w:rsidRPr="00223067">
        <w:rPr>
          <w:rFonts w:eastAsia="Times New Roman" w:cs="Times New Roman"/>
          <w:b w:val="0"/>
          <w:color w:val="auto"/>
          <w:sz w:val="24"/>
          <w:szCs w:val="24"/>
          <w:lang w:eastAsia="en-IN" w:bidi="hi-IN"/>
        </w:rPr>
        <w:t>role</w:t>
      </w:r>
      <w:r w:rsidR="000D45CC" w:rsidRPr="00223067">
        <w:rPr>
          <w:rFonts w:eastAsia="Times New Roman" w:cs="Times New Roman"/>
          <w:b w:val="0"/>
          <w:color w:val="auto"/>
          <w:sz w:val="24"/>
          <w:szCs w:val="24"/>
          <w:lang w:eastAsia="en-IN" w:bidi="hi-IN"/>
        </w:rPr>
        <w:t xml:space="preserve"> in</w:t>
      </w:r>
      <w:r w:rsidRPr="00223067">
        <w:rPr>
          <w:rFonts w:eastAsia="Times New Roman" w:cs="Times New Roman"/>
          <w:b w:val="0"/>
          <w:color w:val="auto"/>
          <w:sz w:val="24"/>
          <w:szCs w:val="24"/>
          <w:lang w:eastAsia="en-IN" w:bidi="hi-IN"/>
        </w:rPr>
        <w:t xml:space="preserve"> growth and development, as well as its function in stimulating metabolic activities and enhancing flower yield. These findings align with research conducted by Mishra (2018) and Kashyap and </w:t>
      </w:r>
      <w:proofErr w:type="spellStart"/>
      <w:r w:rsidRPr="00223067">
        <w:rPr>
          <w:rFonts w:eastAsia="Times New Roman" w:cs="Times New Roman"/>
          <w:b w:val="0"/>
          <w:color w:val="auto"/>
          <w:sz w:val="24"/>
          <w:szCs w:val="24"/>
          <w:lang w:eastAsia="en-IN" w:bidi="hi-IN"/>
        </w:rPr>
        <w:t>Tikey</w:t>
      </w:r>
      <w:proofErr w:type="spellEnd"/>
      <w:r w:rsidRPr="00223067">
        <w:rPr>
          <w:rFonts w:eastAsia="Times New Roman" w:cs="Times New Roman"/>
          <w:b w:val="0"/>
          <w:color w:val="auto"/>
          <w:sz w:val="24"/>
          <w:szCs w:val="24"/>
          <w:lang w:eastAsia="en-IN" w:bidi="hi-IN"/>
        </w:rPr>
        <w:t xml:space="preserve"> (2020) in gladiolus, Hajizadeh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(2019) in gerbera</w:t>
      </w:r>
      <w:r w:rsidR="00A07B4B">
        <w:rPr>
          <w:rFonts w:eastAsia="Times New Roman" w:cs="Times New Roman"/>
          <w:b w:val="0"/>
          <w:color w:val="auto"/>
          <w:sz w:val="24"/>
          <w:szCs w:val="24"/>
          <w:lang w:eastAsia="en-IN" w:bidi="hi-IN"/>
        </w:rPr>
        <w:t xml:space="preserve">, </w:t>
      </w:r>
      <w:r w:rsidRPr="00223067">
        <w:rPr>
          <w:rFonts w:eastAsia="Times New Roman" w:cs="Times New Roman"/>
          <w:b w:val="0"/>
          <w:color w:val="auto"/>
          <w:sz w:val="24"/>
          <w:szCs w:val="24"/>
          <w:lang w:eastAsia="en-IN" w:bidi="hi-IN"/>
        </w:rPr>
        <w:t xml:space="preserve">Misra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xml:space="preserve">. (2009) and Kumar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(2009) in chrysanthemum.</w:t>
      </w:r>
      <w:r w:rsidR="001E1D87" w:rsidRPr="001E1D87">
        <w:rPr>
          <w:rFonts w:cs="Times New Roman"/>
          <w:bCs/>
          <w:noProof/>
          <w:color w:val="auto"/>
          <w:sz w:val="24"/>
          <w:szCs w:val="24"/>
          <w14:ligatures w14:val="standardContextual"/>
        </w:rPr>
        <w:t xml:space="preserve"> </w:t>
      </w:r>
    </w:p>
    <w:p w14:paraId="6279602C" w14:textId="30C00B7A" w:rsidR="00FE363A" w:rsidRDefault="001E1D87" w:rsidP="00223067">
      <w:pPr>
        <w:spacing w:after="0" w:line="360" w:lineRule="auto"/>
        <w:ind w:firstLine="720"/>
        <w:jc w:val="center"/>
        <w:rPr>
          <w:rFonts w:cs="Times New Roman"/>
          <w:b w:val="0"/>
          <w:sz w:val="24"/>
          <w:szCs w:val="24"/>
        </w:rPr>
      </w:pPr>
      <w:r w:rsidRPr="00223067">
        <w:rPr>
          <w:rFonts w:cs="Times New Roman"/>
          <w:bCs/>
          <w:noProof/>
          <w:color w:val="auto"/>
          <w:sz w:val="24"/>
          <w:szCs w:val="24"/>
          <w14:ligatures w14:val="standardContextual"/>
        </w:rPr>
        <w:lastRenderedPageBreak/>
        <w:drawing>
          <wp:anchor distT="0" distB="0" distL="114300" distR="114300" simplePos="0" relativeHeight="251658240" behindDoc="0" locked="0" layoutInCell="1" allowOverlap="1" wp14:anchorId="52852235" wp14:editId="0FF282A8">
            <wp:simplePos x="0" y="0"/>
            <wp:positionH relativeFrom="margin">
              <wp:align>right</wp:align>
            </wp:positionH>
            <wp:positionV relativeFrom="margin">
              <wp:align>top</wp:align>
            </wp:positionV>
            <wp:extent cx="5722620" cy="3741420"/>
            <wp:effectExtent l="0" t="0" r="11430" b="11430"/>
            <wp:wrapSquare wrapText="bothSides"/>
            <wp:docPr id="18973603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4357B" w:rsidRPr="00223067">
        <w:rPr>
          <w:rFonts w:cs="Times New Roman"/>
          <w:bCs/>
          <w:sz w:val="24"/>
          <w:szCs w:val="24"/>
        </w:rPr>
        <w:t>Fig 1</w:t>
      </w:r>
      <w:r w:rsidR="00C4357B" w:rsidRPr="00223067">
        <w:rPr>
          <w:rFonts w:cs="Times New Roman"/>
          <w:b w:val="0"/>
          <w:sz w:val="24"/>
          <w:szCs w:val="24"/>
        </w:rPr>
        <w:t xml:space="preserve"> Effect of iron and boron on days to spike emergence and opening of </w:t>
      </w:r>
      <w:r w:rsidR="008B5C51" w:rsidRPr="00223067">
        <w:rPr>
          <w:rFonts w:cs="Times New Roman"/>
          <w:b w:val="0"/>
          <w:sz w:val="24"/>
          <w:szCs w:val="24"/>
        </w:rPr>
        <w:t>1</w:t>
      </w:r>
      <w:r w:rsidR="008B5C51" w:rsidRPr="00223067">
        <w:rPr>
          <w:rFonts w:cs="Times New Roman"/>
          <w:b w:val="0"/>
          <w:sz w:val="24"/>
          <w:szCs w:val="24"/>
          <w:vertAlign w:val="superscript"/>
        </w:rPr>
        <w:t>st</w:t>
      </w:r>
      <w:r w:rsidR="008B5C51" w:rsidRPr="00223067">
        <w:rPr>
          <w:rFonts w:cs="Times New Roman"/>
          <w:b w:val="0"/>
          <w:sz w:val="24"/>
          <w:szCs w:val="24"/>
        </w:rPr>
        <w:t xml:space="preserve"> </w:t>
      </w:r>
      <w:r w:rsidR="00C4357B" w:rsidRPr="00223067">
        <w:rPr>
          <w:rFonts w:cs="Times New Roman"/>
          <w:b w:val="0"/>
          <w:sz w:val="24"/>
          <w:szCs w:val="24"/>
        </w:rPr>
        <w:t xml:space="preserve">and </w:t>
      </w:r>
      <w:r w:rsidR="008B5C51" w:rsidRPr="00223067">
        <w:rPr>
          <w:rFonts w:cs="Times New Roman"/>
          <w:b w:val="0"/>
          <w:sz w:val="24"/>
          <w:szCs w:val="24"/>
        </w:rPr>
        <w:t>last</w:t>
      </w:r>
      <w:r w:rsidR="00C4357B" w:rsidRPr="00223067">
        <w:rPr>
          <w:rFonts w:cs="Times New Roman"/>
          <w:b w:val="0"/>
          <w:sz w:val="24"/>
          <w:szCs w:val="24"/>
        </w:rPr>
        <w:t xml:space="preserve"> floret in gladiolus cv. Malaviya Shatabdi</w:t>
      </w:r>
      <w:r w:rsidR="000D45CC" w:rsidRPr="00223067">
        <w:rPr>
          <w:rFonts w:cs="Times New Roman"/>
          <w:b w:val="0"/>
          <w:sz w:val="24"/>
          <w:szCs w:val="24"/>
        </w:rPr>
        <w:t>.</w:t>
      </w:r>
    </w:p>
    <w:p w14:paraId="719526C2" w14:textId="77777777" w:rsidR="003C5E65" w:rsidRDefault="003C5E65" w:rsidP="00223067">
      <w:pPr>
        <w:spacing w:after="0" w:line="360" w:lineRule="auto"/>
        <w:ind w:firstLine="720"/>
        <w:jc w:val="center"/>
        <w:rPr>
          <w:rFonts w:cs="Times New Roman"/>
          <w:b w:val="0"/>
          <w:sz w:val="24"/>
          <w:szCs w:val="24"/>
        </w:rPr>
      </w:pPr>
    </w:p>
    <w:p w14:paraId="5F380BE8" w14:textId="3E108475" w:rsidR="00223067" w:rsidRPr="00223067" w:rsidRDefault="00223067" w:rsidP="00223067">
      <w:pPr>
        <w:spacing w:after="0" w:line="360" w:lineRule="auto"/>
        <w:rPr>
          <w:rFonts w:cs="Times New Roman"/>
          <w:bCs/>
          <w:color w:val="auto"/>
          <w:sz w:val="24"/>
          <w:szCs w:val="24"/>
        </w:rPr>
      </w:pPr>
      <w:r w:rsidRPr="00223067">
        <w:rPr>
          <w:rFonts w:cs="Times New Roman"/>
          <w:bCs/>
          <w:color w:val="auto"/>
          <w:sz w:val="24"/>
          <w:szCs w:val="24"/>
        </w:rPr>
        <w:t>Corm and cormel parameters</w:t>
      </w:r>
    </w:p>
    <w:p w14:paraId="572B21A3" w14:textId="5CE524A0" w:rsidR="00223067" w:rsidRPr="00223067" w:rsidRDefault="00223067" w:rsidP="003C5E65">
      <w:pPr>
        <w:spacing w:after="0" w:line="360" w:lineRule="auto"/>
        <w:jc w:val="both"/>
        <w:rPr>
          <w:rFonts w:cs="Times New Roman"/>
          <w:b w:val="0"/>
          <w:color w:val="auto"/>
          <w:sz w:val="24"/>
          <w:szCs w:val="24"/>
        </w:rPr>
      </w:pPr>
      <w:r w:rsidRPr="00223067">
        <w:rPr>
          <w:rFonts w:cs="Times New Roman"/>
          <w:b w:val="0"/>
          <w:color w:val="auto"/>
          <w:sz w:val="24"/>
          <w:szCs w:val="24"/>
        </w:rPr>
        <w:t xml:space="preserve">The highest number of corms per hill (3.68) was recorded under the 0.2% B + 0.4% Fe treatment. The application of iron and boron enhanced both vegetative and reproductive growth, leading to an increased corm yield. These results are consistent with the findings of Chopde </w:t>
      </w:r>
      <w:r w:rsidRPr="00223067">
        <w:rPr>
          <w:rFonts w:cs="Times New Roman"/>
          <w:b w:val="0"/>
          <w:i/>
          <w:iCs/>
          <w:color w:val="auto"/>
          <w:sz w:val="24"/>
          <w:szCs w:val="24"/>
        </w:rPr>
        <w:t>et al</w:t>
      </w:r>
      <w:r w:rsidRPr="00223067">
        <w:rPr>
          <w:rFonts w:cs="Times New Roman"/>
          <w:b w:val="0"/>
          <w:color w:val="auto"/>
          <w:sz w:val="24"/>
          <w:szCs w:val="24"/>
        </w:rPr>
        <w:t xml:space="preserve">. (2015), Singh </w:t>
      </w:r>
      <w:r w:rsidRPr="00223067">
        <w:rPr>
          <w:rFonts w:cs="Times New Roman"/>
          <w:b w:val="0"/>
          <w:i/>
          <w:iCs/>
          <w:color w:val="auto"/>
          <w:sz w:val="24"/>
          <w:szCs w:val="24"/>
        </w:rPr>
        <w:t>et al</w:t>
      </w:r>
      <w:r w:rsidRPr="00223067">
        <w:rPr>
          <w:rFonts w:cs="Times New Roman"/>
          <w:b w:val="0"/>
          <w:color w:val="auto"/>
          <w:sz w:val="24"/>
          <w:szCs w:val="24"/>
        </w:rPr>
        <w:t xml:space="preserve">. (2012), Naik </w:t>
      </w:r>
      <w:r w:rsidRPr="00223067">
        <w:rPr>
          <w:rFonts w:cs="Times New Roman"/>
          <w:b w:val="0"/>
          <w:i/>
          <w:iCs/>
          <w:color w:val="auto"/>
          <w:sz w:val="24"/>
          <w:szCs w:val="24"/>
        </w:rPr>
        <w:t>et al</w:t>
      </w:r>
      <w:r w:rsidRPr="00223067">
        <w:rPr>
          <w:rFonts w:cs="Times New Roman"/>
          <w:b w:val="0"/>
          <w:color w:val="auto"/>
          <w:sz w:val="24"/>
          <w:szCs w:val="24"/>
        </w:rPr>
        <w:t xml:space="preserve">. (2009) and </w:t>
      </w:r>
      <w:proofErr w:type="spellStart"/>
      <w:r w:rsidRPr="00223067">
        <w:rPr>
          <w:rFonts w:cs="Times New Roman"/>
          <w:b w:val="0"/>
          <w:color w:val="auto"/>
          <w:sz w:val="24"/>
          <w:szCs w:val="24"/>
        </w:rPr>
        <w:t>Erao</w:t>
      </w:r>
      <w:proofErr w:type="spellEnd"/>
      <w:r w:rsidRPr="00223067">
        <w:rPr>
          <w:rFonts w:cs="Times New Roman"/>
          <w:b w:val="0"/>
          <w:color w:val="auto"/>
          <w:sz w:val="24"/>
          <w:szCs w:val="24"/>
        </w:rPr>
        <w:t xml:space="preserve"> (2005) in their studies on gladiolus. The largest corm diameter (40.26 mm) was observed with the 0.2% B + 0.4% Fe treatment, which showed statistical similarity to 0.2% B + 0.2% Fe, 0.4% B + 0.4% Fe, and 0.4% Fe. This increase in corm size may be attributed to the enhanced accumulation of proteins in corms and </w:t>
      </w:r>
      <w:proofErr w:type="spellStart"/>
      <w:r w:rsidRPr="00223067">
        <w:rPr>
          <w:rFonts w:cs="Times New Roman"/>
          <w:b w:val="0"/>
          <w:color w:val="auto"/>
          <w:sz w:val="24"/>
          <w:szCs w:val="24"/>
        </w:rPr>
        <w:t>cormels</w:t>
      </w:r>
      <w:proofErr w:type="spellEnd"/>
      <w:r w:rsidRPr="00223067">
        <w:rPr>
          <w:rFonts w:cs="Times New Roman"/>
          <w:b w:val="0"/>
          <w:color w:val="auto"/>
          <w:sz w:val="24"/>
          <w:szCs w:val="24"/>
        </w:rPr>
        <w:t xml:space="preserve">, a process largely regulated by micronutrients. These findings are consistent with the research conducted by </w:t>
      </w:r>
      <w:proofErr w:type="spellStart"/>
      <w:r w:rsidRPr="00223067">
        <w:rPr>
          <w:rFonts w:cs="Times New Roman"/>
          <w:b w:val="0"/>
          <w:color w:val="auto"/>
          <w:sz w:val="24"/>
          <w:szCs w:val="24"/>
        </w:rPr>
        <w:t>Erao</w:t>
      </w:r>
      <w:proofErr w:type="spellEnd"/>
      <w:r w:rsidRPr="00223067">
        <w:rPr>
          <w:rFonts w:cs="Times New Roman"/>
          <w:b w:val="0"/>
          <w:color w:val="auto"/>
          <w:sz w:val="24"/>
          <w:szCs w:val="24"/>
        </w:rPr>
        <w:t xml:space="preserve"> (2005), Singh </w:t>
      </w:r>
      <w:r w:rsidRPr="00223067">
        <w:rPr>
          <w:rFonts w:cs="Times New Roman"/>
          <w:b w:val="0"/>
          <w:i/>
          <w:iCs/>
          <w:color w:val="auto"/>
          <w:sz w:val="24"/>
          <w:szCs w:val="24"/>
        </w:rPr>
        <w:t>et al</w:t>
      </w:r>
      <w:r w:rsidRPr="00223067">
        <w:rPr>
          <w:rFonts w:cs="Times New Roman"/>
          <w:b w:val="0"/>
          <w:color w:val="auto"/>
          <w:sz w:val="24"/>
          <w:szCs w:val="24"/>
        </w:rPr>
        <w:t xml:space="preserve">. (2012) and Chopde </w:t>
      </w:r>
      <w:r w:rsidRPr="00223067">
        <w:rPr>
          <w:rFonts w:cs="Times New Roman"/>
          <w:b w:val="0"/>
          <w:i/>
          <w:iCs/>
          <w:color w:val="auto"/>
          <w:sz w:val="24"/>
          <w:szCs w:val="24"/>
        </w:rPr>
        <w:t>et al</w:t>
      </w:r>
      <w:r w:rsidRPr="00223067">
        <w:rPr>
          <w:rFonts w:cs="Times New Roman"/>
          <w:b w:val="0"/>
          <w:color w:val="auto"/>
          <w:sz w:val="24"/>
          <w:szCs w:val="24"/>
        </w:rPr>
        <w:t>. (2015) in gladiolus.</w:t>
      </w:r>
    </w:p>
    <w:p w14:paraId="5A90A3C1" w14:textId="6C9D631C" w:rsidR="00FE363A" w:rsidRPr="00223067" w:rsidRDefault="00FE363A" w:rsidP="00223067">
      <w:pPr>
        <w:spacing w:after="0" w:line="360" w:lineRule="auto"/>
        <w:jc w:val="both"/>
        <w:rPr>
          <w:rFonts w:cs="Times New Roman"/>
          <w:b w:val="0"/>
          <w:sz w:val="24"/>
          <w:szCs w:val="24"/>
        </w:rPr>
      </w:pPr>
      <w:r w:rsidRPr="00223067">
        <w:rPr>
          <w:rFonts w:cs="Times New Roman"/>
          <w:b w:val="0"/>
          <w:sz w:val="24"/>
          <w:szCs w:val="24"/>
        </w:rPr>
        <w:br w:type="page"/>
      </w:r>
    </w:p>
    <w:p w14:paraId="4EA6B45C" w14:textId="77777777" w:rsidR="00FE363A" w:rsidRPr="00223067" w:rsidRDefault="00FE363A" w:rsidP="00223067">
      <w:pPr>
        <w:spacing w:after="0" w:line="360" w:lineRule="auto"/>
        <w:jc w:val="both"/>
        <w:rPr>
          <w:rFonts w:cs="Times New Roman"/>
          <w:b w:val="0"/>
          <w:bCs/>
          <w:sz w:val="24"/>
          <w:szCs w:val="24"/>
        </w:rPr>
      </w:pPr>
      <w:r w:rsidRPr="00223067">
        <w:rPr>
          <w:rFonts w:cs="Times New Roman"/>
          <w:sz w:val="24"/>
          <w:szCs w:val="24"/>
        </w:rPr>
        <w:lastRenderedPageBreak/>
        <w:t>Table -2</w:t>
      </w:r>
      <w:r w:rsidRPr="00223067">
        <w:rPr>
          <w:rFonts w:cs="Times New Roman"/>
          <w:b w:val="0"/>
          <w:bCs/>
          <w:sz w:val="24"/>
          <w:szCs w:val="24"/>
        </w:rPr>
        <w:t xml:space="preserve"> Effects of different iron and boron on flowering and corm parameters in gladiolus cv. Malaviya Shatabdi.</w:t>
      </w:r>
    </w:p>
    <w:tbl>
      <w:tblPr>
        <w:tblStyle w:val="TableGrid"/>
        <w:tblpPr w:leftFromText="180" w:rightFromText="180" w:vertAnchor="page" w:horzAnchor="margin" w:tblpY="2305"/>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471"/>
        <w:gridCol w:w="870"/>
        <w:gridCol w:w="1273"/>
        <w:gridCol w:w="1545"/>
        <w:gridCol w:w="1336"/>
      </w:tblGrid>
      <w:tr w:rsidR="00223067" w:rsidRPr="00223067" w14:paraId="332AAFC3" w14:textId="77777777" w:rsidTr="00223067">
        <w:trPr>
          <w:trHeight w:val="1656"/>
        </w:trPr>
        <w:tc>
          <w:tcPr>
            <w:tcW w:w="1402" w:type="pct"/>
            <w:tcBorders>
              <w:bottom w:val="single" w:sz="4" w:space="0" w:color="auto"/>
            </w:tcBorders>
            <w:vAlign w:val="center"/>
          </w:tcPr>
          <w:p w14:paraId="36545438"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Treatment</w:t>
            </w:r>
          </w:p>
        </w:tc>
        <w:tc>
          <w:tcPr>
            <w:tcW w:w="815" w:type="pct"/>
            <w:tcBorders>
              <w:bottom w:val="single" w:sz="4" w:space="0" w:color="auto"/>
            </w:tcBorders>
            <w:vAlign w:val="center"/>
          </w:tcPr>
          <w:p w14:paraId="5C2FC2A2" w14:textId="77777777" w:rsidR="00223067" w:rsidRPr="00223067" w:rsidRDefault="00223067" w:rsidP="00116995">
            <w:pPr>
              <w:spacing w:line="360" w:lineRule="auto"/>
              <w:rPr>
                <w:rFonts w:cs="Times New Roman"/>
                <w:bCs/>
                <w:sz w:val="24"/>
                <w:szCs w:val="24"/>
              </w:rPr>
            </w:pPr>
            <w:r w:rsidRPr="00223067">
              <w:rPr>
                <w:rFonts w:cs="Times New Roman"/>
                <w:bCs/>
                <w:sz w:val="24"/>
                <w:szCs w:val="24"/>
              </w:rPr>
              <w:t>No. of florets/spike</w:t>
            </w:r>
          </w:p>
          <w:p w14:paraId="2F4A95F9" w14:textId="77777777" w:rsidR="00223067" w:rsidRPr="00223067" w:rsidRDefault="00223067" w:rsidP="00116995">
            <w:pPr>
              <w:spacing w:line="360" w:lineRule="auto"/>
              <w:rPr>
                <w:rFonts w:cs="Times New Roman"/>
                <w:bCs/>
                <w:sz w:val="24"/>
                <w:szCs w:val="24"/>
              </w:rPr>
            </w:pPr>
          </w:p>
        </w:tc>
        <w:tc>
          <w:tcPr>
            <w:tcW w:w="482" w:type="pct"/>
            <w:tcBorders>
              <w:bottom w:val="single" w:sz="4" w:space="0" w:color="auto"/>
            </w:tcBorders>
            <w:shd w:val="clear" w:color="auto" w:fill="auto"/>
            <w:vAlign w:val="center"/>
          </w:tcPr>
          <w:p w14:paraId="5B68321E"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Spike length (cm)</w:t>
            </w:r>
          </w:p>
        </w:tc>
        <w:tc>
          <w:tcPr>
            <w:tcW w:w="705" w:type="pct"/>
            <w:tcBorders>
              <w:bottom w:val="single" w:sz="4" w:space="0" w:color="auto"/>
            </w:tcBorders>
            <w:vAlign w:val="center"/>
          </w:tcPr>
          <w:p w14:paraId="47579FBC"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Total flowering duration (days)</w:t>
            </w:r>
          </w:p>
        </w:tc>
        <w:tc>
          <w:tcPr>
            <w:tcW w:w="856" w:type="pct"/>
            <w:tcBorders>
              <w:bottom w:val="single" w:sz="4" w:space="0" w:color="auto"/>
            </w:tcBorders>
            <w:shd w:val="clear" w:color="auto" w:fill="auto"/>
            <w:vAlign w:val="center"/>
          </w:tcPr>
          <w:p w14:paraId="0797CC49" w14:textId="77777777" w:rsidR="00223067" w:rsidRPr="00223067" w:rsidRDefault="00223067" w:rsidP="00116995">
            <w:pPr>
              <w:spacing w:line="360" w:lineRule="auto"/>
              <w:rPr>
                <w:rFonts w:cs="Times New Roman"/>
                <w:sz w:val="24"/>
                <w:szCs w:val="24"/>
              </w:rPr>
            </w:pPr>
            <w:r w:rsidRPr="00223067">
              <w:rPr>
                <w:rFonts w:cs="Times New Roman"/>
                <w:bCs/>
                <w:sz w:val="24"/>
                <w:szCs w:val="24"/>
              </w:rPr>
              <w:t>Number of corms/hills</w:t>
            </w:r>
          </w:p>
        </w:tc>
        <w:tc>
          <w:tcPr>
            <w:tcW w:w="740" w:type="pct"/>
            <w:tcBorders>
              <w:bottom w:val="single" w:sz="4" w:space="0" w:color="auto"/>
            </w:tcBorders>
            <w:shd w:val="clear" w:color="auto" w:fill="auto"/>
            <w:vAlign w:val="center"/>
          </w:tcPr>
          <w:p w14:paraId="6584CFF4" w14:textId="77777777" w:rsidR="00223067" w:rsidRPr="00223067" w:rsidRDefault="00223067" w:rsidP="00223067">
            <w:pPr>
              <w:spacing w:line="360" w:lineRule="auto"/>
              <w:jc w:val="both"/>
              <w:rPr>
                <w:rFonts w:cs="Times New Roman"/>
                <w:sz w:val="24"/>
                <w:szCs w:val="24"/>
              </w:rPr>
            </w:pPr>
            <w:r w:rsidRPr="00223067">
              <w:rPr>
                <w:rFonts w:cs="Times New Roman"/>
                <w:bCs/>
                <w:sz w:val="24"/>
                <w:szCs w:val="24"/>
              </w:rPr>
              <w:t>Corm diameter (mm)</w:t>
            </w:r>
          </w:p>
        </w:tc>
      </w:tr>
      <w:tr w:rsidR="00223067" w:rsidRPr="00223067" w14:paraId="2E78DEBC" w14:textId="77777777" w:rsidTr="00223067">
        <w:trPr>
          <w:trHeight w:val="678"/>
        </w:trPr>
        <w:tc>
          <w:tcPr>
            <w:tcW w:w="1402" w:type="pct"/>
            <w:tcBorders>
              <w:top w:val="single" w:sz="4" w:space="0" w:color="auto"/>
            </w:tcBorders>
            <w:vAlign w:val="center"/>
          </w:tcPr>
          <w:p w14:paraId="07A5A9CE" w14:textId="77777777" w:rsidR="00223067" w:rsidRPr="00223067" w:rsidRDefault="00223067" w:rsidP="00223067">
            <w:pPr>
              <w:spacing w:line="360" w:lineRule="auto"/>
              <w:rPr>
                <w:rFonts w:cs="Times New Roman"/>
                <w:b w:val="0"/>
                <w:sz w:val="24"/>
                <w:szCs w:val="24"/>
              </w:rPr>
            </w:pPr>
            <w:r w:rsidRPr="00223067">
              <w:rPr>
                <w:rFonts w:cs="Times New Roman"/>
                <w:b w:val="0"/>
                <w:sz w:val="24"/>
                <w:szCs w:val="24"/>
              </w:rPr>
              <w:t>Control (Distilled water)</w:t>
            </w:r>
          </w:p>
        </w:tc>
        <w:tc>
          <w:tcPr>
            <w:tcW w:w="815" w:type="pct"/>
            <w:tcBorders>
              <w:top w:val="single" w:sz="4" w:space="0" w:color="auto"/>
            </w:tcBorders>
            <w:vAlign w:val="center"/>
          </w:tcPr>
          <w:p w14:paraId="796FEEC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9.66</w:t>
            </w:r>
          </w:p>
        </w:tc>
        <w:tc>
          <w:tcPr>
            <w:tcW w:w="482" w:type="pct"/>
            <w:tcBorders>
              <w:top w:val="single" w:sz="4" w:space="0" w:color="auto"/>
            </w:tcBorders>
            <w:shd w:val="clear" w:color="auto" w:fill="auto"/>
            <w:vAlign w:val="center"/>
          </w:tcPr>
          <w:p w14:paraId="5627D87A"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57.90</w:t>
            </w:r>
          </w:p>
        </w:tc>
        <w:tc>
          <w:tcPr>
            <w:tcW w:w="705" w:type="pct"/>
            <w:tcBorders>
              <w:top w:val="single" w:sz="4" w:space="0" w:color="auto"/>
            </w:tcBorders>
            <w:vAlign w:val="center"/>
          </w:tcPr>
          <w:p w14:paraId="51A8A32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12.49</w:t>
            </w:r>
          </w:p>
        </w:tc>
        <w:tc>
          <w:tcPr>
            <w:tcW w:w="856" w:type="pct"/>
            <w:tcBorders>
              <w:top w:val="single" w:sz="4" w:space="0" w:color="auto"/>
            </w:tcBorders>
            <w:vAlign w:val="center"/>
          </w:tcPr>
          <w:p w14:paraId="4D87D90C"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2.21</w:t>
            </w:r>
          </w:p>
        </w:tc>
        <w:tc>
          <w:tcPr>
            <w:tcW w:w="740" w:type="pct"/>
            <w:tcBorders>
              <w:top w:val="single" w:sz="4" w:space="0" w:color="auto"/>
            </w:tcBorders>
            <w:vAlign w:val="center"/>
          </w:tcPr>
          <w:p w14:paraId="6F9E7EF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28.60</w:t>
            </w:r>
          </w:p>
        </w:tc>
      </w:tr>
      <w:tr w:rsidR="00223067" w:rsidRPr="00223067" w14:paraId="29CAD821" w14:textId="77777777" w:rsidTr="00223067">
        <w:trPr>
          <w:trHeight w:val="678"/>
        </w:trPr>
        <w:tc>
          <w:tcPr>
            <w:tcW w:w="1402" w:type="pct"/>
            <w:vAlign w:val="center"/>
          </w:tcPr>
          <w:p w14:paraId="6E059D7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w:t>
            </w:r>
          </w:p>
        </w:tc>
        <w:tc>
          <w:tcPr>
            <w:tcW w:w="815" w:type="pct"/>
            <w:vAlign w:val="center"/>
          </w:tcPr>
          <w:p w14:paraId="687625B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9.71</w:t>
            </w:r>
          </w:p>
        </w:tc>
        <w:tc>
          <w:tcPr>
            <w:tcW w:w="482" w:type="pct"/>
            <w:shd w:val="clear" w:color="auto" w:fill="auto"/>
            <w:vAlign w:val="center"/>
          </w:tcPr>
          <w:p w14:paraId="179278F0"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58.27</w:t>
            </w:r>
          </w:p>
        </w:tc>
        <w:tc>
          <w:tcPr>
            <w:tcW w:w="705" w:type="pct"/>
            <w:vAlign w:val="center"/>
          </w:tcPr>
          <w:p w14:paraId="6936484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13.48</w:t>
            </w:r>
          </w:p>
        </w:tc>
        <w:tc>
          <w:tcPr>
            <w:tcW w:w="856" w:type="pct"/>
            <w:vAlign w:val="center"/>
          </w:tcPr>
          <w:p w14:paraId="627FDBBA"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2.92</w:t>
            </w:r>
          </w:p>
        </w:tc>
        <w:tc>
          <w:tcPr>
            <w:tcW w:w="740" w:type="pct"/>
            <w:vAlign w:val="center"/>
          </w:tcPr>
          <w:p w14:paraId="5E1D6C2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32.02</w:t>
            </w:r>
          </w:p>
        </w:tc>
      </w:tr>
      <w:tr w:rsidR="00223067" w:rsidRPr="00223067" w14:paraId="1C271407" w14:textId="77777777" w:rsidTr="00223067">
        <w:trPr>
          <w:trHeight w:val="678"/>
        </w:trPr>
        <w:tc>
          <w:tcPr>
            <w:tcW w:w="1402" w:type="pct"/>
            <w:vAlign w:val="center"/>
          </w:tcPr>
          <w:p w14:paraId="65D23A29"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w:t>
            </w:r>
          </w:p>
        </w:tc>
        <w:tc>
          <w:tcPr>
            <w:tcW w:w="815" w:type="pct"/>
            <w:vAlign w:val="center"/>
          </w:tcPr>
          <w:p w14:paraId="4D0E1E5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10.40</w:t>
            </w:r>
          </w:p>
        </w:tc>
        <w:tc>
          <w:tcPr>
            <w:tcW w:w="482" w:type="pct"/>
            <w:shd w:val="clear" w:color="auto" w:fill="auto"/>
            <w:vAlign w:val="center"/>
          </w:tcPr>
          <w:p w14:paraId="31AFF66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59.98</w:t>
            </w:r>
          </w:p>
        </w:tc>
        <w:tc>
          <w:tcPr>
            <w:tcW w:w="705" w:type="pct"/>
            <w:vAlign w:val="center"/>
          </w:tcPr>
          <w:p w14:paraId="468DC49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14.20</w:t>
            </w:r>
          </w:p>
        </w:tc>
        <w:tc>
          <w:tcPr>
            <w:tcW w:w="856" w:type="pct"/>
            <w:vAlign w:val="center"/>
          </w:tcPr>
          <w:p w14:paraId="47BB742D"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3.06</w:t>
            </w:r>
          </w:p>
        </w:tc>
        <w:tc>
          <w:tcPr>
            <w:tcW w:w="740" w:type="pct"/>
            <w:vAlign w:val="center"/>
          </w:tcPr>
          <w:p w14:paraId="7D64B95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33.30</w:t>
            </w:r>
          </w:p>
        </w:tc>
      </w:tr>
      <w:tr w:rsidR="00223067" w:rsidRPr="00223067" w14:paraId="6813824B" w14:textId="77777777" w:rsidTr="00223067">
        <w:trPr>
          <w:trHeight w:val="678"/>
        </w:trPr>
        <w:tc>
          <w:tcPr>
            <w:tcW w:w="1402" w:type="pct"/>
            <w:vAlign w:val="center"/>
          </w:tcPr>
          <w:p w14:paraId="223806B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Fe</w:t>
            </w:r>
          </w:p>
        </w:tc>
        <w:tc>
          <w:tcPr>
            <w:tcW w:w="815" w:type="pct"/>
            <w:vAlign w:val="center"/>
          </w:tcPr>
          <w:p w14:paraId="5A6680D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11.74</w:t>
            </w:r>
          </w:p>
        </w:tc>
        <w:tc>
          <w:tcPr>
            <w:tcW w:w="482" w:type="pct"/>
            <w:shd w:val="clear" w:color="auto" w:fill="auto"/>
            <w:vAlign w:val="center"/>
          </w:tcPr>
          <w:p w14:paraId="296949D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61.39</w:t>
            </w:r>
          </w:p>
        </w:tc>
        <w:tc>
          <w:tcPr>
            <w:tcW w:w="705" w:type="pct"/>
            <w:vAlign w:val="center"/>
          </w:tcPr>
          <w:p w14:paraId="47437EF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14.44</w:t>
            </w:r>
          </w:p>
        </w:tc>
        <w:tc>
          <w:tcPr>
            <w:tcW w:w="856" w:type="pct"/>
            <w:vAlign w:val="center"/>
          </w:tcPr>
          <w:p w14:paraId="036BE31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3.09</w:t>
            </w:r>
          </w:p>
        </w:tc>
        <w:tc>
          <w:tcPr>
            <w:tcW w:w="740" w:type="pct"/>
            <w:vAlign w:val="center"/>
          </w:tcPr>
          <w:p w14:paraId="5CF2C244"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34.85</w:t>
            </w:r>
          </w:p>
        </w:tc>
      </w:tr>
      <w:tr w:rsidR="00223067" w:rsidRPr="00223067" w14:paraId="14611802" w14:textId="77777777" w:rsidTr="00223067">
        <w:trPr>
          <w:trHeight w:val="678"/>
        </w:trPr>
        <w:tc>
          <w:tcPr>
            <w:tcW w:w="1402" w:type="pct"/>
            <w:vAlign w:val="center"/>
          </w:tcPr>
          <w:p w14:paraId="4F7A5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Fe</w:t>
            </w:r>
          </w:p>
        </w:tc>
        <w:tc>
          <w:tcPr>
            <w:tcW w:w="815" w:type="pct"/>
            <w:vAlign w:val="center"/>
          </w:tcPr>
          <w:p w14:paraId="2476D44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12.42</w:t>
            </w:r>
          </w:p>
        </w:tc>
        <w:tc>
          <w:tcPr>
            <w:tcW w:w="482" w:type="pct"/>
            <w:shd w:val="clear" w:color="auto" w:fill="auto"/>
            <w:vAlign w:val="center"/>
          </w:tcPr>
          <w:p w14:paraId="7DBB043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63.83</w:t>
            </w:r>
          </w:p>
        </w:tc>
        <w:tc>
          <w:tcPr>
            <w:tcW w:w="705" w:type="pct"/>
            <w:vAlign w:val="center"/>
          </w:tcPr>
          <w:p w14:paraId="0A9E341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14.61</w:t>
            </w:r>
          </w:p>
        </w:tc>
        <w:tc>
          <w:tcPr>
            <w:tcW w:w="856" w:type="pct"/>
            <w:vAlign w:val="center"/>
          </w:tcPr>
          <w:p w14:paraId="7241E69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3.13</w:t>
            </w:r>
          </w:p>
        </w:tc>
        <w:tc>
          <w:tcPr>
            <w:tcW w:w="740" w:type="pct"/>
            <w:vAlign w:val="center"/>
          </w:tcPr>
          <w:p w14:paraId="6537450E"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36.64</w:t>
            </w:r>
          </w:p>
        </w:tc>
      </w:tr>
      <w:tr w:rsidR="00223067" w:rsidRPr="00223067" w14:paraId="7FF1D1CF" w14:textId="77777777" w:rsidTr="00223067">
        <w:trPr>
          <w:trHeight w:val="678"/>
        </w:trPr>
        <w:tc>
          <w:tcPr>
            <w:tcW w:w="1402" w:type="pct"/>
            <w:vAlign w:val="center"/>
          </w:tcPr>
          <w:p w14:paraId="6BE2CA1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+ 0.2 % Fe</w:t>
            </w:r>
          </w:p>
        </w:tc>
        <w:tc>
          <w:tcPr>
            <w:tcW w:w="815" w:type="pct"/>
            <w:vAlign w:val="center"/>
          </w:tcPr>
          <w:p w14:paraId="767075A7"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12.68</w:t>
            </w:r>
          </w:p>
        </w:tc>
        <w:tc>
          <w:tcPr>
            <w:tcW w:w="482" w:type="pct"/>
            <w:shd w:val="clear" w:color="auto" w:fill="auto"/>
            <w:vAlign w:val="center"/>
          </w:tcPr>
          <w:p w14:paraId="535E6DA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65.44</w:t>
            </w:r>
          </w:p>
        </w:tc>
        <w:tc>
          <w:tcPr>
            <w:tcW w:w="705" w:type="pct"/>
            <w:vAlign w:val="center"/>
          </w:tcPr>
          <w:p w14:paraId="68A1350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15.47</w:t>
            </w:r>
          </w:p>
        </w:tc>
        <w:tc>
          <w:tcPr>
            <w:tcW w:w="856" w:type="pct"/>
            <w:vAlign w:val="center"/>
          </w:tcPr>
          <w:p w14:paraId="0B7BF81B"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3.28</w:t>
            </w:r>
          </w:p>
        </w:tc>
        <w:tc>
          <w:tcPr>
            <w:tcW w:w="740" w:type="pct"/>
            <w:vAlign w:val="center"/>
          </w:tcPr>
          <w:p w14:paraId="2DE9DDE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39.98</w:t>
            </w:r>
          </w:p>
        </w:tc>
      </w:tr>
      <w:tr w:rsidR="00223067" w:rsidRPr="00223067" w14:paraId="7D642A18" w14:textId="77777777" w:rsidTr="00223067">
        <w:trPr>
          <w:trHeight w:val="678"/>
        </w:trPr>
        <w:tc>
          <w:tcPr>
            <w:tcW w:w="1402" w:type="pct"/>
            <w:vAlign w:val="center"/>
          </w:tcPr>
          <w:p w14:paraId="7B0AE09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+0.4 % Fe</w:t>
            </w:r>
          </w:p>
        </w:tc>
        <w:tc>
          <w:tcPr>
            <w:tcW w:w="815" w:type="pct"/>
            <w:vAlign w:val="center"/>
          </w:tcPr>
          <w:p w14:paraId="6B5609F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13.28</w:t>
            </w:r>
          </w:p>
        </w:tc>
        <w:tc>
          <w:tcPr>
            <w:tcW w:w="482" w:type="pct"/>
            <w:shd w:val="clear" w:color="auto" w:fill="auto"/>
            <w:vAlign w:val="center"/>
          </w:tcPr>
          <w:p w14:paraId="5EC858B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67.25</w:t>
            </w:r>
          </w:p>
        </w:tc>
        <w:tc>
          <w:tcPr>
            <w:tcW w:w="705" w:type="pct"/>
            <w:vAlign w:val="center"/>
          </w:tcPr>
          <w:p w14:paraId="4700293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15.74</w:t>
            </w:r>
          </w:p>
        </w:tc>
        <w:tc>
          <w:tcPr>
            <w:tcW w:w="856" w:type="pct"/>
            <w:vAlign w:val="center"/>
          </w:tcPr>
          <w:p w14:paraId="6C3905EE"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3.68</w:t>
            </w:r>
          </w:p>
        </w:tc>
        <w:tc>
          <w:tcPr>
            <w:tcW w:w="740" w:type="pct"/>
            <w:vAlign w:val="center"/>
          </w:tcPr>
          <w:p w14:paraId="62A5601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40.26</w:t>
            </w:r>
          </w:p>
        </w:tc>
      </w:tr>
      <w:tr w:rsidR="00223067" w:rsidRPr="00223067" w14:paraId="7127415D" w14:textId="77777777" w:rsidTr="00223067">
        <w:trPr>
          <w:trHeight w:val="678"/>
        </w:trPr>
        <w:tc>
          <w:tcPr>
            <w:tcW w:w="1402" w:type="pct"/>
            <w:vAlign w:val="center"/>
          </w:tcPr>
          <w:p w14:paraId="06AFCF7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 + 0.4 % Fe</w:t>
            </w:r>
          </w:p>
        </w:tc>
        <w:tc>
          <w:tcPr>
            <w:tcW w:w="815" w:type="pct"/>
            <w:vAlign w:val="center"/>
          </w:tcPr>
          <w:p w14:paraId="21B6955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12.51</w:t>
            </w:r>
          </w:p>
        </w:tc>
        <w:tc>
          <w:tcPr>
            <w:tcW w:w="482" w:type="pct"/>
            <w:shd w:val="clear" w:color="auto" w:fill="auto"/>
            <w:vAlign w:val="center"/>
          </w:tcPr>
          <w:p w14:paraId="748C22A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64.61</w:t>
            </w:r>
          </w:p>
        </w:tc>
        <w:tc>
          <w:tcPr>
            <w:tcW w:w="705" w:type="pct"/>
            <w:vAlign w:val="center"/>
          </w:tcPr>
          <w:p w14:paraId="3F19C6F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14.81</w:t>
            </w:r>
          </w:p>
        </w:tc>
        <w:tc>
          <w:tcPr>
            <w:tcW w:w="856" w:type="pct"/>
            <w:vAlign w:val="center"/>
          </w:tcPr>
          <w:p w14:paraId="5AF2E664"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3.18</w:t>
            </w:r>
          </w:p>
        </w:tc>
        <w:tc>
          <w:tcPr>
            <w:tcW w:w="740" w:type="pct"/>
            <w:vAlign w:val="center"/>
          </w:tcPr>
          <w:p w14:paraId="337D836A"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38.37</w:t>
            </w:r>
          </w:p>
        </w:tc>
      </w:tr>
      <w:tr w:rsidR="00223067" w:rsidRPr="00223067" w14:paraId="647CE2F9" w14:textId="77777777" w:rsidTr="00223067">
        <w:trPr>
          <w:trHeight w:val="678"/>
        </w:trPr>
        <w:tc>
          <w:tcPr>
            <w:tcW w:w="1402" w:type="pct"/>
            <w:tcBorders>
              <w:bottom w:val="single" w:sz="4" w:space="0" w:color="auto"/>
            </w:tcBorders>
            <w:vAlign w:val="center"/>
          </w:tcPr>
          <w:p w14:paraId="0A036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C.D. at 5%</w:t>
            </w:r>
          </w:p>
        </w:tc>
        <w:tc>
          <w:tcPr>
            <w:tcW w:w="815" w:type="pct"/>
            <w:tcBorders>
              <w:bottom w:val="single" w:sz="4" w:space="0" w:color="auto"/>
            </w:tcBorders>
            <w:vAlign w:val="center"/>
          </w:tcPr>
          <w:p w14:paraId="40A16D2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2.26</w:t>
            </w:r>
          </w:p>
        </w:tc>
        <w:tc>
          <w:tcPr>
            <w:tcW w:w="482" w:type="pct"/>
            <w:tcBorders>
              <w:bottom w:val="single" w:sz="4" w:space="0" w:color="auto"/>
            </w:tcBorders>
            <w:shd w:val="clear" w:color="auto" w:fill="auto"/>
            <w:vAlign w:val="center"/>
          </w:tcPr>
          <w:p w14:paraId="0BE4F36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4.92</w:t>
            </w:r>
          </w:p>
        </w:tc>
        <w:tc>
          <w:tcPr>
            <w:tcW w:w="705" w:type="pct"/>
            <w:tcBorders>
              <w:bottom w:val="single" w:sz="4" w:space="0" w:color="auto"/>
            </w:tcBorders>
            <w:vAlign w:val="center"/>
          </w:tcPr>
          <w:p w14:paraId="695B149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1.59</w:t>
            </w:r>
          </w:p>
        </w:tc>
        <w:tc>
          <w:tcPr>
            <w:tcW w:w="856" w:type="pct"/>
            <w:tcBorders>
              <w:bottom w:val="single" w:sz="4" w:space="0" w:color="auto"/>
            </w:tcBorders>
            <w:vAlign w:val="center"/>
          </w:tcPr>
          <w:p w14:paraId="66316142"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0.49</w:t>
            </w:r>
          </w:p>
        </w:tc>
        <w:tc>
          <w:tcPr>
            <w:tcW w:w="740" w:type="pct"/>
            <w:tcBorders>
              <w:bottom w:val="single" w:sz="4" w:space="0" w:color="auto"/>
            </w:tcBorders>
            <w:vAlign w:val="center"/>
          </w:tcPr>
          <w:p w14:paraId="0F6D059C"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4.33</w:t>
            </w:r>
          </w:p>
        </w:tc>
      </w:tr>
    </w:tbl>
    <w:p w14:paraId="7122EC80" w14:textId="737AD23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 xml:space="preserve">CONCLUSION </w:t>
      </w:r>
    </w:p>
    <w:p w14:paraId="63D7D7D2" w14:textId="77777777" w:rsidR="00FE363A" w:rsidRDefault="00FE363A" w:rsidP="001E1D87">
      <w:pPr>
        <w:spacing w:after="0" w:line="360" w:lineRule="auto"/>
        <w:jc w:val="both"/>
        <w:rPr>
          <w:rFonts w:cs="Times New Roman"/>
          <w:b w:val="0"/>
          <w:sz w:val="24"/>
          <w:szCs w:val="24"/>
        </w:rPr>
      </w:pPr>
      <w:r w:rsidRPr="00223067">
        <w:rPr>
          <w:rFonts w:cs="Times New Roman"/>
          <w:b w:val="0"/>
          <w:sz w:val="24"/>
          <w:szCs w:val="24"/>
        </w:rPr>
        <w:t xml:space="preserve">The findings of this study indicate that the application of 0.2% B + 0.4% Fe treatment resulted in the most </w:t>
      </w:r>
      <w:proofErr w:type="spellStart"/>
      <w:r w:rsidRPr="00223067">
        <w:rPr>
          <w:rFonts w:cs="Times New Roman"/>
          <w:b w:val="0"/>
          <w:sz w:val="24"/>
          <w:szCs w:val="24"/>
        </w:rPr>
        <w:t>favorable</w:t>
      </w:r>
      <w:proofErr w:type="spellEnd"/>
      <w:r w:rsidRPr="00223067">
        <w:rPr>
          <w:rFonts w:cs="Times New Roman"/>
          <w:b w:val="0"/>
          <w:sz w:val="24"/>
          <w:szCs w:val="24"/>
        </w:rPr>
        <w:t xml:space="preserve"> growth parameters, while 0.2% B + 0.4% Fe treatment also yielded the best results in terms of corms and </w:t>
      </w:r>
      <w:proofErr w:type="spellStart"/>
      <w:r w:rsidRPr="00223067">
        <w:rPr>
          <w:rFonts w:cs="Times New Roman"/>
          <w:b w:val="0"/>
          <w:sz w:val="24"/>
          <w:szCs w:val="24"/>
        </w:rPr>
        <w:t>cormels</w:t>
      </w:r>
      <w:proofErr w:type="spellEnd"/>
      <w:r w:rsidRPr="00223067">
        <w:rPr>
          <w:rFonts w:cs="Times New Roman"/>
          <w:b w:val="0"/>
          <w:sz w:val="24"/>
          <w:szCs w:val="24"/>
        </w:rPr>
        <w:t xml:space="preserve"> yield. Therefore, it can be concluded that foliar application of 0.2% B + 0.4% Fe is optimal for promoting plant growth, and </w:t>
      </w:r>
      <w:proofErr w:type="spellStart"/>
      <w:r w:rsidRPr="00223067">
        <w:rPr>
          <w:rFonts w:cs="Times New Roman"/>
          <w:b w:val="0"/>
          <w:sz w:val="24"/>
          <w:szCs w:val="24"/>
        </w:rPr>
        <w:t>inhancing</w:t>
      </w:r>
      <w:proofErr w:type="spellEnd"/>
      <w:r w:rsidRPr="00223067">
        <w:rPr>
          <w:rFonts w:cs="Times New Roman"/>
          <w:b w:val="0"/>
          <w:sz w:val="24"/>
          <w:szCs w:val="24"/>
        </w:rPr>
        <w:t xml:space="preserve"> corms and </w:t>
      </w:r>
      <w:proofErr w:type="spellStart"/>
      <w:r w:rsidRPr="00223067">
        <w:rPr>
          <w:rFonts w:cs="Times New Roman"/>
          <w:b w:val="0"/>
          <w:sz w:val="24"/>
          <w:szCs w:val="24"/>
        </w:rPr>
        <w:t>cormels</w:t>
      </w:r>
      <w:proofErr w:type="spellEnd"/>
      <w:r w:rsidRPr="00223067">
        <w:rPr>
          <w:rFonts w:cs="Times New Roman"/>
          <w:b w:val="0"/>
          <w:sz w:val="24"/>
          <w:szCs w:val="24"/>
        </w:rPr>
        <w:t xml:space="preserve"> yield.</w:t>
      </w:r>
    </w:p>
    <w:p w14:paraId="05103515" w14:textId="77777777" w:rsidR="003C5E65" w:rsidRPr="00223067" w:rsidRDefault="003C5E65" w:rsidP="001E1D87">
      <w:pPr>
        <w:spacing w:after="0" w:line="360" w:lineRule="auto"/>
        <w:jc w:val="both"/>
        <w:rPr>
          <w:rFonts w:cs="Times New Roman"/>
          <w:b w:val="0"/>
          <w:sz w:val="24"/>
          <w:szCs w:val="24"/>
        </w:rPr>
      </w:pPr>
    </w:p>
    <w:p w14:paraId="6A7F6DBA" w14:textId="7777777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ACKNOWLEDGMENT</w:t>
      </w:r>
    </w:p>
    <w:p w14:paraId="26504F77" w14:textId="77777777" w:rsidR="00223067" w:rsidRDefault="00FE363A" w:rsidP="001E1D87">
      <w:pPr>
        <w:spacing w:after="0" w:line="360" w:lineRule="auto"/>
        <w:jc w:val="both"/>
        <w:rPr>
          <w:rFonts w:cs="Times New Roman"/>
          <w:b w:val="0"/>
          <w:sz w:val="24"/>
          <w:szCs w:val="24"/>
        </w:rPr>
      </w:pPr>
      <w:r w:rsidRPr="00223067">
        <w:rPr>
          <w:rFonts w:cs="Times New Roman"/>
          <w:b w:val="0"/>
          <w:sz w:val="24"/>
          <w:szCs w:val="24"/>
        </w:rPr>
        <w:t>The authors sincerely appreciate the support and resources provided by the Institute of Agricultural Sciences, Banaras Hindu University (BHU), Varanasi. They also extend their gratitude to the Department of Horticulture (Floriculture and Landscaping) at the Institute of Agricultural Sciences, BHU, for their valuable assistance throughout th</w:t>
      </w:r>
      <w:r w:rsidR="00DF00C8" w:rsidRPr="00223067">
        <w:rPr>
          <w:rFonts w:cs="Times New Roman"/>
          <w:b w:val="0"/>
          <w:sz w:val="24"/>
          <w:szCs w:val="24"/>
        </w:rPr>
        <w:t>e research work.</w:t>
      </w:r>
    </w:p>
    <w:p w14:paraId="52205B80" w14:textId="287186E2" w:rsidR="00DF00C8" w:rsidRPr="00223067" w:rsidRDefault="00DF00C8" w:rsidP="00223067">
      <w:pPr>
        <w:spacing w:after="0" w:line="360" w:lineRule="auto"/>
        <w:jc w:val="both"/>
        <w:rPr>
          <w:rFonts w:cs="Times New Roman"/>
          <w:b w:val="0"/>
          <w:sz w:val="24"/>
          <w:szCs w:val="24"/>
        </w:rPr>
      </w:pPr>
      <w:r w:rsidRPr="00223067">
        <w:rPr>
          <w:rFonts w:cs="Times New Roman"/>
          <w:bCs/>
          <w:sz w:val="24"/>
          <w:szCs w:val="24"/>
        </w:rPr>
        <w:lastRenderedPageBreak/>
        <w:t>REFERENCES</w:t>
      </w:r>
      <w:bookmarkStart w:id="5" w:name="_Hlk194582592"/>
    </w:p>
    <w:bookmarkEnd w:id="5"/>
    <w:p w14:paraId="2068489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Ahmad, I., Aslam, K.M., Qasim, M., Ahmad, R. and Randhawa, A.M. (2010). Growth, yield and quality of </w:t>
      </w:r>
      <w:r w:rsidRPr="00223067">
        <w:rPr>
          <w:rFonts w:cs="Times New Roman"/>
          <w:b w:val="0"/>
          <w:i/>
          <w:iCs/>
          <w:sz w:val="24"/>
          <w:szCs w:val="24"/>
          <w:lang w:val="en-US"/>
        </w:rPr>
        <w:t>Rosa hybrida</w:t>
      </w:r>
      <w:r w:rsidRPr="00223067">
        <w:rPr>
          <w:rFonts w:cs="Times New Roman"/>
          <w:b w:val="0"/>
          <w:sz w:val="24"/>
          <w:szCs w:val="24"/>
          <w:lang w:val="en-US"/>
        </w:rPr>
        <w:t xml:space="preserve"> as influenced by various micronutrients. </w:t>
      </w:r>
      <w:r w:rsidRPr="00223067">
        <w:rPr>
          <w:rFonts w:cs="Times New Roman"/>
          <w:b w:val="0"/>
          <w:i/>
          <w:iCs/>
          <w:sz w:val="24"/>
          <w:szCs w:val="24"/>
          <w:lang w:val="en-US"/>
        </w:rPr>
        <w:t>Pakistan Journal of Agriculture Science</w:t>
      </w:r>
      <w:r w:rsidRPr="00223067">
        <w:rPr>
          <w:rFonts w:cs="Times New Roman"/>
          <w:b w:val="0"/>
          <w:sz w:val="24"/>
          <w:szCs w:val="24"/>
          <w:lang w:val="en-US"/>
        </w:rPr>
        <w:t>,</w:t>
      </w:r>
      <w:r w:rsidRPr="00223067">
        <w:rPr>
          <w:rFonts w:cs="Times New Roman"/>
          <w:bCs/>
          <w:sz w:val="24"/>
          <w:szCs w:val="24"/>
          <w:lang w:val="en-US"/>
        </w:rPr>
        <w:t>47</w:t>
      </w:r>
      <w:r w:rsidRPr="00223067">
        <w:rPr>
          <w:rFonts w:cs="Times New Roman"/>
          <w:b w:val="0"/>
          <w:sz w:val="24"/>
          <w:szCs w:val="24"/>
          <w:lang w:val="en-US"/>
        </w:rPr>
        <w:t>(1): 5-12.</w:t>
      </w:r>
    </w:p>
    <w:p w14:paraId="5BB54136" w14:textId="77777777" w:rsidR="00B130D5" w:rsidRPr="00223067" w:rsidRDefault="00B130D5" w:rsidP="00223067">
      <w:pPr>
        <w:spacing w:after="0" w:line="360" w:lineRule="auto"/>
        <w:ind w:left="720" w:hanging="720"/>
        <w:jc w:val="both"/>
        <w:rPr>
          <w:rFonts w:cs="Times New Roman"/>
          <w:b w:val="0"/>
          <w:sz w:val="24"/>
          <w:szCs w:val="24"/>
          <w:lang w:val="en-US"/>
        </w:rPr>
      </w:pPr>
      <w:proofErr w:type="spellStart"/>
      <w:r w:rsidRPr="00223067">
        <w:rPr>
          <w:rFonts w:cs="Times New Roman"/>
          <w:b w:val="0"/>
          <w:sz w:val="24"/>
          <w:szCs w:val="24"/>
          <w:lang w:val="en-US"/>
        </w:rPr>
        <w:t>Balkrishnan</w:t>
      </w:r>
      <w:proofErr w:type="spellEnd"/>
      <w:r w:rsidRPr="00223067">
        <w:rPr>
          <w:rFonts w:cs="Times New Roman"/>
          <w:b w:val="0"/>
          <w:sz w:val="24"/>
          <w:szCs w:val="24"/>
          <w:lang w:val="en-US"/>
        </w:rPr>
        <w:t xml:space="preserve">, V.M., Jawaharlal, T., Kumar, B. and Ganga, M. (2007). Response of micro nutrients on flowering, yield and xanthophyll content in African marigold.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10</w:t>
      </w:r>
      <w:r w:rsidRPr="00223067">
        <w:rPr>
          <w:rFonts w:cs="Times New Roman"/>
          <w:b w:val="0"/>
          <w:sz w:val="24"/>
          <w:szCs w:val="24"/>
          <w:lang w:val="en-US"/>
        </w:rPr>
        <w:t>(3): 153-156.</w:t>
      </w:r>
    </w:p>
    <w:p w14:paraId="5393A097"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Bhandari, N.S., Srivastava, R.K., Tarakeshwari, K.R. and Chand, S. (2022). Effect of nano and macro iron sprays on growth, flowering, seed and oil yielding attributes in calendula (</w:t>
      </w:r>
      <w:r w:rsidRPr="00223067">
        <w:rPr>
          <w:rFonts w:cs="Times New Roman"/>
          <w:b w:val="0"/>
          <w:i/>
          <w:iCs/>
          <w:sz w:val="24"/>
          <w:szCs w:val="24"/>
          <w:lang w:val="en-US"/>
        </w:rPr>
        <w:t>Calendula officinalis</w:t>
      </w:r>
      <w:r w:rsidRPr="00223067">
        <w:rPr>
          <w:rFonts w:cs="Times New Roman"/>
          <w:b w:val="0"/>
          <w:sz w:val="24"/>
          <w:szCs w:val="24"/>
          <w:lang w:val="en-US"/>
        </w:rPr>
        <w:t xml:space="preserve"> L.).</w:t>
      </w:r>
      <w:r w:rsidRPr="00223067">
        <w:rPr>
          <w:rFonts w:cs="Times New Roman"/>
          <w:b w:val="0"/>
          <w:i/>
          <w:iCs/>
          <w:sz w:val="24"/>
          <w:szCs w:val="24"/>
          <w:lang w:val="en-US"/>
        </w:rPr>
        <w:t xml:space="preserve"> Journal of Horticultural Sciences</w:t>
      </w:r>
      <w:r w:rsidRPr="00223067">
        <w:rPr>
          <w:rFonts w:cs="Times New Roman"/>
          <w:b w:val="0"/>
          <w:sz w:val="24"/>
          <w:szCs w:val="24"/>
          <w:lang w:val="en-US"/>
        </w:rPr>
        <w:t xml:space="preserve">, </w:t>
      </w:r>
      <w:r w:rsidRPr="00223067">
        <w:rPr>
          <w:rFonts w:cs="Times New Roman"/>
          <w:bCs/>
          <w:sz w:val="24"/>
          <w:szCs w:val="24"/>
          <w:lang w:val="en-US"/>
        </w:rPr>
        <w:t>17</w:t>
      </w:r>
      <w:r w:rsidRPr="00223067">
        <w:rPr>
          <w:rFonts w:cs="Times New Roman"/>
          <w:b w:val="0"/>
          <w:sz w:val="24"/>
          <w:szCs w:val="24"/>
          <w:lang w:val="en-US"/>
        </w:rPr>
        <w:t>(2): 353-362.</w:t>
      </w:r>
    </w:p>
    <w:p w14:paraId="618490E1" w14:textId="77777777"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rPr>
        <w:t xml:space="preserve">Brown, P.H., </w:t>
      </w:r>
      <w:proofErr w:type="spellStart"/>
      <w:r w:rsidRPr="00223067">
        <w:rPr>
          <w:rFonts w:cs="Times New Roman"/>
          <w:b w:val="0"/>
          <w:bCs/>
          <w:sz w:val="24"/>
          <w:szCs w:val="24"/>
        </w:rPr>
        <w:t>Bellaloui</w:t>
      </w:r>
      <w:proofErr w:type="spellEnd"/>
      <w:r w:rsidRPr="00223067">
        <w:rPr>
          <w:rFonts w:cs="Times New Roman"/>
          <w:b w:val="0"/>
          <w:bCs/>
          <w:sz w:val="24"/>
          <w:szCs w:val="24"/>
        </w:rPr>
        <w:t xml:space="preserve">, N., Wimmer, M.A., Bassil, E.S., Ruiz, J., Hu, H. and </w:t>
      </w:r>
      <w:proofErr w:type="spellStart"/>
      <w:r w:rsidRPr="00223067">
        <w:rPr>
          <w:rFonts w:cs="Times New Roman"/>
          <w:b w:val="0"/>
          <w:bCs/>
          <w:sz w:val="24"/>
          <w:szCs w:val="24"/>
        </w:rPr>
        <w:t>Romheld</w:t>
      </w:r>
      <w:proofErr w:type="spellEnd"/>
      <w:r w:rsidRPr="00223067">
        <w:rPr>
          <w:rFonts w:cs="Times New Roman"/>
          <w:b w:val="0"/>
          <w:bCs/>
          <w:sz w:val="24"/>
          <w:szCs w:val="24"/>
        </w:rPr>
        <w:t>, V. (2002). Boron in plant biology. </w:t>
      </w:r>
      <w:r w:rsidRPr="00223067">
        <w:rPr>
          <w:rFonts w:cs="Times New Roman"/>
          <w:b w:val="0"/>
          <w:bCs/>
          <w:i/>
          <w:iCs/>
          <w:sz w:val="24"/>
          <w:szCs w:val="24"/>
        </w:rPr>
        <w:t>Plant biology</w:t>
      </w:r>
      <w:r w:rsidRPr="00223067">
        <w:rPr>
          <w:rFonts w:cs="Times New Roman"/>
          <w:b w:val="0"/>
          <w:bCs/>
          <w:sz w:val="24"/>
          <w:szCs w:val="24"/>
        </w:rPr>
        <w:t>, </w:t>
      </w:r>
      <w:r w:rsidRPr="00223067">
        <w:rPr>
          <w:rFonts w:cs="Times New Roman"/>
          <w:sz w:val="24"/>
          <w:szCs w:val="24"/>
        </w:rPr>
        <w:t>4</w:t>
      </w:r>
      <w:r w:rsidRPr="00223067">
        <w:rPr>
          <w:rFonts w:cs="Times New Roman"/>
          <w:b w:val="0"/>
          <w:bCs/>
          <w:sz w:val="24"/>
          <w:szCs w:val="24"/>
        </w:rPr>
        <w:t>(2): 205-223.</w:t>
      </w:r>
    </w:p>
    <w:p w14:paraId="35B6E147" w14:textId="77777777"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 xml:space="preserve">Chopde N., </w:t>
      </w:r>
      <w:proofErr w:type="spellStart"/>
      <w:r w:rsidRPr="00223067">
        <w:rPr>
          <w:rFonts w:cs="Times New Roman"/>
          <w:b w:val="0"/>
          <w:sz w:val="24"/>
          <w:szCs w:val="24"/>
        </w:rPr>
        <w:t>Nehare</w:t>
      </w:r>
      <w:proofErr w:type="spellEnd"/>
      <w:r w:rsidRPr="00223067">
        <w:rPr>
          <w:rFonts w:cs="Times New Roman"/>
          <w:b w:val="0"/>
          <w:sz w:val="24"/>
          <w:szCs w:val="24"/>
        </w:rPr>
        <w:t xml:space="preserve"> N., Maske S.R., Lokhande S. and Bhute P.N. (2015). Effect of foliar application of zinc and iron growth, yield and quality of gladiolus. </w:t>
      </w:r>
      <w:r w:rsidRPr="00223067">
        <w:rPr>
          <w:rFonts w:cs="Times New Roman"/>
          <w:b w:val="0"/>
          <w:i/>
          <w:iCs/>
          <w:sz w:val="24"/>
          <w:szCs w:val="24"/>
        </w:rPr>
        <w:t>Plant Archives</w:t>
      </w:r>
      <w:r w:rsidRPr="00223067">
        <w:rPr>
          <w:rFonts w:cs="Times New Roman"/>
          <w:b w:val="0"/>
          <w:sz w:val="24"/>
          <w:szCs w:val="24"/>
        </w:rPr>
        <w:t>,</w:t>
      </w:r>
      <w:r w:rsidRPr="00223067">
        <w:rPr>
          <w:rFonts w:cs="Times New Roman"/>
          <w:b w:val="0"/>
          <w:i/>
          <w:iCs/>
          <w:sz w:val="24"/>
          <w:szCs w:val="24"/>
        </w:rPr>
        <w:t xml:space="preserve"> </w:t>
      </w:r>
      <w:r w:rsidRPr="00223067">
        <w:rPr>
          <w:rFonts w:cs="Times New Roman"/>
          <w:bCs/>
          <w:sz w:val="24"/>
          <w:szCs w:val="24"/>
        </w:rPr>
        <w:t>15</w:t>
      </w:r>
      <w:r w:rsidRPr="00223067">
        <w:rPr>
          <w:rFonts w:cs="Times New Roman"/>
          <w:b w:val="0"/>
          <w:sz w:val="24"/>
          <w:szCs w:val="24"/>
        </w:rPr>
        <w:t xml:space="preserve"> (1): 417-419.</w:t>
      </w:r>
    </w:p>
    <w:p w14:paraId="43ED3CF4"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Chopde, N., Borse, G.H., </w:t>
      </w:r>
      <w:proofErr w:type="spellStart"/>
      <w:r w:rsidRPr="00223067">
        <w:rPr>
          <w:rFonts w:cs="Times New Roman"/>
          <w:b w:val="0"/>
          <w:sz w:val="24"/>
          <w:szCs w:val="24"/>
          <w:lang w:val="en-US"/>
        </w:rPr>
        <w:t>Kuchanwar</w:t>
      </w:r>
      <w:proofErr w:type="spellEnd"/>
      <w:r w:rsidRPr="00223067">
        <w:rPr>
          <w:rFonts w:cs="Times New Roman"/>
          <w:b w:val="0"/>
          <w:sz w:val="24"/>
          <w:szCs w:val="24"/>
          <w:lang w:val="en-US"/>
        </w:rPr>
        <w:t xml:space="preserve">, O. and Ghodke, A.T. (2016). Effect of zinc sulphate and ferrous sulphate on growth and flowering of annual chrysanthemum. </w:t>
      </w:r>
      <w:r w:rsidRPr="00223067">
        <w:rPr>
          <w:rFonts w:cs="Times New Roman"/>
          <w:b w:val="0"/>
          <w:i/>
          <w:sz w:val="24"/>
          <w:szCs w:val="24"/>
          <w:lang w:val="en-US"/>
        </w:rPr>
        <w:t>Plant Archives</w:t>
      </w:r>
      <w:r w:rsidRPr="00223067">
        <w:rPr>
          <w:rFonts w:cs="Times New Roman"/>
          <w:b w:val="0"/>
          <w:sz w:val="24"/>
          <w:szCs w:val="24"/>
          <w:lang w:val="en-US"/>
        </w:rPr>
        <w:t xml:space="preserve">, </w:t>
      </w:r>
      <w:r w:rsidRPr="00223067">
        <w:rPr>
          <w:rFonts w:cs="Times New Roman"/>
          <w:sz w:val="24"/>
          <w:szCs w:val="24"/>
          <w:lang w:val="en-US"/>
        </w:rPr>
        <w:t>16</w:t>
      </w:r>
      <w:r w:rsidRPr="00223067">
        <w:rPr>
          <w:rFonts w:cs="Times New Roman"/>
          <w:b w:val="0"/>
          <w:sz w:val="24"/>
          <w:szCs w:val="24"/>
          <w:lang w:val="en-US"/>
        </w:rPr>
        <w:t>(2): 594-596.</w:t>
      </w:r>
    </w:p>
    <w:p w14:paraId="7F484683" w14:textId="77777777" w:rsidR="00B130D5" w:rsidRPr="00223067" w:rsidRDefault="00B130D5" w:rsidP="00223067">
      <w:pPr>
        <w:spacing w:after="0" w:line="360" w:lineRule="auto"/>
        <w:ind w:left="720" w:hanging="720"/>
        <w:jc w:val="both"/>
        <w:rPr>
          <w:rFonts w:cs="Times New Roman"/>
          <w:b w:val="0"/>
          <w:bCs/>
          <w:sz w:val="24"/>
          <w:szCs w:val="24"/>
        </w:rPr>
      </w:pPr>
      <w:proofErr w:type="spellStart"/>
      <w:r w:rsidRPr="00223067">
        <w:rPr>
          <w:rFonts w:cs="Times New Roman"/>
          <w:b w:val="0"/>
          <w:bCs/>
          <w:sz w:val="24"/>
          <w:szCs w:val="24"/>
        </w:rPr>
        <w:t>Dordas</w:t>
      </w:r>
      <w:proofErr w:type="spellEnd"/>
      <w:r w:rsidRPr="00223067">
        <w:rPr>
          <w:rFonts w:cs="Times New Roman"/>
          <w:b w:val="0"/>
          <w:bCs/>
          <w:sz w:val="24"/>
          <w:szCs w:val="24"/>
        </w:rPr>
        <w:t>, C. and Brown, P.H. (2005). Boron deficiency affects cell viability, phenolic leakage and oxidative burst in rose cell cultures. </w:t>
      </w:r>
      <w:r w:rsidRPr="00223067">
        <w:rPr>
          <w:rFonts w:cs="Times New Roman"/>
          <w:b w:val="0"/>
          <w:bCs/>
          <w:i/>
          <w:iCs/>
          <w:sz w:val="24"/>
          <w:szCs w:val="24"/>
        </w:rPr>
        <w:t>Plant and soil</w:t>
      </w:r>
      <w:r w:rsidRPr="00223067">
        <w:rPr>
          <w:rFonts w:cs="Times New Roman"/>
          <w:b w:val="0"/>
          <w:bCs/>
          <w:sz w:val="24"/>
          <w:szCs w:val="24"/>
        </w:rPr>
        <w:t>, </w:t>
      </w:r>
      <w:r w:rsidRPr="00223067">
        <w:rPr>
          <w:rFonts w:cs="Times New Roman"/>
          <w:sz w:val="24"/>
          <w:szCs w:val="24"/>
        </w:rPr>
        <w:t>268</w:t>
      </w:r>
      <w:r w:rsidRPr="00223067">
        <w:rPr>
          <w:rFonts w:cs="Times New Roman"/>
          <w:b w:val="0"/>
          <w:bCs/>
          <w:sz w:val="24"/>
          <w:szCs w:val="24"/>
        </w:rPr>
        <w:t>: 293-301.</w:t>
      </w:r>
    </w:p>
    <w:p w14:paraId="12C602A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El-</w:t>
      </w:r>
      <w:proofErr w:type="spellStart"/>
      <w:r w:rsidRPr="00223067">
        <w:rPr>
          <w:rFonts w:cs="Times New Roman"/>
          <w:b w:val="0"/>
          <w:sz w:val="24"/>
          <w:szCs w:val="24"/>
          <w:lang w:val="en-US"/>
        </w:rPr>
        <w:t>Yazal</w:t>
      </w:r>
      <w:proofErr w:type="spellEnd"/>
      <w:r w:rsidRPr="00223067">
        <w:rPr>
          <w:rFonts w:cs="Times New Roman"/>
          <w:b w:val="0"/>
          <w:sz w:val="24"/>
          <w:szCs w:val="24"/>
          <w:lang w:val="en-US"/>
        </w:rPr>
        <w:t xml:space="preserve">, M.A. (2008). </w:t>
      </w:r>
      <w:proofErr w:type="spellStart"/>
      <w:r w:rsidRPr="00223067">
        <w:rPr>
          <w:rFonts w:cs="Times New Roman"/>
          <w:b w:val="0"/>
          <w:sz w:val="24"/>
          <w:szCs w:val="24"/>
          <w:lang w:val="en-US"/>
        </w:rPr>
        <w:t>Physiologiacl</w:t>
      </w:r>
      <w:proofErr w:type="spellEnd"/>
      <w:r w:rsidRPr="00223067">
        <w:rPr>
          <w:rFonts w:cs="Times New Roman"/>
          <w:b w:val="0"/>
          <w:sz w:val="24"/>
          <w:szCs w:val="24"/>
          <w:lang w:val="en-US"/>
        </w:rPr>
        <w:t xml:space="preserve"> studies on effect of foliar application of some micronutrients and ascorbic acid on tuberose. </w:t>
      </w:r>
      <w:r w:rsidRPr="00223067">
        <w:rPr>
          <w:rFonts w:cs="Times New Roman"/>
          <w:b w:val="0"/>
          <w:i/>
          <w:iCs/>
          <w:sz w:val="24"/>
          <w:szCs w:val="24"/>
          <w:lang w:val="en-US"/>
        </w:rPr>
        <w:t>Fayoum Journal of Agricultural Research and Development</w:t>
      </w:r>
      <w:r w:rsidRPr="00223067">
        <w:rPr>
          <w:rFonts w:cs="Times New Roman"/>
          <w:b w:val="0"/>
          <w:sz w:val="24"/>
          <w:szCs w:val="24"/>
          <w:lang w:val="en-US"/>
        </w:rPr>
        <w:t xml:space="preserve">, </w:t>
      </w:r>
      <w:r w:rsidRPr="00223067">
        <w:rPr>
          <w:rFonts w:cs="Times New Roman"/>
          <w:bCs/>
          <w:sz w:val="24"/>
          <w:szCs w:val="24"/>
          <w:lang w:val="en-US"/>
        </w:rPr>
        <w:t>22</w:t>
      </w:r>
      <w:r w:rsidRPr="00223067">
        <w:rPr>
          <w:rFonts w:cs="Times New Roman"/>
          <w:b w:val="0"/>
          <w:sz w:val="24"/>
          <w:szCs w:val="24"/>
          <w:lang w:val="en-US"/>
        </w:rPr>
        <w:t>(2): 88-114.</w:t>
      </w:r>
    </w:p>
    <w:p w14:paraId="5161A70D" w14:textId="77777777" w:rsidR="00B130D5" w:rsidRPr="00223067" w:rsidRDefault="00B130D5" w:rsidP="00223067">
      <w:pPr>
        <w:spacing w:after="0" w:line="360" w:lineRule="auto"/>
        <w:ind w:left="720" w:hanging="720"/>
        <w:jc w:val="both"/>
        <w:rPr>
          <w:rFonts w:cs="Times New Roman"/>
          <w:b w:val="0"/>
          <w:sz w:val="24"/>
          <w:szCs w:val="24"/>
        </w:rPr>
      </w:pPr>
      <w:proofErr w:type="spellStart"/>
      <w:r w:rsidRPr="00223067">
        <w:rPr>
          <w:rFonts w:cs="Times New Roman"/>
          <w:b w:val="0"/>
          <w:sz w:val="24"/>
          <w:szCs w:val="24"/>
        </w:rPr>
        <w:t>Erao</w:t>
      </w:r>
      <w:proofErr w:type="spellEnd"/>
      <w:r w:rsidRPr="00223067">
        <w:rPr>
          <w:rFonts w:cs="Times New Roman"/>
          <w:b w:val="0"/>
          <w:sz w:val="24"/>
          <w:szCs w:val="24"/>
        </w:rPr>
        <w:t>, K.S. (2005). Influence of iron nutrition on growth, flowering and corm yield in gladiolus. </w:t>
      </w:r>
      <w:r w:rsidRPr="00223067">
        <w:rPr>
          <w:rFonts w:cs="Times New Roman"/>
          <w:b w:val="0"/>
          <w:i/>
          <w:iCs/>
          <w:sz w:val="24"/>
          <w:szCs w:val="24"/>
        </w:rPr>
        <w:t>Journal of Ornamental Horticulture</w:t>
      </w:r>
      <w:r w:rsidRPr="00223067">
        <w:rPr>
          <w:rFonts w:cs="Times New Roman"/>
          <w:b w:val="0"/>
          <w:sz w:val="24"/>
          <w:szCs w:val="24"/>
        </w:rPr>
        <w:t>, </w:t>
      </w:r>
      <w:r w:rsidRPr="00223067">
        <w:rPr>
          <w:rFonts w:cs="Times New Roman"/>
          <w:bCs/>
          <w:sz w:val="24"/>
          <w:szCs w:val="24"/>
        </w:rPr>
        <w:t>8</w:t>
      </w:r>
      <w:r w:rsidRPr="00223067">
        <w:rPr>
          <w:rFonts w:cs="Times New Roman"/>
          <w:b w:val="0"/>
          <w:sz w:val="24"/>
          <w:szCs w:val="24"/>
        </w:rPr>
        <w:t>(4): 293-295.</w:t>
      </w:r>
    </w:p>
    <w:p w14:paraId="2A526F6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Ganesh, S., Soorianathasundaram, K. and Kannan, M. (2013). Studies on effect of plant growth regulators and micronutrients on growth, floral characters and yield of tuberose cv. Prajwal. </w:t>
      </w:r>
      <w:r w:rsidRPr="00223067">
        <w:rPr>
          <w:rFonts w:cs="Times New Roman"/>
          <w:b w:val="0"/>
          <w:i/>
          <w:sz w:val="24"/>
          <w:szCs w:val="24"/>
          <w:lang w:val="en-US"/>
        </w:rPr>
        <w:t>Asian Journal of Horticulture</w:t>
      </w:r>
      <w:r w:rsidRPr="00223067">
        <w:rPr>
          <w:rFonts w:cs="Times New Roman"/>
          <w:b w:val="0"/>
          <w:sz w:val="24"/>
          <w:szCs w:val="24"/>
          <w:lang w:val="en-US"/>
        </w:rPr>
        <w:t xml:space="preserve">, </w:t>
      </w:r>
      <w:r w:rsidRPr="00223067">
        <w:rPr>
          <w:rFonts w:cs="Times New Roman"/>
          <w:sz w:val="24"/>
          <w:szCs w:val="24"/>
          <w:lang w:val="en-US"/>
        </w:rPr>
        <w:t>8</w:t>
      </w:r>
      <w:r w:rsidRPr="00223067">
        <w:rPr>
          <w:rFonts w:cs="Times New Roman"/>
          <w:b w:val="0"/>
          <w:sz w:val="24"/>
          <w:szCs w:val="24"/>
          <w:lang w:val="en-US"/>
        </w:rPr>
        <w:t>(2): 696-700.</w:t>
      </w:r>
    </w:p>
    <w:p w14:paraId="37884F1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Ganga, M., Padmadevi, K., </w:t>
      </w:r>
      <w:proofErr w:type="spellStart"/>
      <w:r w:rsidRPr="00223067">
        <w:rPr>
          <w:rFonts w:cs="Times New Roman"/>
          <w:b w:val="0"/>
          <w:sz w:val="24"/>
          <w:szCs w:val="24"/>
          <w:lang w:val="en-US"/>
        </w:rPr>
        <w:t>Jagadesswari</w:t>
      </w:r>
      <w:proofErr w:type="spellEnd"/>
      <w:r w:rsidRPr="00223067">
        <w:rPr>
          <w:rFonts w:cs="Times New Roman"/>
          <w:b w:val="0"/>
          <w:sz w:val="24"/>
          <w:szCs w:val="24"/>
          <w:lang w:val="en-US"/>
        </w:rPr>
        <w:t xml:space="preserve">, V. and Jawaharlal, M. (2009). Performance of Dendrobium cv. Sonia 17 as influenced by micronutrients. </w:t>
      </w:r>
      <w:r w:rsidRPr="00223067">
        <w:rPr>
          <w:rFonts w:cs="Times New Roman"/>
          <w:b w:val="0"/>
          <w:i/>
          <w:iCs/>
          <w:sz w:val="24"/>
          <w:szCs w:val="24"/>
          <w:lang w:val="en-US"/>
        </w:rPr>
        <w:t>Journal of Ornamental Horticulture</w:t>
      </w:r>
      <w:r w:rsidRPr="00223067">
        <w:rPr>
          <w:rFonts w:cs="Times New Roman"/>
          <w:b w:val="0"/>
          <w:sz w:val="24"/>
          <w:szCs w:val="24"/>
          <w:lang w:val="en-US"/>
        </w:rPr>
        <w:t xml:space="preserve">, </w:t>
      </w:r>
      <w:r w:rsidRPr="00223067">
        <w:rPr>
          <w:rFonts w:cs="Times New Roman"/>
          <w:bCs/>
          <w:sz w:val="24"/>
          <w:szCs w:val="24"/>
          <w:lang w:val="en-US"/>
        </w:rPr>
        <w:t>12</w:t>
      </w:r>
      <w:r w:rsidRPr="00223067">
        <w:rPr>
          <w:rFonts w:cs="Times New Roman"/>
          <w:b w:val="0"/>
          <w:sz w:val="24"/>
          <w:szCs w:val="24"/>
          <w:lang w:val="en-US"/>
        </w:rPr>
        <w:t>(1): 39-43</w:t>
      </w:r>
    </w:p>
    <w:p w14:paraId="034EA6DC"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Hajizadeh, S., </w:t>
      </w:r>
      <w:proofErr w:type="spellStart"/>
      <w:r w:rsidRPr="00223067">
        <w:rPr>
          <w:rFonts w:cs="Times New Roman"/>
          <w:b w:val="0"/>
          <w:sz w:val="24"/>
          <w:szCs w:val="24"/>
          <w:lang w:val="en-US"/>
        </w:rPr>
        <w:t>Jabbarzadeh</w:t>
      </w:r>
      <w:proofErr w:type="spellEnd"/>
      <w:r w:rsidRPr="00223067">
        <w:rPr>
          <w:rFonts w:cs="Times New Roman"/>
          <w:b w:val="0"/>
          <w:sz w:val="24"/>
          <w:szCs w:val="24"/>
          <w:lang w:val="en-US"/>
        </w:rPr>
        <w:t>, Z. and Rasouli-</w:t>
      </w:r>
      <w:proofErr w:type="spellStart"/>
      <w:r w:rsidRPr="00223067">
        <w:rPr>
          <w:rFonts w:cs="Times New Roman"/>
          <w:b w:val="0"/>
          <w:sz w:val="24"/>
          <w:szCs w:val="24"/>
          <w:lang w:val="en-US"/>
        </w:rPr>
        <w:t>Sadaghiani</w:t>
      </w:r>
      <w:proofErr w:type="spellEnd"/>
      <w:r w:rsidRPr="00223067">
        <w:rPr>
          <w:rFonts w:cs="Times New Roman"/>
          <w:b w:val="0"/>
          <w:sz w:val="24"/>
          <w:szCs w:val="24"/>
          <w:lang w:val="en-US"/>
        </w:rPr>
        <w:t xml:space="preserve">, M.H. (2019). Effect of fulvic acid and iron nano chelate application on flowering and vase life of </w:t>
      </w:r>
      <w:r w:rsidRPr="00223067">
        <w:rPr>
          <w:rFonts w:cs="Times New Roman"/>
          <w:b w:val="0"/>
          <w:i/>
          <w:iCs/>
          <w:sz w:val="24"/>
          <w:szCs w:val="24"/>
          <w:lang w:val="en-US"/>
        </w:rPr>
        <w:t xml:space="preserve">Gerbera </w:t>
      </w:r>
      <w:proofErr w:type="spellStart"/>
      <w:r w:rsidRPr="00223067">
        <w:rPr>
          <w:rFonts w:cs="Times New Roman"/>
          <w:b w:val="0"/>
          <w:i/>
          <w:iCs/>
          <w:sz w:val="24"/>
          <w:szCs w:val="24"/>
          <w:lang w:val="en-US"/>
        </w:rPr>
        <w:t>jamesonii</w:t>
      </w:r>
      <w:proofErr w:type="spellEnd"/>
      <w:r w:rsidRPr="00223067">
        <w:rPr>
          <w:rFonts w:cs="Times New Roman"/>
          <w:b w:val="0"/>
          <w:sz w:val="24"/>
          <w:szCs w:val="24"/>
          <w:lang w:val="en-US"/>
        </w:rPr>
        <w:t xml:space="preserve"> cv. Dune. </w:t>
      </w:r>
      <w:r w:rsidRPr="00223067">
        <w:rPr>
          <w:rFonts w:cs="Times New Roman"/>
          <w:b w:val="0"/>
          <w:i/>
          <w:iCs/>
          <w:sz w:val="24"/>
          <w:szCs w:val="24"/>
          <w:lang w:val="en-US"/>
        </w:rPr>
        <w:t>Journal of Horticulture Science</w:t>
      </w:r>
      <w:r w:rsidRPr="00223067">
        <w:rPr>
          <w:rFonts w:cs="Times New Roman"/>
          <w:b w:val="0"/>
          <w:sz w:val="24"/>
          <w:szCs w:val="24"/>
          <w:lang w:val="en-US"/>
        </w:rPr>
        <w:t xml:space="preserve">, </w:t>
      </w:r>
      <w:r w:rsidRPr="00223067">
        <w:rPr>
          <w:rFonts w:cs="Times New Roman"/>
          <w:bCs/>
          <w:sz w:val="24"/>
          <w:szCs w:val="24"/>
          <w:lang w:val="en-US"/>
        </w:rPr>
        <w:t>33</w:t>
      </w:r>
      <w:r w:rsidRPr="00223067">
        <w:rPr>
          <w:rFonts w:cs="Times New Roman"/>
          <w:b w:val="0"/>
          <w:sz w:val="24"/>
          <w:szCs w:val="24"/>
          <w:lang w:val="en-US"/>
        </w:rPr>
        <w:t>(4): 711-725.</w:t>
      </w:r>
    </w:p>
    <w:p w14:paraId="7B63EB4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lastRenderedPageBreak/>
        <w:t xml:space="preserve">Hembrom, R. and Singh, A.K. (2015). Effect of iron and zinc on growth, flowering and bulb yield in lilium. </w:t>
      </w:r>
      <w:r w:rsidRPr="00223067">
        <w:rPr>
          <w:rFonts w:cs="Times New Roman"/>
          <w:b w:val="0"/>
          <w:i/>
          <w:sz w:val="24"/>
          <w:szCs w:val="24"/>
          <w:lang w:val="en-US"/>
        </w:rPr>
        <w:t>International Journal of Agriculture, Environment and Biotechnology</w:t>
      </w:r>
      <w:r w:rsidRPr="00223067">
        <w:rPr>
          <w:rFonts w:cs="Times New Roman"/>
          <w:b w:val="0"/>
          <w:sz w:val="24"/>
          <w:szCs w:val="24"/>
          <w:lang w:val="en-US"/>
        </w:rPr>
        <w:t xml:space="preserve">, </w:t>
      </w:r>
      <w:r w:rsidRPr="00223067">
        <w:rPr>
          <w:rFonts w:cs="Times New Roman"/>
          <w:sz w:val="24"/>
          <w:szCs w:val="24"/>
          <w:lang w:val="en-US"/>
        </w:rPr>
        <w:t>8</w:t>
      </w:r>
      <w:r w:rsidRPr="00223067">
        <w:rPr>
          <w:rFonts w:cs="Times New Roman"/>
          <w:b w:val="0"/>
          <w:sz w:val="24"/>
          <w:szCs w:val="24"/>
          <w:lang w:val="en-US"/>
        </w:rPr>
        <w:t>(1): 61-64.</w:t>
      </w:r>
    </w:p>
    <w:p w14:paraId="4347280B"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Hussain, A., Nabi, G., Ilyas, M., Khan, M.N., Khan, W., Zeb, S. and Khan, A. (2020). Effect of zinc and iron on growth, flowering and shelf life of marigold under the </w:t>
      </w:r>
      <w:proofErr w:type="spellStart"/>
      <w:r w:rsidRPr="00223067">
        <w:rPr>
          <w:rFonts w:cs="Times New Roman"/>
          <w:b w:val="0"/>
          <w:sz w:val="24"/>
          <w:szCs w:val="24"/>
          <w:lang w:val="en-US"/>
        </w:rPr>
        <w:t>agro</w:t>
      </w:r>
      <w:proofErr w:type="spellEnd"/>
      <w:r w:rsidRPr="00223067">
        <w:rPr>
          <w:rFonts w:cs="Times New Roman"/>
          <w:b w:val="0"/>
          <w:sz w:val="24"/>
          <w:szCs w:val="24"/>
          <w:lang w:val="en-US"/>
        </w:rPr>
        <w:t xml:space="preserve">-climatic conditions of </w:t>
      </w:r>
      <w:proofErr w:type="spellStart"/>
      <w:r w:rsidRPr="00223067">
        <w:rPr>
          <w:rFonts w:cs="Times New Roman"/>
          <w:b w:val="0"/>
          <w:sz w:val="24"/>
          <w:szCs w:val="24"/>
          <w:lang w:val="en-US"/>
        </w:rPr>
        <w:t>Sawabi</w:t>
      </w:r>
      <w:proofErr w:type="spellEnd"/>
      <w:r w:rsidRPr="00223067">
        <w:rPr>
          <w:rFonts w:cs="Times New Roman"/>
          <w:b w:val="0"/>
          <w:sz w:val="24"/>
          <w:szCs w:val="24"/>
          <w:lang w:val="en-US"/>
        </w:rPr>
        <w:t xml:space="preserve">. </w:t>
      </w:r>
      <w:r w:rsidRPr="00223067">
        <w:rPr>
          <w:rFonts w:cs="Times New Roman"/>
          <w:b w:val="0"/>
          <w:i/>
          <w:sz w:val="24"/>
          <w:szCs w:val="24"/>
          <w:lang w:val="en-US"/>
        </w:rPr>
        <w:t>Pure and Applied Biology</w:t>
      </w:r>
      <w:r w:rsidRPr="00223067">
        <w:rPr>
          <w:rFonts w:cs="Times New Roman"/>
          <w:b w:val="0"/>
          <w:sz w:val="24"/>
          <w:szCs w:val="24"/>
          <w:lang w:val="en-US"/>
        </w:rPr>
        <w:t xml:space="preserve">, </w:t>
      </w:r>
      <w:r w:rsidRPr="00223067">
        <w:rPr>
          <w:rFonts w:cs="Times New Roman"/>
          <w:sz w:val="24"/>
          <w:szCs w:val="24"/>
          <w:lang w:val="en-US"/>
        </w:rPr>
        <w:t>9</w:t>
      </w:r>
      <w:r w:rsidRPr="00223067">
        <w:rPr>
          <w:rFonts w:cs="Times New Roman"/>
          <w:b w:val="0"/>
          <w:sz w:val="24"/>
          <w:szCs w:val="24"/>
          <w:lang w:val="en-US"/>
        </w:rPr>
        <w:t>(1): 180- 192.</w:t>
      </w:r>
    </w:p>
    <w:p w14:paraId="1BD7FF98"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Jauhari, S., Srivastava, R. and Srivastava, P.C. (2005). Effect of Zinc on growth, flowering, corm attributes, post-harvest life, leaf and corm nutrients status in gladiolus cv. Red Beauty. </w:t>
      </w:r>
      <w:r w:rsidRPr="00223067">
        <w:rPr>
          <w:rFonts w:cs="Times New Roman"/>
          <w:b w:val="0"/>
          <w:i/>
          <w:sz w:val="24"/>
          <w:szCs w:val="24"/>
          <w:lang w:val="en-US"/>
        </w:rPr>
        <w:t xml:space="preserve">Progressive Horticulture, </w:t>
      </w:r>
      <w:r w:rsidRPr="00223067">
        <w:rPr>
          <w:rFonts w:cs="Times New Roman"/>
          <w:sz w:val="24"/>
          <w:szCs w:val="24"/>
          <w:lang w:val="en-US"/>
        </w:rPr>
        <w:t>37</w:t>
      </w:r>
      <w:r w:rsidRPr="00223067">
        <w:rPr>
          <w:rFonts w:cs="Times New Roman"/>
          <w:b w:val="0"/>
          <w:sz w:val="24"/>
          <w:szCs w:val="24"/>
          <w:lang w:val="en-US"/>
        </w:rPr>
        <w:t>(2): 423-428.</w:t>
      </w:r>
    </w:p>
    <w:p w14:paraId="48753CA4" w14:textId="2523C53C"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Kashyap, N. and </w:t>
      </w:r>
      <w:proofErr w:type="spellStart"/>
      <w:r w:rsidRPr="00223067">
        <w:rPr>
          <w:rFonts w:cs="Times New Roman"/>
          <w:b w:val="0"/>
          <w:sz w:val="24"/>
          <w:szCs w:val="24"/>
          <w:lang w:val="en-US"/>
        </w:rPr>
        <w:t>Tikey</w:t>
      </w:r>
      <w:proofErr w:type="spellEnd"/>
      <w:r w:rsidRPr="00223067">
        <w:rPr>
          <w:rFonts w:cs="Times New Roman"/>
          <w:b w:val="0"/>
          <w:sz w:val="24"/>
          <w:szCs w:val="24"/>
          <w:lang w:val="en-US"/>
        </w:rPr>
        <w:t xml:space="preserve">, T. (2020). Effect of micronutrients on plant growth, flowering and corm production of </w:t>
      </w:r>
      <w:r w:rsidR="00A07B4B">
        <w:rPr>
          <w:rFonts w:cs="Times New Roman"/>
          <w:b w:val="0"/>
          <w:sz w:val="24"/>
          <w:szCs w:val="24"/>
          <w:lang w:val="en-US"/>
        </w:rPr>
        <w:t>g</w:t>
      </w:r>
      <w:r w:rsidRPr="00223067">
        <w:rPr>
          <w:rFonts w:cs="Times New Roman"/>
          <w:b w:val="0"/>
          <w:sz w:val="24"/>
          <w:szCs w:val="24"/>
          <w:lang w:val="en-US"/>
        </w:rPr>
        <w:t xml:space="preserve">ladiolus cv. Summer Sunshine. </w:t>
      </w:r>
      <w:r w:rsidRPr="00223067">
        <w:rPr>
          <w:rFonts w:cs="Times New Roman"/>
          <w:b w:val="0"/>
          <w:i/>
          <w:iCs/>
          <w:sz w:val="24"/>
          <w:szCs w:val="24"/>
          <w:lang w:val="en-US"/>
        </w:rPr>
        <w:t>The Pharma Innovation Journal</w:t>
      </w:r>
      <w:r w:rsidRPr="00223067">
        <w:rPr>
          <w:rFonts w:cs="Times New Roman"/>
          <w:b w:val="0"/>
          <w:sz w:val="24"/>
          <w:szCs w:val="24"/>
          <w:lang w:val="en-US"/>
        </w:rPr>
        <w:t xml:space="preserve">, </w:t>
      </w:r>
      <w:r w:rsidRPr="00223067">
        <w:rPr>
          <w:rFonts w:cs="Times New Roman"/>
          <w:bCs/>
          <w:sz w:val="24"/>
          <w:szCs w:val="24"/>
          <w:lang w:val="en-US"/>
        </w:rPr>
        <w:t>11</w:t>
      </w:r>
      <w:r w:rsidRPr="00223067">
        <w:rPr>
          <w:rFonts w:cs="Times New Roman"/>
          <w:b w:val="0"/>
          <w:sz w:val="24"/>
          <w:szCs w:val="24"/>
          <w:lang w:val="en-US"/>
        </w:rPr>
        <w:t xml:space="preserve">(9): 2503-2506. </w:t>
      </w:r>
    </w:p>
    <w:p w14:paraId="54A431EC" w14:textId="68524AAA" w:rsidR="00B130D5" w:rsidRPr="00223067" w:rsidRDefault="00B130D5" w:rsidP="00223067">
      <w:pPr>
        <w:spacing w:after="0" w:line="360" w:lineRule="auto"/>
        <w:ind w:left="720" w:hanging="720"/>
        <w:jc w:val="both"/>
        <w:rPr>
          <w:rFonts w:cs="Times New Roman"/>
          <w:b w:val="0"/>
          <w:sz w:val="24"/>
          <w:szCs w:val="24"/>
        </w:rPr>
      </w:pPr>
      <w:proofErr w:type="spellStart"/>
      <w:r w:rsidRPr="00223067">
        <w:rPr>
          <w:rFonts w:cs="Times New Roman"/>
          <w:b w:val="0"/>
          <w:sz w:val="24"/>
          <w:szCs w:val="24"/>
        </w:rPr>
        <w:t>Kolukunde</w:t>
      </w:r>
      <w:proofErr w:type="spellEnd"/>
      <w:r w:rsidRPr="00223067">
        <w:rPr>
          <w:rFonts w:cs="Times New Roman"/>
          <w:b w:val="0"/>
          <w:sz w:val="24"/>
          <w:szCs w:val="24"/>
        </w:rPr>
        <w:t xml:space="preserve"> S., Sarmah D., Biswas A. and Mandal T. (2014). Effect of micronutrients on growth and flowering of gerbera (</w:t>
      </w:r>
      <w:r w:rsidRPr="00223067">
        <w:rPr>
          <w:rFonts w:cs="Times New Roman"/>
          <w:b w:val="0"/>
          <w:i/>
          <w:iCs/>
          <w:sz w:val="24"/>
          <w:szCs w:val="24"/>
        </w:rPr>
        <w:t xml:space="preserve">Gerbera </w:t>
      </w:r>
      <w:proofErr w:type="spellStart"/>
      <w:r w:rsidRPr="00223067">
        <w:rPr>
          <w:rFonts w:cs="Times New Roman"/>
          <w:b w:val="0"/>
          <w:i/>
          <w:iCs/>
          <w:sz w:val="24"/>
          <w:szCs w:val="24"/>
        </w:rPr>
        <w:t>jamesonii</w:t>
      </w:r>
      <w:proofErr w:type="spellEnd"/>
      <w:r w:rsidRPr="00223067">
        <w:rPr>
          <w:rFonts w:cs="Times New Roman"/>
          <w:b w:val="0"/>
          <w:i/>
          <w:iCs/>
          <w:sz w:val="24"/>
          <w:szCs w:val="24"/>
        </w:rPr>
        <w:t xml:space="preserve"> </w:t>
      </w:r>
      <w:r w:rsidRPr="00223067">
        <w:rPr>
          <w:rFonts w:cs="Times New Roman"/>
          <w:b w:val="0"/>
          <w:sz w:val="24"/>
          <w:szCs w:val="24"/>
        </w:rPr>
        <w:t xml:space="preserve">L.) cv Rosaline under polyhouse conditions of plains of West Bengal. </w:t>
      </w:r>
      <w:r w:rsidRPr="00223067">
        <w:rPr>
          <w:rFonts w:cs="Times New Roman"/>
          <w:b w:val="0"/>
          <w:i/>
          <w:iCs/>
          <w:sz w:val="24"/>
          <w:szCs w:val="24"/>
        </w:rPr>
        <w:t>Environment and Ecology</w:t>
      </w:r>
      <w:r w:rsidRPr="00223067">
        <w:rPr>
          <w:rFonts w:cs="Times New Roman"/>
          <w:b w:val="0"/>
          <w:sz w:val="24"/>
          <w:szCs w:val="24"/>
        </w:rPr>
        <w:t xml:space="preserve">, </w:t>
      </w:r>
      <w:r w:rsidRPr="00223067">
        <w:rPr>
          <w:rFonts w:cs="Times New Roman"/>
          <w:bCs/>
          <w:sz w:val="24"/>
          <w:szCs w:val="24"/>
        </w:rPr>
        <w:t>32</w:t>
      </w:r>
      <w:r w:rsidRPr="00223067">
        <w:rPr>
          <w:rFonts w:cs="Times New Roman"/>
          <w:b w:val="0"/>
          <w:sz w:val="24"/>
          <w:szCs w:val="24"/>
        </w:rPr>
        <w:t>(4): 1702-1704.</w:t>
      </w:r>
    </w:p>
    <w:p w14:paraId="3A1C1C7A"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Kumar, D., Sahu, T.L., Netam, N., Patel, S., Mandavi, G. and Kumar, N. (2022). Effect of foliar application of zinc and iron on growth, flowering and yield of gladiolus (</w:t>
      </w:r>
      <w:r w:rsidRPr="00223067">
        <w:rPr>
          <w:rFonts w:cs="Times New Roman"/>
          <w:b w:val="0"/>
          <w:i/>
          <w:iCs/>
          <w:sz w:val="24"/>
          <w:szCs w:val="24"/>
          <w:lang w:val="en-US"/>
        </w:rPr>
        <w:t xml:space="preserve">Gladiolus </w:t>
      </w:r>
      <w:proofErr w:type="spellStart"/>
      <w:r w:rsidRPr="00223067">
        <w:rPr>
          <w:rFonts w:cs="Times New Roman"/>
          <w:b w:val="0"/>
          <w:i/>
          <w:iCs/>
          <w:sz w:val="24"/>
          <w:szCs w:val="24"/>
          <w:lang w:val="en-US"/>
        </w:rPr>
        <w:t>grandiflorus</w:t>
      </w:r>
      <w:proofErr w:type="spellEnd"/>
      <w:r w:rsidRPr="00223067">
        <w:rPr>
          <w:rFonts w:cs="Times New Roman"/>
          <w:b w:val="0"/>
          <w:i/>
          <w:iCs/>
          <w:sz w:val="24"/>
          <w:szCs w:val="24"/>
          <w:lang w:val="en-US"/>
        </w:rPr>
        <w:t xml:space="preserve"> </w:t>
      </w:r>
      <w:r w:rsidRPr="00223067">
        <w:rPr>
          <w:rFonts w:cs="Times New Roman"/>
          <w:b w:val="0"/>
          <w:sz w:val="24"/>
          <w:szCs w:val="24"/>
          <w:lang w:val="en-US"/>
        </w:rPr>
        <w:t xml:space="preserve">L.). </w:t>
      </w:r>
      <w:r w:rsidRPr="00223067">
        <w:rPr>
          <w:rFonts w:cs="Times New Roman"/>
          <w:b w:val="0"/>
          <w:i/>
          <w:iCs/>
          <w:sz w:val="24"/>
          <w:szCs w:val="24"/>
          <w:lang w:val="en-US"/>
        </w:rPr>
        <w:t>Journal of Pharmaceutical Innovation</w:t>
      </w:r>
      <w:r w:rsidRPr="00223067">
        <w:rPr>
          <w:rFonts w:cs="Times New Roman"/>
          <w:b w:val="0"/>
          <w:sz w:val="24"/>
          <w:szCs w:val="24"/>
          <w:lang w:val="en-US"/>
        </w:rPr>
        <w:t xml:space="preserve">, </w:t>
      </w:r>
      <w:r w:rsidRPr="00223067">
        <w:rPr>
          <w:rFonts w:cs="Times New Roman"/>
          <w:bCs/>
          <w:sz w:val="24"/>
          <w:szCs w:val="24"/>
          <w:lang w:val="en-US"/>
        </w:rPr>
        <w:t>11</w:t>
      </w:r>
      <w:r w:rsidRPr="00223067">
        <w:rPr>
          <w:rFonts w:cs="Times New Roman"/>
          <w:b w:val="0"/>
          <w:sz w:val="24"/>
          <w:szCs w:val="24"/>
          <w:lang w:val="en-US"/>
        </w:rPr>
        <w:t>: 2587-2589.</w:t>
      </w:r>
    </w:p>
    <w:p w14:paraId="637D43D1"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P. and Arora, J.S. (2000). Effect of micronutrients on gladiolus.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3</w:t>
      </w:r>
      <w:r w:rsidRPr="00223067">
        <w:rPr>
          <w:rFonts w:cs="Times New Roman"/>
          <w:b w:val="0"/>
          <w:sz w:val="24"/>
          <w:szCs w:val="24"/>
          <w:lang w:val="en-US"/>
        </w:rPr>
        <w:t>(2): 91-93.</w:t>
      </w:r>
    </w:p>
    <w:p w14:paraId="579F9E6A"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Kumar, P., Kumar, J., Umrao, V.K. and Rajbeer. (2010). Effect of nitrogen and iron on growth and flowering parameters in African marigold (</w:t>
      </w:r>
      <w:r w:rsidRPr="00223067">
        <w:rPr>
          <w:rFonts w:cs="Times New Roman"/>
          <w:b w:val="0"/>
          <w:i/>
          <w:sz w:val="24"/>
          <w:szCs w:val="24"/>
          <w:lang w:val="en-US"/>
        </w:rPr>
        <w:t xml:space="preserve">Tagetes </w:t>
      </w:r>
      <w:proofErr w:type="spellStart"/>
      <w:r w:rsidRPr="00223067">
        <w:rPr>
          <w:rFonts w:cs="Times New Roman"/>
          <w:b w:val="0"/>
          <w:i/>
          <w:sz w:val="24"/>
          <w:szCs w:val="24"/>
          <w:lang w:val="en-US"/>
        </w:rPr>
        <w:t>erecta</w:t>
      </w:r>
      <w:proofErr w:type="spellEnd"/>
      <w:r w:rsidRPr="00223067">
        <w:rPr>
          <w:rFonts w:cs="Times New Roman"/>
          <w:b w:val="0"/>
          <w:i/>
          <w:sz w:val="24"/>
          <w:szCs w:val="24"/>
          <w:lang w:val="en-US"/>
        </w:rPr>
        <w:t xml:space="preserve"> </w:t>
      </w:r>
      <w:r w:rsidRPr="00223067">
        <w:rPr>
          <w:rFonts w:cs="Times New Roman"/>
          <w:b w:val="0"/>
          <w:sz w:val="24"/>
          <w:szCs w:val="24"/>
          <w:lang w:val="en-US"/>
        </w:rPr>
        <w:t xml:space="preserve">L.) </w:t>
      </w:r>
      <w:r w:rsidRPr="00223067">
        <w:rPr>
          <w:rFonts w:cs="Times New Roman"/>
          <w:b w:val="0"/>
          <w:iCs/>
          <w:sz w:val="24"/>
          <w:szCs w:val="24"/>
          <w:lang w:val="en-US"/>
        </w:rPr>
        <w:t>cv.</w:t>
      </w:r>
      <w:r w:rsidRPr="00223067">
        <w:rPr>
          <w:rFonts w:cs="Times New Roman"/>
          <w:b w:val="0"/>
          <w:i/>
          <w:sz w:val="24"/>
          <w:szCs w:val="24"/>
          <w:lang w:val="en-US"/>
        </w:rPr>
        <w:t xml:space="preserve"> </w:t>
      </w:r>
      <w:r w:rsidRPr="00223067">
        <w:rPr>
          <w:rFonts w:cs="Times New Roman"/>
          <w:b w:val="0"/>
          <w:sz w:val="24"/>
          <w:szCs w:val="24"/>
          <w:lang w:val="en-US"/>
        </w:rPr>
        <w:t xml:space="preserve">Pusa </w:t>
      </w:r>
      <w:proofErr w:type="spellStart"/>
      <w:r w:rsidRPr="00223067">
        <w:rPr>
          <w:rFonts w:cs="Times New Roman"/>
          <w:b w:val="0"/>
          <w:sz w:val="24"/>
          <w:szCs w:val="24"/>
          <w:lang w:val="en-US"/>
        </w:rPr>
        <w:t>Narangi</w:t>
      </w:r>
      <w:proofErr w:type="spellEnd"/>
      <w:r w:rsidRPr="00223067">
        <w:rPr>
          <w:rFonts w:cs="Times New Roman"/>
          <w:b w:val="0"/>
          <w:sz w:val="24"/>
          <w:szCs w:val="24"/>
          <w:lang w:val="en-US"/>
        </w:rPr>
        <w:t xml:space="preserve"> </w:t>
      </w:r>
      <w:proofErr w:type="spellStart"/>
      <w:r w:rsidRPr="00223067">
        <w:rPr>
          <w:rFonts w:cs="Times New Roman"/>
          <w:b w:val="0"/>
          <w:sz w:val="24"/>
          <w:szCs w:val="24"/>
          <w:lang w:val="en-US"/>
        </w:rPr>
        <w:t>Gainda</w:t>
      </w:r>
      <w:proofErr w:type="spellEnd"/>
      <w:r w:rsidRPr="00223067">
        <w:rPr>
          <w:rFonts w:cs="Times New Roman"/>
          <w:b w:val="0"/>
          <w:sz w:val="24"/>
          <w:szCs w:val="24"/>
          <w:lang w:val="en-US"/>
        </w:rPr>
        <w:t xml:space="preserve">. </w:t>
      </w:r>
      <w:r w:rsidRPr="00223067">
        <w:rPr>
          <w:rFonts w:cs="Times New Roman"/>
          <w:b w:val="0"/>
          <w:i/>
          <w:sz w:val="24"/>
          <w:szCs w:val="24"/>
          <w:lang w:val="en-US"/>
        </w:rPr>
        <w:t>Annual Horticulture</w:t>
      </w:r>
      <w:r w:rsidRPr="00223067">
        <w:rPr>
          <w:rFonts w:cs="Times New Roman"/>
          <w:b w:val="0"/>
          <w:iCs/>
          <w:sz w:val="24"/>
          <w:szCs w:val="24"/>
          <w:lang w:val="en-US"/>
        </w:rPr>
        <w:t>,</w:t>
      </w:r>
      <w:r w:rsidRPr="00223067">
        <w:rPr>
          <w:rFonts w:cs="Times New Roman"/>
          <w:b w:val="0"/>
          <w:i/>
          <w:sz w:val="24"/>
          <w:szCs w:val="24"/>
          <w:lang w:val="en-US"/>
        </w:rPr>
        <w:t xml:space="preserve"> </w:t>
      </w:r>
      <w:r w:rsidRPr="00223067">
        <w:rPr>
          <w:rFonts w:cs="Times New Roman"/>
          <w:sz w:val="24"/>
          <w:szCs w:val="24"/>
          <w:lang w:val="en-US"/>
        </w:rPr>
        <w:t>3</w:t>
      </w:r>
      <w:r w:rsidRPr="00223067">
        <w:rPr>
          <w:rFonts w:cs="Times New Roman"/>
          <w:b w:val="0"/>
          <w:sz w:val="24"/>
          <w:szCs w:val="24"/>
          <w:lang w:val="en-US"/>
        </w:rPr>
        <w:t>(1): 118-119.</w:t>
      </w:r>
    </w:p>
    <w:p w14:paraId="218D1B28"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P.N., Mishra, R.L., Dhiman, S.R., Ganga, M. and Kameswari, L. (2009). Effect of micronutrient sprays on growth and flowering of chrysanthemum. </w:t>
      </w:r>
      <w:r w:rsidRPr="00223067">
        <w:rPr>
          <w:rFonts w:cs="Times New Roman"/>
          <w:b w:val="0"/>
          <w:i/>
          <w:sz w:val="24"/>
          <w:szCs w:val="24"/>
          <w:lang w:val="en-US"/>
        </w:rPr>
        <w:t xml:space="preserve">Indian </w:t>
      </w:r>
      <w:proofErr w:type="spellStart"/>
      <w:r w:rsidRPr="00223067">
        <w:rPr>
          <w:rFonts w:cs="Times New Roman"/>
          <w:b w:val="0"/>
          <w:i/>
          <w:sz w:val="24"/>
          <w:szCs w:val="24"/>
          <w:lang w:val="en-US"/>
        </w:rPr>
        <w:t>Jourrnal</w:t>
      </w:r>
      <w:proofErr w:type="spellEnd"/>
      <w:r w:rsidRPr="00223067">
        <w:rPr>
          <w:rFonts w:cs="Times New Roman"/>
          <w:b w:val="0"/>
          <w:i/>
          <w:sz w:val="24"/>
          <w:szCs w:val="24"/>
          <w:lang w:val="en-US"/>
        </w:rPr>
        <w:t xml:space="preserve"> of Agricultural Sciences</w:t>
      </w:r>
      <w:r w:rsidRPr="00223067">
        <w:rPr>
          <w:rFonts w:cs="Times New Roman"/>
          <w:b w:val="0"/>
          <w:sz w:val="24"/>
          <w:szCs w:val="24"/>
          <w:lang w:val="en-US"/>
        </w:rPr>
        <w:t xml:space="preserve">, </w:t>
      </w:r>
      <w:r w:rsidRPr="00223067">
        <w:rPr>
          <w:rFonts w:cs="Times New Roman"/>
          <w:sz w:val="24"/>
          <w:szCs w:val="24"/>
          <w:lang w:val="en-US"/>
        </w:rPr>
        <w:t>79</w:t>
      </w:r>
      <w:r w:rsidRPr="00223067">
        <w:rPr>
          <w:rFonts w:cs="Times New Roman"/>
          <w:b w:val="0"/>
          <w:sz w:val="24"/>
          <w:szCs w:val="24"/>
          <w:lang w:val="en-US"/>
        </w:rPr>
        <w:t>(6): 426-428.</w:t>
      </w:r>
    </w:p>
    <w:p w14:paraId="3D578E6B" w14:textId="587FFD68"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R., Singh, G.N. and Misra, R.L. (2003). Effect of boron, calcium and zinc on gladiolus. </w:t>
      </w:r>
      <w:r w:rsidRPr="00A07B4B">
        <w:rPr>
          <w:rFonts w:cs="Times New Roman"/>
          <w:b w:val="0"/>
          <w:i/>
          <w:iCs/>
          <w:color w:val="auto"/>
          <w:sz w:val="24"/>
          <w:szCs w:val="24"/>
          <w:lang w:val="en-US"/>
        </w:rPr>
        <w:t xml:space="preserve">Journal of </w:t>
      </w:r>
      <w:r w:rsidR="00A07B4B" w:rsidRPr="00A07B4B">
        <w:rPr>
          <w:rFonts w:cs="Times New Roman"/>
          <w:b w:val="0"/>
          <w:i/>
          <w:iCs/>
          <w:color w:val="auto"/>
          <w:sz w:val="24"/>
          <w:szCs w:val="24"/>
          <w:lang w:val="en-US"/>
        </w:rPr>
        <w:t>O</w:t>
      </w:r>
      <w:r w:rsidRPr="00A07B4B">
        <w:rPr>
          <w:rFonts w:cs="Times New Roman"/>
          <w:b w:val="0"/>
          <w:i/>
          <w:iCs/>
          <w:color w:val="auto"/>
          <w:sz w:val="24"/>
          <w:szCs w:val="24"/>
          <w:lang w:val="en-US"/>
        </w:rPr>
        <w:t xml:space="preserve">rnamental </w:t>
      </w:r>
      <w:r w:rsidR="00A07B4B" w:rsidRPr="00A07B4B">
        <w:rPr>
          <w:rFonts w:cs="Times New Roman"/>
          <w:b w:val="0"/>
          <w:i/>
          <w:iCs/>
          <w:color w:val="auto"/>
          <w:sz w:val="24"/>
          <w:szCs w:val="24"/>
          <w:lang w:val="en-US"/>
        </w:rPr>
        <w:t>H</w:t>
      </w:r>
      <w:r w:rsidRPr="00A07B4B">
        <w:rPr>
          <w:rFonts w:cs="Times New Roman"/>
          <w:b w:val="0"/>
          <w:i/>
          <w:iCs/>
          <w:color w:val="auto"/>
          <w:sz w:val="24"/>
          <w:szCs w:val="24"/>
          <w:lang w:val="en-US"/>
        </w:rPr>
        <w:t>orticulture</w:t>
      </w:r>
      <w:r w:rsidR="00A07B4B" w:rsidRPr="00A07B4B">
        <w:rPr>
          <w:rFonts w:cs="Times New Roman"/>
          <w:b w:val="0"/>
          <w:sz w:val="24"/>
          <w:szCs w:val="24"/>
          <w:lang w:val="en-US"/>
        </w:rPr>
        <w:t>,</w:t>
      </w:r>
      <w:r w:rsidRPr="00223067">
        <w:rPr>
          <w:rFonts w:cs="Times New Roman"/>
          <w:b w:val="0"/>
          <w:sz w:val="24"/>
          <w:szCs w:val="24"/>
          <w:lang w:val="en-US"/>
        </w:rPr>
        <w:t xml:space="preserve"> </w:t>
      </w:r>
      <w:r w:rsidRPr="00223067">
        <w:rPr>
          <w:rFonts w:cs="Times New Roman"/>
          <w:bCs/>
          <w:sz w:val="24"/>
          <w:szCs w:val="24"/>
          <w:lang w:val="en-US"/>
        </w:rPr>
        <w:t>6</w:t>
      </w:r>
      <w:r w:rsidRPr="00223067">
        <w:rPr>
          <w:rFonts w:cs="Times New Roman"/>
          <w:b w:val="0"/>
          <w:sz w:val="24"/>
          <w:szCs w:val="24"/>
          <w:lang w:val="en-US"/>
        </w:rPr>
        <w:t>(2): 104-106.</w:t>
      </w:r>
    </w:p>
    <w:p w14:paraId="62FF843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Memon, S.A., Abdul, R.A., Muhammad, A.B. and Mahmooda, B. (2013). Effect of zinc sulphate and iron sulphate on the growth and flower production of gladiolus (</w:t>
      </w:r>
      <w:r w:rsidRPr="00223067">
        <w:rPr>
          <w:rFonts w:cs="Times New Roman"/>
          <w:b w:val="0"/>
          <w:i/>
          <w:sz w:val="24"/>
          <w:szCs w:val="24"/>
          <w:lang w:val="en-US"/>
        </w:rPr>
        <w:t xml:space="preserve">Gladiolus </w:t>
      </w:r>
      <w:proofErr w:type="spellStart"/>
      <w:r w:rsidRPr="00223067">
        <w:rPr>
          <w:rFonts w:cs="Times New Roman"/>
          <w:b w:val="0"/>
          <w:i/>
          <w:sz w:val="24"/>
          <w:szCs w:val="24"/>
          <w:lang w:val="en-US"/>
        </w:rPr>
        <w:t>hortulamus</w:t>
      </w:r>
      <w:proofErr w:type="spellEnd"/>
      <w:r w:rsidRPr="00223067">
        <w:rPr>
          <w:rFonts w:cs="Times New Roman"/>
          <w:b w:val="0"/>
          <w:sz w:val="24"/>
          <w:szCs w:val="24"/>
          <w:lang w:val="en-US"/>
        </w:rPr>
        <w:t>)</w:t>
      </w:r>
      <w:r w:rsidRPr="00223067">
        <w:rPr>
          <w:rFonts w:cs="Times New Roman"/>
          <w:b w:val="0"/>
          <w:i/>
          <w:sz w:val="24"/>
          <w:szCs w:val="24"/>
          <w:lang w:val="en-US"/>
        </w:rPr>
        <w:t>. Journal of Agricultural Technology</w:t>
      </w:r>
      <w:r w:rsidRPr="00223067">
        <w:rPr>
          <w:rFonts w:cs="Times New Roman"/>
          <w:b w:val="0"/>
          <w:sz w:val="24"/>
          <w:szCs w:val="24"/>
          <w:lang w:val="en-US"/>
        </w:rPr>
        <w:t xml:space="preserve">, </w:t>
      </w:r>
      <w:r w:rsidRPr="00223067">
        <w:rPr>
          <w:rFonts w:cs="Times New Roman"/>
          <w:sz w:val="24"/>
          <w:szCs w:val="24"/>
          <w:lang w:val="en-US"/>
        </w:rPr>
        <w:t>9</w:t>
      </w:r>
      <w:r w:rsidRPr="00223067">
        <w:rPr>
          <w:rFonts w:cs="Times New Roman"/>
          <w:b w:val="0"/>
          <w:sz w:val="24"/>
          <w:szCs w:val="24"/>
          <w:lang w:val="en-US"/>
        </w:rPr>
        <w:t>(6): 1621-1630.</w:t>
      </w:r>
    </w:p>
    <w:p w14:paraId="7F815BD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Misra, R.L., Kumar, P.N., Dhiman, S.R., Ganga, M. and Lalitha, K. (2009). Effect of micro nutrient sprays on growth and flowering of </w:t>
      </w:r>
      <w:proofErr w:type="spellStart"/>
      <w:r w:rsidRPr="00223067">
        <w:rPr>
          <w:rFonts w:cs="Times New Roman"/>
          <w:b w:val="0"/>
          <w:sz w:val="24"/>
          <w:szCs w:val="24"/>
          <w:lang w:val="en-US"/>
        </w:rPr>
        <w:t>chrysnathemum</w:t>
      </w:r>
      <w:proofErr w:type="spellEnd"/>
      <w:r w:rsidRPr="00223067">
        <w:rPr>
          <w:rFonts w:cs="Times New Roman"/>
          <w:b w:val="0"/>
          <w:sz w:val="24"/>
          <w:szCs w:val="24"/>
          <w:lang w:val="en-US"/>
        </w:rPr>
        <w:t xml:space="preserve">. </w:t>
      </w:r>
      <w:r w:rsidRPr="00223067">
        <w:rPr>
          <w:rFonts w:cs="Times New Roman"/>
          <w:b w:val="0"/>
          <w:i/>
          <w:iCs/>
          <w:sz w:val="24"/>
          <w:szCs w:val="24"/>
          <w:lang w:val="en-US"/>
        </w:rPr>
        <w:t>Indian Journal of Agricultural Sciences</w:t>
      </w:r>
      <w:r w:rsidRPr="00223067">
        <w:rPr>
          <w:rFonts w:cs="Times New Roman"/>
          <w:b w:val="0"/>
          <w:sz w:val="24"/>
          <w:szCs w:val="24"/>
          <w:lang w:val="en-US"/>
        </w:rPr>
        <w:t xml:space="preserve">, </w:t>
      </w:r>
      <w:r w:rsidRPr="00223067">
        <w:rPr>
          <w:rFonts w:cs="Times New Roman"/>
          <w:bCs/>
          <w:sz w:val="24"/>
          <w:szCs w:val="24"/>
          <w:lang w:val="en-US"/>
        </w:rPr>
        <w:t>79</w:t>
      </w:r>
      <w:r w:rsidRPr="00223067">
        <w:rPr>
          <w:rFonts w:cs="Times New Roman"/>
          <w:b w:val="0"/>
          <w:sz w:val="24"/>
          <w:szCs w:val="24"/>
          <w:lang w:val="en-US"/>
        </w:rPr>
        <w:t xml:space="preserve">(6): 426-428. </w:t>
      </w:r>
    </w:p>
    <w:p w14:paraId="20AE64F0"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lastRenderedPageBreak/>
        <w:t xml:space="preserve">Naik, D.V, </w:t>
      </w:r>
      <w:proofErr w:type="spellStart"/>
      <w:r w:rsidRPr="00223067">
        <w:rPr>
          <w:rFonts w:cs="Times New Roman"/>
          <w:b w:val="0"/>
          <w:sz w:val="24"/>
          <w:szCs w:val="24"/>
          <w:lang w:val="en-US"/>
        </w:rPr>
        <w:t>Dhaduk</w:t>
      </w:r>
      <w:proofErr w:type="spellEnd"/>
      <w:r w:rsidRPr="00223067">
        <w:rPr>
          <w:rFonts w:cs="Times New Roman"/>
          <w:b w:val="0"/>
          <w:sz w:val="24"/>
          <w:szCs w:val="24"/>
          <w:lang w:val="en-US"/>
        </w:rPr>
        <w:t xml:space="preserve"> B.K, </w:t>
      </w:r>
      <w:proofErr w:type="spellStart"/>
      <w:r w:rsidRPr="00223067">
        <w:rPr>
          <w:rFonts w:cs="Times New Roman"/>
          <w:b w:val="0"/>
          <w:sz w:val="24"/>
          <w:szCs w:val="24"/>
          <w:lang w:val="en-US"/>
        </w:rPr>
        <w:t>Jambhale</w:t>
      </w:r>
      <w:proofErr w:type="spellEnd"/>
      <w:r w:rsidRPr="00223067">
        <w:rPr>
          <w:rFonts w:cs="Times New Roman"/>
          <w:b w:val="0"/>
          <w:sz w:val="24"/>
          <w:szCs w:val="24"/>
          <w:lang w:val="en-US"/>
        </w:rPr>
        <w:t xml:space="preserve">, S.S. and Kapadia, D.B. (2009). Effect of different micronutrients in gladiolus cv. American Beauty.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12</w:t>
      </w:r>
      <w:r w:rsidRPr="00223067">
        <w:rPr>
          <w:rFonts w:cs="Times New Roman"/>
          <w:b w:val="0"/>
          <w:sz w:val="24"/>
          <w:szCs w:val="24"/>
          <w:lang w:val="en-US"/>
        </w:rPr>
        <w:t>(4): 274-277.</w:t>
      </w:r>
    </w:p>
    <w:p w14:paraId="5D630674"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Pal, S., Barad, A.V., Singh, A.K., </w:t>
      </w:r>
      <w:proofErr w:type="spellStart"/>
      <w:r w:rsidRPr="00223067">
        <w:rPr>
          <w:rFonts w:cs="Times New Roman"/>
          <w:b w:val="0"/>
          <w:sz w:val="24"/>
          <w:szCs w:val="24"/>
          <w:lang w:val="en-US"/>
        </w:rPr>
        <w:t>Khadda</w:t>
      </w:r>
      <w:proofErr w:type="spellEnd"/>
      <w:r w:rsidRPr="00223067">
        <w:rPr>
          <w:rFonts w:cs="Times New Roman"/>
          <w:b w:val="0"/>
          <w:sz w:val="24"/>
          <w:szCs w:val="24"/>
          <w:lang w:val="en-US"/>
        </w:rPr>
        <w:t>, B.S. and Kumar, D. (2016). Effect of foliar application of Fe and Zn on growth, flowering and yield of gerbera (</w:t>
      </w:r>
      <w:r w:rsidRPr="00223067">
        <w:rPr>
          <w:rFonts w:cs="Times New Roman"/>
          <w:b w:val="0"/>
          <w:i/>
          <w:iCs/>
          <w:sz w:val="24"/>
          <w:szCs w:val="24"/>
          <w:lang w:val="en-US"/>
        </w:rPr>
        <w:t xml:space="preserve">Gerbera </w:t>
      </w:r>
      <w:proofErr w:type="spellStart"/>
      <w:r w:rsidRPr="00223067">
        <w:rPr>
          <w:rFonts w:cs="Times New Roman"/>
          <w:b w:val="0"/>
          <w:i/>
          <w:iCs/>
          <w:sz w:val="24"/>
          <w:szCs w:val="24"/>
          <w:lang w:val="en-US"/>
        </w:rPr>
        <w:t>jamesonii</w:t>
      </w:r>
      <w:proofErr w:type="spellEnd"/>
      <w:r w:rsidRPr="00223067">
        <w:rPr>
          <w:rFonts w:cs="Times New Roman"/>
          <w:b w:val="0"/>
          <w:sz w:val="24"/>
          <w:szCs w:val="24"/>
          <w:lang w:val="en-US"/>
        </w:rPr>
        <w:t xml:space="preserve">) under protected condition. </w:t>
      </w:r>
      <w:r w:rsidRPr="00223067">
        <w:rPr>
          <w:rFonts w:cs="Times New Roman"/>
          <w:b w:val="0"/>
          <w:i/>
          <w:iCs/>
          <w:sz w:val="24"/>
          <w:szCs w:val="24"/>
          <w:lang w:val="en-US"/>
        </w:rPr>
        <w:t>Indian Journal of Agricultural Sciences</w:t>
      </w:r>
      <w:r w:rsidRPr="00223067">
        <w:rPr>
          <w:rFonts w:cs="Times New Roman"/>
          <w:b w:val="0"/>
          <w:sz w:val="24"/>
          <w:szCs w:val="24"/>
          <w:lang w:val="en-US"/>
        </w:rPr>
        <w:t xml:space="preserve">, </w:t>
      </w:r>
      <w:r w:rsidRPr="00223067">
        <w:rPr>
          <w:rFonts w:cs="Times New Roman"/>
          <w:bCs/>
          <w:sz w:val="24"/>
          <w:szCs w:val="24"/>
          <w:lang w:val="en-US"/>
        </w:rPr>
        <w:t>86</w:t>
      </w:r>
      <w:r w:rsidRPr="00223067">
        <w:rPr>
          <w:rFonts w:cs="Times New Roman"/>
          <w:b w:val="0"/>
          <w:sz w:val="24"/>
          <w:szCs w:val="24"/>
          <w:lang w:val="en-US"/>
        </w:rPr>
        <w:t>(3): 394-398.</w:t>
      </w:r>
    </w:p>
    <w:p w14:paraId="3AFB83FB" w14:textId="6408DE2A"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rPr>
        <w:t xml:space="preserve">Singh A.K. (2014). Breeding and </w:t>
      </w:r>
      <w:r w:rsidR="00FB4C7A">
        <w:rPr>
          <w:rFonts w:cs="Times New Roman"/>
          <w:b w:val="0"/>
          <w:bCs/>
          <w:sz w:val="24"/>
          <w:szCs w:val="24"/>
        </w:rPr>
        <w:t>B</w:t>
      </w:r>
      <w:r w:rsidRPr="00223067">
        <w:rPr>
          <w:rFonts w:cs="Times New Roman"/>
          <w:b w:val="0"/>
          <w:bCs/>
          <w:sz w:val="24"/>
          <w:szCs w:val="24"/>
        </w:rPr>
        <w:t xml:space="preserve">iotechnology of </w:t>
      </w:r>
      <w:r w:rsidR="00FB4C7A">
        <w:rPr>
          <w:rFonts w:cs="Times New Roman"/>
          <w:b w:val="0"/>
          <w:bCs/>
          <w:sz w:val="24"/>
          <w:szCs w:val="24"/>
        </w:rPr>
        <w:t>F</w:t>
      </w:r>
      <w:r w:rsidRPr="00223067">
        <w:rPr>
          <w:rFonts w:cs="Times New Roman"/>
          <w:b w:val="0"/>
          <w:bCs/>
          <w:sz w:val="24"/>
          <w:szCs w:val="24"/>
        </w:rPr>
        <w:t>lowers, Vol. I: Commercial Flowers. New India Publishing Agency, New Delhi, pp.752.</w:t>
      </w:r>
    </w:p>
    <w:p w14:paraId="5E0306FA" w14:textId="77777777"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 xml:space="preserve">Singh A.K., Hamidi M., Sisodia A. and Barman K. (2024). Effect of iron on growth, flowering and corm parameters in gladiolus cv. Malaviya Shatabdi. </w:t>
      </w:r>
      <w:r w:rsidRPr="00223067">
        <w:rPr>
          <w:rFonts w:cs="Times New Roman"/>
          <w:b w:val="0"/>
          <w:i/>
          <w:iCs/>
          <w:sz w:val="24"/>
          <w:szCs w:val="24"/>
        </w:rPr>
        <w:t>International Journal of Advanced Biochemistry Research</w:t>
      </w:r>
      <w:r w:rsidRPr="00223067">
        <w:rPr>
          <w:rFonts w:cs="Times New Roman"/>
          <w:b w:val="0"/>
          <w:sz w:val="24"/>
          <w:szCs w:val="24"/>
        </w:rPr>
        <w:t xml:space="preserve">, </w:t>
      </w:r>
      <w:r w:rsidRPr="00223067">
        <w:rPr>
          <w:rFonts w:cs="Times New Roman"/>
          <w:bCs/>
          <w:sz w:val="24"/>
          <w:szCs w:val="24"/>
        </w:rPr>
        <w:t>8</w:t>
      </w:r>
      <w:r w:rsidRPr="00223067">
        <w:rPr>
          <w:rFonts w:cs="Times New Roman"/>
          <w:b w:val="0"/>
          <w:sz w:val="24"/>
          <w:szCs w:val="24"/>
        </w:rPr>
        <w:t xml:space="preserve"> (7): 574-577.</w:t>
      </w:r>
    </w:p>
    <w:p w14:paraId="352F9A02"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Singh, A.K. and Sisodia, A. (2017). Text book of floriculture and landscaping, New India Publishing Agency, New Delhi. pp. 350-353.</w:t>
      </w:r>
    </w:p>
    <w:p w14:paraId="7E341BDC" w14:textId="3BB251A3"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Singh, A.K., Hembrom, R., Sisodia, A., Pal, A.K. and Asmita, A. (2016). Effect of iron and zinc on flowering and post-harvest life in gladiolus (</w:t>
      </w:r>
      <w:r w:rsidRPr="00223067">
        <w:rPr>
          <w:rFonts w:cs="Times New Roman"/>
          <w:b w:val="0"/>
          <w:i/>
          <w:iCs/>
          <w:sz w:val="24"/>
          <w:szCs w:val="24"/>
        </w:rPr>
        <w:t>Gladiolus</w:t>
      </w:r>
      <w:r w:rsidRPr="00223067">
        <w:rPr>
          <w:rFonts w:cs="Times New Roman"/>
          <w:b w:val="0"/>
          <w:sz w:val="24"/>
          <w:szCs w:val="24"/>
        </w:rPr>
        <w:t xml:space="preserve"> </w:t>
      </w:r>
      <w:r w:rsidR="005D65E8">
        <w:rPr>
          <w:rFonts w:cs="Times New Roman"/>
          <w:b w:val="0"/>
          <w:sz w:val="24"/>
          <w:szCs w:val="24"/>
        </w:rPr>
        <w:t>spp.</w:t>
      </w:r>
      <w:r w:rsidRPr="00223067">
        <w:rPr>
          <w:rFonts w:cs="Times New Roman"/>
          <w:b w:val="0"/>
          <w:sz w:val="24"/>
          <w:szCs w:val="24"/>
        </w:rPr>
        <w:t>). </w:t>
      </w:r>
      <w:r w:rsidRPr="00223067">
        <w:rPr>
          <w:rFonts w:cs="Times New Roman"/>
          <w:b w:val="0"/>
          <w:i/>
          <w:iCs/>
          <w:sz w:val="24"/>
          <w:szCs w:val="24"/>
        </w:rPr>
        <w:t>The Indian Journal of Agricultural Sciences</w:t>
      </w:r>
      <w:r w:rsidRPr="00223067">
        <w:rPr>
          <w:rFonts w:cs="Times New Roman"/>
          <w:b w:val="0"/>
          <w:sz w:val="24"/>
          <w:szCs w:val="24"/>
        </w:rPr>
        <w:t>, </w:t>
      </w:r>
      <w:r w:rsidRPr="00223067">
        <w:rPr>
          <w:rFonts w:cs="Times New Roman"/>
          <w:bCs/>
          <w:sz w:val="24"/>
          <w:szCs w:val="24"/>
        </w:rPr>
        <w:t>86</w:t>
      </w:r>
      <w:r w:rsidRPr="00223067">
        <w:rPr>
          <w:rFonts w:cs="Times New Roman"/>
          <w:b w:val="0"/>
          <w:sz w:val="24"/>
          <w:szCs w:val="24"/>
        </w:rPr>
        <w:t>(10): 1316-1319.</w:t>
      </w:r>
    </w:p>
    <w:p w14:paraId="301DBEA9" w14:textId="77777777"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sz w:val="24"/>
          <w:szCs w:val="24"/>
          <w:lang w:val="en-US"/>
        </w:rPr>
        <w:t xml:space="preserve">Singh, J.P., Kumar, K., Katiyar, P.N. and Kumar, V. (2012). Influence of zinc, iron and copper on growth and flowering attributes in gladiolus cv. Sapna. </w:t>
      </w:r>
      <w:r w:rsidRPr="00223067">
        <w:rPr>
          <w:rFonts w:cs="Times New Roman"/>
          <w:b w:val="0"/>
          <w:i/>
          <w:sz w:val="24"/>
          <w:szCs w:val="24"/>
          <w:lang w:val="en-US"/>
        </w:rPr>
        <w:t>Progressive Agriculture</w:t>
      </w:r>
      <w:r w:rsidRPr="00223067">
        <w:rPr>
          <w:rFonts w:cs="Times New Roman"/>
          <w:b w:val="0"/>
          <w:sz w:val="24"/>
          <w:szCs w:val="24"/>
          <w:lang w:val="en-US"/>
        </w:rPr>
        <w:t xml:space="preserve">, </w:t>
      </w:r>
      <w:r w:rsidRPr="00223067">
        <w:rPr>
          <w:rFonts w:cs="Times New Roman"/>
          <w:sz w:val="24"/>
          <w:szCs w:val="24"/>
          <w:lang w:val="en-US"/>
        </w:rPr>
        <w:t>12</w:t>
      </w:r>
      <w:r w:rsidRPr="00223067">
        <w:rPr>
          <w:rFonts w:cs="Times New Roman"/>
          <w:b w:val="0"/>
          <w:sz w:val="24"/>
          <w:szCs w:val="24"/>
          <w:lang w:val="en-US"/>
        </w:rPr>
        <w:t>(1): 138-143.</w:t>
      </w:r>
    </w:p>
    <w:p w14:paraId="00281711" w14:textId="711DEF58" w:rsidR="00B130D5" w:rsidRPr="00223067" w:rsidRDefault="00B130D5" w:rsidP="00223067">
      <w:pPr>
        <w:spacing w:after="0" w:line="360" w:lineRule="auto"/>
        <w:ind w:left="720" w:hanging="720"/>
        <w:jc w:val="both"/>
        <w:rPr>
          <w:rFonts w:cs="Times New Roman"/>
          <w:b w:val="0"/>
          <w:bCs/>
          <w:sz w:val="24"/>
          <w:szCs w:val="24"/>
        </w:rPr>
      </w:pPr>
      <w:proofErr w:type="spellStart"/>
      <w:r w:rsidRPr="00223067">
        <w:rPr>
          <w:rFonts w:cs="Times New Roman"/>
          <w:b w:val="0"/>
          <w:bCs/>
          <w:sz w:val="24"/>
          <w:szCs w:val="24"/>
          <w:lang w:val="en-US"/>
        </w:rPr>
        <w:t>Somkuwar</w:t>
      </w:r>
      <w:proofErr w:type="spellEnd"/>
      <w:r w:rsidRPr="00223067">
        <w:rPr>
          <w:rFonts w:cs="Times New Roman"/>
          <w:b w:val="0"/>
          <w:bCs/>
          <w:sz w:val="24"/>
          <w:szCs w:val="24"/>
          <w:lang w:val="en-US"/>
        </w:rPr>
        <w:t>, A.R., Singh, A.K., Sisodia, A., Lamsal, A. and Giri, S. (2023). Effect of boron on growth and flowering in gladiolus (</w:t>
      </w:r>
      <w:r w:rsidRPr="00223067">
        <w:rPr>
          <w:rFonts w:cs="Times New Roman"/>
          <w:b w:val="0"/>
          <w:bCs/>
          <w:i/>
          <w:iCs/>
          <w:sz w:val="24"/>
          <w:szCs w:val="24"/>
          <w:lang w:val="en-US"/>
        </w:rPr>
        <w:t xml:space="preserve">Gladiolus </w:t>
      </w:r>
      <w:r w:rsidR="005D65E8">
        <w:rPr>
          <w:rFonts w:cs="Times New Roman"/>
          <w:b w:val="0"/>
          <w:bCs/>
          <w:sz w:val="24"/>
          <w:szCs w:val="24"/>
          <w:lang w:val="en-US"/>
        </w:rPr>
        <w:t>spp.</w:t>
      </w:r>
      <w:r w:rsidRPr="00223067">
        <w:rPr>
          <w:rFonts w:cs="Times New Roman"/>
          <w:b w:val="0"/>
          <w:bCs/>
          <w:sz w:val="24"/>
          <w:szCs w:val="24"/>
          <w:lang w:val="en-US"/>
        </w:rPr>
        <w:t>). </w:t>
      </w:r>
      <w:r w:rsidRPr="00223067">
        <w:rPr>
          <w:rFonts w:cs="Times New Roman"/>
          <w:b w:val="0"/>
          <w:bCs/>
          <w:i/>
          <w:iCs/>
          <w:sz w:val="24"/>
          <w:szCs w:val="24"/>
          <w:lang w:val="en-US"/>
        </w:rPr>
        <w:t>Current Horticulture</w:t>
      </w:r>
      <w:r w:rsidRPr="00223067">
        <w:rPr>
          <w:rFonts w:cs="Times New Roman"/>
          <w:b w:val="0"/>
          <w:bCs/>
          <w:sz w:val="24"/>
          <w:szCs w:val="24"/>
          <w:lang w:val="en-US"/>
        </w:rPr>
        <w:t>, </w:t>
      </w:r>
      <w:r w:rsidRPr="00223067">
        <w:rPr>
          <w:rFonts w:cs="Times New Roman"/>
          <w:bCs/>
          <w:sz w:val="24"/>
          <w:szCs w:val="24"/>
          <w:lang w:val="en-US"/>
        </w:rPr>
        <w:t>11</w:t>
      </w:r>
      <w:r w:rsidRPr="00223067">
        <w:rPr>
          <w:rFonts w:cs="Times New Roman"/>
          <w:b w:val="0"/>
          <w:bCs/>
          <w:sz w:val="24"/>
          <w:szCs w:val="24"/>
          <w:lang w:val="en-US"/>
        </w:rPr>
        <w:t>(2): 56-59.</w:t>
      </w:r>
    </w:p>
    <w:p w14:paraId="1D098719"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Verma, V.K., Verma, J.P., Verma, H.K. and Meena, R.K. (2017). Response of foliar spray of micronutrients (Zn, Fe and Cu) in respect to growth and flower productivity of China aster [</w:t>
      </w:r>
      <w:proofErr w:type="spellStart"/>
      <w:r w:rsidRPr="00223067">
        <w:rPr>
          <w:rFonts w:cs="Times New Roman"/>
          <w:b w:val="0"/>
          <w:i/>
          <w:sz w:val="24"/>
          <w:szCs w:val="24"/>
          <w:lang w:val="en-US"/>
        </w:rPr>
        <w:t>Callistephus</w:t>
      </w:r>
      <w:proofErr w:type="spellEnd"/>
      <w:r w:rsidRPr="00223067">
        <w:rPr>
          <w:rFonts w:cs="Times New Roman"/>
          <w:b w:val="0"/>
          <w:i/>
          <w:sz w:val="24"/>
          <w:szCs w:val="24"/>
          <w:lang w:val="en-US"/>
        </w:rPr>
        <w:t xml:space="preserve"> chinensis </w:t>
      </w:r>
      <w:r w:rsidRPr="00223067">
        <w:rPr>
          <w:rFonts w:cs="Times New Roman"/>
          <w:b w:val="0"/>
          <w:sz w:val="24"/>
          <w:szCs w:val="24"/>
          <w:lang w:val="en-US"/>
        </w:rPr>
        <w:t xml:space="preserve">(L) NEES] cv. Princess. </w:t>
      </w:r>
      <w:r w:rsidRPr="00223067">
        <w:rPr>
          <w:rFonts w:cs="Times New Roman"/>
          <w:b w:val="0"/>
          <w:i/>
          <w:sz w:val="24"/>
          <w:szCs w:val="24"/>
          <w:lang w:val="en-US"/>
        </w:rPr>
        <w:t>Plant Archives</w:t>
      </w:r>
      <w:r w:rsidRPr="00223067">
        <w:rPr>
          <w:rFonts w:cs="Times New Roman"/>
          <w:b w:val="0"/>
          <w:sz w:val="24"/>
          <w:szCs w:val="24"/>
          <w:lang w:val="en-US"/>
        </w:rPr>
        <w:t xml:space="preserve">, </w:t>
      </w:r>
      <w:r w:rsidRPr="00223067">
        <w:rPr>
          <w:rFonts w:cs="Times New Roman"/>
          <w:sz w:val="24"/>
          <w:szCs w:val="24"/>
          <w:lang w:val="en-US"/>
        </w:rPr>
        <w:t>17</w:t>
      </w:r>
      <w:r w:rsidRPr="00223067">
        <w:rPr>
          <w:rFonts w:cs="Times New Roman"/>
          <w:b w:val="0"/>
          <w:sz w:val="24"/>
          <w:szCs w:val="24"/>
          <w:lang w:val="en-US"/>
        </w:rPr>
        <w:t>(2): 1643-1646.</w:t>
      </w:r>
    </w:p>
    <w:p w14:paraId="11908C19"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Verma, V.K., Verma, J.P., Verma, H.K. and Meena, R.K. (2018). Efficacy of micronutrients on growth and flower production of China aster [</w:t>
      </w:r>
      <w:proofErr w:type="spellStart"/>
      <w:r w:rsidRPr="00223067">
        <w:rPr>
          <w:rFonts w:cs="Times New Roman"/>
          <w:b w:val="0"/>
          <w:i/>
          <w:sz w:val="24"/>
          <w:szCs w:val="24"/>
          <w:lang w:val="en-US"/>
        </w:rPr>
        <w:t>Callistephus</w:t>
      </w:r>
      <w:proofErr w:type="spellEnd"/>
      <w:r w:rsidRPr="00223067">
        <w:rPr>
          <w:rFonts w:cs="Times New Roman"/>
          <w:b w:val="0"/>
          <w:i/>
          <w:sz w:val="24"/>
          <w:szCs w:val="24"/>
          <w:lang w:val="en-US"/>
        </w:rPr>
        <w:t xml:space="preserve"> chinensis </w:t>
      </w:r>
      <w:r w:rsidRPr="00223067">
        <w:rPr>
          <w:rFonts w:cs="Times New Roman"/>
          <w:b w:val="0"/>
          <w:sz w:val="24"/>
          <w:szCs w:val="24"/>
          <w:lang w:val="en-US"/>
        </w:rPr>
        <w:t xml:space="preserve">(L) NEES] cv. Princess. </w:t>
      </w:r>
      <w:r w:rsidRPr="00223067">
        <w:rPr>
          <w:rFonts w:cs="Times New Roman"/>
          <w:b w:val="0"/>
          <w:i/>
          <w:sz w:val="24"/>
          <w:szCs w:val="24"/>
          <w:lang w:val="en-US"/>
        </w:rPr>
        <w:t>International Journal of Agricultural Sciences</w:t>
      </w:r>
      <w:r w:rsidRPr="00223067">
        <w:rPr>
          <w:rFonts w:cs="Times New Roman"/>
          <w:b w:val="0"/>
          <w:sz w:val="24"/>
          <w:szCs w:val="24"/>
          <w:lang w:val="en-US"/>
        </w:rPr>
        <w:t xml:space="preserve">, </w:t>
      </w:r>
      <w:r w:rsidRPr="00223067">
        <w:rPr>
          <w:rFonts w:cs="Times New Roman"/>
          <w:bCs/>
          <w:sz w:val="24"/>
          <w:szCs w:val="24"/>
          <w:lang w:val="en-US"/>
        </w:rPr>
        <w:t>14</w:t>
      </w:r>
      <w:r w:rsidRPr="00223067">
        <w:rPr>
          <w:rFonts w:cs="Times New Roman"/>
          <w:b w:val="0"/>
          <w:sz w:val="24"/>
          <w:szCs w:val="24"/>
          <w:lang w:val="en-US"/>
        </w:rPr>
        <w:t>(1): 160-164.</w:t>
      </w:r>
    </w:p>
    <w:p w14:paraId="7B98C57F" w14:textId="77777777" w:rsidR="00B130D5" w:rsidRPr="00223067" w:rsidRDefault="00B130D5" w:rsidP="00223067">
      <w:pPr>
        <w:spacing w:after="0" w:line="360" w:lineRule="auto"/>
        <w:ind w:left="720" w:hanging="720"/>
        <w:jc w:val="both"/>
        <w:rPr>
          <w:rFonts w:cs="Times New Roman"/>
          <w:b w:val="0"/>
          <w:sz w:val="24"/>
          <w:szCs w:val="24"/>
          <w:lang w:val="en-US"/>
        </w:rPr>
      </w:pPr>
    </w:p>
    <w:p w14:paraId="1AE4A432" w14:textId="77777777" w:rsidR="00C145B6" w:rsidRPr="00223067" w:rsidRDefault="00C145B6" w:rsidP="00223067">
      <w:pPr>
        <w:spacing w:after="0" w:line="360" w:lineRule="auto"/>
        <w:jc w:val="both"/>
        <w:rPr>
          <w:rFonts w:cs="Times New Roman"/>
          <w:b w:val="0"/>
          <w:color w:val="auto"/>
          <w:sz w:val="24"/>
          <w:szCs w:val="24"/>
        </w:rPr>
      </w:pPr>
    </w:p>
    <w:sectPr w:rsidR="00C145B6" w:rsidRPr="00223067" w:rsidSect="00DD10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6EF0" w14:textId="77777777" w:rsidR="0084071A" w:rsidRDefault="0084071A" w:rsidP="00DF00C8">
      <w:pPr>
        <w:spacing w:after="0" w:line="240" w:lineRule="auto"/>
      </w:pPr>
      <w:r>
        <w:separator/>
      </w:r>
    </w:p>
  </w:endnote>
  <w:endnote w:type="continuationSeparator" w:id="0">
    <w:p w14:paraId="7B853FF9" w14:textId="77777777" w:rsidR="0084071A" w:rsidRDefault="0084071A" w:rsidP="00DF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04A6" w14:textId="77777777" w:rsidR="00CB0411" w:rsidRDefault="00CB0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CC97" w14:textId="77777777" w:rsidR="00CB0411" w:rsidRDefault="00CB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ACE5" w14:textId="77777777" w:rsidR="00CB0411" w:rsidRDefault="00CB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079B" w14:textId="77777777" w:rsidR="0084071A" w:rsidRDefault="0084071A" w:rsidP="00DF00C8">
      <w:pPr>
        <w:spacing w:after="0" w:line="240" w:lineRule="auto"/>
      </w:pPr>
      <w:r>
        <w:separator/>
      </w:r>
    </w:p>
  </w:footnote>
  <w:footnote w:type="continuationSeparator" w:id="0">
    <w:p w14:paraId="114CFEDE" w14:textId="77777777" w:rsidR="0084071A" w:rsidRDefault="0084071A" w:rsidP="00DF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B1AC" w14:textId="6FA61111" w:rsidR="00CB0411" w:rsidRDefault="00CB0411">
    <w:pPr>
      <w:pStyle w:val="Header"/>
    </w:pPr>
    <w:r>
      <w:rPr>
        <w:noProof/>
      </w:rPr>
      <w:pict w14:anchorId="65FE8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EF30" w14:textId="761FE091" w:rsidR="00CB0411" w:rsidRDefault="00CB0411">
    <w:pPr>
      <w:pStyle w:val="Header"/>
    </w:pPr>
    <w:r>
      <w:rPr>
        <w:noProof/>
      </w:rPr>
      <w:pict w14:anchorId="0AF50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323F" w14:textId="7E1C330A" w:rsidR="00CB0411" w:rsidRDefault="00CB0411">
    <w:pPr>
      <w:pStyle w:val="Header"/>
    </w:pPr>
    <w:r>
      <w:rPr>
        <w:noProof/>
      </w:rPr>
      <w:pict w14:anchorId="7EDCF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D5430"/>
    <w:multiLevelType w:val="hybridMultilevel"/>
    <w:tmpl w:val="443AE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687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80"/>
    <w:rsid w:val="00020AEF"/>
    <w:rsid w:val="00045BE7"/>
    <w:rsid w:val="00072D5E"/>
    <w:rsid w:val="00085CD8"/>
    <w:rsid w:val="00093B7A"/>
    <w:rsid w:val="000B3703"/>
    <w:rsid w:val="000C0F28"/>
    <w:rsid w:val="000C3E00"/>
    <w:rsid w:val="000D45CC"/>
    <w:rsid w:val="000E4DB8"/>
    <w:rsid w:val="000F43F5"/>
    <w:rsid w:val="00107D33"/>
    <w:rsid w:val="00116995"/>
    <w:rsid w:val="0012571E"/>
    <w:rsid w:val="00174D5A"/>
    <w:rsid w:val="00186A7A"/>
    <w:rsid w:val="00196DC8"/>
    <w:rsid w:val="001A5E22"/>
    <w:rsid w:val="001B5B50"/>
    <w:rsid w:val="001E0E7E"/>
    <w:rsid w:val="001E1D87"/>
    <w:rsid w:val="00223067"/>
    <w:rsid w:val="00245DD5"/>
    <w:rsid w:val="002751DF"/>
    <w:rsid w:val="002B5EAA"/>
    <w:rsid w:val="002C148B"/>
    <w:rsid w:val="002E26C7"/>
    <w:rsid w:val="002E52EC"/>
    <w:rsid w:val="003063EE"/>
    <w:rsid w:val="00380414"/>
    <w:rsid w:val="003841A4"/>
    <w:rsid w:val="003A14B9"/>
    <w:rsid w:val="003A7BE4"/>
    <w:rsid w:val="003C5E65"/>
    <w:rsid w:val="003E7E1A"/>
    <w:rsid w:val="00403A81"/>
    <w:rsid w:val="00407CF5"/>
    <w:rsid w:val="004462C1"/>
    <w:rsid w:val="0049040A"/>
    <w:rsid w:val="0052486D"/>
    <w:rsid w:val="00542B11"/>
    <w:rsid w:val="0054322B"/>
    <w:rsid w:val="00565C02"/>
    <w:rsid w:val="005B56F0"/>
    <w:rsid w:val="005C64BF"/>
    <w:rsid w:val="005D65E8"/>
    <w:rsid w:val="005D7686"/>
    <w:rsid w:val="0060188B"/>
    <w:rsid w:val="00603C89"/>
    <w:rsid w:val="00690480"/>
    <w:rsid w:val="006B42F4"/>
    <w:rsid w:val="006B69E9"/>
    <w:rsid w:val="007B2FD1"/>
    <w:rsid w:val="007F17A8"/>
    <w:rsid w:val="007F52EE"/>
    <w:rsid w:val="007F7484"/>
    <w:rsid w:val="00804B5B"/>
    <w:rsid w:val="00805021"/>
    <w:rsid w:val="0084071A"/>
    <w:rsid w:val="00866451"/>
    <w:rsid w:val="00873935"/>
    <w:rsid w:val="008A6094"/>
    <w:rsid w:val="008B5C51"/>
    <w:rsid w:val="008C7214"/>
    <w:rsid w:val="008F23B4"/>
    <w:rsid w:val="00930DC3"/>
    <w:rsid w:val="009414CE"/>
    <w:rsid w:val="0096359B"/>
    <w:rsid w:val="009A0C58"/>
    <w:rsid w:val="009C22FC"/>
    <w:rsid w:val="009C33FB"/>
    <w:rsid w:val="009C633F"/>
    <w:rsid w:val="00A07B4B"/>
    <w:rsid w:val="00A52C33"/>
    <w:rsid w:val="00AA7B85"/>
    <w:rsid w:val="00B130D5"/>
    <w:rsid w:val="00B3669D"/>
    <w:rsid w:val="00B46859"/>
    <w:rsid w:val="00BA4719"/>
    <w:rsid w:val="00BA6854"/>
    <w:rsid w:val="00BB693C"/>
    <w:rsid w:val="00BC0BA7"/>
    <w:rsid w:val="00BC7DA6"/>
    <w:rsid w:val="00BF37F5"/>
    <w:rsid w:val="00C145B6"/>
    <w:rsid w:val="00C30AEE"/>
    <w:rsid w:val="00C4357B"/>
    <w:rsid w:val="00C95F79"/>
    <w:rsid w:val="00CB0411"/>
    <w:rsid w:val="00CB5CA1"/>
    <w:rsid w:val="00D0440F"/>
    <w:rsid w:val="00D04DB4"/>
    <w:rsid w:val="00D20C8B"/>
    <w:rsid w:val="00D54BB7"/>
    <w:rsid w:val="00D725BB"/>
    <w:rsid w:val="00D86F9E"/>
    <w:rsid w:val="00D87577"/>
    <w:rsid w:val="00DB5A88"/>
    <w:rsid w:val="00DC5838"/>
    <w:rsid w:val="00DD1074"/>
    <w:rsid w:val="00DD2D71"/>
    <w:rsid w:val="00DE0AAB"/>
    <w:rsid w:val="00DF00C8"/>
    <w:rsid w:val="00E24908"/>
    <w:rsid w:val="00E2654C"/>
    <w:rsid w:val="00E71ACC"/>
    <w:rsid w:val="00E7308B"/>
    <w:rsid w:val="00E7598E"/>
    <w:rsid w:val="00EA799E"/>
    <w:rsid w:val="00ED4C2B"/>
    <w:rsid w:val="00EE225C"/>
    <w:rsid w:val="00F24A1F"/>
    <w:rsid w:val="00F63B80"/>
    <w:rsid w:val="00F65B83"/>
    <w:rsid w:val="00F72544"/>
    <w:rsid w:val="00FB4C7A"/>
    <w:rsid w:val="00FB64B7"/>
    <w:rsid w:val="00FB6E18"/>
    <w:rsid w:val="00FC312D"/>
    <w:rsid w:val="00FE363A"/>
    <w:rsid w:val="00FE439F"/>
    <w:rsid w:val="00FF6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7435"/>
  <w15:chartTrackingRefBased/>
  <w15:docId w15:val="{40A3229B-6D88-483C-8F99-A40FC2E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80"/>
    <w:rPr>
      <w:rFonts w:ascii="Times New Roman" w:hAnsi="Times New Roman"/>
      <w:b/>
      <w:color w:val="000000" w:themeColor="text1"/>
      <w:kern w:val="0"/>
      <w:sz w:val="28"/>
      <w:szCs w:val="22"/>
      <w:lang w:bidi="ar-SA"/>
      <w14:ligatures w14:val="none"/>
    </w:rPr>
  </w:style>
  <w:style w:type="paragraph" w:styleId="Heading1">
    <w:name w:val="heading 1"/>
    <w:basedOn w:val="Normal"/>
    <w:next w:val="Normal"/>
    <w:link w:val="Heading1Char"/>
    <w:autoRedefine/>
    <w:uiPriority w:val="9"/>
    <w:qFormat/>
    <w:rsid w:val="000E4DB8"/>
    <w:pPr>
      <w:keepNext/>
      <w:keepLines/>
      <w:spacing w:before="360" w:after="40" w:line="240" w:lineRule="auto"/>
      <w:outlineLvl w:val="0"/>
    </w:pPr>
    <w:rPr>
      <w:rFonts w:eastAsiaTheme="majorEastAsia" w:cstheme="majorBidi"/>
      <w:kern w:val="2"/>
      <w:szCs w:val="40"/>
      <w:lang w:bidi="hi-IN"/>
      <w14:ligatures w14:val="standardContextual"/>
    </w:rPr>
  </w:style>
  <w:style w:type="paragraph" w:styleId="Heading2">
    <w:name w:val="heading 2"/>
    <w:basedOn w:val="Normal"/>
    <w:next w:val="Normal"/>
    <w:link w:val="Heading2Char"/>
    <w:autoRedefine/>
    <w:uiPriority w:val="9"/>
    <w:unhideWhenUsed/>
    <w:qFormat/>
    <w:rsid w:val="000E4DB8"/>
    <w:pPr>
      <w:keepNext/>
      <w:keepLines/>
      <w:spacing w:before="80" w:after="0" w:line="240" w:lineRule="auto"/>
      <w:outlineLvl w:val="1"/>
    </w:pPr>
    <w:rPr>
      <w:rFonts w:asciiTheme="majorHAnsi" w:eastAsiaTheme="majorEastAsia" w:hAnsiTheme="majorHAnsi" w:cstheme="majorBidi"/>
      <w:kern w:val="2"/>
      <w:sz w:val="24"/>
      <w:szCs w:val="28"/>
      <w:lang w:bidi="hi-IN"/>
      <w14:ligatures w14:val="standardContextual"/>
    </w:rPr>
  </w:style>
  <w:style w:type="paragraph" w:styleId="Heading3">
    <w:name w:val="heading 3"/>
    <w:basedOn w:val="Normal"/>
    <w:next w:val="Normal"/>
    <w:link w:val="Heading3Char"/>
    <w:uiPriority w:val="9"/>
    <w:semiHidden/>
    <w:unhideWhenUsed/>
    <w:qFormat/>
    <w:rsid w:val="0069048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904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04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04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04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04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04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8"/>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0E4DB8"/>
    <w:rPr>
      <w:rFonts w:asciiTheme="majorHAnsi" w:eastAsiaTheme="majorEastAsia" w:hAnsiTheme="majorHAnsi" w:cstheme="majorBidi"/>
      <w:b/>
      <w:color w:val="000000" w:themeColor="text1"/>
      <w:sz w:val="24"/>
      <w:szCs w:val="28"/>
    </w:rPr>
  </w:style>
  <w:style w:type="character" w:customStyle="1" w:styleId="Heading3Char">
    <w:name w:val="Heading 3 Char"/>
    <w:basedOn w:val="DefaultParagraphFont"/>
    <w:link w:val="Heading3"/>
    <w:uiPriority w:val="9"/>
    <w:semiHidden/>
    <w:rsid w:val="00690480"/>
    <w:rPr>
      <w:rFonts w:eastAsiaTheme="majorEastAsia" w:cstheme="majorBidi"/>
      <w:b/>
      <w:color w:val="2F5496" w:themeColor="accent1" w:themeShade="BF"/>
      <w:kern w:val="0"/>
      <w:sz w:val="28"/>
      <w:szCs w:val="28"/>
      <w:lang w:bidi="ar-SA"/>
      <w14:ligatures w14:val="none"/>
    </w:rPr>
  </w:style>
  <w:style w:type="character" w:customStyle="1" w:styleId="Heading4Char">
    <w:name w:val="Heading 4 Char"/>
    <w:basedOn w:val="DefaultParagraphFont"/>
    <w:link w:val="Heading4"/>
    <w:uiPriority w:val="9"/>
    <w:semiHidden/>
    <w:rsid w:val="00690480"/>
    <w:rPr>
      <w:rFonts w:eastAsiaTheme="majorEastAsia" w:cstheme="majorBidi"/>
      <w:b/>
      <w:i/>
      <w:iCs/>
      <w:color w:val="2F5496" w:themeColor="accent1" w:themeShade="BF"/>
      <w:kern w:val="0"/>
      <w:sz w:val="28"/>
      <w:szCs w:val="22"/>
      <w:lang w:bidi="ar-SA"/>
      <w14:ligatures w14:val="none"/>
    </w:rPr>
  </w:style>
  <w:style w:type="character" w:customStyle="1" w:styleId="Heading5Char">
    <w:name w:val="Heading 5 Char"/>
    <w:basedOn w:val="DefaultParagraphFont"/>
    <w:link w:val="Heading5"/>
    <w:uiPriority w:val="9"/>
    <w:semiHidden/>
    <w:rsid w:val="00690480"/>
    <w:rPr>
      <w:rFonts w:eastAsiaTheme="majorEastAsia" w:cstheme="majorBidi"/>
      <w:b/>
      <w:color w:val="2F5496" w:themeColor="accent1" w:themeShade="BF"/>
      <w:kern w:val="0"/>
      <w:sz w:val="28"/>
      <w:szCs w:val="22"/>
      <w:lang w:bidi="ar-SA"/>
      <w14:ligatures w14:val="none"/>
    </w:rPr>
  </w:style>
  <w:style w:type="character" w:customStyle="1" w:styleId="Heading6Char">
    <w:name w:val="Heading 6 Char"/>
    <w:basedOn w:val="DefaultParagraphFont"/>
    <w:link w:val="Heading6"/>
    <w:uiPriority w:val="9"/>
    <w:semiHidden/>
    <w:rsid w:val="00690480"/>
    <w:rPr>
      <w:rFonts w:eastAsiaTheme="majorEastAsia" w:cstheme="majorBidi"/>
      <w:b/>
      <w:i/>
      <w:iCs/>
      <w:color w:val="595959" w:themeColor="text1" w:themeTint="A6"/>
      <w:kern w:val="0"/>
      <w:sz w:val="28"/>
      <w:szCs w:val="22"/>
      <w:lang w:bidi="ar-SA"/>
      <w14:ligatures w14:val="none"/>
    </w:rPr>
  </w:style>
  <w:style w:type="character" w:customStyle="1" w:styleId="Heading7Char">
    <w:name w:val="Heading 7 Char"/>
    <w:basedOn w:val="DefaultParagraphFont"/>
    <w:link w:val="Heading7"/>
    <w:uiPriority w:val="9"/>
    <w:semiHidden/>
    <w:rsid w:val="00690480"/>
    <w:rPr>
      <w:rFonts w:eastAsiaTheme="majorEastAsia" w:cstheme="majorBidi"/>
      <w:b/>
      <w:color w:val="595959" w:themeColor="text1" w:themeTint="A6"/>
      <w:kern w:val="0"/>
      <w:sz w:val="28"/>
      <w:szCs w:val="22"/>
      <w:lang w:bidi="ar-SA"/>
      <w14:ligatures w14:val="none"/>
    </w:rPr>
  </w:style>
  <w:style w:type="character" w:customStyle="1" w:styleId="Heading8Char">
    <w:name w:val="Heading 8 Char"/>
    <w:basedOn w:val="DefaultParagraphFont"/>
    <w:link w:val="Heading8"/>
    <w:uiPriority w:val="9"/>
    <w:semiHidden/>
    <w:rsid w:val="00690480"/>
    <w:rPr>
      <w:rFonts w:eastAsiaTheme="majorEastAsia" w:cstheme="majorBidi"/>
      <w:b/>
      <w:i/>
      <w:iCs/>
      <w:color w:val="272727" w:themeColor="text1" w:themeTint="D8"/>
      <w:kern w:val="0"/>
      <w:sz w:val="28"/>
      <w:szCs w:val="22"/>
      <w:lang w:bidi="ar-SA"/>
      <w14:ligatures w14:val="none"/>
    </w:rPr>
  </w:style>
  <w:style w:type="character" w:customStyle="1" w:styleId="Heading9Char">
    <w:name w:val="Heading 9 Char"/>
    <w:basedOn w:val="DefaultParagraphFont"/>
    <w:link w:val="Heading9"/>
    <w:uiPriority w:val="9"/>
    <w:semiHidden/>
    <w:rsid w:val="00690480"/>
    <w:rPr>
      <w:rFonts w:eastAsiaTheme="majorEastAsia" w:cstheme="majorBidi"/>
      <w:b/>
      <w:color w:val="272727" w:themeColor="text1" w:themeTint="D8"/>
      <w:kern w:val="0"/>
      <w:sz w:val="28"/>
      <w:szCs w:val="22"/>
      <w:lang w:bidi="ar-SA"/>
      <w14:ligatures w14:val="none"/>
    </w:rPr>
  </w:style>
  <w:style w:type="paragraph" w:styleId="Title">
    <w:name w:val="Title"/>
    <w:basedOn w:val="Normal"/>
    <w:next w:val="Normal"/>
    <w:link w:val="TitleChar"/>
    <w:uiPriority w:val="10"/>
    <w:qFormat/>
    <w:rsid w:val="0069048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90480"/>
    <w:rPr>
      <w:rFonts w:asciiTheme="majorHAnsi" w:eastAsiaTheme="majorEastAsia" w:hAnsiTheme="majorHAnsi" w:cstheme="majorBidi"/>
      <w:b/>
      <w:spacing w:val="-10"/>
      <w:kern w:val="28"/>
      <w:sz w:val="56"/>
      <w:szCs w:val="56"/>
      <w:lang w:bidi="ar-SA"/>
      <w14:ligatures w14:val="none"/>
    </w:rPr>
  </w:style>
  <w:style w:type="paragraph" w:styleId="Subtitle">
    <w:name w:val="Subtitle"/>
    <w:basedOn w:val="Normal"/>
    <w:next w:val="Normal"/>
    <w:link w:val="SubtitleChar"/>
    <w:uiPriority w:val="11"/>
    <w:qFormat/>
    <w:rsid w:val="0069048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90480"/>
    <w:rPr>
      <w:rFonts w:eastAsiaTheme="majorEastAsia" w:cstheme="majorBidi"/>
      <w:b/>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690480"/>
    <w:pPr>
      <w:spacing w:before="160"/>
      <w:jc w:val="center"/>
    </w:pPr>
    <w:rPr>
      <w:i/>
      <w:iCs/>
      <w:color w:val="404040" w:themeColor="text1" w:themeTint="BF"/>
    </w:rPr>
  </w:style>
  <w:style w:type="character" w:customStyle="1" w:styleId="QuoteChar">
    <w:name w:val="Quote Char"/>
    <w:basedOn w:val="DefaultParagraphFont"/>
    <w:link w:val="Quote"/>
    <w:uiPriority w:val="29"/>
    <w:rsid w:val="00690480"/>
    <w:rPr>
      <w:rFonts w:ascii="Times New Roman" w:hAnsi="Times New Roman"/>
      <w:b/>
      <w:i/>
      <w:iCs/>
      <w:color w:val="404040" w:themeColor="text1" w:themeTint="BF"/>
      <w:kern w:val="0"/>
      <w:sz w:val="28"/>
      <w:szCs w:val="22"/>
      <w:lang w:bidi="ar-SA"/>
      <w14:ligatures w14:val="none"/>
    </w:rPr>
  </w:style>
  <w:style w:type="paragraph" w:styleId="ListParagraph">
    <w:name w:val="List Paragraph"/>
    <w:basedOn w:val="Normal"/>
    <w:uiPriority w:val="34"/>
    <w:qFormat/>
    <w:rsid w:val="00690480"/>
    <w:pPr>
      <w:ind w:left="720"/>
      <w:contextualSpacing/>
    </w:pPr>
  </w:style>
  <w:style w:type="character" w:styleId="IntenseEmphasis">
    <w:name w:val="Intense Emphasis"/>
    <w:basedOn w:val="DefaultParagraphFont"/>
    <w:uiPriority w:val="21"/>
    <w:qFormat/>
    <w:rsid w:val="00690480"/>
    <w:rPr>
      <w:i/>
      <w:iCs/>
      <w:color w:val="2F5496" w:themeColor="accent1" w:themeShade="BF"/>
    </w:rPr>
  </w:style>
  <w:style w:type="paragraph" w:styleId="IntenseQuote">
    <w:name w:val="Intense Quote"/>
    <w:basedOn w:val="Normal"/>
    <w:next w:val="Normal"/>
    <w:link w:val="IntenseQuoteChar"/>
    <w:uiPriority w:val="30"/>
    <w:qFormat/>
    <w:rsid w:val="00690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480"/>
    <w:rPr>
      <w:rFonts w:ascii="Times New Roman" w:hAnsi="Times New Roman"/>
      <w:b/>
      <w:i/>
      <w:iCs/>
      <w:color w:val="2F5496" w:themeColor="accent1" w:themeShade="BF"/>
      <w:kern w:val="0"/>
      <w:sz w:val="28"/>
      <w:szCs w:val="22"/>
      <w:lang w:bidi="ar-SA"/>
      <w14:ligatures w14:val="none"/>
    </w:rPr>
  </w:style>
  <w:style w:type="character" w:styleId="IntenseReference">
    <w:name w:val="Intense Reference"/>
    <w:basedOn w:val="DefaultParagraphFont"/>
    <w:uiPriority w:val="32"/>
    <w:qFormat/>
    <w:rsid w:val="00690480"/>
    <w:rPr>
      <w:b/>
      <w:bCs/>
      <w:smallCaps/>
      <w:color w:val="2F5496" w:themeColor="accent1" w:themeShade="BF"/>
      <w:spacing w:val="5"/>
    </w:rPr>
  </w:style>
  <w:style w:type="paragraph" w:styleId="NormalWeb">
    <w:name w:val="Normal (Web)"/>
    <w:basedOn w:val="Normal"/>
    <w:uiPriority w:val="99"/>
    <w:semiHidden/>
    <w:unhideWhenUsed/>
    <w:rsid w:val="00690480"/>
    <w:pPr>
      <w:spacing w:before="100" w:beforeAutospacing="1" w:after="100" w:afterAutospacing="1" w:line="240" w:lineRule="auto"/>
    </w:pPr>
    <w:rPr>
      <w:rFonts w:eastAsia="Times New Roman" w:cs="Times New Roman"/>
      <w:b w:val="0"/>
      <w:color w:val="auto"/>
      <w:sz w:val="24"/>
      <w:szCs w:val="24"/>
      <w:lang w:eastAsia="en-IN" w:bidi="hi-IN"/>
    </w:rPr>
  </w:style>
  <w:style w:type="character" w:styleId="Strong">
    <w:name w:val="Strong"/>
    <w:basedOn w:val="DefaultParagraphFont"/>
    <w:uiPriority w:val="22"/>
    <w:qFormat/>
    <w:rsid w:val="00690480"/>
    <w:rPr>
      <w:b/>
      <w:bCs/>
    </w:rPr>
  </w:style>
  <w:style w:type="character" w:styleId="Emphasis">
    <w:name w:val="Emphasis"/>
    <w:basedOn w:val="DefaultParagraphFont"/>
    <w:uiPriority w:val="20"/>
    <w:qFormat/>
    <w:rsid w:val="00690480"/>
    <w:rPr>
      <w:i/>
      <w:iCs/>
    </w:rPr>
  </w:style>
  <w:style w:type="table" w:styleId="TableGrid">
    <w:name w:val="Table Grid"/>
    <w:basedOn w:val="TableNormal"/>
    <w:uiPriority w:val="39"/>
    <w:rsid w:val="0069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45B6"/>
    <w:pPr>
      <w:widowControl w:val="0"/>
      <w:autoSpaceDE w:val="0"/>
      <w:autoSpaceDN w:val="0"/>
      <w:spacing w:after="0" w:line="240" w:lineRule="auto"/>
    </w:pPr>
    <w:rPr>
      <w:rFonts w:eastAsia="Times New Roman" w:cs="Times New Roman"/>
      <w:b w:val="0"/>
      <w:color w:val="auto"/>
      <w:sz w:val="24"/>
      <w:szCs w:val="24"/>
      <w:lang w:val="en-US"/>
    </w:rPr>
  </w:style>
  <w:style w:type="character" w:customStyle="1" w:styleId="BodyTextChar">
    <w:name w:val="Body Text Char"/>
    <w:basedOn w:val="DefaultParagraphFont"/>
    <w:link w:val="BodyText"/>
    <w:uiPriority w:val="1"/>
    <w:rsid w:val="00C145B6"/>
    <w:rPr>
      <w:rFonts w:ascii="Times New Roman" w:eastAsia="Times New Roman" w:hAnsi="Times New Roman" w:cs="Times New Roman"/>
      <w:kern w:val="0"/>
      <w:sz w:val="24"/>
      <w:szCs w:val="24"/>
      <w:lang w:val="en-US" w:bidi="ar-SA"/>
      <w14:ligatures w14:val="none"/>
    </w:rPr>
  </w:style>
  <w:style w:type="paragraph" w:styleId="Header">
    <w:name w:val="header"/>
    <w:basedOn w:val="Normal"/>
    <w:link w:val="HeaderChar"/>
    <w:uiPriority w:val="99"/>
    <w:unhideWhenUsed/>
    <w:rsid w:val="00DF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0C8"/>
    <w:rPr>
      <w:rFonts w:ascii="Times New Roman" w:hAnsi="Times New Roman"/>
      <w:b/>
      <w:color w:val="000000" w:themeColor="text1"/>
      <w:kern w:val="0"/>
      <w:sz w:val="28"/>
      <w:szCs w:val="22"/>
      <w:lang w:bidi="ar-SA"/>
      <w14:ligatures w14:val="none"/>
    </w:rPr>
  </w:style>
  <w:style w:type="paragraph" w:styleId="Footer">
    <w:name w:val="footer"/>
    <w:basedOn w:val="Normal"/>
    <w:link w:val="FooterChar"/>
    <w:uiPriority w:val="99"/>
    <w:unhideWhenUsed/>
    <w:rsid w:val="00DF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C8"/>
    <w:rPr>
      <w:rFonts w:ascii="Times New Roman" w:hAnsi="Times New Roman"/>
      <w:b/>
      <w:color w:val="000000" w:themeColor="text1"/>
      <w:kern w:val="0"/>
      <w:sz w:val="28"/>
      <w:szCs w:val="22"/>
      <w:lang w:bidi="ar-SA"/>
      <w14:ligatures w14:val="none"/>
    </w:rPr>
  </w:style>
  <w:style w:type="character" w:styleId="Hyperlink">
    <w:name w:val="Hyperlink"/>
    <w:basedOn w:val="DefaultParagraphFont"/>
    <w:uiPriority w:val="99"/>
    <w:unhideWhenUsed/>
    <w:rsid w:val="003063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17882123373326E-2"/>
          <c:y val="9.3648239509480397E-2"/>
          <c:w val="0.88341887565101485"/>
          <c:h val="0.65074683351303075"/>
        </c:manualLayout>
      </c:layout>
      <c:barChart>
        <c:barDir val="col"/>
        <c:grouping val="clustered"/>
        <c:varyColors val="0"/>
        <c:ser>
          <c:idx val="0"/>
          <c:order val="0"/>
          <c:tx>
            <c:strRef>
              <c:f>Sheet1!$B$1</c:f>
              <c:strCache>
                <c:ptCount val="1"/>
                <c:pt idx="0">
                  <c:v>Days to spike emergence</c:v>
                </c:pt>
              </c:strCache>
            </c:strRef>
          </c:tx>
          <c:spPr>
            <a:solidFill>
              <a:schemeClr val="accent1"/>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Sheet1!$B$2:$B$9</c:f>
              <c:numCache>
                <c:formatCode>General</c:formatCode>
                <c:ptCount val="8"/>
                <c:pt idx="0">
                  <c:v>84.1</c:v>
                </c:pt>
                <c:pt idx="1">
                  <c:v>80</c:v>
                </c:pt>
                <c:pt idx="2">
                  <c:v>82.93</c:v>
                </c:pt>
                <c:pt idx="3">
                  <c:v>79.930000000000007</c:v>
                </c:pt>
                <c:pt idx="4">
                  <c:v>81.93</c:v>
                </c:pt>
                <c:pt idx="5">
                  <c:v>79</c:v>
                </c:pt>
                <c:pt idx="6">
                  <c:v>78.760000000000005</c:v>
                </c:pt>
                <c:pt idx="7">
                  <c:v>79.5</c:v>
                </c:pt>
              </c:numCache>
            </c:numRef>
          </c:val>
          <c:extLst>
            <c:ext xmlns:c16="http://schemas.microsoft.com/office/drawing/2014/chart" uri="{C3380CC4-5D6E-409C-BE32-E72D297353CC}">
              <c16:uniqueId val="{00000000-6197-494B-B2CA-BB411FA36ECC}"/>
            </c:ext>
          </c:extLst>
        </c:ser>
        <c:ser>
          <c:idx val="1"/>
          <c:order val="1"/>
          <c:tx>
            <c:strRef>
              <c:f>Sheet1!$C$1</c:f>
              <c:strCache>
                <c:ptCount val="1"/>
                <c:pt idx="0">
                  <c:v>Opening of 1st floret</c:v>
                </c:pt>
              </c:strCache>
            </c:strRef>
          </c:tx>
          <c:spPr>
            <a:solidFill>
              <a:schemeClr val="accent2"/>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Sheet1!$C$2:$C$9</c:f>
              <c:numCache>
                <c:formatCode>General</c:formatCode>
                <c:ptCount val="8"/>
                <c:pt idx="0">
                  <c:v>98.93</c:v>
                </c:pt>
                <c:pt idx="1">
                  <c:v>95.96</c:v>
                </c:pt>
                <c:pt idx="2">
                  <c:v>97.5</c:v>
                </c:pt>
                <c:pt idx="3">
                  <c:v>95.46</c:v>
                </c:pt>
                <c:pt idx="4">
                  <c:v>97.2</c:v>
                </c:pt>
                <c:pt idx="5">
                  <c:v>94.06</c:v>
                </c:pt>
                <c:pt idx="6">
                  <c:v>93.83</c:v>
                </c:pt>
                <c:pt idx="7">
                  <c:v>94.33</c:v>
                </c:pt>
              </c:numCache>
            </c:numRef>
          </c:val>
          <c:extLst>
            <c:ext xmlns:c16="http://schemas.microsoft.com/office/drawing/2014/chart" uri="{C3380CC4-5D6E-409C-BE32-E72D297353CC}">
              <c16:uniqueId val="{00000001-6197-494B-B2CA-BB411FA36ECC}"/>
            </c:ext>
          </c:extLst>
        </c:ser>
        <c:ser>
          <c:idx val="2"/>
          <c:order val="2"/>
          <c:tx>
            <c:strRef>
              <c:f>Sheet1!$D$1</c:f>
              <c:strCache>
                <c:ptCount val="1"/>
                <c:pt idx="0">
                  <c:v>Opening of Last floret</c:v>
                </c:pt>
              </c:strCache>
            </c:strRef>
          </c:tx>
          <c:spPr>
            <a:solidFill>
              <a:schemeClr val="accent3"/>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Sheet1!$D$2:$D$9</c:f>
              <c:numCache>
                <c:formatCode>General</c:formatCode>
                <c:ptCount val="8"/>
                <c:pt idx="0">
                  <c:v>107.66</c:v>
                </c:pt>
                <c:pt idx="1">
                  <c:v>104</c:v>
                </c:pt>
                <c:pt idx="2">
                  <c:v>104.3</c:v>
                </c:pt>
                <c:pt idx="3">
                  <c:v>103.3</c:v>
                </c:pt>
                <c:pt idx="4">
                  <c:v>105.5</c:v>
                </c:pt>
                <c:pt idx="5">
                  <c:v>102.4</c:v>
                </c:pt>
                <c:pt idx="6">
                  <c:v>102.03</c:v>
                </c:pt>
                <c:pt idx="7">
                  <c:v>103.13</c:v>
                </c:pt>
              </c:numCache>
            </c:numRef>
          </c:val>
          <c:extLst>
            <c:ext xmlns:c16="http://schemas.microsoft.com/office/drawing/2014/chart" uri="{C3380CC4-5D6E-409C-BE32-E72D297353CC}">
              <c16:uniqueId val="{00000002-6197-494B-B2CA-BB411FA36ECC}"/>
            </c:ext>
          </c:extLst>
        </c:ser>
        <c:dLbls>
          <c:showLegendKey val="0"/>
          <c:showVal val="0"/>
          <c:showCatName val="0"/>
          <c:showSerName val="0"/>
          <c:showPercent val="0"/>
          <c:showBubbleSize val="0"/>
        </c:dLbls>
        <c:gapWidth val="219"/>
        <c:overlap val="-27"/>
        <c:axId val="1211336799"/>
        <c:axId val="1211337759"/>
      </c:barChart>
      <c:catAx>
        <c:axId val="12113367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latin typeface="Times New Roman" panose="02020603050405020304" pitchFamily="18" charset="0"/>
                    <a:cs typeface="Times New Roman" panose="02020603050405020304" pitchFamily="18" charset="0"/>
                  </a:rPr>
                  <a:t> Treatment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7759"/>
        <c:crosses val="autoZero"/>
        <c:auto val="1"/>
        <c:lblAlgn val="ctr"/>
        <c:lblOffset val="100"/>
        <c:noMultiLvlLbl val="0"/>
      </c:catAx>
      <c:valAx>
        <c:axId val="1211337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 Days to spike emergence to opening of floret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6799"/>
        <c:crosses val="autoZero"/>
        <c:crossBetween val="between"/>
      </c:valAx>
      <c:spPr>
        <a:noFill/>
        <a:ln>
          <a:noFill/>
        </a:ln>
        <a:effectLst/>
      </c:spPr>
    </c:plotArea>
    <c:legend>
      <c:legendPos val="b"/>
      <c:layout>
        <c:manualLayout>
          <c:xMode val="edge"/>
          <c:yMode val="edge"/>
          <c:x val="0.12636496019392926"/>
          <c:y val="0.89544716632643151"/>
          <c:w val="0.74727007961214154"/>
          <c:h val="8.60343151550500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CE92-56F1-4C0B-A62B-1EFD1414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DEVENDRA SAHU</dc:creator>
  <cp:keywords/>
  <dc:description/>
  <cp:lastModifiedBy>Editor-22</cp:lastModifiedBy>
  <cp:revision>10</cp:revision>
  <cp:lastPrinted>2025-04-20T19:21:00Z</cp:lastPrinted>
  <dcterms:created xsi:type="dcterms:W3CDTF">2025-05-03T20:21:00Z</dcterms:created>
  <dcterms:modified xsi:type="dcterms:W3CDTF">2025-05-10T10:58:00Z</dcterms:modified>
</cp:coreProperties>
</file>