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65130" w14:textId="77777777" w:rsidR="00B26E8F" w:rsidRDefault="000E25B0" w:rsidP="000E25B0">
      <w:pPr>
        <w:jc w:val="center"/>
        <w:rPr>
          <w:rFonts w:ascii="Times New Roman" w:hAnsi="Times New Roman" w:cs="Times New Roman"/>
          <w:b/>
          <w:sz w:val="24"/>
        </w:rPr>
      </w:pPr>
      <w:r w:rsidRPr="000E25B0">
        <w:rPr>
          <w:rFonts w:ascii="Times New Roman" w:hAnsi="Times New Roman" w:cs="Times New Roman"/>
          <w:b/>
          <w:sz w:val="24"/>
        </w:rPr>
        <w:t xml:space="preserve">Evaluation of Primed </w:t>
      </w:r>
      <w:r w:rsidR="00A51F73">
        <w:rPr>
          <w:rFonts w:ascii="Times New Roman" w:hAnsi="Times New Roman" w:cs="Times New Roman"/>
          <w:b/>
          <w:sz w:val="24"/>
        </w:rPr>
        <w:t xml:space="preserve">Coriander </w:t>
      </w:r>
      <w:r w:rsidRPr="000E25B0">
        <w:rPr>
          <w:rFonts w:ascii="Times New Roman" w:hAnsi="Times New Roman" w:cs="Times New Roman"/>
          <w:b/>
          <w:sz w:val="24"/>
        </w:rPr>
        <w:t>Seeds for Phenological</w:t>
      </w:r>
      <w:r>
        <w:rPr>
          <w:rFonts w:ascii="Times New Roman" w:hAnsi="Times New Roman" w:cs="Times New Roman"/>
          <w:b/>
          <w:sz w:val="24"/>
        </w:rPr>
        <w:t>, Yield Attributing</w:t>
      </w:r>
      <w:r w:rsidRPr="000E25B0">
        <w:rPr>
          <w:rFonts w:ascii="Times New Roman" w:hAnsi="Times New Roman" w:cs="Times New Roman"/>
          <w:b/>
          <w:sz w:val="24"/>
        </w:rPr>
        <w:t xml:space="preserve"> an</w:t>
      </w:r>
      <w:r>
        <w:rPr>
          <w:rFonts w:ascii="Times New Roman" w:hAnsi="Times New Roman" w:cs="Times New Roman"/>
          <w:b/>
          <w:sz w:val="24"/>
        </w:rPr>
        <w:t>d Physiological Characteristics</w:t>
      </w:r>
    </w:p>
    <w:p w14:paraId="18242EC2" w14:textId="77777777" w:rsidR="001820B6" w:rsidRDefault="001820B6" w:rsidP="000E25B0">
      <w:pPr>
        <w:jc w:val="center"/>
        <w:rPr>
          <w:rFonts w:ascii="Times New Roman" w:hAnsi="Times New Roman" w:cs="Times New Roman"/>
          <w:b/>
          <w:sz w:val="24"/>
        </w:rPr>
      </w:pPr>
    </w:p>
    <w:p w14:paraId="0BF555BA" w14:textId="77777777" w:rsidR="000E25B0" w:rsidRPr="000E25B0" w:rsidRDefault="000E25B0" w:rsidP="000E25B0">
      <w:pPr>
        <w:pStyle w:val="NormalWeb"/>
        <w:spacing w:before="240" w:beforeAutospacing="0" w:after="0" w:afterAutospacing="0" w:line="360" w:lineRule="auto"/>
        <w:jc w:val="center"/>
        <w:rPr>
          <w:b/>
        </w:rPr>
      </w:pPr>
      <w:bookmarkStart w:id="0" w:name="_GoBack"/>
      <w:bookmarkEnd w:id="0"/>
      <w:r w:rsidRPr="000E25B0">
        <w:rPr>
          <w:b/>
        </w:rPr>
        <w:t>ABSTRACT</w:t>
      </w:r>
    </w:p>
    <w:p w14:paraId="5DE67F0F" w14:textId="77777777" w:rsidR="000E25B0" w:rsidRDefault="000E25B0" w:rsidP="000E25B0">
      <w:pPr>
        <w:pStyle w:val="NormalWeb"/>
        <w:spacing w:before="0" w:beforeAutospacing="0" w:after="0" w:afterAutospacing="0" w:line="360" w:lineRule="auto"/>
        <w:jc w:val="both"/>
      </w:pPr>
      <w:r>
        <w:t>This study was conducted over two consecutive years (2021-22 and 2022-23) at</w:t>
      </w:r>
      <w:r w:rsidR="00FB5E1C">
        <w:t xml:space="preserve"> Research field, Dept. of Seed Science and Technology, </w:t>
      </w:r>
      <w:proofErr w:type="spellStart"/>
      <w:r w:rsidR="00FB5E1C">
        <w:t>Chauras</w:t>
      </w:r>
      <w:proofErr w:type="spellEnd"/>
      <w:r w:rsidR="00FB5E1C">
        <w:t xml:space="preserve"> Campus,</w:t>
      </w:r>
      <w:r>
        <w:t xml:space="preserve"> H.N.B. Garhwal Central University, Uttarakhand, to assess the impact of various seed priming treatments on coriander's </w:t>
      </w:r>
      <w:r w:rsidR="00FB5E1C">
        <w:t>phenological, yield attributing and physiological characteristics</w:t>
      </w:r>
      <w:r>
        <w:t xml:space="preserve">. The experiment included priming treatments with </w:t>
      </w:r>
      <w:r>
        <w:rPr>
          <w:rStyle w:val="Emphasis"/>
        </w:rPr>
        <w:t xml:space="preserve">Trichoderma </w:t>
      </w:r>
      <w:proofErr w:type="spellStart"/>
      <w:r>
        <w:rPr>
          <w:rStyle w:val="Emphasis"/>
        </w:rPr>
        <w:t>viride</w:t>
      </w:r>
      <w:proofErr w:type="spellEnd"/>
      <w:r>
        <w:t xml:space="preserve">, </w:t>
      </w:r>
      <w:proofErr w:type="spellStart"/>
      <w:r>
        <w:t>vermiwash</w:t>
      </w:r>
      <w:proofErr w:type="spellEnd"/>
      <w:r>
        <w:t>, silver nanoparticles, concentrated H₂SO₄, and plasma, with unprimed seeds as controls.</w:t>
      </w:r>
      <w:r w:rsidR="00DC230C">
        <w:t xml:space="preserve"> The germplasm was procured from the </w:t>
      </w:r>
      <w:proofErr w:type="spellStart"/>
      <w:r w:rsidR="00DC230C">
        <w:t>bhatwari</w:t>
      </w:r>
      <w:proofErr w:type="spellEnd"/>
      <w:r w:rsidR="00DC230C">
        <w:t xml:space="preserve"> village of </w:t>
      </w:r>
      <w:proofErr w:type="spellStart"/>
      <w:r w:rsidR="00DC230C">
        <w:t>Uttarakashi</w:t>
      </w:r>
      <w:proofErr w:type="spellEnd"/>
      <w:r w:rsidR="00DC230C">
        <w:t xml:space="preserve"> District in Uttarakhand. </w:t>
      </w:r>
    </w:p>
    <w:p w14:paraId="6EA54F05" w14:textId="77777777" w:rsidR="000E25B0" w:rsidRDefault="000E25B0" w:rsidP="000E25B0">
      <w:pPr>
        <w:pStyle w:val="NormalWeb"/>
        <w:spacing w:before="0" w:beforeAutospacing="0" w:after="0" w:afterAutospacing="0" w:line="360" w:lineRule="auto"/>
        <w:ind w:firstLine="720"/>
        <w:jc w:val="both"/>
      </w:pPr>
      <w:r>
        <w:t>Field trials demonstrated that silver nanoparticle priming significantly enhanced plant height, early flowering, umbel production, and seed yield. Physiological analysis revealed increased chlorophyll and protein content in primed seeds, indicating improved seed quality.</w:t>
      </w:r>
    </w:p>
    <w:p w14:paraId="56D55439" w14:textId="77777777" w:rsidR="000E25B0" w:rsidRDefault="000E25B0" w:rsidP="000E25B0">
      <w:pPr>
        <w:pStyle w:val="NormalWeb"/>
        <w:spacing w:before="0" w:beforeAutospacing="0" w:after="0" w:afterAutospacing="0" w:line="360" w:lineRule="auto"/>
        <w:ind w:firstLine="720"/>
        <w:jc w:val="both"/>
      </w:pPr>
      <w:r>
        <w:t>The</w:t>
      </w:r>
      <w:r w:rsidR="0041759E">
        <w:t>se</w:t>
      </w:r>
      <w:r>
        <w:t xml:space="preserve"> results suggest that silver nanoparticle priming is the most effective method for enhancing seed performance and yield potential in coriander. This study underscores the significance of advanced priming techniques in sustainable seed enhancement and productivity under diverse environmental conditions.</w:t>
      </w:r>
    </w:p>
    <w:p w14:paraId="510CEDA4" w14:textId="77777777" w:rsidR="000E25B0" w:rsidRDefault="000E25B0" w:rsidP="000E25B0">
      <w:pPr>
        <w:pStyle w:val="NormalWeb"/>
        <w:spacing w:before="0" w:beforeAutospacing="0" w:after="0" w:afterAutospacing="0" w:line="360" w:lineRule="auto"/>
        <w:jc w:val="both"/>
      </w:pPr>
      <w:r>
        <w:rPr>
          <w:rStyle w:val="Strong"/>
        </w:rPr>
        <w:t>Keywords:</w:t>
      </w:r>
      <w:r>
        <w:t xml:space="preserve"> </w:t>
      </w:r>
      <w:r>
        <w:rPr>
          <w:rStyle w:val="Emphasis"/>
        </w:rPr>
        <w:t xml:space="preserve">Trichoderma </w:t>
      </w:r>
      <w:proofErr w:type="spellStart"/>
      <w:r>
        <w:rPr>
          <w:rStyle w:val="Emphasis"/>
        </w:rPr>
        <w:t>viride</w:t>
      </w:r>
      <w:proofErr w:type="spellEnd"/>
      <w:r>
        <w:t xml:space="preserve">, Plasma, </w:t>
      </w:r>
      <w:proofErr w:type="spellStart"/>
      <w:r>
        <w:t>Vermiwash</w:t>
      </w:r>
      <w:proofErr w:type="spellEnd"/>
      <w:r>
        <w:t>, Silver Nanoparticles, Seed Priming</w:t>
      </w:r>
    </w:p>
    <w:p w14:paraId="78058BBC" w14:textId="77777777" w:rsidR="000E25B0" w:rsidRDefault="000E25B0" w:rsidP="000E25B0">
      <w:pPr>
        <w:pStyle w:val="NormalWeb"/>
        <w:spacing w:before="0" w:beforeAutospacing="0" w:after="0" w:afterAutospacing="0" w:line="360" w:lineRule="auto"/>
        <w:jc w:val="both"/>
      </w:pPr>
    </w:p>
    <w:p w14:paraId="07CE9F5D" w14:textId="77777777" w:rsidR="000E25B0" w:rsidRPr="000E25B0" w:rsidRDefault="000E25B0" w:rsidP="000E25B0">
      <w:pPr>
        <w:pStyle w:val="NormalWeb"/>
        <w:spacing w:before="0" w:beforeAutospacing="0" w:after="0" w:afterAutospacing="0" w:line="360" w:lineRule="auto"/>
        <w:jc w:val="both"/>
        <w:rPr>
          <w:b/>
        </w:rPr>
      </w:pPr>
      <w:r w:rsidRPr="000E25B0">
        <w:rPr>
          <w:b/>
        </w:rPr>
        <w:t xml:space="preserve">Introduction: </w:t>
      </w:r>
    </w:p>
    <w:p w14:paraId="1CC47433" w14:textId="77777777" w:rsidR="00B66C4C" w:rsidRDefault="00B66C4C" w:rsidP="00B66C4C">
      <w:pPr>
        <w:pStyle w:val="NormalWeb"/>
        <w:spacing w:before="0" w:beforeAutospacing="0" w:after="0" w:afterAutospacing="0" w:line="360" w:lineRule="auto"/>
        <w:jc w:val="both"/>
      </w:pPr>
      <w:r>
        <w:t xml:space="preserve">Seed priming is a pre-sowing treatment that enhances seed performance by improving germination, seedling vigor, and overall plant growth. It involves controlled hydration of seeds, which initiates metabolic processes without allowing radicle emergence (Farooq </w:t>
      </w:r>
      <w:r w:rsidRPr="00B66C4C">
        <w:rPr>
          <w:i/>
        </w:rPr>
        <w:t>et al.,</w:t>
      </w:r>
      <w:r>
        <w:t xml:space="preserve"> 2019). This technique has been widely recognized for its ability to improve seed quality, particularly under diverse environmental conditions (Ashraf &amp; </w:t>
      </w:r>
      <w:proofErr w:type="spellStart"/>
      <w:r>
        <w:t>Foolad</w:t>
      </w:r>
      <w:proofErr w:type="spellEnd"/>
      <w:r>
        <w:t>, 2005).</w:t>
      </w:r>
    </w:p>
    <w:p w14:paraId="37AA91F5" w14:textId="77777777" w:rsidR="00B66C4C" w:rsidRDefault="00B66C4C" w:rsidP="00B66C4C">
      <w:pPr>
        <w:pStyle w:val="NormalWeb"/>
        <w:spacing w:before="0" w:beforeAutospacing="0" w:after="0" w:afterAutospacing="0" w:line="360" w:lineRule="auto"/>
        <w:ind w:firstLine="720"/>
        <w:jc w:val="both"/>
      </w:pPr>
      <w:r>
        <w:t>Coriander (</w:t>
      </w:r>
      <w:r>
        <w:rPr>
          <w:rStyle w:val="Emphasis"/>
        </w:rPr>
        <w:t>Coriandrum sativum</w:t>
      </w:r>
      <w:r>
        <w:t xml:space="preserve"> L.) is an important spice crop valued for its culinary, medicinal, and aromatic properties. However, its seed germination and early growth are often influenced by environmental stresses and seed quality (Singh </w:t>
      </w:r>
      <w:r w:rsidRPr="00B66C4C">
        <w:rPr>
          <w:i/>
        </w:rPr>
        <w:t>et al.,</w:t>
      </w:r>
      <w:r>
        <w:t xml:space="preserve"> 2021). Advanced seed priming techniques have emerged as a promising strategy to enhance seed vigor, accelerate germination, and improve crop yield. Various priming treatments, including biological agents, </w:t>
      </w:r>
      <w:r>
        <w:lastRenderedPageBreak/>
        <w:t xml:space="preserve">organic extracts, nanotechnology, and physical treatments, have been explored to improve seed quality and plant performance (Hussain </w:t>
      </w:r>
      <w:r w:rsidRPr="00B66C4C">
        <w:rPr>
          <w:i/>
        </w:rPr>
        <w:t>et al.,</w:t>
      </w:r>
      <w:r>
        <w:t xml:space="preserve"> 2020).</w:t>
      </w:r>
    </w:p>
    <w:p w14:paraId="25AE3E25" w14:textId="77777777" w:rsidR="00B66C4C" w:rsidRDefault="00B66C4C" w:rsidP="00B66C4C">
      <w:pPr>
        <w:pStyle w:val="NormalWeb"/>
        <w:spacing w:before="0" w:beforeAutospacing="0" w:after="0" w:afterAutospacing="0" w:line="360" w:lineRule="auto"/>
        <w:ind w:firstLine="720"/>
        <w:jc w:val="both"/>
      </w:pPr>
      <w:r>
        <w:rPr>
          <w:rStyle w:val="Emphasis"/>
        </w:rPr>
        <w:t xml:space="preserve">Trichoderma </w:t>
      </w:r>
      <w:proofErr w:type="spellStart"/>
      <w:r>
        <w:rPr>
          <w:rStyle w:val="Emphasis"/>
        </w:rPr>
        <w:t>viride</w:t>
      </w:r>
      <w:proofErr w:type="spellEnd"/>
      <w:r>
        <w:t xml:space="preserve">, a beneficial fungus, enhances plant growth by suppressing soil-borne pathogens and promoting nutrient uptake (Harman </w:t>
      </w:r>
      <w:r w:rsidRPr="00B66C4C">
        <w:rPr>
          <w:i/>
        </w:rPr>
        <w:t>et al</w:t>
      </w:r>
      <w:r>
        <w:t xml:space="preserve">., 2004). </w:t>
      </w:r>
      <w:proofErr w:type="spellStart"/>
      <w:r>
        <w:t>Vermiwash</w:t>
      </w:r>
      <w:proofErr w:type="spellEnd"/>
      <w:r>
        <w:t xml:space="preserve">, an organic extract from earthworms, is rich in enzymes, plant growth regulators, and beneficial microorganisms that stimulate germination and early seedling development (Rajiv </w:t>
      </w:r>
      <w:r w:rsidRPr="00B66C4C">
        <w:rPr>
          <w:i/>
        </w:rPr>
        <w:t>et al</w:t>
      </w:r>
      <w:r>
        <w:t>., 2013). Silver nanoparticles (</w:t>
      </w:r>
      <w:proofErr w:type="spellStart"/>
      <w:r>
        <w:t>AgNPs</w:t>
      </w:r>
      <w:proofErr w:type="spellEnd"/>
      <w:r>
        <w:t>) have shown potential in improving seed germination, seedling vigor, and pathogen resistance due to their antimicrobial properties (Rai &amp; Ingle, 2012). Concentrated sulfuric acid (H₂SO₄) is commonly used for seed scarification, enhancing water absorption and breaking seed dormancy (Baskin &amp; Baskin, 2014). Plasma treatment, an emerging technology in agriculture, modifies the seed coat structure, enhances nutrient uptake, and reduces seed-borne pathogens (</w:t>
      </w:r>
      <w:proofErr w:type="spellStart"/>
      <w:r>
        <w:t>Randeniya</w:t>
      </w:r>
      <w:proofErr w:type="spellEnd"/>
      <w:r>
        <w:t xml:space="preserve"> &amp; de Groot, 2015).</w:t>
      </w:r>
    </w:p>
    <w:p w14:paraId="2892D8A0" w14:textId="77777777" w:rsidR="00B66C4C" w:rsidRDefault="00B66C4C" w:rsidP="00B66C4C">
      <w:pPr>
        <w:pStyle w:val="NormalWeb"/>
        <w:spacing w:before="0" w:beforeAutospacing="0" w:after="0" w:afterAutospacing="0" w:line="360" w:lineRule="auto"/>
        <w:ind w:firstLine="720"/>
        <w:jc w:val="both"/>
      </w:pPr>
      <w:r>
        <w:t>The present study was conducted to evaluate the effects of these seed priming techniques on coriander’s phenological traits, yield-attributing characteristics, and physiological parameters under natural field conditions. By assessing germination, plant growth, chlorophyll content, protein levels, and seed yield, this research aims to identify the most effective priming treatment for improving seed quality and productivity. The findings will contribute to sustainable agricultural practices by integrating innovative priming techniques for enhanced seed performance and yield potential.</w:t>
      </w:r>
    </w:p>
    <w:p w14:paraId="248D3B08" w14:textId="77777777" w:rsidR="00E71783" w:rsidRDefault="00E71783" w:rsidP="00B66C4C">
      <w:pPr>
        <w:pStyle w:val="NormalWeb"/>
        <w:spacing w:before="0" w:beforeAutospacing="0" w:after="0" w:afterAutospacing="0" w:line="360" w:lineRule="auto"/>
      </w:pPr>
    </w:p>
    <w:p w14:paraId="591E71A1" w14:textId="77777777" w:rsidR="00E71783" w:rsidRPr="00E71783" w:rsidRDefault="00E71783" w:rsidP="00E71783">
      <w:pPr>
        <w:pStyle w:val="NormalWeb"/>
        <w:spacing w:before="0" w:beforeAutospacing="0" w:after="0" w:afterAutospacing="0" w:line="360" w:lineRule="auto"/>
        <w:rPr>
          <w:b/>
        </w:rPr>
      </w:pPr>
      <w:r w:rsidRPr="00E71783">
        <w:rPr>
          <w:b/>
        </w:rPr>
        <w:t xml:space="preserve">Material and </w:t>
      </w:r>
      <w:proofErr w:type="gramStart"/>
      <w:r w:rsidRPr="00E71783">
        <w:rPr>
          <w:b/>
        </w:rPr>
        <w:t>Methods :</w:t>
      </w:r>
      <w:proofErr w:type="gramEnd"/>
      <w:r w:rsidRPr="00E71783">
        <w:rPr>
          <w:b/>
        </w:rPr>
        <w:t xml:space="preserve"> </w:t>
      </w:r>
    </w:p>
    <w:p w14:paraId="7FFA1184" w14:textId="77777777" w:rsidR="00E71783" w:rsidRDefault="00E71783" w:rsidP="00E71783">
      <w:pPr>
        <w:pStyle w:val="NormalWeb"/>
        <w:spacing w:before="0" w:beforeAutospacing="0" w:after="0" w:afterAutospacing="0" w:line="360" w:lineRule="auto"/>
        <w:jc w:val="both"/>
      </w:pPr>
      <w:r>
        <w:t xml:space="preserve">The study was conducted at the research field of the Department of Seed Science and Technology, </w:t>
      </w:r>
      <w:proofErr w:type="spellStart"/>
      <w:r>
        <w:t>Chauras</w:t>
      </w:r>
      <w:proofErr w:type="spellEnd"/>
      <w:r>
        <w:t xml:space="preserve"> Campus, H.N.B. Garhwal Central University, Uttarakhand, following a randomized block design with three replications.</w:t>
      </w:r>
      <w:r w:rsidR="00DC230C">
        <w:t xml:space="preserve"> The seeds were collected from </w:t>
      </w:r>
      <w:proofErr w:type="spellStart"/>
      <w:r w:rsidR="00DC230C">
        <w:t>bhatwari</w:t>
      </w:r>
      <w:proofErr w:type="spellEnd"/>
      <w:r w:rsidR="00DC230C">
        <w:t xml:space="preserve"> village of Uttarakhand.</w:t>
      </w:r>
      <w:r>
        <w:t xml:space="preserve"> The treatments included </w:t>
      </w:r>
      <w:r w:rsidRPr="00E71783">
        <w:rPr>
          <w:i/>
        </w:rPr>
        <w:t xml:space="preserve">Trichoderma </w:t>
      </w:r>
      <w:proofErr w:type="spellStart"/>
      <w:r w:rsidRPr="00E71783">
        <w:rPr>
          <w:i/>
        </w:rPr>
        <w:t>viride</w:t>
      </w:r>
      <w:proofErr w:type="spellEnd"/>
      <w:r>
        <w:t xml:space="preserve"> (24 hours), </w:t>
      </w:r>
      <w:proofErr w:type="spellStart"/>
      <w:r>
        <w:t>Vermiwash</w:t>
      </w:r>
      <w:proofErr w:type="spellEnd"/>
      <w:r>
        <w:t xml:space="preserve"> (6 hours), Silver nanoparticles (24 hours), Concentrated H₂SO₄ (2 minutes), Plasma treatment (6 minutes), and a control (untreated seeds). The experimental field was thoroughly prepared by plowing, harrowing, and leveling, followed by manual removal of weeds and stubbles</w:t>
      </w:r>
      <w:r w:rsidR="00DC230C">
        <w:t xml:space="preserve"> in the month of November 2021 and 2022</w:t>
      </w:r>
      <w:r>
        <w:t xml:space="preserve">. Seeds were sown using a dibbler at a depth of 3 cm with a spacing of 30 × 15 cm. Farmyard manure (FYM) was applied as per standard recommendations, and necessary irrigation and manual weeding were carried out during the crop cycle. Harvesting was </w:t>
      </w:r>
      <w:r>
        <w:lastRenderedPageBreak/>
        <w:t>performed manually once 90% of the seeds were fully ripened, with separate collection and drying of each plot’s produce before threshing and winnowing.</w:t>
      </w:r>
    </w:p>
    <w:p w14:paraId="377EE19A" w14:textId="77777777" w:rsidR="00A626EB" w:rsidRDefault="00A626EB" w:rsidP="00A626EB">
      <w:pPr>
        <w:pStyle w:val="NormalWeb"/>
        <w:spacing w:before="240" w:beforeAutospacing="0" w:after="0" w:afterAutospacing="0" w:line="360" w:lineRule="auto"/>
        <w:jc w:val="both"/>
      </w:pPr>
      <w:r w:rsidRPr="00A626EB">
        <w:rPr>
          <w:b/>
        </w:rPr>
        <w:t>Phenological and Yield Studies</w:t>
      </w:r>
      <w:r>
        <w:t xml:space="preserve">: </w:t>
      </w:r>
    </w:p>
    <w:p w14:paraId="19A1931C" w14:textId="77777777" w:rsidR="00A626EB" w:rsidRDefault="00E71783" w:rsidP="00A626EB">
      <w:pPr>
        <w:pStyle w:val="NormalWeb"/>
        <w:spacing w:before="0" w:beforeAutospacing="0" w:after="0" w:afterAutospacing="0" w:line="360" w:lineRule="auto"/>
        <w:jc w:val="both"/>
      </w:pPr>
      <w:r>
        <w:t xml:space="preserve">Observations recorded in the field included days to 50% flowering, plant height, number of branches per plant, number of umbels per plant, number of umbellets per umbel, number of fruits per umbel and umbellet, seed yield per plant, 1000-seed weight, total seed yield per hectare, biological yield, and harvest index. </w:t>
      </w:r>
    </w:p>
    <w:p w14:paraId="66955B8E" w14:textId="77777777" w:rsidR="00A626EB" w:rsidRPr="00A626EB" w:rsidRDefault="00A626EB" w:rsidP="00A626EB">
      <w:pPr>
        <w:pStyle w:val="NormalWeb"/>
        <w:spacing w:before="240" w:beforeAutospacing="0" w:after="0" w:afterAutospacing="0" w:line="360" w:lineRule="auto"/>
        <w:jc w:val="both"/>
        <w:rPr>
          <w:b/>
        </w:rPr>
      </w:pPr>
      <w:r w:rsidRPr="00A626EB">
        <w:rPr>
          <w:b/>
        </w:rPr>
        <w:t>Physiological studies</w:t>
      </w:r>
    </w:p>
    <w:p w14:paraId="0AE6543F" w14:textId="77777777" w:rsidR="00A626EB" w:rsidRPr="00A626EB" w:rsidRDefault="00A626EB" w:rsidP="00A626EB">
      <w:pPr>
        <w:pStyle w:val="NormalWeb"/>
        <w:spacing w:before="0" w:beforeAutospacing="0" w:after="0" w:afterAutospacing="0" w:line="360" w:lineRule="auto"/>
        <w:jc w:val="both"/>
        <w:rPr>
          <w:b/>
        </w:rPr>
      </w:pPr>
      <w:r w:rsidRPr="00A626EB">
        <w:rPr>
          <w:b/>
        </w:rPr>
        <w:t>Chlorophyll content</w:t>
      </w:r>
    </w:p>
    <w:p w14:paraId="413A9974" w14:textId="77777777" w:rsidR="00A626EB" w:rsidRDefault="00E71783" w:rsidP="00A626EB">
      <w:pPr>
        <w:pStyle w:val="NormalWeb"/>
        <w:spacing w:before="0" w:beforeAutospacing="0" w:after="0" w:afterAutospacing="0" w:line="360" w:lineRule="auto"/>
        <w:jc w:val="both"/>
      </w:pPr>
      <w:r>
        <w:t xml:space="preserve">Physiological studies involved chlorophyll and protein estimation to determine the biochemical effects of priming treatments. Chlorophyll content was assessed using the </w:t>
      </w:r>
      <w:proofErr w:type="spellStart"/>
      <w:r>
        <w:t>Arnon</w:t>
      </w:r>
      <w:proofErr w:type="spellEnd"/>
      <w:r>
        <w:t xml:space="preserve"> method</w:t>
      </w:r>
      <w:r w:rsidR="00A626EB">
        <w:t xml:space="preserve"> (1949)</w:t>
      </w:r>
      <w:r>
        <w:t xml:space="preserve">, where pigments were extracted with 80% acetone and measured spectrophotometrically at 664 nm and 647 nm to calculate chlorophyll a, chlorophyll b, and total chlorophyll content. </w:t>
      </w:r>
    </w:p>
    <w:p w14:paraId="001DC332" w14:textId="77777777" w:rsidR="00A626EB" w:rsidRPr="00652791" w:rsidRDefault="00A626EB" w:rsidP="00A626EB">
      <w:pPr>
        <w:spacing w:after="0" w:line="360" w:lineRule="auto"/>
        <w:jc w:val="both"/>
        <w:rPr>
          <w:rFonts w:ascii="Times New Roman" w:eastAsia="Times New Roman" w:hAnsi="Times New Roman" w:cs="Times New Roman"/>
          <w:sz w:val="24"/>
          <w:szCs w:val="24"/>
        </w:rPr>
      </w:pPr>
      <w:r w:rsidRPr="00652791">
        <w:rPr>
          <w:rFonts w:ascii="Times New Roman" w:eastAsia="Times New Roman" w:hAnsi="Times New Roman" w:cs="Times New Roman"/>
          <w:b/>
          <w:bCs/>
          <w:color w:val="000000"/>
          <w:sz w:val="24"/>
          <w:szCs w:val="24"/>
        </w:rPr>
        <w:t xml:space="preserve">Formulas </w:t>
      </w:r>
    </w:p>
    <w:p w14:paraId="10D616A8" w14:textId="77777777" w:rsidR="00A626EB" w:rsidRPr="00652791" w:rsidRDefault="00A626EB" w:rsidP="00A626EB">
      <w:pPr>
        <w:spacing w:after="0" w:line="360" w:lineRule="auto"/>
        <w:jc w:val="both"/>
        <w:rPr>
          <w:rFonts w:ascii="Times New Roman" w:eastAsia="Times New Roman" w:hAnsi="Times New Roman" w:cs="Times New Roman"/>
          <w:sz w:val="24"/>
          <w:szCs w:val="24"/>
        </w:rPr>
      </w:pPr>
      <w:r w:rsidRPr="00652791">
        <w:rPr>
          <w:rFonts w:ascii="Times New Roman" w:eastAsia="Times New Roman" w:hAnsi="Times New Roman" w:cs="Times New Roman"/>
          <w:color w:val="000000"/>
          <w:sz w:val="24"/>
          <w:szCs w:val="24"/>
        </w:rPr>
        <w:t>Chlorophyll ‘a’ (µg mg-</w:t>
      </w:r>
      <w:proofErr w:type="gramStart"/>
      <w:r w:rsidRPr="00652791">
        <w:rPr>
          <w:rFonts w:ascii="Times New Roman" w:eastAsia="Times New Roman" w:hAnsi="Times New Roman" w:cs="Times New Roman"/>
          <w:color w:val="000000"/>
          <w:sz w:val="24"/>
          <w:szCs w:val="24"/>
        </w:rPr>
        <w:t>1 )</w:t>
      </w:r>
      <w:proofErr w:type="gramEnd"/>
      <w:r w:rsidRPr="00652791">
        <w:rPr>
          <w:rFonts w:ascii="Times New Roman" w:eastAsia="Times New Roman" w:hAnsi="Times New Roman" w:cs="Times New Roman"/>
          <w:color w:val="000000"/>
          <w:sz w:val="24"/>
          <w:szCs w:val="24"/>
        </w:rPr>
        <w:t xml:space="preserve"> = 13.19 A664 – 2.57 A647 </w:t>
      </w:r>
    </w:p>
    <w:p w14:paraId="002FD512" w14:textId="77777777" w:rsidR="00A626EB" w:rsidRPr="00652791" w:rsidRDefault="00A626EB" w:rsidP="00A626EB">
      <w:pPr>
        <w:spacing w:after="0" w:line="360" w:lineRule="auto"/>
        <w:jc w:val="both"/>
        <w:rPr>
          <w:rFonts w:ascii="Times New Roman" w:eastAsia="Times New Roman" w:hAnsi="Times New Roman" w:cs="Times New Roman"/>
          <w:sz w:val="24"/>
          <w:szCs w:val="24"/>
        </w:rPr>
      </w:pPr>
      <w:r w:rsidRPr="00652791">
        <w:rPr>
          <w:rFonts w:ascii="Times New Roman" w:eastAsia="Times New Roman" w:hAnsi="Times New Roman" w:cs="Times New Roman"/>
          <w:color w:val="000000"/>
          <w:sz w:val="24"/>
          <w:szCs w:val="24"/>
        </w:rPr>
        <w:t>Chlorophyll ‘b’ (µg mg-</w:t>
      </w:r>
      <w:proofErr w:type="gramStart"/>
      <w:r w:rsidRPr="00652791">
        <w:rPr>
          <w:rFonts w:ascii="Times New Roman" w:eastAsia="Times New Roman" w:hAnsi="Times New Roman" w:cs="Times New Roman"/>
          <w:color w:val="000000"/>
          <w:sz w:val="24"/>
          <w:szCs w:val="24"/>
        </w:rPr>
        <w:t>1 )</w:t>
      </w:r>
      <w:proofErr w:type="gramEnd"/>
      <w:r w:rsidRPr="00652791">
        <w:rPr>
          <w:rFonts w:ascii="Times New Roman" w:eastAsia="Times New Roman" w:hAnsi="Times New Roman" w:cs="Times New Roman"/>
          <w:color w:val="000000"/>
          <w:sz w:val="24"/>
          <w:szCs w:val="24"/>
        </w:rPr>
        <w:t xml:space="preserve"> = 22.10 A647 – 5.26 A664 </w:t>
      </w:r>
    </w:p>
    <w:p w14:paraId="460DD190" w14:textId="77777777" w:rsidR="00A626EB" w:rsidRPr="00652791" w:rsidRDefault="00A626EB" w:rsidP="00A626EB">
      <w:pPr>
        <w:spacing w:after="0" w:line="360" w:lineRule="auto"/>
        <w:jc w:val="both"/>
        <w:rPr>
          <w:rFonts w:ascii="Times New Roman" w:eastAsia="Times New Roman" w:hAnsi="Times New Roman" w:cs="Times New Roman"/>
          <w:sz w:val="24"/>
          <w:szCs w:val="24"/>
        </w:rPr>
      </w:pPr>
      <w:r w:rsidRPr="00652791">
        <w:rPr>
          <w:rFonts w:ascii="Times New Roman" w:eastAsia="Times New Roman" w:hAnsi="Times New Roman" w:cs="Times New Roman"/>
          <w:color w:val="000000"/>
          <w:sz w:val="24"/>
          <w:szCs w:val="24"/>
        </w:rPr>
        <w:t>Total Chlorophyll (µg mg-</w:t>
      </w:r>
      <w:proofErr w:type="gramStart"/>
      <w:r w:rsidRPr="00652791">
        <w:rPr>
          <w:rFonts w:ascii="Times New Roman" w:eastAsia="Times New Roman" w:hAnsi="Times New Roman" w:cs="Times New Roman"/>
          <w:color w:val="000000"/>
          <w:sz w:val="24"/>
          <w:szCs w:val="24"/>
        </w:rPr>
        <w:t>1 )</w:t>
      </w:r>
      <w:proofErr w:type="gramEnd"/>
      <w:r w:rsidRPr="00652791">
        <w:rPr>
          <w:rFonts w:ascii="Times New Roman" w:eastAsia="Times New Roman" w:hAnsi="Times New Roman" w:cs="Times New Roman"/>
          <w:color w:val="000000"/>
          <w:sz w:val="24"/>
          <w:szCs w:val="24"/>
        </w:rPr>
        <w:t xml:space="preserve"> =7.93 A664 + 19.53 A647 </w:t>
      </w:r>
    </w:p>
    <w:p w14:paraId="1B2D4BED" w14:textId="77777777" w:rsidR="00A626EB" w:rsidRPr="00A626EB" w:rsidRDefault="00A626EB" w:rsidP="00A626EB">
      <w:pPr>
        <w:pStyle w:val="NormalWeb"/>
        <w:spacing w:before="240" w:beforeAutospacing="0" w:after="0" w:afterAutospacing="0" w:line="360" w:lineRule="auto"/>
        <w:jc w:val="both"/>
        <w:rPr>
          <w:b/>
        </w:rPr>
      </w:pPr>
      <w:r w:rsidRPr="00A626EB">
        <w:rPr>
          <w:b/>
        </w:rPr>
        <w:t>Protein estimation</w:t>
      </w:r>
    </w:p>
    <w:p w14:paraId="33C68988" w14:textId="77777777" w:rsidR="00A626EB" w:rsidRDefault="00E71783" w:rsidP="00A626EB">
      <w:pPr>
        <w:pStyle w:val="NormalWeb"/>
        <w:spacing w:before="0" w:beforeAutospacing="0" w:after="0" w:afterAutospacing="0" w:line="360" w:lineRule="auto"/>
        <w:jc w:val="both"/>
      </w:pPr>
      <w:r>
        <w:t>Protein estimation was carried out using the Lowry method</w:t>
      </w:r>
      <w:r w:rsidR="00DC230C">
        <w:t xml:space="preserve"> (1951)</w:t>
      </w:r>
      <w:r>
        <w:t xml:space="preserve">, where extracted proteins reacted with the </w:t>
      </w:r>
      <w:proofErr w:type="spellStart"/>
      <w:r>
        <w:t>Folin-Ciocalteau</w:t>
      </w:r>
      <w:proofErr w:type="spellEnd"/>
      <w:r>
        <w:t xml:space="preserve"> reagent, forming a blue-colored complex measured at 660 nm. The protein content in samples was determined using a standard curve generated with Bovine Serum Albumin (BSA). These assessments emphasized on the effectiveness of different priming treatments in enhancing coriander seed quality, growth, and productivity under natural field conditions.</w:t>
      </w:r>
      <w:r w:rsidR="00431027">
        <w:t xml:space="preserve"> </w:t>
      </w:r>
    </w:p>
    <w:p w14:paraId="6296F65A" w14:textId="77777777" w:rsidR="00A626EB" w:rsidRDefault="00A626EB" w:rsidP="00A626EB">
      <w:pPr>
        <w:pStyle w:val="NormalWeb"/>
        <w:spacing w:before="0" w:beforeAutospacing="0" w:after="0" w:afterAutospacing="0" w:line="360" w:lineRule="auto"/>
        <w:jc w:val="both"/>
        <w:rPr>
          <w:b/>
        </w:rPr>
      </w:pPr>
    </w:p>
    <w:p w14:paraId="5475D3A1" w14:textId="77777777" w:rsidR="00A626EB" w:rsidRDefault="00A626EB" w:rsidP="00A626EB">
      <w:pPr>
        <w:pStyle w:val="NormalWeb"/>
        <w:spacing w:before="0" w:beforeAutospacing="0" w:after="0" w:afterAutospacing="0" w:line="360" w:lineRule="auto"/>
        <w:jc w:val="both"/>
        <w:rPr>
          <w:b/>
        </w:rPr>
      </w:pPr>
    </w:p>
    <w:p w14:paraId="4744A7C5" w14:textId="77777777" w:rsidR="00A626EB" w:rsidRDefault="00A626EB" w:rsidP="00A626EB">
      <w:pPr>
        <w:pStyle w:val="NormalWeb"/>
        <w:spacing w:before="0" w:beforeAutospacing="0" w:after="0" w:afterAutospacing="0" w:line="360" w:lineRule="auto"/>
        <w:jc w:val="both"/>
      </w:pPr>
      <w:r w:rsidRPr="00A626EB">
        <w:rPr>
          <w:b/>
        </w:rPr>
        <w:t xml:space="preserve">Statistical </w:t>
      </w:r>
      <w:proofErr w:type="gramStart"/>
      <w:r w:rsidRPr="00A626EB">
        <w:rPr>
          <w:b/>
        </w:rPr>
        <w:t>analysis :</w:t>
      </w:r>
      <w:proofErr w:type="gramEnd"/>
      <w:r>
        <w:t xml:space="preserve">  </w:t>
      </w:r>
    </w:p>
    <w:p w14:paraId="2FE51A11" w14:textId="77777777" w:rsidR="00E71783" w:rsidRDefault="00A626EB" w:rsidP="00A626EB">
      <w:pPr>
        <w:pStyle w:val="NormalWeb"/>
        <w:spacing w:before="0" w:beforeAutospacing="0" w:after="0" w:afterAutospacing="0" w:line="360" w:lineRule="auto"/>
        <w:jc w:val="both"/>
      </w:pPr>
      <w:r w:rsidRPr="00A626EB">
        <w:lastRenderedPageBreak/>
        <w:t>The collected data was ana</w:t>
      </w:r>
      <w:r>
        <w:t>lyzed using OPSTAT software</w:t>
      </w:r>
      <w:r w:rsidRPr="00A626EB">
        <w:t xml:space="preserve">. Analysis of variance (ANOVA) was performed for </w:t>
      </w:r>
      <w:r>
        <w:t>phenological</w:t>
      </w:r>
      <w:r w:rsidRPr="00A626EB">
        <w:t xml:space="preserve">, yield, and </w:t>
      </w:r>
      <w:r>
        <w:t>physiological</w:t>
      </w:r>
      <w:r w:rsidRPr="00A626EB">
        <w:t xml:space="preserve"> parameters. </w:t>
      </w:r>
      <w:r>
        <w:t>Microsoft Excel 2007 was also used.</w:t>
      </w:r>
    </w:p>
    <w:p w14:paraId="0325CE6E" w14:textId="77777777" w:rsidR="00E71783" w:rsidRDefault="00E71783" w:rsidP="00E71783">
      <w:pPr>
        <w:pStyle w:val="NormalWeb"/>
        <w:spacing w:before="0" w:beforeAutospacing="0" w:after="0" w:afterAutospacing="0" w:line="360" w:lineRule="auto"/>
        <w:jc w:val="both"/>
      </w:pPr>
    </w:p>
    <w:p w14:paraId="5C6CF3AD" w14:textId="77777777" w:rsidR="00EB2AF0" w:rsidRDefault="00E71783" w:rsidP="00EB2AF0">
      <w:pPr>
        <w:pStyle w:val="NormalWeb"/>
        <w:spacing w:before="0" w:beforeAutospacing="0" w:after="0" w:afterAutospacing="0" w:line="360" w:lineRule="auto"/>
        <w:jc w:val="both"/>
        <w:rPr>
          <w:b/>
        </w:rPr>
      </w:pPr>
      <w:r w:rsidRPr="00E71783">
        <w:rPr>
          <w:b/>
        </w:rPr>
        <w:t xml:space="preserve">Results and </w:t>
      </w:r>
      <w:proofErr w:type="gramStart"/>
      <w:r w:rsidRPr="00E71783">
        <w:rPr>
          <w:b/>
        </w:rPr>
        <w:t>Discussions :</w:t>
      </w:r>
      <w:proofErr w:type="gramEnd"/>
    </w:p>
    <w:p w14:paraId="5ACD2A03" w14:textId="77777777" w:rsidR="00EB2AF0" w:rsidRDefault="00EB2AF0" w:rsidP="00EB2AF0">
      <w:pPr>
        <w:pStyle w:val="NormalWeb"/>
        <w:spacing w:before="0" w:beforeAutospacing="0" w:after="0" w:afterAutospacing="0" w:line="360" w:lineRule="auto"/>
        <w:jc w:val="both"/>
        <w:rPr>
          <w:b/>
        </w:rPr>
      </w:pPr>
      <w:r>
        <w:t xml:space="preserve">The present study evaluated the effect of different treatments, including </w:t>
      </w:r>
      <w:r>
        <w:rPr>
          <w:rStyle w:val="Emphasis"/>
        </w:rPr>
        <w:t xml:space="preserve">Trichoderma </w:t>
      </w:r>
      <w:proofErr w:type="spellStart"/>
      <w:r>
        <w:rPr>
          <w:rStyle w:val="Emphasis"/>
        </w:rPr>
        <w:t>viride</w:t>
      </w:r>
      <w:proofErr w:type="spellEnd"/>
      <w:r>
        <w:t xml:space="preserve">, </w:t>
      </w:r>
      <w:proofErr w:type="spellStart"/>
      <w:r>
        <w:t>vermiwash</w:t>
      </w:r>
      <w:proofErr w:type="spellEnd"/>
      <w:r>
        <w:t>, silver nanoparticles, concentrated sulfuric acid (H2SO4), plasma treatment, and a control, on various growth, yield, and seed quality parameters. The findings reveal significant differences among the treatments, highlighting the potential of innovative and organic seed enhancement techniques.</w:t>
      </w:r>
    </w:p>
    <w:p w14:paraId="0BD190BB" w14:textId="77777777" w:rsidR="00EB2AF0" w:rsidRDefault="00B66C4C" w:rsidP="00EB2AF0">
      <w:pPr>
        <w:pStyle w:val="NormalWeb"/>
        <w:spacing w:before="240" w:beforeAutospacing="0" w:after="0" w:afterAutospacing="0" w:line="360" w:lineRule="auto"/>
        <w:jc w:val="both"/>
        <w:rPr>
          <w:b/>
        </w:rPr>
      </w:pPr>
      <w:r>
        <w:rPr>
          <w:rStyle w:val="Strong"/>
        </w:rPr>
        <w:t xml:space="preserve">Flowering, </w:t>
      </w:r>
      <w:r w:rsidR="00EB2AF0">
        <w:rPr>
          <w:rStyle w:val="Strong"/>
        </w:rPr>
        <w:t>Growth</w:t>
      </w:r>
      <w:r>
        <w:rPr>
          <w:rStyle w:val="Strong"/>
        </w:rPr>
        <w:t xml:space="preserve"> and Yield</w:t>
      </w:r>
      <w:r w:rsidR="00EB2AF0">
        <w:rPr>
          <w:rStyle w:val="Strong"/>
        </w:rPr>
        <w:t xml:space="preserve"> Attributes</w:t>
      </w:r>
    </w:p>
    <w:p w14:paraId="01AA0F08" w14:textId="77777777" w:rsidR="00EB2AF0" w:rsidRDefault="00EB2AF0" w:rsidP="00EB2AF0">
      <w:pPr>
        <w:pStyle w:val="NormalWeb"/>
        <w:spacing w:before="0" w:beforeAutospacing="0" w:after="0" w:afterAutospacing="0" w:line="360" w:lineRule="auto"/>
        <w:jc w:val="both"/>
        <w:rPr>
          <w:b/>
        </w:rPr>
      </w:pPr>
      <w:r>
        <w:t xml:space="preserve">The days to 50% flowering varied significantly among treatments, with the shortest time observed in silver nanoparticle-treated plants (52.27 days), followed by </w:t>
      </w:r>
      <w:r>
        <w:rPr>
          <w:rStyle w:val="Emphasis"/>
        </w:rPr>
        <w:t xml:space="preserve">Trichoderma </w:t>
      </w:r>
      <w:proofErr w:type="spellStart"/>
      <w:r>
        <w:rPr>
          <w:rStyle w:val="Emphasis"/>
        </w:rPr>
        <w:t>viride</w:t>
      </w:r>
      <w:proofErr w:type="spellEnd"/>
      <w:r>
        <w:t xml:space="preserve"> (54.325 days), whereas the control exhibited the highest duration (61.06 days). This reduction in flowering duration due to silver nanoparticles could be attributed to their role in enhancing enzymatic activity and nutrient uptake (Shang </w:t>
      </w:r>
      <w:r w:rsidRPr="007528C9">
        <w:rPr>
          <w:i/>
        </w:rPr>
        <w:t>et al</w:t>
      </w:r>
      <w:r>
        <w:t>., 2019). Plant height was also significantly influenced, with silver nanoparticle treatment (79.24 cm) recording the highest height, indicating its role in improved cell elongation and metabolic activity (</w:t>
      </w:r>
      <w:proofErr w:type="spellStart"/>
      <w:r>
        <w:t>Raliya</w:t>
      </w:r>
      <w:proofErr w:type="spellEnd"/>
      <w:r>
        <w:t xml:space="preserve"> </w:t>
      </w:r>
      <w:r w:rsidRPr="007528C9">
        <w:rPr>
          <w:i/>
        </w:rPr>
        <w:t>et al</w:t>
      </w:r>
      <w:r>
        <w:t>., 2015).</w:t>
      </w:r>
      <w:r w:rsidR="00B66C4C">
        <w:rPr>
          <w:b/>
        </w:rPr>
        <w:t xml:space="preserve">  </w:t>
      </w:r>
      <w:r w:rsidR="00B66C4C">
        <w:rPr>
          <w:b/>
        </w:rPr>
        <w:tab/>
      </w:r>
      <w:r w:rsidR="00B66C4C">
        <w:rPr>
          <w:b/>
        </w:rPr>
        <w:tab/>
      </w:r>
      <w:r w:rsidR="00B66C4C">
        <w:rPr>
          <w:b/>
        </w:rPr>
        <w:tab/>
      </w:r>
      <w:r>
        <w:t xml:space="preserve">A significant variation was noted in the number of branches per plant, where silver nanoparticle treatment showed the highest number (20.43), followed by </w:t>
      </w:r>
      <w:r>
        <w:rPr>
          <w:rStyle w:val="Emphasis"/>
        </w:rPr>
        <w:t xml:space="preserve">Trichoderma </w:t>
      </w:r>
      <w:proofErr w:type="spellStart"/>
      <w:r>
        <w:rPr>
          <w:rStyle w:val="Emphasis"/>
        </w:rPr>
        <w:t>viride</w:t>
      </w:r>
      <w:proofErr w:type="spellEnd"/>
      <w:r>
        <w:t xml:space="preserve"> (18.49). The increased branching in these treatments could be attributed to improved nutrient availability and hormonal balance (</w:t>
      </w:r>
      <w:proofErr w:type="spellStart"/>
      <w:r>
        <w:t>Vejan</w:t>
      </w:r>
      <w:proofErr w:type="spellEnd"/>
      <w:r>
        <w:t xml:space="preserve"> </w:t>
      </w:r>
      <w:r w:rsidRPr="007528C9">
        <w:rPr>
          <w:i/>
        </w:rPr>
        <w:t>et al</w:t>
      </w:r>
      <w:r>
        <w:t xml:space="preserve">., 2016). The number of umbels per plant was also significantly higher in silver nanoparticle treatment (76.64), followed by </w:t>
      </w:r>
      <w:r>
        <w:rPr>
          <w:rStyle w:val="Emphasis"/>
        </w:rPr>
        <w:t xml:space="preserve">Trichoderma </w:t>
      </w:r>
      <w:proofErr w:type="spellStart"/>
      <w:r>
        <w:rPr>
          <w:rStyle w:val="Emphasis"/>
        </w:rPr>
        <w:t>viride</w:t>
      </w:r>
      <w:proofErr w:type="spellEnd"/>
      <w:r>
        <w:t xml:space="preserve"> (73.25), suggesting enhanced floral initiation and reproductive efficiency.</w:t>
      </w:r>
      <w:r w:rsidR="00B66C4C">
        <w:rPr>
          <w:b/>
        </w:rPr>
        <w:t xml:space="preserve"> </w:t>
      </w:r>
      <w:r w:rsidR="00B66C4C">
        <w:rPr>
          <w:b/>
        </w:rPr>
        <w:tab/>
      </w:r>
      <w:r w:rsidR="00B66C4C">
        <w:rPr>
          <w:b/>
        </w:rPr>
        <w:tab/>
      </w:r>
      <w:r w:rsidR="00B66C4C">
        <w:rPr>
          <w:b/>
        </w:rPr>
        <w:tab/>
      </w:r>
      <w:r w:rsidR="00B66C4C">
        <w:rPr>
          <w:b/>
        </w:rPr>
        <w:tab/>
      </w:r>
      <w:r>
        <w:t xml:space="preserve">The number of </w:t>
      </w:r>
      <w:proofErr w:type="spellStart"/>
      <w:r>
        <w:t>umbellates</w:t>
      </w:r>
      <w:proofErr w:type="spellEnd"/>
      <w:r>
        <w:t xml:space="preserve"> per umbel, fruits per umbel, and fruits per umbellate showed significant differences. Silver nanoparticles resulted in the highest values for all these parameters, with 8.3 </w:t>
      </w:r>
      <w:proofErr w:type="spellStart"/>
      <w:r>
        <w:t>umbellates</w:t>
      </w:r>
      <w:proofErr w:type="spellEnd"/>
      <w:r>
        <w:t xml:space="preserve"> per umbel, 62.3 fruits per umbel, and 8.835 fruits per umbellate. The enhanced reproductive output in silver nanoparticle and </w:t>
      </w:r>
      <w:r>
        <w:rPr>
          <w:rStyle w:val="Emphasis"/>
        </w:rPr>
        <w:t xml:space="preserve">Trichoderma </w:t>
      </w:r>
      <w:proofErr w:type="spellStart"/>
      <w:r>
        <w:rPr>
          <w:rStyle w:val="Emphasis"/>
        </w:rPr>
        <w:t>viride</w:t>
      </w:r>
      <w:proofErr w:type="spellEnd"/>
      <w:r>
        <w:t xml:space="preserve">-treated plants aligns with previous findings suggesting improved pollen viability and fertilization efficiency under such treatments (Singh </w:t>
      </w:r>
      <w:r w:rsidRPr="00EB2AF0">
        <w:rPr>
          <w:i/>
        </w:rPr>
        <w:t>et al.,</w:t>
      </w:r>
      <w:r>
        <w:t xml:space="preserve"> 2020).</w:t>
      </w:r>
    </w:p>
    <w:p w14:paraId="740F691D" w14:textId="77777777" w:rsidR="00EB2AF0" w:rsidRDefault="00EB2AF0" w:rsidP="00EB2AF0">
      <w:pPr>
        <w:pStyle w:val="NormalWeb"/>
        <w:spacing w:before="0" w:beforeAutospacing="0" w:after="0" w:afterAutospacing="0" w:line="360" w:lineRule="auto"/>
        <w:ind w:firstLine="720"/>
        <w:jc w:val="both"/>
        <w:rPr>
          <w:b/>
        </w:rPr>
      </w:pPr>
      <w:r>
        <w:lastRenderedPageBreak/>
        <w:t xml:space="preserve">Seed yield per plant was highest in silver nanoparticle-treated plants (15.54 g), followed by </w:t>
      </w:r>
      <w:r>
        <w:rPr>
          <w:rStyle w:val="Emphasis"/>
        </w:rPr>
        <w:t xml:space="preserve">Trichoderma </w:t>
      </w:r>
      <w:proofErr w:type="spellStart"/>
      <w:r>
        <w:rPr>
          <w:rStyle w:val="Emphasis"/>
        </w:rPr>
        <w:t>viride</w:t>
      </w:r>
      <w:proofErr w:type="spellEnd"/>
      <w:r>
        <w:t xml:space="preserve"> (15.00 g), whereas the control recorded the lowest value (12.00 g). This is in accordance with previous studies indicating that bio-stimulants and nanomaterials can enhance seed development by promoting nutrient translocation and photosynthetic efficiency             </w:t>
      </w:r>
      <w:proofErr w:type="gramStart"/>
      <w:r>
        <w:t xml:space="preserve">   (</w:t>
      </w:r>
      <w:proofErr w:type="spellStart"/>
      <w:proofErr w:type="gramEnd"/>
      <w:r>
        <w:t>Raliya</w:t>
      </w:r>
      <w:proofErr w:type="spellEnd"/>
      <w:r>
        <w:t xml:space="preserve"> </w:t>
      </w:r>
      <w:r w:rsidRPr="00EB2AF0">
        <w:rPr>
          <w:i/>
        </w:rPr>
        <w:t>et al</w:t>
      </w:r>
      <w:r>
        <w:t>., 2016). Similarly, the highest 1000-seed weight (12.05 g) was recorded under silver nanoparticle treatment, demonstrating their role in enhancing seed vigor and quality.</w:t>
      </w:r>
    </w:p>
    <w:p w14:paraId="0E407B1F" w14:textId="77777777" w:rsidR="00EB2AF0" w:rsidRPr="00EB2AF0" w:rsidRDefault="00EB2AF0" w:rsidP="00EB2AF0">
      <w:pPr>
        <w:pStyle w:val="NormalWeb"/>
        <w:spacing w:before="0" w:beforeAutospacing="0" w:after="0" w:afterAutospacing="0" w:line="360" w:lineRule="auto"/>
        <w:ind w:firstLine="720"/>
        <w:jc w:val="both"/>
        <w:rPr>
          <w:b/>
        </w:rPr>
      </w:pPr>
      <w:r>
        <w:t xml:space="preserve">Seed yield per hectare (kg/ha) followed the same trend, with silver nanoparticle treatment yielding the highest (896 kg/ha), followed by </w:t>
      </w:r>
      <w:proofErr w:type="spellStart"/>
      <w:r>
        <w:t>vermiwash</w:t>
      </w:r>
      <w:proofErr w:type="spellEnd"/>
      <w:r>
        <w:t xml:space="preserve"> (788.5 kg/ha) and </w:t>
      </w:r>
      <w:r>
        <w:rPr>
          <w:rStyle w:val="Emphasis"/>
        </w:rPr>
        <w:t xml:space="preserve">Trichoderma </w:t>
      </w:r>
      <w:proofErr w:type="spellStart"/>
      <w:r>
        <w:rPr>
          <w:rStyle w:val="Emphasis"/>
        </w:rPr>
        <w:t>viride</w:t>
      </w:r>
      <w:proofErr w:type="spellEnd"/>
      <w:r>
        <w:t xml:space="preserve"> (679.5 kg/ha). The biological yield also showed significant variations, with silver nanoparticles leading (2683.425 kg/ha). The higher harvest index (HI) observed in </w:t>
      </w:r>
      <w:proofErr w:type="spellStart"/>
      <w:r>
        <w:t>vermiwash</w:t>
      </w:r>
      <w:proofErr w:type="spellEnd"/>
      <w:r>
        <w:t xml:space="preserve"> (35.365%) suggests improved partitioning efficiency, which is crucial for sustainable agricultural practices (</w:t>
      </w:r>
      <w:proofErr w:type="spellStart"/>
      <w:r>
        <w:t>Mosa</w:t>
      </w:r>
      <w:proofErr w:type="spellEnd"/>
      <w:r>
        <w:t xml:space="preserve"> </w:t>
      </w:r>
      <w:r w:rsidRPr="00EB2AF0">
        <w:rPr>
          <w:i/>
        </w:rPr>
        <w:t>et al.,</w:t>
      </w:r>
      <w:r>
        <w:t xml:space="preserve"> 2018).</w:t>
      </w:r>
      <w:r>
        <w:rPr>
          <w:b/>
        </w:rPr>
        <w:t xml:space="preserve"> </w:t>
      </w:r>
      <w:r>
        <w:t xml:space="preserve">The results suggest that silver nanoparticles and </w:t>
      </w:r>
      <w:r>
        <w:rPr>
          <w:rStyle w:val="Emphasis"/>
        </w:rPr>
        <w:t xml:space="preserve">Trichoderma </w:t>
      </w:r>
      <w:proofErr w:type="spellStart"/>
      <w:r>
        <w:rPr>
          <w:rStyle w:val="Emphasis"/>
        </w:rPr>
        <w:t>viride</w:t>
      </w:r>
      <w:proofErr w:type="spellEnd"/>
      <w:r>
        <w:t xml:space="preserve"> significantly enhance growth, yield, and quality parameters. Silver nanoparticles emerged as the most effective treatment, followed by </w:t>
      </w:r>
      <w:r>
        <w:rPr>
          <w:rStyle w:val="Emphasis"/>
        </w:rPr>
        <w:t xml:space="preserve">Trichoderma </w:t>
      </w:r>
      <w:proofErr w:type="spellStart"/>
      <w:r>
        <w:rPr>
          <w:rStyle w:val="Emphasis"/>
        </w:rPr>
        <w:t>viride</w:t>
      </w:r>
      <w:proofErr w:type="spellEnd"/>
      <w:r>
        <w:t xml:space="preserve"> and </w:t>
      </w:r>
      <w:proofErr w:type="spellStart"/>
      <w:r>
        <w:t>vermiwash</w:t>
      </w:r>
      <w:proofErr w:type="spellEnd"/>
      <w:r>
        <w:t xml:space="preserve">, indicating their potential for eco-friendly and sustainable seed enhancement strategies. These findings are consistent with previous studies (Shang </w:t>
      </w:r>
      <w:r w:rsidRPr="00EB2AF0">
        <w:rPr>
          <w:i/>
        </w:rPr>
        <w:t>et al</w:t>
      </w:r>
      <w:r>
        <w:t xml:space="preserve">., 2019; Singh </w:t>
      </w:r>
      <w:r w:rsidRPr="00EB2AF0">
        <w:rPr>
          <w:i/>
        </w:rPr>
        <w:t>et al.,</w:t>
      </w:r>
      <w:r>
        <w:t xml:space="preserve"> 2020), reinforcing the need for further research to optimize dosages and explore long-term effects.</w:t>
      </w:r>
    </w:p>
    <w:p w14:paraId="5ABFFD65" w14:textId="77777777" w:rsidR="000A62CC" w:rsidRDefault="000A62CC" w:rsidP="00E71783">
      <w:pPr>
        <w:pStyle w:val="NormalWeb"/>
        <w:spacing w:before="0" w:beforeAutospacing="0" w:after="0" w:afterAutospacing="0" w:line="360" w:lineRule="auto"/>
        <w:jc w:val="both"/>
      </w:pPr>
    </w:p>
    <w:p w14:paraId="1269012F" w14:textId="77777777" w:rsidR="000A62CC" w:rsidRDefault="000A62CC" w:rsidP="00E71783">
      <w:pPr>
        <w:pStyle w:val="NormalWeb"/>
        <w:spacing w:before="0" w:beforeAutospacing="0" w:after="0" w:afterAutospacing="0" w:line="360" w:lineRule="auto"/>
        <w:jc w:val="both"/>
        <w:sectPr w:rsidR="000A62CC" w:rsidSect="00562F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1261"/>
        <w:gridCol w:w="1093"/>
        <w:gridCol w:w="819"/>
        <w:gridCol w:w="1093"/>
        <w:gridCol w:w="956"/>
        <w:gridCol w:w="1093"/>
        <w:gridCol w:w="1093"/>
        <w:gridCol w:w="1093"/>
        <w:gridCol w:w="819"/>
        <w:gridCol w:w="956"/>
        <w:gridCol w:w="828"/>
        <w:gridCol w:w="1083"/>
        <w:gridCol w:w="989"/>
      </w:tblGrid>
      <w:tr w:rsidR="00314A15" w14:paraId="36C37125" w14:textId="77777777" w:rsidTr="00833CB9">
        <w:tc>
          <w:tcPr>
            <w:tcW w:w="468" w:type="pct"/>
          </w:tcPr>
          <w:p w14:paraId="615F145B" w14:textId="77777777" w:rsidR="00833CB9" w:rsidRDefault="00833CB9" w:rsidP="00E71783">
            <w:pPr>
              <w:pStyle w:val="NormalWeb"/>
              <w:spacing w:before="0" w:beforeAutospacing="0" w:after="0" w:afterAutospacing="0" w:line="360" w:lineRule="auto"/>
              <w:jc w:val="both"/>
              <w:rPr>
                <w:b/>
                <w:sz w:val="22"/>
              </w:rPr>
            </w:pPr>
          </w:p>
          <w:p w14:paraId="179CCE50" w14:textId="77777777" w:rsidR="00833CB9" w:rsidRDefault="00833CB9" w:rsidP="00E71783">
            <w:pPr>
              <w:pStyle w:val="NormalWeb"/>
              <w:spacing w:before="0" w:beforeAutospacing="0" w:after="0" w:afterAutospacing="0" w:line="360" w:lineRule="auto"/>
              <w:jc w:val="both"/>
              <w:rPr>
                <w:b/>
                <w:sz w:val="22"/>
              </w:rPr>
            </w:pPr>
          </w:p>
          <w:p w14:paraId="75A39213" w14:textId="77777777" w:rsidR="00833CB9" w:rsidRPr="00833CB9" w:rsidRDefault="00833CB9" w:rsidP="00E71783">
            <w:pPr>
              <w:pStyle w:val="NormalWeb"/>
              <w:spacing w:before="0" w:beforeAutospacing="0" w:after="0" w:afterAutospacing="0" w:line="360" w:lineRule="auto"/>
              <w:jc w:val="both"/>
              <w:rPr>
                <w:b/>
              </w:rPr>
            </w:pPr>
            <w:r w:rsidRPr="00833CB9">
              <w:rPr>
                <w:b/>
                <w:sz w:val="22"/>
              </w:rPr>
              <w:t>Treatment</w:t>
            </w:r>
          </w:p>
        </w:tc>
        <w:tc>
          <w:tcPr>
            <w:tcW w:w="416" w:type="pct"/>
          </w:tcPr>
          <w:p w14:paraId="1F27D9E4" w14:textId="77777777" w:rsidR="00833CB9" w:rsidRPr="00833CB9" w:rsidRDefault="00833CB9" w:rsidP="00833CB9">
            <w:pPr>
              <w:pStyle w:val="NormalWeb"/>
              <w:spacing w:before="0" w:beforeAutospacing="0" w:after="0" w:afterAutospacing="0" w:line="360" w:lineRule="auto"/>
              <w:jc w:val="center"/>
              <w:rPr>
                <w:sz w:val="20"/>
              </w:rPr>
            </w:pPr>
            <w:r w:rsidRPr="00833CB9">
              <w:rPr>
                <w:b/>
                <w:bCs/>
                <w:sz w:val="20"/>
              </w:rPr>
              <w:t>Days to 50 % flowering</w:t>
            </w:r>
          </w:p>
        </w:tc>
        <w:tc>
          <w:tcPr>
            <w:tcW w:w="312" w:type="pct"/>
          </w:tcPr>
          <w:p w14:paraId="56DEC463" w14:textId="77777777" w:rsidR="00833CB9" w:rsidRPr="00833CB9" w:rsidRDefault="00833CB9" w:rsidP="00833CB9">
            <w:pPr>
              <w:pStyle w:val="NormalWeb"/>
              <w:spacing w:before="0" w:beforeAutospacing="0" w:after="0" w:afterAutospacing="0" w:line="360" w:lineRule="auto"/>
              <w:jc w:val="center"/>
              <w:rPr>
                <w:sz w:val="20"/>
              </w:rPr>
            </w:pPr>
            <w:r w:rsidRPr="00833CB9">
              <w:rPr>
                <w:b/>
                <w:sz w:val="20"/>
              </w:rPr>
              <w:t>Plant height (cm)</w:t>
            </w:r>
          </w:p>
        </w:tc>
        <w:tc>
          <w:tcPr>
            <w:tcW w:w="416" w:type="pct"/>
          </w:tcPr>
          <w:p w14:paraId="3B20EB86" w14:textId="77777777" w:rsidR="00833CB9" w:rsidRPr="00833CB9" w:rsidRDefault="00833CB9" w:rsidP="00833CB9">
            <w:pPr>
              <w:pStyle w:val="NormalWeb"/>
              <w:spacing w:before="0" w:beforeAutospacing="0" w:after="0" w:afterAutospacing="0" w:line="360" w:lineRule="auto"/>
              <w:jc w:val="center"/>
              <w:rPr>
                <w:sz w:val="20"/>
              </w:rPr>
            </w:pPr>
            <w:r w:rsidRPr="00833CB9">
              <w:rPr>
                <w:b/>
                <w:bCs/>
                <w:sz w:val="20"/>
              </w:rPr>
              <w:t>Number of branches per plant</w:t>
            </w:r>
          </w:p>
        </w:tc>
        <w:tc>
          <w:tcPr>
            <w:tcW w:w="364" w:type="pct"/>
          </w:tcPr>
          <w:p w14:paraId="78F83A2F" w14:textId="77777777" w:rsidR="00833CB9" w:rsidRPr="00833CB9" w:rsidRDefault="00833CB9" w:rsidP="00833CB9">
            <w:pPr>
              <w:pStyle w:val="NormalWeb"/>
              <w:spacing w:before="0" w:beforeAutospacing="0" w:after="0" w:afterAutospacing="0" w:line="360" w:lineRule="auto"/>
              <w:jc w:val="center"/>
              <w:rPr>
                <w:sz w:val="20"/>
              </w:rPr>
            </w:pPr>
            <w:r w:rsidRPr="00833CB9">
              <w:rPr>
                <w:b/>
                <w:bCs/>
                <w:sz w:val="20"/>
              </w:rPr>
              <w:t xml:space="preserve">Number of </w:t>
            </w:r>
            <w:proofErr w:type="gramStart"/>
            <w:r w:rsidRPr="00833CB9">
              <w:rPr>
                <w:b/>
                <w:bCs/>
                <w:sz w:val="20"/>
              </w:rPr>
              <w:t>umbel</w:t>
            </w:r>
            <w:proofErr w:type="gramEnd"/>
            <w:r w:rsidRPr="00833CB9">
              <w:rPr>
                <w:b/>
                <w:bCs/>
                <w:sz w:val="20"/>
              </w:rPr>
              <w:t xml:space="preserve"> per plant</w:t>
            </w:r>
          </w:p>
        </w:tc>
        <w:tc>
          <w:tcPr>
            <w:tcW w:w="416" w:type="pct"/>
          </w:tcPr>
          <w:p w14:paraId="65DD1A5A" w14:textId="77777777" w:rsidR="00833CB9" w:rsidRPr="00833CB9" w:rsidRDefault="00833CB9" w:rsidP="00833CB9">
            <w:pPr>
              <w:pStyle w:val="NormalWeb"/>
              <w:spacing w:before="0" w:beforeAutospacing="0" w:after="0" w:afterAutospacing="0" w:line="360" w:lineRule="auto"/>
              <w:jc w:val="center"/>
              <w:rPr>
                <w:sz w:val="20"/>
              </w:rPr>
            </w:pPr>
            <w:r w:rsidRPr="00833CB9">
              <w:rPr>
                <w:b/>
                <w:bCs/>
                <w:sz w:val="20"/>
              </w:rPr>
              <w:t xml:space="preserve">Number </w:t>
            </w:r>
            <w:proofErr w:type="gramStart"/>
            <w:r w:rsidRPr="00833CB9">
              <w:rPr>
                <w:b/>
                <w:bCs/>
                <w:sz w:val="20"/>
              </w:rPr>
              <w:t>of  umbellate</w:t>
            </w:r>
            <w:proofErr w:type="gramEnd"/>
            <w:r w:rsidRPr="00833CB9">
              <w:rPr>
                <w:b/>
                <w:bCs/>
                <w:sz w:val="20"/>
              </w:rPr>
              <w:t xml:space="preserve"> per umbel</w:t>
            </w:r>
          </w:p>
        </w:tc>
        <w:tc>
          <w:tcPr>
            <w:tcW w:w="416" w:type="pct"/>
          </w:tcPr>
          <w:p w14:paraId="6E48E382" w14:textId="77777777" w:rsidR="00833CB9" w:rsidRPr="00833CB9" w:rsidRDefault="00833CB9" w:rsidP="00833CB9">
            <w:pPr>
              <w:pStyle w:val="NormalWeb"/>
              <w:spacing w:before="0" w:beforeAutospacing="0" w:after="0" w:afterAutospacing="0" w:line="360" w:lineRule="auto"/>
              <w:jc w:val="center"/>
              <w:rPr>
                <w:sz w:val="20"/>
              </w:rPr>
            </w:pPr>
            <w:r w:rsidRPr="00833CB9">
              <w:rPr>
                <w:b/>
                <w:bCs/>
                <w:sz w:val="20"/>
              </w:rPr>
              <w:t>Number of fruits per umbel</w:t>
            </w:r>
          </w:p>
        </w:tc>
        <w:tc>
          <w:tcPr>
            <w:tcW w:w="416" w:type="pct"/>
          </w:tcPr>
          <w:p w14:paraId="7D4CD2E1" w14:textId="77777777" w:rsidR="00833CB9" w:rsidRPr="00833CB9" w:rsidRDefault="00833CB9" w:rsidP="00833CB9">
            <w:pPr>
              <w:pStyle w:val="NormalWeb"/>
              <w:spacing w:before="0" w:beforeAutospacing="0" w:after="0" w:afterAutospacing="0" w:line="360" w:lineRule="auto"/>
              <w:jc w:val="center"/>
              <w:rPr>
                <w:b/>
                <w:bCs/>
                <w:sz w:val="20"/>
              </w:rPr>
            </w:pPr>
            <w:r w:rsidRPr="00833CB9">
              <w:rPr>
                <w:b/>
                <w:bCs/>
                <w:sz w:val="20"/>
              </w:rPr>
              <w:t>Number of fruits per umbellate</w:t>
            </w:r>
          </w:p>
        </w:tc>
        <w:tc>
          <w:tcPr>
            <w:tcW w:w="312" w:type="pct"/>
          </w:tcPr>
          <w:p w14:paraId="07430E3C" w14:textId="77777777" w:rsidR="00833CB9" w:rsidRPr="00833CB9" w:rsidRDefault="00833CB9" w:rsidP="00833CB9">
            <w:pPr>
              <w:pStyle w:val="NormalWeb"/>
              <w:spacing w:before="0" w:beforeAutospacing="0" w:after="0" w:afterAutospacing="0" w:line="360" w:lineRule="auto"/>
              <w:jc w:val="center"/>
              <w:rPr>
                <w:b/>
                <w:bCs/>
                <w:sz w:val="20"/>
              </w:rPr>
            </w:pPr>
            <w:r w:rsidRPr="00833CB9">
              <w:rPr>
                <w:b/>
                <w:bCs/>
                <w:sz w:val="20"/>
              </w:rPr>
              <w:t>Seed yield per plant (g)</w:t>
            </w:r>
          </w:p>
        </w:tc>
        <w:tc>
          <w:tcPr>
            <w:tcW w:w="364" w:type="pct"/>
          </w:tcPr>
          <w:p w14:paraId="3285B717" w14:textId="77777777" w:rsidR="00833CB9" w:rsidRPr="00833CB9" w:rsidRDefault="00833CB9" w:rsidP="00833CB9">
            <w:pPr>
              <w:pStyle w:val="NormalWeb"/>
              <w:spacing w:before="0" w:beforeAutospacing="0" w:after="0" w:afterAutospacing="0" w:line="360" w:lineRule="auto"/>
              <w:jc w:val="center"/>
              <w:rPr>
                <w:b/>
                <w:bCs/>
                <w:sz w:val="20"/>
              </w:rPr>
            </w:pPr>
            <w:r w:rsidRPr="00833CB9">
              <w:rPr>
                <w:b/>
                <w:bCs/>
                <w:sz w:val="20"/>
              </w:rPr>
              <w:t>1000 seed weight (g)</w:t>
            </w:r>
          </w:p>
        </w:tc>
        <w:tc>
          <w:tcPr>
            <w:tcW w:w="312" w:type="pct"/>
          </w:tcPr>
          <w:p w14:paraId="4ECDB609" w14:textId="77777777" w:rsidR="00833CB9" w:rsidRPr="00833CB9" w:rsidRDefault="00833CB9" w:rsidP="00833CB9">
            <w:pPr>
              <w:pStyle w:val="NormalWeb"/>
              <w:spacing w:before="0" w:beforeAutospacing="0" w:after="0" w:afterAutospacing="0" w:line="360" w:lineRule="auto"/>
              <w:jc w:val="center"/>
              <w:rPr>
                <w:b/>
                <w:bCs/>
                <w:sz w:val="20"/>
              </w:rPr>
            </w:pPr>
            <w:r w:rsidRPr="00833CB9">
              <w:rPr>
                <w:b/>
                <w:bCs/>
                <w:sz w:val="20"/>
              </w:rPr>
              <w:t>Seed yield (kg/ha)</w:t>
            </w:r>
          </w:p>
        </w:tc>
        <w:tc>
          <w:tcPr>
            <w:tcW w:w="412" w:type="pct"/>
          </w:tcPr>
          <w:p w14:paraId="44CD5874" w14:textId="77777777" w:rsidR="00833CB9" w:rsidRPr="00833CB9" w:rsidRDefault="00833CB9" w:rsidP="00833CB9">
            <w:pPr>
              <w:pStyle w:val="NormalWeb"/>
              <w:spacing w:before="0" w:beforeAutospacing="0" w:after="0" w:afterAutospacing="0" w:line="360" w:lineRule="auto"/>
              <w:jc w:val="center"/>
              <w:rPr>
                <w:b/>
                <w:bCs/>
                <w:sz w:val="20"/>
              </w:rPr>
            </w:pPr>
            <w:r w:rsidRPr="00833CB9">
              <w:rPr>
                <w:b/>
                <w:kern w:val="2"/>
                <w:sz w:val="20"/>
              </w:rPr>
              <w:t>Biological</w:t>
            </w:r>
            <w:r w:rsidRPr="00833CB9">
              <w:rPr>
                <w:b/>
                <w:spacing w:val="2"/>
                <w:kern w:val="2"/>
                <w:sz w:val="20"/>
              </w:rPr>
              <w:t xml:space="preserve"> </w:t>
            </w:r>
            <w:r w:rsidRPr="00833CB9">
              <w:rPr>
                <w:b/>
                <w:kern w:val="2"/>
                <w:sz w:val="20"/>
              </w:rPr>
              <w:t>yield</w:t>
            </w:r>
            <w:r w:rsidRPr="00833CB9">
              <w:rPr>
                <w:b/>
                <w:spacing w:val="-2"/>
                <w:kern w:val="2"/>
                <w:sz w:val="20"/>
              </w:rPr>
              <w:t xml:space="preserve"> </w:t>
            </w:r>
            <w:r>
              <w:rPr>
                <w:b/>
                <w:spacing w:val="-2"/>
                <w:kern w:val="2"/>
                <w:sz w:val="20"/>
              </w:rPr>
              <w:t xml:space="preserve">        </w:t>
            </w:r>
            <w:proofErr w:type="gramStart"/>
            <w:r>
              <w:rPr>
                <w:b/>
                <w:spacing w:val="-2"/>
                <w:kern w:val="2"/>
                <w:sz w:val="20"/>
              </w:rPr>
              <w:t xml:space="preserve">   </w:t>
            </w:r>
            <w:r w:rsidRPr="00833CB9">
              <w:rPr>
                <w:b/>
                <w:kern w:val="2"/>
                <w:sz w:val="20"/>
              </w:rPr>
              <w:t>(</w:t>
            </w:r>
            <w:proofErr w:type="gramEnd"/>
            <w:r w:rsidRPr="00833CB9">
              <w:rPr>
                <w:b/>
                <w:kern w:val="2"/>
                <w:sz w:val="20"/>
              </w:rPr>
              <w:t>kg</w:t>
            </w:r>
            <w:r w:rsidRPr="00833CB9">
              <w:rPr>
                <w:b/>
                <w:spacing w:val="-4"/>
                <w:kern w:val="2"/>
                <w:sz w:val="20"/>
              </w:rPr>
              <w:t xml:space="preserve"> </w:t>
            </w:r>
            <w:r w:rsidRPr="00833CB9">
              <w:rPr>
                <w:b/>
                <w:kern w:val="2"/>
                <w:sz w:val="20"/>
              </w:rPr>
              <w:t>ha</w:t>
            </w:r>
            <w:r w:rsidRPr="00833CB9">
              <w:rPr>
                <w:b/>
                <w:kern w:val="2"/>
                <w:sz w:val="20"/>
                <w:vertAlign w:val="superscript"/>
              </w:rPr>
              <w:t>-1</w:t>
            </w:r>
            <w:r w:rsidRPr="00833CB9">
              <w:rPr>
                <w:b/>
                <w:kern w:val="2"/>
                <w:sz w:val="20"/>
              </w:rPr>
              <w:t>)</w:t>
            </w:r>
          </w:p>
        </w:tc>
        <w:tc>
          <w:tcPr>
            <w:tcW w:w="378" w:type="pct"/>
          </w:tcPr>
          <w:p w14:paraId="14C7242C" w14:textId="77777777" w:rsidR="00833CB9" w:rsidRPr="00833CB9" w:rsidRDefault="00833CB9" w:rsidP="00833CB9">
            <w:pPr>
              <w:pStyle w:val="NormalWeb"/>
              <w:spacing w:before="0" w:beforeAutospacing="0" w:after="0" w:afterAutospacing="0" w:line="360" w:lineRule="auto"/>
              <w:jc w:val="center"/>
              <w:rPr>
                <w:b/>
                <w:kern w:val="2"/>
                <w:sz w:val="20"/>
              </w:rPr>
            </w:pPr>
            <w:r w:rsidRPr="00833CB9">
              <w:rPr>
                <w:b/>
                <w:kern w:val="2"/>
                <w:sz w:val="20"/>
              </w:rPr>
              <w:t>Harvest</w:t>
            </w:r>
            <w:r w:rsidRPr="00833CB9">
              <w:rPr>
                <w:b/>
                <w:spacing w:val="-3"/>
                <w:kern w:val="2"/>
                <w:sz w:val="20"/>
              </w:rPr>
              <w:t xml:space="preserve"> </w:t>
            </w:r>
            <w:r w:rsidRPr="00833CB9">
              <w:rPr>
                <w:b/>
                <w:kern w:val="2"/>
                <w:sz w:val="20"/>
              </w:rPr>
              <w:t>index (%)</w:t>
            </w:r>
          </w:p>
        </w:tc>
      </w:tr>
      <w:tr w:rsidR="00314A15" w14:paraId="6F53D561" w14:textId="77777777" w:rsidTr="00833CB9">
        <w:tc>
          <w:tcPr>
            <w:tcW w:w="468" w:type="pct"/>
          </w:tcPr>
          <w:p w14:paraId="02D86506" w14:textId="77777777" w:rsidR="00833CB9" w:rsidRPr="00833CB9" w:rsidRDefault="00833CB9" w:rsidP="00833CB9">
            <w:pPr>
              <w:spacing w:line="360" w:lineRule="auto"/>
              <w:jc w:val="center"/>
              <w:rPr>
                <w:rFonts w:ascii="Times New Roman" w:hAnsi="Times New Roman" w:cs="Times New Roman"/>
                <w:sz w:val="20"/>
              </w:rPr>
            </w:pPr>
            <w:r w:rsidRPr="00833CB9">
              <w:rPr>
                <w:rFonts w:ascii="Times New Roman" w:hAnsi="Times New Roman" w:cs="Times New Roman"/>
                <w:i/>
                <w:iCs/>
                <w:sz w:val="20"/>
              </w:rPr>
              <w:t xml:space="preserve">Trichoderma </w:t>
            </w:r>
            <w:proofErr w:type="spellStart"/>
            <w:r w:rsidRPr="00833CB9">
              <w:rPr>
                <w:rFonts w:ascii="Times New Roman" w:hAnsi="Times New Roman" w:cs="Times New Roman"/>
                <w:i/>
                <w:iCs/>
                <w:sz w:val="20"/>
              </w:rPr>
              <w:t>viride</w:t>
            </w:r>
            <w:proofErr w:type="spellEnd"/>
            <w:r w:rsidRPr="00833CB9">
              <w:rPr>
                <w:rFonts w:ascii="Times New Roman" w:hAnsi="Times New Roman" w:cs="Times New Roman"/>
                <w:i/>
                <w:iCs/>
                <w:sz w:val="20"/>
              </w:rPr>
              <w:t xml:space="preserve"> </w:t>
            </w:r>
          </w:p>
        </w:tc>
        <w:tc>
          <w:tcPr>
            <w:tcW w:w="416" w:type="pct"/>
            <w:vAlign w:val="bottom"/>
          </w:tcPr>
          <w:p w14:paraId="42A83CB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54.325</w:t>
            </w:r>
          </w:p>
        </w:tc>
        <w:tc>
          <w:tcPr>
            <w:tcW w:w="312" w:type="pct"/>
            <w:vAlign w:val="bottom"/>
          </w:tcPr>
          <w:p w14:paraId="4B2E38C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75.2</w:t>
            </w:r>
          </w:p>
        </w:tc>
        <w:tc>
          <w:tcPr>
            <w:tcW w:w="416" w:type="pct"/>
            <w:vAlign w:val="center"/>
          </w:tcPr>
          <w:p w14:paraId="47445A1F" w14:textId="77777777" w:rsidR="00833CB9" w:rsidRDefault="00833CB9" w:rsidP="00833CB9">
            <w:pPr>
              <w:spacing w:line="360" w:lineRule="auto"/>
              <w:jc w:val="center"/>
              <w:rPr>
                <w:rFonts w:ascii="Times New Roman" w:hAnsi="Times New Roman" w:cs="Times New Roman"/>
                <w:sz w:val="20"/>
                <w:szCs w:val="20"/>
              </w:rPr>
            </w:pPr>
          </w:p>
          <w:p w14:paraId="24422377"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18.49</w:t>
            </w:r>
          </w:p>
        </w:tc>
        <w:tc>
          <w:tcPr>
            <w:tcW w:w="364" w:type="pct"/>
            <w:vAlign w:val="bottom"/>
          </w:tcPr>
          <w:p w14:paraId="18575BA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73.25</w:t>
            </w:r>
          </w:p>
        </w:tc>
        <w:tc>
          <w:tcPr>
            <w:tcW w:w="416" w:type="pct"/>
            <w:vAlign w:val="bottom"/>
          </w:tcPr>
          <w:p w14:paraId="6A64042F"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6.38</w:t>
            </w:r>
          </w:p>
        </w:tc>
        <w:tc>
          <w:tcPr>
            <w:tcW w:w="416" w:type="pct"/>
            <w:vAlign w:val="bottom"/>
          </w:tcPr>
          <w:p w14:paraId="1A017C35"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55.5</w:t>
            </w:r>
          </w:p>
        </w:tc>
        <w:tc>
          <w:tcPr>
            <w:tcW w:w="416" w:type="pct"/>
            <w:vAlign w:val="bottom"/>
          </w:tcPr>
          <w:p w14:paraId="4606BDC4"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8.33</w:t>
            </w:r>
          </w:p>
        </w:tc>
        <w:tc>
          <w:tcPr>
            <w:tcW w:w="312" w:type="pct"/>
            <w:vAlign w:val="bottom"/>
          </w:tcPr>
          <w:p w14:paraId="0BAAF11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15.00</w:t>
            </w:r>
          </w:p>
        </w:tc>
        <w:tc>
          <w:tcPr>
            <w:tcW w:w="364" w:type="pct"/>
            <w:vAlign w:val="bottom"/>
          </w:tcPr>
          <w:p w14:paraId="37F057AD"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11.23</w:t>
            </w:r>
          </w:p>
        </w:tc>
        <w:tc>
          <w:tcPr>
            <w:tcW w:w="312" w:type="pct"/>
            <w:vAlign w:val="bottom"/>
          </w:tcPr>
          <w:p w14:paraId="1A604A8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679.5</w:t>
            </w:r>
          </w:p>
        </w:tc>
        <w:tc>
          <w:tcPr>
            <w:tcW w:w="412" w:type="pct"/>
            <w:vAlign w:val="bottom"/>
          </w:tcPr>
          <w:p w14:paraId="7B183691"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2482.975</w:t>
            </w:r>
          </w:p>
        </w:tc>
        <w:tc>
          <w:tcPr>
            <w:tcW w:w="378" w:type="pct"/>
            <w:vAlign w:val="bottom"/>
          </w:tcPr>
          <w:p w14:paraId="6AF25FD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27.365</w:t>
            </w:r>
          </w:p>
        </w:tc>
      </w:tr>
      <w:tr w:rsidR="00314A15" w14:paraId="0B5A01B7" w14:textId="77777777" w:rsidTr="00833CB9">
        <w:tc>
          <w:tcPr>
            <w:tcW w:w="468" w:type="pct"/>
          </w:tcPr>
          <w:p w14:paraId="7E2DEA70" w14:textId="77777777" w:rsidR="00833CB9" w:rsidRPr="00833CB9" w:rsidRDefault="00833CB9" w:rsidP="00833CB9">
            <w:pPr>
              <w:spacing w:line="360" w:lineRule="auto"/>
              <w:jc w:val="center"/>
              <w:rPr>
                <w:rFonts w:ascii="Times New Roman" w:hAnsi="Times New Roman" w:cs="Times New Roman"/>
                <w:sz w:val="20"/>
              </w:rPr>
            </w:pPr>
            <w:proofErr w:type="spellStart"/>
            <w:r w:rsidRPr="00833CB9">
              <w:rPr>
                <w:rFonts w:ascii="Times New Roman" w:hAnsi="Times New Roman" w:cs="Times New Roman"/>
                <w:sz w:val="20"/>
              </w:rPr>
              <w:t>Vermiwash</w:t>
            </w:r>
            <w:proofErr w:type="spellEnd"/>
            <w:r w:rsidRPr="00833CB9">
              <w:rPr>
                <w:rFonts w:ascii="Times New Roman" w:hAnsi="Times New Roman" w:cs="Times New Roman"/>
                <w:sz w:val="20"/>
              </w:rPr>
              <w:t xml:space="preserve"> </w:t>
            </w:r>
          </w:p>
        </w:tc>
        <w:tc>
          <w:tcPr>
            <w:tcW w:w="416" w:type="pct"/>
            <w:vAlign w:val="bottom"/>
          </w:tcPr>
          <w:p w14:paraId="4287C2CC"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56.575</w:t>
            </w:r>
          </w:p>
        </w:tc>
        <w:tc>
          <w:tcPr>
            <w:tcW w:w="312" w:type="pct"/>
            <w:vAlign w:val="bottom"/>
          </w:tcPr>
          <w:p w14:paraId="6D48EC8A"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70.5</w:t>
            </w:r>
          </w:p>
        </w:tc>
        <w:tc>
          <w:tcPr>
            <w:tcW w:w="416" w:type="pct"/>
            <w:vAlign w:val="center"/>
          </w:tcPr>
          <w:p w14:paraId="21A7619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17.89</w:t>
            </w:r>
          </w:p>
        </w:tc>
        <w:tc>
          <w:tcPr>
            <w:tcW w:w="364" w:type="pct"/>
            <w:vAlign w:val="bottom"/>
          </w:tcPr>
          <w:p w14:paraId="2D56E63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65.38</w:t>
            </w:r>
          </w:p>
        </w:tc>
        <w:tc>
          <w:tcPr>
            <w:tcW w:w="416" w:type="pct"/>
            <w:vAlign w:val="bottom"/>
          </w:tcPr>
          <w:p w14:paraId="79C9E2EE"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6.23</w:t>
            </w:r>
          </w:p>
        </w:tc>
        <w:tc>
          <w:tcPr>
            <w:tcW w:w="416" w:type="pct"/>
            <w:vAlign w:val="bottom"/>
          </w:tcPr>
          <w:p w14:paraId="5113AB56"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53.25</w:t>
            </w:r>
          </w:p>
        </w:tc>
        <w:tc>
          <w:tcPr>
            <w:tcW w:w="416" w:type="pct"/>
            <w:vAlign w:val="bottom"/>
          </w:tcPr>
          <w:p w14:paraId="7AA0EB37"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7.965</w:t>
            </w:r>
          </w:p>
        </w:tc>
        <w:tc>
          <w:tcPr>
            <w:tcW w:w="312" w:type="pct"/>
            <w:vAlign w:val="bottom"/>
          </w:tcPr>
          <w:p w14:paraId="0A6C892E"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14.00</w:t>
            </w:r>
          </w:p>
        </w:tc>
        <w:tc>
          <w:tcPr>
            <w:tcW w:w="364" w:type="pct"/>
            <w:vAlign w:val="bottom"/>
          </w:tcPr>
          <w:p w14:paraId="00D7684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10.99</w:t>
            </w:r>
          </w:p>
        </w:tc>
        <w:tc>
          <w:tcPr>
            <w:tcW w:w="312" w:type="pct"/>
            <w:vAlign w:val="bottom"/>
          </w:tcPr>
          <w:p w14:paraId="62C838F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788.5</w:t>
            </w:r>
          </w:p>
        </w:tc>
        <w:tc>
          <w:tcPr>
            <w:tcW w:w="412" w:type="pct"/>
            <w:vAlign w:val="bottom"/>
          </w:tcPr>
          <w:p w14:paraId="363E5F6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2229.515</w:t>
            </w:r>
          </w:p>
        </w:tc>
        <w:tc>
          <w:tcPr>
            <w:tcW w:w="378" w:type="pct"/>
            <w:vAlign w:val="bottom"/>
          </w:tcPr>
          <w:p w14:paraId="11DDF704"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35.365</w:t>
            </w:r>
          </w:p>
        </w:tc>
      </w:tr>
      <w:tr w:rsidR="00314A15" w14:paraId="07C72596" w14:textId="77777777" w:rsidTr="00833CB9">
        <w:tc>
          <w:tcPr>
            <w:tcW w:w="468" w:type="pct"/>
          </w:tcPr>
          <w:p w14:paraId="170071DF" w14:textId="77777777" w:rsidR="00833CB9" w:rsidRPr="00833CB9" w:rsidRDefault="00833CB9" w:rsidP="00833CB9">
            <w:pPr>
              <w:spacing w:line="360" w:lineRule="auto"/>
              <w:jc w:val="center"/>
              <w:rPr>
                <w:rFonts w:ascii="Times New Roman" w:hAnsi="Times New Roman" w:cs="Times New Roman"/>
                <w:sz w:val="20"/>
              </w:rPr>
            </w:pPr>
            <w:r w:rsidRPr="00833CB9">
              <w:rPr>
                <w:rFonts w:ascii="Times New Roman" w:hAnsi="Times New Roman" w:cs="Times New Roman"/>
                <w:sz w:val="20"/>
              </w:rPr>
              <w:t xml:space="preserve">Silver nanoparticle </w:t>
            </w:r>
          </w:p>
        </w:tc>
        <w:tc>
          <w:tcPr>
            <w:tcW w:w="416" w:type="pct"/>
            <w:vAlign w:val="bottom"/>
          </w:tcPr>
          <w:p w14:paraId="071D27D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52.27</w:t>
            </w:r>
          </w:p>
        </w:tc>
        <w:tc>
          <w:tcPr>
            <w:tcW w:w="312" w:type="pct"/>
            <w:vAlign w:val="bottom"/>
          </w:tcPr>
          <w:p w14:paraId="048D526C"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79.24</w:t>
            </w:r>
          </w:p>
        </w:tc>
        <w:tc>
          <w:tcPr>
            <w:tcW w:w="416" w:type="pct"/>
            <w:vAlign w:val="center"/>
          </w:tcPr>
          <w:p w14:paraId="3C9FB660" w14:textId="77777777" w:rsidR="00314A15" w:rsidRDefault="00314A15" w:rsidP="00833CB9">
            <w:pPr>
              <w:spacing w:line="360" w:lineRule="auto"/>
              <w:jc w:val="center"/>
              <w:rPr>
                <w:rFonts w:ascii="Times New Roman" w:hAnsi="Times New Roman" w:cs="Times New Roman"/>
                <w:sz w:val="20"/>
                <w:szCs w:val="20"/>
              </w:rPr>
            </w:pPr>
          </w:p>
          <w:p w14:paraId="5624631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20.43</w:t>
            </w:r>
          </w:p>
        </w:tc>
        <w:tc>
          <w:tcPr>
            <w:tcW w:w="364" w:type="pct"/>
            <w:vAlign w:val="bottom"/>
          </w:tcPr>
          <w:p w14:paraId="4CFAE1A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76.64</w:t>
            </w:r>
          </w:p>
        </w:tc>
        <w:tc>
          <w:tcPr>
            <w:tcW w:w="416" w:type="pct"/>
            <w:vAlign w:val="bottom"/>
          </w:tcPr>
          <w:p w14:paraId="4FB03550"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8.3</w:t>
            </w:r>
          </w:p>
        </w:tc>
        <w:tc>
          <w:tcPr>
            <w:tcW w:w="416" w:type="pct"/>
            <w:vAlign w:val="bottom"/>
          </w:tcPr>
          <w:p w14:paraId="35FA0FE3"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62.3</w:t>
            </w:r>
          </w:p>
        </w:tc>
        <w:tc>
          <w:tcPr>
            <w:tcW w:w="416" w:type="pct"/>
            <w:vAlign w:val="bottom"/>
          </w:tcPr>
          <w:p w14:paraId="5540386D"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8.835</w:t>
            </w:r>
          </w:p>
        </w:tc>
        <w:tc>
          <w:tcPr>
            <w:tcW w:w="312" w:type="pct"/>
            <w:vAlign w:val="bottom"/>
          </w:tcPr>
          <w:p w14:paraId="1BC199F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15.54</w:t>
            </w:r>
          </w:p>
        </w:tc>
        <w:tc>
          <w:tcPr>
            <w:tcW w:w="364" w:type="pct"/>
            <w:vAlign w:val="bottom"/>
          </w:tcPr>
          <w:p w14:paraId="6D3BA56A"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12.05</w:t>
            </w:r>
          </w:p>
        </w:tc>
        <w:tc>
          <w:tcPr>
            <w:tcW w:w="312" w:type="pct"/>
            <w:vAlign w:val="bottom"/>
          </w:tcPr>
          <w:p w14:paraId="2445BECF"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896</w:t>
            </w:r>
          </w:p>
        </w:tc>
        <w:tc>
          <w:tcPr>
            <w:tcW w:w="412" w:type="pct"/>
            <w:vAlign w:val="bottom"/>
          </w:tcPr>
          <w:p w14:paraId="22B5C2E0"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2683.425</w:t>
            </w:r>
          </w:p>
        </w:tc>
        <w:tc>
          <w:tcPr>
            <w:tcW w:w="378" w:type="pct"/>
            <w:vAlign w:val="bottom"/>
          </w:tcPr>
          <w:p w14:paraId="3201BD47"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33.395</w:t>
            </w:r>
          </w:p>
        </w:tc>
      </w:tr>
      <w:tr w:rsidR="00314A15" w14:paraId="6592E2FF" w14:textId="77777777" w:rsidTr="00833CB9">
        <w:tc>
          <w:tcPr>
            <w:tcW w:w="468" w:type="pct"/>
          </w:tcPr>
          <w:p w14:paraId="7DF9A855" w14:textId="77777777" w:rsidR="00833CB9" w:rsidRPr="00833CB9" w:rsidRDefault="00833CB9" w:rsidP="00833CB9">
            <w:pPr>
              <w:spacing w:line="360" w:lineRule="auto"/>
              <w:jc w:val="center"/>
              <w:rPr>
                <w:rFonts w:ascii="Times New Roman" w:hAnsi="Times New Roman" w:cs="Times New Roman"/>
                <w:sz w:val="20"/>
              </w:rPr>
            </w:pPr>
            <w:r w:rsidRPr="00833CB9">
              <w:rPr>
                <w:rFonts w:ascii="Times New Roman" w:hAnsi="Times New Roman" w:cs="Times New Roman"/>
                <w:sz w:val="20"/>
              </w:rPr>
              <w:t xml:space="preserve">Conc. </w:t>
            </w:r>
            <w:r w:rsidRPr="00833CB9">
              <w:rPr>
                <w:rFonts w:ascii="Times New Roman" w:hAnsi="Times New Roman" w:cs="Times New Roman"/>
                <w:sz w:val="20"/>
                <w:szCs w:val="24"/>
              </w:rPr>
              <w:t>H</w:t>
            </w:r>
            <w:r w:rsidRPr="00833CB9">
              <w:rPr>
                <w:rFonts w:ascii="Times New Roman" w:hAnsi="Times New Roman" w:cs="Times New Roman"/>
                <w:sz w:val="20"/>
                <w:szCs w:val="24"/>
                <w:vertAlign w:val="subscript"/>
              </w:rPr>
              <w:t>2</w:t>
            </w:r>
            <w:r w:rsidRPr="00833CB9">
              <w:rPr>
                <w:rFonts w:ascii="Times New Roman" w:hAnsi="Times New Roman" w:cs="Times New Roman"/>
                <w:sz w:val="20"/>
                <w:szCs w:val="24"/>
              </w:rPr>
              <w:t>SO</w:t>
            </w:r>
            <w:r w:rsidRPr="00833CB9">
              <w:rPr>
                <w:rFonts w:ascii="Times New Roman" w:hAnsi="Times New Roman" w:cs="Times New Roman"/>
                <w:sz w:val="20"/>
                <w:szCs w:val="24"/>
                <w:vertAlign w:val="subscript"/>
              </w:rPr>
              <w:t>4</w:t>
            </w:r>
            <w:r w:rsidRPr="00833CB9">
              <w:rPr>
                <w:rFonts w:ascii="Times New Roman" w:hAnsi="Times New Roman" w:cs="Times New Roman"/>
                <w:sz w:val="20"/>
              </w:rPr>
              <w:t xml:space="preserve"> </w:t>
            </w:r>
          </w:p>
        </w:tc>
        <w:tc>
          <w:tcPr>
            <w:tcW w:w="416" w:type="pct"/>
            <w:vAlign w:val="bottom"/>
          </w:tcPr>
          <w:p w14:paraId="6DBBB19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58.335</w:t>
            </w:r>
          </w:p>
        </w:tc>
        <w:tc>
          <w:tcPr>
            <w:tcW w:w="312" w:type="pct"/>
            <w:vAlign w:val="bottom"/>
          </w:tcPr>
          <w:p w14:paraId="54992A00"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71.14</w:t>
            </w:r>
          </w:p>
        </w:tc>
        <w:tc>
          <w:tcPr>
            <w:tcW w:w="416" w:type="pct"/>
            <w:vAlign w:val="center"/>
          </w:tcPr>
          <w:p w14:paraId="12ED1FBD" w14:textId="77777777" w:rsidR="00314A15" w:rsidRDefault="00314A15" w:rsidP="00833CB9">
            <w:pPr>
              <w:spacing w:line="360" w:lineRule="auto"/>
              <w:jc w:val="center"/>
              <w:rPr>
                <w:rFonts w:ascii="Times New Roman" w:hAnsi="Times New Roman" w:cs="Times New Roman"/>
                <w:sz w:val="20"/>
                <w:szCs w:val="20"/>
              </w:rPr>
            </w:pPr>
          </w:p>
          <w:p w14:paraId="2DE7520E"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16.8</w:t>
            </w:r>
          </w:p>
        </w:tc>
        <w:tc>
          <w:tcPr>
            <w:tcW w:w="364" w:type="pct"/>
            <w:vAlign w:val="bottom"/>
          </w:tcPr>
          <w:p w14:paraId="1E43A600"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64.35</w:t>
            </w:r>
          </w:p>
        </w:tc>
        <w:tc>
          <w:tcPr>
            <w:tcW w:w="416" w:type="pct"/>
            <w:vAlign w:val="bottom"/>
          </w:tcPr>
          <w:p w14:paraId="2444095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6.17</w:t>
            </w:r>
          </w:p>
        </w:tc>
        <w:tc>
          <w:tcPr>
            <w:tcW w:w="416" w:type="pct"/>
            <w:vAlign w:val="bottom"/>
          </w:tcPr>
          <w:p w14:paraId="6127496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50.05</w:t>
            </w:r>
          </w:p>
        </w:tc>
        <w:tc>
          <w:tcPr>
            <w:tcW w:w="416" w:type="pct"/>
            <w:vAlign w:val="bottom"/>
          </w:tcPr>
          <w:p w14:paraId="3B38362F"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7.825</w:t>
            </w:r>
          </w:p>
        </w:tc>
        <w:tc>
          <w:tcPr>
            <w:tcW w:w="312" w:type="pct"/>
            <w:vAlign w:val="bottom"/>
          </w:tcPr>
          <w:p w14:paraId="76837845"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14.485</w:t>
            </w:r>
          </w:p>
        </w:tc>
        <w:tc>
          <w:tcPr>
            <w:tcW w:w="364" w:type="pct"/>
            <w:vAlign w:val="bottom"/>
          </w:tcPr>
          <w:p w14:paraId="2CA9EF0C"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10.85</w:t>
            </w:r>
          </w:p>
        </w:tc>
        <w:tc>
          <w:tcPr>
            <w:tcW w:w="312" w:type="pct"/>
            <w:vAlign w:val="bottom"/>
          </w:tcPr>
          <w:p w14:paraId="0E445C21"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666</w:t>
            </w:r>
          </w:p>
        </w:tc>
        <w:tc>
          <w:tcPr>
            <w:tcW w:w="412" w:type="pct"/>
            <w:vAlign w:val="bottom"/>
          </w:tcPr>
          <w:p w14:paraId="6F8F1D60"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2249.95</w:t>
            </w:r>
          </w:p>
        </w:tc>
        <w:tc>
          <w:tcPr>
            <w:tcW w:w="378" w:type="pct"/>
            <w:vAlign w:val="bottom"/>
          </w:tcPr>
          <w:p w14:paraId="6066DF56"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29.595</w:t>
            </w:r>
          </w:p>
        </w:tc>
      </w:tr>
      <w:tr w:rsidR="00314A15" w14:paraId="318C89BA" w14:textId="77777777" w:rsidTr="00833CB9">
        <w:tc>
          <w:tcPr>
            <w:tcW w:w="468" w:type="pct"/>
          </w:tcPr>
          <w:p w14:paraId="4F1B3B09" w14:textId="77777777" w:rsidR="00833CB9" w:rsidRPr="00833CB9" w:rsidRDefault="00833CB9" w:rsidP="00833CB9">
            <w:pPr>
              <w:spacing w:line="360" w:lineRule="auto"/>
              <w:jc w:val="center"/>
              <w:rPr>
                <w:rFonts w:ascii="Times New Roman" w:hAnsi="Times New Roman" w:cs="Times New Roman"/>
                <w:sz w:val="20"/>
              </w:rPr>
            </w:pPr>
            <w:r w:rsidRPr="00833CB9">
              <w:rPr>
                <w:rFonts w:ascii="Times New Roman" w:hAnsi="Times New Roman" w:cs="Times New Roman"/>
                <w:sz w:val="20"/>
              </w:rPr>
              <w:t xml:space="preserve">Plasma treatment </w:t>
            </w:r>
          </w:p>
        </w:tc>
        <w:tc>
          <w:tcPr>
            <w:tcW w:w="416" w:type="pct"/>
            <w:vAlign w:val="bottom"/>
          </w:tcPr>
          <w:p w14:paraId="62B49F6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55.03</w:t>
            </w:r>
          </w:p>
        </w:tc>
        <w:tc>
          <w:tcPr>
            <w:tcW w:w="312" w:type="pct"/>
            <w:vAlign w:val="bottom"/>
          </w:tcPr>
          <w:p w14:paraId="46546280"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72.68</w:t>
            </w:r>
          </w:p>
        </w:tc>
        <w:tc>
          <w:tcPr>
            <w:tcW w:w="416" w:type="pct"/>
            <w:vAlign w:val="center"/>
          </w:tcPr>
          <w:p w14:paraId="2E539CCC" w14:textId="77777777" w:rsidR="00314A15" w:rsidRDefault="00314A15" w:rsidP="00833CB9">
            <w:pPr>
              <w:spacing w:line="360" w:lineRule="auto"/>
              <w:jc w:val="center"/>
              <w:rPr>
                <w:rFonts w:ascii="Times New Roman" w:hAnsi="Times New Roman" w:cs="Times New Roman"/>
                <w:sz w:val="20"/>
                <w:szCs w:val="20"/>
              </w:rPr>
            </w:pPr>
          </w:p>
          <w:p w14:paraId="58B2FED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17.5</w:t>
            </w:r>
          </w:p>
        </w:tc>
        <w:tc>
          <w:tcPr>
            <w:tcW w:w="364" w:type="pct"/>
            <w:vAlign w:val="bottom"/>
          </w:tcPr>
          <w:p w14:paraId="65E7A245"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67.7</w:t>
            </w:r>
          </w:p>
        </w:tc>
        <w:tc>
          <w:tcPr>
            <w:tcW w:w="416" w:type="pct"/>
            <w:vAlign w:val="bottom"/>
          </w:tcPr>
          <w:p w14:paraId="0249304C"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6.02</w:t>
            </w:r>
          </w:p>
        </w:tc>
        <w:tc>
          <w:tcPr>
            <w:tcW w:w="416" w:type="pct"/>
            <w:vAlign w:val="bottom"/>
          </w:tcPr>
          <w:p w14:paraId="4CCE976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53.32</w:t>
            </w:r>
          </w:p>
        </w:tc>
        <w:tc>
          <w:tcPr>
            <w:tcW w:w="416" w:type="pct"/>
            <w:vAlign w:val="bottom"/>
          </w:tcPr>
          <w:p w14:paraId="2C93CC7A"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8.165</w:t>
            </w:r>
          </w:p>
        </w:tc>
        <w:tc>
          <w:tcPr>
            <w:tcW w:w="312" w:type="pct"/>
            <w:vAlign w:val="bottom"/>
          </w:tcPr>
          <w:p w14:paraId="3D181E51"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14.64</w:t>
            </w:r>
          </w:p>
        </w:tc>
        <w:tc>
          <w:tcPr>
            <w:tcW w:w="364" w:type="pct"/>
            <w:vAlign w:val="bottom"/>
          </w:tcPr>
          <w:p w14:paraId="614FD387"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11.1</w:t>
            </w:r>
          </w:p>
        </w:tc>
        <w:tc>
          <w:tcPr>
            <w:tcW w:w="312" w:type="pct"/>
            <w:vAlign w:val="bottom"/>
          </w:tcPr>
          <w:p w14:paraId="4E72D48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735</w:t>
            </w:r>
          </w:p>
        </w:tc>
        <w:tc>
          <w:tcPr>
            <w:tcW w:w="412" w:type="pct"/>
            <w:vAlign w:val="bottom"/>
          </w:tcPr>
          <w:p w14:paraId="2650543A"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2347.75</w:t>
            </w:r>
          </w:p>
        </w:tc>
        <w:tc>
          <w:tcPr>
            <w:tcW w:w="378" w:type="pct"/>
            <w:vAlign w:val="bottom"/>
          </w:tcPr>
          <w:p w14:paraId="72BC015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31.3</w:t>
            </w:r>
          </w:p>
        </w:tc>
      </w:tr>
      <w:tr w:rsidR="00314A15" w14:paraId="12E5336F" w14:textId="77777777" w:rsidTr="00833CB9">
        <w:tc>
          <w:tcPr>
            <w:tcW w:w="468" w:type="pct"/>
          </w:tcPr>
          <w:p w14:paraId="778C68AD" w14:textId="77777777" w:rsidR="00833CB9" w:rsidRPr="00833CB9" w:rsidRDefault="00833CB9" w:rsidP="006B2E4C">
            <w:pPr>
              <w:spacing w:line="360" w:lineRule="auto"/>
              <w:jc w:val="center"/>
              <w:rPr>
                <w:rFonts w:ascii="Times New Roman" w:hAnsi="Times New Roman" w:cs="Times New Roman"/>
                <w:sz w:val="20"/>
              </w:rPr>
            </w:pPr>
            <w:r w:rsidRPr="00833CB9">
              <w:rPr>
                <w:rFonts w:ascii="Times New Roman" w:hAnsi="Times New Roman" w:cs="Times New Roman"/>
                <w:sz w:val="20"/>
              </w:rPr>
              <w:t>Control</w:t>
            </w:r>
          </w:p>
        </w:tc>
        <w:tc>
          <w:tcPr>
            <w:tcW w:w="416" w:type="pct"/>
            <w:vAlign w:val="bottom"/>
          </w:tcPr>
          <w:p w14:paraId="6098B95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61.06</w:t>
            </w:r>
          </w:p>
        </w:tc>
        <w:tc>
          <w:tcPr>
            <w:tcW w:w="312" w:type="pct"/>
            <w:vAlign w:val="bottom"/>
          </w:tcPr>
          <w:p w14:paraId="5E0A5E05"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69.35</w:t>
            </w:r>
          </w:p>
        </w:tc>
        <w:tc>
          <w:tcPr>
            <w:tcW w:w="416" w:type="pct"/>
            <w:vAlign w:val="center"/>
          </w:tcPr>
          <w:p w14:paraId="4EC5E0D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14.86</w:t>
            </w:r>
          </w:p>
        </w:tc>
        <w:tc>
          <w:tcPr>
            <w:tcW w:w="364" w:type="pct"/>
            <w:vAlign w:val="bottom"/>
          </w:tcPr>
          <w:p w14:paraId="184FC86A"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62.25</w:t>
            </w:r>
          </w:p>
        </w:tc>
        <w:tc>
          <w:tcPr>
            <w:tcW w:w="416" w:type="pct"/>
            <w:vAlign w:val="bottom"/>
          </w:tcPr>
          <w:p w14:paraId="47C84D5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5.8</w:t>
            </w:r>
          </w:p>
        </w:tc>
        <w:tc>
          <w:tcPr>
            <w:tcW w:w="416" w:type="pct"/>
            <w:vAlign w:val="bottom"/>
          </w:tcPr>
          <w:p w14:paraId="6A4C03B4"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48.4</w:t>
            </w:r>
          </w:p>
        </w:tc>
        <w:tc>
          <w:tcPr>
            <w:tcW w:w="416" w:type="pct"/>
            <w:vAlign w:val="bottom"/>
          </w:tcPr>
          <w:p w14:paraId="01370F53"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4.23</w:t>
            </w:r>
          </w:p>
        </w:tc>
        <w:tc>
          <w:tcPr>
            <w:tcW w:w="312" w:type="pct"/>
            <w:vAlign w:val="bottom"/>
          </w:tcPr>
          <w:p w14:paraId="38538B17"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12</w:t>
            </w:r>
          </w:p>
        </w:tc>
        <w:tc>
          <w:tcPr>
            <w:tcW w:w="364" w:type="pct"/>
            <w:vAlign w:val="bottom"/>
          </w:tcPr>
          <w:p w14:paraId="780BC413"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10.45</w:t>
            </w:r>
          </w:p>
        </w:tc>
        <w:tc>
          <w:tcPr>
            <w:tcW w:w="312" w:type="pct"/>
            <w:vAlign w:val="bottom"/>
          </w:tcPr>
          <w:p w14:paraId="766E0695"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523</w:t>
            </w:r>
          </w:p>
        </w:tc>
        <w:tc>
          <w:tcPr>
            <w:tcW w:w="412" w:type="pct"/>
            <w:vAlign w:val="bottom"/>
          </w:tcPr>
          <w:p w14:paraId="75FF81B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2021.35</w:t>
            </w:r>
          </w:p>
        </w:tc>
        <w:tc>
          <w:tcPr>
            <w:tcW w:w="378" w:type="pct"/>
            <w:vAlign w:val="bottom"/>
          </w:tcPr>
          <w:p w14:paraId="6620C9A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25.865</w:t>
            </w:r>
          </w:p>
        </w:tc>
      </w:tr>
      <w:tr w:rsidR="00314A15" w14:paraId="2BB915DC" w14:textId="77777777" w:rsidTr="00833CB9">
        <w:tc>
          <w:tcPr>
            <w:tcW w:w="468" w:type="pct"/>
          </w:tcPr>
          <w:p w14:paraId="7DF2F765" w14:textId="77777777" w:rsidR="00833CB9" w:rsidRPr="00833CB9" w:rsidRDefault="00833CB9" w:rsidP="006B2E4C">
            <w:pPr>
              <w:spacing w:line="360" w:lineRule="auto"/>
              <w:jc w:val="center"/>
              <w:rPr>
                <w:rFonts w:ascii="Times New Roman" w:eastAsia="Times New Roman" w:hAnsi="Times New Roman" w:cs="Times New Roman"/>
                <w:color w:val="000000"/>
                <w:sz w:val="20"/>
                <w:szCs w:val="24"/>
              </w:rPr>
            </w:pPr>
            <w:r w:rsidRPr="00833CB9">
              <w:rPr>
                <w:rFonts w:ascii="Times New Roman" w:eastAsia="Times New Roman" w:hAnsi="Times New Roman" w:cs="Times New Roman"/>
                <w:color w:val="000000"/>
                <w:sz w:val="20"/>
                <w:szCs w:val="24"/>
              </w:rPr>
              <w:t>C.D. (0.05)</w:t>
            </w:r>
          </w:p>
        </w:tc>
        <w:tc>
          <w:tcPr>
            <w:tcW w:w="416" w:type="pct"/>
          </w:tcPr>
          <w:p w14:paraId="6D09E83B"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4.63</w:t>
            </w:r>
          </w:p>
        </w:tc>
        <w:tc>
          <w:tcPr>
            <w:tcW w:w="312" w:type="pct"/>
          </w:tcPr>
          <w:p w14:paraId="301F1A18"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2.11</w:t>
            </w:r>
          </w:p>
        </w:tc>
        <w:tc>
          <w:tcPr>
            <w:tcW w:w="416" w:type="pct"/>
          </w:tcPr>
          <w:p w14:paraId="3438CB88"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2.84</w:t>
            </w:r>
          </w:p>
        </w:tc>
        <w:tc>
          <w:tcPr>
            <w:tcW w:w="364" w:type="pct"/>
          </w:tcPr>
          <w:p w14:paraId="01E4FED2"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9.02</w:t>
            </w:r>
          </w:p>
        </w:tc>
        <w:tc>
          <w:tcPr>
            <w:tcW w:w="416" w:type="pct"/>
          </w:tcPr>
          <w:p w14:paraId="49106CAB"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0.38</w:t>
            </w:r>
          </w:p>
        </w:tc>
        <w:tc>
          <w:tcPr>
            <w:tcW w:w="416" w:type="pct"/>
          </w:tcPr>
          <w:p w14:paraId="1625C6AD"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2.89</w:t>
            </w:r>
          </w:p>
        </w:tc>
        <w:tc>
          <w:tcPr>
            <w:tcW w:w="416" w:type="pct"/>
          </w:tcPr>
          <w:p w14:paraId="42438A34"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0.43</w:t>
            </w:r>
          </w:p>
        </w:tc>
        <w:tc>
          <w:tcPr>
            <w:tcW w:w="312" w:type="pct"/>
          </w:tcPr>
          <w:p w14:paraId="3419BEF0"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1.97</w:t>
            </w:r>
          </w:p>
        </w:tc>
        <w:tc>
          <w:tcPr>
            <w:tcW w:w="364" w:type="pct"/>
          </w:tcPr>
          <w:p w14:paraId="5ABED30E"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2.00</w:t>
            </w:r>
          </w:p>
        </w:tc>
        <w:tc>
          <w:tcPr>
            <w:tcW w:w="312" w:type="pct"/>
          </w:tcPr>
          <w:p w14:paraId="65B3A011"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1.18</w:t>
            </w:r>
          </w:p>
        </w:tc>
        <w:tc>
          <w:tcPr>
            <w:tcW w:w="412" w:type="pct"/>
          </w:tcPr>
          <w:p w14:paraId="3710A02A"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2.84</w:t>
            </w:r>
          </w:p>
        </w:tc>
        <w:tc>
          <w:tcPr>
            <w:tcW w:w="378" w:type="pct"/>
          </w:tcPr>
          <w:p w14:paraId="13DD4BFE"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1.42</w:t>
            </w:r>
          </w:p>
        </w:tc>
      </w:tr>
      <w:tr w:rsidR="00314A15" w14:paraId="426833A2" w14:textId="77777777" w:rsidTr="00833CB9">
        <w:tc>
          <w:tcPr>
            <w:tcW w:w="468" w:type="pct"/>
          </w:tcPr>
          <w:p w14:paraId="76885071" w14:textId="77777777" w:rsidR="00833CB9" w:rsidRPr="00833CB9" w:rsidRDefault="00833CB9" w:rsidP="006B2E4C">
            <w:pPr>
              <w:spacing w:line="360" w:lineRule="auto"/>
              <w:jc w:val="center"/>
              <w:rPr>
                <w:rFonts w:ascii="Times New Roman" w:eastAsia="Times New Roman" w:hAnsi="Times New Roman" w:cs="Times New Roman"/>
                <w:color w:val="000000"/>
                <w:sz w:val="20"/>
                <w:szCs w:val="24"/>
              </w:rPr>
            </w:pPr>
            <w:r w:rsidRPr="00833CB9">
              <w:rPr>
                <w:rFonts w:ascii="Times New Roman" w:eastAsia="Times New Roman" w:hAnsi="Times New Roman" w:cs="Times New Roman"/>
                <w:color w:val="000000"/>
                <w:sz w:val="20"/>
                <w:szCs w:val="24"/>
              </w:rPr>
              <w:t>SE(m)</w:t>
            </w:r>
          </w:p>
        </w:tc>
        <w:tc>
          <w:tcPr>
            <w:tcW w:w="416" w:type="pct"/>
          </w:tcPr>
          <w:p w14:paraId="6682EFBE"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1.27</w:t>
            </w:r>
          </w:p>
        </w:tc>
        <w:tc>
          <w:tcPr>
            <w:tcW w:w="312" w:type="pct"/>
          </w:tcPr>
          <w:p w14:paraId="48342D0E"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0.80</w:t>
            </w:r>
          </w:p>
        </w:tc>
        <w:tc>
          <w:tcPr>
            <w:tcW w:w="416" w:type="pct"/>
          </w:tcPr>
          <w:p w14:paraId="14B1548B"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1.20</w:t>
            </w:r>
          </w:p>
        </w:tc>
        <w:tc>
          <w:tcPr>
            <w:tcW w:w="364" w:type="pct"/>
          </w:tcPr>
          <w:p w14:paraId="720525E5"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3.27</w:t>
            </w:r>
          </w:p>
        </w:tc>
        <w:tc>
          <w:tcPr>
            <w:tcW w:w="416" w:type="pct"/>
          </w:tcPr>
          <w:p w14:paraId="4A8BB462"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0.16</w:t>
            </w:r>
          </w:p>
        </w:tc>
        <w:tc>
          <w:tcPr>
            <w:tcW w:w="416" w:type="pct"/>
          </w:tcPr>
          <w:p w14:paraId="6C93E68B"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2.03</w:t>
            </w:r>
          </w:p>
        </w:tc>
        <w:tc>
          <w:tcPr>
            <w:tcW w:w="416" w:type="pct"/>
          </w:tcPr>
          <w:p w14:paraId="010065A0"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0.14</w:t>
            </w:r>
          </w:p>
        </w:tc>
        <w:tc>
          <w:tcPr>
            <w:tcW w:w="312" w:type="pct"/>
          </w:tcPr>
          <w:p w14:paraId="074759CF"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0.44</w:t>
            </w:r>
          </w:p>
        </w:tc>
        <w:tc>
          <w:tcPr>
            <w:tcW w:w="364" w:type="pct"/>
          </w:tcPr>
          <w:p w14:paraId="574D13E5"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0.72</w:t>
            </w:r>
          </w:p>
        </w:tc>
        <w:tc>
          <w:tcPr>
            <w:tcW w:w="312" w:type="pct"/>
          </w:tcPr>
          <w:p w14:paraId="43011849"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0.26</w:t>
            </w:r>
          </w:p>
        </w:tc>
        <w:tc>
          <w:tcPr>
            <w:tcW w:w="412" w:type="pct"/>
          </w:tcPr>
          <w:p w14:paraId="1C0D93D2"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1.20</w:t>
            </w:r>
          </w:p>
        </w:tc>
        <w:tc>
          <w:tcPr>
            <w:tcW w:w="378" w:type="pct"/>
          </w:tcPr>
          <w:p w14:paraId="4FEC96F6"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1.10</w:t>
            </w:r>
          </w:p>
        </w:tc>
      </w:tr>
      <w:tr w:rsidR="00314A15" w14:paraId="021AE133" w14:textId="77777777" w:rsidTr="00833CB9">
        <w:tc>
          <w:tcPr>
            <w:tcW w:w="468" w:type="pct"/>
          </w:tcPr>
          <w:p w14:paraId="3291A6A5" w14:textId="77777777" w:rsidR="00833CB9" w:rsidRPr="00833CB9" w:rsidRDefault="00833CB9" w:rsidP="006B2E4C">
            <w:pPr>
              <w:spacing w:line="360" w:lineRule="auto"/>
              <w:jc w:val="center"/>
              <w:rPr>
                <w:rFonts w:ascii="Times New Roman" w:eastAsia="Times New Roman" w:hAnsi="Times New Roman" w:cs="Times New Roman"/>
                <w:color w:val="000000"/>
                <w:sz w:val="20"/>
                <w:szCs w:val="24"/>
              </w:rPr>
            </w:pPr>
            <w:r w:rsidRPr="00833CB9">
              <w:rPr>
                <w:rFonts w:ascii="Times New Roman" w:eastAsia="Times New Roman" w:hAnsi="Times New Roman" w:cs="Times New Roman"/>
                <w:color w:val="000000"/>
                <w:sz w:val="20"/>
                <w:szCs w:val="24"/>
              </w:rPr>
              <w:t>CV (0.05)</w:t>
            </w:r>
          </w:p>
        </w:tc>
        <w:tc>
          <w:tcPr>
            <w:tcW w:w="416" w:type="pct"/>
          </w:tcPr>
          <w:p w14:paraId="18B2C4C9"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2.39</w:t>
            </w:r>
          </w:p>
        </w:tc>
        <w:tc>
          <w:tcPr>
            <w:tcW w:w="312" w:type="pct"/>
          </w:tcPr>
          <w:p w14:paraId="1D341961"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5.36</w:t>
            </w:r>
          </w:p>
        </w:tc>
        <w:tc>
          <w:tcPr>
            <w:tcW w:w="416" w:type="pct"/>
          </w:tcPr>
          <w:p w14:paraId="72BE6737"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5.5</w:t>
            </w:r>
          </w:p>
        </w:tc>
        <w:tc>
          <w:tcPr>
            <w:tcW w:w="364" w:type="pct"/>
          </w:tcPr>
          <w:p w14:paraId="0D8AA60A"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9.42</w:t>
            </w:r>
          </w:p>
        </w:tc>
        <w:tc>
          <w:tcPr>
            <w:tcW w:w="416" w:type="pct"/>
          </w:tcPr>
          <w:p w14:paraId="1B108741"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4.18</w:t>
            </w:r>
          </w:p>
        </w:tc>
        <w:tc>
          <w:tcPr>
            <w:tcW w:w="416" w:type="pct"/>
          </w:tcPr>
          <w:p w14:paraId="6421963D"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5.48</w:t>
            </w:r>
          </w:p>
        </w:tc>
        <w:tc>
          <w:tcPr>
            <w:tcW w:w="416" w:type="pct"/>
          </w:tcPr>
          <w:p w14:paraId="778D82E4"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4.49</w:t>
            </w:r>
          </w:p>
        </w:tc>
        <w:tc>
          <w:tcPr>
            <w:tcW w:w="312" w:type="pct"/>
          </w:tcPr>
          <w:p w14:paraId="0AE351C7"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5.05</w:t>
            </w:r>
          </w:p>
        </w:tc>
        <w:tc>
          <w:tcPr>
            <w:tcW w:w="364" w:type="pct"/>
          </w:tcPr>
          <w:p w14:paraId="4DC4F6F7"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1.21</w:t>
            </w:r>
          </w:p>
        </w:tc>
        <w:tc>
          <w:tcPr>
            <w:tcW w:w="312" w:type="pct"/>
          </w:tcPr>
          <w:p w14:paraId="18433A00"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5.75</w:t>
            </w:r>
          </w:p>
        </w:tc>
        <w:tc>
          <w:tcPr>
            <w:tcW w:w="412" w:type="pct"/>
          </w:tcPr>
          <w:p w14:paraId="6614C46D"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10.30</w:t>
            </w:r>
          </w:p>
        </w:tc>
        <w:tc>
          <w:tcPr>
            <w:tcW w:w="378" w:type="pct"/>
          </w:tcPr>
          <w:p w14:paraId="45C06CCD"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4.52</w:t>
            </w:r>
          </w:p>
        </w:tc>
      </w:tr>
    </w:tbl>
    <w:p w14:paraId="5C3E0425" w14:textId="77777777" w:rsidR="00314A15" w:rsidRDefault="00314A15" w:rsidP="00E71783">
      <w:pPr>
        <w:pStyle w:val="NormalWeb"/>
        <w:spacing w:before="0" w:beforeAutospacing="0" w:after="0" w:afterAutospacing="0" w:line="360" w:lineRule="auto"/>
        <w:jc w:val="both"/>
      </w:pPr>
    </w:p>
    <w:p w14:paraId="5231D623" w14:textId="77777777" w:rsidR="00314A15" w:rsidRDefault="00314A15" w:rsidP="00E71783">
      <w:pPr>
        <w:pStyle w:val="NormalWeb"/>
        <w:spacing w:before="0" w:beforeAutospacing="0" w:after="0" w:afterAutospacing="0" w:line="360" w:lineRule="auto"/>
        <w:jc w:val="both"/>
      </w:pPr>
    </w:p>
    <w:p w14:paraId="5CF0CD43" w14:textId="77777777" w:rsidR="00314A15" w:rsidRPr="00B66C4C" w:rsidRDefault="00314A15" w:rsidP="00314A15">
      <w:pPr>
        <w:jc w:val="center"/>
        <w:rPr>
          <w:rFonts w:ascii="Times New Roman" w:hAnsi="Times New Roman" w:cs="Times New Roman"/>
          <w:b/>
          <w:sz w:val="24"/>
        </w:rPr>
        <w:sectPr w:rsidR="00314A15" w:rsidRPr="00B66C4C" w:rsidSect="00314A15">
          <w:pgSz w:w="15840" w:h="12240" w:orient="landscape"/>
          <w:pgMar w:top="1440" w:right="1440" w:bottom="1440" w:left="1440" w:header="709" w:footer="709" w:gutter="0"/>
          <w:cols w:space="708"/>
          <w:docGrid w:linePitch="360"/>
        </w:sectPr>
      </w:pPr>
      <w:r w:rsidRPr="00B66C4C">
        <w:rPr>
          <w:rFonts w:ascii="Times New Roman" w:hAnsi="Times New Roman" w:cs="Times New Roman"/>
          <w:b/>
          <w:sz w:val="24"/>
        </w:rPr>
        <w:t>Table 1:  Effect of Seed priming on the phenological and Yield attributing Characteristics in coriander in natural conditions                                              during 2021-22 and 2022-23</w:t>
      </w:r>
    </w:p>
    <w:p w14:paraId="1CFF674C" w14:textId="77777777" w:rsidR="000A62CC" w:rsidRDefault="000A62CC" w:rsidP="00E71783">
      <w:pPr>
        <w:pStyle w:val="NormalWeb"/>
        <w:spacing w:before="0" w:beforeAutospacing="0" w:after="0" w:afterAutospacing="0" w:line="360" w:lineRule="auto"/>
        <w:jc w:val="both"/>
      </w:pPr>
    </w:p>
    <w:p w14:paraId="0D2A8DED" w14:textId="77777777" w:rsidR="000A62CC" w:rsidRDefault="000A62CC" w:rsidP="00E71783">
      <w:pPr>
        <w:pStyle w:val="NormalWeb"/>
        <w:spacing w:before="0" w:beforeAutospacing="0" w:after="0" w:afterAutospacing="0" w:line="360" w:lineRule="auto"/>
        <w:jc w:val="both"/>
      </w:pPr>
    </w:p>
    <w:p w14:paraId="3493833B" w14:textId="77777777" w:rsidR="000A62CC" w:rsidRDefault="000A62CC" w:rsidP="00E71783">
      <w:pPr>
        <w:pStyle w:val="NormalWeb"/>
        <w:spacing w:before="0" w:beforeAutospacing="0" w:after="0" w:afterAutospacing="0" w:line="360" w:lineRule="auto"/>
        <w:jc w:val="both"/>
      </w:pPr>
    </w:p>
    <w:p w14:paraId="1A1E48E0" w14:textId="77777777" w:rsidR="00314A15" w:rsidRDefault="00314A15" w:rsidP="00E71783">
      <w:pPr>
        <w:pStyle w:val="NormalWeb"/>
        <w:spacing w:before="0" w:beforeAutospacing="0" w:after="0" w:afterAutospacing="0" w:line="360" w:lineRule="auto"/>
        <w:jc w:val="both"/>
      </w:pPr>
    </w:p>
    <w:p w14:paraId="16DE7612" w14:textId="77777777" w:rsidR="00314A15" w:rsidRDefault="00314A15" w:rsidP="00E71783">
      <w:pPr>
        <w:pStyle w:val="NormalWeb"/>
        <w:spacing w:before="0" w:beforeAutospacing="0" w:after="0" w:afterAutospacing="0" w:line="360" w:lineRule="auto"/>
        <w:jc w:val="both"/>
      </w:pPr>
    </w:p>
    <w:p w14:paraId="6F6448F5" w14:textId="77777777" w:rsidR="00314A15" w:rsidRDefault="00314A15" w:rsidP="00E71783">
      <w:pPr>
        <w:pStyle w:val="NormalWeb"/>
        <w:spacing w:before="0" w:beforeAutospacing="0" w:after="0" w:afterAutospacing="0" w:line="360" w:lineRule="auto"/>
        <w:jc w:val="both"/>
      </w:pPr>
    </w:p>
    <w:p w14:paraId="754FD696" w14:textId="77777777" w:rsidR="00314A15" w:rsidRDefault="00314A15" w:rsidP="00E71783">
      <w:pPr>
        <w:pStyle w:val="NormalWeb"/>
        <w:spacing w:before="0" w:beforeAutospacing="0" w:after="0" w:afterAutospacing="0" w:line="360" w:lineRule="auto"/>
        <w:jc w:val="both"/>
      </w:pPr>
    </w:p>
    <w:tbl>
      <w:tblPr>
        <w:tblStyle w:val="TableGrid"/>
        <w:tblpPr w:leftFromText="180" w:rightFromText="180" w:vertAnchor="page" w:horzAnchor="margin" w:tblpXSpec="center" w:tblpY="1452"/>
        <w:tblW w:w="8249" w:type="dxa"/>
        <w:tblLook w:val="04A0" w:firstRow="1" w:lastRow="0" w:firstColumn="1" w:lastColumn="0" w:noHBand="0" w:noVBand="1"/>
      </w:tblPr>
      <w:tblGrid>
        <w:gridCol w:w="2799"/>
        <w:gridCol w:w="1353"/>
        <w:gridCol w:w="1353"/>
        <w:gridCol w:w="1372"/>
        <w:gridCol w:w="1372"/>
      </w:tblGrid>
      <w:tr w:rsidR="000C748C" w14:paraId="515F4959" w14:textId="77777777" w:rsidTr="000C748C">
        <w:tc>
          <w:tcPr>
            <w:tcW w:w="2799" w:type="dxa"/>
          </w:tcPr>
          <w:p w14:paraId="12E834CD" w14:textId="77777777" w:rsidR="000C748C" w:rsidRPr="00314A15" w:rsidRDefault="000C748C" w:rsidP="00314A15">
            <w:pPr>
              <w:spacing w:line="360" w:lineRule="auto"/>
              <w:jc w:val="center"/>
              <w:rPr>
                <w:rFonts w:ascii="Times New Roman" w:eastAsia="Times New Roman" w:hAnsi="Times New Roman" w:cs="Times New Roman"/>
                <w:b/>
                <w:sz w:val="20"/>
                <w:szCs w:val="24"/>
              </w:rPr>
            </w:pPr>
            <w:r w:rsidRPr="00314A15">
              <w:rPr>
                <w:rFonts w:ascii="Times New Roman" w:eastAsia="Times New Roman" w:hAnsi="Times New Roman" w:cs="Times New Roman"/>
                <w:b/>
                <w:sz w:val="20"/>
                <w:szCs w:val="24"/>
              </w:rPr>
              <w:t>Treatment</w:t>
            </w:r>
          </w:p>
        </w:tc>
        <w:tc>
          <w:tcPr>
            <w:tcW w:w="1353" w:type="dxa"/>
          </w:tcPr>
          <w:p w14:paraId="713E5D22" w14:textId="77777777" w:rsidR="000C748C" w:rsidRPr="00314A15" w:rsidRDefault="000C748C" w:rsidP="00314A15">
            <w:pPr>
              <w:spacing w:line="360" w:lineRule="auto"/>
              <w:jc w:val="center"/>
              <w:rPr>
                <w:rFonts w:ascii="Times New Roman" w:eastAsia="Times New Roman" w:hAnsi="Times New Roman" w:cs="Times New Roman"/>
                <w:b/>
                <w:sz w:val="20"/>
                <w:szCs w:val="24"/>
              </w:rPr>
            </w:pPr>
            <w:r w:rsidRPr="00314A15">
              <w:rPr>
                <w:rFonts w:ascii="Times New Roman" w:eastAsia="Times New Roman" w:hAnsi="Times New Roman" w:cs="Times New Roman"/>
                <w:b/>
                <w:sz w:val="20"/>
                <w:szCs w:val="24"/>
              </w:rPr>
              <w:t>Chlorophyll a (mg/100g)</w:t>
            </w:r>
          </w:p>
        </w:tc>
        <w:tc>
          <w:tcPr>
            <w:tcW w:w="1353" w:type="dxa"/>
          </w:tcPr>
          <w:p w14:paraId="0087D831" w14:textId="77777777" w:rsidR="000C748C" w:rsidRPr="00314A15" w:rsidRDefault="000C748C" w:rsidP="00314A15">
            <w:pPr>
              <w:spacing w:line="360" w:lineRule="auto"/>
              <w:jc w:val="center"/>
              <w:rPr>
                <w:rFonts w:ascii="Times New Roman" w:eastAsia="Times New Roman" w:hAnsi="Times New Roman" w:cs="Times New Roman"/>
                <w:b/>
                <w:sz w:val="20"/>
                <w:szCs w:val="24"/>
              </w:rPr>
            </w:pPr>
            <w:r w:rsidRPr="00314A15">
              <w:rPr>
                <w:rFonts w:ascii="Times New Roman" w:eastAsia="Times New Roman" w:hAnsi="Times New Roman" w:cs="Times New Roman"/>
                <w:b/>
                <w:sz w:val="20"/>
                <w:szCs w:val="24"/>
              </w:rPr>
              <w:t>Chlorophyll b (mg/100g)</w:t>
            </w:r>
          </w:p>
        </w:tc>
        <w:tc>
          <w:tcPr>
            <w:tcW w:w="1372" w:type="dxa"/>
          </w:tcPr>
          <w:p w14:paraId="767D8692" w14:textId="77777777" w:rsidR="000C748C" w:rsidRPr="00314A15" w:rsidRDefault="000C748C" w:rsidP="00314A15">
            <w:pPr>
              <w:spacing w:line="360" w:lineRule="auto"/>
              <w:jc w:val="center"/>
              <w:rPr>
                <w:rFonts w:ascii="Times New Roman" w:eastAsia="Times New Roman" w:hAnsi="Times New Roman" w:cs="Times New Roman"/>
                <w:b/>
                <w:sz w:val="20"/>
                <w:szCs w:val="24"/>
              </w:rPr>
            </w:pPr>
            <w:r w:rsidRPr="00314A15">
              <w:rPr>
                <w:rFonts w:ascii="Times New Roman" w:eastAsia="Times New Roman" w:hAnsi="Times New Roman" w:cs="Times New Roman"/>
                <w:b/>
                <w:sz w:val="20"/>
                <w:szCs w:val="24"/>
              </w:rPr>
              <w:t>Total Chlorophyll (mg/100g)</w:t>
            </w:r>
          </w:p>
        </w:tc>
        <w:tc>
          <w:tcPr>
            <w:tcW w:w="1372" w:type="dxa"/>
          </w:tcPr>
          <w:p w14:paraId="48A086C7" w14:textId="77777777" w:rsidR="000C748C" w:rsidRPr="00314A15" w:rsidRDefault="000C748C" w:rsidP="00314A15">
            <w:pPr>
              <w:spacing w:line="36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Protein Content (mg/g)</w:t>
            </w:r>
          </w:p>
        </w:tc>
      </w:tr>
      <w:tr w:rsidR="000C748C" w14:paraId="50E052F7" w14:textId="77777777" w:rsidTr="00FA34BC">
        <w:tc>
          <w:tcPr>
            <w:tcW w:w="2799" w:type="dxa"/>
          </w:tcPr>
          <w:p w14:paraId="4F8DB8FE"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i/>
                <w:iCs/>
                <w:sz w:val="20"/>
              </w:rPr>
              <w:t xml:space="preserve">Trichoderma </w:t>
            </w:r>
            <w:proofErr w:type="spellStart"/>
            <w:r w:rsidRPr="00314A15">
              <w:rPr>
                <w:rFonts w:ascii="Times New Roman" w:hAnsi="Times New Roman" w:cs="Times New Roman"/>
                <w:i/>
                <w:iCs/>
                <w:sz w:val="20"/>
              </w:rPr>
              <w:t>viride</w:t>
            </w:r>
            <w:proofErr w:type="spellEnd"/>
            <w:r w:rsidRPr="00314A15">
              <w:rPr>
                <w:rFonts w:ascii="Times New Roman" w:hAnsi="Times New Roman" w:cs="Times New Roman"/>
                <w:i/>
                <w:iCs/>
                <w:sz w:val="20"/>
              </w:rPr>
              <w:t xml:space="preserve"> </w:t>
            </w:r>
            <w:r w:rsidRPr="00314A15">
              <w:rPr>
                <w:rFonts w:ascii="Times New Roman" w:hAnsi="Times New Roman" w:cs="Times New Roman"/>
                <w:sz w:val="20"/>
              </w:rPr>
              <w:t>(24Hrs)</w:t>
            </w:r>
          </w:p>
        </w:tc>
        <w:tc>
          <w:tcPr>
            <w:tcW w:w="1353" w:type="dxa"/>
            <w:vAlign w:val="bottom"/>
          </w:tcPr>
          <w:p w14:paraId="0AFEC410"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1.215</w:t>
            </w:r>
          </w:p>
        </w:tc>
        <w:tc>
          <w:tcPr>
            <w:tcW w:w="1353" w:type="dxa"/>
            <w:vAlign w:val="bottom"/>
          </w:tcPr>
          <w:p w14:paraId="6AB460D8"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0.54</w:t>
            </w:r>
          </w:p>
        </w:tc>
        <w:tc>
          <w:tcPr>
            <w:tcW w:w="1372" w:type="dxa"/>
            <w:vAlign w:val="bottom"/>
          </w:tcPr>
          <w:p w14:paraId="24F41FCD"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1.755</w:t>
            </w:r>
          </w:p>
        </w:tc>
        <w:tc>
          <w:tcPr>
            <w:tcW w:w="1372" w:type="dxa"/>
            <w:vAlign w:val="bottom"/>
          </w:tcPr>
          <w:p w14:paraId="4474D370"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5.11</w:t>
            </w:r>
          </w:p>
        </w:tc>
      </w:tr>
      <w:tr w:rsidR="000C748C" w14:paraId="28D179E4" w14:textId="77777777" w:rsidTr="00FA34BC">
        <w:tc>
          <w:tcPr>
            <w:tcW w:w="2799" w:type="dxa"/>
          </w:tcPr>
          <w:p w14:paraId="48DBC16B" w14:textId="77777777" w:rsidR="000C748C" w:rsidRPr="00314A15" w:rsidRDefault="000C748C" w:rsidP="000C748C">
            <w:pPr>
              <w:spacing w:line="360" w:lineRule="auto"/>
              <w:jc w:val="center"/>
              <w:rPr>
                <w:rFonts w:ascii="Times New Roman" w:hAnsi="Times New Roman" w:cs="Times New Roman"/>
                <w:sz w:val="20"/>
              </w:rPr>
            </w:pPr>
            <w:proofErr w:type="spellStart"/>
            <w:r w:rsidRPr="00314A15">
              <w:rPr>
                <w:rFonts w:ascii="Times New Roman" w:hAnsi="Times New Roman" w:cs="Times New Roman"/>
                <w:sz w:val="20"/>
              </w:rPr>
              <w:t>Vermiwash</w:t>
            </w:r>
            <w:proofErr w:type="spellEnd"/>
            <w:r w:rsidRPr="00314A15">
              <w:rPr>
                <w:rFonts w:ascii="Times New Roman" w:hAnsi="Times New Roman" w:cs="Times New Roman"/>
                <w:sz w:val="20"/>
              </w:rPr>
              <w:t xml:space="preserve"> (6Hrs)</w:t>
            </w:r>
          </w:p>
        </w:tc>
        <w:tc>
          <w:tcPr>
            <w:tcW w:w="1353" w:type="dxa"/>
            <w:vAlign w:val="bottom"/>
          </w:tcPr>
          <w:p w14:paraId="31981118"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1.145</w:t>
            </w:r>
          </w:p>
        </w:tc>
        <w:tc>
          <w:tcPr>
            <w:tcW w:w="1353" w:type="dxa"/>
            <w:vAlign w:val="bottom"/>
          </w:tcPr>
          <w:p w14:paraId="31D49CC9"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0.52</w:t>
            </w:r>
          </w:p>
        </w:tc>
        <w:tc>
          <w:tcPr>
            <w:tcW w:w="1372" w:type="dxa"/>
            <w:vAlign w:val="bottom"/>
          </w:tcPr>
          <w:p w14:paraId="448FA768"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1.665</w:t>
            </w:r>
          </w:p>
        </w:tc>
        <w:tc>
          <w:tcPr>
            <w:tcW w:w="1372" w:type="dxa"/>
            <w:vAlign w:val="bottom"/>
          </w:tcPr>
          <w:p w14:paraId="56161932"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4.94</w:t>
            </w:r>
          </w:p>
        </w:tc>
      </w:tr>
      <w:tr w:rsidR="000C748C" w14:paraId="704D97E8" w14:textId="77777777" w:rsidTr="00FA34BC">
        <w:tc>
          <w:tcPr>
            <w:tcW w:w="2799" w:type="dxa"/>
          </w:tcPr>
          <w:p w14:paraId="073DFACB"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 xml:space="preserve">Silver nanoparticle (24 </w:t>
            </w:r>
            <w:proofErr w:type="spellStart"/>
            <w:r w:rsidRPr="00314A15">
              <w:rPr>
                <w:rFonts w:ascii="Times New Roman" w:hAnsi="Times New Roman" w:cs="Times New Roman"/>
                <w:sz w:val="20"/>
              </w:rPr>
              <w:t>hrs</w:t>
            </w:r>
            <w:proofErr w:type="spellEnd"/>
            <w:r w:rsidRPr="00314A15">
              <w:rPr>
                <w:rFonts w:ascii="Times New Roman" w:hAnsi="Times New Roman" w:cs="Times New Roman"/>
                <w:sz w:val="20"/>
              </w:rPr>
              <w:t>)</w:t>
            </w:r>
          </w:p>
        </w:tc>
        <w:tc>
          <w:tcPr>
            <w:tcW w:w="1353" w:type="dxa"/>
            <w:vAlign w:val="bottom"/>
          </w:tcPr>
          <w:p w14:paraId="6FCB04DA"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1.34</w:t>
            </w:r>
          </w:p>
        </w:tc>
        <w:tc>
          <w:tcPr>
            <w:tcW w:w="1353" w:type="dxa"/>
            <w:vAlign w:val="bottom"/>
          </w:tcPr>
          <w:p w14:paraId="5A86077F"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0.595</w:t>
            </w:r>
          </w:p>
        </w:tc>
        <w:tc>
          <w:tcPr>
            <w:tcW w:w="1372" w:type="dxa"/>
            <w:vAlign w:val="bottom"/>
          </w:tcPr>
          <w:p w14:paraId="62DA66FB"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1.935</w:t>
            </w:r>
          </w:p>
        </w:tc>
        <w:tc>
          <w:tcPr>
            <w:tcW w:w="1372" w:type="dxa"/>
            <w:vAlign w:val="bottom"/>
          </w:tcPr>
          <w:p w14:paraId="6FAD8ED6"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6.05</w:t>
            </w:r>
          </w:p>
        </w:tc>
      </w:tr>
      <w:tr w:rsidR="000C748C" w14:paraId="4391D84E" w14:textId="77777777" w:rsidTr="00FA34BC">
        <w:tc>
          <w:tcPr>
            <w:tcW w:w="2799" w:type="dxa"/>
          </w:tcPr>
          <w:p w14:paraId="6BC99C56"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 xml:space="preserve">Conc. </w:t>
            </w:r>
            <w:r w:rsidRPr="00314A15">
              <w:rPr>
                <w:rFonts w:ascii="Times New Roman" w:hAnsi="Times New Roman" w:cs="Times New Roman"/>
                <w:sz w:val="20"/>
                <w:szCs w:val="24"/>
              </w:rPr>
              <w:t>H</w:t>
            </w:r>
            <w:r w:rsidRPr="00314A15">
              <w:rPr>
                <w:rFonts w:ascii="Times New Roman" w:hAnsi="Times New Roman" w:cs="Times New Roman"/>
                <w:sz w:val="20"/>
                <w:szCs w:val="24"/>
                <w:vertAlign w:val="subscript"/>
              </w:rPr>
              <w:t>2</w:t>
            </w:r>
            <w:r w:rsidRPr="00314A15">
              <w:rPr>
                <w:rFonts w:ascii="Times New Roman" w:hAnsi="Times New Roman" w:cs="Times New Roman"/>
                <w:sz w:val="20"/>
                <w:szCs w:val="24"/>
              </w:rPr>
              <w:t>SO</w:t>
            </w:r>
            <w:r w:rsidRPr="00314A15">
              <w:rPr>
                <w:rFonts w:ascii="Times New Roman" w:hAnsi="Times New Roman" w:cs="Times New Roman"/>
                <w:sz w:val="20"/>
                <w:szCs w:val="24"/>
                <w:vertAlign w:val="subscript"/>
              </w:rPr>
              <w:t>4</w:t>
            </w:r>
            <w:r w:rsidRPr="00314A15">
              <w:rPr>
                <w:rFonts w:ascii="Times New Roman" w:hAnsi="Times New Roman" w:cs="Times New Roman"/>
                <w:sz w:val="20"/>
              </w:rPr>
              <w:t xml:space="preserve"> (2 min)</w:t>
            </w:r>
          </w:p>
        </w:tc>
        <w:tc>
          <w:tcPr>
            <w:tcW w:w="1353" w:type="dxa"/>
            <w:vAlign w:val="bottom"/>
          </w:tcPr>
          <w:p w14:paraId="307F6F3A"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1.08</w:t>
            </w:r>
          </w:p>
        </w:tc>
        <w:tc>
          <w:tcPr>
            <w:tcW w:w="1353" w:type="dxa"/>
            <w:vAlign w:val="bottom"/>
          </w:tcPr>
          <w:p w14:paraId="23DAD1C6"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0.485</w:t>
            </w:r>
          </w:p>
        </w:tc>
        <w:tc>
          <w:tcPr>
            <w:tcW w:w="1372" w:type="dxa"/>
            <w:vAlign w:val="bottom"/>
          </w:tcPr>
          <w:p w14:paraId="1CAE5A45"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1.565</w:t>
            </w:r>
          </w:p>
        </w:tc>
        <w:tc>
          <w:tcPr>
            <w:tcW w:w="1372" w:type="dxa"/>
            <w:vAlign w:val="bottom"/>
          </w:tcPr>
          <w:p w14:paraId="67C9CB87"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4.67</w:t>
            </w:r>
          </w:p>
        </w:tc>
      </w:tr>
      <w:tr w:rsidR="000C748C" w14:paraId="39B10C52" w14:textId="77777777" w:rsidTr="00FA34BC">
        <w:tc>
          <w:tcPr>
            <w:tcW w:w="2799" w:type="dxa"/>
          </w:tcPr>
          <w:p w14:paraId="4D23EF25"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Plasma treatment (6 min)</w:t>
            </w:r>
          </w:p>
        </w:tc>
        <w:tc>
          <w:tcPr>
            <w:tcW w:w="1353" w:type="dxa"/>
            <w:vAlign w:val="bottom"/>
          </w:tcPr>
          <w:p w14:paraId="769A2ADE"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1.135</w:t>
            </w:r>
          </w:p>
        </w:tc>
        <w:tc>
          <w:tcPr>
            <w:tcW w:w="1353" w:type="dxa"/>
            <w:vAlign w:val="bottom"/>
          </w:tcPr>
          <w:p w14:paraId="136B6AFB"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0.53</w:t>
            </w:r>
          </w:p>
        </w:tc>
        <w:tc>
          <w:tcPr>
            <w:tcW w:w="1372" w:type="dxa"/>
            <w:vAlign w:val="bottom"/>
          </w:tcPr>
          <w:p w14:paraId="1AF3DB0E"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1.665</w:t>
            </w:r>
          </w:p>
        </w:tc>
        <w:tc>
          <w:tcPr>
            <w:tcW w:w="1372" w:type="dxa"/>
            <w:vAlign w:val="bottom"/>
          </w:tcPr>
          <w:p w14:paraId="18276096"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5.08</w:t>
            </w:r>
          </w:p>
        </w:tc>
      </w:tr>
      <w:tr w:rsidR="000C748C" w14:paraId="77866210" w14:textId="77777777" w:rsidTr="00FA34BC">
        <w:tc>
          <w:tcPr>
            <w:tcW w:w="2799" w:type="dxa"/>
          </w:tcPr>
          <w:p w14:paraId="5832779C"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Control</w:t>
            </w:r>
          </w:p>
        </w:tc>
        <w:tc>
          <w:tcPr>
            <w:tcW w:w="1353" w:type="dxa"/>
            <w:vAlign w:val="bottom"/>
          </w:tcPr>
          <w:p w14:paraId="23238300"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1.035</w:t>
            </w:r>
          </w:p>
        </w:tc>
        <w:tc>
          <w:tcPr>
            <w:tcW w:w="1353" w:type="dxa"/>
            <w:vAlign w:val="bottom"/>
          </w:tcPr>
          <w:p w14:paraId="24655CFC"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0.465</w:t>
            </w:r>
          </w:p>
        </w:tc>
        <w:tc>
          <w:tcPr>
            <w:tcW w:w="1372" w:type="dxa"/>
            <w:vAlign w:val="bottom"/>
          </w:tcPr>
          <w:p w14:paraId="5FACFC0C"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1.5</w:t>
            </w:r>
          </w:p>
        </w:tc>
        <w:tc>
          <w:tcPr>
            <w:tcW w:w="1372" w:type="dxa"/>
            <w:vAlign w:val="bottom"/>
          </w:tcPr>
          <w:p w14:paraId="0A4E43A9"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4.61</w:t>
            </w:r>
          </w:p>
        </w:tc>
      </w:tr>
      <w:tr w:rsidR="000C748C" w14:paraId="7A2A6A9C" w14:textId="77777777" w:rsidTr="000C748C">
        <w:tc>
          <w:tcPr>
            <w:tcW w:w="2799" w:type="dxa"/>
          </w:tcPr>
          <w:p w14:paraId="796CFE70" w14:textId="77777777" w:rsidR="000C748C" w:rsidRPr="00314A15" w:rsidRDefault="000C748C" w:rsidP="000C748C">
            <w:pPr>
              <w:spacing w:line="360" w:lineRule="auto"/>
              <w:jc w:val="center"/>
              <w:rPr>
                <w:rFonts w:ascii="Times New Roman" w:eastAsia="Times New Roman" w:hAnsi="Times New Roman" w:cs="Times New Roman"/>
                <w:color w:val="000000"/>
                <w:sz w:val="20"/>
                <w:szCs w:val="24"/>
              </w:rPr>
            </w:pPr>
            <w:r w:rsidRPr="00314A15">
              <w:rPr>
                <w:rFonts w:ascii="Times New Roman" w:eastAsia="Times New Roman" w:hAnsi="Times New Roman" w:cs="Times New Roman"/>
                <w:color w:val="000000"/>
                <w:sz w:val="20"/>
                <w:szCs w:val="24"/>
              </w:rPr>
              <w:t>C.D. (0.05)</w:t>
            </w:r>
          </w:p>
        </w:tc>
        <w:tc>
          <w:tcPr>
            <w:tcW w:w="1353" w:type="dxa"/>
          </w:tcPr>
          <w:p w14:paraId="656A0DFD"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0.11</w:t>
            </w:r>
          </w:p>
        </w:tc>
        <w:tc>
          <w:tcPr>
            <w:tcW w:w="1353" w:type="dxa"/>
          </w:tcPr>
          <w:p w14:paraId="30A79421"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0.15</w:t>
            </w:r>
          </w:p>
        </w:tc>
        <w:tc>
          <w:tcPr>
            <w:tcW w:w="1372" w:type="dxa"/>
          </w:tcPr>
          <w:p w14:paraId="27EA7B13"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0.18</w:t>
            </w:r>
          </w:p>
        </w:tc>
        <w:tc>
          <w:tcPr>
            <w:tcW w:w="1372" w:type="dxa"/>
          </w:tcPr>
          <w:p w14:paraId="69804D82" w14:textId="77777777" w:rsidR="000C748C" w:rsidRPr="00022968" w:rsidRDefault="000C748C" w:rsidP="000C748C">
            <w:pPr>
              <w:spacing w:line="36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1.13</w:t>
            </w:r>
          </w:p>
        </w:tc>
      </w:tr>
      <w:tr w:rsidR="000C748C" w14:paraId="48BA4A1F" w14:textId="77777777" w:rsidTr="000C748C">
        <w:tc>
          <w:tcPr>
            <w:tcW w:w="2799" w:type="dxa"/>
          </w:tcPr>
          <w:p w14:paraId="4848E293" w14:textId="77777777" w:rsidR="000C748C" w:rsidRPr="00314A15" w:rsidRDefault="000C748C" w:rsidP="000C748C">
            <w:pPr>
              <w:spacing w:line="360" w:lineRule="auto"/>
              <w:jc w:val="center"/>
              <w:rPr>
                <w:rFonts w:ascii="Times New Roman" w:eastAsia="Times New Roman" w:hAnsi="Times New Roman" w:cs="Times New Roman"/>
                <w:color w:val="000000"/>
                <w:sz w:val="20"/>
                <w:szCs w:val="24"/>
              </w:rPr>
            </w:pPr>
            <w:r w:rsidRPr="00314A15">
              <w:rPr>
                <w:rFonts w:ascii="Times New Roman" w:eastAsia="Times New Roman" w:hAnsi="Times New Roman" w:cs="Times New Roman"/>
                <w:color w:val="000000"/>
                <w:sz w:val="20"/>
                <w:szCs w:val="24"/>
              </w:rPr>
              <w:t>SE(m)</w:t>
            </w:r>
          </w:p>
        </w:tc>
        <w:tc>
          <w:tcPr>
            <w:tcW w:w="1353" w:type="dxa"/>
          </w:tcPr>
          <w:p w14:paraId="2F28FDA4"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0.45</w:t>
            </w:r>
          </w:p>
        </w:tc>
        <w:tc>
          <w:tcPr>
            <w:tcW w:w="1353" w:type="dxa"/>
          </w:tcPr>
          <w:p w14:paraId="5297470E"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0.47</w:t>
            </w:r>
          </w:p>
        </w:tc>
        <w:tc>
          <w:tcPr>
            <w:tcW w:w="1372" w:type="dxa"/>
          </w:tcPr>
          <w:p w14:paraId="108DD30F"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0.42</w:t>
            </w:r>
          </w:p>
        </w:tc>
        <w:tc>
          <w:tcPr>
            <w:tcW w:w="1372" w:type="dxa"/>
          </w:tcPr>
          <w:p w14:paraId="2BE69A4D" w14:textId="77777777" w:rsidR="000C748C" w:rsidRPr="00022968" w:rsidRDefault="000C748C" w:rsidP="000C748C">
            <w:pPr>
              <w:spacing w:line="36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0.49</w:t>
            </w:r>
          </w:p>
        </w:tc>
      </w:tr>
      <w:tr w:rsidR="000C748C" w14:paraId="00295178" w14:textId="77777777" w:rsidTr="000C748C">
        <w:tc>
          <w:tcPr>
            <w:tcW w:w="2799" w:type="dxa"/>
          </w:tcPr>
          <w:p w14:paraId="2DBA7269" w14:textId="77777777" w:rsidR="000C748C" w:rsidRPr="00314A15" w:rsidRDefault="000C748C" w:rsidP="000C748C">
            <w:pPr>
              <w:spacing w:line="360" w:lineRule="auto"/>
              <w:jc w:val="center"/>
              <w:rPr>
                <w:rFonts w:ascii="Times New Roman" w:eastAsia="Times New Roman" w:hAnsi="Times New Roman" w:cs="Times New Roman"/>
                <w:color w:val="000000"/>
                <w:sz w:val="20"/>
                <w:szCs w:val="24"/>
              </w:rPr>
            </w:pPr>
            <w:r w:rsidRPr="00314A15">
              <w:rPr>
                <w:rFonts w:ascii="Times New Roman" w:eastAsia="Times New Roman" w:hAnsi="Times New Roman" w:cs="Times New Roman"/>
                <w:color w:val="000000"/>
                <w:sz w:val="20"/>
                <w:szCs w:val="24"/>
              </w:rPr>
              <w:t>CV (0.05)</w:t>
            </w:r>
          </w:p>
        </w:tc>
        <w:tc>
          <w:tcPr>
            <w:tcW w:w="1353" w:type="dxa"/>
          </w:tcPr>
          <w:p w14:paraId="64C3F63E"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1.33</w:t>
            </w:r>
          </w:p>
        </w:tc>
        <w:tc>
          <w:tcPr>
            <w:tcW w:w="1353" w:type="dxa"/>
          </w:tcPr>
          <w:p w14:paraId="4CCA8908"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1.42</w:t>
            </w:r>
          </w:p>
        </w:tc>
        <w:tc>
          <w:tcPr>
            <w:tcW w:w="1372" w:type="dxa"/>
          </w:tcPr>
          <w:p w14:paraId="10F7CFF3"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1.23</w:t>
            </w:r>
          </w:p>
        </w:tc>
        <w:tc>
          <w:tcPr>
            <w:tcW w:w="1372" w:type="dxa"/>
          </w:tcPr>
          <w:p w14:paraId="0DF1612A" w14:textId="77777777" w:rsidR="000C748C" w:rsidRPr="00022968" w:rsidRDefault="000C748C" w:rsidP="000C748C">
            <w:pPr>
              <w:spacing w:line="36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2.33</w:t>
            </w:r>
          </w:p>
        </w:tc>
      </w:tr>
    </w:tbl>
    <w:p w14:paraId="4C270777" w14:textId="77777777" w:rsidR="00314A15" w:rsidRDefault="00314A15" w:rsidP="00E71783">
      <w:pPr>
        <w:pStyle w:val="NormalWeb"/>
        <w:spacing w:before="0" w:beforeAutospacing="0" w:after="0" w:afterAutospacing="0" w:line="360" w:lineRule="auto"/>
        <w:jc w:val="both"/>
      </w:pPr>
    </w:p>
    <w:p w14:paraId="105633C8" w14:textId="77777777" w:rsidR="00314A15" w:rsidRDefault="00314A15" w:rsidP="00E71783">
      <w:pPr>
        <w:pStyle w:val="NormalWeb"/>
        <w:spacing w:before="0" w:beforeAutospacing="0" w:after="0" w:afterAutospacing="0" w:line="360" w:lineRule="auto"/>
        <w:jc w:val="both"/>
      </w:pPr>
    </w:p>
    <w:p w14:paraId="560D2F76" w14:textId="77777777" w:rsidR="00314A15" w:rsidRDefault="00314A15" w:rsidP="00E71783">
      <w:pPr>
        <w:pStyle w:val="NormalWeb"/>
        <w:spacing w:before="0" w:beforeAutospacing="0" w:after="0" w:afterAutospacing="0" w:line="360" w:lineRule="auto"/>
        <w:jc w:val="both"/>
      </w:pPr>
    </w:p>
    <w:p w14:paraId="52E2975C" w14:textId="77777777" w:rsidR="00314A15" w:rsidRDefault="00314A15" w:rsidP="00E71783">
      <w:pPr>
        <w:pStyle w:val="NormalWeb"/>
        <w:spacing w:before="0" w:beforeAutospacing="0" w:after="0" w:afterAutospacing="0" w:line="360" w:lineRule="auto"/>
        <w:jc w:val="both"/>
      </w:pPr>
    </w:p>
    <w:p w14:paraId="59D587ED" w14:textId="77777777" w:rsidR="00314A15" w:rsidRDefault="00314A15" w:rsidP="00E71783">
      <w:pPr>
        <w:pStyle w:val="NormalWeb"/>
        <w:spacing w:before="0" w:beforeAutospacing="0" w:after="0" w:afterAutospacing="0" w:line="360" w:lineRule="auto"/>
        <w:jc w:val="both"/>
      </w:pPr>
    </w:p>
    <w:p w14:paraId="6FCC7153" w14:textId="77777777" w:rsidR="00314A15" w:rsidRPr="00B66C4C" w:rsidRDefault="00314A15" w:rsidP="00314A15">
      <w:pPr>
        <w:pStyle w:val="NormalWeb"/>
        <w:spacing w:before="0" w:beforeAutospacing="0" w:after="0" w:afterAutospacing="0" w:line="360" w:lineRule="auto"/>
        <w:jc w:val="center"/>
        <w:rPr>
          <w:b/>
          <w:sz w:val="22"/>
        </w:rPr>
      </w:pPr>
      <w:r w:rsidRPr="00B66C4C">
        <w:rPr>
          <w:b/>
          <w:sz w:val="22"/>
        </w:rPr>
        <w:t xml:space="preserve">Table 2: Effect of Seed Priming on the chlorophyll </w:t>
      </w:r>
      <w:r w:rsidR="000C748C" w:rsidRPr="00B66C4C">
        <w:rPr>
          <w:b/>
          <w:sz w:val="22"/>
        </w:rPr>
        <w:t xml:space="preserve">and protein </w:t>
      </w:r>
      <w:r w:rsidRPr="00B66C4C">
        <w:rPr>
          <w:b/>
          <w:sz w:val="22"/>
        </w:rPr>
        <w:t>content in Coriander in 2021-22 and 2022-23</w:t>
      </w:r>
    </w:p>
    <w:p w14:paraId="11248261" w14:textId="77777777" w:rsidR="00314A15" w:rsidRDefault="00314A15" w:rsidP="00E71783">
      <w:pPr>
        <w:pStyle w:val="NormalWeb"/>
        <w:spacing w:before="0" w:beforeAutospacing="0" w:after="0" w:afterAutospacing="0" w:line="360" w:lineRule="auto"/>
        <w:jc w:val="both"/>
      </w:pPr>
    </w:p>
    <w:p w14:paraId="40AA7537" w14:textId="77777777" w:rsidR="007528C9" w:rsidRDefault="00E71783" w:rsidP="007528C9">
      <w:pPr>
        <w:pStyle w:val="NormalWeb"/>
        <w:spacing w:before="0" w:beforeAutospacing="0" w:after="0" w:afterAutospacing="0" w:line="360" w:lineRule="auto"/>
        <w:ind w:firstLine="720"/>
        <w:jc w:val="both"/>
      </w:pPr>
      <w:r>
        <w:t xml:space="preserve">Physiological assessments confirmed the effectiveness of seed priming in improving photosynthetic efficiency and metabolic activity. </w:t>
      </w:r>
      <w:r w:rsidR="007528C9">
        <w:t>Chlorophyll plays a critical role in photosynthesis and plant metabolism, and its content is often indicative of plant vigor and health (</w:t>
      </w:r>
      <w:proofErr w:type="spellStart"/>
      <w:r w:rsidR="007528C9">
        <w:t>Porra</w:t>
      </w:r>
      <w:proofErr w:type="spellEnd"/>
      <w:r w:rsidR="007528C9">
        <w:t xml:space="preserve"> </w:t>
      </w:r>
      <w:r w:rsidR="007528C9" w:rsidRPr="007528C9">
        <w:rPr>
          <w:i/>
        </w:rPr>
        <w:t>et al.,</w:t>
      </w:r>
      <w:r w:rsidR="007528C9">
        <w:t xml:space="preserve"> 1989). The highest chlorophyll a (1.34 mg/100g), chlorophyll b (0.595 mg/100g), and total chlorophyll (1.935 mg/100g) were recorded in seeds treated with silver nanoparticles for 24 hours. This suggests that silver nanoparticles might enhance chlorophyll synthesis, potentially by influencing plant metabolic pathways, as reported in previous studies                   </w:t>
      </w:r>
      <w:proofErr w:type="gramStart"/>
      <w:r w:rsidR="007528C9">
        <w:t xml:space="preserve">   (</w:t>
      </w:r>
      <w:proofErr w:type="gramEnd"/>
      <w:r w:rsidR="007528C9">
        <w:t xml:space="preserve">Singh </w:t>
      </w:r>
      <w:r w:rsidR="007528C9" w:rsidRPr="007528C9">
        <w:rPr>
          <w:i/>
        </w:rPr>
        <w:t>et al.,</w:t>
      </w:r>
      <w:r w:rsidR="007528C9">
        <w:t xml:space="preserve"> 2018). </w:t>
      </w:r>
      <w:r w:rsidR="007528C9" w:rsidRPr="007528C9">
        <w:rPr>
          <w:i/>
        </w:rPr>
        <w:t xml:space="preserve">Trichoderma </w:t>
      </w:r>
      <w:proofErr w:type="spellStart"/>
      <w:r w:rsidR="007528C9" w:rsidRPr="007528C9">
        <w:rPr>
          <w:i/>
        </w:rPr>
        <w:t>viride</w:t>
      </w:r>
      <w:proofErr w:type="spellEnd"/>
      <w:r w:rsidR="007528C9">
        <w:t xml:space="preserve"> (24 </w:t>
      </w:r>
      <w:proofErr w:type="spellStart"/>
      <w:r w:rsidR="007528C9">
        <w:t>hrs</w:t>
      </w:r>
      <w:proofErr w:type="spellEnd"/>
      <w:r w:rsidR="007528C9">
        <w:t xml:space="preserve">) also exhibited enhanced chlorophyll content, with chlorophyll a (1.215 mg/100g), chlorophyll b (0.54 mg/100g), and total chlorophyll (1.755 mg/100g), supporting findings that </w:t>
      </w:r>
      <w:r w:rsidR="007528C9" w:rsidRPr="007528C9">
        <w:rPr>
          <w:i/>
        </w:rPr>
        <w:t xml:space="preserve">Trichoderma </w:t>
      </w:r>
      <w:r w:rsidR="007528C9">
        <w:t>spp. enhance plant growth and biochemical attributes (</w:t>
      </w:r>
      <w:proofErr w:type="spellStart"/>
      <w:r w:rsidR="007528C9">
        <w:t>Shoresh</w:t>
      </w:r>
      <w:proofErr w:type="spellEnd"/>
      <w:r w:rsidR="007528C9">
        <w:t xml:space="preserve"> </w:t>
      </w:r>
      <w:r w:rsidR="007528C9" w:rsidRPr="007528C9">
        <w:rPr>
          <w:i/>
        </w:rPr>
        <w:t>et al</w:t>
      </w:r>
      <w:r w:rsidR="007528C9">
        <w:t>., 2010).</w:t>
      </w:r>
    </w:p>
    <w:p w14:paraId="665F9EBD" w14:textId="77777777" w:rsidR="007528C9" w:rsidRDefault="007528C9" w:rsidP="007528C9">
      <w:pPr>
        <w:pStyle w:val="NormalWeb"/>
        <w:spacing w:before="0" w:beforeAutospacing="0" w:after="0" w:afterAutospacing="0" w:line="360" w:lineRule="auto"/>
        <w:ind w:firstLine="720"/>
        <w:jc w:val="both"/>
      </w:pPr>
      <w:r>
        <w:t xml:space="preserve">The control treatment exhibited the lowest chlorophyll a (1.035 mg/100g), chlorophyll b (0.465 mg/100g), and total chlorophyll (1.5 mg/100g), suggesting that untreated seeds had comparatively lower metabolic activity. The plasma treatment (6 min) and </w:t>
      </w:r>
      <w:proofErr w:type="spellStart"/>
      <w:r>
        <w:t>vermiwash</w:t>
      </w:r>
      <w:proofErr w:type="spellEnd"/>
      <w:r>
        <w:t xml:space="preserve"> (6 </w:t>
      </w:r>
      <w:proofErr w:type="spellStart"/>
      <w:r>
        <w:t>hrs</w:t>
      </w:r>
      <w:proofErr w:type="spellEnd"/>
      <w:r>
        <w:t xml:space="preserve">) treatments showed intermediate results, implying a moderate effect on chlorophyll biosynthesis. Sulfuric acid (H₂SO₄) treatment resulted in the lowest values after control, likely due to its </w:t>
      </w:r>
      <w:r>
        <w:lastRenderedPageBreak/>
        <w:t xml:space="preserve">potential phytotoxic effects (Basra </w:t>
      </w:r>
      <w:r w:rsidRPr="007528C9">
        <w:rPr>
          <w:i/>
        </w:rPr>
        <w:t>et al.,</w:t>
      </w:r>
      <w:r>
        <w:t xml:space="preserve"> 2005). </w:t>
      </w:r>
      <w:r>
        <w:tab/>
      </w:r>
      <w:r>
        <w:tab/>
      </w:r>
      <w:r>
        <w:tab/>
      </w:r>
      <w:r>
        <w:tab/>
      </w:r>
      <w:r>
        <w:tab/>
      </w:r>
      <w:r>
        <w:tab/>
      </w:r>
      <w:r>
        <w:tab/>
        <w:t xml:space="preserve">Protein content is an essential determinant of seed quality and vigor. The highest protein content (6.05 mg/g) was observed in silver nanoparticle-treated seeds, aligning with previous studies that report enhanced metabolic activity and stress tolerance associated with nanoparticle application (Rai &amp; Ingle, 2012). </w:t>
      </w:r>
      <w:r w:rsidRPr="007528C9">
        <w:rPr>
          <w:i/>
        </w:rPr>
        <w:t xml:space="preserve">Trichoderma </w:t>
      </w:r>
      <w:proofErr w:type="spellStart"/>
      <w:r w:rsidRPr="007528C9">
        <w:rPr>
          <w:i/>
        </w:rPr>
        <w:t>viride</w:t>
      </w:r>
      <w:proofErr w:type="spellEnd"/>
      <w:r>
        <w:t xml:space="preserve"> (24 </w:t>
      </w:r>
      <w:proofErr w:type="spellStart"/>
      <w:r>
        <w:t>hrs</w:t>
      </w:r>
      <w:proofErr w:type="spellEnd"/>
      <w:r>
        <w:t xml:space="preserve">) and plasma treatment (6 min) also showed improved protein content (5.11 mg/g and 5.08 mg/g, respectively), indicating a positive effect on protein synthesis, which is consistent with the role of </w:t>
      </w:r>
      <w:proofErr w:type="spellStart"/>
      <w:r>
        <w:t>biostimulants</w:t>
      </w:r>
      <w:proofErr w:type="spellEnd"/>
      <w:r>
        <w:t xml:space="preserve"> in improving seed physiology (Harman </w:t>
      </w:r>
      <w:r w:rsidRPr="00B66C4C">
        <w:rPr>
          <w:i/>
        </w:rPr>
        <w:t>et al.,</w:t>
      </w:r>
      <w:r>
        <w:t xml:space="preserve"> 2004). </w:t>
      </w:r>
      <w:proofErr w:type="spellStart"/>
      <w:r>
        <w:t>Vermiwash</w:t>
      </w:r>
      <w:proofErr w:type="spellEnd"/>
      <w:r>
        <w:t xml:space="preserve"> treatment (4.94 mg/g) also exhibited relatively higher protein content, likely due to the presence of plant growth-promoting substances       </w:t>
      </w:r>
      <w:proofErr w:type="gramStart"/>
      <w:r>
        <w:t xml:space="preserve">   (</w:t>
      </w:r>
      <w:proofErr w:type="gramEnd"/>
      <w:r>
        <w:t xml:space="preserve">Sharma &amp; Garg, 2017). Conversely, sulfuric acid treatment resulted in a reduced protein content (4.67 mg/g), likely due to oxidative stress and protein degradation (Basra </w:t>
      </w:r>
      <w:r w:rsidRPr="007528C9">
        <w:rPr>
          <w:i/>
        </w:rPr>
        <w:t>et al.,</w:t>
      </w:r>
      <w:r>
        <w:t xml:space="preserve"> 2005). The control treatment had the lowest protein content (4.61 mg/g), reaffirming the benefits of seed priming techniques. The critical difference (C.D. 0.05) values indicate statistically significant variations among treatments. The coefficient of variation (CV) values, ranging from 1.23% (total chlorophyll) to 2.33% (protein content), suggest high experimental precision. The standard error of the mean (</w:t>
      </w:r>
      <w:proofErr w:type="spellStart"/>
      <w:r>
        <w:t>SEm</w:t>
      </w:r>
      <w:proofErr w:type="spellEnd"/>
      <w:r>
        <w:t>) values further support the reliability of the findings.</w:t>
      </w:r>
    </w:p>
    <w:p w14:paraId="7D5997BE" w14:textId="77777777" w:rsidR="000A62CC" w:rsidRPr="000A62CC" w:rsidRDefault="000A62CC" w:rsidP="007528C9">
      <w:pPr>
        <w:pStyle w:val="NormalWeb"/>
        <w:spacing w:before="0" w:beforeAutospacing="0" w:after="0" w:afterAutospacing="0" w:line="360" w:lineRule="auto"/>
        <w:jc w:val="both"/>
        <w:rPr>
          <w:b/>
        </w:rPr>
      </w:pPr>
      <w:proofErr w:type="gramStart"/>
      <w:r w:rsidRPr="000A62CC">
        <w:rPr>
          <w:b/>
        </w:rPr>
        <w:t>Conclusion :</w:t>
      </w:r>
      <w:proofErr w:type="gramEnd"/>
    </w:p>
    <w:p w14:paraId="711F411E" w14:textId="77777777" w:rsidR="00E71783" w:rsidRDefault="00E71783" w:rsidP="000A62CC">
      <w:pPr>
        <w:pStyle w:val="NormalWeb"/>
        <w:spacing w:before="0" w:beforeAutospacing="0" w:after="0" w:afterAutospacing="0" w:line="360" w:lineRule="auto"/>
        <w:jc w:val="both"/>
      </w:pPr>
      <w:r>
        <w:t xml:space="preserve">These findings strongly suggest that seed priming, particularly with silver nanoparticles and </w:t>
      </w:r>
      <w:r w:rsidRPr="007528C9">
        <w:rPr>
          <w:i/>
        </w:rPr>
        <w:t xml:space="preserve">Trichoderma </w:t>
      </w:r>
      <w:proofErr w:type="spellStart"/>
      <w:r w:rsidRPr="007528C9">
        <w:rPr>
          <w:i/>
        </w:rPr>
        <w:t>viride</w:t>
      </w:r>
      <w:proofErr w:type="spellEnd"/>
      <w:r>
        <w:t>, is an effective strategy for im</w:t>
      </w:r>
      <w:r w:rsidR="000A62CC">
        <w:t>proving coriander growth and yield</w:t>
      </w:r>
      <w:r>
        <w:t>. The increased photosynthetic efficiency, enhanced nutrient uptake, and better metabolic activity observed under these treatments contribute to improved agronomic performance. Future studies should explore the molecular mechanisms underlying these benefits and assess the long-term economic viability of these treatments for commercial seed production.</w:t>
      </w:r>
      <w:r w:rsidR="007528C9">
        <w:t xml:space="preserve"> Silver nanoparticle treatment exhibited the most significant enhancement in chlorophyll content and protein concentration, followed by </w:t>
      </w:r>
      <w:r w:rsidR="007528C9" w:rsidRPr="0041759E">
        <w:rPr>
          <w:i/>
        </w:rPr>
        <w:t xml:space="preserve">Trichoderma </w:t>
      </w:r>
      <w:proofErr w:type="spellStart"/>
      <w:r w:rsidR="007528C9" w:rsidRPr="0041759E">
        <w:rPr>
          <w:i/>
        </w:rPr>
        <w:t>viride</w:t>
      </w:r>
      <w:proofErr w:type="spellEnd"/>
      <w:r w:rsidR="007528C9">
        <w:t xml:space="preserve"> and plasma treatment. These findings highlight the potential of these treatments in improving seed quality and metabolic efficiency. Future research should explore the mechanistic basis of these enhancements at a molecular level.</w:t>
      </w:r>
    </w:p>
    <w:p w14:paraId="571207B8" w14:textId="77777777" w:rsidR="00195269" w:rsidRDefault="00195269" w:rsidP="000A62CC">
      <w:pPr>
        <w:pStyle w:val="NormalWeb"/>
        <w:spacing w:before="0" w:beforeAutospacing="0" w:after="0" w:afterAutospacing="0" w:line="360" w:lineRule="auto"/>
        <w:jc w:val="both"/>
      </w:pPr>
    </w:p>
    <w:p w14:paraId="69BF065E" w14:textId="77777777" w:rsidR="00195269" w:rsidRPr="00877D77" w:rsidRDefault="00195269" w:rsidP="00195269">
      <w:pPr>
        <w:pStyle w:val="NormalWeb"/>
        <w:spacing w:before="0" w:beforeAutospacing="0" w:after="0" w:afterAutospacing="0" w:line="360" w:lineRule="auto"/>
        <w:jc w:val="both"/>
        <w:rPr>
          <w:b/>
        </w:rPr>
      </w:pPr>
      <w:proofErr w:type="gramStart"/>
      <w:r w:rsidRPr="00877D77">
        <w:rPr>
          <w:b/>
        </w:rPr>
        <w:t>References :</w:t>
      </w:r>
      <w:proofErr w:type="gramEnd"/>
      <w:r w:rsidRPr="00877D77">
        <w:rPr>
          <w:b/>
        </w:rPr>
        <w:t xml:space="preserve">- </w:t>
      </w:r>
    </w:p>
    <w:p w14:paraId="60642CE6" w14:textId="77777777" w:rsidR="00B66C4C" w:rsidRDefault="00B66C4C" w:rsidP="00B66C4C">
      <w:pPr>
        <w:pStyle w:val="NormalWeb"/>
        <w:numPr>
          <w:ilvl w:val="0"/>
          <w:numId w:val="5"/>
        </w:numPr>
        <w:spacing w:before="0" w:beforeAutospacing="0" w:after="0" w:afterAutospacing="0" w:line="360" w:lineRule="auto"/>
        <w:jc w:val="both"/>
      </w:pPr>
      <w:proofErr w:type="spellStart"/>
      <w:r w:rsidRPr="00ED0C98">
        <w:t>Arnon</w:t>
      </w:r>
      <w:proofErr w:type="spellEnd"/>
      <w:r w:rsidRPr="00ED0C98">
        <w:t xml:space="preserve">, D. I. (1949). </w:t>
      </w:r>
      <w:r w:rsidRPr="00877D77">
        <w:rPr>
          <w:rStyle w:val="Strong"/>
          <w:b w:val="0"/>
        </w:rPr>
        <w:t xml:space="preserve">Copper enzymes in isolated chloroplasts: </w:t>
      </w:r>
      <w:proofErr w:type="spellStart"/>
      <w:r w:rsidRPr="00877D77">
        <w:rPr>
          <w:rStyle w:val="Strong"/>
          <w:b w:val="0"/>
        </w:rPr>
        <w:t>Polyphenoloxidase</w:t>
      </w:r>
      <w:proofErr w:type="spellEnd"/>
      <w:r w:rsidRPr="00877D77">
        <w:rPr>
          <w:rStyle w:val="Strong"/>
          <w:b w:val="0"/>
        </w:rPr>
        <w:t xml:space="preserve"> in </w:t>
      </w:r>
      <w:r w:rsidRPr="00877D77">
        <w:rPr>
          <w:rStyle w:val="Strong"/>
          <w:b w:val="0"/>
          <w:i/>
        </w:rPr>
        <w:t>Beta vulgaris.</w:t>
      </w:r>
      <w:r w:rsidRPr="00877D77">
        <w:rPr>
          <w:b/>
          <w:i/>
        </w:rPr>
        <w:t xml:space="preserve"> </w:t>
      </w:r>
      <w:r w:rsidRPr="00ED0C98">
        <w:rPr>
          <w:rStyle w:val="Emphasis"/>
        </w:rPr>
        <w:t>Plant Physiology, 24</w:t>
      </w:r>
      <w:r w:rsidRPr="00ED0C98">
        <w:t xml:space="preserve">(1), 1-15. </w:t>
      </w:r>
      <w:hyperlink r:id="rId13" w:history="1">
        <w:r w:rsidRPr="00384939">
          <w:rPr>
            <w:rStyle w:val="Hyperlink"/>
          </w:rPr>
          <w:t>https://doi.org/10.1104/pp.24.1.1</w:t>
        </w:r>
      </w:hyperlink>
    </w:p>
    <w:p w14:paraId="7E1B4AD8" w14:textId="77777777" w:rsidR="00B66C4C" w:rsidRDefault="00B66C4C" w:rsidP="00B66C4C">
      <w:pPr>
        <w:pStyle w:val="NormalWeb"/>
        <w:numPr>
          <w:ilvl w:val="0"/>
          <w:numId w:val="5"/>
        </w:numPr>
        <w:spacing w:before="0" w:beforeAutospacing="0" w:after="0" w:afterAutospacing="0" w:line="360" w:lineRule="auto"/>
        <w:jc w:val="both"/>
      </w:pPr>
      <w:r w:rsidRPr="00B66C4C">
        <w:lastRenderedPageBreak/>
        <w:t xml:space="preserve">Ashraf, M., &amp; </w:t>
      </w:r>
      <w:proofErr w:type="spellStart"/>
      <w:r w:rsidRPr="00B66C4C">
        <w:t>Foolad</w:t>
      </w:r>
      <w:proofErr w:type="spellEnd"/>
      <w:r w:rsidRPr="00B66C4C">
        <w:t xml:space="preserve">, M. R. (2005). Pre-sowing seed treatment—a shotgun approach to improve germination, plant growth, and crop yield under saline and non-saline conditions. </w:t>
      </w:r>
      <w:r w:rsidRPr="00B66C4C">
        <w:rPr>
          <w:i/>
          <w:iCs/>
        </w:rPr>
        <w:t>Advances in Agronomy, 88</w:t>
      </w:r>
      <w:r w:rsidRPr="00B66C4C">
        <w:t xml:space="preserve">, 223-271. </w:t>
      </w:r>
    </w:p>
    <w:p w14:paraId="781331C2" w14:textId="77777777" w:rsidR="00B66C4C" w:rsidRDefault="00B66C4C" w:rsidP="00B66C4C">
      <w:pPr>
        <w:pStyle w:val="NormalWeb"/>
        <w:numPr>
          <w:ilvl w:val="0"/>
          <w:numId w:val="5"/>
        </w:numPr>
        <w:spacing w:before="0" w:beforeAutospacing="0" w:after="0" w:afterAutospacing="0" w:line="360" w:lineRule="auto"/>
        <w:jc w:val="both"/>
      </w:pPr>
      <w:r w:rsidRPr="00B66C4C">
        <w:t xml:space="preserve">Baskin, C. C., &amp; Baskin, J. M. (2014). </w:t>
      </w:r>
      <w:r w:rsidRPr="00B66C4C">
        <w:rPr>
          <w:i/>
          <w:iCs/>
        </w:rPr>
        <w:t>Seeds: Ecology, biogeography, and evolution of dormancy and germination</w:t>
      </w:r>
      <w:r w:rsidRPr="00B66C4C">
        <w:t xml:space="preserve">. Academic Press. </w:t>
      </w:r>
    </w:p>
    <w:p w14:paraId="1368D1E5" w14:textId="77777777" w:rsidR="00B66C4C" w:rsidRDefault="00B66C4C" w:rsidP="00B66C4C">
      <w:pPr>
        <w:pStyle w:val="NormalWeb"/>
        <w:numPr>
          <w:ilvl w:val="0"/>
          <w:numId w:val="5"/>
        </w:numPr>
        <w:spacing w:before="0" w:beforeAutospacing="0" w:after="0" w:afterAutospacing="0" w:line="360" w:lineRule="auto"/>
        <w:jc w:val="both"/>
      </w:pPr>
      <w:r>
        <w:t>Basra, S. M. A., Farooq, M., Tabassum, R., &amp; Ahmad, N. (2005). Physiological and biochemical aspects of seed vigor enhancement treatments in fine rice (</w:t>
      </w:r>
      <w:r w:rsidRPr="007528C9">
        <w:rPr>
          <w:i/>
        </w:rPr>
        <w:t>Oryza sativa</w:t>
      </w:r>
      <w:r>
        <w:t xml:space="preserve"> L.). </w:t>
      </w:r>
      <w:r w:rsidRPr="007528C9">
        <w:rPr>
          <w:i/>
        </w:rPr>
        <w:t>Seed Science and Technology</w:t>
      </w:r>
      <w:r>
        <w:t>, 33(3), 623-628.</w:t>
      </w:r>
    </w:p>
    <w:p w14:paraId="3748FFC1" w14:textId="77777777" w:rsidR="00B66C4C" w:rsidRDefault="00B66C4C" w:rsidP="00B66C4C">
      <w:pPr>
        <w:pStyle w:val="NormalWeb"/>
        <w:numPr>
          <w:ilvl w:val="0"/>
          <w:numId w:val="5"/>
        </w:numPr>
        <w:spacing w:before="0" w:beforeAutospacing="0" w:after="0" w:afterAutospacing="0" w:line="360" w:lineRule="auto"/>
        <w:jc w:val="both"/>
      </w:pPr>
      <w:r w:rsidRPr="00B66C4C">
        <w:t xml:space="preserve">Farooq, M., Wahid, A., Basra, S. M. A., &amp; Siddique, K. H. M. (2019). Improving drought tolerance in wheat by exogenous application of proline and </w:t>
      </w:r>
      <w:proofErr w:type="spellStart"/>
      <w:r w:rsidRPr="00B66C4C">
        <w:t>glycinebetaine</w:t>
      </w:r>
      <w:proofErr w:type="spellEnd"/>
      <w:r w:rsidRPr="00B66C4C">
        <w:t xml:space="preserve">. </w:t>
      </w:r>
      <w:r w:rsidRPr="00B66C4C">
        <w:rPr>
          <w:i/>
          <w:iCs/>
        </w:rPr>
        <w:t>Journal of Agronomy and Crop Science, 195</w:t>
      </w:r>
      <w:r w:rsidRPr="00B66C4C">
        <w:t xml:space="preserve">(3), 235-246. </w:t>
      </w:r>
    </w:p>
    <w:p w14:paraId="0688667C" w14:textId="77777777" w:rsidR="00B66C4C" w:rsidRDefault="00B66C4C" w:rsidP="00B66C4C">
      <w:pPr>
        <w:pStyle w:val="NormalWeb"/>
        <w:numPr>
          <w:ilvl w:val="0"/>
          <w:numId w:val="5"/>
        </w:numPr>
        <w:spacing w:before="0" w:beforeAutospacing="0" w:after="0" w:afterAutospacing="0" w:line="360" w:lineRule="auto"/>
        <w:jc w:val="both"/>
      </w:pPr>
      <w:r>
        <w:t xml:space="preserve">Harman, G. E., Howell, C. R., </w:t>
      </w:r>
      <w:proofErr w:type="spellStart"/>
      <w:r>
        <w:t>Viterbo</w:t>
      </w:r>
      <w:proofErr w:type="spellEnd"/>
      <w:r>
        <w:t xml:space="preserve">, A., Chet, I., &amp; </w:t>
      </w:r>
      <w:proofErr w:type="spellStart"/>
      <w:r>
        <w:t>Lorito</w:t>
      </w:r>
      <w:proofErr w:type="spellEnd"/>
      <w:r>
        <w:t xml:space="preserve">, M. (2004). Trichoderma species—Opportunistic, avirulent plant symbionts. </w:t>
      </w:r>
      <w:r w:rsidRPr="007528C9">
        <w:rPr>
          <w:i/>
        </w:rPr>
        <w:t>Nature Reviews Microbiology</w:t>
      </w:r>
      <w:r>
        <w:t>, 2(1), 43-56.</w:t>
      </w:r>
    </w:p>
    <w:p w14:paraId="39D04E95" w14:textId="77777777" w:rsidR="00B66C4C" w:rsidRDefault="00B66C4C" w:rsidP="00B66C4C">
      <w:pPr>
        <w:pStyle w:val="NormalWeb"/>
        <w:numPr>
          <w:ilvl w:val="0"/>
          <w:numId w:val="5"/>
        </w:numPr>
        <w:spacing w:before="0" w:beforeAutospacing="0" w:after="0" w:afterAutospacing="0" w:line="360" w:lineRule="auto"/>
        <w:jc w:val="both"/>
      </w:pPr>
      <w:r w:rsidRPr="00B66C4C">
        <w:t xml:space="preserve">Hussain, S., Khan, F., Cao, W., He, L., Ahmed, M., &amp; Li, Y. (2020). Seed priming: An effective strategy to improve crop stress tolerance. </w:t>
      </w:r>
      <w:r w:rsidRPr="00B66C4C">
        <w:rPr>
          <w:i/>
          <w:iCs/>
        </w:rPr>
        <w:t>International Journal of Molecular Sciences, 21</w:t>
      </w:r>
      <w:r w:rsidRPr="00B66C4C">
        <w:t xml:space="preserve">(2), 556. </w:t>
      </w:r>
    </w:p>
    <w:p w14:paraId="07637210" w14:textId="77777777" w:rsidR="00B66C4C" w:rsidRDefault="00B66C4C" w:rsidP="00B66C4C">
      <w:pPr>
        <w:pStyle w:val="NormalWeb"/>
        <w:numPr>
          <w:ilvl w:val="0"/>
          <w:numId w:val="5"/>
        </w:numPr>
        <w:spacing w:before="0" w:beforeAutospacing="0" w:after="0" w:afterAutospacing="0" w:line="360" w:lineRule="auto"/>
        <w:jc w:val="both"/>
      </w:pPr>
      <w:r>
        <w:t xml:space="preserve">Lowry, O. H., </w:t>
      </w:r>
      <w:proofErr w:type="spellStart"/>
      <w:r>
        <w:t>Rosebrough</w:t>
      </w:r>
      <w:proofErr w:type="spellEnd"/>
      <w:r>
        <w:t xml:space="preserve">, N. J., Farr, A. L., &amp; Randall, R. J. (1951). </w:t>
      </w:r>
      <w:r w:rsidRPr="00877D77">
        <w:rPr>
          <w:rStyle w:val="Strong"/>
          <w:b w:val="0"/>
        </w:rPr>
        <w:t xml:space="preserve">Protein measurement with the </w:t>
      </w:r>
      <w:proofErr w:type="spellStart"/>
      <w:r w:rsidRPr="00877D77">
        <w:rPr>
          <w:rStyle w:val="Strong"/>
          <w:b w:val="0"/>
        </w:rPr>
        <w:t>Folin</w:t>
      </w:r>
      <w:proofErr w:type="spellEnd"/>
      <w:r w:rsidRPr="00877D77">
        <w:rPr>
          <w:rStyle w:val="Strong"/>
          <w:b w:val="0"/>
        </w:rPr>
        <w:t xml:space="preserve"> phenol reagent</w:t>
      </w:r>
      <w:r>
        <w:rPr>
          <w:rStyle w:val="Strong"/>
        </w:rPr>
        <w:t>.</w:t>
      </w:r>
      <w:r>
        <w:t xml:space="preserve"> </w:t>
      </w:r>
      <w:r>
        <w:rPr>
          <w:rStyle w:val="Emphasis"/>
        </w:rPr>
        <w:t>Journal of Biological Chemistry, 193</w:t>
      </w:r>
      <w:r>
        <w:t xml:space="preserve">(1), 265-275. </w:t>
      </w:r>
      <w:hyperlink r:id="rId14" w:history="1">
        <w:r w:rsidRPr="00384939">
          <w:rPr>
            <w:rStyle w:val="Hyperlink"/>
          </w:rPr>
          <w:t>https://doi.org/10.1016/S0021-9258(19)52451-6</w:t>
        </w:r>
      </w:hyperlink>
    </w:p>
    <w:p w14:paraId="0D1B91AE" w14:textId="77777777" w:rsidR="00B66C4C" w:rsidRDefault="00B66C4C" w:rsidP="00B66C4C">
      <w:pPr>
        <w:pStyle w:val="NormalWeb"/>
        <w:numPr>
          <w:ilvl w:val="0"/>
          <w:numId w:val="5"/>
        </w:numPr>
        <w:spacing w:before="0" w:beforeAutospacing="0" w:after="0" w:afterAutospacing="0" w:line="360" w:lineRule="auto"/>
        <w:jc w:val="both"/>
      </w:pPr>
      <w:proofErr w:type="spellStart"/>
      <w:r>
        <w:t>Mosa</w:t>
      </w:r>
      <w:proofErr w:type="spellEnd"/>
      <w:r>
        <w:t>, W. F., Abd El-</w:t>
      </w:r>
      <w:proofErr w:type="spellStart"/>
      <w:r>
        <w:t>Maksoud</w:t>
      </w:r>
      <w:proofErr w:type="spellEnd"/>
      <w:r>
        <w:t xml:space="preserve">, H. K., &amp; Ali, M. M. (2018). Effect of bio-stimulants on growth and productivity of wheat under different nitrogen levels. </w:t>
      </w:r>
      <w:r>
        <w:rPr>
          <w:rStyle w:val="Emphasis"/>
        </w:rPr>
        <w:t>Journal of Agronomy</w:t>
      </w:r>
      <w:r>
        <w:t>, 17(3), 140-149.</w:t>
      </w:r>
    </w:p>
    <w:p w14:paraId="75B066B9" w14:textId="77777777" w:rsidR="00B66C4C" w:rsidRDefault="00B66C4C" w:rsidP="00B66C4C">
      <w:pPr>
        <w:pStyle w:val="NormalWeb"/>
        <w:numPr>
          <w:ilvl w:val="0"/>
          <w:numId w:val="5"/>
        </w:numPr>
        <w:spacing w:before="0" w:beforeAutospacing="0" w:after="0" w:afterAutospacing="0" w:line="360" w:lineRule="auto"/>
        <w:jc w:val="both"/>
      </w:pPr>
      <w:proofErr w:type="spellStart"/>
      <w:r>
        <w:t>Porra</w:t>
      </w:r>
      <w:proofErr w:type="spellEnd"/>
      <w:r>
        <w:t xml:space="preserve">, R. J., Thompson, W. A., &amp; </w:t>
      </w:r>
      <w:proofErr w:type="spellStart"/>
      <w:r>
        <w:t>Kriedemann</w:t>
      </w:r>
      <w:proofErr w:type="spellEnd"/>
      <w:r>
        <w:t xml:space="preserve">, P. E. (1989). Determination of accurate extinction coefficients and simultaneous equations for assaying chlorophylls a and b extracted with four different solvents. </w:t>
      </w:r>
      <w:proofErr w:type="spellStart"/>
      <w:r>
        <w:t>Biochimica</w:t>
      </w:r>
      <w:proofErr w:type="spellEnd"/>
      <w:r>
        <w:t xml:space="preserve"> et </w:t>
      </w:r>
      <w:proofErr w:type="spellStart"/>
      <w:r>
        <w:t>Biophysica</w:t>
      </w:r>
      <w:proofErr w:type="spellEnd"/>
      <w:r>
        <w:t xml:space="preserve"> Acta (BBA)-Bioenergetics, 975(3), 384-394.</w:t>
      </w:r>
    </w:p>
    <w:p w14:paraId="0B61AEFC" w14:textId="77777777" w:rsidR="00B66C4C" w:rsidRDefault="00B66C4C" w:rsidP="00B66C4C">
      <w:pPr>
        <w:pStyle w:val="NormalWeb"/>
        <w:numPr>
          <w:ilvl w:val="0"/>
          <w:numId w:val="5"/>
        </w:numPr>
        <w:spacing w:before="0" w:beforeAutospacing="0" w:after="0" w:afterAutospacing="0" w:line="360" w:lineRule="auto"/>
        <w:jc w:val="both"/>
      </w:pPr>
      <w:r>
        <w:t xml:space="preserve">Rai, M., &amp; Ingle, A. P. (2012). Role of nanotechnology in agriculture with special reference to management of insect pests. </w:t>
      </w:r>
      <w:r w:rsidRPr="007528C9">
        <w:rPr>
          <w:i/>
        </w:rPr>
        <w:t>Applied Microbiology and Biotechnology</w:t>
      </w:r>
      <w:r>
        <w:t>, 94(2), 287-293.</w:t>
      </w:r>
    </w:p>
    <w:p w14:paraId="3D82C30D" w14:textId="77777777" w:rsidR="00B66C4C" w:rsidRDefault="00B66C4C" w:rsidP="00B66C4C">
      <w:pPr>
        <w:pStyle w:val="NormalWeb"/>
        <w:numPr>
          <w:ilvl w:val="0"/>
          <w:numId w:val="5"/>
        </w:numPr>
        <w:spacing w:before="0" w:beforeAutospacing="0" w:after="0" w:afterAutospacing="0" w:line="360" w:lineRule="auto"/>
        <w:jc w:val="both"/>
      </w:pPr>
      <w:r w:rsidRPr="00B66C4C">
        <w:lastRenderedPageBreak/>
        <w:t xml:space="preserve">Rajiv, P., Rajeshwari, S., &amp; </w:t>
      </w:r>
      <w:proofErr w:type="spellStart"/>
      <w:r w:rsidRPr="00B66C4C">
        <w:t>Venckatesh</w:t>
      </w:r>
      <w:proofErr w:type="spellEnd"/>
      <w:r w:rsidRPr="00B66C4C">
        <w:t xml:space="preserve">, R. (2013). </w:t>
      </w:r>
      <w:proofErr w:type="spellStart"/>
      <w:r w:rsidRPr="00B66C4C">
        <w:t>Vermiwash</w:t>
      </w:r>
      <w:proofErr w:type="spellEnd"/>
      <w:r w:rsidRPr="00B66C4C">
        <w:t xml:space="preserve">: A liquid biofertilizer and biopesticide—a review. </w:t>
      </w:r>
      <w:r w:rsidRPr="00B66C4C">
        <w:rPr>
          <w:i/>
          <w:iCs/>
        </w:rPr>
        <w:t>International Journal of Engineering Science and Technology, 5</w:t>
      </w:r>
      <w:r w:rsidRPr="00B66C4C">
        <w:t xml:space="preserve">(2), 899-902. </w:t>
      </w:r>
    </w:p>
    <w:p w14:paraId="5C81AAD4" w14:textId="77777777" w:rsidR="00B66C4C" w:rsidRDefault="00B66C4C" w:rsidP="00B66C4C">
      <w:pPr>
        <w:pStyle w:val="NormalWeb"/>
        <w:numPr>
          <w:ilvl w:val="0"/>
          <w:numId w:val="5"/>
        </w:numPr>
        <w:spacing w:before="0" w:beforeAutospacing="0" w:after="0" w:afterAutospacing="0" w:line="360" w:lineRule="auto"/>
        <w:jc w:val="both"/>
      </w:pPr>
      <w:proofErr w:type="spellStart"/>
      <w:r>
        <w:t>Raliya</w:t>
      </w:r>
      <w:proofErr w:type="spellEnd"/>
      <w:r>
        <w:t xml:space="preserve">, R., </w:t>
      </w:r>
      <w:proofErr w:type="spellStart"/>
      <w:r>
        <w:t>Tarafdar</w:t>
      </w:r>
      <w:proofErr w:type="spellEnd"/>
      <w:r>
        <w:t xml:space="preserve">, J. C., &amp; Biswas, P. (2016). Enhancing the mobilization of essential nutrients in agricultural soil using nanomaterials. </w:t>
      </w:r>
      <w:r>
        <w:rPr>
          <w:rStyle w:val="Emphasis"/>
        </w:rPr>
        <w:t>Environmental Science &amp; Technology</w:t>
      </w:r>
      <w:r>
        <w:t>, 50(3), 1185-1192.</w:t>
      </w:r>
    </w:p>
    <w:p w14:paraId="75837070" w14:textId="77777777" w:rsidR="00B66C4C" w:rsidRDefault="00B66C4C" w:rsidP="00B66C4C">
      <w:pPr>
        <w:pStyle w:val="NormalWeb"/>
        <w:numPr>
          <w:ilvl w:val="0"/>
          <w:numId w:val="5"/>
        </w:numPr>
        <w:spacing w:before="0" w:beforeAutospacing="0" w:after="0" w:afterAutospacing="0" w:line="360" w:lineRule="auto"/>
        <w:jc w:val="both"/>
        <w:rPr>
          <w:i/>
        </w:rPr>
      </w:pPr>
      <w:proofErr w:type="spellStart"/>
      <w:r w:rsidRPr="00B66C4C">
        <w:t>Randeniya</w:t>
      </w:r>
      <w:proofErr w:type="spellEnd"/>
      <w:r w:rsidRPr="00B66C4C">
        <w:t xml:space="preserve">, L. K., &amp; de Groot, G. J. (2015). Non-thermal plasma treatment of agricultural seeds for enhanced germination, early growth, and disease control. </w:t>
      </w:r>
      <w:r w:rsidRPr="00B66C4C">
        <w:rPr>
          <w:i/>
          <w:iCs/>
        </w:rPr>
        <w:t>Plasma Processes and Polymers, 12</w:t>
      </w:r>
      <w:r w:rsidRPr="00B66C4C">
        <w:t xml:space="preserve">(7), 608-623. </w:t>
      </w:r>
    </w:p>
    <w:p w14:paraId="4E7D6855" w14:textId="77777777" w:rsidR="00B66C4C" w:rsidRDefault="00B66C4C" w:rsidP="00B66C4C">
      <w:pPr>
        <w:pStyle w:val="NormalWeb"/>
        <w:numPr>
          <w:ilvl w:val="0"/>
          <w:numId w:val="5"/>
        </w:numPr>
        <w:spacing w:before="0" w:beforeAutospacing="0" w:after="0" w:afterAutospacing="0" w:line="360" w:lineRule="auto"/>
        <w:jc w:val="both"/>
      </w:pPr>
      <w:r>
        <w:t xml:space="preserve">Shang, Y., Hasan, M., &amp; </w:t>
      </w:r>
      <w:proofErr w:type="spellStart"/>
      <w:r>
        <w:t>Ahammed</w:t>
      </w:r>
      <w:proofErr w:type="spellEnd"/>
      <w:r>
        <w:t xml:space="preserve">, G. J. (2019). Physiological and biochemical roles of nanoparticles in plants: An insight into nanoparticle-plant interactions. </w:t>
      </w:r>
      <w:r>
        <w:rPr>
          <w:rStyle w:val="Emphasis"/>
        </w:rPr>
        <w:t>Plant Physiology and Biochemistry</w:t>
      </w:r>
      <w:r>
        <w:t>, 139, 47-56.</w:t>
      </w:r>
    </w:p>
    <w:p w14:paraId="3C18513B" w14:textId="77777777" w:rsidR="00B66C4C" w:rsidRDefault="00B66C4C" w:rsidP="00B66C4C">
      <w:pPr>
        <w:pStyle w:val="NormalWeb"/>
        <w:numPr>
          <w:ilvl w:val="0"/>
          <w:numId w:val="5"/>
        </w:numPr>
        <w:spacing w:before="0" w:beforeAutospacing="0" w:after="0" w:afterAutospacing="0" w:line="360" w:lineRule="auto"/>
        <w:jc w:val="both"/>
        <w:rPr>
          <w:i/>
        </w:rPr>
      </w:pPr>
      <w:r>
        <w:t xml:space="preserve">Sharma, K., &amp; Garg, V. K. (2017). Vermicomposting: A sustainable approach to waste management and land reclamation. </w:t>
      </w:r>
      <w:r w:rsidRPr="007528C9">
        <w:rPr>
          <w:i/>
        </w:rPr>
        <w:t>Springer.</w:t>
      </w:r>
    </w:p>
    <w:p w14:paraId="0BF121CC" w14:textId="77777777" w:rsidR="00B66C4C" w:rsidRDefault="00B66C4C" w:rsidP="00B66C4C">
      <w:pPr>
        <w:pStyle w:val="NormalWeb"/>
        <w:numPr>
          <w:ilvl w:val="0"/>
          <w:numId w:val="5"/>
        </w:numPr>
        <w:spacing w:before="0" w:beforeAutospacing="0" w:after="0" w:afterAutospacing="0" w:line="360" w:lineRule="auto"/>
        <w:jc w:val="both"/>
      </w:pPr>
      <w:r>
        <w:t xml:space="preserve">Singh, A., Kumar, D., &amp; Kundu, A. (2020). Nanotechnology in agriculture: Advances and future prospects. </w:t>
      </w:r>
      <w:r>
        <w:rPr>
          <w:rStyle w:val="Emphasis"/>
        </w:rPr>
        <w:t>Nanomaterials and Agriculture</w:t>
      </w:r>
      <w:r>
        <w:t>, 10(2), 1-15.</w:t>
      </w:r>
    </w:p>
    <w:p w14:paraId="3CAA4F06" w14:textId="77777777" w:rsidR="00B66C4C" w:rsidRPr="00B66C4C" w:rsidRDefault="00B66C4C" w:rsidP="00B66C4C">
      <w:pPr>
        <w:pStyle w:val="NormalWeb"/>
        <w:numPr>
          <w:ilvl w:val="0"/>
          <w:numId w:val="5"/>
        </w:numPr>
        <w:spacing w:before="0" w:beforeAutospacing="0" w:after="0" w:afterAutospacing="0" w:line="360" w:lineRule="auto"/>
        <w:jc w:val="both"/>
        <w:rPr>
          <w:i/>
        </w:rPr>
      </w:pPr>
      <w:r w:rsidRPr="00B66C4C">
        <w:t>Singh, A., Kumari, P., &amp; Verma, P. K. (2021). Effect of seed priming on seed quality and germination parameters of coriander (</w:t>
      </w:r>
      <w:r w:rsidRPr="00B66C4C">
        <w:rPr>
          <w:i/>
          <w:iCs/>
        </w:rPr>
        <w:t>Coriandrum sativum</w:t>
      </w:r>
      <w:r w:rsidRPr="00B66C4C">
        <w:t xml:space="preserve"> L.). </w:t>
      </w:r>
      <w:r w:rsidRPr="00B66C4C">
        <w:rPr>
          <w:i/>
          <w:iCs/>
        </w:rPr>
        <w:t>Journal of Medicinal and Aromatic Plant Sciences, 43</w:t>
      </w:r>
      <w:r w:rsidRPr="00B66C4C">
        <w:t>(1), 15-22.</w:t>
      </w:r>
    </w:p>
    <w:p w14:paraId="6CA670B2" w14:textId="77777777" w:rsidR="00B66C4C" w:rsidRDefault="00B66C4C" w:rsidP="00B66C4C">
      <w:pPr>
        <w:pStyle w:val="NormalWeb"/>
        <w:numPr>
          <w:ilvl w:val="0"/>
          <w:numId w:val="5"/>
        </w:numPr>
        <w:spacing w:before="0" w:beforeAutospacing="0" w:after="0" w:afterAutospacing="0" w:line="360" w:lineRule="auto"/>
        <w:jc w:val="both"/>
      </w:pPr>
      <w:proofErr w:type="spellStart"/>
      <w:r>
        <w:t>Vejan</w:t>
      </w:r>
      <w:proofErr w:type="spellEnd"/>
      <w:r>
        <w:t xml:space="preserve">, P., Abdullah, R., </w:t>
      </w:r>
      <w:proofErr w:type="spellStart"/>
      <w:r>
        <w:t>Khadiran</w:t>
      </w:r>
      <w:proofErr w:type="spellEnd"/>
      <w:r>
        <w:t xml:space="preserve">, T., Ismail, S., &amp; </w:t>
      </w:r>
      <w:proofErr w:type="spellStart"/>
      <w:r>
        <w:t>Nasrulhaq</w:t>
      </w:r>
      <w:proofErr w:type="spellEnd"/>
      <w:r>
        <w:t xml:space="preserve">, B. (2016). Role of biofertilizers in sustainable agriculture: A review. </w:t>
      </w:r>
      <w:r>
        <w:rPr>
          <w:rStyle w:val="Emphasis"/>
        </w:rPr>
        <w:t>Molecules</w:t>
      </w:r>
      <w:r>
        <w:t>, 21(5), 581.</w:t>
      </w:r>
    </w:p>
    <w:p w14:paraId="483E3C7F" w14:textId="77777777" w:rsidR="00A626EB" w:rsidRPr="00A626EB" w:rsidRDefault="00A626EB" w:rsidP="00B66C4C">
      <w:pPr>
        <w:pStyle w:val="NormalWeb"/>
        <w:numPr>
          <w:ilvl w:val="0"/>
          <w:numId w:val="5"/>
        </w:numPr>
        <w:spacing w:before="0" w:beforeAutospacing="0" w:after="0" w:afterAutospacing="0" w:line="360" w:lineRule="auto"/>
        <w:jc w:val="both"/>
        <w:rPr>
          <w:sz w:val="32"/>
        </w:rPr>
      </w:pPr>
      <w:proofErr w:type="spellStart"/>
      <w:r w:rsidRPr="00A626EB">
        <w:rPr>
          <w:szCs w:val="20"/>
        </w:rPr>
        <w:t>Sheoran</w:t>
      </w:r>
      <w:proofErr w:type="spellEnd"/>
      <w:r w:rsidRPr="00A626EB">
        <w:rPr>
          <w:szCs w:val="20"/>
        </w:rPr>
        <w:t xml:space="preserve"> OP, </w:t>
      </w:r>
      <w:proofErr w:type="spellStart"/>
      <w:r w:rsidRPr="00A626EB">
        <w:rPr>
          <w:szCs w:val="20"/>
        </w:rPr>
        <w:t>Tonk</w:t>
      </w:r>
      <w:proofErr w:type="spellEnd"/>
      <w:r w:rsidRPr="00A626EB">
        <w:rPr>
          <w:szCs w:val="20"/>
        </w:rPr>
        <w:t xml:space="preserve"> DS, Kaushik LS, </w:t>
      </w:r>
      <w:proofErr w:type="spellStart"/>
      <w:r w:rsidRPr="00A626EB">
        <w:rPr>
          <w:szCs w:val="20"/>
        </w:rPr>
        <w:t>Hasija</w:t>
      </w:r>
      <w:proofErr w:type="spellEnd"/>
      <w:r w:rsidRPr="00A626EB">
        <w:rPr>
          <w:szCs w:val="20"/>
        </w:rPr>
        <w:t xml:space="preserve"> RC, </w:t>
      </w:r>
      <w:proofErr w:type="spellStart"/>
      <w:r w:rsidRPr="00A626EB">
        <w:rPr>
          <w:szCs w:val="20"/>
        </w:rPr>
        <w:t>Pannu</w:t>
      </w:r>
      <w:proofErr w:type="spellEnd"/>
      <w:r w:rsidRPr="00A626EB">
        <w:rPr>
          <w:szCs w:val="20"/>
        </w:rPr>
        <w:t xml:space="preserve"> RS. 1998. Statistical software package for Agricultural Research Workers. Recent Advances in information theory, Statistics and Computer Applications by D.S. </w:t>
      </w:r>
      <w:proofErr w:type="spellStart"/>
      <w:r w:rsidRPr="00A626EB">
        <w:rPr>
          <w:szCs w:val="20"/>
        </w:rPr>
        <w:t>Hooda</w:t>
      </w:r>
      <w:proofErr w:type="spellEnd"/>
      <w:r w:rsidRPr="00A626EB">
        <w:rPr>
          <w:szCs w:val="20"/>
        </w:rPr>
        <w:t xml:space="preserve"> and R.C. </w:t>
      </w:r>
      <w:proofErr w:type="spellStart"/>
      <w:r w:rsidRPr="00A626EB">
        <w:rPr>
          <w:szCs w:val="20"/>
        </w:rPr>
        <w:t>Hasija</w:t>
      </w:r>
      <w:proofErr w:type="spellEnd"/>
      <w:r w:rsidRPr="00A626EB">
        <w:rPr>
          <w:szCs w:val="20"/>
        </w:rPr>
        <w:t>. Department of Mathematics Statistics, CCS HAU, Hisar. pp 139-143.</w:t>
      </w:r>
    </w:p>
    <w:p w14:paraId="16A3BA44" w14:textId="77777777" w:rsidR="000E25B0" w:rsidRPr="000E25B0" w:rsidRDefault="000E25B0" w:rsidP="00E71783">
      <w:pPr>
        <w:spacing w:after="0"/>
        <w:rPr>
          <w:rFonts w:ascii="Times New Roman" w:hAnsi="Times New Roman" w:cs="Times New Roman"/>
          <w:b/>
          <w:sz w:val="24"/>
        </w:rPr>
      </w:pPr>
    </w:p>
    <w:sectPr w:rsidR="000E25B0" w:rsidRPr="000E25B0" w:rsidSect="00562F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10795" w14:textId="77777777" w:rsidR="000D65EE" w:rsidRDefault="000D65EE" w:rsidP="000A62CC">
      <w:pPr>
        <w:spacing w:after="0" w:line="240" w:lineRule="auto"/>
      </w:pPr>
      <w:r>
        <w:separator/>
      </w:r>
    </w:p>
  </w:endnote>
  <w:endnote w:type="continuationSeparator" w:id="0">
    <w:p w14:paraId="6DB669E5" w14:textId="77777777" w:rsidR="000D65EE" w:rsidRDefault="000D65EE" w:rsidP="000A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348D" w14:textId="77777777" w:rsidR="00FB5E44" w:rsidRDefault="00FB5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1C6D" w14:textId="77777777" w:rsidR="00FB5E44" w:rsidRDefault="00FB5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4B39" w14:textId="77777777" w:rsidR="00FB5E44" w:rsidRDefault="00FB5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1477C" w14:textId="77777777" w:rsidR="000D65EE" w:rsidRDefault="000D65EE" w:rsidP="000A62CC">
      <w:pPr>
        <w:spacing w:after="0" w:line="240" w:lineRule="auto"/>
      </w:pPr>
      <w:r>
        <w:separator/>
      </w:r>
    </w:p>
  </w:footnote>
  <w:footnote w:type="continuationSeparator" w:id="0">
    <w:p w14:paraId="0F5F7C8B" w14:textId="77777777" w:rsidR="000D65EE" w:rsidRDefault="000D65EE" w:rsidP="000A6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F1CD" w14:textId="597F1916" w:rsidR="00FB5E44" w:rsidRDefault="00FB5E44">
    <w:pPr>
      <w:pStyle w:val="Header"/>
    </w:pPr>
    <w:r>
      <w:rPr>
        <w:noProof/>
      </w:rPr>
      <w:pict w14:anchorId="184CE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34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5287E" w14:textId="67C321DD" w:rsidR="00FB5E44" w:rsidRDefault="00FB5E44">
    <w:pPr>
      <w:pStyle w:val="Header"/>
    </w:pPr>
    <w:r>
      <w:rPr>
        <w:noProof/>
      </w:rPr>
      <w:pict w14:anchorId="6F068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34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63E0" w14:textId="5485D047" w:rsidR="00FB5E44" w:rsidRDefault="00FB5E44">
    <w:pPr>
      <w:pStyle w:val="Header"/>
    </w:pPr>
    <w:r>
      <w:rPr>
        <w:noProof/>
      </w:rPr>
      <w:pict w14:anchorId="67D79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34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80259"/>
    <w:multiLevelType w:val="multilevel"/>
    <w:tmpl w:val="64AC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C0C73"/>
    <w:multiLevelType w:val="hybridMultilevel"/>
    <w:tmpl w:val="9DE4D0B2"/>
    <w:lvl w:ilvl="0" w:tplc="D23CEEE0">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35D33"/>
    <w:multiLevelType w:val="hybridMultilevel"/>
    <w:tmpl w:val="87601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F0CD3"/>
    <w:multiLevelType w:val="multilevel"/>
    <w:tmpl w:val="7C880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D30F36"/>
    <w:multiLevelType w:val="hybridMultilevel"/>
    <w:tmpl w:val="2164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5B0"/>
    <w:rsid w:val="000A62CC"/>
    <w:rsid w:val="000C748C"/>
    <w:rsid w:val="000D65EE"/>
    <w:rsid w:val="000E25B0"/>
    <w:rsid w:val="001820B6"/>
    <w:rsid w:val="00195269"/>
    <w:rsid w:val="001C350D"/>
    <w:rsid w:val="002E252F"/>
    <w:rsid w:val="00314A15"/>
    <w:rsid w:val="00324B40"/>
    <w:rsid w:val="0041759E"/>
    <w:rsid w:val="00431027"/>
    <w:rsid w:val="0043472C"/>
    <w:rsid w:val="00562FE7"/>
    <w:rsid w:val="007528C9"/>
    <w:rsid w:val="00833CB9"/>
    <w:rsid w:val="00877D77"/>
    <w:rsid w:val="008B128C"/>
    <w:rsid w:val="00A3454F"/>
    <w:rsid w:val="00A51F73"/>
    <w:rsid w:val="00A626EB"/>
    <w:rsid w:val="00B26E8F"/>
    <w:rsid w:val="00B50EDF"/>
    <w:rsid w:val="00B66C4C"/>
    <w:rsid w:val="00C36D90"/>
    <w:rsid w:val="00CD57EE"/>
    <w:rsid w:val="00CD5A4A"/>
    <w:rsid w:val="00CE5526"/>
    <w:rsid w:val="00D0288C"/>
    <w:rsid w:val="00DC230C"/>
    <w:rsid w:val="00E670B4"/>
    <w:rsid w:val="00E71783"/>
    <w:rsid w:val="00EB2AF0"/>
    <w:rsid w:val="00F33AA5"/>
    <w:rsid w:val="00F95C33"/>
    <w:rsid w:val="00FB5E1C"/>
    <w:rsid w:val="00FB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BDE697"/>
  <w15:docId w15:val="{865B999B-E923-44C9-9CD4-35EE850A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5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25B0"/>
    <w:rPr>
      <w:color w:val="0000FF" w:themeColor="hyperlink"/>
      <w:u w:val="single"/>
    </w:rPr>
  </w:style>
  <w:style w:type="character" w:styleId="Strong">
    <w:name w:val="Strong"/>
    <w:basedOn w:val="DefaultParagraphFont"/>
    <w:uiPriority w:val="22"/>
    <w:qFormat/>
    <w:rsid w:val="000E25B0"/>
    <w:rPr>
      <w:b/>
      <w:bCs/>
    </w:rPr>
  </w:style>
  <w:style w:type="character" w:styleId="Emphasis">
    <w:name w:val="Emphasis"/>
    <w:basedOn w:val="DefaultParagraphFont"/>
    <w:uiPriority w:val="20"/>
    <w:qFormat/>
    <w:rsid w:val="000E25B0"/>
    <w:rPr>
      <w:i/>
      <w:iCs/>
    </w:rPr>
  </w:style>
  <w:style w:type="paragraph" w:styleId="Header">
    <w:name w:val="header"/>
    <w:basedOn w:val="Normal"/>
    <w:link w:val="HeaderChar"/>
    <w:uiPriority w:val="99"/>
    <w:unhideWhenUsed/>
    <w:rsid w:val="000A6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CC"/>
  </w:style>
  <w:style w:type="paragraph" w:styleId="Footer">
    <w:name w:val="footer"/>
    <w:basedOn w:val="Normal"/>
    <w:link w:val="FooterChar"/>
    <w:uiPriority w:val="99"/>
    <w:unhideWhenUsed/>
    <w:rsid w:val="000A6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CC"/>
  </w:style>
  <w:style w:type="table" w:styleId="TableGrid">
    <w:name w:val="Table Grid"/>
    <w:basedOn w:val="TableNormal"/>
    <w:uiPriority w:val="39"/>
    <w:rsid w:val="000A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3642">
      <w:bodyDiv w:val="1"/>
      <w:marLeft w:val="0"/>
      <w:marRight w:val="0"/>
      <w:marTop w:val="0"/>
      <w:marBottom w:val="0"/>
      <w:divBdr>
        <w:top w:val="none" w:sz="0" w:space="0" w:color="auto"/>
        <w:left w:val="none" w:sz="0" w:space="0" w:color="auto"/>
        <w:bottom w:val="none" w:sz="0" w:space="0" w:color="auto"/>
        <w:right w:val="none" w:sz="0" w:space="0" w:color="auto"/>
      </w:divBdr>
    </w:div>
    <w:div w:id="208274218">
      <w:bodyDiv w:val="1"/>
      <w:marLeft w:val="0"/>
      <w:marRight w:val="0"/>
      <w:marTop w:val="0"/>
      <w:marBottom w:val="0"/>
      <w:divBdr>
        <w:top w:val="none" w:sz="0" w:space="0" w:color="auto"/>
        <w:left w:val="none" w:sz="0" w:space="0" w:color="auto"/>
        <w:bottom w:val="none" w:sz="0" w:space="0" w:color="auto"/>
        <w:right w:val="none" w:sz="0" w:space="0" w:color="auto"/>
      </w:divBdr>
    </w:div>
    <w:div w:id="312680230">
      <w:bodyDiv w:val="1"/>
      <w:marLeft w:val="0"/>
      <w:marRight w:val="0"/>
      <w:marTop w:val="0"/>
      <w:marBottom w:val="0"/>
      <w:divBdr>
        <w:top w:val="none" w:sz="0" w:space="0" w:color="auto"/>
        <w:left w:val="none" w:sz="0" w:space="0" w:color="auto"/>
        <w:bottom w:val="none" w:sz="0" w:space="0" w:color="auto"/>
        <w:right w:val="none" w:sz="0" w:space="0" w:color="auto"/>
      </w:divBdr>
    </w:div>
    <w:div w:id="415711464">
      <w:bodyDiv w:val="1"/>
      <w:marLeft w:val="0"/>
      <w:marRight w:val="0"/>
      <w:marTop w:val="0"/>
      <w:marBottom w:val="0"/>
      <w:divBdr>
        <w:top w:val="none" w:sz="0" w:space="0" w:color="auto"/>
        <w:left w:val="none" w:sz="0" w:space="0" w:color="auto"/>
        <w:bottom w:val="none" w:sz="0" w:space="0" w:color="auto"/>
        <w:right w:val="none" w:sz="0" w:space="0" w:color="auto"/>
      </w:divBdr>
    </w:div>
    <w:div w:id="509104705">
      <w:bodyDiv w:val="1"/>
      <w:marLeft w:val="0"/>
      <w:marRight w:val="0"/>
      <w:marTop w:val="0"/>
      <w:marBottom w:val="0"/>
      <w:divBdr>
        <w:top w:val="none" w:sz="0" w:space="0" w:color="auto"/>
        <w:left w:val="none" w:sz="0" w:space="0" w:color="auto"/>
        <w:bottom w:val="none" w:sz="0" w:space="0" w:color="auto"/>
        <w:right w:val="none" w:sz="0" w:space="0" w:color="auto"/>
      </w:divBdr>
    </w:div>
    <w:div w:id="613902663">
      <w:bodyDiv w:val="1"/>
      <w:marLeft w:val="0"/>
      <w:marRight w:val="0"/>
      <w:marTop w:val="0"/>
      <w:marBottom w:val="0"/>
      <w:divBdr>
        <w:top w:val="none" w:sz="0" w:space="0" w:color="auto"/>
        <w:left w:val="none" w:sz="0" w:space="0" w:color="auto"/>
        <w:bottom w:val="none" w:sz="0" w:space="0" w:color="auto"/>
        <w:right w:val="none" w:sz="0" w:space="0" w:color="auto"/>
      </w:divBdr>
    </w:div>
    <w:div w:id="886455959">
      <w:bodyDiv w:val="1"/>
      <w:marLeft w:val="0"/>
      <w:marRight w:val="0"/>
      <w:marTop w:val="0"/>
      <w:marBottom w:val="0"/>
      <w:divBdr>
        <w:top w:val="none" w:sz="0" w:space="0" w:color="auto"/>
        <w:left w:val="none" w:sz="0" w:space="0" w:color="auto"/>
        <w:bottom w:val="none" w:sz="0" w:space="0" w:color="auto"/>
        <w:right w:val="none" w:sz="0" w:space="0" w:color="auto"/>
      </w:divBdr>
    </w:div>
    <w:div w:id="1562908246">
      <w:bodyDiv w:val="1"/>
      <w:marLeft w:val="0"/>
      <w:marRight w:val="0"/>
      <w:marTop w:val="0"/>
      <w:marBottom w:val="0"/>
      <w:divBdr>
        <w:top w:val="none" w:sz="0" w:space="0" w:color="auto"/>
        <w:left w:val="none" w:sz="0" w:space="0" w:color="auto"/>
        <w:bottom w:val="none" w:sz="0" w:space="0" w:color="auto"/>
        <w:right w:val="none" w:sz="0" w:space="0" w:color="auto"/>
      </w:divBdr>
    </w:div>
    <w:div w:id="2063022604">
      <w:bodyDiv w:val="1"/>
      <w:marLeft w:val="0"/>
      <w:marRight w:val="0"/>
      <w:marTop w:val="0"/>
      <w:marBottom w:val="0"/>
      <w:divBdr>
        <w:top w:val="none" w:sz="0" w:space="0" w:color="auto"/>
        <w:left w:val="none" w:sz="0" w:space="0" w:color="auto"/>
        <w:bottom w:val="none" w:sz="0" w:space="0" w:color="auto"/>
        <w:right w:val="none" w:sz="0" w:space="0" w:color="auto"/>
      </w:divBdr>
    </w:div>
    <w:div w:id="213732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04/pp.24.1.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S0021-9258(19)524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2995</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1084</cp:lastModifiedBy>
  <cp:revision>15</cp:revision>
  <dcterms:created xsi:type="dcterms:W3CDTF">2025-03-15T08:16:00Z</dcterms:created>
  <dcterms:modified xsi:type="dcterms:W3CDTF">2025-04-19T14:18:00Z</dcterms:modified>
</cp:coreProperties>
</file>