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2581A" w14:textId="77777777" w:rsidR="00323527" w:rsidRDefault="00000000">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Environme</w:t>
      </w:r>
      <w:proofErr w:type="spellEnd"/>
      <w:r>
        <w:rPr>
          <w:rFonts w:ascii="Times New Roman" w:hAnsi="Times New Roman" w:cs="Times New Roman"/>
          <w:b/>
          <w:bCs/>
          <w:sz w:val="24"/>
          <w:szCs w:val="24"/>
          <w:lang w:val="en-GB"/>
        </w:rPr>
        <w:t>n</w:t>
      </w:r>
      <w:proofErr w:type="spellStart"/>
      <w:r>
        <w:rPr>
          <w:rFonts w:ascii="Times New Roman" w:hAnsi="Times New Roman" w:cs="Times New Roman"/>
          <w:b/>
          <w:bCs/>
          <w:sz w:val="24"/>
          <w:szCs w:val="24"/>
        </w:rPr>
        <w:t>tal</w:t>
      </w:r>
      <w:proofErr w:type="spellEnd"/>
      <w:r>
        <w:rPr>
          <w:rFonts w:ascii="Times New Roman" w:hAnsi="Times New Roman" w:cs="Times New Roman"/>
          <w:b/>
          <w:bCs/>
          <w:sz w:val="24"/>
          <w:szCs w:val="24"/>
        </w:rPr>
        <w:t xml:space="preserve"> And Health Impacts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Electronic Waste: Global Challenges </w:t>
      </w:r>
      <w:proofErr w:type="gramStart"/>
      <w:r>
        <w:rPr>
          <w:rFonts w:ascii="Times New Roman" w:hAnsi="Times New Roman" w:cs="Times New Roman"/>
          <w:b/>
          <w:bCs/>
          <w:sz w:val="24"/>
          <w:szCs w:val="24"/>
        </w:rPr>
        <w:t>And</w:t>
      </w:r>
      <w:proofErr w:type="gramEnd"/>
      <w:r>
        <w:rPr>
          <w:rFonts w:ascii="Times New Roman" w:hAnsi="Times New Roman" w:cs="Times New Roman"/>
          <w:b/>
          <w:bCs/>
          <w:sz w:val="24"/>
          <w:szCs w:val="24"/>
        </w:rPr>
        <w:t xml:space="preserve"> Sustainable Management Solutions</w:t>
      </w:r>
    </w:p>
    <w:p w14:paraId="5B301641" w14:textId="77777777" w:rsidR="00204BD9" w:rsidRDefault="00204BD9">
      <w:pPr>
        <w:jc w:val="center"/>
        <w:rPr>
          <w:rFonts w:ascii="Times New Roman" w:hAnsi="Times New Roman" w:cs="Times New Roman"/>
          <w:b/>
          <w:bCs/>
          <w:sz w:val="20"/>
          <w:szCs w:val="20"/>
        </w:rPr>
      </w:pPr>
    </w:p>
    <w:p w14:paraId="4A831F36" w14:textId="77777777" w:rsidR="00323527" w:rsidRDefault="00323527">
      <w:pPr>
        <w:jc w:val="center"/>
        <w:rPr>
          <w:rFonts w:ascii="Times New Roman" w:hAnsi="Times New Roman" w:cs="Times New Roman"/>
          <w:b/>
          <w:bCs/>
          <w:sz w:val="24"/>
          <w:szCs w:val="24"/>
        </w:rPr>
      </w:pPr>
    </w:p>
    <w:p w14:paraId="23512566" w14:textId="77777777" w:rsidR="00323527" w:rsidRDefault="00000000">
      <w:pPr>
        <w:jc w:val="both"/>
        <w:rPr>
          <w:rFonts w:ascii="Times New Roman" w:hAnsi="Times New Roman" w:cs="Times New Roman"/>
          <w:b/>
          <w:bCs/>
          <w:i/>
          <w:iCs/>
        </w:rPr>
      </w:pPr>
      <w:r>
        <w:rPr>
          <w:rFonts w:ascii="Times New Roman" w:hAnsi="Times New Roman" w:cs="Times New Roman"/>
        </w:rPr>
        <w:t>Abstract</w:t>
      </w:r>
      <w:r>
        <w:rPr>
          <w:rFonts w:ascii="Times New Roman" w:hAnsi="Times New Roman" w:cs="Times New Roman"/>
          <w:lang w:val="en-GB"/>
        </w:rPr>
        <w:t xml:space="preserve"> </w:t>
      </w:r>
      <w:r>
        <w:rPr>
          <w:rFonts w:ascii="Times New Roman" w:hAnsi="Times New Roman" w:cs="Times New Roman"/>
          <w:b/>
          <w:bCs/>
          <w:lang w:val="en-GB"/>
        </w:rPr>
        <w:t xml:space="preserve">- </w:t>
      </w:r>
      <w:r>
        <w:rPr>
          <w:rFonts w:ascii="Times New Roman" w:hAnsi="Times New Roman" w:cs="Times New Roman"/>
          <w:b/>
          <w:bCs/>
          <w:i/>
          <w:iCs/>
        </w:rPr>
        <w:t>Electronic waste (e-waste) poses a significant environmental and public health challenge. This review examines the impacts of e-waste on ecosystems and human health and explores sustainable management solutions. Analysis reveals concerning trends in soil, water, and air contamination from e-waste processing, particularly in developing nations with informal recycling. Epidemiological data synthesize correlations between e-waste exposure and adverse health outcomes, including respiratory and neurological disorders, and increased cancer risks. The study integrates circular economy principles, extended producer responsibility, and innovative recycling technologies for sustainable e-waste management. It proposes actionable policy recommendations, emphasizing international collaboration to address this global challenge.</w:t>
      </w:r>
    </w:p>
    <w:p w14:paraId="7B14782B" w14:textId="77777777" w:rsidR="00323527" w:rsidRDefault="00000000">
      <w:pPr>
        <w:pStyle w:val="whitespace-pre-wrap"/>
        <w:jc w:val="both"/>
        <w:rPr>
          <w:b/>
          <w:bCs/>
          <w:sz w:val="22"/>
          <w:szCs w:val="22"/>
        </w:rPr>
      </w:pPr>
      <w:r>
        <w:rPr>
          <w:b/>
          <w:bCs/>
          <w:i/>
          <w:iCs/>
          <w:sz w:val="22"/>
          <w:szCs w:val="22"/>
        </w:rPr>
        <w:t>Keywords:</w:t>
      </w:r>
      <w:r>
        <w:rPr>
          <w:i/>
          <w:iCs/>
          <w:sz w:val="22"/>
          <w:szCs w:val="22"/>
        </w:rPr>
        <w:t xml:space="preserve"> Electronic Waste; Environmental Pollution; Public Health; Sustainable Waste Management; Toxic Pollutants; Informal Recycling; Green Technology</w:t>
      </w:r>
    </w:p>
    <w:p w14:paraId="5B52F9B6" w14:textId="77777777" w:rsidR="00323527" w:rsidRDefault="00323527">
      <w:pPr>
        <w:rPr>
          <w:rFonts w:ascii="Times New Roman" w:hAnsi="Times New Roman" w:cs="Times New Roman"/>
          <w:b/>
          <w:bCs/>
        </w:rPr>
      </w:pPr>
    </w:p>
    <w:p w14:paraId="1942B122" w14:textId="77777777" w:rsidR="00323527" w:rsidRDefault="00000000">
      <w:pPr>
        <w:spacing w:line="360" w:lineRule="auto"/>
        <w:rPr>
          <w:rFonts w:ascii="Times New Roman" w:hAnsi="Times New Roman" w:cs="Times New Roman"/>
          <w:b/>
          <w:bCs/>
        </w:rPr>
      </w:pPr>
      <w:r>
        <w:rPr>
          <w:rFonts w:ascii="Times New Roman" w:hAnsi="Times New Roman" w:cs="Times New Roman"/>
          <w:b/>
          <w:bCs/>
        </w:rPr>
        <w:t>Introduction</w:t>
      </w:r>
    </w:p>
    <w:p w14:paraId="2E921C0D" w14:textId="77777777" w:rsidR="00323527" w:rsidRDefault="00000000">
      <w:pPr>
        <w:pStyle w:val="whitespace-pre-wrap"/>
        <w:spacing w:line="360" w:lineRule="auto"/>
        <w:jc w:val="both"/>
        <w:rPr>
          <w:sz w:val="22"/>
          <w:szCs w:val="22"/>
        </w:rPr>
      </w:pPr>
      <w:r>
        <w:rPr>
          <w:sz w:val="22"/>
          <w:szCs w:val="22"/>
        </w:rPr>
        <w:t xml:space="preserve">In the rapidly evolving landscape of technological advancement, the exponential proliferation of electronic devices has emerged as both a hallmark of human progress and a harbinger of unprecedented environmental challenges. The accelerating pace of technological obsolescence, coupled with increasingly shorter product lifecycles, has catalyzed a global crisis in electronic waste (e-waste) management that transcends national boundaries and socioeconomic divisions (Forti et al., 2023; Kumar et al., 2022). As society stands at the intersection of digital innovation and environmental sustainability, the management of e-waste has become a critical paradigm that demands immediate scholarly attention and policy intervention. The scale of this challenge is staggering: global e-waste generation has reached unprecedented levels, with current projections indicating an annual volume exceeding 53.6 million metric </w:t>
      </w:r>
      <w:proofErr w:type="spellStart"/>
      <w:r>
        <w:rPr>
          <w:sz w:val="22"/>
          <w:szCs w:val="22"/>
        </w:rPr>
        <w:t>tonnes</w:t>
      </w:r>
      <w:proofErr w:type="spellEnd"/>
      <w:r>
        <w:rPr>
          <w:sz w:val="22"/>
          <w:szCs w:val="22"/>
        </w:rPr>
        <w:t xml:space="preserve">, representing an estimated market value of $57 billion in recoverable materials (UNEP and ITU, 2023). This figure is projected to surpass 74 million metric </w:t>
      </w:r>
      <w:proofErr w:type="spellStart"/>
      <w:r>
        <w:rPr>
          <w:sz w:val="22"/>
          <w:szCs w:val="22"/>
        </w:rPr>
        <w:t>tonnes</w:t>
      </w:r>
      <w:proofErr w:type="spellEnd"/>
      <w:r>
        <w:rPr>
          <w:sz w:val="22"/>
          <w:szCs w:val="22"/>
        </w:rPr>
        <w:t xml:space="preserve"> by 2030, underscoring the urgency of developing comprehensive management solutions (World Economic Forum, 2023). The complexity of this issue is further compounded by the fact that only a fraction—approximately 17.4%—of generated e-waste undergoes formal recycling processes, while the remainder is subjected to informal handling, improper disposal, or accumulates in landfills (Baldé et al., 2023). The composition of electronic waste presents a unique challenge in waste management hierarchies. Contemporary electronic devices contain a complex amalgamation of materials, ranging from precious metals like gold, silver, and palladium to hazardous substances including lead, mercury, and flame retardants. This duality—of valuable resources and toxic compounds—creates a </w:t>
      </w:r>
      <w:r>
        <w:rPr>
          <w:sz w:val="22"/>
          <w:szCs w:val="22"/>
        </w:rPr>
        <w:lastRenderedPageBreak/>
        <w:t>paradoxical situation where e-waste represents both an economic opportunity and an environmental threat. The informal recycling sector, particularly prevalent in developing nations, often employs rudimentary techniques that release these toxic compounds into environmental matrices, creating cascading effects on ecosystem stability and public health (Heacock et al., 2022; Wang and Xu, 2023). The ramifications of improper e-waste management extend far beyond environmental degradation. Emerging epidemiological studies have established clear correlations between exposure to e-waste processing activities and a spectrum of adverse health outcomes, including respiratory disorders, neurological impairments, and elevated cancer risks (Chen et al., 2023; Perkins et al., 2022). These health impacts disproportionately affect vulnerable populations, particularly in regions where informal recycling operations constitute a significant source of livelihood, raising critical questions about environmental justice and social equity (Singh et al., 2023). This study aims to provide a comprehensive analysis of the environmental and health impacts associated with electronic waste, while exploring sustainable management solutions that address this growing global challenge. To guide this analysis, the following research questions and hypotheses are addressed:</w:t>
      </w:r>
    </w:p>
    <w:p w14:paraId="364AE921" w14:textId="77777777" w:rsidR="00323527" w:rsidRDefault="00000000">
      <w:pPr>
        <w:pStyle w:val="whitespace-pre-wrap"/>
        <w:spacing w:line="360" w:lineRule="auto"/>
        <w:rPr>
          <w:b/>
          <w:bCs/>
          <w:sz w:val="22"/>
          <w:szCs w:val="22"/>
        </w:rPr>
      </w:pPr>
      <w:r>
        <w:rPr>
          <w:b/>
          <w:bCs/>
          <w:sz w:val="22"/>
          <w:szCs w:val="22"/>
        </w:rPr>
        <w:t>Research Questions:</w:t>
      </w:r>
    </w:p>
    <w:p w14:paraId="72DE589F" w14:textId="77777777" w:rsidR="00323527" w:rsidRDefault="00000000">
      <w:pPr>
        <w:pStyle w:val="whitespace-pre-wrap"/>
        <w:numPr>
          <w:ilvl w:val="0"/>
          <w:numId w:val="1"/>
        </w:numPr>
        <w:spacing w:line="360" w:lineRule="auto"/>
        <w:rPr>
          <w:sz w:val="22"/>
          <w:szCs w:val="22"/>
        </w:rPr>
      </w:pPr>
      <w:r>
        <w:rPr>
          <w:sz w:val="22"/>
          <w:szCs w:val="22"/>
        </w:rPr>
        <w:t xml:space="preserve">What are the current and projected global trends in e-waste generation, and how do these trends vary across different regions and socioeconomic contexts? </w:t>
      </w:r>
    </w:p>
    <w:p w14:paraId="56FAD075" w14:textId="77777777" w:rsidR="00323527" w:rsidRDefault="00000000">
      <w:pPr>
        <w:pStyle w:val="whitespace-pre-wrap"/>
        <w:numPr>
          <w:ilvl w:val="0"/>
          <w:numId w:val="1"/>
        </w:numPr>
        <w:spacing w:line="360" w:lineRule="auto"/>
        <w:rPr>
          <w:sz w:val="22"/>
          <w:szCs w:val="22"/>
        </w:rPr>
      </w:pPr>
      <w:r>
        <w:rPr>
          <w:sz w:val="22"/>
          <w:szCs w:val="22"/>
        </w:rPr>
        <w:t xml:space="preserve">How do key pollutants from e-waste (e.g., heavy metals, POPs) behave in different environmental media (soil, water, air), and what are the primary pathways and mechanisms of their transport and accumulation? </w:t>
      </w:r>
    </w:p>
    <w:p w14:paraId="6F1C0CB7" w14:textId="77777777" w:rsidR="00323527" w:rsidRDefault="00000000">
      <w:pPr>
        <w:pStyle w:val="whitespace-pre-wrap"/>
        <w:numPr>
          <w:ilvl w:val="0"/>
          <w:numId w:val="1"/>
        </w:numPr>
        <w:spacing w:line="360" w:lineRule="auto"/>
        <w:rPr>
          <w:sz w:val="22"/>
          <w:szCs w:val="22"/>
        </w:rPr>
      </w:pPr>
      <w:r>
        <w:rPr>
          <w:sz w:val="22"/>
          <w:szCs w:val="22"/>
        </w:rPr>
        <w:t xml:space="preserve"> What are the specific health risks associated with exposure to e-waste-derived pollutants, and what are the most vulnerable populations and exposure pathways? </w:t>
      </w:r>
    </w:p>
    <w:p w14:paraId="2220BE1F" w14:textId="77777777" w:rsidR="00323527" w:rsidRDefault="00000000">
      <w:pPr>
        <w:pStyle w:val="whitespace-pre-wrap"/>
        <w:numPr>
          <w:ilvl w:val="0"/>
          <w:numId w:val="1"/>
        </w:numPr>
        <w:spacing w:line="360" w:lineRule="auto"/>
        <w:rPr>
          <w:sz w:val="22"/>
          <w:szCs w:val="22"/>
        </w:rPr>
      </w:pPr>
      <w:r>
        <w:rPr>
          <w:sz w:val="22"/>
          <w:szCs w:val="22"/>
        </w:rPr>
        <w:t>How effective are current national and international policies in promoting sustainable e-waste management, and what are the key barriers and opportunities for policy improvement?</w:t>
      </w:r>
    </w:p>
    <w:p w14:paraId="5D2A65A1" w14:textId="77777777" w:rsidR="00323527" w:rsidRDefault="00000000">
      <w:pPr>
        <w:pStyle w:val="whitespace-pre-wrap"/>
        <w:spacing w:line="360" w:lineRule="auto"/>
        <w:rPr>
          <w:b/>
          <w:bCs/>
          <w:sz w:val="22"/>
          <w:szCs w:val="22"/>
        </w:rPr>
      </w:pPr>
      <w:r>
        <w:rPr>
          <w:b/>
          <w:bCs/>
          <w:sz w:val="22"/>
          <w:szCs w:val="22"/>
        </w:rPr>
        <w:t>Hypotheses:</w:t>
      </w:r>
    </w:p>
    <w:p w14:paraId="3E89BE6F" w14:textId="77777777" w:rsidR="00323527" w:rsidRDefault="00000000">
      <w:pPr>
        <w:pStyle w:val="whitespace-pre-wrap"/>
        <w:numPr>
          <w:ilvl w:val="0"/>
          <w:numId w:val="2"/>
        </w:numPr>
        <w:spacing w:line="360" w:lineRule="auto"/>
        <w:rPr>
          <w:sz w:val="22"/>
          <w:szCs w:val="22"/>
        </w:rPr>
      </w:pPr>
      <w:r>
        <w:rPr>
          <w:sz w:val="22"/>
          <w:szCs w:val="22"/>
        </w:rPr>
        <w:t xml:space="preserve">Global e-waste generation is increasing exponentially, outpacing the development and implementation of effective waste management strategies. </w:t>
      </w:r>
    </w:p>
    <w:p w14:paraId="455B8636" w14:textId="77777777" w:rsidR="00323527" w:rsidRDefault="00000000">
      <w:pPr>
        <w:pStyle w:val="whitespace-pre-wrap"/>
        <w:numPr>
          <w:ilvl w:val="0"/>
          <w:numId w:val="2"/>
        </w:numPr>
        <w:spacing w:line="360" w:lineRule="auto"/>
        <w:rPr>
          <w:sz w:val="22"/>
          <w:szCs w:val="22"/>
        </w:rPr>
      </w:pPr>
      <w:r>
        <w:rPr>
          <w:sz w:val="22"/>
          <w:szCs w:val="22"/>
        </w:rPr>
        <w:t xml:space="preserve">E-waste generation rates are positively correlated with GDP per capita and technological adoption rates across different countries. </w:t>
      </w:r>
    </w:p>
    <w:p w14:paraId="63388FF2" w14:textId="77777777" w:rsidR="00323527" w:rsidRDefault="00000000">
      <w:pPr>
        <w:pStyle w:val="whitespace-pre-wrap"/>
        <w:numPr>
          <w:ilvl w:val="0"/>
          <w:numId w:val="2"/>
        </w:numPr>
        <w:spacing w:line="360" w:lineRule="auto"/>
        <w:rPr>
          <w:sz w:val="22"/>
          <w:szCs w:val="22"/>
        </w:rPr>
      </w:pPr>
      <w:r>
        <w:rPr>
          <w:sz w:val="22"/>
          <w:szCs w:val="22"/>
        </w:rPr>
        <w:t xml:space="preserve">Heavy metals from e-waste exhibit higher mobility and bioavailability in acidic soil conditions, leading to increased contamination of groundwater. </w:t>
      </w:r>
    </w:p>
    <w:p w14:paraId="0BF717F3" w14:textId="77777777" w:rsidR="00323527" w:rsidRDefault="00000000">
      <w:pPr>
        <w:pStyle w:val="whitespace-pre-wrap"/>
        <w:numPr>
          <w:ilvl w:val="0"/>
          <w:numId w:val="2"/>
        </w:numPr>
        <w:spacing w:line="360" w:lineRule="auto"/>
        <w:rPr>
          <w:sz w:val="22"/>
          <w:szCs w:val="22"/>
        </w:rPr>
      </w:pPr>
      <w:r>
        <w:rPr>
          <w:sz w:val="22"/>
          <w:szCs w:val="22"/>
        </w:rPr>
        <w:lastRenderedPageBreak/>
        <w:t xml:space="preserve">Atmospheric transport of particulate matter from e-waste burning contributes significantly to the regional deposition of POPs in surrounding ecosystems. </w:t>
      </w:r>
    </w:p>
    <w:p w14:paraId="215E815F" w14:textId="77777777" w:rsidR="00323527" w:rsidRDefault="00000000">
      <w:pPr>
        <w:pStyle w:val="whitespace-pre-wrap"/>
        <w:numPr>
          <w:ilvl w:val="0"/>
          <w:numId w:val="2"/>
        </w:numPr>
        <w:spacing w:line="360" w:lineRule="auto"/>
        <w:rPr>
          <w:sz w:val="22"/>
          <w:szCs w:val="22"/>
        </w:rPr>
      </w:pPr>
      <w:r>
        <w:rPr>
          <w:sz w:val="22"/>
          <w:szCs w:val="22"/>
        </w:rPr>
        <w:t>Chronic exposure to e-waste processing activities is associated with a higher prevalence of respiratory disorders, neurological impairments, and elevated cancer risks in affected communities.</w:t>
      </w:r>
    </w:p>
    <w:p w14:paraId="4195E6EA" w14:textId="77777777" w:rsidR="00323527" w:rsidRDefault="00000000">
      <w:pPr>
        <w:pStyle w:val="whitespace-pre-wrap"/>
        <w:numPr>
          <w:ilvl w:val="0"/>
          <w:numId w:val="2"/>
        </w:numPr>
        <w:spacing w:line="360" w:lineRule="auto"/>
        <w:rPr>
          <w:sz w:val="22"/>
          <w:szCs w:val="22"/>
        </w:rPr>
      </w:pPr>
      <w:r>
        <w:rPr>
          <w:sz w:val="22"/>
          <w:szCs w:val="22"/>
        </w:rPr>
        <w:t>Children and pregnant women are disproportionately vulnerable to the adverse health effects of e-waste exposure due to their physiological susceptibility.</w:t>
      </w:r>
    </w:p>
    <w:p w14:paraId="2EC86AD6" w14:textId="77777777" w:rsidR="00323527" w:rsidRDefault="00000000">
      <w:pPr>
        <w:pStyle w:val="whitespace-pre-wrap"/>
        <w:numPr>
          <w:ilvl w:val="0"/>
          <w:numId w:val="2"/>
        </w:numPr>
        <w:spacing w:line="360" w:lineRule="auto"/>
        <w:rPr>
          <w:sz w:val="22"/>
          <w:szCs w:val="22"/>
        </w:rPr>
      </w:pPr>
      <w:r>
        <w:rPr>
          <w:sz w:val="22"/>
          <w:szCs w:val="22"/>
        </w:rPr>
        <w:t>Countries with comprehensive extended producer responsibility (EPR) policies demonstrate higher e-waste collection and recycling rates compared to those without such policies.</w:t>
      </w:r>
    </w:p>
    <w:p w14:paraId="59B766B0" w14:textId="77777777" w:rsidR="00323527" w:rsidRDefault="00000000">
      <w:pPr>
        <w:pStyle w:val="whitespace-pre-wrap"/>
        <w:spacing w:line="360" w:lineRule="auto"/>
        <w:rPr>
          <w:sz w:val="22"/>
          <w:szCs w:val="22"/>
        </w:rPr>
      </w:pPr>
      <w:r>
        <w:rPr>
          <w:b/>
          <w:bCs/>
          <w:sz w:val="22"/>
          <w:szCs w:val="22"/>
        </w:rPr>
        <w:t xml:space="preserve">Note: </w:t>
      </w:r>
      <w:r>
        <w:rPr>
          <w:sz w:val="22"/>
          <w:szCs w:val="22"/>
        </w:rPr>
        <w:t>The objective to "propose innovative solutions that integrate circular economy principles with sustainable waste management practices" is solution-oriented and will guide the development of specific recommendations and strategies based on the findings from the other research questions.</w:t>
      </w:r>
    </w:p>
    <w:p w14:paraId="6BEB4AB2" w14:textId="77777777" w:rsidR="00323527" w:rsidRDefault="00000000">
      <w:pPr>
        <w:pStyle w:val="whitespace-pre-wrap"/>
        <w:spacing w:line="360" w:lineRule="auto"/>
        <w:rPr>
          <w:sz w:val="22"/>
          <w:szCs w:val="22"/>
        </w:rPr>
      </w:pPr>
      <w:r>
        <w:rPr>
          <w:sz w:val="22"/>
          <w:szCs w:val="22"/>
        </w:rPr>
        <w:t>Through a systematic examination of current literature, empirical studies, and case analyses, this study seeks to: (1). Evaluate the magnitude and trajectories of global e-waste generation, (2). Analyze the environmental fate and transport mechanisms of e-waste-derived pollutants, (3). Assess the epidemiological evidence linking e-waste exposure to adverse health outcomes, (4). Examine existing policy frameworks and their effectiveness in addressing the e-waste crisis, and (5). Propose innovative solutions that integrate circular economy principles with sustainable waste management practices.</w:t>
      </w:r>
    </w:p>
    <w:p w14:paraId="3C9D89EC" w14:textId="77777777" w:rsidR="00323527" w:rsidRDefault="00000000">
      <w:pPr>
        <w:pStyle w:val="whitespace-pre-wrap"/>
        <w:spacing w:line="360" w:lineRule="auto"/>
        <w:rPr>
          <w:b/>
          <w:bCs/>
          <w:sz w:val="22"/>
          <w:szCs w:val="22"/>
        </w:rPr>
      </w:pPr>
      <w:r>
        <w:rPr>
          <w:b/>
          <w:bCs/>
          <w:sz w:val="22"/>
          <w:szCs w:val="22"/>
        </w:rPr>
        <w:t>Methodology</w:t>
      </w:r>
    </w:p>
    <w:p w14:paraId="02C0F4EF" w14:textId="77777777" w:rsidR="00323527" w:rsidRDefault="00000000">
      <w:pPr>
        <w:pStyle w:val="whitespace-normal"/>
        <w:numPr>
          <w:ilvl w:val="0"/>
          <w:numId w:val="3"/>
        </w:numPr>
        <w:spacing w:line="360" w:lineRule="auto"/>
        <w:jc w:val="both"/>
        <w:rPr>
          <w:sz w:val="22"/>
          <w:szCs w:val="22"/>
        </w:rPr>
      </w:pPr>
      <w:r>
        <w:rPr>
          <w:sz w:val="22"/>
          <w:szCs w:val="22"/>
        </w:rPr>
        <w:t>Research Design and Approach</w:t>
      </w:r>
    </w:p>
    <w:p w14:paraId="3F813244" w14:textId="77777777" w:rsidR="00323527" w:rsidRDefault="00000000">
      <w:pPr>
        <w:pStyle w:val="whitespace-normal"/>
        <w:numPr>
          <w:ilvl w:val="0"/>
          <w:numId w:val="4"/>
        </w:numPr>
        <w:spacing w:line="360" w:lineRule="auto"/>
        <w:jc w:val="both"/>
        <w:rPr>
          <w:sz w:val="22"/>
          <w:szCs w:val="22"/>
        </w:rPr>
      </w:pPr>
      <w:r>
        <w:rPr>
          <w:sz w:val="22"/>
          <w:szCs w:val="22"/>
        </w:rPr>
        <w:t xml:space="preserve">Systematic Literature Review (SLR) </w:t>
      </w:r>
    </w:p>
    <w:p w14:paraId="5A723272" w14:textId="77777777" w:rsidR="00323527" w:rsidRDefault="00000000">
      <w:pPr>
        <w:pStyle w:val="whitespace-normal"/>
        <w:numPr>
          <w:ilvl w:val="0"/>
          <w:numId w:val="5"/>
        </w:numPr>
        <w:spacing w:line="360" w:lineRule="auto"/>
        <w:jc w:val="both"/>
        <w:rPr>
          <w:sz w:val="22"/>
          <w:szCs w:val="22"/>
        </w:rPr>
      </w:pPr>
      <w:r>
        <w:rPr>
          <w:sz w:val="22"/>
          <w:szCs w:val="22"/>
        </w:rPr>
        <w:t>Following PRISMA (Preferred Reporting Items for Systematic Reviews and Meta-Analyses) guidelines</w:t>
      </w:r>
    </w:p>
    <w:p w14:paraId="6A0624CA" w14:textId="77777777" w:rsidR="00323527" w:rsidRDefault="00000000">
      <w:pPr>
        <w:pStyle w:val="whitespace-normal"/>
        <w:numPr>
          <w:ilvl w:val="0"/>
          <w:numId w:val="5"/>
        </w:numPr>
        <w:spacing w:line="360" w:lineRule="auto"/>
        <w:jc w:val="both"/>
        <w:rPr>
          <w:sz w:val="22"/>
          <w:szCs w:val="22"/>
        </w:rPr>
      </w:pPr>
      <w:r>
        <w:rPr>
          <w:sz w:val="22"/>
          <w:szCs w:val="22"/>
        </w:rPr>
        <w:t>Comprehensive search of peer-reviewed literature, technical reports, and policy documents</w:t>
      </w:r>
    </w:p>
    <w:p w14:paraId="08BE505F" w14:textId="77777777" w:rsidR="00323527" w:rsidRDefault="00000000">
      <w:pPr>
        <w:pStyle w:val="whitespace-normal"/>
        <w:numPr>
          <w:ilvl w:val="0"/>
          <w:numId w:val="5"/>
        </w:numPr>
        <w:spacing w:line="360" w:lineRule="auto"/>
        <w:jc w:val="both"/>
        <w:rPr>
          <w:sz w:val="22"/>
          <w:szCs w:val="22"/>
        </w:rPr>
      </w:pPr>
      <w:r>
        <w:rPr>
          <w:sz w:val="22"/>
          <w:szCs w:val="22"/>
        </w:rPr>
        <w:t>Time frame: 2014-2024 (ensuring current relevance)</w:t>
      </w:r>
    </w:p>
    <w:p w14:paraId="081E1113" w14:textId="77777777" w:rsidR="00323527" w:rsidRDefault="00000000">
      <w:pPr>
        <w:pStyle w:val="whitespace-normal"/>
        <w:numPr>
          <w:ilvl w:val="0"/>
          <w:numId w:val="6"/>
        </w:numPr>
        <w:spacing w:line="360" w:lineRule="auto"/>
        <w:jc w:val="both"/>
        <w:rPr>
          <w:sz w:val="22"/>
          <w:szCs w:val="22"/>
        </w:rPr>
      </w:pPr>
      <w:r>
        <w:rPr>
          <w:sz w:val="22"/>
          <w:szCs w:val="22"/>
        </w:rPr>
        <w:t xml:space="preserve">Data Collection Methods </w:t>
      </w:r>
    </w:p>
    <w:p w14:paraId="0481C11A" w14:textId="77777777" w:rsidR="00323527" w:rsidRDefault="00000000">
      <w:pPr>
        <w:pStyle w:val="whitespace-normal"/>
        <w:spacing w:line="360" w:lineRule="auto"/>
        <w:jc w:val="both"/>
        <w:rPr>
          <w:sz w:val="22"/>
          <w:szCs w:val="22"/>
        </w:rPr>
      </w:pPr>
      <w:r>
        <w:rPr>
          <w:sz w:val="22"/>
          <w:szCs w:val="22"/>
        </w:rPr>
        <w:t xml:space="preserve">a) Primary Data Sources: </w:t>
      </w:r>
    </w:p>
    <w:p w14:paraId="00D9A298" w14:textId="77777777" w:rsidR="00323527" w:rsidRDefault="00000000">
      <w:pPr>
        <w:pStyle w:val="whitespace-normal"/>
        <w:numPr>
          <w:ilvl w:val="1"/>
          <w:numId w:val="6"/>
        </w:numPr>
        <w:spacing w:line="360" w:lineRule="auto"/>
        <w:jc w:val="both"/>
        <w:rPr>
          <w:sz w:val="22"/>
          <w:szCs w:val="22"/>
        </w:rPr>
      </w:pPr>
      <w:r>
        <w:rPr>
          <w:sz w:val="22"/>
          <w:szCs w:val="22"/>
        </w:rPr>
        <w:t xml:space="preserve">Academic databases: </w:t>
      </w:r>
    </w:p>
    <w:p w14:paraId="383F51C6" w14:textId="77777777" w:rsidR="00323527" w:rsidRDefault="00000000">
      <w:pPr>
        <w:pStyle w:val="whitespace-normal"/>
        <w:numPr>
          <w:ilvl w:val="0"/>
          <w:numId w:val="7"/>
        </w:numPr>
        <w:spacing w:line="360" w:lineRule="auto"/>
        <w:jc w:val="both"/>
        <w:rPr>
          <w:sz w:val="22"/>
          <w:szCs w:val="22"/>
        </w:rPr>
      </w:pPr>
      <w:r>
        <w:rPr>
          <w:sz w:val="22"/>
          <w:szCs w:val="22"/>
        </w:rPr>
        <w:lastRenderedPageBreak/>
        <w:t>Web of Science</w:t>
      </w:r>
    </w:p>
    <w:p w14:paraId="7030E761" w14:textId="77777777" w:rsidR="00323527" w:rsidRDefault="00000000">
      <w:pPr>
        <w:pStyle w:val="whitespace-normal"/>
        <w:numPr>
          <w:ilvl w:val="0"/>
          <w:numId w:val="7"/>
        </w:numPr>
        <w:spacing w:line="360" w:lineRule="auto"/>
        <w:jc w:val="both"/>
        <w:rPr>
          <w:sz w:val="22"/>
          <w:szCs w:val="22"/>
        </w:rPr>
      </w:pPr>
      <w:r>
        <w:rPr>
          <w:sz w:val="22"/>
          <w:szCs w:val="22"/>
        </w:rPr>
        <w:t>Scopus</w:t>
      </w:r>
    </w:p>
    <w:p w14:paraId="1F29605D" w14:textId="77777777" w:rsidR="00323527" w:rsidRDefault="00000000">
      <w:pPr>
        <w:pStyle w:val="whitespace-normal"/>
        <w:numPr>
          <w:ilvl w:val="0"/>
          <w:numId w:val="7"/>
        </w:numPr>
        <w:spacing w:line="360" w:lineRule="auto"/>
        <w:jc w:val="both"/>
        <w:rPr>
          <w:sz w:val="22"/>
          <w:szCs w:val="22"/>
        </w:rPr>
      </w:pPr>
      <w:r>
        <w:rPr>
          <w:sz w:val="22"/>
          <w:szCs w:val="22"/>
        </w:rPr>
        <w:t>Science Direct</w:t>
      </w:r>
    </w:p>
    <w:p w14:paraId="11628776" w14:textId="77777777" w:rsidR="00323527" w:rsidRDefault="00000000">
      <w:pPr>
        <w:pStyle w:val="whitespace-normal"/>
        <w:numPr>
          <w:ilvl w:val="0"/>
          <w:numId w:val="7"/>
        </w:numPr>
        <w:spacing w:line="360" w:lineRule="auto"/>
        <w:jc w:val="both"/>
        <w:rPr>
          <w:sz w:val="22"/>
          <w:szCs w:val="22"/>
        </w:rPr>
      </w:pPr>
      <w:r>
        <w:rPr>
          <w:sz w:val="22"/>
          <w:szCs w:val="22"/>
        </w:rPr>
        <w:t>PubMed/MEDLINE</w:t>
      </w:r>
    </w:p>
    <w:p w14:paraId="0BF36BC6" w14:textId="77777777" w:rsidR="00323527" w:rsidRDefault="00000000">
      <w:pPr>
        <w:pStyle w:val="whitespace-normal"/>
        <w:numPr>
          <w:ilvl w:val="0"/>
          <w:numId w:val="7"/>
        </w:numPr>
        <w:spacing w:line="360" w:lineRule="auto"/>
        <w:jc w:val="both"/>
        <w:rPr>
          <w:sz w:val="22"/>
          <w:szCs w:val="22"/>
        </w:rPr>
      </w:pPr>
      <w:r>
        <w:rPr>
          <w:sz w:val="22"/>
          <w:szCs w:val="22"/>
        </w:rPr>
        <w:t>Environmental Science and Pollution Research</w:t>
      </w:r>
    </w:p>
    <w:p w14:paraId="147A3D5C" w14:textId="77777777" w:rsidR="00323527" w:rsidRDefault="00000000">
      <w:pPr>
        <w:pStyle w:val="whitespace-normal"/>
        <w:numPr>
          <w:ilvl w:val="1"/>
          <w:numId w:val="6"/>
        </w:numPr>
        <w:spacing w:line="360" w:lineRule="auto"/>
        <w:jc w:val="both"/>
        <w:rPr>
          <w:sz w:val="22"/>
          <w:szCs w:val="22"/>
        </w:rPr>
      </w:pPr>
      <w:r>
        <w:rPr>
          <w:sz w:val="22"/>
          <w:szCs w:val="22"/>
        </w:rPr>
        <w:t xml:space="preserve">International Organizations' Reports: </w:t>
      </w:r>
    </w:p>
    <w:p w14:paraId="3090AF44" w14:textId="77777777" w:rsidR="00323527" w:rsidRDefault="00000000">
      <w:pPr>
        <w:pStyle w:val="whitespace-normal"/>
        <w:numPr>
          <w:ilvl w:val="2"/>
          <w:numId w:val="6"/>
        </w:numPr>
        <w:spacing w:line="360" w:lineRule="auto"/>
        <w:jc w:val="both"/>
        <w:rPr>
          <w:sz w:val="22"/>
          <w:szCs w:val="22"/>
        </w:rPr>
      </w:pPr>
      <w:r>
        <w:rPr>
          <w:sz w:val="22"/>
          <w:szCs w:val="22"/>
        </w:rPr>
        <w:t xml:space="preserve">United Nations Environment </w:t>
      </w:r>
      <w:proofErr w:type="spellStart"/>
      <w:r>
        <w:rPr>
          <w:sz w:val="22"/>
          <w:szCs w:val="22"/>
        </w:rPr>
        <w:t>Programme</w:t>
      </w:r>
      <w:proofErr w:type="spellEnd"/>
      <w:r>
        <w:rPr>
          <w:sz w:val="22"/>
          <w:szCs w:val="22"/>
        </w:rPr>
        <w:t xml:space="preserve"> (UNEP)</w:t>
      </w:r>
    </w:p>
    <w:p w14:paraId="39A08A10" w14:textId="77777777" w:rsidR="00323527" w:rsidRDefault="00000000">
      <w:pPr>
        <w:pStyle w:val="whitespace-normal"/>
        <w:numPr>
          <w:ilvl w:val="2"/>
          <w:numId w:val="6"/>
        </w:numPr>
        <w:spacing w:line="360" w:lineRule="auto"/>
        <w:jc w:val="both"/>
        <w:rPr>
          <w:sz w:val="22"/>
          <w:szCs w:val="22"/>
        </w:rPr>
      </w:pPr>
      <w:r>
        <w:rPr>
          <w:sz w:val="22"/>
          <w:szCs w:val="22"/>
        </w:rPr>
        <w:t>World Health Organization (WHO)</w:t>
      </w:r>
    </w:p>
    <w:p w14:paraId="5EDD50CB" w14:textId="77777777" w:rsidR="00323527" w:rsidRDefault="00000000">
      <w:pPr>
        <w:pStyle w:val="whitespace-normal"/>
        <w:numPr>
          <w:ilvl w:val="2"/>
          <w:numId w:val="6"/>
        </w:numPr>
        <w:spacing w:line="360" w:lineRule="auto"/>
        <w:jc w:val="both"/>
        <w:rPr>
          <w:sz w:val="22"/>
          <w:szCs w:val="22"/>
        </w:rPr>
      </w:pPr>
      <w:r>
        <w:rPr>
          <w:sz w:val="22"/>
          <w:szCs w:val="22"/>
        </w:rPr>
        <w:t xml:space="preserve">International </w:t>
      </w:r>
      <w:proofErr w:type="spellStart"/>
      <w:r>
        <w:rPr>
          <w:sz w:val="22"/>
          <w:szCs w:val="22"/>
        </w:rPr>
        <w:t>Labour</w:t>
      </w:r>
      <w:proofErr w:type="spellEnd"/>
      <w:r>
        <w:rPr>
          <w:sz w:val="22"/>
          <w:szCs w:val="22"/>
        </w:rPr>
        <w:t xml:space="preserve"> Organization (ILO)</w:t>
      </w:r>
    </w:p>
    <w:p w14:paraId="6B715270" w14:textId="77777777" w:rsidR="00323527" w:rsidRDefault="00000000">
      <w:pPr>
        <w:pStyle w:val="whitespace-normal"/>
        <w:numPr>
          <w:ilvl w:val="2"/>
          <w:numId w:val="6"/>
        </w:numPr>
        <w:spacing w:line="360" w:lineRule="auto"/>
        <w:jc w:val="both"/>
        <w:rPr>
          <w:sz w:val="22"/>
          <w:szCs w:val="22"/>
        </w:rPr>
      </w:pPr>
      <w:r>
        <w:rPr>
          <w:sz w:val="22"/>
          <w:szCs w:val="22"/>
        </w:rPr>
        <w:t>Global E-waste Statistics Partnership</w:t>
      </w:r>
    </w:p>
    <w:p w14:paraId="75747298" w14:textId="77777777" w:rsidR="00323527" w:rsidRDefault="00000000">
      <w:pPr>
        <w:pStyle w:val="whitespace-normal"/>
        <w:numPr>
          <w:ilvl w:val="1"/>
          <w:numId w:val="6"/>
        </w:numPr>
        <w:spacing w:line="360" w:lineRule="auto"/>
        <w:jc w:val="both"/>
        <w:rPr>
          <w:sz w:val="22"/>
          <w:szCs w:val="22"/>
        </w:rPr>
      </w:pPr>
      <w:r>
        <w:rPr>
          <w:sz w:val="22"/>
          <w:szCs w:val="22"/>
        </w:rPr>
        <w:t xml:space="preserve">Policy Documents: </w:t>
      </w:r>
    </w:p>
    <w:p w14:paraId="0F5D1E3E" w14:textId="77777777" w:rsidR="00323527" w:rsidRDefault="00000000">
      <w:pPr>
        <w:pStyle w:val="whitespace-normal"/>
        <w:numPr>
          <w:ilvl w:val="2"/>
          <w:numId w:val="6"/>
        </w:numPr>
        <w:spacing w:line="360" w:lineRule="auto"/>
        <w:jc w:val="both"/>
        <w:rPr>
          <w:sz w:val="22"/>
          <w:szCs w:val="22"/>
        </w:rPr>
      </w:pPr>
      <w:r>
        <w:rPr>
          <w:sz w:val="22"/>
          <w:szCs w:val="22"/>
        </w:rPr>
        <w:t>National e-waste regulations</w:t>
      </w:r>
    </w:p>
    <w:p w14:paraId="025DEF18" w14:textId="77777777" w:rsidR="00323527" w:rsidRDefault="00000000">
      <w:pPr>
        <w:pStyle w:val="whitespace-normal"/>
        <w:numPr>
          <w:ilvl w:val="2"/>
          <w:numId w:val="6"/>
        </w:numPr>
        <w:spacing w:line="360" w:lineRule="auto"/>
        <w:jc w:val="both"/>
        <w:rPr>
          <w:sz w:val="22"/>
          <w:szCs w:val="22"/>
        </w:rPr>
      </w:pPr>
      <w:r>
        <w:rPr>
          <w:sz w:val="22"/>
          <w:szCs w:val="22"/>
        </w:rPr>
        <w:t>International conventions (Basel Convention, Stockholm Convention)</w:t>
      </w:r>
    </w:p>
    <w:p w14:paraId="68AA1288" w14:textId="77777777" w:rsidR="00323527" w:rsidRDefault="00000000">
      <w:pPr>
        <w:pStyle w:val="whitespace-normal"/>
        <w:numPr>
          <w:ilvl w:val="2"/>
          <w:numId w:val="6"/>
        </w:numPr>
        <w:spacing w:line="360" w:lineRule="auto"/>
        <w:jc w:val="both"/>
        <w:rPr>
          <w:sz w:val="22"/>
          <w:szCs w:val="22"/>
        </w:rPr>
      </w:pPr>
      <w:r>
        <w:rPr>
          <w:sz w:val="22"/>
          <w:szCs w:val="22"/>
        </w:rPr>
        <w:t>Regional policy frameworks</w:t>
      </w:r>
    </w:p>
    <w:p w14:paraId="5F95C8B1" w14:textId="77777777" w:rsidR="00323527" w:rsidRDefault="00000000">
      <w:pPr>
        <w:pStyle w:val="whitespace-normal"/>
        <w:spacing w:before="0" w:after="0" w:line="360" w:lineRule="auto"/>
        <w:jc w:val="both"/>
        <w:rPr>
          <w:sz w:val="22"/>
          <w:szCs w:val="22"/>
        </w:rPr>
      </w:pPr>
      <w:r>
        <w:rPr>
          <w:sz w:val="22"/>
          <w:szCs w:val="22"/>
        </w:rPr>
        <w:t xml:space="preserve">b) Search Strategy: </w:t>
      </w:r>
    </w:p>
    <w:p w14:paraId="1041249E" w14:textId="77777777" w:rsidR="00323527" w:rsidRDefault="00000000">
      <w:pPr>
        <w:pStyle w:val="whitespace-normal"/>
        <w:numPr>
          <w:ilvl w:val="1"/>
          <w:numId w:val="6"/>
        </w:numPr>
        <w:spacing w:line="360" w:lineRule="auto"/>
        <w:jc w:val="both"/>
        <w:rPr>
          <w:sz w:val="22"/>
          <w:szCs w:val="22"/>
        </w:rPr>
      </w:pPr>
      <w:r>
        <w:rPr>
          <w:sz w:val="22"/>
          <w:szCs w:val="22"/>
        </w:rPr>
        <w:t xml:space="preserve">Key search terms and combinations: </w:t>
      </w:r>
    </w:p>
    <w:p w14:paraId="2E266D9C" w14:textId="77777777" w:rsidR="00323527" w:rsidRDefault="00000000">
      <w:pPr>
        <w:pStyle w:val="whitespace-normal"/>
        <w:numPr>
          <w:ilvl w:val="2"/>
          <w:numId w:val="6"/>
        </w:numPr>
        <w:spacing w:line="360" w:lineRule="auto"/>
        <w:jc w:val="both"/>
        <w:rPr>
          <w:sz w:val="22"/>
          <w:szCs w:val="22"/>
        </w:rPr>
      </w:pPr>
      <w:r>
        <w:rPr>
          <w:sz w:val="22"/>
          <w:szCs w:val="22"/>
        </w:rPr>
        <w:t>"</w:t>
      </w:r>
      <w:proofErr w:type="gramStart"/>
      <w:r>
        <w:rPr>
          <w:sz w:val="22"/>
          <w:szCs w:val="22"/>
        </w:rPr>
        <w:t>electronic</w:t>
      </w:r>
      <w:proofErr w:type="gramEnd"/>
      <w:r>
        <w:rPr>
          <w:sz w:val="22"/>
          <w:szCs w:val="22"/>
        </w:rPr>
        <w:t xml:space="preserve"> waste" OR "e-waste" AND "environmental impact"</w:t>
      </w:r>
    </w:p>
    <w:p w14:paraId="1347B398" w14:textId="77777777" w:rsidR="00323527" w:rsidRDefault="00000000">
      <w:pPr>
        <w:pStyle w:val="whitespace-normal"/>
        <w:numPr>
          <w:ilvl w:val="2"/>
          <w:numId w:val="6"/>
        </w:numPr>
        <w:spacing w:line="360" w:lineRule="auto"/>
        <w:jc w:val="both"/>
        <w:rPr>
          <w:sz w:val="22"/>
          <w:szCs w:val="22"/>
        </w:rPr>
      </w:pPr>
      <w:r>
        <w:rPr>
          <w:sz w:val="22"/>
          <w:szCs w:val="22"/>
        </w:rPr>
        <w:t>"e-waste" AND "health effects"</w:t>
      </w:r>
    </w:p>
    <w:p w14:paraId="40C1915B" w14:textId="77777777" w:rsidR="00323527" w:rsidRDefault="00000000">
      <w:pPr>
        <w:pStyle w:val="whitespace-normal"/>
        <w:numPr>
          <w:ilvl w:val="2"/>
          <w:numId w:val="6"/>
        </w:numPr>
        <w:spacing w:line="360" w:lineRule="auto"/>
        <w:jc w:val="both"/>
        <w:rPr>
          <w:sz w:val="22"/>
          <w:szCs w:val="22"/>
        </w:rPr>
      </w:pPr>
      <w:r>
        <w:rPr>
          <w:sz w:val="22"/>
          <w:szCs w:val="22"/>
        </w:rPr>
        <w:t>"</w:t>
      </w:r>
      <w:proofErr w:type="gramStart"/>
      <w:r>
        <w:rPr>
          <w:sz w:val="22"/>
          <w:szCs w:val="22"/>
        </w:rPr>
        <w:t>electronic</w:t>
      </w:r>
      <w:proofErr w:type="gramEnd"/>
      <w:r>
        <w:rPr>
          <w:sz w:val="22"/>
          <w:szCs w:val="22"/>
        </w:rPr>
        <w:t xml:space="preserve"> waste management" AND "sustainability"</w:t>
      </w:r>
    </w:p>
    <w:p w14:paraId="5CF2204E" w14:textId="77777777" w:rsidR="00323527" w:rsidRDefault="00000000">
      <w:pPr>
        <w:pStyle w:val="whitespace-normal"/>
        <w:numPr>
          <w:ilvl w:val="2"/>
          <w:numId w:val="6"/>
        </w:numPr>
        <w:spacing w:line="360" w:lineRule="auto"/>
        <w:jc w:val="both"/>
        <w:rPr>
          <w:sz w:val="22"/>
          <w:szCs w:val="22"/>
        </w:rPr>
      </w:pPr>
      <w:r>
        <w:rPr>
          <w:sz w:val="22"/>
          <w:szCs w:val="22"/>
        </w:rPr>
        <w:t>"e-waste recycling" AND "techniques"</w:t>
      </w:r>
    </w:p>
    <w:p w14:paraId="4FCE3EC8" w14:textId="77777777" w:rsidR="00323527" w:rsidRDefault="00000000">
      <w:pPr>
        <w:pStyle w:val="whitespace-normal"/>
        <w:numPr>
          <w:ilvl w:val="2"/>
          <w:numId w:val="6"/>
        </w:numPr>
        <w:spacing w:line="360" w:lineRule="auto"/>
        <w:jc w:val="both"/>
        <w:rPr>
          <w:sz w:val="22"/>
          <w:szCs w:val="22"/>
        </w:rPr>
      </w:pPr>
      <w:r>
        <w:rPr>
          <w:sz w:val="22"/>
          <w:szCs w:val="22"/>
        </w:rPr>
        <w:t>"</w:t>
      </w:r>
      <w:proofErr w:type="gramStart"/>
      <w:r>
        <w:rPr>
          <w:sz w:val="22"/>
          <w:szCs w:val="22"/>
        </w:rPr>
        <w:t>circular</w:t>
      </w:r>
      <w:proofErr w:type="gramEnd"/>
      <w:r>
        <w:rPr>
          <w:sz w:val="22"/>
          <w:szCs w:val="22"/>
        </w:rPr>
        <w:t xml:space="preserve"> economy" AND "electronic waste"</w:t>
      </w:r>
    </w:p>
    <w:p w14:paraId="364B4E75" w14:textId="77777777" w:rsidR="00323527" w:rsidRDefault="00000000">
      <w:pPr>
        <w:pStyle w:val="whitespace-normal"/>
        <w:numPr>
          <w:ilvl w:val="1"/>
          <w:numId w:val="6"/>
        </w:numPr>
        <w:spacing w:line="360" w:lineRule="auto"/>
        <w:jc w:val="both"/>
        <w:rPr>
          <w:sz w:val="22"/>
          <w:szCs w:val="22"/>
        </w:rPr>
      </w:pPr>
      <w:r>
        <w:rPr>
          <w:sz w:val="22"/>
          <w:szCs w:val="22"/>
        </w:rPr>
        <w:t>Boolean operators and advanced search techniques</w:t>
      </w:r>
    </w:p>
    <w:p w14:paraId="020DA324" w14:textId="77777777" w:rsidR="00323527" w:rsidRDefault="00000000">
      <w:pPr>
        <w:pStyle w:val="whitespace-normal"/>
        <w:numPr>
          <w:ilvl w:val="1"/>
          <w:numId w:val="6"/>
        </w:numPr>
        <w:spacing w:line="360" w:lineRule="auto"/>
        <w:jc w:val="both"/>
        <w:rPr>
          <w:sz w:val="22"/>
          <w:szCs w:val="22"/>
        </w:rPr>
      </w:pPr>
      <w:r>
        <w:rPr>
          <w:sz w:val="22"/>
          <w:szCs w:val="22"/>
        </w:rPr>
        <w:t>Citation tracking and reference list screening</w:t>
      </w:r>
    </w:p>
    <w:p w14:paraId="60385E3D" w14:textId="77777777" w:rsidR="00323527" w:rsidRDefault="00323527">
      <w:pPr>
        <w:pStyle w:val="whitespace-normal"/>
        <w:spacing w:line="360" w:lineRule="auto"/>
        <w:ind w:left="520"/>
        <w:jc w:val="both"/>
        <w:rPr>
          <w:sz w:val="22"/>
          <w:szCs w:val="22"/>
        </w:rPr>
      </w:pPr>
    </w:p>
    <w:p w14:paraId="6D8432E9" w14:textId="77777777" w:rsidR="00323527" w:rsidRDefault="00000000">
      <w:pPr>
        <w:pStyle w:val="whitespace-normal"/>
        <w:numPr>
          <w:ilvl w:val="0"/>
          <w:numId w:val="6"/>
        </w:numPr>
        <w:spacing w:line="360" w:lineRule="auto"/>
        <w:jc w:val="both"/>
        <w:rPr>
          <w:sz w:val="22"/>
          <w:szCs w:val="22"/>
        </w:rPr>
      </w:pPr>
      <w:r>
        <w:rPr>
          <w:sz w:val="22"/>
          <w:szCs w:val="22"/>
        </w:rPr>
        <w:t xml:space="preserve">Data Analysis Framework a) Systematic Review Process: </w:t>
      </w:r>
    </w:p>
    <w:p w14:paraId="03A202F1" w14:textId="77777777" w:rsidR="00323527" w:rsidRDefault="00000000">
      <w:pPr>
        <w:pStyle w:val="whitespace-normal"/>
        <w:numPr>
          <w:ilvl w:val="1"/>
          <w:numId w:val="6"/>
        </w:numPr>
        <w:spacing w:line="360" w:lineRule="auto"/>
        <w:jc w:val="both"/>
        <w:rPr>
          <w:sz w:val="22"/>
          <w:szCs w:val="22"/>
        </w:rPr>
      </w:pPr>
      <w:r>
        <w:rPr>
          <w:sz w:val="22"/>
          <w:szCs w:val="22"/>
        </w:rPr>
        <w:t>Initial screening of titles and abstracts</w:t>
      </w:r>
    </w:p>
    <w:p w14:paraId="79579969" w14:textId="77777777" w:rsidR="00323527" w:rsidRDefault="00000000">
      <w:pPr>
        <w:pStyle w:val="whitespace-normal"/>
        <w:numPr>
          <w:ilvl w:val="1"/>
          <w:numId w:val="6"/>
        </w:numPr>
        <w:spacing w:line="360" w:lineRule="auto"/>
        <w:jc w:val="both"/>
        <w:rPr>
          <w:sz w:val="22"/>
          <w:szCs w:val="22"/>
        </w:rPr>
      </w:pPr>
      <w:r>
        <w:rPr>
          <w:sz w:val="22"/>
          <w:szCs w:val="22"/>
        </w:rPr>
        <w:t>Full-text review of selected articles</w:t>
      </w:r>
    </w:p>
    <w:p w14:paraId="30A54463" w14:textId="77777777" w:rsidR="00323527" w:rsidRDefault="00000000">
      <w:pPr>
        <w:pStyle w:val="whitespace-normal"/>
        <w:numPr>
          <w:ilvl w:val="1"/>
          <w:numId w:val="6"/>
        </w:numPr>
        <w:spacing w:line="360" w:lineRule="auto"/>
        <w:jc w:val="both"/>
        <w:rPr>
          <w:sz w:val="22"/>
          <w:szCs w:val="22"/>
        </w:rPr>
      </w:pPr>
      <w:r>
        <w:rPr>
          <w:sz w:val="22"/>
          <w:szCs w:val="22"/>
        </w:rPr>
        <w:t>Quality assessment using standardized tools</w:t>
      </w:r>
    </w:p>
    <w:p w14:paraId="4F3D4B87" w14:textId="77777777" w:rsidR="00323527" w:rsidRDefault="00000000">
      <w:pPr>
        <w:pStyle w:val="whitespace-normal"/>
        <w:numPr>
          <w:ilvl w:val="1"/>
          <w:numId w:val="6"/>
        </w:numPr>
        <w:spacing w:line="360" w:lineRule="auto"/>
        <w:jc w:val="both"/>
        <w:rPr>
          <w:sz w:val="22"/>
          <w:szCs w:val="22"/>
        </w:rPr>
      </w:pPr>
      <w:r>
        <w:rPr>
          <w:sz w:val="22"/>
          <w:szCs w:val="22"/>
        </w:rPr>
        <w:t>Data extraction using predefined templates</w:t>
      </w:r>
    </w:p>
    <w:p w14:paraId="7D875168" w14:textId="77777777" w:rsidR="00323527" w:rsidRDefault="00000000">
      <w:pPr>
        <w:pStyle w:val="whitespace-normal"/>
        <w:spacing w:before="0" w:after="0" w:line="360" w:lineRule="auto"/>
        <w:ind w:left="720"/>
        <w:jc w:val="both"/>
        <w:rPr>
          <w:sz w:val="22"/>
          <w:szCs w:val="22"/>
        </w:rPr>
      </w:pPr>
      <w:r>
        <w:rPr>
          <w:sz w:val="22"/>
          <w:szCs w:val="22"/>
        </w:rPr>
        <w:t xml:space="preserve">b) Analytical Methods: </w:t>
      </w:r>
    </w:p>
    <w:p w14:paraId="4B4AFB0A" w14:textId="77777777" w:rsidR="00323527" w:rsidRDefault="00000000">
      <w:pPr>
        <w:pStyle w:val="whitespace-normal"/>
        <w:numPr>
          <w:ilvl w:val="1"/>
          <w:numId w:val="6"/>
        </w:numPr>
        <w:spacing w:line="360" w:lineRule="auto"/>
        <w:jc w:val="both"/>
        <w:rPr>
          <w:sz w:val="22"/>
          <w:szCs w:val="22"/>
        </w:rPr>
      </w:pPr>
      <w:r>
        <w:rPr>
          <w:sz w:val="22"/>
          <w:szCs w:val="22"/>
        </w:rPr>
        <w:lastRenderedPageBreak/>
        <w:t>Thematic analysis of environmental impacts</w:t>
      </w:r>
    </w:p>
    <w:p w14:paraId="168D9D01" w14:textId="77777777" w:rsidR="00323527" w:rsidRDefault="00000000">
      <w:pPr>
        <w:pStyle w:val="whitespace-normal"/>
        <w:numPr>
          <w:ilvl w:val="1"/>
          <w:numId w:val="6"/>
        </w:numPr>
        <w:spacing w:line="360" w:lineRule="auto"/>
        <w:jc w:val="both"/>
        <w:rPr>
          <w:sz w:val="22"/>
          <w:szCs w:val="22"/>
        </w:rPr>
      </w:pPr>
      <w:r>
        <w:rPr>
          <w:sz w:val="22"/>
          <w:szCs w:val="22"/>
        </w:rPr>
        <w:t>Meta-analysis of health outcomes where applicable</w:t>
      </w:r>
    </w:p>
    <w:p w14:paraId="51CCF831" w14:textId="77777777" w:rsidR="00323527" w:rsidRDefault="00000000">
      <w:pPr>
        <w:pStyle w:val="whitespace-normal"/>
        <w:numPr>
          <w:ilvl w:val="1"/>
          <w:numId w:val="6"/>
        </w:numPr>
        <w:spacing w:line="360" w:lineRule="auto"/>
        <w:jc w:val="both"/>
        <w:rPr>
          <w:sz w:val="22"/>
          <w:szCs w:val="22"/>
        </w:rPr>
      </w:pPr>
      <w:r>
        <w:rPr>
          <w:sz w:val="22"/>
          <w:szCs w:val="22"/>
        </w:rPr>
        <w:t>Comparative analysis of management practices</w:t>
      </w:r>
    </w:p>
    <w:p w14:paraId="3F5A5EEB" w14:textId="77777777" w:rsidR="00323527" w:rsidRDefault="00000000">
      <w:pPr>
        <w:pStyle w:val="whitespace-normal"/>
        <w:numPr>
          <w:ilvl w:val="1"/>
          <w:numId w:val="6"/>
        </w:numPr>
        <w:spacing w:line="360" w:lineRule="auto"/>
        <w:jc w:val="both"/>
        <w:rPr>
          <w:sz w:val="22"/>
          <w:szCs w:val="22"/>
        </w:rPr>
      </w:pPr>
      <w:r>
        <w:rPr>
          <w:sz w:val="22"/>
          <w:szCs w:val="22"/>
        </w:rPr>
        <w:t>Policy framework analysis</w:t>
      </w:r>
    </w:p>
    <w:p w14:paraId="08F84586" w14:textId="77777777" w:rsidR="00323527" w:rsidRDefault="00000000">
      <w:pPr>
        <w:pStyle w:val="whitespace-normal"/>
        <w:numPr>
          <w:ilvl w:val="1"/>
          <w:numId w:val="6"/>
        </w:numPr>
        <w:spacing w:line="360" w:lineRule="auto"/>
        <w:jc w:val="both"/>
        <w:rPr>
          <w:sz w:val="22"/>
          <w:szCs w:val="22"/>
        </w:rPr>
      </w:pPr>
      <w:r>
        <w:rPr>
          <w:sz w:val="22"/>
          <w:szCs w:val="22"/>
        </w:rPr>
        <w:t>Case study synthesis</w:t>
      </w:r>
    </w:p>
    <w:p w14:paraId="378FEB97" w14:textId="77777777" w:rsidR="00323527" w:rsidRDefault="00000000">
      <w:pPr>
        <w:pStyle w:val="whitespace-pre-wrap"/>
        <w:spacing w:line="360" w:lineRule="auto"/>
        <w:jc w:val="both"/>
        <w:rPr>
          <w:b/>
          <w:bCs/>
          <w:sz w:val="22"/>
          <w:szCs w:val="22"/>
        </w:rPr>
      </w:pPr>
      <w:r>
        <w:rPr>
          <w:b/>
          <w:bCs/>
          <w:sz w:val="22"/>
          <w:szCs w:val="22"/>
        </w:rPr>
        <w:t xml:space="preserve">Overview </w:t>
      </w:r>
    </w:p>
    <w:p w14:paraId="274DC564" w14:textId="77777777" w:rsidR="00323527" w:rsidRDefault="00000000">
      <w:pPr>
        <w:pStyle w:val="whitespace-pre-wrap"/>
        <w:spacing w:line="360" w:lineRule="auto"/>
        <w:jc w:val="both"/>
        <w:rPr>
          <w:sz w:val="22"/>
          <w:szCs w:val="22"/>
        </w:rPr>
      </w:pPr>
      <w:r>
        <w:rPr>
          <w:sz w:val="22"/>
          <w:szCs w:val="22"/>
        </w:rPr>
        <w:t xml:space="preserve">The proliferation of electronic devices, coupled with rapid technological advancement and decreasing product lifespans, has led to unprecedented growth in global e-waste generation. According to the Global E-waste Monitor 2023, global e-waste generation reached 59.4 million metric </w:t>
      </w:r>
      <w:proofErr w:type="spellStart"/>
      <w:r>
        <w:rPr>
          <w:sz w:val="22"/>
          <w:szCs w:val="22"/>
        </w:rPr>
        <w:t>tonnes</w:t>
      </w:r>
      <w:proofErr w:type="spellEnd"/>
      <w:r>
        <w:rPr>
          <w:sz w:val="22"/>
          <w:szCs w:val="22"/>
        </w:rPr>
        <w:t xml:space="preserve"> (Mt) in 2022, representing a 21% increase from 2019 (Forti et al., 2023). This trend is particularly concerning as the annual growth rate of e-waste (3.5%) significantly outpaces the global capacity for proper management and recycling (Baldé et al., 2023).</w:t>
      </w:r>
    </w:p>
    <w:p w14:paraId="6D9A5661" w14:textId="77777777" w:rsidR="00323527" w:rsidRDefault="00000000">
      <w:pPr>
        <w:pStyle w:val="whitespace-pre-wrap"/>
        <w:spacing w:line="360" w:lineRule="auto"/>
        <w:jc w:val="both"/>
        <w:rPr>
          <w:sz w:val="22"/>
          <w:szCs w:val="22"/>
        </w:rPr>
      </w:pPr>
      <w:r>
        <w:rPr>
          <w:sz w:val="22"/>
          <w:szCs w:val="22"/>
        </w:rPr>
        <w:t>Projections indicate an alarming trajectory, with global e-waste expected to exceed 74.7 Mt by 2030 (UNEP, 2023). The World Economic Forum (2023) attributes this growth to several factors:</w:t>
      </w:r>
    </w:p>
    <w:p w14:paraId="54F0CB43" w14:textId="77777777" w:rsidR="00323527" w:rsidRDefault="00000000">
      <w:pPr>
        <w:pStyle w:val="whitespace-normal"/>
        <w:numPr>
          <w:ilvl w:val="0"/>
          <w:numId w:val="8"/>
        </w:numPr>
        <w:spacing w:line="360" w:lineRule="auto"/>
        <w:jc w:val="both"/>
        <w:rPr>
          <w:sz w:val="22"/>
          <w:szCs w:val="22"/>
        </w:rPr>
      </w:pPr>
      <w:r>
        <w:rPr>
          <w:sz w:val="22"/>
          <w:szCs w:val="22"/>
        </w:rPr>
        <w:t>Increasing digital transformation across sectors</w:t>
      </w:r>
    </w:p>
    <w:p w14:paraId="34B2A547" w14:textId="77777777" w:rsidR="00323527" w:rsidRDefault="00000000">
      <w:pPr>
        <w:pStyle w:val="whitespace-normal"/>
        <w:numPr>
          <w:ilvl w:val="0"/>
          <w:numId w:val="8"/>
        </w:numPr>
        <w:spacing w:line="360" w:lineRule="auto"/>
        <w:jc w:val="both"/>
        <w:rPr>
          <w:sz w:val="22"/>
          <w:szCs w:val="22"/>
        </w:rPr>
      </w:pPr>
      <w:r>
        <w:rPr>
          <w:sz w:val="22"/>
          <w:szCs w:val="22"/>
        </w:rPr>
        <w:t>Growing middle-class population in developing economies</w:t>
      </w:r>
    </w:p>
    <w:p w14:paraId="447B69C3" w14:textId="77777777" w:rsidR="00323527" w:rsidRDefault="00000000">
      <w:pPr>
        <w:pStyle w:val="whitespace-normal"/>
        <w:numPr>
          <w:ilvl w:val="0"/>
          <w:numId w:val="8"/>
        </w:numPr>
        <w:spacing w:line="360" w:lineRule="auto"/>
        <w:jc w:val="both"/>
        <w:rPr>
          <w:sz w:val="22"/>
          <w:szCs w:val="22"/>
        </w:rPr>
      </w:pPr>
      <w:r>
        <w:rPr>
          <w:sz w:val="22"/>
          <w:szCs w:val="22"/>
        </w:rPr>
        <w:t>Shorter device replacement cycles</w:t>
      </w:r>
    </w:p>
    <w:p w14:paraId="4D9536EE" w14:textId="77777777" w:rsidR="00323527" w:rsidRDefault="00000000">
      <w:pPr>
        <w:pStyle w:val="whitespace-normal"/>
        <w:numPr>
          <w:ilvl w:val="0"/>
          <w:numId w:val="8"/>
        </w:numPr>
        <w:spacing w:line="360" w:lineRule="auto"/>
        <w:jc w:val="both"/>
        <w:rPr>
          <w:sz w:val="22"/>
          <w:szCs w:val="22"/>
        </w:rPr>
      </w:pPr>
      <w:r>
        <w:rPr>
          <w:sz w:val="22"/>
          <w:szCs w:val="22"/>
        </w:rPr>
        <w:t>Rapid obsolescence of electronic products</w:t>
      </w:r>
    </w:p>
    <w:p w14:paraId="7069212C" w14:textId="77777777" w:rsidR="00323527" w:rsidRDefault="00000000">
      <w:pPr>
        <w:pStyle w:val="whitespace-normal"/>
        <w:numPr>
          <w:ilvl w:val="0"/>
          <w:numId w:val="8"/>
        </w:numPr>
        <w:spacing w:line="360" w:lineRule="auto"/>
        <w:jc w:val="both"/>
        <w:rPr>
          <w:sz w:val="22"/>
          <w:szCs w:val="22"/>
        </w:rPr>
      </w:pPr>
      <w:r>
        <w:rPr>
          <w:sz w:val="22"/>
          <w:szCs w:val="22"/>
        </w:rPr>
        <w:t>Limited repairability of modern devices</w:t>
      </w:r>
    </w:p>
    <w:p w14:paraId="0C2A9796" w14:textId="77777777" w:rsidR="00323527" w:rsidRDefault="00000000">
      <w:pPr>
        <w:pStyle w:val="whitespace-pre-wrap"/>
        <w:spacing w:line="360" w:lineRule="auto"/>
        <w:jc w:val="both"/>
        <w:rPr>
          <w:sz w:val="22"/>
          <w:szCs w:val="22"/>
        </w:rPr>
      </w:pPr>
      <w:r>
        <w:rPr>
          <w:sz w:val="22"/>
          <w:szCs w:val="22"/>
        </w:rPr>
        <w:t>Research by Kumar and Singh (2023) reveals that the average household in developed nations now owns 74% more electronic devices compared to a decade ago, while the average lifespan of these devices has decreased by 31%.</w:t>
      </w:r>
    </w:p>
    <w:p w14:paraId="5906200B" w14:textId="77777777" w:rsidR="00323527" w:rsidRDefault="00000000">
      <w:pPr>
        <w:pStyle w:val="whitespace-pre-wrap"/>
        <w:spacing w:line="360" w:lineRule="auto"/>
        <w:jc w:val="both"/>
        <w:rPr>
          <w:b/>
          <w:bCs/>
          <w:sz w:val="22"/>
          <w:szCs w:val="22"/>
        </w:rPr>
      </w:pPr>
      <w:r>
        <w:rPr>
          <w:b/>
          <w:bCs/>
          <w:sz w:val="22"/>
          <w:szCs w:val="22"/>
        </w:rPr>
        <w:t>Major Contributing Regions and Countries</w:t>
      </w:r>
    </w:p>
    <w:p w14:paraId="5B083BEF" w14:textId="77777777" w:rsidR="00323527" w:rsidRDefault="00000000">
      <w:pPr>
        <w:pStyle w:val="whitespace-pre-wrap"/>
        <w:spacing w:line="360" w:lineRule="auto"/>
        <w:jc w:val="both"/>
        <w:rPr>
          <w:sz w:val="22"/>
          <w:szCs w:val="22"/>
        </w:rPr>
      </w:pPr>
      <w:r>
        <w:rPr>
          <w:sz w:val="22"/>
          <w:szCs w:val="22"/>
        </w:rPr>
        <w:t>The generation and distribution of e-waste exhibit significant geographical variations, reflecting economic disparities and consumption patterns. Recent studies identify the following major contributing regions:</w:t>
      </w:r>
    </w:p>
    <w:p w14:paraId="65F015EA" w14:textId="77777777" w:rsidR="00323527" w:rsidRDefault="00000000">
      <w:pPr>
        <w:pStyle w:val="whitespace-pre-wrap"/>
        <w:spacing w:line="360" w:lineRule="auto"/>
        <w:jc w:val="both"/>
        <w:rPr>
          <w:b/>
          <w:bCs/>
          <w:sz w:val="22"/>
          <w:szCs w:val="22"/>
        </w:rPr>
      </w:pPr>
      <w:r>
        <w:rPr>
          <w:b/>
          <w:bCs/>
          <w:sz w:val="22"/>
          <w:szCs w:val="22"/>
        </w:rPr>
        <w:t>Asia:</w:t>
      </w:r>
    </w:p>
    <w:p w14:paraId="4685A6E5" w14:textId="77777777" w:rsidR="00323527" w:rsidRDefault="00000000">
      <w:pPr>
        <w:pStyle w:val="whitespace-normal"/>
        <w:numPr>
          <w:ilvl w:val="0"/>
          <w:numId w:val="9"/>
        </w:numPr>
        <w:spacing w:line="360" w:lineRule="auto"/>
        <w:jc w:val="both"/>
        <w:rPr>
          <w:sz w:val="22"/>
          <w:szCs w:val="22"/>
        </w:rPr>
      </w:pPr>
      <w:r>
        <w:rPr>
          <w:sz w:val="22"/>
          <w:szCs w:val="22"/>
        </w:rPr>
        <w:t>Generates 28.7 Mt annually, representing 46% of global e-waste</w:t>
      </w:r>
    </w:p>
    <w:p w14:paraId="106086D2" w14:textId="77777777" w:rsidR="00323527" w:rsidRDefault="00000000">
      <w:pPr>
        <w:pStyle w:val="whitespace-normal"/>
        <w:numPr>
          <w:ilvl w:val="0"/>
          <w:numId w:val="9"/>
        </w:numPr>
        <w:spacing w:line="360" w:lineRule="auto"/>
        <w:jc w:val="both"/>
        <w:rPr>
          <w:sz w:val="22"/>
          <w:szCs w:val="22"/>
        </w:rPr>
      </w:pPr>
      <w:r>
        <w:rPr>
          <w:sz w:val="22"/>
          <w:szCs w:val="22"/>
        </w:rPr>
        <w:lastRenderedPageBreak/>
        <w:t>China alone produces 11.8 Mt, followed by India with 4.1 Mt</w:t>
      </w:r>
    </w:p>
    <w:p w14:paraId="6220E1C8" w14:textId="77777777" w:rsidR="00323527" w:rsidRDefault="00000000">
      <w:pPr>
        <w:pStyle w:val="whitespace-normal"/>
        <w:numPr>
          <w:ilvl w:val="0"/>
          <w:numId w:val="9"/>
        </w:numPr>
        <w:spacing w:line="360" w:lineRule="auto"/>
        <w:jc w:val="both"/>
        <w:rPr>
          <w:sz w:val="22"/>
          <w:szCs w:val="22"/>
        </w:rPr>
      </w:pPr>
      <w:r>
        <w:rPr>
          <w:sz w:val="22"/>
          <w:szCs w:val="22"/>
        </w:rPr>
        <w:t>Fastest growing region in terms of e-waste generation (Zhang et al., 2023)</w:t>
      </w:r>
    </w:p>
    <w:p w14:paraId="2282980A" w14:textId="77777777" w:rsidR="00323527" w:rsidRDefault="00000000">
      <w:pPr>
        <w:pStyle w:val="whitespace-pre-wrap"/>
        <w:spacing w:line="360" w:lineRule="auto"/>
        <w:jc w:val="both"/>
        <w:rPr>
          <w:b/>
          <w:bCs/>
          <w:sz w:val="22"/>
          <w:szCs w:val="22"/>
        </w:rPr>
      </w:pPr>
      <w:r>
        <w:rPr>
          <w:b/>
          <w:bCs/>
          <w:sz w:val="22"/>
          <w:szCs w:val="22"/>
        </w:rPr>
        <w:t>Europe:</w:t>
      </w:r>
    </w:p>
    <w:p w14:paraId="070F7E12" w14:textId="77777777" w:rsidR="00323527" w:rsidRDefault="00000000">
      <w:pPr>
        <w:pStyle w:val="whitespace-normal"/>
        <w:numPr>
          <w:ilvl w:val="0"/>
          <w:numId w:val="10"/>
        </w:numPr>
        <w:spacing w:line="360" w:lineRule="auto"/>
        <w:jc w:val="both"/>
        <w:rPr>
          <w:sz w:val="22"/>
          <w:szCs w:val="22"/>
        </w:rPr>
      </w:pPr>
      <w:r>
        <w:rPr>
          <w:sz w:val="22"/>
          <w:szCs w:val="22"/>
        </w:rPr>
        <w:t>Produces 12.4 Mt annually</w:t>
      </w:r>
    </w:p>
    <w:p w14:paraId="7864221F" w14:textId="77777777" w:rsidR="00323527" w:rsidRDefault="00000000">
      <w:pPr>
        <w:pStyle w:val="whitespace-normal"/>
        <w:numPr>
          <w:ilvl w:val="0"/>
          <w:numId w:val="10"/>
        </w:numPr>
        <w:spacing w:line="360" w:lineRule="auto"/>
        <w:jc w:val="both"/>
        <w:rPr>
          <w:sz w:val="22"/>
          <w:szCs w:val="22"/>
        </w:rPr>
      </w:pPr>
      <w:r>
        <w:rPr>
          <w:sz w:val="22"/>
          <w:szCs w:val="22"/>
        </w:rPr>
        <w:t>Highest per capita generation at 16.2 kg/inhabitant</w:t>
      </w:r>
    </w:p>
    <w:p w14:paraId="347DF832" w14:textId="77777777" w:rsidR="00323527" w:rsidRDefault="00000000">
      <w:pPr>
        <w:pStyle w:val="whitespace-normal"/>
        <w:numPr>
          <w:ilvl w:val="0"/>
          <w:numId w:val="10"/>
        </w:numPr>
        <w:spacing w:line="360" w:lineRule="auto"/>
        <w:jc w:val="both"/>
        <w:rPr>
          <w:sz w:val="22"/>
          <w:szCs w:val="22"/>
        </w:rPr>
      </w:pPr>
      <w:r>
        <w:rPr>
          <w:sz w:val="22"/>
          <w:szCs w:val="22"/>
        </w:rPr>
        <w:t>Most developed formal collection system (24.9% collection rate)</w:t>
      </w:r>
      <w:r>
        <w:rPr>
          <w:sz w:val="22"/>
          <w:szCs w:val="22"/>
          <w:lang w:val="en-GB"/>
        </w:rPr>
        <w:t xml:space="preserve"> </w:t>
      </w:r>
      <w:r>
        <w:rPr>
          <w:sz w:val="22"/>
          <w:szCs w:val="22"/>
        </w:rPr>
        <w:t>(European Environment Agency, 2023)</w:t>
      </w:r>
    </w:p>
    <w:p w14:paraId="5FA77698" w14:textId="77777777" w:rsidR="00323527" w:rsidRDefault="00000000">
      <w:pPr>
        <w:pStyle w:val="whitespace-pre-wrap"/>
        <w:spacing w:line="360" w:lineRule="auto"/>
        <w:jc w:val="both"/>
        <w:rPr>
          <w:b/>
          <w:bCs/>
          <w:sz w:val="22"/>
          <w:szCs w:val="22"/>
        </w:rPr>
      </w:pPr>
      <w:r>
        <w:rPr>
          <w:b/>
          <w:bCs/>
          <w:sz w:val="22"/>
          <w:szCs w:val="22"/>
        </w:rPr>
        <w:t>Americas:</w:t>
      </w:r>
    </w:p>
    <w:p w14:paraId="367D9CA8" w14:textId="77777777" w:rsidR="00323527" w:rsidRDefault="00000000">
      <w:pPr>
        <w:pStyle w:val="whitespace-normal"/>
        <w:numPr>
          <w:ilvl w:val="0"/>
          <w:numId w:val="11"/>
        </w:numPr>
        <w:spacing w:line="360" w:lineRule="auto"/>
        <w:jc w:val="both"/>
        <w:rPr>
          <w:sz w:val="22"/>
          <w:szCs w:val="22"/>
        </w:rPr>
      </w:pPr>
      <w:r>
        <w:rPr>
          <w:sz w:val="22"/>
          <w:szCs w:val="22"/>
        </w:rPr>
        <w:t>North America generates 7.3 Mt annually</w:t>
      </w:r>
    </w:p>
    <w:p w14:paraId="0BEFA10A" w14:textId="77777777" w:rsidR="00323527" w:rsidRDefault="00000000">
      <w:pPr>
        <w:pStyle w:val="whitespace-normal"/>
        <w:numPr>
          <w:ilvl w:val="0"/>
          <w:numId w:val="11"/>
        </w:numPr>
        <w:spacing w:line="360" w:lineRule="auto"/>
        <w:jc w:val="both"/>
        <w:rPr>
          <w:sz w:val="22"/>
          <w:szCs w:val="22"/>
        </w:rPr>
      </w:pPr>
      <w:r>
        <w:rPr>
          <w:sz w:val="22"/>
          <w:szCs w:val="22"/>
        </w:rPr>
        <w:t>United States leads with 6.9 Mt</w:t>
      </w:r>
    </w:p>
    <w:p w14:paraId="0301C578" w14:textId="77777777" w:rsidR="00323527" w:rsidRDefault="00000000">
      <w:pPr>
        <w:pStyle w:val="whitespace-normal"/>
        <w:numPr>
          <w:ilvl w:val="0"/>
          <w:numId w:val="11"/>
        </w:numPr>
        <w:spacing w:line="360" w:lineRule="auto"/>
        <w:jc w:val="both"/>
        <w:rPr>
          <w:sz w:val="22"/>
          <w:szCs w:val="22"/>
        </w:rPr>
      </w:pPr>
      <w:r>
        <w:rPr>
          <w:sz w:val="22"/>
          <w:szCs w:val="22"/>
        </w:rPr>
        <w:t>Latin America contributes 4.1 Mt</w:t>
      </w:r>
      <w:r>
        <w:rPr>
          <w:sz w:val="22"/>
          <w:szCs w:val="22"/>
          <w:lang w:val="en-GB"/>
        </w:rPr>
        <w:t xml:space="preserve"> </w:t>
      </w:r>
      <w:r>
        <w:rPr>
          <w:sz w:val="22"/>
          <w:szCs w:val="22"/>
        </w:rPr>
        <w:t>(Martinez-Lopez et al., 2023)</w:t>
      </w:r>
    </w:p>
    <w:p w14:paraId="76012EFC" w14:textId="77777777" w:rsidR="00323527" w:rsidRDefault="00000000">
      <w:pPr>
        <w:pStyle w:val="whitespace-pre-wrap"/>
        <w:spacing w:line="360" w:lineRule="auto"/>
        <w:jc w:val="both"/>
        <w:rPr>
          <w:b/>
          <w:bCs/>
          <w:sz w:val="22"/>
          <w:szCs w:val="22"/>
        </w:rPr>
      </w:pPr>
      <w:r>
        <w:rPr>
          <w:b/>
          <w:bCs/>
          <w:sz w:val="22"/>
          <w:szCs w:val="22"/>
        </w:rPr>
        <w:t>Types and Composition of E-waste</w:t>
      </w:r>
    </w:p>
    <w:p w14:paraId="267461B4" w14:textId="77777777" w:rsidR="00323527" w:rsidRDefault="00000000">
      <w:pPr>
        <w:pStyle w:val="whitespace-pre-wrap"/>
        <w:spacing w:line="360" w:lineRule="auto"/>
        <w:jc w:val="both"/>
        <w:rPr>
          <w:sz w:val="22"/>
          <w:szCs w:val="22"/>
        </w:rPr>
      </w:pPr>
      <w:r>
        <w:rPr>
          <w:sz w:val="22"/>
          <w:szCs w:val="22"/>
        </w:rPr>
        <w:t>Contemporary research classifies e-waste into distinct categories based on composition and handling requirements. Liu et al. (2023) identify six primary categories:</w:t>
      </w:r>
    </w:p>
    <w:p w14:paraId="59D4ED03" w14:textId="77777777" w:rsidR="00323527" w:rsidRDefault="00000000">
      <w:pPr>
        <w:pStyle w:val="whitespace-normal"/>
        <w:numPr>
          <w:ilvl w:val="0"/>
          <w:numId w:val="12"/>
        </w:numPr>
        <w:spacing w:line="360" w:lineRule="auto"/>
        <w:jc w:val="both"/>
        <w:rPr>
          <w:sz w:val="22"/>
          <w:szCs w:val="22"/>
        </w:rPr>
      </w:pPr>
      <w:r>
        <w:rPr>
          <w:sz w:val="22"/>
          <w:szCs w:val="22"/>
        </w:rPr>
        <w:t>Temperature Exchange Equipment (32% of total e-waste)</w:t>
      </w:r>
    </w:p>
    <w:p w14:paraId="589575E3" w14:textId="77777777" w:rsidR="00323527" w:rsidRDefault="00000000">
      <w:pPr>
        <w:pStyle w:val="whitespace-normal"/>
        <w:numPr>
          <w:ilvl w:val="0"/>
          <w:numId w:val="13"/>
        </w:numPr>
        <w:spacing w:line="360" w:lineRule="auto"/>
        <w:jc w:val="both"/>
        <w:rPr>
          <w:sz w:val="22"/>
          <w:szCs w:val="22"/>
        </w:rPr>
      </w:pPr>
      <w:r>
        <w:rPr>
          <w:sz w:val="22"/>
          <w:szCs w:val="22"/>
        </w:rPr>
        <w:t>Refrigerators, air conditioners</w:t>
      </w:r>
    </w:p>
    <w:p w14:paraId="78D87195" w14:textId="77777777" w:rsidR="00323527" w:rsidRDefault="00000000">
      <w:pPr>
        <w:pStyle w:val="whitespace-normal"/>
        <w:numPr>
          <w:ilvl w:val="0"/>
          <w:numId w:val="13"/>
        </w:numPr>
        <w:spacing w:line="360" w:lineRule="auto"/>
        <w:jc w:val="both"/>
        <w:rPr>
          <w:sz w:val="22"/>
          <w:szCs w:val="22"/>
        </w:rPr>
      </w:pPr>
      <w:r>
        <w:rPr>
          <w:sz w:val="22"/>
          <w:szCs w:val="22"/>
        </w:rPr>
        <w:t>Contains refrigerants and insulating foams</w:t>
      </w:r>
    </w:p>
    <w:p w14:paraId="228A6574" w14:textId="77777777" w:rsidR="00323527" w:rsidRDefault="00000000">
      <w:pPr>
        <w:pStyle w:val="whitespace-normal"/>
        <w:numPr>
          <w:ilvl w:val="0"/>
          <w:numId w:val="13"/>
        </w:numPr>
        <w:spacing w:line="360" w:lineRule="auto"/>
        <w:jc w:val="both"/>
        <w:rPr>
          <w:sz w:val="22"/>
          <w:szCs w:val="22"/>
        </w:rPr>
      </w:pPr>
      <w:r>
        <w:rPr>
          <w:sz w:val="22"/>
          <w:szCs w:val="22"/>
        </w:rPr>
        <w:t>High environmental impact due to greenhouse gases</w:t>
      </w:r>
    </w:p>
    <w:p w14:paraId="3262E497" w14:textId="77777777" w:rsidR="00323527" w:rsidRDefault="00000000">
      <w:pPr>
        <w:pStyle w:val="whitespace-normal"/>
        <w:numPr>
          <w:ilvl w:val="0"/>
          <w:numId w:val="14"/>
        </w:numPr>
        <w:spacing w:line="360" w:lineRule="auto"/>
        <w:jc w:val="both"/>
        <w:rPr>
          <w:sz w:val="22"/>
          <w:szCs w:val="22"/>
        </w:rPr>
      </w:pPr>
      <w:r>
        <w:rPr>
          <w:sz w:val="22"/>
          <w:szCs w:val="22"/>
        </w:rPr>
        <w:t>Screens and Monitors (22%)</w:t>
      </w:r>
    </w:p>
    <w:p w14:paraId="16E83958" w14:textId="77777777" w:rsidR="00323527" w:rsidRDefault="00000000">
      <w:pPr>
        <w:pStyle w:val="whitespace-normal"/>
        <w:numPr>
          <w:ilvl w:val="0"/>
          <w:numId w:val="15"/>
        </w:numPr>
        <w:spacing w:line="360" w:lineRule="auto"/>
        <w:jc w:val="both"/>
        <w:rPr>
          <w:sz w:val="22"/>
          <w:szCs w:val="22"/>
        </w:rPr>
      </w:pPr>
      <w:r>
        <w:rPr>
          <w:sz w:val="22"/>
          <w:szCs w:val="22"/>
        </w:rPr>
        <w:t>LCD, LED displays</w:t>
      </w:r>
    </w:p>
    <w:p w14:paraId="65EC9931" w14:textId="77777777" w:rsidR="00323527" w:rsidRDefault="00000000">
      <w:pPr>
        <w:pStyle w:val="whitespace-normal"/>
        <w:numPr>
          <w:ilvl w:val="0"/>
          <w:numId w:val="15"/>
        </w:numPr>
        <w:spacing w:line="360" w:lineRule="auto"/>
        <w:jc w:val="both"/>
        <w:rPr>
          <w:sz w:val="22"/>
          <w:szCs w:val="22"/>
        </w:rPr>
      </w:pPr>
      <w:r>
        <w:rPr>
          <w:sz w:val="22"/>
          <w:szCs w:val="22"/>
        </w:rPr>
        <w:t>Contains mercury, lead glass</w:t>
      </w:r>
    </w:p>
    <w:p w14:paraId="40BDDDCB" w14:textId="77777777" w:rsidR="00323527" w:rsidRDefault="00000000">
      <w:pPr>
        <w:pStyle w:val="whitespace-normal"/>
        <w:numPr>
          <w:ilvl w:val="0"/>
          <w:numId w:val="15"/>
        </w:numPr>
        <w:spacing w:line="360" w:lineRule="auto"/>
        <w:jc w:val="both"/>
        <w:rPr>
          <w:sz w:val="22"/>
          <w:szCs w:val="22"/>
        </w:rPr>
      </w:pPr>
      <w:r>
        <w:rPr>
          <w:sz w:val="22"/>
          <w:szCs w:val="22"/>
        </w:rPr>
        <w:t>Requires specialized handling</w:t>
      </w:r>
    </w:p>
    <w:p w14:paraId="4EF28B4A" w14:textId="77777777" w:rsidR="00323527" w:rsidRDefault="00000000">
      <w:pPr>
        <w:pStyle w:val="whitespace-normal"/>
        <w:numPr>
          <w:ilvl w:val="0"/>
          <w:numId w:val="16"/>
        </w:numPr>
        <w:spacing w:line="360" w:lineRule="auto"/>
        <w:jc w:val="both"/>
        <w:rPr>
          <w:sz w:val="22"/>
          <w:szCs w:val="22"/>
        </w:rPr>
      </w:pPr>
      <w:r>
        <w:rPr>
          <w:sz w:val="22"/>
          <w:szCs w:val="22"/>
        </w:rPr>
        <w:t>Large Equipment (20%)</w:t>
      </w:r>
    </w:p>
    <w:p w14:paraId="49D667DB" w14:textId="77777777" w:rsidR="00323527" w:rsidRDefault="00000000">
      <w:pPr>
        <w:pStyle w:val="whitespace-normal"/>
        <w:numPr>
          <w:ilvl w:val="0"/>
          <w:numId w:val="17"/>
        </w:numPr>
        <w:spacing w:line="360" w:lineRule="auto"/>
        <w:jc w:val="both"/>
        <w:rPr>
          <w:sz w:val="22"/>
          <w:szCs w:val="22"/>
        </w:rPr>
      </w:pPr>
      <w:r>
        <w:rPr>
          <w:sz w:val="22"/>
          <w:szCs w:val="22"/>
        </w:rPr>
        <w:t>Washing machines, electric stoves</w:t>
      </w:r>
    </w:p>
    <w:p w14:paraId="415B0B75" w14:textId="77777777" w:rsidR="00323527" w:rsidRDefault="00000000">
      <w:pPr>
        <w:pStyle w:val="whitespace-normal"/>
        <w:numPr>
          <w:ilvl w:val="0"/>
          <w:numId w:val="17"/>
        </w:numPr>
        <w:spacing w:line="360" w:lineRule="auto"/>
        <w:jc w:val="both"/>
        <w:rPr>
          <w:sz w:val="22"/>
          <w:szCs w:val="22"/>
        </w:rPr>
      </w:pPr>
      <w:r>
        <w:rPr>
          <w:sz w:val="22"/>
          <w:szCs w:val="22"/>
        </w:rPr>
        <w:t>Rich in recyclable metals</w:t>
      </w:r>
    </w:p>
    <w:p w14:paraId="5CD36B9B" w14:textId="77777777" w:rsidR="00323527" w:rsidRDefault="00000000">
      <w:pPr>
        <w:pStyle w:val="whitespace-normal"/>
        <w:numPr>
          <w:ilvl w:val="0"/>
          <w:numId w:val="17"/>
        </w:numPr>
        <w:spacing w:line="360" w:lineRule="auto"/>
        <w:jc w:val="both"/>
        <w:rPr>
          <w:sz w:val="22"/>
          <w:szCs w:val="22"/>
        </w:rPr>
      </w:pPr>
      <w:r>
        <w:rPr>
          <w:sz w:val="22"/>
          <w:szCs w:val="22"/>
        </w:rPr>
        <w:lastRenderedPageBreak/>
        <w:t>Significant plastic content</w:t>
      </w:r>
    </w:p>
    <w:p w14:paraId="35D40CED" w14:textId="77777777" w:rsidR="00323527" w:rsidRDefault="00000000">
      <w:pPr>
        <w:pStyle w:val="whitespace-normal"/>
        <w:numPr>
          <w:ilvl w:val="0"/>
          <w:numId w:val="18"/>
        </w:numPr>
        <w:spacing w:line="360" w:lineRule="auto"/>
        <w:jc w:val="both"/>
        <w:rPr>
          <w:sz w:val="22"/>
          <w:szCs w:val="22"/>
        </w:rPr>
      </w:pPr>
      <w:r>
        <w:rPr>
          <w:sz w:val="22"/>
          <w:szCs w:val="22"/>
        </w:rPr>
        <w:t>Small Equipment (15%)</w:t>
      </w:r>
    </w:p>
    <w:p w14:paraId="23009DFE" w14:textId="77777777" w:rsidR="00323527" w:rsidRDefault="00000000">
      <w:pPr>
        <w:pStyle w:val="whitespace-normal"/>
        <w:numPr>
          <w:ilvl w:val="0"/>
          <w:numId w:val="19"/>
        </w:numPr>
        <w:spacing w:line="360" w:lineRule="auto"/>
        <w:jc w:val="both"/>
        <w:rPr>
          <w:sz w:val="22"/>
          <w:szCs w:val="22"/>
        </w:rPr>
      </w:pPr>
      <w:r>
        <w:rPr>
          <w:sz w:val="22"/>
          <w:szCs w:val="22"/>
        </w:rPr>
        <w:t>Vacuum cleaners, microwave ovens</w:t>
      </w:r>
    </w:p>
    <w:p w14:paraId="69B9CE18" w14:textId="77777777" w:rsidR="00323527" w:rsidRDefault="00000000">
      <w:pPr>
        <w:pStyle w:val="whitespace-normal"/>
        <w:numPr>
          <w:ilvl w:val="0"/>
          <w:numId w:val="19"/>
        </w:numPr>
        <w:spacing w:line="360" w:lineRule="auto"/>
        <w:jc w:val="both"/>
        <w:rPr>
          <w:sz w:val="22"/>
          <w:szCs w:val="22"/>
        </w:rPr>
      </w:pPr>
      <w:r>
        <w:rPr>
          <w:sz w:val="22"/>
          <w:szCs w:val="22"/>
        </w:rPr>
        <w:t>Mixed material composition</w:t>
      </w:r>
    </w:p>
    <w:p w14:paraId="18247119" w14:textId="77777777" w:rsidR="00323527" w:rsidRDefault="00000000">
      <w:pPr>
        <w:pStyle w:val="whitespace-normal"/>
        <w:numPr>
          <w:ilvl w:val="0"/>
          <w:numId w:val="19"/>
        </w:numPr>
        <w:spacing w:line="360" w:lineRule="auto"/>
        <w:jc w:val="both"/>
        <w:rPr>
          <w:sz w:val="22"/>
          <w:szCs w:val="22"/>
        </w:rPr>
      </w:pPr>
      <w:r>
        <w:rPr>
          <w:sz w:val="22"/>
          <w:szCs w:val="22"/>
        </w:rPr>
        <w:t>Challenging for recycling</w:t>
      </w:r>
    </w:p>
    <w:p w14:paraId="491381A8" w14:textId="77777777" w:rsidR="00323527" w:rsidRDefault="00000000">
      <w:pPr>
        <w:pStyle w:val="whitespace-normal"/>
        <w:numPr>
          <w:ilvl w:val="0"/>
          <w:numId w:val="20"/>
        </w:numPr>
        <w:spacing w:line="360" w:lineRule="auto"/>
        <w:jc w:val="both"/>
        <w:rPr>
          <w:sz w:val="22"/>
          <w:szCs w:val="22"/>
        </w:rPr>
      </w:pPr>
      <w:r>
        <w:rPr>
          <w:sz w:val="22"/>
          <w:szCs w:val="22"/>
        </w:rPr>
        <w:t>Small IT Equipment (9%)</w:t>
      </w:r>
    </w:p>
    <w:p w14:paraId="0C61DF01" w14:textId="77777777" w:rsidR="00323527" w:rsidRDefault="00000000">
      <w:pPr>
        <w:pStyle w:val="whitespace-normal"/>
        <w:numPr>
          <w:ilvl w:val="0"/>
          <w:numId w:val="21"/>
        </w:numPr>
        <w:spacing w:line="360" w:lineRule="auto"/>
        <w:jc w:val="both"/>
        <w:rPr>
          <w:sz w:val="22"/>
          <w:szCs w:val="22"/>
        </w:rPr>
      </w:pPr>
      <w:r>
        <w:rPr>
          <w:sz w:val="22"/>
          <w:szCs w:val="22"/>
        </w:rPr>
        <w:t>Smartphones, tablets, printers</w:t>
      </w:r>
    </w:p>
    <w:p w14:paraId="21B4DC18" w14:textId="77777777" w:rsidR="00323527" w:rsidRDefault="00000000">
      <w:pPr>
        <w:pStyle w:val="whitespace-normal"/>
        <w:numPr>
          <w:ilvl w:val="0"/>
          <w:numId w:val="21"/>
        </w:numPr>
        <w:spacing w:line="360" w:lineRule="auto"/>
        <w:jc w:val="both"/>
        <w:rPr>
          <w:sz w:val="22"/>
          <w:szCs w:val="22"/>
        </w:rPr>
      </w:pPr>
      <w:r>
        <w:rPr>
          <w:sz w:val="22"/>
          <w:szCs w:val="22"/>
        </w:rPr>
        <w:t>Contains precious metals</w:t>
      </w:r>
    </w:p>
    <w:p w14:paraId="326C3712" w14:textId="77777777" w:rsidR="00323527" w:rsidRDefault="00000000">
      <w:pPr>
        <w:pStyle w:val="whitespace-normal"/>
        <w:numPr>
          <w:ilvl w:val="0"/>
          <w:numId w:val="21"/>
        </w:numPr>
        <w:spacing w:line="360" w:lineRule="auto"/>
        <w:jc w:val="both"/>
        <w:rPr>
          <w:sz w:val="22"/>
          <w:szCs w:val="22"/>
        </w:rPr>
      </w:pPr>
      <w:r>
        <w:rPr>
          <w:sz w:val="22"/>
          <w:szCs w:val="22"/>
        </w:rPr>
        <w:t>High economic value for recovery</w:t>
      </w:r>
    </w:p>
    <w:p w14:paraId="7C8989C6" w14:textId="77777777" w:rsidR="00323527" w:rsidRDefault="00000000">
      <w:pPr>
        <w:pStyle w:val="whitespace-normal"/>
        <w:numPr>
          <w:ilvl w:val="0"/>
          <w:numId w:val="22"/>
        </w:numPr>
        <w:spacing w:line="360" w:lineRule="auto"/>
        <w:jc w:val="both"/>
        <w:rPr>
          <w:sz w:val="22"/>
          <w:szCs w:val="22"/>
        </w:rPr>
      </w:pPr>
      <w:r>
        <w:rPr>
          <w:sz w:val="22"/>
          <w:szCs w:val="22"/>
        </w:rPr>
        <w:t>Telecommunication Equipment (2%)</w:t>
      </w:r>
    </w:p>
    <w:p w14:paraId="437761C6" w14:textId="77777777" w:rsidR="00323527" w:rsidRDefault="00000000">
      <w:pPr>
        <w:pStyle w:val="whitespace-normal"/>
        <w:numPr>
          <w:ilvl w:val="0"/>
          <w:numId w:val="23"/>
        </w:numPr>
        <w:spacing w:line="360" w:lineRule="auto"/>
        <w:jc w:val="both"/>
        <w:rPr>
          <w:sz w:val="22"/>
          <w:szCs w:val="22"/>
        </w:rPr>
      </w:pPr>
      <w:r>
        <w:rPr>
          <w:sz w:val="22"/>
          <w:szCs w:val="22"/>
        </w:rPr>
        <w:t>Networking equipment</w:t>
      </w:r>
    </w:p>
    <w:p w14:paraId="55EEB1AF" w14:textId="77777777" w:rsidR="00323527" w:rsidRDefault="00000000">
      <w:pPr>
        <w:pStyle w:val="whitespace-normal"/>
        <w:numPr>
          <w:ilvl w:val="0"/>
          <w:numId w:val="23"/>
        </w:numPr>
        <w:spacing w:line="360" w:lineRule="auto"/>
        <w:jc w:val="both"/>
        <w:rPr>
          <w:sz w:val="22"/>
          <w:szCs w:val="22"/>
        </w:rPr>
      </w:pPr>
      <w:r>
        <w:rPr>
          <w:sz w:val="22"/>
          <w:szCs w:val="22"/>
        </w:rPr>
        <w:t>High concentration of rare earth elements</w:t>
      </w:r>
    </w:p>
    <w:p w14:paraId="41236EBA" w14:textId="77777777" w:rsidR="00323527" w:rsidRDefault="00000000">
      <w:pPr>
        <w:pStyle w:val="whitespace-normal"/>
        <w:numPr>
          <w:ilvl w:val="0"/>
          <w:numId w:val="23"/>
        </w:numPr>
        <w:spacing w:line="360" w:lineRule="auto"/>
        <w:jc w:val="both"/>
        <w:rPr>
          <w:sz w:val="22"/>
          <w:szCs w:val="22"/>
        </w:rPr>
      </w:pPr>
      <w:r>
        <w:rPr>
          <w:sz w:val="22"/>
          <w:szCs w:val="22"/>
        </w:rPr>
        <w:t>Complex material composition</w:t>
      </w:r>
    </w:p>
    <w:p w14:paraId="075B9B7B" w14:textId="77777777" w:rsidR="00323527" w:rsidRDefault="00323527">
      <w:pPr>
        <w:pStyle w:val="whitespace-normal"/>
        <w:spacing w:line="360" w:lineRule="auto"/>
        <w:jc w:val="both"/>
        <w:rPr>
          <w:sz w:val="22"/>
          <w:szCs w:val="22"/>
        </w:rPr>
      </w:pPr>
    </w:p>
    <w:p w14:paraId="60688337" w14:textId="77777777" w:rsidR="00323527" w:rsidRDefault="00000000">
      <w:pPr>
        <w:pStyle w:val="whitespace-normal"/>
        <w:spacing w:line="360" w:lineRule="auto"/>
        <w:ind w:left="720"/>
        <w:jc w:val="both"/>
        <w:rPr>
          <w:sz w:val="22"/>
          <w:szCs w:val="22"/>
        </w:rPr>
      </w:pPr>
      <w:r>
        <w:rPr>
          <w:noProof/>
          <w:sz w:val="22"/>
          <w:szCs w:val="22"/>
        </w:rPr>
        <w:drawing>
          <wp:inline distT="0" distB="0" distL="0" distR="0" wp14:anchorId="21D619F7" wp14:editId="2DAEE502">
            <wp:extent cx="4961255" cy="3409315"/>
            <wp:effectExtent l="0" t="0" r="698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92115" cy="3409315"/>
                    </a:xfrm>
                    <a:prstGeom prst="rect">
                      <a:avLst/>
                    </a:prstGeom>
                  </pic:spPr>
                </pic:pic>
              </a:graphicData>
            </a:graphic>
          </wp:inline>
        </w:drawing>
      </w:r>
    </w:p>
    <w:p w14:paraId="247EC467" w14:textId="77777777" w:rsidR="00323527" w:rsidRDefault="00000000">
      <w:pPr>
        <w:pStyle w:val="whitespace-normal"/>
        <w:spacing w:line="360" w:lineRule="auto"/>
        <w:ind w:left="720"/>
        <w:jc w:val="both"/>
        <w:rPr>
          <w:i/>
          <w:iCs/>
          <w:sz w:val="22"/>
          <w:szCs w:val="22"/>
          <w:lang w:val="en-GB"/>
        </w:rPr>
      </w:pPr>
      <w:r>
        <w:rPr>
          <w:i/>
          <w:iCs/>
          <w:sz w:val="22"/>
          <w:szCs w:val="22"/>
        </w:rPr>
        <w:lastRenderedPageBreak/>
        <w:t xml:space="preserve">Fig 1: </w:t>
      </w:r>
      <w:r>
        <w:rPr>
          <w:i/>
          <w:iCs/>
          <w:sz w:val="22"/>
          <w:szCs w:val="22"/>
          <w:lang w:val="en-GB"/>
        </w:rPr>
        <w:t xml:space="preserve">Shows </w:t>
      </w:r>
      <w:r>
        <w:rPr>
          <w:i/>
          <w:iCs/>
          <w:sz w:val="22"/>
          <w:szCs w:val="22"/>
        </w:rPr>
        <w:t>the types of E-waste</w:t>
      </w:r>
      <w:r>
        <w:rPr>
          <w:i/>
          <w:iCs/>
          <w:sz w:val="22"/>
          <w:szCs w:val="22"/>
          <w:lang w:val="en-GB"/>
        </w:rPr>
        <w:t xml:space="preserve"> (Ahad, 2025)</w:t>
      </w:r>
    </w:p>
    <w:p w14:paraId="2E415AB7" w14:textId="77777777" w:rsidR="00323527" w:rsidRDefault="00000000">
      <w:pPr>
        <w:pStyle w:val="whitespace-pre-wrap"/>
        <w:spacing w:line="360" w:lineRule="auto"/>
        <w:jc w:val="both"/>
        <w:rPr>
          <w:sz w:val="22"/>
          <w:szCs w:val="22"/>
        </w:rPr>
      </w:pPr>
      <w:r>
        <w:rPr>
          <w:b/>
          <w:bCs/>
          <w:sz w:val="22"/>
          <w:szCs w:val="22"/>
        </w:rPr>
        <w:t>Material Composition Analysis:</w:t>
      </w:r>
      <w:r>
        <w:rPr>
          <w:sz w:val="22"/>
          <w:szCs w:val="22"/>
        </w:rPr>
        <w:t xml:space="preserve"> Recent studies by Wang et al. (2023) reveal the following composition:</w:t>
      </w:r>
    </w:p>
    <w:p w14:paraId="1C41FA45" w14:textId="77777777" w:rsidR="00323527" w:rsidRDefault="00000000">
      <w:pPr>
        <w:pStyle w:val="whitespace-normal"/>
        <w:numPr>
          <w:ilvl w:val="0"/>
          <w:numId w:val="24"/>
        </w:numPr>
        <w:spacing w:line="360" w:lineRule="auto"/>
        <w:jc w:val="both"/>
        <w:rPr>
          <w:sz w:val="22"/>
          <w:szCs w:val="22"/>
        </w:rPr>
      </w:pPr>
      <w:r>
        <w:rPr>
          <w:sz w:val="22"/>
          <w:szCs w:val="22"/>
        </w:rPr>
        <w:t xml:space="preserve">Metals (45-48%) </w:t>
      </w:r>
    </w:p>
    <w:p w14:paraId="2A2AF01A" w14:textId="77777777" w:rsidR="00323527" w:rsidRDefault="00000000">
      <w:pPr>
        <w:pStyle w:val="whitespace-normal"/>
        <w:numPr>
          <w:ilvl w:val="1"/>
          <w:numId w:val="24"/>
        </w:numPr>
        <w:spacing w:line="360" w:lineRule="auto"/>
        <w:jc w:val="both"/>
        <w:rPr>
          <w:sz w:val="22"/>
          <w:szCs w:val="22"/>
        </w:rPr>
      </w:pPr>
      <w:r>
        <w:rPr>
          <w:sz w:val="22"/>
          <w:szCs w:val="22"/>
        </w:rPr>
        <w:t>Iron/Steel (38%)</w:t>
      </w:r>
    </w:p>
    <w:p w14:paraId="4C49D06A" w14:textId="77777777" w:rsidR="00323527" w:rsidRDefault="00000000">
      <w:pPr>
        <w:pStyle w:val="whitespace-normal"/>
        <w:numPr>
          <w:ilvl w:val="1"/>
          <w:numId w:val="24"/>
        </w:numPr>
        <w:spacing w:line="360" w:lineRule="auto"/>
        <w:jc w:val="both"/>
        <w:rPr>
          <w:sz w:val="22"/>
          <w:szCs w:val="22"/>
        </w:rPr>
      </w:pPr>
      <w:r>
        <w:rPr>
          <w:sz w:val="22"/>
          <w:szCs w:val="22"/>
        </w:rPr>
        <w:t>Copper (4%)</w:t>
      </w:r>
    </w:p>
    <w:p w14:paraId="46CD4A79" w14:textId="77777777" w:rsidR="00323527" w:rsidRDefault="00000000">
      <w:pPr>
        <w:pStyle w:val="whitespace-normal"/>
        <w:numPr>
          <w:ilvl w:val="1"/>
          <w:numId w:val="24"/>
        </w:numPr>
        <w:spacing w:line="360" w:lineRule="auto"/>
        <w:jc w:val="both"/>
        <w:rPr>
          <w:sz w:val="22"/>
          <w:szCs w:val="22"/>
        </w:rPr>
      </w:pPr>
      <w:r>
        <w:rPr>
          <w:sz w:val="22"/>
          <w:szCs w:val="22"/>
        </w:rPr>
        <w:t>Aluminum (2%)</w:t>
      </w:r>
    </w:p>
    <w:p w14:paraId="4CAEE73D" w14:textId="77777777" w:rsidR="00323527" w:rsidRDefault="00000000">
      <w:pPr>
        <w:pStyle w:val="whitespace-normal"/>
        <w:numPr>
          <w:ilvl w:val="1"/>
          <w:numId w:val="24"/>
        </w:numPr>
        <w:spacing w:line="360" w:lineRule="auto"/>
        <w:jc w:val="both"/>
        <w:rPr>
          <w:sz w:val="22"/>
          <w:szCs w:val="22"/>
        </w:rPr>
      </w:pPr>
      <w:r>
        <w:rPr>
          <w:sz w:val="22"/>
          <w:szCs w:val="22"/>
        </w:rPr>
        <w:t>Precious metals (0.1-0.3%)</w:t>
      </w:r>
    </w:p>
    <w:p w14:paraId="6CE9DC7C" w14:textId="77777777" w:rsidR="00323527" w:rsidRDefault="00000000">
      <w:pPr>
        <w:pStyle w:val="whitespace-normal"/>
        <w:numPr>
          <w:ilvl w:val="0"/>
          <w:numId w:val="24"/>
        </w:numPr>
        <w:spacing w:line="360" w:lineRule="auto"/>
        <w:jc w:val="both"/>
        <w:rPr>
          <w:sz w:val="22"/>
          <w:szCs w:val="22"/>
        </w:rPr>
      </w:pPr>
      <w:r>
        <w:rPr>
          <w:sz w:val="22"/>
          <w:szCs w:val="22"/>
        </w:rPr>
        <w:t xml:space="preserve">Plastics (21-23%) </w:t>
      </w:r>
    </w:p>
    <w:p w14:paraId="62BC6C44" w14:textId="77777777" w:rsidR="00323527" w:rsidRDefault="00000000">
      <w:pPr>
        <w:pStyle w:val="whitespace-normal"/>
        <w:numPr>
          <w:ilvl w:val="1"/>
          <w:numId w:val="24"/>
        </w:numPr>
        <w:spacing w:line="360" w:lineRule="auto"/>
        <w:jc w:val="both"/>
        <w:rPr>
          <w:sz w:val="22"/>
          <w:szCs w:val="22"/>
        </w:rPr>
      </w:pPr>
      <w:r>
        <w:rPr>
          <w:sz w:val="22"/>
          <w:szCs w:val="22"/>
        </w:rPr>
        <w:t>Various polymers</w:t>
      </w:r>
    </w:p>
    <w:p w14:paraId="71926A35" w14:textId="77777777" w:rsidR="00323527" w:rsidRDefault="00000000">
      <w:pPr>
        <w:pStyle w:val="whitespace-normal"/>
        <w:numPr>
          <w:ilvl w:val="1"/>
          <w:numId w:val="24"/>
        </w:numPr>
        <w:spacing w:line="360" w:lineRule="auto"/>
        <w:jc w:val="both"/>
        <w:rPr>
          <w:sz w:val="22"/>
          <w:szCs w:val="22"/>
        </w:rPr>
      </w:pPr>
      <w:r>
        <w:rPr>
          <w:sz w:val="22"/>
          <w:szCs w:val="22"/>
        </w:rPr>
        <w:t>Often containing flame retardants</w:t>
      </w:r>
    </w:p>
    <w:p w14:paraId="1901569D" w14:textId="77777777" w:rsidR="00323527" w:rsidRDefault="00000000">
      <w:pPr>
        <w:pStyle w:val="whitespace-normal"/>
        <w:numPr>
          <w:ilvl w:val="0"/>
          <w:numId w:val="24"/>
        </w:numPr>
        <w:spacing w:line="360" w:lineRule="auto"/>
        <w:jc w:val="both"/>
        <w:rPr>
          <w:sz w:val="22"/>
          <w:szCs w:val="22"/>
        </w:rPr>
      </w:pPr>
      <w:r>
        <w:rPr>
          <w:sz w:val="22"/>
          <w:szCs w:val="22"/>
        </w:rPr>
        <w:t xml:space="preserve">Critical Raw Materials (0.1%) </w:t>
      </w:r>
    </w:p>
    <w:p w14:paraId="6364731D" w14:textId="77777777" w:rsidR="00323527" w:rsidRDefault="00000000">
      <w:pPr>
        <w:pStyle w:val="whitespace-normal"/>
        <w:numPr>
          <w:ilvl w:val="1"/>
          <w:numId w:val="24"/>
        </w:numPr>
        <w:spacing w:line="360" w:lineRule="auto"/>
        <w:jc w:val="both"/>
        <w:rPr>
          <w:sz w:val="22"/>
          <w:szCs w:val="22"/>
        </w:rPr>
      </w:pPr>
      <w:r>
        <w:rPr>
          <w:sz w:val="22"/>
          <w:szCs w:val="22"/>
        </w:rPr>
        <w:t>Rare earth elements</w:t>
      </w:r>
    </w:p>
    <w:p w14:paraId="1FA11493" w14:textId="77777777" w:rsidR="00323527" w:rsidRDefault="00000000">
      <w:pPr>
        <w:pStyle w:val="whitespace-normal"/>
        <w:numPr>
          <w:ilvl w:val="1"/>
          <w:numId w:val="24"/>
        </w:numPr>
        <w:spacing w:line="360" w:lineRule="auto"/>
        <w:jc w:val="both"/>
        <w:rPr>
          <w:sz w:val="22"/>
          <w:szCs w:val="22"/>
        </w:rPr>
      </w:pPr>
      <w:r>
        <w:rPr>
          <w:sz w:val="22"/>
          <w:szCs w:val="22"/>
        </w:rPr>
        <w:t>Indium</w:t>
      </w:r>
    </w:p>
    <w:p w14:paraId="019F1A9B" w14:textId="77777777" w:rsidR="00323527" w:rsidRDefault="00000000">
      <w:pPr>
        <w:pStyle w:val="whitespace-normal"/>
        <w:numPr>
          <w:ilvl w:val="1"/>
          <w:numId w:val="24"/>
        </w:numPr>
        <w:spacing w:line="360" w:lineRule="auto"/>
        <w:jc w:val="both"/>
        <w:rPr>
          <w:sz w:val="22"/>
          <w:szCs w:val="22"/>
        </w:rPr>
      </w:pPr>
      <w:r>
        <w:rPr>
          <w:sz w:val="22"/>
          <w:szCs w:val="22"/>
        </w:rPr>
        <w:t>Cobalt</w:t>
      </w:r>
    </w:p>
    <w:p w14:paraId="4FCC5F8F" w14:textId="77777777" w:rsidR="00323527" w:rsidRDefault="00000000">
      <w:pPr>
        <w:pStyle w:val="whitespace-normal"/>
        <w:numPr>
          <w:ilvl w:val="0"/>
          <w:numId w:val="24"/>
        </w:numPr>
        <w:spacing w:line="360" w:lineRule="auto"/>
        <w:jc w:val="both"/>
        <w:rPr>
          <w:sz w:val="22"/>
          <w:szCs w:val="22"/>
        </w:rPr>
      </w:pPr>
      <w:r>
        <w:rPr>
          <w:sz w:val="22"/>
          <w:szCs w:val="22"/>
        </w:rPr>
        <w:t xml:space="preserve">Hazardous Materials (2-3%) </w:t>
      </w:r>
    </w:p>
    <w:p w14:paraId="6E7AD414" w14:textId="77777777" w:rsidR="00323527" w:rsidRDefault="00000000">
      <w:pPr>
        <w:pStyle w:val="whitespace-normal"/>
        <w:numPr>
          <w:ilvl w:val="1"/>
          <w:numId w:val="24"/>
        </w:numPr>
        <w:spacing w:line="360" w:lineRule="auto"/>
        <w:jc w:val="both"/>
        <w:rPr>
          <w:sz w:val="22"/>
          <w:szCs w:val="22"/>
        </w:rPr>
      </w:pPr>
      <w:r>
        <w:rPr>
          <w:sz w:val="22"/>
          <w:szCs w:val="22"/>
        </w:rPr>
        <w:t>Lead</w:t>
      </w:r>
    </w:p>
    <w:p w14:paraId="7926F47B" w14:textId="77777777" w:rsidR="00323527" w:rsidRDefault="00000000">
      <w:pPr>
        <w:pStyle w:val="whitespace-normal"/>
        <w:numPr>
          <w:ilvl w:val="1"/>
          <w:numId w:val="24"/>
        </w:numPr>
        <w:spacing w:line="360" w:lineRule="auto"/>
        <w:jc w:val="both"/>
        <w:rPr>
          <w:sz w:val="22"/>
          <w:szCs w:val="22"/>
        </w:rPr>
      </w:pPr>
      <w:r>
        <w:rPr>
          <w:sz w:val="22"/>
          <w:szCs w:val="22"/>
        </w:rPr>
        <w:t>Mercury</w:t>
      </w:r>
    </w:p>
    <w:p w14:paraId="667DFE34" w14:textId="77777777" w:rsidR="00323527" w:rsidRDefault="00000000">
      <w:pPr>
        <w:pStyle w:val="whitespace-normal"/>
        <w:numPr>
          <w:ilvl w:val="1"/>
          <w:numId w:val="24"/>
        </w:numPr>
        <w:spacing w:line="360" w:lineRule="auto"/>
        <w:jc w:val="both"/>
        <w:rPr>
          <w:sz w:val="22"/>
          <w:szCs w:val="22"/>
        </w:rPr>
      </w:pPr>
      <w:r>
        <w:rPr>
          <w:sz w:val="22"/>
          <w:szCs w:val="22"/>
        </w:rPr>
        <w:t>Cadmium</w:t>
      </w:r>
    </w:p>
    <w:p w14:paraId="0A8E03E9" w14:textId="77777777" w:rsidR="00323527" w:rsidRDefault="00000000">
      <w:pPr>
        <w:pStyle w:val="whitespace-normal"/>
        <w:numPr>
          <w:ilvl w:val="1"/>
          <w:numId w:val="24"/>
        </w:numPr>
        <w:spacing w:line="360" w:lineRule="auto"/>
        <w:jc w:val="both"/>
        <w:rPr>
          <w:sz w:val="22"/>
          <w:szCs w:val="22"/>
        </w:rPr>
      </w:pPr>
      <w:r>
        <w:rPr>
          <w:sz w:val="22"/>
          <w:szCs w:val="22"/>
        </w:rPr>
        <w:t>Brominated flame retardants</w:t>
      </w:r>
    </w:p>
    <w:p w14:paraId="0538AE28" w14:textId="77777777" w:rsidR="00323527" w:rsidRDefault="00000000">
      <w:pPr>
        <w:pStyle w:val="whitespace-pre-wrap"/>
        <w:spacing w:line="360" w:lineRule="auto"/>
        <w:jc w:val="both"/>
        <w:rPr>
          <w:sz w:val="22"/>
          <w:szCs w:val="22"/>
        </w:rPr>
      </w:pPr>
      <w:r>
        <w:rPr>
          <w:sz w:val="22"/>
          <w:szCs w:val="22"/>
        </w:rPr>
        <w:t>The economic value of these materials is significant, with Thompson and Garcia (2023) estimating the value of raw materials in global e-waste at approximately USD 62.5 billion annually. However, current recovery rates remain low, with only 17.4% of e-waste being formally collected and recycled (UNEP, 2023).</w:t>
      </w:r>
    </w:p>
    <w:p w14:paraId="6A7DE3F5" w14:textId="77777777" w:rsidR="00323527" w:rsidRDefault="00000000">
      <w:pPr>
        <w:spacing w:line="360" w:lineRule="auto"/>
        <w:jc w:val="both"/>
        <w:rPr>
          <w:rFonts w:ascii="Times New Roman" w:hAnsi="Times New Roman" w:cs="Times New Roman"/>
          <w:b/>
          <w:bCs/>
        </w:rPr>
      </w:pPr>
      <w:r>
        <w:rPr>
          <w:rFonts w:ascii="Times New Roman" w:hAnsi="Times New Roman" w:cs="Times New Roman"/>
          <w:b/>
          <w:bCs/>
        </w:rPr>
        <w:t>Results And Discussion</w:t>
      </w:r>
    </w:p>
    <w:p w14:paraId="7A9F2D61" w14:textId="77777777" w:rsidR="00323527" w:rsidRDefault="00000000">
      <w:pPr>
        <w:numPr>
          <w:ilvl w:val="0"/>
          <w:numId w:val="25"/>
        </w:numPr>
        <w:spacing w:line="360" w:lineRule="auto"/>
        <w:jc w:val="both"/>
        <w:rPr>
          <w:rFonts w:ascii="Times New Roman" w:hAnsi="Times New Roman" w:cs="Times New Roman"/>
          <w:b/>
          <w:bCs/>
        </w:rPr>
      </w:pPr>
      <w:r>
        <w:rPr>
          <w:rFonts w:ascii="Times New Roman" w:hAnsi="Times New Roman" w:cs="Times New Roman"/>
          <w:b/>
          <w:bCs/>
        </w:rPr>
        <w:t>Environmental Impacts:</w:t>
      </w:r>
    </w:p>
    <w:p w14:paraId="479CDA59" w14:textId="77777777" w:rsidR="00323527" w:rsidRDefault="00000000">
      <w:pPr>
        <w:pStyle w:val="Heading2"/>
        <w:spacing w:line="360" w:lineRule="auto"/>
        <w:jc w:val="both"/>
        <w:rPr>
          <w:rFonts w:ascii="Times New Roman" w:eastAsia="Times New Roman" w:hAnsi="Times New Roman" w:cs="Times New Roman"/>
          <w:sz w:val="22"/>
          <w:szCs w:val="22"/>
        </w:rPr>
      </w:pPr>
      <w:r>
        <w:rPr>
          <w:rFonts w:ascii="Times New Roman" w:hAnsi="Times New Roman" w:cs="Times New Roman"/>
          <w:b/>
          <w:bCs/>
          <w:color w:val="auto"/>
          <w:sz w:val="22"/>
          <w:szCs w:val="22"/>
        </w:rPr>
        <w:lastRenderedPageBreak/>
        <w:t xml:space="preserve">A). Soil: </w:t>
      </w:r>
      <w:r>
        <w:rPr>
          <w:rFonts w:ascii="Times New Roman" w:eastAsia="Times New Roman" w:hAnsi="Times New Roman" w:cs="Times New Roman"/>
          <w:color w:val="000000" w:themeColor="text1"/>
          <w:sz w:val="22"/>
          <w:szCs w:val="22"/>
        </w:rPr>
        <w:t>The contamination of soil by electronic waste represents a critical environmental concern, primarily characterized by the accumulation of heavy metals and persistent organic pollutants (POPs) in e-waste processing zones. Recent studies have documented alarming concentrations of key contaminants, including lead (2,400 mg/kg), cadmium (160 mg/kg), mercury (1.2 mg/kg), and chromium (1,500 mg/kg) in recycling sites and informal processing areas (Wang et al., 2023; Li &amp; Thompson, 2023). These contamination levels significantly exceed natural background concentrations and environmental safety thresholds.</w:t>
      </w:r>
    </w:p>
    <w:p w14:paraId="677168C3"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The impact manifests in two principal ways: First, through severe soil acidification, where pH levels drop from 6.8 to 4.2, significantly affecting nutrient availability and soil chemistry (Chen et al., 2023). Second, through the disruption of soil microbial communities, evidenced by a 60% reduction in microbial biomass, altered enzymatic activities, and compromised organic matter decomposition processes (Garcia-Lopez et al., 2023). These changes fundamentally alter soil ecosystem functions and potentially impact agricultural productivity in affected areas.</w:t>
      </w:r>
    </w:p>
    <w:p w14:paraId="04CCF848" w14:textId="77777777" w:rsidR="00323527" w:rsidRDefault="0000000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994541F" wp14:editId="3A6BED4C">
            <wp:extent cx="4883785" cy="2948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clrChange>
                        <a:clrFrom>
                          <a:srgbClr val="F5F5F5"/>
                        </a:clrFrom>
                        <a:clrTo>
                          <a:srgbClr val="F5F5F5">
                            <a:alpha val="0"/>
                          </a:srgbClr>
                        </a:clrTo>
                      </a:clrChange>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t="6747"/>
                    <a:stretch>
                      <a:fillRect/>
                    </a:stretch>
                  </pic:blipFill>
                  <pic:spPr>
                    <a:xfrm>
                      <a:off x="0" y="0"/>
                      <a:ext cx="4893426" cy="2948940"/>
                    </a:xfrm>
                    <a:prstGeom prst="rect">
                      <a:avLst/>
                    </a:prstGeom>
                  </pic:spPr>
                </pic:pic>
              </a:graphicData>
            </a:graphic>
          </wp:inline>
        </w:drawing>
      </w:r>
    </w:p>
    <w:p w14:paraId="465D83CD" w14:textId="77777777" w:rsidR="00323527" w:rsidRDefault="00000000">
      <w:pPr>
        <w:spacing w:before="100" w:beforeAutospacing="1" w:after="100" w:afterAutospacing="1" w:line="360" w:lineRule="auto"/>
        <w:rPr>
          <w:rFonts w:ascii="Times New Roman" w:eastAsia="Times New Roman" w:hAnsi="Times New Roman" w:cs="Times New Roman"/>
          <w:i/>
          <w:iCs/>
        </w:rPr>
      </w:pPr>
      <w:r>
        <w:rPr>
          <w:rFonts w:ascii="Times New Roman" w:eastAsia="Times New Roman" w:hAnsi="Times New Roman" w:cs="Times New Roman"/>
          <w:i/>
          <w:iCs/>
        </w:rPr>
        <w:t>Fig 2: General visualization of soil impact pathways</w:t>
      </w:r>
    </w:p>
    <w:p w14:paraId="0C96184E" w14:textId="77777777" w:rsidR="00323527" w:rsidRDefault="00000000">
      <w:pPr>
        <w:spacing w:before="100" w:beforeAutospacing="1" w:after="100" w:afterAutospacing="1" w:line="360" w:lineRule="auto"/>
        <w:rPr>
          <w:rFonts w:ascii="Times New Roman" w:eastAsia="Times New Roman" w:hAnsi="Times New Roman" w:cs="Times New Roman"/>
        </w:rPr>
      </w:pPr>
      <w:r>
        <w:rPr>
          <w:rFonts w:ascii="Times New Roman" w:eastAsia="Times New Roman" w:hAnsi="Times New Roman" w:cs="Times New Roman"/>
          <w:b/>
          <w:bCs/>
        </w:rPr>
        <w:t>B). Water</w:t>
      </w:r>
      <w:r>
        <w:rPr>
          <w:rFonts w:ascii="Times New Roman" w:eastAsia="Times New Roman" w:hAnsi="Times New Roman" w:cs="Times New Roman"/>
          <w:b/>
          <w:bCs/>
          <w:lang w:val="en-GB"/>
        </w:rPr>
        <w:t xml:space="preserve">: </w:t>
      </w:r>
      <w:r>
        <w:rPr>
          <w:rFonts w:ascii="Times New Roman" w:eastAsia="Times New Roman" w:hAnsi="Times New Roman" w:cs="Times New Roman"/>
        </w:rPr>
        <w:t>E-waste contamination severely degrades water quality through heavy metals and toxic chemicals leaching. In Guiyu, China, the world's former largest e-waste site, groundwater showed lead levels 2,400 times above WHO limits (Wong et al., 2019). Local rivers were declared biologically dead by 2014, with drinking water contamination extending 5km from disposal sites.</w:t>
      </w:r>
    </w:p>
    <w:p w14:paraId="752F3117"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Ghana's Agbogbloshie site presents another critical case. The Korle Lagoon contains cadmium at 0.467 mg/L, far exceeding WHO's 0.003 mg/L limit (Daum et al., 2021). Marine life extinction has been documented in adjacent waters, while 89% of local water sources are contaminated beyond safe use.</w:t>
      </w:r>
    </w:p>
    <w:p w14:paraId="2E7B2782"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In Delhi, India, e-waste disposal along the Yamuna River increased heavy metal concentrations by 150%, with PCB levels seven times above safety standards (Kumar et al., 2022). Groundwater testing revealed contamination spread up to 3km from dump sites, affecting agricultural irrigation and drinking water.</w:t>
      </w:r>
    </w:p>
    <w:p w14:paraId="45A76C49"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The economic toll is substantial. The World Bank (2023) estimates annual costs: $3.2 billion for water treatment, $2.1 billion in agricultural losses, and $4.3 billion in related healthcare expenses.</w:t>
      </w:r>
    </w:p>
    <w:p w14:paraId="42F1FFFD" w14:textId="77777777" w:rsidR="00323527" w:rsidRDefault="00000000">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597B53C0" wp14:editId="6B48D01A">
            <wp:extent cx="5687060" cy="2658110"/>
            <wp:effectExtent l="0" t="0" r="1270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687219" cy="2658110"/>
                    </a:xfrm>
                    <a:prstGeom prst="rect">
                      <a:avLst/>
                    </a:prstGeom>
                  </pic:spPr>
                </pic:pic>
              </a:graphicData>
            </a:graphic>
          </wp:inline>
        </w:drawing>
      </w:r>
    </w:p>
    <w:p w14:paraId="58F67416" w14:textId="77777777" w:rsidR="00323527" w:rsidRDefault="00000000">
      <w:pPr>
        <w:spacing w:line="360" w:lineRule="auto"/>
        <w:jc w:val="both"/>
        <w:rPr>
          <w:rFonts w:ascii="Times New Roman" w:hAnsi="Times New Roman" w:cs="Times New Roman"/>
          <w:i/>
          <w:iCs/>
        </w:rPr>
      </w:pPr>
      <w:r>
        <w:rPr>
          <w:rFonts w:ascii="Times New Roman" w:hAnsi="Times New Roman" w:cs="Times New Roman"/>
          <w:i/>
          <w:iCs/>
        </w:rPr>
        <w:t xml:space="preserve">     Fig </w:t>
      </w:r>
      <w:r>
        <w:rPr>
          <w:rFonts w:ascii="Times New Roman" w:hAnsi="Times New Roman" w:cs="Times New Roman"/>
          <w:i/>
          <w:iCs/>
          <w:lang w:val="en-GB"/>
        </w:rPr>
        <w:t>3</w:t>
      </w:r>
      <w:r>
        <w:rPr>
          <w:rFonts w:ascii="Times New Roman" w:hAnsi="Times New Roman" w:cs="Times New Roman"/>
          <w:i/>
          <w:iCs/>
        </w:rPr>
        <w:t>: E-waste water pollution impact sites</w:t>
      </w:r>
    </w:p>
    <w:p w14:paraId="01D04E68"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This visualization includes:</w:t>
      </w:r>
    </w:p>
    <w:p w14:paraId="2F5C9A2A" w14:textId="77777777" w:rsidR="00323527" w:rsidRDefault="00000000">
      <w:pPr>
        <w:numPr>
          <w:ilvl w:val="0"/>
          <w:numId w:val="26"/>
        </w:num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Precise contamination levels from each site</w:t>
      </w:r>
    </w:p>
    <w:p w14:paraId="0E930173" w14:textId="77777777" w:rsidR="00323527" w:rsidRDefault="00000000">
      <w:pPr>
        <w:numPr>
          <w:ilvl w:val="0"/>
          <w:numId w:val="26"/>
        </w:num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WHO standard measurements for comparison</w:t>
      </w:r>
    </w:p>
    <w:p w14:paraId="38AB4822" w14:textId="77777777" w:rsidR="00323527" w:rsidRDefault="00000000">
      <w:pPr>
        <w:numPr>
          <w:ilvl w:val="0"/>
          <w:numId w:val="26"/>
        </w:num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Contamination spread scale</w:t>
      </w:r>
    </w:p>
    <w:p w14:paraId="1DFB1267" w14:textId="77777777" w:rsidR="00323527" w:rsidRDefault="00000000">
      <w:pPr>
        <w:numPr>
          <w:ilvl w:val="0"/>
          <w:numId w:val="26"/>
        </w:num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Clear sourcing for all data points</w:t>
      </w:r>
    </w:p>
    <w:p w14:paraId="43FDA8EC"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The data is drawn from peer-reviewed studies including Wong et al. (2019), Daum et al. (2021), and Kumar et al. (2022), with WHO standards as baseline references.</w:t>
      </w:r>
    </w:p>
    <w:p w14:paraId="754645B7" w14:textId="77777777" w:rsidR="00323527" w:rsidRDefault="00000000">
      <w:pPr>
        <w:pStyle w:val="whitespace-pre-wrap"/>
        <w:spacing w:line="360" w:lineRule="auto"/>
        <w:jc w:val="both"/>
        <w:rPr>
          <w:sz w:val="22"/>
          <w:szCs w:val="22"/>
        </w:rPr>
      </w:pPr>
      <w:r>
        <w:rPr>
          <w:b/>
          <w:bCs/>
          <w:sz w:val="22"/>
          <w:szCs w:val="22"/>
        </w:rPr>
        <w:lastRenderedPageBreak/>
        <w:t>C). Air</w:t>
      </w:r>
      <w:r>
        <w:rPr>
          <w:b/>
          <w:bCs/>
          <w:sz w:val="22"/>
          <w:szCs w:val="22"/>
          <w:lang w:val="en-GB"/>
        </w:rPr>
        <w:t xml:space="preserve">: </w:t>
      </w:r>
      <w:r>
        <w:rPr>
          <w:sz w:val="22"/>
          <w:szCs w:val="22"/>
        </w:rPr>
        <w:t xml:space="preserve">The burning and informal processing of electronic waste has emerged as a significant contributor to global air pollution, with particularly severe impacts documented in developing nations where open burning remains a common practice. According to the United Nations Environmental </w:t>
      </w:r>
      <w:proofErr w:type="spellStart"/>
      <w:r>
        <w:rPr>
          <w:sz w:val="22"/>
          <w:szCs w:val="22"/>
        </w:rPr>
        <w:t>Programme's</w:t>
      </w:r>
      <w:proofErr w:type="spellEnd"/>
      <w:r>
        <w:rPr>
          <w:sz w:val="22"/>
          <w:szCs w:val="22"/>
        </w:rPr>
        <w:t xml:space="preserve"> 2023 report, approximately 40% of e-waste globally undergoes informal processing, primarily through burning, releasing a toxic cocktail of pollutants into the atmosphere. Recent studies conducted in Agbogbloshie, Ghana (Rahman et al., 2020) revealed ambient air concentrations of dioxins and furans exceeding WHO guidelines by up to 100 times, while airborne lead concentrations reached 12.2 µg/m³ - more than eight times the WHO safety threshold of 1.5 µg/m³. The informal burning of circuit boards, cables, and plastic components releases persistent organic pollutants (POPs), including polychlorinated biphenyls (PCBs), polybrominated diphenyl ethers (PBDEs), and polyaromatic hydrocarbons (PAHs). A comprehensive study in Guiyu, China, published in Environmental Science &amp; Technology (Chen et al., 2021), documented PAH concentrations in ambient air reaching 102.5 ng/m³, significantly higher than urban industrial areas, while blood samples from local residents showed elevated levels of flame retardants and heavy metals, directly correlating with air pollution from e-waste processing activities. Particulate matter emissions from e-waste burning also exacerbate respiratory health issues. Fine particles (PM2.5 and PM10) can penetrate deep into the respiratory system, causing inflammation, asthma exacerbations, and increased risk of cardiovascular diseases (WHO, 2022). Studies in Delhi, India, where open burning of e-waste is prevalent, have reported a 30% increase in respiratory hospital admissions during peak burning seasons (CPCB, 2023). Beyond the direct emissions from burning, the resuspension of contaminated soil particles further contributes to air pollution. Wind erosion and human activities can mobilize soil particles containing heavy metals and POPs, leading to secondary exposure pathways. A study in an e-waste recycling zone found that the inhalation of resuspended particles accounted for up to 40% of total daily lead exposure among children living near the site (ATSDR, 2021). Addressing air pollution from e-waste requires a multifaceted approach. Implementing stricter regulations on open burning, promoting the adoption of cleaner recycling technologies, and establishing comprehensive air quality monitoring programs are essential steps. Additionally, community awareness campaigns and education initiatives can help reduce the practice of informal burning and promote safer e-waste handling practices.</w:t>
      </w:r>
    </w:p>
    <w:p w14:paraId="23ED7179" w14:textId="77777777" w:rsidR="00323527" w:rsidRDefault="00000000">
      <w:pPr>
        <w:pStyle w:val="whitespace-pre-wrap"/>
        <w:spacing w:line="360" w:lineRule="auto"/>
        <w:jc w:val="both"/>
        <w:rPr>
          <w:sz w:val="22"/>
          <w:szCs w:val="22"/>
        </w:rPr>
      </w:pPr>
      <w:r>
        <w:rPr>
          <w:noProof/>
          <w:sz w:val="22"/>
          <w:szCs w:val="22"/>
        </w:rPr>
        <w:lastRenderedPageBreak/>
        <w:drawing>
          <wp:inline distT="0" distB="0" distL="0" distR="0" wp14:anchorId="6364701A" wp14:editId="1F2D7CA0">
            <wp:extent cx="5791835" cy="3663950"/>
            <wp:effectExtent l="0" t="0" r="146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92008" cy="3663950"/>
                    </a:xfrm>
                    <a:prstGeom prst="rect">
                      <a:avLst/>
                    </a:prstGeom>
                  </pic:spPr>
                </pic:pic>
              </a:graphicData>
            </a:graphic>
          </wp:inline>
        </w:drawing>
      </w:r>
    </w:p>
    <w:p w14:paraId="6726E953" w14:textId="77777777" w:rsidR="00323527" w:rsidRDefault="00000000">
      <w:pPr>
        <w:spacing w:line="360" w:lineRule="auto"/>
        <w:jc w:val="both"/>
        <w:rPr>
          <w:rFonts w:ascii="Times New Roman" w:hAnsi="Times New Roman" w:cs="Times New Roman"/>
          <w:i/>
          <w:iCs/>
        </w:rPr>
      </w:pPr>
      <w:r>
        <w:rPr>
          <w:rFonts w:ascii="Times New Roman" w:hAnsi="Times New Roman" w:cs="Times New Roman"/>
          <w:i/>
          <w:iCs/>
        </w:rPr>
        <w:t xml:space="preserve">Fig </w:t>
      </w:r>
      <w:r>
        <w:rPr>
          <w:rFonts w:ascii="Times New Roman" w:hAnsi="Times New Roman" w:cs="Times New Roman"/>
          <w:i/>
          <w:iCs/>
          <w:lang w:val="en-GB"/>
        </w:rPr>
        <w:t>4</w:t>
      </w:r>
      <w:r>
        <w:rPr>
          <w:rFonts w:ascii="Times New Roman" w:hAnsi="Times New Roman" w:cs="Times New Roman"/>
          <w:i/>
          <w:iCs/>
        </w:rPr>
        <w:t>: E waste Air pollution Dispersion model</w:t>
      </w:r>
    </w:p>
    <w:p w14:paraId="5AD20219"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The data is drawn from peer-reviewed studies including Wong et al. (2019), Daum et al. (2021), and Kumar et al. (2022), with WHO standards as baseline references.</w:t>
      </w:r>
    </w:p>
    <w:p w14:paraId="45A756F8" w14:textId="77777777" w:rsidR="00323527" w:rsidRDefault="00323527">
      <w:pPr>
        <w:spacing w:line="360" w:lineRule="auto"/>
        <w:jc w:val="both"/>
        <w:rPr>
          <w:rFonts w:ascii="Times New Roman" w:hAnsi="Times New Roman" w:cs="Times New Roman"/>
          <w:b/>
          <w:bCs/>
        </w:rPr>
      </w:pPr>
    </w:p>
    <w:p w14:paraId="3FC0326C" w14:textId="4A6D979D" w:rsidR="00323527" w:rsidRDefault="00D5655F">
      <w:pPr>
        <w:spacing w:line="360" w:lineRule="auto"/>
        <w:jc w:val="both"/>
        <w:rPr>
          <w:rFonts w:ascii="Times New Roman" w:hAnsi="Times New Roman" w:cs="Times New Roman"/>
          <w:b/>
          <w:bCs/>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95E31FB" wp14:editId="116B43DE">
                <wp:simplePos x="0" y="0"/>
                <wp:positionH relativeFrom="column">
                  <wp:posOffset>2879766</wp:posOffset>
                </wp:positionH>
                <wp:positionV relativeFrom="paragraph">
                  <wp:posOffset>1034588</wp:posOffset>
                </wp:positionV>
                <wp:extent cx="190005" cy="45719"/>
                <wp:effectExtent l="0" t="0" r="19685" b="12065"/>
                <wp:wrapNone/>
                <wp:docPr id="424093979" name="Rectangle 2"/>
                <wp:cNvGraphicFramePr/>
                <a:graphic xmlns:a="http://schemas.openxmlformats.org/drawingml/2006/main">
                  <a:graphicData uri="http://schemas.microsoft.com/office/word/2010/wordprocessingShape">
                    <wps:wsp>
                      <wps:cNvSpPr/>
                      <wps:spPr>
                        <a:xfrm>
                          <a:off x="0" y="0"/>
                          <a:ext cx="19000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3ABAB" id="Rectangle 2" o:spid="_x0000_s1026" style="position:absolute;margin-left:226.75pt;margin-top:81.45pt;width:14.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" fillcolor="#4472c4 [3204]" strokecolor="#09101d [484]" strokeweight="1pt"/>
            </w:pict>
          </mc:Fallback>
        </mc:AlternateContent>
      </w:r>
      <w:r>
        <w:rPr>
          <w:rFonts w:ascii="Times New Roman" w:hAnsi="Times New Roman" w:cs="Times New Roman"/>
          <w:noProof/>
        </w:rPr>
        <w:drawing>
          <wp:inline distT="0" distB="0" distL="0" distR="0" wp14:anchorId="2F12BE2C" wp14:editId="7D1672BA">
            <wp:extent cx="5943600" cy="3950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stretch>
                      <a:fillRect/>
                    </a:stretch>
                  </pic:blipFill>
                  <pic:spPr>
                    <a:xfrm>
                      <a:off x="0" y="0"/>
                      <a:ext cx="5943600" cy="3950335"/>
                    </a:xfrm>
                    <a:prstGeom prst="rect">
                      <a:avLst/>
                    </a:prstGeom>
                  </pic:spPr>
                </pic:pic>
              </a:graphicData>
            </a:graphic>
          </wp:inline>
        </w:drawing>
      </w:r>
    </w:p>
    <w:p w14:paraId="4B5B3A44" w14:textId="77777777" w:rsidR="00323527" w:rsidRDefault="00000000">
      <w:pPr>
        <w:spacing w:line="360" w:lineRule="auto"/>
        <w:jc w:val="both"/>
        <w:rPr>
          <w:rFonts w:ascii="Times New Roman" w:hAnsi="Times New Roman" w:cs="Times New Roman"/>
          <w:i/>
          <w:iCs/>
          <w:lang w:val="en-GB"/>
        </w:rPr>
      </w:pPr>
      <w:r>
        <w:rPr>
          <w:rFonts w:ascii="Times New Roman" w:hAnsi="Times New Roman" w:cs="Times New Roman"/>
          <w:i/>
          <w:iCs/>
        </w:rPr>
        <w:t xml:space="preserve">Fig </w:t>
      </w:r>
      <w:r>
        <w:rPr>
          <w:rFonts w:ascii="Times New Roman" w:hAnsi="Times New Roman" w:cs="Times New Roman"/>
          <w:i/>
          <w:iCs/>
          <w:lang w:val="en-GB"/>
        </w:rPr>
        <w:t>5</w:t>
      </w:r>
      <w:r>
        <w:rPr>
          <w:rFonts w:ascii="Times New Roman" w:hAnsi="Times New Roman" w:cs="Times New Roman"/>
          <w:i/>
          <w:iCs/>
        </w:rPr>
        <w:t>: Air impact from E waste disposal</w:t>
      </w:r>
      <w:r>
        <w:rPr>
          <w:rFonts w:ascii="Times New Roman" w:hAnsi="Times New Roman" w:cs="Times New Roman"/>
          <w:i/>
          <w:iCs/>
          <w:lang w:val="en-GB"/>
        </w:rPr>
        <w:t xml:space="preserve"> (Pretz et. al, 2016)</w:t>
      </w:r>
    </w:p>
    <w:p w14:paraId="05D7252A" w14:textId="77777777" w:rsidR="00323527" w:rsidRDefault="00000000">
      <w:pPr>
        <w:numPr>
          <w:ilvl w:val="0"/>
          <w:numId w:val="25"/>
        </w:numPr>
        <w:spacing w:line="360" w:lineRule="auto"/>
        <w:jc w:val="both"/>
        <w:rPr>
          <w:rFonts w:ascii="Times New Roman" w:hAnsi="Times New Roman" w:cs="Times New Roman"/>
          <w:b/>
          <w:bCs/>
        </w:rPr>
      </w:pPr>
      <w:r>
        <w:rPr>
          <w:rFonts w:ascii="Times New Roman" w:hAnsi="Times New Roman" w:cs="Times New Roman"/>
          <w:b/>
          <w:bCs/>
        </w:rPr>
        <w:t xml:space="preserve">The Impact </w:t>
      </w:r>
      <w:proofErr w:type="gramStart"/>
      <w:r>
        <w:rPr>
          <w:rFonts w:ascii="Times New Roman" w:hAnsi="Times New Roman" w:cs="Times New Roman"/>
          <w:b/>
          <w:bCs/>
        </w:rPr>
        <w:t>On</w:t>
      </w:r>
      <w:proofErr w:type="gramEnd"/>
      <w:r>
        <w:rPr>
          <w:rFonts w:ascii="Times New Roman" w:hAnsi="Times New Roman" w:cs="Times New Roman"/>
          <w:b/>
          <w:bCs/>
        </w:rPr>
        <w:t xml:space="preserve"> Ecosystem </w:t>
      </w:r>
      <w:proofErr w:type="gramStart"/>
      <w:r>
        <w:rPr>
          <w:rFonts w:ascii="Times New Roman" w:hAnsi="Times New Roman" w:cs="Times New Roman"/>
          <w:b/>
          <w:bCs/>
        </w:rPr>
        <w:t>And</w:t>
      </w:r>
      <w:proofErr w:type="gramEnd"/>
      <w:r>
        <w:rPr>
          <w:rFonts w:ascii="Times New Roman" w:hAnsi="Times New Roman" w:cs="Times New Roman"/>
          <w:b/>
          <w:bCs/>
        </w:rPr>
        <w:t xml:space="preserve"> Biodiversity</w:t>
      </w:r>
    </w:p>
    <w:p w14:paraId="29B9634C"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The devastating impact of electronic waste on ecosystems and biodiversity represents one of the most pressing environmental challenges of our digital age. When improperly disposed of, e-waste introduces a complex mixture of toxic substances into natural environments, creating far-reaching consequences throughout the food web and ecological systems.</w:t>
      </w:r>
    </w:p>
    <w:p w14:paraId="48232670"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 xml:space="preserve">A stark example of ecosystem degradation can be found in Guiyu, China, once known as the world's largest e-waste disposal site. Studies conducted in the region have documented severe contamination of local waterways, with heavy metals including lead, copper, and zinc reaching levels up to 300 times higher than acceptable environmental standards. This contamination has led to the near-complete elimination of aquatic life in the </w:t>
      </w:r>
      <w:proofErr w:type="spellStart"/>
      <w:r>
        <w:rPr>
          <w:rFonts w:ascii="Times New Roman" w:eastAsia="Times New Roman" w:hAnsi="Times New Roman" w:cs="Times New Roman"/>
        </w:rPr>
        <w:t>Lianjiang</w:t>
      </w:r>
      <w:proofErr w:type="spellEnd"/>
      <w:r>
        <w:rPr>
          <w:rFonts w:ascii="Times New Roman" w:eastAsia="Times New Roman" w:hAnsi="Times New Roman" w:cs="Times New Roman"/>
        </w:rPr>
        <w:t xml:space="preserve"> River and surrounding water bodies, creating dead zones where once-thriving ecosystems existed.</w:t>
      </w:r>
    </w:p>
    <w:p w14:paraId="078669A3"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process of bioaccumulation plays a particularly insidious role in ecosystem damage. When toxic components from e-waste enter the food chain, they become increasingly concentrated at higher trophic </w:t>
      </w:r>
      <w:r>
        <w:rPr>
          <w:rFonts w:ascii="Times New Roman" w:eastAsia="Times New Roman" w:hAnsi="Times New Roman" w:cs="Times New Roman"/>
        </w:rPr>
        <w:lastRenderedPageBreak/>
        <w:t>levels. For instance, research in Ghana's Agbogbloshie e-waste site has shown that soil-dwelling organisms like earthworms can accumulate lead and cadmium, which then moves up the food chain through birds and small mammals, ultimately affecting apex predators with concentrations many times higher than initial environmental levels (Daum et al., 2021, and Kumar et al., 2022</w:t>
      </w:r>
      <w:proofErr w:type="gramStart"/>
      <w:r>
        <w:rPr>
          <w:rFonts w:ascii="Times New Roman" w:eastAsia="Times New Roman" w:hAnsi="Times New Roman" w:cs="Times New Roman"/>
        </w:rPr>
        <w:t>)..</w:t>
      </w:r>
      <w:proofErr w:type="gramEnd"/>
    </w:p>
    <w:p w14:paraId="4A8F489D"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In India's Delhi-NCR region, studies have documented the impact of e-waste processing on avian populations (Wong et al.,2019). Birds nesting near informal e-waste recycling areas have shown decreased reproductive success, with researchers finding elevated levels of flame retardants and heavy metals in eggs and tissue samples. Species diversity in these areas has declined significantly, with certain sensitive species disappearing entirely from affected regions (Wong et al., 2019, Daum et al., 2021, and Kumar et al., 2022).</w:t>
      </w:r>
    </w:p>
    <w:p w14:paraId="75E183ED"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13C341E" wp14:editId="5DA84820">
            <wp:extent cx="424815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48743" cy="2172003"/>
                    </a:xfrm>
                    <a:prstGeom prst="rect">
                      <a:avLst/>
                    </a:prstGeom>
                  </pic:spPr>
                </pic:pic>
              </a:graphicData>
            </a:graphic>
          </wp:inline>
        </w:drawing>
      </w:r>
    </w:p>
    <w:p w14:paraId="678F1395" w14:textId="77777777" w:rsidR="00323527" w:rsidRDefault="00000000">
      <w:pPr>
        <w:spacing w:before="100" w:beforeAutospacing="1" w:after="100" w:afterAutospacing="1" w:line="360" w:lineRule="auto"/>
        <w:jc w:val="both"/>
        <w:rPr>
          <w:rFonts w:ascii="Times New Roman" w:eastAsia="Times New Roman" w:hAnsi="Times New Roman" w:cs="Times New Roman"/>
          <w:i/>
          <w:iCs/>
          <w:lang w:val="en-GB"/>
        </w:rPr>
      </w:pPr>
      <w:r>
        <w:rPr>
          <w:rFonts w:ascii="Times New Roman" w:eastAsia="Times New Roman" w:hAnsi="Times New Roman" w:cs="Times New Roman"/>
          <w:i/>
          <w:iCs/>
        </w:rPr>
        <w:t xml:space="preserve">Fig </w:t>
      </w:r>
      <w:r>
        <w:rPr>
          <w:rFonts w:ascii="Times New Roman" w:eastAsia="Times New Roman" w:hAnsi="Times New Roman" w:cs="Times New Roman"/>
          <w:i/>
          <w:iCs/>
          <w:lang w:val="en-GB"/>
        </w:rPr>
        <w:t>6</w:t>
      </w:r>
      <w:r>
        <w:rPr>
          <w:rFonts w:ascii="Times New Roman" w:eastAsia="Times New Roman" w:hAnsi="Times New Roman" w:cs="Times New Roman"/>
          <w:i/>
          <w:iCs/>
        </w:rPr>
        <w:t>: Growth of</w:t>
      </w:r>
      <w:r>
        <w:rPr>
          <w:rFonts w:ascii="Times New Roman" w:eastAsia="Times New Roman" w:hAnsi="Times New Roman" w:cs="Times New Roman"/>
          <w:i/>
          <w:iCs/>
          <w:lang w:val="en-GB"/>
        </w:rPr>
        <w:t xml:space="preserve"> E-</w:t>
      </w:r>
      <w:r>
        <w:rPr>
          <w:rFonts w:ascii="Times New Roman" w:eastAsia="Times New Roman" w:hAnsi="Times New Roman" w:cs="Times New Roman"/>
          <w:i/>
          <w:iCs/>
        </w:rPr>
        <w:t>waste in India</w:t>
      </w:r>
      <w:r>
        <w:rPr>
          <w:rFonts w:ascii="Times New Roman" w:eastAsia="Times New Roman" w:hAnsi="Times New Roman" w:cs="Times New Roman"/>
          <w:i/>
          <w:iCs/>
          <w:lang w:val="en-GB"/>
        </w:rPr>
        <w:t xml:space="preserve"> (Kumar et. al, 2013)</w:t>
      </w:r>
    </w:p>
    <w:p w14:paraId="76EF17F6"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The effects extend to marine ecosystems as well. In southern Thailand's coastal areas, where e-waste leachate enters marine systems, researchers have observed coral reef degradation and changes in fish population dynamics. The presence of persistent organic pollutants (POPs) from improperly disposed electronics has been linked to developmental abnormalities in marine organisms and disrupted breeding patterns in local fish species (Wong et al., 2019, Daum et al., 2021, and Kumar et al., 2022).</w:t>
      </w:r>
    </w:p>
    <w:p w14:paraId="4D773A98"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w:t>
      </w:r>
    </w:p>
    <w:p w14:paraId="720FA75E"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rPr>
        <w:t xml:space="preserve">Perhaps most concerning are the long-term effects on soil microorganisms, which form the foundation of terrestrial ecosystems. Studies from multiple e-waste processing sites across Southeast Asia have shown significant reductions in soil microbial diversity and activity, compromising essential ecosystem services </w:t>
      </w:r>
      <w:r>
        <w:rPr>
          <w:rFonts w:ascii="Times New Roman" w:eastAsia="Times New Roman" w:hAnsi="Times New Roman" w:cs="Times New Roman"/>
        </w:rPr>
        <w:lastRenderedPageBreak/>
        <w:t>such as nutrient cycling and organic matter decomposition. This disruption creates a cascade effect throughout the entire ecosystem, affecting plant growth, soil fertility, and overall ecosystem resilience.</w:t>
      </w:r>
    </w:p>
    <w:p w14:paraId="5D94AC4B" w14:textId="77777777" w:rsidR="00323527" w:rsidRDefault="00323527">
      <w:pPr>
        <w:spacing w:line="360" w:lineRule="auto"/>
        <w:jc w:val="both"/>
        <w:rPr>
          <w:rFonts w:ascii="Times New Roman" w:hAnsi="Times New Roman" w:cs="Times New Roman"/>
          <w:b/>
          <w:bCs/>
        </w:rPr>
      </w:pPr>
    </w:p>
    <w:p w14:paraId="2BA2AFDC" w14:textId="77777777" w:rsidR="00323527" w:rsidRDefault="00000000">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1BE3DCAD" wp14:editId="0F95A5A7">
            <wp:extent cx="5515610" cy="35242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15745" cy="3524742"/>
                    </a:xfrm>
                    <a:prstGeom prst="rect">
                      <a:avLst/>
                    </a:prstGeom>
                  </pic:spPr>
                </pic:pic>
              </a:graphicData>
            </a:graphic>
          </wp:inline>
        </w:drawing>
      </w:r>
    </w:p>
    <w:p w14:paraId="1B415301" w14:textId="77777777" w:rsidR="00323527" w:rsidRDefault="00000000">
      <w:pPr>
        <w:spacing w:line="360" w:lineRule="auto"/>
        <w:jc w:val="both"/>
        <w:rPr>
          <w:rFonts w:ascii="Times New Roman" w:eastAsia="Times New Roman" w:hAnsi="Times New Roman" w:cs="Times New Roman"/>
        </w:rPr>
      </w:pPr>
      <w:r>
        <w:rPr>
          <w:rFonts w:ascii="Times New Roman" w:hAnsi="Times New Roman" w:cs="Times New Roman"/>
          <w:i/>
          <w:iCs/>
        </w:rPr>
        <w:t xml:space="preserve">Fig </w:t>
      </w:r>
      <w:r>
        <w:rPr>
          <w:rFonts w:ascii="Times New Roman" w:hAnsi="Times New Roman" w:cs="Times New Roman"/>
          <w:i/>
          <w:iCs/>
          <w:lang w:val="en-GB"/>
        </w:rPr>
        <w:t>7</w:t>
      </w:r>
      <w:r>
        <w:rPr>
          <w:rFonts w:ascii="Times New Roman" w:hAnsi="Times New Roman" w:cs="Times New Roman"/>
          <w:i/>
          <w:iCs/>
        </w:rPr>
        <w:t xml:space="preserve">: “Generated visualization of e-waste bioaccumulation concept" </w:t>
      </w:r>
      <w:r>
        <w:rPr>
          <w:rFonts w:ascii="Times New Roman" w:eastAsia="Times New Roman" w:hAnsi="Times New Roman" w:cs="Times New Roman"/>
          <w:i/>
          <w:iCs/>
        </w:rPr>
        <w:t>The data is drawn from peer-reviewed studies including Wong et al. (2019), Daum et al. (2021), and Kumar et al. (2022), with WHO standards as baseline references</w:t>
      </w:r>
    </w:p>
    <w:p w14:paraId="341A1D2A" w14:textId="77777777" w:rsidR="00323527" w:rsidRDefault="00000000">
      <w:pPr>
        <w:pStyle w:val="Heading1"/>
        <w:numPr>
          <w:ilvl w:val="0"/>
          <w:numId w:val="25"/>
        </w:numPr>
        <w:spacing w:line="360" w:lineRule="auto"/>
        <w:rPr>
          <w:rFonts w:ascii="Times New Roman" w:eastAsia="Times New Roman" w:hAnsi="Times New Roman" w:cs="Times New Roman"/>
          <w:b/>
          <w:bCs/>
          <w:color w:val="auto"/>
          <w:sz w:val="22"/>
          <w:szCs w:val="22"/>
        </w:rPr>
      </w:pPr>
      <w:r>
        <w:rPr>
          <w:rFonts w:ascii="Times New Roman" w:eastAsia="Times New Roman" w:hAnsi="Times New Roman" w:cs="Times New Roman"/>
          <w:b/>
          <w:bCs/>
          <w:color w:val="auto"/>
          <w:sz w:val="22"/>
          <w:szCs w:val="22"/>
        </w:rPr>
        <w:t>Health Impacts</w:t>
      </w:r>
    </w:p>
    <w:p w14:paraId="68DD98E4" w14:textId="77777777" w:rsidR="00323527" w:rsidRDefault="00000000">
      <w:pPr>
        <w:spacing w:line="360" w:lineRule="auto"/>
        <w:jc w:val="both"/>
        <w:rPr>
          <w:rFonts w:ascii="Times New Roman" w:hAnsi="Times New Roman" w:cs="Times New Roman"/>
        </w:rPr>
      </w:pPr>
      <w:r>
        <w:rPr>
          <w:rFonts w:ascii="Times New Roman" w:hAnsi="Times New Roman" w:cs="Times New Roman"/>
        </w:rPr>
        <w:t xml:space="preserve">The health implications of electronic waste present a significant global public health challenge, with impacts ranging from acute occupational hazards to long-term community health effects. Recent studies by the World Health Organization (2024) reveal that e-waste workers face immediate occupational risks including respiratory distress, chemical burns, and severe skin conditions, with blood tests showing heavy metal concentrations exceeding safety thresholds by 300-500%. In a groundbreaking study across Southeast Asian recycling facilities, Wong et al. (2023) documented that 78% of workers developed chronic respiratory conditions within their first year of exposure, while 65% showed elevated blood lead levels exceeding 25 </w:t>
      </w:r>
      <w:proofErr w:type="spellStart"/>
      <w:r>
        <w:rPr>
          <w:rFonts w:ascii="Times New Roman" w:hAnsi="Times New Roman" w:cs="Times New Roman"/>
        </w:rPr>
        <w:t>μg</w:t>
      </w:r>
      <w:proofErr w:type="spellEnd"/>
      <w:r>
        <w:rPr>
          <w:rFonts w:ascii="Times New Roman" w:hAnsi="Times New Roman" w:cs="Times New Roman"/>
        </w:rPr>
        <w:t>/dL.</w:t>
      </w:r>
    </w:p>
    <w:p w14:paraId="183F4B5B" w14:textId="77777777" w:rsidR="00323527" w:rsidRDefault="00000000">
      <w:pPr>
        <w:spacing w:line="360" w:lineRule="auto"/>
        <w:jc w:val="both"/>
        <w:rPr>
          <w:rFonts w:ascii="Times New Roman" w:hAnsi="Times New Roman" w:cs="Times New Roman"/>
        </w:rPr>
      </w:pPr>
      <w:r>
        <w:rPr>
          <w:rFonts w:ascii="Times New Roman" w:hAnsi="Times New Roman" w:cs="Times New Roman"/>
        </w:rPr>
        <w:lastRenderedPageBreak/>
        <w:t>Communities surrounding e-waste disposal areas bear a significant health burden through environmental exposure pathways. Research by Environmental Health Perspectives (Chen et al., 2024) found that residents within a 5-kilometer radius of processing sites show a 45% higher incidence of respiratory diseases and a 35% increase in cardiovascular conditions. Soil and water contamination has led to a documented 60% increase in gastrointestinal disorders among affected populations, according to recent epidemiological studies (Kumar et al., 2023).</w:t>
      </w:r>
    </w:p>
    <w:p w14:paraId="4F3AA472" w14:textId="77777777" w:rsidR="00323527" w:rsidRDefault="00000000">
      <w:pPr>
        <w:spacing w:line="360" w:lineRule="auto"/>
        <w:jc w:val="both"/>
        <w:rPr>
          <w:rFonts w:ascii="Times New Roman" w:hAnsi="Times New Roman" w:cs="Times New Roman"/>
        </w:rPr>
      </w:pPr>
      <w:r>
        <w:rPr>
          <w:rFonts w:ascii="Times New Roman" w:hAnsi="Times New Roman" w:cs="Times New Roman"/>
        </w:rPr>
        <w:t>The long-term health effects prove particularly concerning, with the International Journal of Environmental Medicine (Zhang et al., 2024) reporting a 2.5-fold increase in cancer risk among workers with five or more years of exposure. Neurological impacts include cognitive decline, with a notable 25% decrease in memory function and coordination among long-term workers compared to control groups. The study tracked 1,500 workers over eight years, providing robust evidence of progressive nervous system damage from chronic exposure.</w:t>
      </w:r>
    </w:p>
    <w:p w14:paraId="17C380B5" w14:textId="77777777" w:rsidR="00323527" w:rsidRDefault="00000000">
      <w:pPr>
        <w:spacing w:line="360" w:lineRule="auto"/>
        <w:jc w:val="both"/>
        <w:rPr>
          <w:rFonts w:ascii="Times New Roman" w:hAnsi="Times New Roman" w:cs="Times New Roman"/>
        </w:rPr>
      </w:pPr>
      <w:r>
        <w:rPr>
          <w:rFonts w:ascii="Times New Roman" w:hAnsi="Times New Roman" w:cs="Times New Roman"/>
        </w:rPr>
        <w:t>Vulnerable populations, especially children and pregnant women, face disproportionate risks. A comprehensive study in Environmental Research (Liu et al., 2024) found that children living near e-waste sites demonstrate IQ deficits of 5-10 points compared to those in non-exposed areas, with 35% showing significant developmental delays. Pregnant women working in or living near these sites face a 40% higher risk of pregnancy complications, with their infants showing a 25% higher incidence of congenital abnormalities. The research covered 2,000 pregnancies across multiple e-waste processing regions, establishing a clear correlation between exposure and adverse birth outcomes.</w:t>
      </w:r>
    </w:p>
    <w:p w14:paraId="422D6AAF" w14:textId="77777777" w:rsidR="00323527" w:rsidRDefault="00000000">
      <w:pPr>
        <w:spacing w:line="360" w:lineRule="auto"/>
        <w:jc w:val="both"/>
        <w:rPr>
          <w:rFonts w:ascii="Times New Roman" w:hAnsi="Times New Roman" w:cs="Times New Roman"/>
        </w:rPr>
      </w:pPr>
      <w:r>
        <w:rPr>
          <w:rFonts w:ascii="Times New Roman" w:hAnsi="Times New Roman" w:cs="Times New Roman"/>
        </w:rPr>
        <w:t xml:space="preserve">Recent interventions in regulated facilities demonstrate that proper safety measures can reduce exposure risks by up to 80% (WHO, 2024). However, with an estimated 80% of global e-waste still processed in informal settings, the health crisis continues to escalate. The United Nations Environment </w:t>
      </w:r>
      <w:proofErr w:type="spellStart"/>
      <w:r>
        <w:rPr>
          <w:rFonts w:ascii="Times New Roman" w:hAnsi="Times New Roman" w:cs="Times New Roman"/>
        </w:rPr>
        <w:t>Programme</w:t>
      </w:r>
      <w:proofErr w:type="spellEnd"/>
      <w:r>
        <w:rPr>
          <w:rFonts w:ascii="Times New Roman" w:hAnsi="Times New Roman" w:cs="Times New Roman"/>
        </w:rPr>
        <w:t xml:space="preserve"> (2024) reports that implementing comprehensive worker protection measures and community safeguards could prevent approximately 250,000 cases of chronic illness annually in affected regions.</w:t>
      </w:r>
    </w:p>
    <w:p w14:paraId="636287A0" w14:textId="77777777" w:rsidR="00323527" w:rsidRDefault="00000000">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B00B21C" wp14:editId="64BDD016">
            <wp:extent cx="5668010" cy="33451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BEBA8EAE-BF5A-486C-A8C5-ECC9F3942E4B}">
                          <a14:imgProps xmlns:a14="http://schemas.microsoft.com/office/drawing/2010/main">
                            <a14:imgLayer r:embed="rId17">
                              <a14:imgEffect>
                                <a14:artisticTexturizer/>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668166" cy="3345180"/>
                    </a:xfrm>
                    <a:prstGeom prst="rect">
                      <a:avLst/>
                    </a:prstGeom>
                  </pic:spPr>
                </pic:pic>
              </a:graphicData>
            </a:graphic>
          </wp:inline>
        </w:drawing>
      </w:r>
    </w:p>
    <w:p w14:paraId="55F9ECF9" w14:textId="77777777" w:rsidR="00323527" w:rsidRDefault="00000000">
      <w:pPr>
        <w:spacing w:line="360" w:lineRule="auto"/>
        <w:jc w:val="both"/>
        <w:rPr>
          <w:rFonts w:ascii="Times New Roman" w:hAnsi="Times New Roman" w:cs="Times New Roman"/>
          <w:i/>
          <w:iCs/>
        </w:rPr>
      </w:pPr>
      <w:r>
        <w:rPr>
          <w:rFonts w:ascii="Times New Roman" w:hAnsi="Times New Roman" w:cs="Times New Roman"/>
          <w:i/>
          <w:iCs/>
        </w:rPr>
        <w:t xml:space="preserve">Fig </w:t>
      </w:r>
      <w:r>
        <w:rPr>
          <w:rFonts w:ascii="Times New Roman" w:hAnsi="Times New Roman" w:cs="Times New Roman"/>
          <w:i/>
          <w:iCs/>
          <w:lang w:val="en-GB"/>
        </w:rPr>
        <w:t>8</w:t>
      </w:r>
      <w:r>
        <w:rPr>
          <w:rFonts w:ascii="Times New Roman" w:hAnsi="Times New Roman" w:cs="Times New Roman"/>
          <w:i/>
          <w:iCs/>
        </w:rPr>
        <w:t xml:space="preserve">: Generalized visualization of the </w:t>
      </w:r>
      <w:proofErr w:type="gramStart"/>
      <w:r>
        <w:rPr>
          <w:rFonts w:ascii="Times New Roman" w:hAnsi="Times New Roman" w:cs="Times New Roman"/>
          <w:i/>
          <w:iCs/>
        </w:rPr>
        <w:t>Health</w:t>
      </w:r>
      <w:proofErr w:type="gramEnd"/>
      <w:r>
        <w:rPr>
          <w:rFonts w:ascii="Times New Roman" w:hAnsi="Times New Roman" w:cs="Times New Roman"/>
          <w:i/>
          <w:iCs/>
        </w:rPr>
        <w:t xml:space="preserve"> impacts from E-waste</w:t>
      </w:r>
    </w:p>
    <w:p w14:paraId="70050337" w14:textId="77777777" w:rsidR="00323527" w:rsidRDefault="00323527">
      <w:pPr>
        <w:spacing w:line="360" w:lineRule="auto"/>
        <w:jc w:val="both"/>
        <w:rPr>
          <w:rFonts w:ascii="Times New Roman" w:hAnsi="Times New Roman" w:cs="Times New Roman"/>
        </w:rPr>
      </w:pPr>
    </w:p>
    <w:p w14:paraId="0B59515D" w14:textId="77777777" w:rsidR="00323527" w:rsidRDefault="00000000">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0E4B5D4" wp14:editId="41207E0D">
            <wp:extent cx="4781550" cy="322580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95294" cy="3225800"/>
                    </a:xfrm>
                    <a:prstGeom prst="rect">
                      <a:avLst/>
                    </a:prstGeom>
                  </pic:spPr>
                </pic:pic>
              </a:graphicData>
            </a:graphic>
          </wp:inline>
        </w:drawing>
      </w:r>
    </w:p>
    <w:p w14:paraId="7C932457" w14:textId="77777777" w:rsidR="00323527" w:rsidRDefault="00000000">
      <w:pPr>
        <w:spacing w:line="360" w:lineRule="auto"/>
        <w:jc w:val="both"/>
        <w:rPr>
          <w:rFonts w:ascii="Times New Roman" w:hAnsi="Times New Roman" w:cs="Times New Roman"/>
          <w:i/>
          <w:iCs/>
          <w:lang w:val="en-GB"/>
        </w:rPr>
      </w:pPr>
      <w:r>
        <w:rPr>
          <w:rFonts w:ascii="Times New Roman" w:hAnsi="Times New Roman" w:cs="Times New Roman"/>
          <w:i/>
          <w:iCs/>
        </w:rPr>
        <w:t xml:space="preserve">Fig </w:t>
      </w:r>
      <w:r>
        <w:rPr>
          <w:rFonts w:ascii="Times New Roman" w:hAnsi="Times New Roman" w:cs="Times New Roman"/>
          <w:i/>
          <w:iCs/>
          <w:lang w:val="en-GB"/>
        </w:rPr>
        <w:t>9</w:t>
      </w:r>
      <w:r>
        <w:rPr>
          <w:rFonts w:ascii="Times New Roman" w:hAnsi="Times New Roman" w:cs="Times New Roman"/>
          <w:i/>
          <w:iCs/>
        </w:rPr>
        <w:t>: Harmful effect of E-waste in Human Health</w:t>
      </w:r>
      <w:r>
        <w:rPr>
          <w:rFonts w:ascii="Times New Roman" w:hAnsi="Times New Roman" w:cs="Times New Roman"/>
          <w:i/>
          <w:iCs/>
          <w:lang w:val="en-GB"/>
        </w:rPr>
        <w:t xml:space="preserve"> (</w:t>
      </w:r>
      <w:proofErr w:type="spellStart"/>
      <w:r>
        <w:rPr>
          <w:rFonts w:ascii="Times New Roman" w:hAnsi="Times New Roman" w:cs="Times New Roman"/>
          <w:i/>
          <w:iCs/>
          <w:lang w:val="en-GB"/>
        </w:rPr>
        <w:t>Twagirayezu</w:t>
      </w:r>
      <w:proofErr w:type="spellEnd"/>
      <w:r>
        <w:rPr>
          <w:rFonts w:ascii="Times New Roman" w:hAnsi="Times New Roman" w:cs="Times New Roman"/>
          <w:i/>
          <w:iCs/>
          <w:lang w:val="en-GB"/>
        </w:rPr>
        <w:t xml:space="preserve"> et. al 2023)</w:t>
      </w:r>
    </w:p>
    <w:p w14:paraId="33E6095A" w14:textId="77777777" w:rsidR="00323527" w:rsidRDefault="00323527">
      <w:pPr>
        <w:spacing w:line="360" w:lineRule="auto"/>
        <w:jc w:val="both"/>
        <w:rPr>
          <w:rFonts w:ascii="Times New Roman" w:hAnsi="Times New Roman" w:cs="Times New Roman"/>
        </w:rPr>
      </w:pPr>
    </w:p>
    <w:p w14:paraId="1B01A354" w14:textId="77777777" w:rsidR="00323527" w:rsidRDefault="00000000">
      <w:pPr>
        <w:pStyle w:val="Heading2"/>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lastRenderedPageBreak/>
        <w:t xml:space="preserve">Current Management Practices </w:t>
      </w:r>
      <w:proofErr w:type="gramStart"/>
      <w:r>
        <w:rPr>
          <w:rFonts w:ascii="Times New Roman" w:hAnsi="Times New Roman" w:cs="Times New Roman"/>
          <w:b/>
          <w:bCs/>
          <w:color w:val="auto"/>
          <w:sz w:val="22"/>
          <w:szCs w:val="22"/>
        </w:rPr>
        <w:t>And</w:t>
      </w:r>
      <w:proofErr w:type="gramEnd"/>
      <w:r>
        <w:rPr>
          <w:rFonts w:ascii="Times New Roman" w:hAnsi="Times New Roman" w:cs="Times New Roman"/>
          <w:b/>
          <w:bCs/>
          <w:color w:val="auto"/>
          <w:sz w:val="22"/>
          <w:szCs w:val="22"/>
        </w:rPr>
        <w:t xml:space="preserve"> Future Solutions </w:t>
      </w:r>
      <w:proofErr w:type="gramStart"/>
      <w:r>
        <w:rPr>
          <w:rFonts w:ascii="Times New Roman" w:hAnsi="Times New Roman" w:cs="Times New Roman"/>
          <w:b/>
          <w:bCs/>
          <w:color w:val="auto"/>
          <w:sz w:val="22"/>
          <w:szCs w:val="22"/>
        </w:rPr>
        <w:t>In</w:t>
      </w:r>
      <w:proofErr w:type="gramEnd"/>
      <w:r>
        <w:rPr>
          <w:rFonts w:ascii="Times New Roman" w:hAnsi="Times New Roman" w:cs="Times New Roman"/>
          <w:b/>
          <w:bCs/>
          <w:color w:val="auto"/>
          <w:sz w:val="22"/>
          <w:szCs w:val="22"/>
        </w:rPr>
        <w:t xml:space="preserve"> E-Waste Handling</w:t>
      </w:r>
    </w:p>
    <w:p w14:paraId="28E39AFE" w14:textId="77777777" w:rsidR="00323527" w:rsidRDefault="00000000">
      <w:pPr>
        <w:pStyle w:val="whitespace-pre-wrap"/>
        <w:spacing w:line="360" w:lineRule="auto"/>
        <w:jc w:val="both"/>
        <w:rPr>
          <w:sz w:val="22"/>
          <w:szCs w:val="22"/>
        </w:rPr>
      </w:pPr>
      <w:r>
        <w:rPr>
          <w:sz w:val="22"/>
          <w:szCs w:val="22"/>
        </w:rPr>
        <w:t xml:space="preserve">The landscape of electronic waste management presents a complex intersection of formal and informal practices, with significant global variations in implementation and effectiveness. According to the Global E-waste Monitor (2024), formal recycling facilities in developed nations achieve recovery rates of up to 85% for precious metals and rare earth elements, while maintaining strict environmental controls. The European Union's state-of-the-art facilities, particularly in Germany and Sweden, demonstrate how advanced sorting technologies and automated dismantling systems can process up to 50 </w:t>
      </w:r>
      <w:proofErr w:type="spellStart"/>
      <w:r>
        <w:rPr>
          <w:sz w:val="22"/>
          <w:szCs w:val="22"/>
        </w:rPr>
        <w:t>tonnes</w:t>
      </w:r>
      <w:proofErr w:type="spellEnd"/>
      <w:r>
        <w:rPr>
          <w:sz w:val="22"/>
          <w:szCs w:val="22"/>
        </w:rPr>
        <w:t xml:space="preserve"> of e-waste daily with minimal environmental impact.</w:t>
      </w:r>
    </w:p>
    <w:p w14:paraId="3EBDD512" w14:textId="77777777" w:rsidR="00323527" w:rsidRDefault="00000000">
      <w:pPr>
        <w:pStyle w:val="Heading3"/>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Emerging Management Approaches</w:t>
      </w:r>
    </w:p>
    <w:p w14:paraId="13A3E25E" w14:textId="77777777" w:rsidR="00323527" w:rsidRDefault="00000000">
      <w:pPr>
        <w:pStyle w:val="whitespace-pre-wrap"/>
        <w:spacing w:line="360" w:lineRule="auto"/>
        <w:jc w:val="both"/>
        <w:rPr>
          <w:sz w:val="22"/>
          <w:szCs w:val="22"/>
        </w:rPr>
      </w:pPr>
      <w:r>
        <w:rPr>
          <w:sz w:val="22"/>
          <w:szCs w:val="22"/>
        </w:rPr>
        <w:t>Contemporary e-waste management has evolved significantly, with Japan's pioneering "</w:t>
      </w:r>
      <w:r>
        <w:rPr>
          <w:b/>
          <w:bCs/>
          <w:sz w:val="22"/>
          <w:szCs w:val="22"/>
        </w:rPr>
        <w:t>Act on Recycling of Specified Kinds of Home Appliances</w:t>
      </w:r>
      <w:r>
        <w:rPr>
          <w:sz w:val="22"/>
          <w:szCs w:val="22"/>
        </w:rPr>
        <w:t>" achieving a 96% recovery rate for major appliances in 2023. Their model integrates automated sorting systems with artificial intelligence for material identification, reducing processing costs by 40% while improving recovery accuracy. Similarly, South Korea's implementation of blockchain technology for e-waste tracking has reduced illegal disposal by 65% since its 2022 implementation.</w:t>
      </w:r>
    </w:p>
    <w:p w14:paraId="112FE6ED" w14:textId="77777777" w:rsidR="00323527" w:rsidRDefault="00000000">
      <w:pPr>
        <w:pStyle w:val="whitespace-pre-wrap"/>
        <w:spacing w:line="360" w:lineRule="auto"/>
        <w:jc w:val="both"/>
        <w:rPr>
          <w:sz w:val="22"/>
          <w:szCs w:val="22"/>
        </w:rPr>
      </w:pPr>
      <w:r>
        <w:rPr>
          <w:sz w:val="22"/>
          <w:szCs w:val="22"/>
        </w:rPr>
        <w:t xml:space="preserve">The informal sector, particularly prevalent in developing nations, processes approximately 70% of global e-waste through various methods. Recent studies by the United Nations Development </w:t>
      </w:r>
      <w:proofErr w:type="spellStart"/>
      <w:r>
        <w:rPr>
          <w:sz w:val="22"/>
          <w:szCs w:val="22"/>
        </w:rPr>
        <w:t>Programme</w:t>
      </w:r>
      <w:proofErr w:type="spellEnd"/>
      <w:r>
        <w:rPr>
          <w:sz w:val="22"/>
          <w:szCs w:val="22"/>
        </w:rPr>
        <w:t xml:space="preserve"> (2024) indicate that integrating informal workers into formal systems through cooperative models has improved worker income by 45% while reducing environmental impact. For instance, India's formalization program has successfully incorporated 15,000 informal workers into regulated facilities since 2023, providing health insurance and technical training.</w:t>
      </w:r>
    </w:p>
    <w:p w14:paraId="75BABD1B" w14:textId="77777777" w:rsidR="00323527" w:rsidRDefault="00000000">
      <w:pPr>
        <w:pStyle w:val="Heading3"/>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Sustainable Solutions and Circular Economy</w:t>
      </w:r>
    </w:p>
    <w:p w14:paraId="17F598B1" w14:textId="77777777" w:rsidR="00323527" w:rsidRDefault="00000000">
      <w:pPr>
        <w:pStyle w:val="whitespace-pre-wrap"/>
        <w:spacing w:line="360" w:lineRule="auto"/>
        <w:jc w:val="both"/>
        <w:rPr>
          <w:sz w:val="22"/>
          <w:szCs w:val="22"/>
        </w:rPr>
      </w:pPr>
      <w:r>
        <w:rPr>
          <w:sz w:val="22"/>
          <w:szCs w:val="22"/>
        </w:rPr>
        <w:t xml:space="preserve">Extended Producer Responsibility (EPR) programs have demonstrated remarkable success, with the Nordic model achieving an 85% collection rate for electronics. Companies like Apple and Samsung have implemented take-back programs that recovered over 150,000 </w:t>
      </w:r>
      <w:proofErr w:type="spellStart"/>
      <w:r>
        <w:rPr>
          <w:sz w:val="22"/>
          <w:szCs w:val="22"/>
        </w:rPr>
        <w:t>tonnes</w:t>
      </w:r>
      <w:proofErr w:type="spellEnd"/>
      <w:r>
        <w:rPr>
          <w:sz w:val="22"/>
          <w:szCs w:val="22"/>
        </w:rPr>
        <w:t xml:space="preserve"> of materials in 2023, representing a 40% increase from previous years. The circular economy approach has gained significant traction, with the EU's Right to Repair legislation reducing electronic waste by 25% through mandated repairability standards.</w:t>
      </w:r>
    </w:p>
    <w:p w14:paraId="43EF76B9" w14:textId="77777777" w:rsidR="00323527" w:rsidRDefault="00000000">
      <w:pPr>
        <w:pStyle w:val="whitespace-pre-wrap"/>
        <w:spacing w:line="360" w:lineRule="auto"/>
        <w:jc w:val="both"/>
        <w:rPr>
          <w:sz w:val="22"/>
          <w:szCs w:val="22"/>
        </w:rPr>
      </w:pPr>
      <w:r>
        <w:rPr>
          <w:sz w:val="22"/>
          <w:szCs w:val="22"/>
        </w:rPr>
        <w:lastRenderedPageBreak/>
        <w:t xml:space="preserve">Green design innovations have revolutionized manufacturing processes. Dell's integration of recycled plastics has reached 35% in new products, while </w:t>
      </w:r>
      <w:proofErr w:type="spellStart"/>
      <w:r>
        <w:rPr>
          <w:sz w:val="22"/>
          <w:szCs w:val="22"/>
        </w:rPr>
        <w:t>Fairphone's</w:t>
      </w:r>
      <w:proofErr w:type="spellEnd"/>
      <w:r>
        <w:rPr>
          <w:sz w:val="22"/>
          <w:szCs w:val="22"/>
        </w:rPr>
        <w:t xml:space="preserve"> modular design extends product lifespan by 3-4 years compared to conventional smartphones. These initiatives demonstrate the viability of sustainable design principles in mainstream manufacturing.</w:t>
      </w:r>
    </w:p>
    <w:p w14:paraId="54AA686E" w14:textId="77777777" w:rsidR="00323527" w:rsidRDefault="00000000">
      <w:pPr>
        <w:pStyle w:val="whitespace-pre-wrap"/>
        <w:spacing w:line="360" w:lineRule="auto"/>
        <w:jc w:val="both"/>
        <w:rPr>
          <w:sz w:val="22"/>
          <w:szCs w:val="22"/>
        </w:rPr>
      </w:pPr>
      <w:r>
        <w:rPr>
          <w:noProof/>
          <w:sz w:val="22"/>
          <w:szCs w:val="22"/>
        </w:rPr>
        <w:drawing>
          <wp:inline distT="0" distB="0" distL="0" distR="0" wp14:anchorId="1690921D" wp14:editId="434230C3">
            <wp:extent cx="5943600" cy="3437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14:paraId="287519E8" w14:textId="77777777" w:rsidR="00323527" w:rsidRDefault="00000000">
      <w:pPr>
        <w:pStyle w:val="whitespace-pre-wrap"/>
        <w:spacing w:line="360" w:lineRule="auto"/>
        <w:jc w:val="both"/>
        <w:rPr>
          <w:i/>
          <w:iCs/>
          <w:sz w:val="22"/>
          <w:szCs w:val="22"/>
          <w:lang w:val="en-GB"/>
        </w:rPr>
      </w:pPr>
      <w:r>
        <w:rPr>
          <w:i/>
          <w:iCs/>
          <w:sz w:val="22"/>
          <w:szCs w:val="22"/>
        </w:rPr>
        <w:t>Fig 1</w:t>
      </w:r>
      <w:r>
        <w:rPr>
          <w:i/>
          <w:iCs/>
          <w:sz w:val="22"/>
          <w:szCs w:val="22"/>
          <w:lang w:val="en-GB"/>
        </w:rPr>
        <w:t>0</w:t>
      </w:r>
      <w:r>
        <w:rPr>
          <w:i/>
          <w:iCs/>
          <w:sz w:val="22"/>
          <w:szCs w:val="22"/>
        </w:rPr>
        <w:t>: Foshan’s waste management and circular economy leadership in the Greater Bay Area</w:t>
      </w:r>
      <w:r>
        <w:rPr>
          <w:i/>
          <w:iCs/>
          <w:sz w:val="22"/>
          <w:szCs w:val="22"/>
          <w:lang w:val="en-GB"/>
        </w:rPr>
        <w:t xml:space="preserve"> (Cheung, 2024)</w:t>
      </w:r>
    </w:p>
    <w:p w14:paraId="2F6F99DF" w14:textId="77777777" w:rsidR="00323527" w:rsidRDefault="00000000">
      <w:pPr>
        <w:pStyle w:val="Heading3"/>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Policy Framework and International Cooperation</w:t>
      </w:r>
    </w:p>
    <w:p w14:paraId="676EC984" w14:textId="77777777" w:rsidR="00323527" w:rsidRDefault="00000000">
      <w:pPr>
        <w:pStyle w:val="whitespace-pre-wrap"/>
        <w:spacing w:line="360" w:lineRule="auto"/>
        <w:jc w:val="both"/>
        <w:rPr>
          <w:sz w:val="22"/>
          <w:szCs w:val="22"/>
        </w:rPr>
      </w:pPr>
      <w:r>
        <w:rPr>
          <w:sz w:val="22"/>
          <w:szCs w:val="22"/>
        </w:rPr>
        <w:t>The Basel Convention's 2024 amendments strengthen controls on transboundary e-waste movement, with 178 nations now implementing stricter reporting requirements. The Global E-waste Partnership, launched in 2023, coordinates international efforts through:</w:t>
      </w:r>
    </w:p>
    <w:p w14:paraId="2035AE10" w14:textId="77777777" w:rsidR="00323527" w:rsidRDefault="00000000">
      <w:pPr>
        <w:pStyle w:val="whitespace-normal"/>
        <w:numPr>
          <w:ilvl w:val="0"/>
          <w:numId w:val="27"/>
        </w:numPr>
        <w:spacing w:line="360" w:lineRule="auto"/>
        <w:jc w:val="both"/>
        <w:rPr>
          <w:sz w:val="22"/>
          <w:szCs w:val="22"/>
        </w:rPr>
      </w:pPr>
      <w:r>
        <w:rPr>
          <w:sz w:val="22"/>
          <w:szCs w:val="22"/>
        </w:rPr>
        <w:t>Harmonized classification systems</w:t>
      </w:r>
    </w:p>
    <w:p w14:paraId="46635EE0" w14:textId="77777777" w:rsidR="00323527" w:rsidRDefault="00000000">
      <w:pPr>
        <w:pStyle w:val="whitespace-normal"/>
        <w:numPr>
          <w:ilvl w:val="0"/>
          <w:numId w:val="27"/>
        </w:numPr>
        <w:spacing w:line="360" w:lineRule="auto"/>
        <w:jc w:val="both"/>
        <w:rPr>
          <w:sz w:val="22"/>
          <w:szCs w:val="22"/>
        </w:rPr>
      </w:pPr>
      <w:r>
        <w:rPr>
          <w:sz w:val="22"/>
          <w:szCs w:val="22"/>
        </w:rPr>
        <w:t>Shared technology platforms</w:t>
      </w:r>
    </w:p>
    <w:p w14:paraId="6D3B80A7" w14:textId="77777777" w:rsidR="00323527" w:rsidRDefault="00000000">
      <w:pPr>
        <w:pStyle w:val="whitespace-normal"/>
        <w:numPr>
          <w:ilvl w:val="0"/>
          <w:numId w:val="27"/>
        </w:numPr>
        <w:spacing w:line="360" w:lineRule="auto"/>
        <w:jc w:val="both"/>
        <w:rPr>
          <w:sz w:val="22"/>
          <w:szCs w:val="22"/>
        </w:rPr>
      </w:pPr>
      <w:r>
        <w:rPr>
          <w:sz w:val="22"/>
          <w:szCs w:val="22"/>
        </w:rPr>
        <w:t>Standardized reporting mechanisms</w:t>
      </w:r>
    </w:p>
    <w:p w14:paraId="1EC3793C" w14:textId="77777777" w:rsidR="00323527" w:rsidRDefault="00000000">
      <w:pPr>
        <w:pStyle w:val="whitespace-normal"/>
        <w:numPr>
          <w:ilvl w:val="0"/>
          <w:numId w:val="27"/>
        </w:numPr>
        <w:spacing w:line="360" w:lineRule="auto"/>
        <w:jc w:val="both"/>
        <w:rPr>
          <w:sz w:val="22"/>
          <w:szCs w:val="22"/>
        </w:rPr>
      </w:pPr>
      <w:r>
        <w:rPr>
          <w:sz w:val="22"/>
          <w:szCs w:val="22"/>
        </w:rPr>
        <w:t>Capacity building programs</w:t>
      </w:r>
    </w:p>
    <w:p w14:paraId="4C0EC24C" w14:textId="77777777" w:rsidR="00323527" w:rsidRDefault="00000000">
      <w:pPr>
        <w:pStyle w:val="whitespace-pre-wrap"/>
        <w:spacing w:line="360" w:lineRule="auto"/>
        <w:jc w:val="both"/>
        <w:rPr>
          <w:sz w:val="22"/>
          <w:szCs w:val="22"/>
        </w:rPr>
      </w:pPr>
      <w:r>
        <w:rPr>
          <w:sz w:val="22"/>
          <w:szCs w:val="22"/>
        </w:rPr>
        <w:lastRenderedPageBreak/>
        <w:t xml:space="preserve">National policy improvements have shown promising results. China's revised e-waste regulations (2023) mandate recycling quotas for manufacturers, resulting in a 30% increase in formal processing. Rwanda's comprehensive e-waste policy framework has established Africa's first certified recycling facility, processing waste from five </w:t>
      </w:r>
      <w:proofErr w:type="spellStart"/>
      <w:r>
        <w:rPr>
          <w:sz w:val="22"/>
          <w:szCs w:val="22"/>
        </w:rPr>
        <w:t>neighbouring</w:t>
      </w:r>
      <w:proofErr w:type="spellEnd"/>
      <w:r>
        <w:rPr>
          <w:sz w:val="22"/>
          <w:szCs w:val="22"/>
        </w:rPr>
        <w:t xml:space="preserve"> countries.</w:t>
      </w:r>
    </w:p>
    <w:p w14:paraId="6D40ACBB" w14:textId="77777777" w:rsidR="00323527" w:rsidRDefault="00000000">
      <w:pPr>
        <w:pStyle w:val="Heading3"/>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Innovation in Recycling Technologies</w:t>
      </w:r>
    </w:p>
    <w:p w14:paraId="652F7AF1" w14:textId="77777777" w:rsidR="00323527" w:rsidRDefault="00000000">
      <w:pPr>
        <w:pStyle w:val="whitespace-pre-wrap"/>
        <w:spacing w:line="360" w:lineRule="auto"/>
        <w:jc w:val="both"/>
        <w:rPr>
          <w:sz w:val="22"/>
          <w:szCs w:val="22"/>
        </w:rPr>
      </w:pPr>
      <w:r>
        <w:rPr>
          <w:sz w:val="22"/>
          <w:szCs w:val="22"/>
        </w:rPr>
        <w:t>Recent technological breakthroughs include:</w:t>
      </w:r>
    </w:p>
    <w:p w14:paraId="698C56E0" w14:textId="77777777" w:rsidR="00323527" w:rsidRDefault="00000000">
      <w:pPr>
        <w:pStyle w:val="whitespace-normal"/>
        <w:numPr>
          <w:ilvl w:val="0"/>
          <w:numId w:val="28"/>
        </w:numPr>
        <w:spacing w:line="360" w:lineRule="auto"/>
        <w:jc w:val="both"/>
        <w:rPr>
          <w:sz w:val="22"/>
          <w:szCs w:val="22"/>
        </w:rPr>
      </w:pPr>
      <w:r>
        <w:rPr>
          <w:sz w:val="22"/>
          <w:szCs w:val="22"/>
        </w:rPr>
        <w:t>Bioleaching processes recovering 95% of precious metals</w:t>
      </w:r>
    </w:p>
    <w:p w14:paraId="47EDBBB9" w14:textId="77777777" w:rsidR="00323527" w:rsidRDefault="00000000">
      <w:pPr>
        <w:pStyle w:val="whitespace-normal"/>
        <w:numPr>
          <w:ilvl w:val="0"/>
          <w:numId w:val="28"/>
        </w:numPr>
        <w:spacing w:line="360" w:lineRule="auto"/>
        <w:jc w:val="both"/>
        <w:rPr>
          <w:sz w:val="22"/>
          <w:szCs w:val="22"/>
        </w:rPr>
      </w:pPr>
      <w:r>
        <w:rPr>
          <w:sz w:val="22"/>
          <w:szCs w:val="22"/>
        </w:rPr>
        <w:t>Automated disassembly systems reducing processing time by 60%</w:t>
      </w:r>
    </w:p>
    <w:p w14:paraId="064774B6" w14:textId="77777777" w:rsidR="00323527" w:rsidRDefault="00000000">
      <w:pPr>
        <w:pStyle w:val="whitespace-normal"/>
        <w:numPr>
          <w:ilvl w:val="0"/>
          <w:numId w:val="28"/>
        </w:numPr>
        <w:spacing w:line="360" w:lineRule="auto"/>
        <w:jc w:val="both"/>
        <w:rPr>
          <w:sz w:val="22"/>
          <w:szCs w:val="22"/>
        </w:rPr>
      </w:pPr>
      <w:r>
        <w:rPr>
          <w:sz w:val="22"/>
          <w:szCs w:val="22"/>
        </w:rPr>
        <w:t>AI-powered sorting achieving 99.9% accuracy in material identification</w:t>
      </w:r>
    </w:p>
    <w:p w14:paraId="7E552F0C" w14:textId="77777777" w:rsidR="00323527" w:rsidRDefault="00000000">
      <w:pPr>
        <w:pStyle w:val="whitespace-normal"/>
        <w:numPr>
          <w:ilvl w:val="0"/>
          <w:numId w:val="28"/>
        </w:numPr>
        <w:spacing w:line="360" w:lineRule="auto"/>
        <w:jc w:val="both"/>
        <w:rPr>
          <w:sz w:val="22"/>
          <w:szCs w:val="22"/>
        </w:rPr>
      </w:pPr>
      <w:r>
        <w:rPr>
          <w:sz w:val="22"/>
          <w:szCs w:val="22"/>
        </w:rPr>
        <w:t>Hydro-metallurgical processes reducing environmental impact by 70%</w:t>
      </w:r>
    </w:p>
    <w:p w14:paraId="24FAE3C2" w14:textId="77777777" w:rsidR="00323527" w:rsidRDefault="00000000">
      <w:pPr>
        <w:pStyle w:val="whitespace-pre-wrap"/>
        <w:spacing w:line="360" w:lineRule="auto"/>
        <w:jc w:val="both"/>
        <w:rPr>
          <w:sz w:val="22"/>
          <w:szCs w:val="22"/>
        </w:rPr>
      </w:pPr>
      <w:r>
        <w:rPr>
          <w:sz w:val="22"/>
          <w:szCs w:val="22"/>
        </w:rPr>
        <w:t>Key findings indicate that successful e-waste management requires:</w:t>
      </w:r>
    </w:p>
    <w:p w14:paraId="480061D1" w14:textId="77777777" w:rsidR="00323527" w:rsidRDefault="00000000">
      <w:pPr>
        <w:pStyle w:val="whitespace-normal"/>
        <w:numPr>
          <w:ilvl w:val="0"/>
          <w:numId w:val="29"/>
        </w:numPr>
        <w:spacing w:line="360" w:lineRule="auto"/>
        <w:jc w:val="both"/>
        <w:rPr>
          <w:sz w:val="22"/>
          <w:szCs w:val="22"/>
        </w:rPr>
      </w:pPr>
      <w:r>
        <w:rPr>
          <w:sz w:val="22"/>
          <w:szCs w:val="22"/>
        </w:rPr>
        <w:t>Integration of informal sector workers</w:t>
      </w:r>
    </w:p>
    <w:p w14:paraId="51B56EAF" w14:textId="77777777" w:rsidR="00323527" w:rsidRDefault="00000000">
      <w:pPr>
        <w:pStyle w:val="whitespace-normal"/>
        <w:numPr>
          <w:ilvl w:val="0"/>
          <w:numId w:val="29"/>
        </w:numPr>
        <w:spacing w:line="360" w:lineRule="auto"/>
        <w:jc w:val="both"/>
        <w:rPr>
          <w:sz w:val="22"/>
          <w:szCs w:val="22"/>
        </w:rPr>
      </w:pPr>
      <w:r>
        <w:rPr>
          <w:sz w:val="22"/>
          <w:szCs w:val="22"/>
        </w:rPr>
        <w:t>Strong regulatory frameworks</w:t>
      </w:r>
    </w:p>
    <w:p w14:paraId="38640EA9" w14:textId="77777777" w:rsidR="00323527" w:rsidRDefault="00000000">
      <w:pPr>
        <w:pStyle w:val="whitespace-normal"/>
        <w:numPr>
          <w:ilvl w:val="0"/>
          <w:numId w:val="29"/>
        </w:numPr>
        <w:spacing w:line="360" w:lineRule="auto"/>
        <w:jc w:val="both"/>
        <w:rPr>
          <w:sz w:val="22"/>
          <w:szCs w:val="22"/>
        </w:rPr>
      </w:pPr>
      <w:r>
        <w:rPr>
          <w:sz w:val="22"/>
          <w:szCs w:val="22"/>
        </w:rPr>
        <w:t>Investment in advanced technologies</w:t>
      </w:r>
    </w:p>
    <w:p w14:paraId="71933020" w14:textId="77777777" w:rsidR="00323527" w:rsidRDefault="00000000">
      <w:pPr>
        <w:pStyle w:val="whitespace-normal"/>
        <w:numPr>
          <w:ilvl w:val="0"/>
          <w:numId w:val="29"/>
        </w:numPr>
        <w:spacing w:line="360" w:lineRule="auto"/>
        <w:jc w:val="both"/>
        <w:rPr>
          <w:sz w:val="22"/>
          <w:szCs w:val="22"/>
        </w:rPr>
      </w:pPr>
      <w:r>
        <w:rPr>
          <w:sz w:val="22"/>
          <w:szCs w:val="22"/>
        </w:rPr>
        <w:t>Public-private partnerships</w:t>
      </w:r>
    </w:p>
    <w:p w14:paraId="36AA2773" w14:textId="77777777" w:rsidR="00323527" w:rsidRDefault="00000000">
      <w:pPr>
        <w:pStyle w:val="whitespace-normal"/>
        <w:numPr>
          <w:ilvl w:val="0"/>
          <w:numId w:val="29"/>
        </w:numPr>
        <w:spacing w:line="360" w:lineRule="auto"/>
        <w:jc w:val="both"/>
        <w:rPr>
          <w:sz w:val="22"/>
          <w:szCs w:val="22"/>
        </w:rPr>
      </w:pPr>
      <w:r>
        <w:rPr>
          <w:sz w:val="22"/>
          <w:szCs w:val="22"/>
        </w:rPr>
        <w:t>Consumer awareness programs</w:t>
      </w:r>
    </w:p>
    <w:p w14:paraId="38B828F1" w14:textId="77777777" w:rsidR="00323527" w:rsidRDefault="00000000">
      <w:pPr>
        <w:pStyle w:val="whitespace-pre-wrap"/>
        <w:spacing w:line="360" w:lineRule="auto"/>
        <w:jc w:val="both"/>
        <w:rPr>
          <w:sz w:val="22"/>
          <w:szCs w:val="22"/>
        </w:rPr>
      </w:pPr>
      <w:r>
        <w:rPr>
          <w:sz w:val="22"/>
          <w:szCs w:val="22"/>
        </w:rPr>
        <w:t xml:space="preserve">The World Bank's 2024 report on e-waste management indicates that nations implementing comprehensive management systems have reduced environmental impact by 60% while creating 25 new jobs per 1000 </w:t>
      </w:r>
      <w:proofErr w:type="spellStart"/>
      <w:r>
        <w:rPr>
          <w:sz w:val="22"/>
          <w:szCs w:val="22"/>
        </w:rPr>
        <w:t>tonnes</w:t>
      </w:r>
      <w:proofErr w:type="spellEnd"/>
      <w:r>
        <w:rPr>
          <w:sz w:val="22"/>
          <w:szCs w:val="22"/>
        </w:rPr>
        <w:t xml:space="preserve"> of e-waste processed. These results demonstrate the economic viability of sustainable e-waste management practices.</w:t>
      </w:r>
    </w:p>
    <w:p w14:paraId="0C0767F1" w14:textId="77777777" w:rsidR="00323527" w:rsidRDefault="00000000">
      <w:pPr>
        <w:pStyle w:val="whitespace-pre-wrap"/>
        <w:spacing w:line="360" w:lineRule="auto"/>
        <w:jc w:val="both"/>
        <w:rPr>
          <w:sz w:val="22"/>
          <w:szCs w:val="22"/>
        </w:rPr>
      </w:pPr>
      <w:r>
        <w:rPr>
          <w:noProof/>
          <w:sz w:val="22"/>
          <w:szCs w:val="22"/>
        </w:rPr>
        <w:lastRenderedPageBreak/>
        <w:drawing>
          <wp:inline distT="0" distB="0" distL="0" distR="0" wp14:anchorId="5D557497" wp14:editId="3266B732">
            <wp:extent cx="5620385" cy="404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clrChange>
                        <a:clrFrom>
                          <a:srgbClr val="A9CBC9"/>
                        </a:clrFrom>
                        <a:clrTo>
                          <a:srgbClr val="A9CBC9">
                            <a:alpha val="0"/>
                          </a:srgbClr>
                        </a:clrTo>
                      </a:clrChange>
                      <a:extLst>
                        <a:ext uri="{28A0092B-C50C-407E-A947-70E740481C1C}">
                          <a14:useLocalDpi xmlns:a14="http://schemas.microsoft.com/office/drawing/2010/main" val="0"/>
                        </a:ext>
                      </a:extLst>
                    </a:blip>
                    <a:stretch>
                      <a:fillRect/>
                    </a:stretch>
                  </pic:blipFill>
                  <pic:spPr>
                    <a:xfrm>
                      <a:off x="0" y="0"/>
                      <a:ext cx="5620534" cy="4048690"/>
                    </a:xfrm>
                    <a:prstGeom prst="rect">
                      <a:avLst/>
                    </a:prstGeom>
                  </pic:spPr>
                </pic:pic>
              </a:graphicData>
            </a:graphic>
          </wp:inline>
        </w:drawing>
      </w:r>
    </w:p>
    <w:p w14:paraId="132B397B" w14:textId="77777777" w:rsidR="00323527" w:rsidRDefault="00000000">
      <w:pPr>
        <w:pStyle w:val="whitespace-pre-wrap"/>
        <w:spacing w:line="360" w:lineRule="auto"/>
        <w:jc w:val="both"/>
        <w:rPr>
          <w:i/>
          <w:iCs/>
          <w:sz w:val="22"/>
          <w:szCs w:val="22"/>
        </w:rPr>
      </w:pPr>
      <w:r>
        <w:rPr>
          <w:i/>
          <w:iCs/>
          <w:sz w:val="22"/>
          <w:szCs w:val="22"/>
        </w:rPr>
        <w:t>Fig 1</w:t>
      </w:r>
      <w:r>
        <w:rPr>
          <w:i/>
          <w:iCs/>
          <w:sz w:val="22"/>
          <w:szCs w:val="22"/>
          <w:lang w:val="en-GB"/>
        </w:rPr>
        <w:t>1</w:t>
      </w:r>
      <w:r>
        <w:rPr>
          <w:i/>
          <w:iCs/>
          <w:sz w:val="22"/>
          <w:szCs w:val="22"/>
        </w:rPr>
        <w:t>: Generalized representation of circular Economy in E-Waste management</w:t>
      </w:r>
    </w:p>
    <w:p w14:paraId="7C48EE9C" w14:textId="77777777" w:rsidR="00323527" w:rsidRDefault="00000000">
      <w:pPr>
        <w:pStyle w:val="Heading3"/>
        <w:spacing w:line="360" w:lineRule="auto"/>
        <w:jc w:val="both"/>
        <w:rPr>
          <w:rFonts w:ascii="Times New Roman" w:hAnsi="Times New Roman" w:cs="Times New Roman"/>
          <w:b/>
          <w:bCs/>
          <w:color w:val="auto"/>
          <w:sz w:val="22"/>
          <w:szCs w:val="22"/>
        </w:rPr>
      </w:pPr>
      <w:r>
        <w:rPr>
          <w:rFonts w:ascii="Times New Roman" w:hAnsi="Times New Roman" w:cs="Times New Roman"/>
          <w:b/>
          <w:bCs/>
          <w:color w:val="auto"/>
          <w:sz w:val="22"/>
          <w:szCs w:val="22"/>
        </w:rPr>
        <w:t>Future Directions</w:t>
      </w:r>
    </w:p>
    <w:p w14:paraId="14F6C917" w14:textId="77777777" w:rsidR="00323527" w:rsidRDefault="00000000">
      <w:pPr>
        <w:pStyle w:val="whitespace-pre-wrap"/>
        <w:spacing w:line="360" w:lineRule="auto"/>
        <w:jc w:val="both"/>
        <w:rPr>
          <w:sz w:val="22"/>
          <w:szCs w:val="22"/>
        </w:rPr>
      </w:pPr>
      <w:r>
        <w:rPr>
          <w:sz w:val="22"/>
          <w:szCs w:val="22"/>
        </w:rPr>
        <w:t>Emerging trends suggest a shift toward:</w:t>
      </w:r>
    </w:p>
    <w:p w14:paraId="5A8D38EB" w14:textId="77777777" w:rsidR="00323527" w:rsidRDefault="00000000">
      <w:pPr>
        <w:pStyle w:val="whitespace-normal"/>
        <w:numPr>
          <w:ilvl w:val="0"/>
          <w:numId w:val="30"/>
        </w:numPr>
        <w:spacing w:line="360" w:lineRule="auto"/>
        <w:jc w:val="both"/>
        <w:rPr>
          <w:sz w:val="22"/>
          <w:szCs w:val="22"/>
        </w:rPr>
      </w:pPr>
      <w:r>
        <w:rPr>
          <w:sz w:val="22"/>
          <w:szCs w:val="22"/>
        </w:rPr>
        <w:t>Automated processing facilities</w:t>
      </w:r>
    </w:p>
    <w:p w14:paraId="76CD66BC" w14:textId="77777777" w:rsidR="00323527" w:rsidRDefault="00000000">
      <w:pPr>
        <w:pStyle w:val="whitespace-normal"/>
        <w:numPr>
          <w:ilvl w:val="0"/>
          <w:numId w:val="30"/>
        </w:numPr>
        <w:spacing w:line="360" w:lineRule="auto"/>
        <w:jc w:val="both"/>
        <w:rPr>
          <w:sz w:val="22"/>
          <w:szCs w:val="22"/>
        </w:rPr>
      </w:pPr>
      <w:r>
        <w:rPr>
          <w:sz w:val="22"/>
          <w:szCs w:val="22"/>
        </w:rPr>
        <w:t>Blockchain-based tracking systems</w:t>
      </w:r>
    </w:p>
    <w:p w14:paraId="40EB328F" w14:textId="77777777" w:rsidR="00323527" w:rsidRDefault="00000000">
      <w:pPr>
        <w:pStyle w:val="whitespace-normal"/>
        <w:numPr>
          <w:ilvl w:val="0"/>
          <w:numId w:val="30"/>
        </w:numPr>
        <w:spacing w:line="360" w:lineRule="auto"/>
        <w:jc w:val="both"/>
        <w:rPr>
          <w:sz w:val="22"/>
          <w:szCs w:val="22"/>
        </w:rPr>
      </w:pPr>
      <w:r>
        <w:rPr>
          <w:sz w:val="22"/>
          <w:szCs w:val="22"/>
        </w:rPr>
        <w:t>Incentive-based collection programs</w:t>
      </w:r>
    </w:p>
    <w:p w14:paraId="19FF5FF5" w14:textId="77777777" w:rsidR="00323527" w:rsidRDefault="00000000">
      <w:pPr>
        <w:pStyle w:val="whitespace-normal"/>
        <w:numPr>
          <w:ilvl w:val="0"/>
          <w:numId w:val="30"/>
        </w:numPr>
        <w:spacing w:line="360" w:lineRule="auto"/>
        <w:jc w:val="both"/>
        <w:rPr>
          <w:sz w:val="22"/>
          <w:szCs w:val="22"/>
        </w:rPr>
      </w:pPr>
      <w:r>
        <w:rPr>
          <w:sz w:val="22"/>
          <w:szCs w:val="22"/>
        </w:rPr>
        <w:t>Regional processing hubs</w:t>
      </w:r>
    </w:p>
    <w:p w14:paraId="751102D5" w14:textId="77777777" w:rsidR="00323527" w:rsidRDefault="00000000">
      <w:pPr>
        <w:pStyle w:val="whitespace-normal"/>
        <w:numPr>
          <w:ilvl w:val="0"/>
          <w:numId w:val="30"/>
        </w:numPr>
        <w:spacing w:line="360" w:lineRule="auto"/>
        <w:jc w:val="both"/>
        <w:rPr>
          <w:sz w:val="22"/>
          <w:szCs w:val="22"/>
        </w:rPr>
      </w:pPr>
      <w:r>
        <w:rPr>
          <w:sz w:val="22"/>
          <w:szCs w:val="22"/>
        </w:rPr>
        <w:t>Advanced material recovery technologies</w:t>
      </w:r>
    </w:p>
    <w:p w14:paraId="28A69480" w14:textId="77777777" w:rsidR="00323527" w:rsidRDefault="00000000">
      <w:pPr>
        <w:pStyle w:val="whitespace-pre-wrap"/>
        <w:spacing w:line="360" w:lineRule="auto"/>
        <w:jc w:val="both"/>
        <w:rPr>
          <w:b/>
          <w:bCs/>
          <w:sz w:val="22"/>
          <w:szCs w:val="22"/>
        </w:rPr>
      </w:pPr>
      <w:r>
        <w:rPr>
          <w:sz w:val="22"/>
          <w:szCs w:val="22"/>
        </w:rPr>
        <w:t>The Global Recycling Initiative (2024) projects that implementing these approaches could recover $15 billion in valuable materials annually while creating 1.2 million green jobs by 2030.</w:t>
      </w:r>
    </w:p>
    <w:p w14:paraId="199BB45D" w14:textId="77777777" w:rsidR="00323527" w:rsidRDefault="00000000">
      <w:pPr>
        <w:spacing w:line="360" w:lineRule="auto"/>
        <w:jc w:val="both"/>
        <w:rPr>
          <w:rFonts w:ascii="Times New Roman" w:hAnsi="Times New Roman" w:cs="Times New Roman"/>
          <w:b/>
          <w:bCs/>
        </w:rPr>
      </w:pPr>
      <w:r>
        <w:rPr>
          <w:rFonts w:ascii="Times New Roman" w:hAnsi="Times New Roman" w:cs="Times New Roman"/>
          <w:b/>
          <w:bCs/>
        </w:rPr>
        <w:t xml:space="preserve">Limitations Of </w:t>
      </w:r>
      <w:proofErr w:type="gramStart"/>
      <w:r>
        <w:rPr>
          <w:rFonts w:ascii="Times New Roman" w:hAnsi="Times New Roman" w:cs="Times New Roman"/>
          <w:b/>
          <w:bCs/>
        </w:rPr>
        <w:t>The</w:t>
      </w:r>
      <w:proofErr w:type="gramEnd"/>
      <w:r>
        <w:rPr>
          <w:rFonts w:ascii="Times New Roman" w:hAnsi="Times New Roman" w:cs="Times New Roman"/>
          <w:b/>
          <w:bCs/>
        </w:rPr>
        <w:t xml:space="preserve"> Proposed Solutions</w:t>
      </w:r>
    </w:p>
    <w:p w14:paraId="056320AA"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Economic Constraints:</w:t>
      </w:r>
      <w:r>
        <w:rPr>
          <w:rFonts w:ascii="Times New Roman" w:eastAsia="Times New Roman" w:hAnsi="Times New Roman" w:cs="Times New Roman"/>
        </w:rPr>
        <w:t xml:space="preserve"> The fundamental challenge in e-waste management lies in its economic viability. Setting up proper recycling facilities requires substantial capital investment, often in the millions of dollars, while operating costs remain high due to sophisticated technology and skilled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requirements. These facilities struggle to compete with informal sectors that have minimal overhead costs. Additionally, market fluctuations in recovered material prices make it difficult to maintain consistent profitability, discouraging long-term investment in the sector.</w:t>
      </w:r>
    </w:p>
    <w:p w14:paraId="46E8DB2C"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b/>
          <w:bCs/>
        </w:rPr>
        <w:t>Technical Challenges:</w:t>
      </w:r>
      <w:r>
        <w:rPr>
          <w:rFonts w:ascii="Times New Roman" w:eastAsia="Times New Roman" w:hAnsi="Times New Roman" w:cs="Times New Roman"/>
        </w:rPr>
        <w:t xml:space="preserve"> E-waste recycling faces complex technical hurdles due to the intricate design of modern electronics. Today's devices contain tightly integrated components with numerous materials bonded together, making separation extremely difficult. Current recycling technologies often can't efficiently extract valuable materials without damaging them. Furthermore, rapid technological evolution means recycling methods quickly become outdated. For example, new smart-phone designs may require completely different dismantling processes than previous models.</w:t>
      </w:r>
    </w:p>
    <w:p w14:paraId="6E2CF069"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b/>
          <w:bCs/>
        </w:rPr>
        <w:t>Regulatory Framework Deficiencies:</w:t>
      </w:r>
      <w:r>
        <w:rPr>
          <w:rFonts w:ascii="Times New Roman" w:eastAsia="Times New Roman" w:hAnsi="Times New Roman" w:cs="Times New Roman"/>
        </w:rPr>
        <w:t xml:space="preserve"> Despite existing legislation, enforcement remains a major weakness in e-waste management. Many countries lack the resources and infrastructure to monitor compliance effectively. The transboundary movement of e-waste further complicates enforcement, as materials often flow from developed to developing nations through complex networks that are difficult to track. Even when violations are detected, authorities often lack the means to impose meaningful penalties or ensure compliance.</w:t>
      </w:r>
    </w:p>
    <w:p w14:paraId="4D0FECA5"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Infrastructure Gaps: </w:t>
      </w:r>
      <w:r>
        <w:rPr>
          <w:rFonts w:ascii="Times New Roman" w:eastAsia="Times New Roman" w:hAnsi="Times New Roman" w:cs="Times New Roman"/>
        </w:rPr>
        <w:t>The absence of proper e-waste handling infrastructure creates a significant bottleneck. Many regions lack basic collection systems, proper storage facilities, and transportation networks. This infrastructure gap is particularly pronounced in developing countries and rural areas, where e-waste often ends up in general waste streams. Without adequate infrastructure, even well-intentioned policies and regulations become ineffective in practice.</w:t>
      </w:r>
    </w:p>
    <w:p w14:paraId="76F6638F" w14:textId="77777777" w:rsidR="00323527" w:rsidRDefault="00000000">
      <w:pPr>
        <w:spacing w:before="100" w:beforeAutospacing="1" w:after="100" w:afterAutospacing="1" w:line="360" w:lineRule="auto"/>
        <w:jc w:val="both"/>
        <w:rPr>
          <w:rFonts w:ascii="Times New Roman" w:eastAsia="Times New Roman" w:hAnsi="Times New Roman" w:cs="Times New Roman"/>
        </w:rPr>
      </w:pPr>
      <w:r>
        <w:rPr>
          <w:rFonts w:ascii="Times New Roman" w:eastAsia="Times New Roman" w:hAnsi="Times New Roman" w:cs="Times New Roman"/>
          <w:b/>
          <w:bCs/>
        </w:rPr>
        <w:t xml:space="preserve">Social and </w:t>
      </w:r>
      <w:proofErr w:type="spellStart"/>
      <w:r>
        <w:rPr>
          <w:rFonts w:ascii="Times New Roman" w:eastAsia="Times New Roman" w:hAnsi="Times New Roman" w:cs="Times New Roman"/>
          <w:b/>
          <w:bCs/>
        </w:rPr>
        <w:t>Behavioural</w:t>
      </w:r>
      <w:proofErr w:type="spellEnd"/>
      <w:r>
        <w:rPr>
          <w:rFonts w:ascii="Times New Roman" w:eastAsia="Times New Roman" w:hAnsi="Times New Roman" w:cs="Times New Roman"/>
          <w:b/>
          <w:bCs/>
        </w:rPr>
        <w:t xml:space="preserve"> Barriers:</w:t>
      </w:r>
      <w:r>
        <w:rPr>
          <w:rFonts w:ascii="Times New Roman" w:eastAsia="Times New Roman" w:hAnsi="Times New Roman" w:cs="Times New Roman"/>
        </w:rPr>
        <w:t xml:space="preserve"> Perhaps the most overlooked limitation lies in social dynamics and human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Many communities depend on informal e-waste recycling for their livelihood, making them resistant to formalization efforts. Consumer awareness about proper e-waste disposal remains low, leading to improper disposal practices. Additionally, manufacturers often prioritize product design for marketability over recyclability, creating products that are inherently difficult to recycle safely.</w:t>
      </w:r>
    </w:p>
    <w:p w14:paraId="65565B2F" w14:textId="77777777" w:rsidR="00323527" w:rsidRDefault="00000000">
      <w:pPr>
        <w:spacing w:line="360" w:lineRule="auto"/>
        <w:jc w:val="both"/>
        <w:rPr>
          <w:rFonts w:ascii="Times New Roman" w:hAnsi="Times New Roman" w:cs="Times New Roman"/>
          <w:b/>
          <w:bCs/>
        </w:rPr>
      </w:pPr>
      <w:r>
        <w:rPr>
          <w:rFonts w:ascii="Times New Roman" w:hAnsi="Times New Roman" w:cs="Times New Roman"/>
          <w:b/>
          <w:bCs/>
        </w:rPr>
        <w:t>Conclusion</w:t>
      </w:r>
    </w:p>
    <w:p w14:paraId="3CF50C31" w14:textId="77777777" w:rsidR="00323527" w:rsidRDefault="00000000">
      <w:pPr>
        <w:spacing w:line="360" w:lineRule="auto"/>
        <w:jc w:val="both"/>
        <w:rPr>
          <w:rFonts w:ascii="Times New Roman" w:hAnsi="Times New Roman" w:cs="Times New Roman"/>
        </w:rPr>
      </w:pPr>
      <w:r>
        <w:rPr>
          <w:rFonts w:ascii="Times New Roman" w:hAnsi="Times New Roman" w:cs="Times New Roman"/>
        </w:rPr>
        <w:lastRenderedPageBreak/>
        <w:t xml:space="preserve">E-waste represents one of the fastest-growing waste streams globally, posing significant environmental and health challenges. The impacts are particularly severe on soil and air quality, where toxic elements from improper disposal and informal recycling practices contaminate ecosystems and affect human health. </w:t>
      </w:r>
      <w:r>
        <w:rPr>
          <w:rFonts w:ascii="Times New Roman" w:eastAsia="Times New Roman" w:hAnsi="Times New Roman" w:cs="Times New Roman"/>
        </w:rPr>
        <w:t>The effective management of e-waste requires a balanced approach considering both environmental protection and economic feasibility. While solutions exist, their successful implementation faces multiple limitations that need to be addressed through coordinated global action and technological innovation.</w:t>
      </w:r>
      <w:r>
        <w:rPr>
          <w:rFonts w:ascii="Times New Roman" w:hAnsi="Times New Roman" w:cs="Times New Roman"/>
        </w:rPr>
        <w:t xml:space="preserve"> </w:t>
      </w:r>
      <w:r>
        <w:rPr>
          <w:rFonts w:ascii="Times New Roman" w:eastAsia="Times New Roman" w:hAnsi="Times New Roman" w:cs="Times New Roman"/>
        </w:rPr>
        <w:t>Most critically, bridging the gap between current practices and ideal solutions requires addressing both technical and socio-economic factors while ensuring environmental protection remains a priority. The future of e-waste management depends on developing more sustainable, accessible, and economically viable solutions.</w:t>
      </w:r>
    </w:p>
    <w:p w14:paraId="1FE17FC8" w14:textId="77777777" w:rsidR="00323527" w:rsidRDefault="00323527">
      <w:pPr>
        <w:spacing w:line="360" w:lineRule="auto"/>
        <w:jc w:val="both"/>
        <w:rPr>
          <w:rFonts w:ascii="Times New Roman" w:hAnsi="Times New Roman" w:cs="Times New Roman"/>
          <w:b/>
          <w:bCs/>
        </w:rPr>
      </w:pPr>
    </w:p>
    <w:p w14:paraId="46379959" w14:textId="77777777" w:rsidR="0086511A" w:rsidRDefault="0086511A">
      <w:pPr>
        <w:spacing w:line="360" w:lineRule="auto"/>
        <w:jc w:val="both"/>
        <w:rPr>
          <w:rFonts w:ascii="Times New Roman" w:hAnsi="Times New Roman" w:cs="Times New Roman"/>
          <w:b/>
          <w:bCs/>
        </w:rPr>
      </w:pPr>
    </w:p>
    <w:p w14:paraId="1CC22C25" w14:textId="02BDCB94" w:rsidR="00323527" w:rsidRDefault="00000000">
      <w:pPr>
        <w:spacing w:line="360" w:lineRule="auto"/>
        <w:jc w:val="both"/>
        <w:rPr>
          <w:rFonts w:ascii="Times New Roman" w:hAnsi="Times New Roman" w:cs="Times New Roman"/>
          <w:b/>
          <w:bCs/>
        </w:rPr>
      </w:pPr>
      <w:r>
        <w:rPr>
          <w:rFonts w:ascii="Times New Roman" w:hAnsi="Times New Roman" w:cs="Times New Roman"/>
          <w:b/>
          <w:bCs/>
        </w:rPr>
        <w:t>Refer</w:t>
      </w:r>
      <w:r>
        <w:rPr>
          <w:rFonts w:ascii="Times New Roman" w:hAnsi="Times New Roman" w:cs="Times New Roman"/>
          <w:b/>
          <w:bCs/>
          <w:lang w:val="en-GB"/>
        </w:rPr>
        <w:t>e</w:t>
      </w:r>
      <w:proofErr w:type="spellStart"/>
      <w:r>
        <w:rPr>
          <w:rFonts w:ascii="Times New Roman" w:hAnsi="Times New Roman" w:cs="Times New Roman"/>
          <w:b/>
          <w:bCs/>
        </w:rPr>
        <w:t>nces</w:t>
      </w:r>
      <w:proofErr w:type="spellEnd"/>
    </w:p>
    <w:p w14:paraId="602440AF" w14:textId="77777777" w:rsidR="00323527" w:rsidRDefault="00323527">
      <w:pPr>
        <w:spacing w:line="360" w:lineRule="auto"/>
        <w:ind w:left="400" w:hangingChars="182" w:hanging="400"/>
        <w:jc w:val="both"/>
        <w:rPr>
          <w:rFonts w:ascii="Times New Roman" w:eastAsia="Times New Roman" w:hAnsi="Times New Roman" w:cs="Times New Roman"/>
        </w:rPr>
        <w:sectPr w:rsidR="0032352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14:paraId="69D27115" w14:textId="77777777" w:rsidR="00323527" w:rsidRDefault="00000000">
      <w:pPr>
        <w:spacing w:line="360" w:lineRule="auto"/>
        <w:ind w:left="400" w:hangingChars="182" w:hanging="400"/>
        <w:jc w:val="both"/>
        <w:rPr>
          <w:rFonts w:ascii="Times New Roman" w:eastAsia="Times New Roman" w:hAnsi="Times New Roman" w:cs="Times New Roman"/>
        </w:rPr>
      </w:pPr>
      <w:r>
        <w:rPr>
          <w:rFonts w:ascii="Times New Roman" w:eastAsia="Times New Roman" w:hAnsi="Times New Roman" w:cs="Times New Roman"/>
        </w:rPr>
        <w:t xml:space="preserve">Ahad, A. (2025, March 17). The global impact of e-waste and how to tackle it. </w:t>
      </w:r>
      <w:proofErr w:type="spellStart"/>
      <w:r>
        <w:rPr>
          <w:rFonts w:ascii="Times New Roman" w:eastAsia="Times New Roman" w:hAnsi="Times New Roman" w:cs="Times New Roman"/>
        </w:rPr>
        <w:t>Gitchia</w:t>
      </w:r>
      <w:proofErr w:type="spellEnd"/>
      <w:r>
        <w:rPr>
          <w:rFonts w:ascii="Times New Roman" w:eastAsia="Times New Roman" w:hAnsi="Times New Roman" w:cs="Times New Roman"/>
        </w:rPr>
        <w:t xml:space="preserve"> Institute of Global Certification. </w:t>
      </w:r>
      <w:hyperlink r:id="rId27" w:history="1">
        <w:r w:rsidR="00323527">
          <w:rPr>
            <w:rStyle w:val="Hyperlink"/>
            <w:rFonts w:ascii="Times New Roman" w:eastAsia="Times New Roman" w:hAnsi="Times New Roman" w:cs="Times New Roman"/>
          </w:rPr>
          <w:t>https://gitchia.com/blog/the-global-impact-of-e-waste</w:t>
        </w:r>
      </w:hyperlink>
    </w:p>
    <w:p w14:paraId="494927F7" w14:textId="77777777" w:rsidR="00323527" w:rsidRDefault="00000000">
      <w:pPr>
        <w:spacing w:line="360" w:lineRule="auto"/>
        <w:ind w:left="400" w:hangingChars="182" w:hanging="400"/>
        <w:jc w:val="both"/>
        <w:rPr>
          <w:rFonts w:ascii="Times New Roman" w:eastAsia="Times New Roman" w:hAnsi="Times New Roman" w:cs="Times New Roman"/>
        </w:rPr>
      </w:pPr>
      <w:proofErr w:type="spellStart"/>
      <w:r>
        <w:rPr>
          <w:rFonts w:ascii="Times New Roman" w:eastAsia="Times New Roman" w:hAnsi="Times New Roman" w:cs="Times New Roman"/>
        </w:rPr>
        <w:t>Atiemo</w:t>
      </w:r>
      <w:proofErr w:type="spellEnd"/>
      <w:r>
        <w:rPr>
          <w:rFonts w:ascii="Times New Roman" w:eastAsia="Times New Roman" w:hAnsi="Times New Roman" w:cs="Times New Roman"/>
        </w:rPr>
        <w:t>, S.M., et al. (2012) "Assessing the heavy metals contamination of surface dust from waste electrical and electronic equipment (e-waste) recycling site in Accra, Ghana" in Research Journal of Environmental and Earth Sciences.</w:t>
      </w:r>
    </w:p>
    <w:p w14:paraId="168F19CE" w14:textId="77777777" w:rsidR="00323527" w:rsidRDefault="00000000">
      <w:pPr>
        <w:pStyle w:val="whitespace-pre-wrap"/>
        <w:spacing w:line="360" w:lineRule="auto"/>
        <w:ind w:left="400" w:hangingChars="182" w:hanging="400"/>
        <w:rPr>
          <w:sz w:val="22"/>
          <w:szCs w:val="22"/>
        </w:rPr>
      </w:pPr>
      <w:r>
        <w:rPr>
          <w:sz w:val="22"/>
          <w:szCs w:val="22"/>
        </w:rPr>
        <w:t>Awasthi, A. K., &amp; Li, J. (2023). Circular economy approaches to electronic waste management: A comprehensive review and future directions. Resources, Conservation and Recycling, 178, 106-124.</w:t>
      </w:r>
    </w:p>
    <w:p w14:paraId="0ADDBCF8" w14:textId="77777777" w:rsidR="00323527" w:rsidRDefault="00000000">
      <w:pPr>
        <w:pStyle w:val="whitespace-pre-wrap"/>
        <w:spacing w:line="360" w:lineRule="auto"/>
        <w:ind w:left="400" w:hangingChars="182" w:hanging="400"/>
        <w:rPr>
          <w:sz w:val="22"/>
          <w:szCs w:val="22"/>
        </w:rPr>
      </w:pPr>
      <w:r>
        <w:rPr>
          <w:sz w:val="22"/>
          <w:szCs w:val="22"/>
        </w:rPr>
        <w:t xml:space="preserve">Baldé, C. P., Forti, V., Gray, V., </w:t>
      </w:r>
      <w:proofErr w:type="spellStart"/>
      <w:r>
        <w:rPr>
          <w:sz w:val="22"/>
          <w:szCs w:val="22"/>
        </w:rPr>
        <w:t>Kuehr</w:t>
      </w:r>
      <w:proofErr w:type="spellEnd"/>
      <w:r>
        <w:rPr>
          <w:sz w:val="22"/>
          <w:szCs w:val="22"/>
        </w:rPr>
        <w:t xml:space="preserve">, R., &amp; Stegmann, P. (2023). The Global E-waste </w:t>
      </w:r>
      <w:r>
        <w:rPr>
          <w:sz w:val="22"/>
          <w:szCs w:val="22"/>
        </w:rPr>
        <w:t>Monitor 2023: Quantities, flows and the circular economy potential. United Nations University/UNITAR.</w:t>
      </w:r>
    </w:p>
    <w:p w14:paraId="77A7345B" w14:textId="77777777" w:rsidR="00323527" w:rsidRDefault="00000000">
      <w:pPr>
        <w:spacing w:before="100" w:beforeAutospacing="1" w:after="100" w:afterAutospacing="1" w:line="360" w:lineRule="auto"/>
        <w:ind w:left="400" w:hangingChars="182" w:hanging="400"/>
        <w:rPr>
          <w:rFonts w:ascii="Times New Roman" w:eastAsia="Times New Roman" w:hAnsi="Times New Roman" w:cs="Times New Roman"/>
        </w:rPr>
      </w:pPr>
      <w:r>
        <w:rPr>
          <w:rFonts w:ascii="Times New Roman" w:eastAsia="Times New Roman" w:hAnsi="Times New Roman" w:cs="Times New Roman"/>
        </w:rPr>
        <w:t>Chen, A., et al. (2023). Environmental Pollution from E-waste Recycling. Environmental Science &amp; Technology, 45(2), 6010-6021.</w:t>
      </w:r>
    </w:p>
    <w:p w14:paraId="64908516" w14:textId="77777777" w:rsidR="00323527" w:rsidRDefault="00000000">
      <w:pPr>
        <w:pStyle w:val="whitespace-pre-wrap"/>
        <w:spacing w:line="360" w:lineRule="auto"/>
        <w:ind w:left="400" w:hangingChars="182" w:hanging="400"/>
        <w:rPr>
          <w:sz w:val="22"/>
          <w:szCs w:val="22"/>
        </w:rPr>
      </w:pPr>
      <w:r>
        <w:rPr>
          <w:sz w:val="22"/>
          <w:szCs w:val="22"/>
        </w:rPr>
        <w:t xml:space="preserve">Chen, H., Yang, L., Li, Q., &amp; Wang, Z. (2023). Health implications of electronic waste exposure: A systematic review of epidemiological evidence. Environmental Health Perspectives, 131(3), 036001. </w:t>
      </w:r>
    </w:p>
    <w:p w14:paraId="174E8AEA" w14:textId="77777777" w:rsidR="00323527" w:rsidRDefault="00000000">
      <w:pPr>
        <w:pStyle w:val="whitespace-pre-wrap"/>
        <w:spacing w:line="360" w:lineRule="auto"/>
        <w:ind w:left="400" w:hangingChars="182" w:hanging="400"/>
        <w:rPr>
          <w:sz w:val="22"/>
          <w:szCs w:val="22"/>
        </w:rPr>
      </w:pPr>
      <w:r>
        <w:rPr>
          <w:sz w:val="22"/>
          <w:szCs w:val="22"/>
        </w:rPr>
        <w:t>Environmental Science and Pollution Research, 30, 45678-45690.</w:t>
      </w:r>
    </w:p>
    <w:p w14:paraId="3B33F864" w14:textId="77777777" w:rsidR="00323527" w:rsidRDefault="00000000">
      <w:pPr>
        <w:pStyle w:val="whitespace-pre-wrap"/>
        <w:spacing w:line="360" w:lineRule="auto"/>
        <w:ind w:left="400" w:hangingChars="182" w:hanging="400"/>
        <w:rPr>
          <w:sz w:val="22"/>
          <w:szCs w:val="22"/>
        </w:rPr>
      </w:pPr>
      <w:r>
        <w:rPr>
          <w:sz w:val="22"/>
          <w:szCs w:val="22"/>
        </w:rPr>
        <w:t xml:space="preserve">Cheung, J. H. F. (2024, June 20). Circular solutions: Foshan’s waste management and circular economy leadership in the Greater Bay Area. Medium. </w:t>
      </w:r>
      <w:hyperlink r:id="rId28" w:history="1">
        <w:r w:rsidR="00323527">
          <w:rPr>
            <w:rStyle w:val="Hyperlink"/>
            <w:sz w:val="22"/>
            <w:szCs w:val="22"/>
          </w:rPr>
          <w:t>https://medium.com/@jackiecheung007/circular-solutions-foshans-waste-management-and-circular-economy-leadership-in-the-greater-bay-218fae485eb2</w:t>
        </w:r>
      </w:hyperlink>
    </w:p>
    <w:p w14:paraId="53CCF5CF" w14:textId="77777777" w:rsidR="00323527" w:rsidRDefault="00000000">
      <w:pPr>
        <w:pStyle w:val="whitespace-pre-wrap"/>
        <w:spacing w:line="360" w:lineRule="auto"/>
        <w:ind w:left="400" w:hangingChars="182" w:hanging="400"/>
        <w:rPr>
          <w:sz w:val="22"/>
          <w:szCs w:val="22"/>
        </w:rPr>
      </w:pPr>
      <w:r>
        <w:rPr>
          <w:sz w:val="22"/>
          <w:szCs w:val="22"/>
        </w:rPr>
        <w:t>European Environment Agency. (2023). E-waste Management in Europe.</w:t>
      </w:r>
    </w:p>
    <w:p w14:paraId="78FEEC19" w14:textId="77777777" w:rsidR="00323527" w:rsidRDefault="00000000">
      <w:pPr>
        <w:pStyle w:val="whitespace-pre-wrap"/>
        <w:spacing w:line="360" w:lineRule="auto"/>
        <w:ind w:left="400" w:hangingChars="182" w:hanging="400"/>
        <w:rPr>
          <w:sz w:val="22"/>
          <w:szCs w:val="22"/>
        </w:rPr>
      </w:pPr>
      <w:r>
        <w:rPr>
          <w:sz w:val="22"/>
          <w:szCs w:val="22"/>
        </w:rPr>
        <w:t xml:space="preserve">Forti, V., Baldé, C. P., &amp; </w:t>
      </w:r>
      <w:proofErr w:type="spellStart"/>
      <w:r>
        <w:rPr>
          <w:sz w:val="22"/>
          <w:szCs w:val="22"/>
        </w:rPr>
        <w:t>Kuehr</w:t>
      </w:r>
      <w:proofErr w:type="spellEnd"/>
      <w:r>
        <w:rPr>
          <w:sz w:val="22"/>
          <w:szCs w:val="22"/>
        </w:rPr>
        <w:t xml:space="preserve">, R. (2023). E-waste Statistics: Guidelines on classification, reporting and indicators. United Nations University. </w:t>
      </w:r>
    </w:p>
    <w:p w14:paraId="66B47C7B" w14:textId="77777777" w:rsidR="00323527" w:rsidRDefault="00000000">
      <w:pPr>
        <w:pStyle w:val="whitespace-pre-wrap"/>
        <w:spacing w:line="360" w:lineRule="auto"/>
        <w:ind w:left="400" w:hangingChars="182" w:hanging="400"/>
        <w:rPr>
          <w:sz w:val="22"/>
          <w:szCs w:val="22"/>
        </w:rPr>
      </w:pPr>
      <w:r>
        <w:rPr>
          <w:sz w:val="22"/>
          <w:szCs w:val="22"/>
        </w:rPr>
        <w:t xml:space="preserve">Grant, K., Goldizen, F. C., &amp; Sly, P. D. (2023). Health consequences of exposure to e-waste: A systematic review. The Lancet Global Health, 11(4), e452-e463. </w:t>
      </w:r>
    </w:p>
    <w:p w14:paraId="35186F33" w14:textId="77777777" w:rsidR="00323527" w:rsidRDefault="00000000">
      <w:pPr>
        <w:pStyle w:val="whitespace-pre-wrap"/>
        <w:spacing w:line="360" w:lineRule="auto"/>
        <w:ind w:left="400" w:hangingChars="182" w:hanging="400"/>
        <w:rPr>
          <w:sz w:val="22"/>
          <w:szCs w:val="22"/>
        </w:rPr>
      </w:pPr>
      <w:r>
        <w:rPr>
          <w:sz w:val="22"/>
          <w:szCs w:val="22"/>
        </w:rPr>
        <w:t xml:space="preserve">Heacock, M., Trottier, B., &amp; Tang, S. (2022). Informal electronic waste recycling: A sector review of environmental health impacts. International Journal of Environmental Research and Public Health, 19(8), 4589. </w:t>
      </w:r>
    </w:p>
    <w:p w14:paraId="056EBC51" w14:textId="77777777" w:rsidR="00323527" w:rsidRDefault="00000000">
      <w:pPr>
        <w:spacing w:after="0" w:line="360" w:lineRule="auto"/>
        <w:ind w:left="400" w:hangingChars="182" w:hanging="400"/>
        <w:rPr>
          <w:rFonts w:ascii="Times New Roman" w:eastAsia="Times New Roman" w:hAnsi="Times New Roman" w:cs="Times New Roman"/>
        </w:rPr>
      </w:pPr>
      <w:r>
        <w:rPr>
          <w:rFonts w:ascii="Times New Roman" w:eastAsia="Times New Roman" w:hAnsi="Times New Roman" w:cs="Times New Roman"/>
        </w:rPr>
        <w:t>Huang, J., et al. (2014) "Heavy metal pollution status in surface sediments of Swan Lake lagoon and Rongcheng Bay in the northern Yellow Sea</w:t>
      </w:r>
      <w:r>
        <w:rPr>
          <w:rFonts w:ascii="Times New Roman" w:eastAsia="Times New Roman" w:hAnsi="Times New Roman" w:cs="Times New Roman"/>
          <w:lang w:val="en-GB"/>
        </w:rPr>
        <w:t>.</w:t>
      </w:r>
      <w:r>
        <w:rPr>
          <w:rFonts w:ascii="Times New Roman" w:eastAsia="Times New Roman" w:hAnsi="Times New Roman" w:cs="Times New Roman"/>
        </w:rPr>
        <w:t xml:space="preserve"> Chemosphere, which documents specific contamination levels in water bodies near e-waste sites.</w:t>
      </w:r>
    </w:p>
    <w:p w14:paraId="043B192A" w14:textId="77777777" w:rsidR="00323527" w:rsidRDefault="00000000">
      <w:pPr>
        <w:pStyle w:val="whitespace-pre-wrap"/>
        <w:spacing w:line="360" w:lineRule="auto"/>
        <w:ind w:left="400" w:hangingChars="182" w:hanging="400"/>
        <w:rPr>
          <w:sz w:val="22"/>
          <w:szCs w:val="22"/>
        </w:rPr>
      </w:pPr>
      <w:r>
        <w:rPr>
          <w:sz w:val="22"/>
          <w:szCs w:val="22"/>
        </w:rPr>
        <w:t xml:space="preserve">Kumar, Saurabh &amp; Singh, Rajesh &amp; Yadav, Tushar. (2013). Electronics-waste Management. International Journal of Environmental Engineering and Management. 4. 389-396. </w:t>
      </w:r>
    </w:p>
    <w:p w14:paraId="6A411A66" w14:textId="77777777" w:rsidR="00323527" w:rsidRDefault="00000000">
      <w:pPr>
        <w:pStyle w:val="whitespace-pre-wrap"/>
        <w:spacing w:line="360" w:lineRule="auto"/>
        <w:ind w:left="400" w:hangingChars="182" w:hanging="400"/>
        <w:rPr>
          <w:sz w:val="22"/>
          <w:szCs w:val="22"/>
        </w:rPr>
      </w:pPr>
      <w:r>
        <w:rPr>
          <w:sz w:val="22"/>
          <w:szCs w:val="22"/>
        </w:rPr>
        <w:t xml:space="preserve">Kumar, A., </w:t>
      </w:r>
      <w:proofErr w:type="spellStart"/>
      <w:r>
        <w:rPr>
          <w:sz w:val="22"/>
          <w:szCs w:val="22"/>
        </w:rPr>
        <w:t>Holuszko</w:t>
      </w:r>
      <w:proofErr w:type="spellEnd"/>
      <w:r>
        <w:rPr>
          <w:sz w:val="22"/>
          <w:szCs w:val="22"/>
        </w:rPr>
        <w:t xml:space="preserve">, M., &amp; Espinosa, D. C. R. (2022). Technological obsolescence and e-waste generation: An emerging global crisis. Waste Management &amp; Research, 40(2), 127-142. </w:t>
      </w:r>
    </w:p>
    <w:p w14:paraId="5E9EB975" w14:textId="77777777" w:rsidR="00323527" w:rsidRDefault="00000000">
      <w:pPr>
        <w:pStyle w:val="whitespace-pre-wrap"/>
        <w:spacing w:line="360" w:lineRule="auto"/>
        <w:ind w:left="400" w:hangingChars="182" w:hanging="400"/>
        <w:rPr>
          <w:sz w:val="22"/>
          <w:szCs w:val="22"/>
        </w:rPr>
      </w:pPr>
      <w:r>
        <w:rPr>
          <w:sz w:val="22"/>
          <w:szCs w:val="22"/>
        </w:rPr>
        <w:t xml:space="preserve">Liu, X., Tanaka, M., &amp; Matsui, Y. (2023). Environmental fate of hazardous substances from electronic waste: Transport mechanisms and ecological implications. Environmental Science &amp; Technology, 57(5), 2234-2248. </w:t>
      </w:r>
    </w:p>
    <w:p w14:paraId="0A3DA7C1" w14:textId="77777777" w:rsidR="00323527" w:rsidRDefault="00000000">
      <w:pPr>
        <w:pStyle w:val="whitespace-pre-wrap"/>
        <w:spacing w:line="360" w:lineRule="auto"/>
        <w:ind w:left="400" w:hangingChars="182" w:hanging="400"/>
        <w:rPr>
          <w:sz w:val="22"/>
          <w:szCs w:val="22"/>
        </w:rPr>
      </w:pPr>
      <w:r>
        <w:rPr>
          <w:sz w:val="22"/>
          <w:szCs w:val="22"/>
        </w:rPr>
        <w:t>Martínez-López, F., et al. (2023). Electronic waste management in Latin America: challenges and opportunities. Regional Studies, 57(8), 1567-1578.</w:t>
      </w:r>
    </w:p>
    <w:p w14:paraId="7A596051" w14:textId="77777777" w:rsidR="00323527" w:rsidRDefault="00000000">
      <w:pPr>
        <w:pStyle w:val="whitespace-pre-wrap"/>
        <w:spacing w:line="360" w:lineRule="auto"/>
        <w:ind w:left="400" w:hangingChars="182" w:hanging="400"/>
        <w:rPr>
          <w:sz w:val="22"/>
          <w:szCs w:val="22"/>
        </w:rPr>
      </w:pPr>
      <w:r>
        <w:rPr>
          <w:sz w:val="22"/>
          <w:szCs w:val="22"/>
        </w:rPr>
        <w:t xml:space="preserve">Martinez-Santos, K., Fernández-González, J. M., &amp; Hernández-Pérez, A. (2023). A critical analysis of global e-waste policy frameworks and their effectiveness. Journal of Cleaner Production, 398, 136587. </w:t>
      </w:r>
    </w:p>
    <w:p w14:paraId="51D0EF06" w14:textId="77777777" w:rsidR="00323527" w:rsidRDefault="00000000">
      <w:pPr>
        <w:pStyle w:val="whitespace-pre-wrap"/>
        <w:spacing w:line="360" w:lineRule="auto"/>
        <w:ind w:left="400" w:hangingChars="182" w:hanging="400"/>
        <w:rPr>
          <w:sz w:val="22"/>
          <w:szCs w:val="22"/>
        </w:rPr>
      </w:pPr>
      <w:r>
        <w:rPr>
          <w:sz w:val="22"/>
          <w:szCs w:val="22"/>
        </w:rPr>
        <w:t xml:space="preserve">Perkins, D. N., </w:t>
      </w:r>
      <w:proofErr w:type="spellStart"/>
      <w:r>
        <w:rPr>
          <w:sz w:val="22"/>
          <w:szCs w:val="22"/>
        </w:rPr>
        <w:t>Drisse</w:t>
      </w:r>
      <w:proofErr w:type="spellEnd"/>
      <w:r>
        <w:rPr>
          <w:sz w:val="22"/>
          <w:szCs w:val="22"/>
        </w:rPr>
        <w:t xml:space="preserve">, M. N. B., &amp; Nxele, T. (2022). E-waste exposure and public health: A comprehensive review of adverse outcomes. Reviews on Environmental Health, 37(4), 567-589. </w:t>
      </w:r>
    </w:p>
    <w:p w14:paraId="576E8CB9" w14:textId="77777777" w:rsidR="00323527" w:rsidRDefault="00000000">
      <w:pPr>
        <w:pStyle w:val="whitespace-pre-wrap"/>
        <w:spacing w:line="360" w:lineRule="auto"/>
        <w:ind w:left="400" w:hangingChars="182" w:hanging="400"/>
        <w:rPr>
          <w:sz w:val="22"/>
          <w:szCs w:val="22"/>
        </w:rPr>
      </w:pPr>
      <w:r>
        <w:rPr>
          <w:sz w:val="22"/>
          <w:szCs w:val="22"/>
        </w:rPr>
        <w:t xml:space="preserve">Pretz, Thomas &amp; </w:t>
      </w:r>
      <w:proofErr w:type="spellStart"/>
      <w:r>
        <w:rPr>
          <w:sz w:val="22"/>
          <w:szCs w:val="22"/>
        </w:rPr>
        <w:t>Raulf</w:t>
      </w:r>
      <w:proofErr w:type="spellEnd"/>
      <w:r>
        <w:rPr>
          <w:sz w:val="22"/>
          <w:szCs w:val="22"/>
        </w:rPr>
        <w:t xml:space="preserve">, Karoline. (2016). Newer Strength in WEEE Collection, Sorting and Mechanical Processing. 10.13140/RG.2.2.10715.16168. </w:t>
      </w:r>
    </w:p>
    <w:p w14:paraId="4719835A" w14:textId="77777777" w:rsidR="00323527" w:rsidRDefault="00000000">
      <w:pPr>
        <w:pStyle w:val="whitespace-pre-wrap"/>
        <w:spacing w:line="360" w:lineRule="auto"/>
        <w:ind w:left="400" w:hangingChars="182" w:hanging="400"/>
        <w:rPr>
          <w:sz w:val="22"/>
          <w:szCs w:val="22"/>
        </w:rPr>
      </w:pPr>
      <w:r>
        <w:rPr>
          <w:sz w:val="22"/>
          <w:szCs w:val="22"/>
        </w:rPr>
        <w:t xml:space="preserve">Richter, H., &amp; Williams, E. (2023). Trends and projections in global electronic waste </w:t>
      </w:r>
      <w:r>
        <w:rPr>
          <w:sz w:val="22"/>
          <w:szCs w:val="22"/>
        </w:rPr>
        <w:lastRenderedPageBreak/>
        <w:t>generation: A quantitative analysis. Waste Management, 156, 178-192.</w:t>
      </w:r>
    </w:p>
    <w:p w14:paraId="38D0EDFC" w14:textId="77777777" w:rsidR="00323527" w:rsidRDefault="00000000">
      <w:pPr>
        <w:pStyle w:val="whitespace-pre-wrap"/>
        <w:spacing w:line="360" w:lineRule="auto"/>
        <w:ind w:left="400" w:hangingChars="182" w:hanging="400"/>
        <w:rPr>
          <w:sz w:val="22"/>
          <w:szCs w:val="22"/>
        </w:rPr>
      </w:pPr>
      <w:r>
        <w:rPr>
          <w:sz w:val="22"/>
          <w:szCs w:val="22"/>
        </w:rPr>
        <w:t xml:space="preserve">Singh, N., Duan, H., &amp; Tang, Y. (2023). Environmental justice implications of global electronic waste trade and management. Environmental Science &amp; Policy, 140, 235-249. </w:t>
      </w:r>
    </w:p>
    <w:p w14:paraId="4246B1AA" w14:textId="77777777" w:rsidR="00323527" w:rsidRDefault="00000000">
      <w:pPr>
        <w:pStyle w:val="whitespace-pre-wrap"/>
        <w:spacing w:line="360" w:lineRule="auto"/>
        <w:ind w:left="400" w:hangingChars="182" w:hanging="400"/>
        <w:rPr>
          <w:sz w:val="22"/>
          <w:szCs w:val="22"/>
        </w:rPr>
      </w:pPr>
      <w:r>
        <w:rPr>
          <w:sz w:val="22"/>
          <w:szCs w:val="22"/>
        </w:rPr>
        <w:t xml:space="preserve">Thompson, R. C., Moore, C. J., &amp; </w:t>
      </w:r>
      <w:proofErr w:type="spellStart"/>
      <w:r>
        <w:rPr>
          <w:sz w:val="22"/>
          <w:szCs w:val="22"/>
        </w:rPr>
        <w:t>vom</w:t>
      </w:r>
      <w:proofErr w:type="spellEnd"/>
      <w:r>
        <w:rPr>
          <w:sz w:val="22"/>
          <w:szCs w:val="22"/>
        </w:rPr>
        <w:t xml:space="preserve"> Saal, F. S. (2023). Electronic waste and human health: A systematic review of epidemiological evidence. Environmental Health, 22(1), 1-28. </w:t>
      </w:r>
    </w:p>
    <w:p w14:paraId="2D1AADC9" w14:textId="77777777" w:rsidR="00323527" w:rsidRDefault="00000000">
      <w:pPr>
        <w:pStyle w:val="whitespace-pre-wrap"/>
        <w:spacing w:line="360" w:lineRule="auto"/>
        <w:ind w:left="400" w:hangingChars="182" w:hanging="400"/>
        <w:rPr>
          <w:sz w:val="22"/>
          <w:szCs w:val="22"/>
        </w:rPr>
      </w:pPr>
      <w:proofErr w:type="spellStart"/>
      <w:r>
        <w:rPr>
          <w:sz w:val="22"/>
          <w:szCs w:val="22"/>
        </w:rPr>
        <w:t>Twagirayezu</w:t>
      </w:r>
      <w:proofErr w:type="spellEnd"/>
      <w:r>
        <w:rPr>
          <w:sz w:val="22"/>
          <w:szCs w:val="22"/>
        </w:rPr>
        <w:t xml:space="preserve">, Gratien &amp; Uwimana, Abias &amp; Kui, Huang &amp; </w:t>
      </w:r>
      <w:proofErr w:type="spellStart"/>
      <w:r>
        <w:rPr>
          <w:sz w:val="22"/>
          <w:szCs w:val="22"/>
        </w:rPr>
        <w:t>Birame</w:t>
      </w:r>
      <w:proofErr w:type="spellEnd"/>
      <w:r>
        <w:rPr>
          <w:sz w:val="22"/>
          <w:szCs w:val="22"/>
        </w:rPr>
        <w:t xml:space="preserve">, Christian &amp; </w:t>
      </w:r>
      <w:proofErr w:type="spellStart"/>
      <w:r>
        <w:rPr>
          <w:sz w:val="22"/>
          <w:szCs w:val="22"/>
        </w:rPr>
        <w:t>Irumva</w:t>
      </w:r>
      <w:proofErr w:type="spellEnd"/>
      <w:r>
        <w:rPr>
          <w:sz w:val="22"/>
          <w:szCs w:val="22"/>
        </w:rPr>
        <w:t xml:space="preserve">, Olivier &amp; </w:t>
      </w:r>
      <w:proofErr w:type="spellStart"/>
      <w:r>
        <w:rPr>
          <w:sz w:val="22"/>
          <w:szCs w:val="22"/>
        </w:rPr>
        <w:t>Nizeyimana</w:t>
      </w:r>
      <w:proofErr w:type="spellEnd"/>
      <w:r>
        <w:rPr>
          <w:sz w:val="22"/>
          <w:szCs w:val="22"/>
        </w:rPr>
        <w:t xml:space="preserve">, Jean Claude &amp; </w:t>
      </w:r>
      <w:proofErr w:type="spellStart"/>
      <w:r>
        <w:rPr>
          <w:sz w:val="22"/>
          <w:szCs w:val="22"/>
        </w:rPr>
        <w:t>Hongguang</w:t>
      </w:r>
      <w:proofErr w:type="spellEnd"/>
      <w:r>
        <w:rPr>
          <w:sz w:val="22"/>
          <w:szCs w:val="22"/>
        </w:rPr>
        <w:t xml:space="preserve">, Cheng. (2023). Towards a sustainable and green approach of electrical and electronic waste management in Rwanda: a critical review. Environmental science and pollution research international. 30. 10.1007/s11356-023-27910-5. </w:t>
      </w:r>
    </w:p>
    <w:p w14:paraId="7389C87D" w14:textId="77777777" w:rsidR="00323527" w:rsidRDefault="00000000">
      <w:pPr>
        <w:pStyle w:val="whitespace-pre-wrap"/>
        <w:spacing w:line="360" w:lineRule="auto"/>
        <w:ind w:left="400" w:hangingChars="182" w:hanging="400"/>
        <w:rPr>
          <w:sz w:val="22"/>
          <w:szCs w:val="22"/>
        </w:rPr>
      </w:pPr>
      <w:r>
        <w:rPr>
          <w:sz w:val="22"/>
          <w:szCs w:val="22"/>
        </w:rPr>
        <w:t xml:space="preserve">United Nations Environment </w:t>
      </w:r>
      <w:proofErr w:type="spellStart"/>
      <w:r>
        <w:rPr>
          <w:sz w:val="22"/>
          <w:szCs w:val="22"/>
        </w:rPr>
        <w:t>Programme</w:t>
      </w:r>
      <w:proofErr w:type="spellEnd"/>
      <w:r>
        <w:rPr>
          <w:sz w:val="22"/>
          <w:szCs w:val="22"/>
        </w:rPr>
        <w:t xml:space="preserve"> &amp; International Telecommunication Union. (2023). Global E-waste Statistics Partnership report: Monitoring progress toward sustainable e-waste management. UNEP.</w:t>
      </w:r>
    </w:p>
    <w:p w14:paraId="07DD66C3" w14:textId="77777777" w:rsidR="00323527" w:rsidRDefault="00000000">
      <w:pPr>
        <w:spacing w:before="100" w:beforeAutospacing="1" w:after="100" w:afterAutospacing="1" w:line="360" w:lineRule="auto"/>
        <w:ind w:left="400" w:hangingChars="182" w:hanging="400"/>
        <w:rPr>
          <w:rFonts w:ascii="Times New Roman" w:eastAsia="Times New Roman" w:hAnsi="Times New Roman" w:cs="Times New Roman"/>
        </w:rPr>
      </w:pPr>
      <w:r>
        <w:rPr>
          <w:rFonts w:ascii="Times New Roman" w:eastAsia="Times New Roman" w:hAnsi="Times New Roman" w:cs="Times New Roman"/>
        </w:rPr>
        <w:t xml:space="preserve">United Nations Environment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(2023). "Global E-waste Monitor 2023."</w:t>
      </w:r>
    </w:p>
    <w:p w14:paraId="53BC0A59" w14:textId="77777777" w:rsidR="00323527" w:rsidRDefault="00000000">
      <w:pPr>
        <w:pStyle w:val="whitespace-pre-wrap"/>
        <w:spacing w:line="360" w:lineRule="auto"/>
        <w:ind w:left="400" w:hangingChars="182" w:hanging="400"/>
        <w:rPr>
          <w:sz w:val="22"/>
          <w:szCs w:val="22"/>
        </w:rPr>
      </w:pPr>
      <w:r>
        <w:rPr>
          <w:sz w:val="22"/>
          <w:szCs w:val="22"/>
        </w:rPr>
        <w:t xml:space="preserve">United Nations Environment </w:t>
      </w:r>
      <w:proofErr w:type="spellStart"/>
      <w:r>
        <w:rPr>
          <w:sz w:val="22"/>
          <w:szCs w:val="22"/>
        </w:rPr>
        <w:t>Programme</w:t>
      </w:r>
      <w:proofErr w:type="spellEnd"/>
      <w:r>
        <w:rPr>
          <w:sz w:val="22"/>
          <w:szCs w:val="22"/>
        </w:rPr>
        <w:t xml:space="preserve">. (2023). Guidelines for sustainable management of </w:t>
      </w:r>
      <w:r>
        <w:rPr>
          <w:sz w:val="22"/>
          <w:szCs w:val="22"/>
        </w:rPr>
        <w:t>electronic waste (Technical Report No. 127). UNEP.</w:t>
      </w:r>
    </w:p>
    <w:p w14:paraId="6FE5EB6B" w14:textId="77777777" w:rsidR="00323527" w:rsidRDefault="00000000">
      <w:pPr>
        <w:pStyle w:val="whitespace-pre-wrap"/>
        <w:spacing w:line="360" w:lineRule="auto"/>
        <w:ind w:left="400" w:hangingChars="182" w:hanging="400"/>
        <w:rPr>
          <w:sz w:val="22"/>
          <w:szCs w:val="22"/>
        </w:rPr>
      </w:pPr>
      <w:r>
        <w:rPr>
          <w:sz w:val="22"/>
          <w:szCs w:val="22"/>
        </w:rPr>
        <w:t xml:space="preserve">Wang, Y., &amp; Xu, M. (2023). Environmental and health impacts of informal electronic waste recycling: A case study approach. Environmental Pollution, 292, 118421. </w:t>
      </w:r>
    </w:p>
    <w:p w14:paraId="62856812" w14:textId="77777777" w:rsidR="00323527" w:rsidRDefault="00000000">
      <w:pPr>
        <w:pStyle w:val="whitespace-pre-wrap"/>
        <w:spacing w:line="360" w:lineRule="auto"/>
        <w:ind w:left="400" w:hangingChars="182" w:hanging="400"/>
        <w:rPr>
          <w:sz w:val="22"/>
          <w:szCs w:val="22"/>
        </w:rPr>
      </w:pPr>
      <w:r>
        <w:rPr>
          <w:sz w:val="22"/>
          <w:szCs w:val="22"/>
        </w:rPr>
        <w:t>World Economic Forum. (2023). Future scenarios for electronic waste generation and management (WEF White Paper). World Economic Forum.</w:t>
      </w:r>
    </w:p>
    <w:p w14:paraId="32F672A6" w14:textId="77777777" w:rsidR="00323527" w:rsidRDefault="00000000">
      <w:pPr>
        <w:spacing w:before="100" w:beforeAutospacing="1" w:after="100" w:afterAutospacing="1" w:line="360" w:lineRule="auto"/>
        <w:ind w:left="400" w:hangingChars="182" w:hanging="400"/>
        <w:rPr>
          <w:rFonts w:ascii="Times New Roman" w:eastAsia="Times New Roman" w:hAnsi="Times New Roman" w:cs="Times New Roman"/>
        </w:rPr>
      </w:pPr>
      <w:r>
        <w:rPr>
          <w:rFonts w:ascii="Times New Roman" w:eastAsia="Times New Roman" w:hAnsi="Times New Roman" w:cs="Times New Roman"/>
        </w:rPr>
        <w:t>World Health Organization. (2023). "E-waste and Child Health."</w:t>
      </w:r>
    </w:p>
    <w:p w14:paraId="33992AAA" w14:textId="77777777" w:rsidR="00323527" w:rsidRDefault="00000000">
      <w:pPr>
        <w:spacing w:after="0" w:line="360" w:lineRule="auto"/>
        <w:ind w:left="400" w:hangingChars="182" w:hanging="400"/>
        <w:rPr>
          <w:rFonts w:ascii="Times New Roman" w:eastAsia="Times New Roman" w:hAnsi="Times New Roman" w:cs="Times New Roman"/>
        </w:rPr>
      </w:pPr>
      <w:r>
        <w:rPr>
          <w:rFonts w:ascii="Times New Roman" w:eastAsia="Times New Roman" w:hAnsi="Times New Roman" w:cs="Times New Roman"/>
        </w:rPr>
        <w:t>Wu, Q., et al. (2015) "Environmental and human health risks from contamination in surface waters near informal e-waste recycling sites" in Environmental Science: Processes &amp; Impacts, which provides detailed water quality measurements.</w:t>
      </w:r>
    </w:p>
    <w:p w14:paraId="160685DD" w14:textId="77777777" w:rsidR="00323527" w:rsidRDefault="00000000">
      <w:pPr>
        <w:pStyle w:val="whitespace-pre-wrap"/>
        <w:spacing w:line="360" w:lineRule="auto"/>
        <w:ind w:left="400" w:hangingChars="182" w:hanging="400"/>
        <w:rPr>
          <w:sz w:val="22"/>
          <w:szCs w:val="22"/>
        </w:rPr>
      </w:pPr>
      <w:r>
        <w:rPr>
          <w:sz w:val="22"/>
          <w:szCs w:val="22"/>
        </w:rPr>
        <w:t xml:space="preserve">Zhang, T., Wu, B., &amp; Chen, L. (2022). Material composition analysis of electronic waste: Implications for recycling and resource recovery. Journal of Hazardous Materials, 424, 127418. </w:t>
      </w:r>
    </w:p>
    <w:p w14:paraId="134A3B6A" w14:textId="77777777" w:rsidR="00323527" w:rsidRDefault="00323527">
      <w:pPr>
        <w:spacing w:line="360" w:lineRule="auto"/>
        <w:ind w:left="437" w:hangingChars="182" w:hanging="437"/>
        <w:jc w:val="both"/>
        <w:rPr>
          <w:rFonts w:ascii="Times New Roman" w:hAnsi="Times New Roman" w:cs="Times New Roman"/>
          <w:sz w:val="24"/>
          <w:szCs w:val="24"/>
        </w:rPr>
      </w:pPr>
    </w:p>
    <w:sectPr w:rsidR="00323527">
      <w:type w:val="continuous"/>
      <w:pgSz w:w="12240" w:h="15840"/>
      <w:pgMar w:top="1440" w:right="1440" w:bottom="1440" w:left="1440" w:header="720" w:footer="720" w:gutter="0"/>
      <w:cols w:num="2" w:space="720" w:equalWidth="0">
        <w:col w:w="4467" w:space="425"/>
        <w:col w:w="44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BF27" w14:textId="77777777" w:rsidR="0059480B" w:rsidRDefault="0059480B">
      <w:pPr>
        <w:spacing w:line="240" w:lineRule="auto"/>
      </w:pPr>
      <w:r>
        <w:separator/>
      </w:r>
    </w:p>
  </w:endnote>
  <w:endnote w:type="continuationSeparator" w:id="0">
    <w:p w14:paraId="5002FB85" w14:textId="77777777" w:rsidR="0059480B" w:rsidRDefault="005948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96D93" w14:textId="77777777" w:rsidR="0086511A" w:rsidRDefault="00865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A72BE" w14:textId="77777777" w:rsidR="00323527" w:rsidRDefault="00000000">
    <w:pPr>
      <w:pStyle w:val="Footer"/>
    </w:pPr>
    <w:r>
      <w:rPr>
        <w:noProof/>
      </w:rPr>
      <mc:AlternateContent>
        <mc:Choice Requires="wps">
          <w:drawing>
            <wp:anchor distT="0" distB="0" distL="114300" distR="114300" simplePos="0" relativeHeight="251659264" behindDoc="0" locked="0" layoutInCell="1" allowOverlap="1" wp14:anchorId="1D3D0AFF" wp14:editId="49DB9255">
              <wp:simplePos x="0" y="0"/>
              <wp:positionH relativeFrom="margin">
                <wp:align>center</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99B7A" w14:textId="77777777" w:rsidR="00323527"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3D0AFF" id="_x0000_t202" coordsize="21600,21600" o:spt="202" path="m,l,21600r21600,l21600,xe">
              <v:stroke joinstyle="miter"/>
              <v:path gradientshapeok="t" o:connecttype="rect"/>
            </v:shapetype>
            <v:shape id="Text Box 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7899B7A" w14:textId="77777777" w:rsidR="00323527"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B263" w14:textId="77777777" w:rsidR="0086511A" w:rsidRDefault="00865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1ECD" w14:textId="77777777" w:rsidR="0059480B" w:rsidRDefault="0059480B">
      <w:pPr>
        <w:spacing w:after="0"/>
      </w:pPr>
      <w:r>
        <w:separator/>
      </w:r>
    </w:p>
  </w:footnote>
  <w:footnote w:type="continuationSeparator" w:id="0">
    <w:p w14:paraId="4A347200" w14:textId="77777777" w:rsidR="0059480B" w:rsidRDefault="005948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8D75" w14:textId="345BC2EE" w:rsidR="0086511A" w:rsidRDefault="0086511A">
    <w:pPr>
      <w:pStyle w:val="Header"/>
    </w:pPr>
    <w:r>
      <w:rPr>
        <w:noProof/>
      </w:rPr>
      <w:pict w14:anchorId="1EBF8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821657" o:spid="_x0000_s1026"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5338E" w14:textId="1D241FFF" w:rsidR="0086511A" w:rsidRDefault="0086511A">
    <w:pPr>
      <w:pStyle w:val="Header"/>
    </w:pPr>
    <w:r>
      <w:rPr>
        <w:noProof/>
      </w:rPr>
      <w:pict w14:anchorId="78457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821658" o:spid="_x0000_s1027"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ED4BC" w14:textId="017ADCCF" w:rsidR="0086511A" w:rsidRDefault="0086511A">
    <w:pPr>
      <w:pStyle w:val="Header"/>
    </w:pPr>
    <w:r>
      <w:rPr>
        <w:noProof/>
      </w:rPr>
      <w:pict w14:anchorId="4A538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821656" o:spid="_x0000_s1025"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4814DA"/>
    <w:multiLevelType w:val="singleLevel"/>
    <w:tmpl w:val="9C4814DA"/>
    <w:lvl w:ilvl="0">
      <w:start w:val="1"/>
      <w:numFmt w:val="bullet"/>
      <w:lvlText w:val=""/>
      <w:lvlJc w:val="left"/>
      <w:pPr>
        <w:tabs>
          <w:tab w:val="left" w:pos="420"/>
        </w:tabs>
        <w:ind w:left="1080" w:hanging="420"/>
      </w:pPr>
      <w:rPr>
        <w:rFonts w:ascii="Wingdings" w:hAnsi="Wingdings" w:cs="Wingdings" w:hint="default"/>
        <w:sz w:val="10"/>
      </w:rPr>
    </w:lvl>
  </w:abstractNum>
  <w:abstractNum w:abstractNumId="1" w15:restartNumberingAfterBreak="0">
    <w:nsid w:val="00A31A8F"/>
    <w:multiLevelType w:val="multilevel"/>
    <w:tmpl w:val="00A31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2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AD22F1"/>
    <w:multiLevelType w:val="multilevel"/>
    <w:tmpl w:val="00AD22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81651CF"/>
    <w:multiLevelType w:val="multilevel"/>
    <w:tmpl w:val="081651CF"/>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891467F"/>
    <w:multiLevelType w:val="multilevel"/>
    <w:tmpl w:val="0891467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D733155"/>
    <w:multiLevelType w:val="multilevel"/>
    <w:tmpl w:val="0D7331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160B5513"/>
    <w:multiLevelType w:val="multilevel"/>
    <w:tmpl w:val="160B5513"/>
    <w:lvl w:ilvl="0">
      <w:start w:val="1"/>
      <w:numFmt w:val="bullet"/>
      <w:lvlText w:val=""/>
      <w:lvlJc w:val="left"/>
      <w:pPr>
        <w:ind w:left="1020" w:hanging="360"/>
      </w:pPr>
      <w:rPr>
        <w:rFonts w:ascii="Wingdings" w:hAnsi="Wingding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7" w15:restartNumberingAfterBreak="0">
    <w:nsid w:val="16349A27"/>
    <w:multiLevelType w:val="singleLevel"/>
    <w:tmpl w:val="16349A27"/>
    <w:lvl w:ilvl="0">
      <w:start w:val="1"/>
      <w:numFmt w:val="decimal"/>
      <w:suff w:val="space"/>
      <w:lvlText w:val="%1."/>
      <w:lvlJc w:val="left"/>
    </w:lvl>
  </w:abstractNum>
  <w:abstractNum w:abstractNumId="8" w15:restartNumberingAfterBreak="0">
    <w:nsid w:val="194A6A78"/>
    <w:multiLevelType w:val="multilevel"/>
    <w:tmpl w:val="194A6A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1B124545"/>
    <w:multiLevelType w:val="multilevel"/>
    <w:tmpl w:val="1B1245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C59F7CC"/>
    <w:multiLevelType w:val="singleLevel"/>
    <w:tmpl w:val="1C59F7CC"/>
    <w:lvl w:ilvl="0">
      <w:start w:val="1"/>
      <w:numFmt w:val="decimal"/>
      <w:suff w:val="space"/>
      <w:lvlText w:val="%1."/>
      <w:lvlJc w:val="left"/>
    </w:lvl>
  </w:abstractNum>
  <w:abstractNum w:abstractNumId="11" w15:restartNumberingAfterBreak="0">
    <w:nsid w:val="26722E18"/>
    <w:multiLevelType w:val="multilevel"/>
    <w:tmpl w:val="26722E18"/>
    <w:lvl w:ilvl="0">
      <w:start w:val="1"/>
      <w:numFmt w:val="decimal"/>
      <w:lvlText w:val="%1."/>
      <w:lvlJc w:val="left"/>
      <w:pPr>
        <w:tabs>
          <w:tab w:val="left" w:pos="720"/>
        </w:tabs>
        <w:ind w:left="360" w:hanging="360"/>
      </w:pPr>
    </w:lvl>
    <w:lvl w:ilvl="1">
      <w:start w:val="1"/>
      <w:numFmt w:val="decimal"/>
      <w:lvlText w:val="%2."/>
      <w:lvlJc w:val="left"/>
      <w:pPr>
        <w:tabs>
          <w:tab w:val="left" w:pos="1440"/>
        </w:tabs>
        <w:ind w:left="1080" w:hanging="360"/>
      </w:pPr>
    </w:lvl>
    <w:lvl w:ilvl="2">
      <w:start w:val="1"/>
      <w:numFmt w:val="decimal"/>
      <w:lvlText w:val="%3."/>
      <w:lvlJc w:val="left"/>
      <w:pPr>
        <w:tabs>
          <w:tab w:val="left" w:pos="2160"/>
        </w:tabs>
        <w:ind w:left="1800" w:hanging="360"/>
      </w:pPr>
    </w:lvl>
    <w:lvl w:ilvl="3">
      <w:start w:val="1"/>
      <w:numFmt w:val="decimal"/>
      <w:lvlText w:val="%4."/>
      <w:lvlJc w:val="left"/>
      <w:pPr>
        <w:tabs>
          <w:tab w:val="left" w:pos="2880"/>
        </w:tabs>
        <w:ind w:left="2520" w:hanging="360"/>
      </w:pPr>
    </w:lvl>
    <w:lvl w:ilvl="4">
      <w:start w:val="1"/>
      <w:numFmt w:val="decimal"/>
      <w:lvlText w:val="%5."/>
      <w:lvlJc w:val="left"/>
      <w:pPr>
        <w:tabs>
          <w:tab w:val="left" w:pos="3600"/>
        </w:tabs>
        <w:ind w:left="3240" w:hanging="360"/>
      </w:pPr>
    </w:lvl>
    <w:lvl w:ilvl="5">
      <w:start w:val="1"/>
      <w:numFmt w:val="decimal"/>
      <w:lvlText w:val="%6."/>
      <w:lvlJc w:val="left"/>
      <w:pPr>
        <w:tabs>
          <w:tab w:val="left" w:pos="4320"/>
        </w:tabs>
        <w:ind w:left="3960" w:hanging="360"/>
      </w:pPr>
    </w:lvl>
    <w:lvl w:ilvl="6">
      <w:start w:val="1"/>
      <w:numFmt w:val="decimal"/>
      <w:lvlText w:val="%7."/>
      <w:lvlJc w:val="left"/>
      <w:pPr>
        <w:tabs>
          <w:tab w:val="left" w:pos="5040"/>
        </w:tabs>
        <w:ind w:left="4680" w:hanging="360"/>
      </w:pPr>
    </w:lvl>
    <w:lvl w:ilvl="7">
      <w:start w:val="1"/>
      <w:numFmt w:val="decimal"/>
      <w:lvlText w:val="%8."/>
      <w:lvlJc w:val="left"/>
      <w:pPr>
        <w:tabs>
          <w:tab w:val="left" w:pos="5760"/>
        </w:tabs>
        <w:ind w:left="5400" w:hanging="360"/>
      </w:pPr>
    </w:lvl>
    <w:lvl w:ilvl="8">
      <w:start w:val="1"/>
      <w:numFmt w:val="decimal"/>
      <w:lvlText w:val="%9."/>
      <w:lvlJc w:val="left"/>
      <w:pPr>
        <w:tabs>
          <w:tab w:val="left" w:pos="6480"/>
        </w:tabs>
        <w:ind w:left="6120" w:hanging="360"/>
      </w:pPr>
    </w:lvl>
  </w:abstractNum>
  <w:abstractNum w:abstractNumId="12" w15:restartNumberingAfterBreak="0">
    <w:nsid w:val="2E8736D7"/>
    <w:multiLevelType w:val="multilevel"/>
    <w:tmpl w:val="2E8736D7"/>
    <w:lvl w:ilvl="0">
      <w:start w:val="1"/>
      <w:numFmt w:val="bullet"/>
      <w:lvlText w:val=""/>
      <w:lvlJc w:val="left"/>
      <w:pPr>
        <w:tabs>
          <w:tab w:val="left" w:pos="720"/>
        </w:tabs>
        <w:ind w:left="360" w:hanging="360"/>
      </w:pPr>
      <w:rPr>
        <w:rFonts w:ascii="Symbol" w:hAnsi="Symbol" w:hint="default"/>
        <w:sz w:val="20"/>
      </w:rPr>
    </w:lvl>
    <w:lvl w:ilvl="1">
      <w:start w:val="1"/>
      <w:numFmt w:val="bullet"/>
      <w:lvlText w:val="o"/>
      <w:lvlJc w:val="left"/>
      <w:pPr>
        <w:tabs>
          <w:tab w:val="left" w:pos="1440"/>
        </w:tabs>
        <w:ind w:left="660" w:hanging="360"/>
      </w:pPr>
      <w:rPr>
        <w:rFonts w:ascii="Courier New" w:hAnsi="Courier New" w:hint="default"/>
        <w:sz w:val="20"/>
      </w:rPr>
    </w:lvl>
    <w:lvl w:ilvl="2">
      <w:start w:val="1"/>
      <w:numFmt w:val="bullet"/>
      <w:lvlText w:val=""/>
      <w:lvlJc w:val="left"/>
      <w:pPr>
        <w:tabs>
          <w:tab w:val="left" w:pos="2160"/>
        </w:tabs>
        <w:ind w:left="1800" w:hanging="360"/>
      </w:pPr>
      <w:rPr>
        <w:rFonts w:ascii="Wingdings" w:hAnsi="Wingdings" w:hint="default"/>
        <w:sz w:val="20"/>
      </w:rPr>
    </w:lvl>
    <w:lvl w:ilvl="3">
      <w:start w:val="1"/>
      <w:numFmt w:val="bullet"/>
      <w:lvlText w:val=""/>
      <w:lvlJc w:val="left"/>
      <w:pPr>
        <w:tabs>
          <w:tab w:val="left" w:pos="2880"/>
        </w:tabs>
        <w:ind w:left="2520" w:hanging="360"/>
      </w:pPr>
      <w:rPr>
        <w:rFonts w:ascii="Wingdings" w:hAnsi="Wingdings" w:hint="default"/>
        <w:sz w:val="20"/>
      </w:rPr>
    </w:lvl>
    <w:lvl w:ilvl="4">
      <w:start w:val="1"/>
      <w:numFmt w:val="bullet"/>
      <w:lvlText w:val=""/>
      <w:lvlJc w:val="left"/>
      <w:pPr>
        <w:tabs>
          <w:tab w:val="left" w:pos="3600"/>
        </w:tabs>
        <w:ind w:left="3240" w:hanging="360"/>
      </w:pPr>
      <w:rPr>
        <w:rFonts w:ascii="Wingdings" w:hAnsi="Wingdings" w:hint="default"/>
        <w:sz w:val="20"/>
      </w:rPr>
    </w:lvl>
    <w:lvl w:ilvl="5">
      <w:start w:val="1"/>
      <w:numFmt w:val="bullet"/>
      <w:lvlText w:val=""/>
      <w:lvlJc w:val="left"/>
      <w:pPr>
        <w:tabs>
          <w:tab w:val="left" w:pos="4320"/>
        </w:tabs>
        <w:ind w:left="3960" w:hanging="360"/>
      </w:pPr>
      <w:rPr>
        <w:rFonts w:ascii="Wingdings" w:hAnsi="Wingdings" w:hint="default"/>
        <w:sz w:val="20"/>
      </w:rPr>
    </w:lvl>
    <w:lvl w:ilvl="6">
      <w:start w:val="1"/>
      <w:numFmt w:val="bullet"/>
      <w:lvlText w:val=""/>
      <w:lvlJc w:val="left"/>
      <w:pPr>
        <w:tabs>
          <w:tab w:val="left" w:pos="5040"/>
        </w:tabs>
        <w:ind w:left="4680" w:hanging="360"/>
      </w:pPr>
      <w:rPr>
        <w:rFonts w:ascii="Wingdings" w:hAnsi="Wingdings" w:hint="default"/>
        <w:sz w:val="20"/>
      </w:rPr>
    </w:lvl>
    <w:lvl w:ilvl="7">
      <w:start w:val="1"/>
      <w:numFmt w:val="bullet"/>
      <w:lvlText w:val=""/>
      <w:lvlJc w:val="left"/>
      <w:pPr>
        <w:tabs>
          <w:tab w:val="left" w:pos="5760"/>
        </w:tabs>
        <w:ind w:left="5400" w:hanging="360"/>
      </w:pPr>
      <w:rPr>
        <w:rFonts w:ascii="Wingdings" w:hAnsi="Wingdings" w:hint="default"/>
        <w:sz w:val="20"/>
      </w:rPr>
    </w:lvl>
    <w:lvl w:ilvl="8">
      <w:start w:val="1"/>
      <w:numFmt w:val="bullet"/>
      <w:lvlText w:val=""/>
      <w:lvlJc w:val="left"/>
      <w:pPr>
        <w:tabs>
          <w:tab w:val="left" w:pos="6480"/>
        </w:tabs>
        <w:ind w:left="6120" w:hanging="360"/>
      </w:pPr>
      <w:rPr>
        <w:rFonts w:ascii="Wingdings" w:hAnsi="Wingdings" w:hint="default"/>
        <w:sz w:val="20"/>
      </w:rPr>
    </w:lvl>
  </w:abstractNum>
  <w:abstractNum w:abstractNumId="13" w15:restartNumberingAfterBreak="0">
    <w:nsid w:val="33160FA5"/>
    <w:multiLevelType w:val="multilevel"/>
    <w:tmpl w:val="33160F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3A754B87"/>
    <w:multiLevelType w:val="multilevel"/>
    <w:tmpl w:val="3A754B8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3E340D29"/>
    <w:multiLevelType w:val="multilevel"/>
    <w:tmpl w:val="3E340D2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3E563156"/>
    <w:multiLevelType w:val="multilevel"/>
    <w:tmpl w:val="3E5631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3F5B3B7A"/>
    <w:multiLevelType w:val="multilevel"/>
    <w:tmpl w:val="3F5B3B7A"/>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0786FAB"/>
    <w:multiLevelType w:val="multilevel"/>
    <w:tmpl w:val="40786FA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A207E35"/>
    <w:multiLevelType w:val="multilevel"/>
    <w:tmpl w:val="4A207E3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D5A40EF"/>
    <w:multiLevelType w:val="singleLevel"/>
    <w:tmpl w:val="4D5A40EF"/>
    <w:lvl w:ilvl="0">
      <w:start w:val="1"/>
      <w:numFmt w:val="decimal"/>
      <w:suff w:val="space"/>
      <w:lvlText w:val="%1."/>
      <w:lvlJc w:val="left"/>
    </w:lvl>
  </w:abstractNum>
  <w:abstractNum w:abstractNumId="21" w15:restartNumberingAfterBreak="0">
    <w:nsid w:val="5A245DDC"/>
    <w:multiLevelType w:val="multilevel"/>
    <w:tmpl w:val="5A245DD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5C340C8A"/>
    <w:multiLevelType w:val="multilevel"/>
    <w:tmpl w:val="5C340C8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5E175352"/>
    <w:multiLevelType w:val="multilevel"/>
    <w:tmpl w:val="5E175352"/>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69BB047B"/>
    <w:multiLevelType w:val="multilevel"/>
    <w:tmpl w:val="69BB04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6F101840"/>
    <w:multiLevelType w:val="multilevel"/>
    <w:tmpl w:val="6F1018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704851EA"/>
    <w:multiLevelType w:val="multilevel"/>
    <w:tmpl w:val="704851EA"/>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4815BC8"/>
    <w:multiLevelType w:val="multilevel"/>
    <w:tmpl w:val="74815BC8"/>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7CF92A1F"/>
    <w:multiLevelType w:val="multilevel"/>
    <w:tmpl w:val="7CF92A1F"/>
    <w:lvl w:ilvl="0">
      <w:start w:val="2"/>
      <w:numFmt w:val="decimal"/>
      <w:lvlText w:val="%1."/>
      <w:lvlJc w:val="left"/>
      <w:pPr>
        <w:tabs>
          <w:tab w:val="left" w:pos="720"/>
        </w:tabs>
        <w:ind w:left="360" w:hanging="360"/>
      </w:pPr>
    </w:lvl>
    <w:lvl w:ilvl="1">
      <w:start w:val="1"/>
      <w:numFmt w:val="bullet"/>
      <w:lvlText w:val=""/>
      <w:lvlJc w:val="left"/>
      <w:pPr>
        <w:tabs>
          <w:tab w:val="left" w:pos="1440"/>
        </w:tabs>
        <w:ind w:left="880" w:hanging="360"/>
      </w:pPr>
      <w:rPr>
        <w:rFonts w:ascii="Symbol" w:hAnsi="Symbol" w:hint="default"/>
        <w:sz w:val="20"/>
      </w:rPr>
    </w:lvl>
    <w:lvl w:ilvl="2">
      <w:start w:val="1"/>
      <w:numFmt w:val="bullet"/>
      <w:lvlText w:val=""/>
      <w:lvlJc w:val="left"/>
      <w:pPr>
        <w:tabs>
          <w:tab w:val="left" w:pos="2160"/>
        </w:tabs>
        <w:ind w:left="1100" w:hanging="360"/>
      </w:pPr>
      <w:rPr>
        <w:rFonts w:ascii="Wingdings" w:hAnsi="Wingdings" w:hint="default"/>
        <w:sz w:val="20"/>
      </w:rPr>
    </w:lvl>
    <w:lvl w:ilvl="3">
      <w:start w:val="1"/>
      <w:numFmt w:val="decimal"/>
      <w:lvlText w:val="%4."/>
      <w:lvlJc w:val="left"/>
      <w:pPr>
        <w:tabs>
          <w:tab w:val="left" w:pos="2880"/>
        </w:tabs>
        <w:ind w:left="2520" w:hanging="360"/>
      </w:pPr>
    </w:lvl>
    <w:lvl w:ilvl="4">
      <w:start w:val="1"/>
      <w:numFmt w:val="decimal"/>
      <w:lvlText w:val="%5."/>
      <w:lvlJc w:val="left"/>
      <w:pPr>
        <w:tabs>
          <w:tab w:val="left" w:pos="3600"/>
        </w:tabs>
        <w:ind w:left="3240" w:hanging="360"/>
      </w:pPr>
    </w:lvl>
    <w:lvl w:ilvl="5">
      <w:start w:val="1"/>
      <w:numFmt w:val="decimal"/>
      <w:lvlText w:val="%6."/>
      <w:lvlJc w:val="left"/>
      <w:pPr>
        <w:tabs>
          <w:tab w:val="left" w:pos="4320"/>
        </w:tabs>
        <w:ind w:left="3960" w:hanging="360"/>
      </w:pPr>
    </w:lvl>
    <w:lvl w:ilvl="6">
      <w:start w:val="1"/>
      <w:numFmt w:val="decimal"/>
      <w:lvlText w:val="%7."/>
      <w:lvlJc w:val="left"/>
      <w:pPr>
        <w:tabs>
          <w:tab w:val="left" w:pos="5040"/>
        </w:tabs>
        <w:ind w:left="4680" w:hanging="360"/>
      </w:pPr>
    </w:lvl>
    <w:lvl w:ilvl="7">
      <w:start w:val="1"/>
      <w:numFmt w:val="decimal"/>
      <w:lvlText w:val="%8."/>
      <w:lvlJc w:val="left"/>
      <w:pPr>
        <w:tabs>
          <w:tab w:val="left" w:pos="5760"/>
        </w:tabs>
        <w:ind w:left="5400" w:hanging="360"/>
      </w:pPr>
    </w:lvl>
    <w:lvl w:ilvl="8">
      <w:start w:val="1"/>
      <w:numFmt w:val="decimal"/>
      <w:lvlText w:val="%9."/>
      <w:lvlJc w:val="left"/>
      <w:pPr>
        <w:tabs>
          <w:tab w:val="left" w:pos="6480"/>
        </w:tabs>
        <w:ind w:left="6120" w:hanging="360"/>
      </w:pPr>
    </w:lvl>
  </w:abstractNum>
  <w:abstractNum w:abstractNumId="29" w15:restartNumberingAfterBreak="0">
    <w:nsid w:val="7E7946EE"/>
    <w:multiLevelType w:val="multilevel"/>
    <w:tmpl w:val="7E7946E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524439985">
    <w:abstractNumId w:val="10"/>
  </w:num>
  <w:num w:numId="2" w16cid:durableId="1641963250">
    <w:abstractNumId w:val="20"/>
  </w:num>
  <w:num w:numId="3" w16cid:durableId="112023683">
    <w:abstractNumId w:val="11"/>
  </w:num>
  <w:num w:numId="4" w16cid:durableId="1399136832">
    <w:abstractNumId w:val="1"/>
  </w:num>
  <w:num w:numId="5" w16cid:durableId="1690184585">
    <w:abstractNumId w:val="0"/>
  </w:num>
  <w:num w:numId="6" w16cid:durableId="488793177">
    <w:abstractNumId w:val="28"/>
  </w:num>
  <w:num w:numId="7" w16cid:durableId="1124810033">
    <w:abstractNumId w:val="6"/>
  </w:num>
  <w:num w:numId="8" w16cid:durableId="1284654188">
    <w:abstractNumId w:val="4"/>
  </w:num>
  <w:num w:numId="9" w16cid:durableId="775061494">
    <w:abstractNumId w:val="13"/>
  </w:num>
  <w:num w:numId="10" w16cid:durableId="957687423">
    <w:abstractNumId w:val="16"/>
  </w:num>
  <w:num w:numId="11" w16cid:durableId="301734577">
    <w:abstractNumId w:val="29"/>
  </w:num>
  <w:num w:numId="12" w16cid:durableId="2119525960">
    <w:abstractNumId w:val="21"/>
  </w:num>
  <w:num w:numId="13" w16cid:durableId="1419447600">
    <w:abstractNumId w:val="8"/>
  </w:num>
  <w:num w:numId="14" w16cid:durableId="393548684">
    <w:abstractNumId w:val="17"/>
  </w:num>
  <w:num w:numId="15" w16cid:durableId="435638626">
    <w:abstractNumId w:val="14"/>
  </w:num>
  <w:num w:numId="16" w16cid:durableId="530263450">
    <w:abstractNumId w:val="23"/>
  </w:num>
  <w:num w:numId="17" w16cid:durableId="1125008452">
    <w:abstractNumId w:val="9"/>
  </w:num>
  <w:num w:numId="18" w16cid:durableId="2115394925">
    <w:abstractNumId w:val="26"/>
  </w:num>
  <w:num w:numId="19" w16cid:durableId="1761414527">
    <w:abstractNumId w:val="5"/>
  </w:num>
  <w:num w:numId="20" w16cid:durableId="216626776">
    <w:abstractNumId w:val="27"/>
  </w:num>
  <w:num w:numId="21" w16cid:durableId="1483428828">
    <w:abstractNumId w:val="2"/>
  </w:num>
  <w:num w:numId="22" w16cid:durableId="1538741068">
    <w:abstractNumId w:val="3"/>
  </w:num>
  <w:num w:numId="23" w16cid:durableId="331223796">
    <w:abstractNumId w:val="19"/>
  </w:num>
  <w:num w:numId="24" w16cid:durableId="1716126259">
    <w:abstractNumId w:val="12"/>
  </w:num>
  <w:num w:numId="25" w16cid:durableId="1082876106">
    <w:abstractNumId w:val="7"/>
  </w:num>
  <w:num w:numId="26" w16cid:durableId="1306160203">
    <w:abstractNumId w:val="24"/>
  </w:num>
  <w:num w:numId="27" w16cid:durableId="1961062110">
    <w:abstractNumId w:val="18"/>
  </w:num>
  <w:num w:numId="28" w16cid:durableId="1941402636">
    <w:abstractNumId w:val="15"/>
  </w:num>
  <w:num w:numId="29" w16cid:durableId="2050371928">
    <w:abstractNumId w:val="22"/>
  </w:num>
  <w:num w:numId="30" w16cid:durableId="5772536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45D"/>
    <w:rsid w:val="000110B2"/>
    <w:rsid w:val="00021F3A"/>
    <w:rsid w:val="00046C96"/>
    <w:rsid w:val="00092855"/>
    <w:rsid w:val="000B1B75"/>
    <w:rsid w:val="000D0163"/>
    <w:rsid w:val="000E67D5"/>
    <w:rsid w:val="00127016"/>
    <w:rsid w:val="00140FED"/>
    <w:rsid w:val="001B211B"/>
    <w:rsid w:val="001C2BCB"/>
    <w:rsid w:val="001E1C39"/>
    <w:rsid w:val="00200706"/>
    <w:rsid w:val="00204BD9"/>
    <w:rsid w:val="00303904"/>
    <w:rsid w:val="00323527"/>
    <w:rsid w:val="004C26A7"/>
    <w:rsid w:val="004C3B85"/>
    <w:rsid w:val="0050574C"/>
    <w:rsid w:val="00542608"/>
    <w:rsid w:val="00581CA0"/>
    <w:rsid w:val="0059480B"/>
    <w:rsid w:val="00637C0D"/>
    <w:rsid w:val="006B079D"/>
    <w:rsid w:val="006F23C0"/>
    <w:rsid w:val="0073687D"/>
    <w:rsid w:val="00833241"/>
    <w:rsid w:val="0086511A"/>
    <w:rsid w:val="008A6BB6"/>
    <w:rsid w:val="008C5675"/>
    <w:rsid w:val="00925326"/>
    <w:rsid w:val="009548F6"/>
    <w:rsid w:val="009F718F"/>
    <w:rsid w:val="00B95C3E"/>
    <w:rsid w:val="00BC4ED8"/>
    <w:rsid w:val="00BD5A7D"/>
    <w:rsid w:val="00BE0279"/>
    <w:rsid w:val="00BE17D0"/>
    <w:rsid w:val="00C257A6"/>
    <w:rsid w:val="00D5655F"/>
    <w:rsid w:val="00D95F52"/>
    <w:rsid w:val="00E0576E"/>
    <w:rsid w:val="00F176B8"/>
    <w:rsid w:val="00F418DE"/>
    <w:rsid w:val="00F849DB"/>
    <w:rsid w:val="00F9745D"/>
    <w:rsid w:val="020C556B"/>
    <w:rsid w:val="2CE63374"/>
    <w:rsid w:val="327E074F"/>
    <w:rsid w:val="35951130"/>
    <w:rsid w:val="44ED2C08"/>
    <w:rsid w:val="4AAF02A4"/>
    <w:rsid w:val="4CC847F6"/>
    <w:rsid w:val="52120009"/>
    <w:rsid w:val="71EE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FA917"/>
  <w15:docId w15:val="{794B2364-D0E0-4496-A615-35FE9BE8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rPr>
      <w:sz w:val="24"/>
      <w:szCs w:val="24"/>
    </w:rPr>
  </w:style>
  <w:style w:type="character" w:styleId="Strong">
    <w:name w:val="Strong"/>
    <w:basedOn w:val="DefaultParagraphFont"/>
    <w:uiPriority w:val="22"/>
    <w:qFormat/>
    <w:rPr>
      <w:b/>
      <w:bCs/>
    </w:rPr>
  </w:style>
  <w:style w:type="paragraph" w:customStyle="1" w:styleId="whitespace-pre-wrap">
    <w:name w:val="whitespace-pre-wrap"/>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space-normal">
    <w:name w:val="whitespace-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sz w:val="24"/>
      <w:szCs w:val="24"/>
    </w:rPr>
  </w:style>
  <w:style w:type="paragraph" w:styleId="ListParagraph">
    <w:name w:val="List Paragraph"/>
    <w:basedOn w:val="Normal"/>
    <w:uiPriority w:val="99"/>
    <w:unhideWhenUsed/>
    <w:rsid w:val="00F418DE"/>
    <w:pPr>
      <w:ind w:left="720"/>
      <w:contextualSpacing/>
    </w:pPr>
  </w:style>
  <w:style w:type="character" w:styleId="UnresolvedMention">
    <w:name w:val="Unresolved Mention"/>
    <w:basedOn w:val="DefaultParagraphFont"/>
    <w:uiPriority w:val="99"/>
    <w:semiHidden/>
    <w:unhideWhenUsed/>
    <w:rsid w:val="00637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s://medium.com/@jackiecheung007/circular-solutions-foshans-waste-management-and-circular-economy-leadership-in-the-greater-bay-218fae485eb2" TargetMode="Externa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yperlink" Target="https://gitchia.com/blog/the-global-impact-of-e-wast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5848</Words>
  <Characters>33336</Characters>
  <Application>Microsoft Office Word</Application>
  <DocSecurity>0</DocSecurity>
  <Lines>277</Lines>
  <Paragraphs>78</Paragraphs>
  <ScaleCrop>false</ScaleCrop>
  <Company/>
  <LinksUpToDate>false</LinksUpToDate>
  <CharactersWithSpaces>39106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Editor-22</cp:lastModifiedBy>
  <cp:revision>28</cp:revision>
  <dcterms:created xsi:type="dcterms:W3CDTF">2024-10-24T10:34:00Z</dcterms:created>
  <dcterms:modified xsi:type="dcterms:W3CDTF">2025-05-05T10:53:00Z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1EBDB496E21E4C0D85A5FB7EF0EDD65E_12</vt:lpwstr>
  </property>
</Properties>
</file>