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180A3" w14:textId="77777777" w:rsidR="00FE645D" w:rsidRDefault="00FE645D" w:rsidP="00BD1C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r w:rsidRPr="00FE645D">
        <w:rPr>
          <w:rFonts w:ascii="Times New Roman" w:eastAsia="Times New Roman" w:hAnsi="Times New Roman" w:cs="Times New Roman"/>
          <w:b/>
          <w:bCs/>
          <w:kern w:val="36"/>
          <w:sz w:val="28"/>
          <w:szCs w:val="28"/>
          <w:lang w:eastAsia="en-GB"/>
          <w14:ligatures w14:val="none"/>
        </w:rPr>
        <w:t>Original Research Article</w:t>
      </w:r>
    </w:p>
    <w:p w14:paraId="6B8E4B7B" w14:textId="77777777" w:rsidR="00FE645D" w:rsidRDefault="00FE645D" w:rsidP="00BD1C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p>
    <w:p w14:paraId="456A859C" w14:textId="1DD0BA78" w:rsidR="00BD1CB8" w:rsidRPr="00BD1CB8" w:rsidRDefault="00BD1CB8" w:rsidP="00BD1CB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GB"/>
          <w14:ligatures w14:val="none"/>
        </w:rPr>
      </w:pPr>
      <w:proofErr w:type="spellStart"/>
      <w:r w:rsidRPr="00BD1CB8">
        <w:rPr>
          <w:rFonts w:ascii="Times New Roman" w:eastAsia="Times New Roman" w:hAnsi="Times New Roman" w:cs="Times New Roman"/>
          <w:b/>
          <w:bCs/>
          <w:kern w:val="36"/>
          <w:sz w:val="28"/>
          <w:szCs w:val="28"/>
          <w:lang w:eastAsia="en-GB"/>
          <w14:ligatures w14:val="none"/>
        </w:rPr>
        <w:t>Modeling</w:t>
      </w:r>
      <w:proofErr w:type="spellEnd"/>
      <w:r w:rsidRPr="00BD1CB8">
        <w:rPr>
          <w:rFonts w:ascii="Times New Roman" w:eastAsia="Times New Roman" w:hAnsi="Times New Roman" w:cs="Times New Roman"/>
          <w:b/>
          <w:bCs/>
          <w:kern w:val="36"/>
          <w:sz w:val="28"/>
          <w:szCs w:val="28"/>
          <w:lang w:eastAsia="en-GB"/>
          <w14:ligatures w14:val="none"/>
        </w:rPr>
        <w:t xml:space="preserve"> Rainfall Intensity-Duration-Frequency (IDF) and Establishing Climate Change Existence in </w:t>
      </w:r>
      <w:proofErr w:type="spellStart"/>
      <w:r w:rsidRPr="00BD1CB8">
        <w:rPr>
          <w:rFonts w:ascii="Times New Roman" w:eastAsia="Times New Roman" w:hAnsi="Times New Roman" w:cs="Times New Roman"/>
          <w:b/>
          <w:bCs/>
          <w:kern w:val="36"/>
          <w:sz w:val="28"/>
          <w:szCs w:val="28"/>
          <w:lang w:eastAsia="en-GB"/>
          <w14:ligatures w14:val="none"/>
        </w:rPr>
        <w:t>Abakaliki</w:t>
      </w:r>
      <w:proofErr w:type="spellEnd"/>
      <w:r w:rsidRPr="00BD1CB8">
        <w:rPr>
          <w:rFonts w:ascii="Times New Roman" w:eastAsia="Times New Roman" w:hAnsi="Times New Roman" w:cs="Times New Roman"/>
          <w:b/>
          <w:bCs/>
          <w:kern w:val="36"/>
          <w:sz w:val="28"/>
          <w:szCs w:val="28"/>
          <w:lang w:eastAsia="en-GB"/>
          <w14:ligatures w14:val="none"/>
        </w:rPr>
        <w:t xml:space="preserve">-Nigeria Using </w:t>
      </w:r>
      <w:r>
        <w:rPr>
          <w:rFonts w:ascii="Times New Roman" w:eastAsia="Times New Roman" w:hAnsi="Times New Roman" w:cs="Times New Roman"/>
          <w:b/>
          <w:bCs/>
          <w:kern w:val="36"/>
          <w:sz w:val="28"/>
          <w:szCs w:val="28"/>
          <w:lang w:eastAsia="en-GB"/>
          <w14:ligatures w14:val="none"/>
        </w:rPr>
        <w:t xml:space="preserve">a </w:t>
      </w:r>
      <w:r w:rsidRPr="00BD1CB8">
        <w:rPr>
          <w:rFonts w:ascii="Times New Roman" w:eastAsia="Times New Roman" w:hAnsi="Times New Roman" w:cs="Times New Roman"/>
          <w:b/>
          <w:bCs/>
          <w:kern w:val="36"/>
          <w:sz w:val="28"/>
          <w:szCs w:val="28"/>
          <w:lang w:eastAsia="en-GB"/>
          <w14:ligatures w14:val="none"/>
        </w:rPr>
        <w:t>Non-Stationary Approach</w:t>
      </w:r>
    </w:p>
    <w:p w14:paraId="2E9FB58B" w14:textId="77777777" w:rsidR="007E3B6F" w:rsidRDefault="007E3B6F" w:rsidP="00D43B2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p>
    <w:p w14:paraId="09FB2051" w14:textId="5C652094" w:rsidR="00BD1CB8" w:rsidRPr="00BD1CB8" w:rsidRDefault="00BD1CB8" w:rsidP="00D43B2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bookmarkStart w:id="0" w:name="_GoBack"/>
      <w:bookmarkEnd w:id="0"/>
      <w:r w:rsidRPr="00BD1CB8">
        <w:rPr>
          <w:rFonts w:ascii="Times New Roman" w:eastAsia="Times New Roman" w:hAnsi="Times New Roman" w:cs="Times New Roman"/>
          <w:b/>
          <w:bCs/>
          <w:kern w:val="0"/>
          <w:sz w:val="28"/>
          <w:szCs w:val="28"/>
          <w:lang w:eastAsia="en-GB"/>
          <w14:ligatures w14:val="none"/>
        </w:rPr>
        <w:t>Abstract</w:t>
      </w:r>
    </w:p>
    <w:p w14:paraId="021379C1" w14:textId="64342FBB"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 xml:space="preserve">This study aimed to develop non-stationary Intensity-Duration-Frequency (IDF) curves for </w:t>
      </w:r>
      <w:proofErr w:type="spellStart"/>
      <w:r w:rsidRPr="00BD1CB8">
        <w:rPr>
          <w:rFonts w:ascii="Times New Roman" w:eastAsia="Times New Roman" w:hAnsi="Times New Roman" w:cs="Times New Roman"/>
          <w:kern w:val="0"/>
          <w:lang w:eastAsia="en-GB"/>
          <w14:ligatures w14:val="none"/>
        </w:rPr>
        <w:t>Abakaliki</w:t>
      </w:r>
      <w:proofErr w:type="spellEnd"/>
      <w:r w:rsidRPr="00BD1CB8">
        <w:rPr>
          <w:rFonts w:ascii="Times New Roman" w:eastAsia="Times New Roman" w:hAnsi="Times New Roman" w:cs="Times New Roman"/>
          <w:kern w:val="0"/>
          <w:lang w:eastAsia="en-GB"/>
          <w14:ligatures w14:val="none"/>
        </w:rPr>
        <w:t xml:space="preserve">, Nigeria, using a 31-year rainfall record (1992-2022) obtained from the Nigerian Meteorological Agency. </w:t>
      </w:r>
      <w:r w:rsidR="004E29F1">
        <w:rPr>
          <w:rFonts w:ascii="Times New Roman" w:eastAsia="Times New Roman" w:hAnsi="Times New Roman" w:cs="Times New Roman"/>
          <w:kern w:val="0"/>
          <w:lang w:eastAsia="en-GB"/>
          <w14:ligatures w14:val="none"/>
        </w:rPr>
        <w:t xml:space="preserve">The study </w:t>
      </w:r>
      <w:r w:rsidR="00C873A8">
        <w:rPr>
          <w:rFonts w:ascii="Times New Roman" w:eastAsia="Times New Roman" w:hAnsi="Times New Roman" w:cs="Times New Roman"/>
          <w:kern w:val="0"/>
          <w:lang w:eastAsia="en-GB"/>
          <w14:ligatures w14:val="none"/>
        </w:rPr>
        <w:t>utilised</w:t>
      </w:r>
      <w:r w:rsidR="004E29F1">
        <w:rPr>
          <w:rFonts w:ascii="Times New Roman" w:eastAsia="Times New Roman" w:hAnsi="Times New Roman" w:cs="Times New Roman"/>
          <w:kern w:val="0"/>
          <w:lang w:eastAsia="en-GB"/>
          <w14:ligatures w14:val="none"/>
        </w:rPr>
        <w:t xml:space="preserve"> trend analysis via the Mann-Kendall test </w:t>
      </w:r>
      <w:r w:rsidR="00C873A8">
        <w:rPr>
          <w:rFonts w:ascii="Times New Roman" w:eastAsia="Times New Roman" w:hAnsi="Times New Roman" w:cs="Times New Roman"/>
          <w:kern w:val="0"/>
          <w:lang w:eastAsia="en-GB"/>
          <w14:ligatures w14:val="none"/>
        </w:rPr>
        <w:t>and</w:t>
      </w:r>
      <w:r w:rsidR="004E29F1">
        <w:rPr>
          <w:rFonts w:ascii="Times New Roman" w:eastAsia="Times New Roman" w:hAnsi="Times New Roman" w:cs="Times New Roman"/>
          <w:kern w:val="0"/>
          <w:lang w:eastAsia="en-GB"/>
          <w14:ligatures w14:val="none"/>
        </w:rPr>
        <w:t xml:space="preserve"> change point detection using CUSUM and Sequential Mann-Kendall tests to identify non-stationarity in rainfall patterns. Three distinct General Extreme Value (GEV) distribution models were assessed to find the best-fitting non-stationary model according to the Akaike Information Criterion (AIC) and Bayesian Information Criterion (BIC). The analysis showed a notable increasing trend in rainfall intensity (p-value = 0.0059), with change points observed in 2010 and 2012. Among the models, the </w:t>
      </w:r>
      <w:proofErr w:type="spellStart"/>
      <w:r w:rsidR="004E29F1">
        <w:rPr>
          <w:rFonts w:ascii="Times New Roman" w:eastAsia="Times New Roman" w:hAnsi="Times New Roman" w:cs="Times New Roman"/>
          <w:kern w:val="0"/>
          <w:lang w:eastAsia="en-GB"/>
          <w14:ligatures w14:val="none"/>
        </w:rPr>
        <w:t>GEVt</w:t>
      </w:r>
      <w:proofErr w:type="spellEnd"/>
      <w:r w:rsidR="004E29F1">
        <w:rPr>
          <w:rFonts w:ascii="Times New Roman" w:eastAsia="Times New Roman" w:hAnsi="Times New Roman" w:cs="Times New Roman"/>
          <w:kern w:val="0"/>
          <w:lang w:eastAsia="en-GB"/>
          <w14:ligatures w14:val="none"/>
        </w:rPr>
        <w:t xml:space="preserve">-III displayed the best performance across most duration intervals (10-1440 minutes) indicated by its lowest AIC values, while the </w:t>
      </w:r>
      <w:proofErr w:type="spellStart"/>
      <w:r w:rsidR="004E29F1">
        <w:rPr>
          <w:rFonts w:ascii="Times New Roman" w:eastAsia="Times New Roman" w:hAnsi="Times New Roman" w:cs="Times New Roman"/>
          <w:kern w:val="0"/>
          <w:lang w:eastAsia="en-GB"/>
          <w14:ligatures w14:val="none"/>
        </w:rPr>
        <w:t>GEVt</w:t>
      </w:r>
      <w:proofErr w:type="spellEnd"/>
      <w:r w:rsidR="004E29F1">
        <w:rPr>
          <w:rFonts w:ascii="Times New Roman" w:eastAsia="Times New Roman" w:hAnsi="Times New Roman" w:cs="Times New Roman"/>
          <w:kern w:val="0"/>
          <w:lang w:eastAsia="en-GB"/>
          <w14:ligatures w14:val="none"/>
        </w:rPr>
        <w:t xml:space="preserve">-I excelled for the 5-minute duration. A generalized non-stationary IDF model was created, demonstrating exceptional predictive ability (R² = 0.996, MSE = 37.00). These results emphasize the necessity of incorporating non-stationary methods in infrastructure design in </w:t>
      </w:r>
      <w:proofErr w:type="spellStart"/>
      <w:r w:rsidR="004E29F1">
        <w:rPr>
          <w:rFonts w:ascii="Times New Roman" w:eastAsia="Times New Roman" w:hAnsi="Times New Roman" w:cs="Times New Roman"/>
          <w:kern w:val="0"/>
          <w:lang w:eastAsia="en-GB"/>
          <w14:ligatures w14:val="none"/>
        </w:rPr>
        <w:t>Abakaliki</w:t>
      </w:r>
      <w:proofErr w:type="spellEnd"/>
      <w:r w:rsidR="004E29F1">
        <w:rPr>
          <w:rFonts w:ascii="Times New Roman" w:eastAsia="Times New Roman" w:hAnsi="Times New Roman" w:cs="Times New Roman"/>
          <w:kern w:val="0"/>
          <w:lang w:eastAsia="en-GB"/>
          <w14:ligatures w14:val="none"/>
        </w:rPr>
        <w:t>, as conventional stationary approaches may significantly underestimate rainfall intensities in the era of climate change.</w:t>
      </w:r>
    </w:p>
    <w:p w14:paraId="403288AD" w14:textId="77777777" w:rsidR="00BD1CB8" w:rsidRDefault="00BD1CB8" w:rsidP="00BD1CB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Keywords</w:t>
      </w:r>
      <w:r w:rsidRPr="00BD1CB8">
        <w:rPr>
          <w:rFonts w:ascii="Times New Roman" w:eastAsia="Times New Roman" w:hAnsi="Times New Roman" w:cs="Times New Roman"/>
          <w:kern w:val="0"/>
          <w:lang w:eastAsia="en-GB"/>
          <w14:ligatures w14:val="none"/>
        </w:rPr>
        <w:t>: Rainfall Intensity-Duration-Frequency (IDF), Non-stationary modeling, Climate change, General Extreme Value (GEV) distribution, Mann-Kendall trend analysis, Change point detection</w:t>
      </w:r>
    </w:p>
    <w:p w14:paraId="58A89FDA" w14:textId="77777777" w:rsidR="00BD1CB8" w:rsidRPr="00BD1CB8" w:rsidRDefault="00BD1CB8" w:rsidP="00BD1CB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DB22B17" w14:textId="77777777"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1. Introduction</w:t>
      </w:r>
    </w:p>
    <w:p w14:paraId="6AB35AD0" w14:textId="67F42CB2" w:rsidR="00932C17" w:rsidRPr="00932C17" w:rsidRDefault="00932C17"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rising occurrence and severity of extreme precipitation events are critical issues in hydrology and civil engineering, especially regarding infrastructure design and urban drainage management</w:t>
      </w:r>
      <w:r w:rsidRPr="00932C1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Rainfall Intensity-Duration-Frequency (IDF) curves provide </w:t>
      </w:r>
      <w:r w:rsidR="00867774">
        <w:rPr>
          <w:rFonts w:ascii="Times New Roman" w:eastAsia="Times New Roman" w:hAnsi="Times New Roman" w:cs="Times New Roman"/>
          <w:kern w:val="0"/>
          <w:lang w:eastAsia="en-GB"/>
          <w14:ligatures w14:val="none"/>
        </w:rPr>
        <w:t xml:space="preserve">relationships between </w:t>
      </w:r>
      <w:r>
        <w:rPr>
          <w:rFonts w:ascii="Times New Roman" w:eastAsia="Times New Roman" w:hAnsi="Times New Roman" w:cs="Times New Roman"/>
          <w:kern w:val="0"/>
          <w:lang w:eastAsia="en-GB"/>
          <w14:ligatures w14:val="none"/>
        </w:rPr>
        <w:t xml:space="preserve">rainfall intensity, storm duration, and their occurrence frequency, making them essential in the design of hydraulic structures </w:t>
      </w:r>
      <w:r w:rsidRPr="00932C17">
        <w:rPr>
          <w:rFonts w:ascii="Times New Roman" w:eastAsia="Times New Roman" w:hAnsi="Times New Roman" w:cs="Times New Roman"/>
          <w:kern w:val="0"/>
          <w:lang w:eastAsia="en-GB"/>
          <w14:ligatures w14:val="none"/>
        </w:rPr>
        <w:t>(</w:t>
      </w:r>
      <w:proofErr w:type="spellStart"/>
      <w:r w:rsidRPr="00932C17">
        <w:rPr>
          <w:rFonts w:ascii="Times New Roman" w:eastAsia="Times New Roman" w:hAnsi="Times New Roman" w:cs="Times New Roman"/>
          <w:kern w:val="0"/>
          <w:lang w:eastAsia="en-GB"/>
          <w14:ligatures w14:val="none"/>
        </w:rPr>
        <w:t>Endreny</w:t>
      </w:r>
      <w:proofErr w:type="spellEnd"/>
      <w:r w:rsidRPr="00932C17">
        <w:rPr>
          <w:rFonts w:ascii="Times New Roman" w:eastAsia="Times New Roman" w:hAnsi="Times New Roman" w:cs="Times New Roman"/>
          <w:kern w:val="0"/>
          <w:lang w:eastAsia="en-GB"/>
          <w14:ligatures w14:val="none"/>
        </w:rPr>
        <w:t xml:space="preserve"> </w:t>
      </w:r>
      <w:r w:rsidR="00596B23">
        <w:rPr>
          <w:rFonts w:ascii="Times New Roman" w:eastAsia="Times New Roman" w:hAnsi="Times New Roman" w:cs="Times New Roman"/>
          <w:kern w:val="0"/>
          <w:lang w:eastAsia="en-GB"/>
          <w14:ligatures w14:val="none"/>
        </w:rPr>
        <w:t>&amp;</w:t>
      </w:r>
      <w:r w:rsidRPr="00932C17">
        <w:rPr>
          <w:rFonts w:ascii="Times New Roman" w:eastAsia="Times New Roman" w:hAnsi="Times New Roman" w:cs="Times New Roman"/>
          <w:kern w:val="0"/>
          <w:lang w:eastAsia="en-GB"/>
          <w14:ligatures w14:val="none"/>
        </w:rPr>
        <w:t xml:space="preserve"> </w:t>
      </w:r>
      <w:proofErr w:type="spellStart"/>
      <w:r w:rsidRPr="00932C17">
        <w:rPr>
          <w:rFonts w:ascii="Times New Roman" w:eastAsia="Times New Roman" w:hAnsi="Times New Roman" w:cs="Times New Roman"/>
          <w:kern w:val="0"/>
          <w:lang w:eastAsia="en-GB"/>
          <w14:ligatures w14:val="none"/>
        </w:rPr>
        <w:t>Imbeah</w:t>
      </w:r>
      <w:proofErr w:type="spellEnd"/>
      <w:r w:rsidRPr="00932C17">
        <w:rPr>
          <w:rFonts w:ascii="Times New Roman" w:eastAsia="Times New Roman" w:hAnsi="Times New Roman" w:cs="Times New Roman"/>
          <w:kern w:val="0"/>
          <w:lang w:eastAsia="en-GB"/>
          <w14:ligatures w14:val="none"/>
        </w:rPr>
        <w:t xml:space="preserve">, 2009; Ganguli </w:t>
      </w:r>
      <w:r w:rsidR="00596B23">
        <w:rPr>
          <w:rFonts w:ascii="Times New Roman" w:eastAsia="Times New Roman" w:hAnsi="Times New Roman" w:cs="Times New Roman"/>
          <w:kern w:val="0"/>
          <w:lang w:eastAsia="en-GB"/>
          <w14:ligatures w14:val="none"/>
        </w:rPr>
        <w:t>&amp;</w:t>
      </w:r>
      <w:r w:rsidRPr="00932C17">
        <w:rPr>
          <w:rFonts w:ascii="Times New Roman" w:eastAsia="Times New Roman" w:hAnsi="Times New Roman" w:cs="Times New Roman"/>
          <w:kern w:val="0"/>
          <w:lang w:eastAsia="en-GB"/>
          <w14:ligatures w14:val="none"/>
        </w:rPr>
        <w:t xml:space="preserve"> Coulibaly, 2017). </w:t>
      </w:r>
      <w:r w:rsidR="00A448F7">
        <w:rPr>
          <w:rFonts w:ascii="Times New Roman" w:eastAsia="Times New Roman" w:hAnsi="Times New Roman" w:cs="Times New Roman"/>
          <w:kern w:val="0"/>
          <w:lang w:eastAsia="en-GB"/>
          <w14:ligatures w14:val="none"/>
        </w:rPr>
        <w:t xml:space="preserve">Traditionally, these IDF relationships have been established based on the assumption of stationarity, which means that the statistical characteristics of extreme rainfall are assumed to </w:t>
      </w:r>
      <w:r w:rsidR="00A448F7">
        <w:rPr>
          <w:rFonts w:ascii="Times New Roman" w:eastAsia="Times New Roman" w:hAnsi="Times New Roman" w:cs="Times New Roman"/>
          <w:kern w:val="0"/>
          <w:lang w:eastAsia="en-GB"/>
          <w14:ligatures w14:val="none"/>
        </w:rPr>
        <w:lastRenderedPageBreak/>
        <w:t>remain constant over time.</w:t>
      </w:r>
      <w:r w:rsidRPr="00932C17">
        <w:rPr>
          <w:rFonts w:ascii="Times New Roman" w:eastAsia="Times New Roman" w:hAnsi="Times New Roman" w:cs="Times New Roman"/>
          <w:kern w:val="0"/>
          <w:lang w:eastAsia="en-GB"/>
          <w14:ligatures w14:val="none"/>
        </w:rPr>
        <w:t xml:space="preserve"> However, this foundational assumption has come under increased scrutiny as climate change continues to alter precipitation patterns globally (Milly et al., 2008; </w:t>
      </w:r>
      <w:proofErr w:type="spellStart"/>
      <w:r w:rsidRPr="00932C17">
        <w:rPr>
          <w:rFonts w:ascii="Times New Roman" w:eastAsia="Times New Roman" w:hAnsi="Times New Roman" w:cs="Times New Roman"/>
          <w:kern w:val="0"/>
          <w:lang w:eastAsia="en-GB"/>
          <w14:ligatures w14:val="none"/>
        </w:rPr>
        <w:t>Tramblay</w:t>
      </w:r>
      <w:proofErr w:type="spellEnd"/>
      <w:r w:rsidRPr="00932C17">
        <w:rPr>
          <w:rFonts w:ascii="Times New Roman" w:eastAsia="Times New Roman" w:hAnsi="Times New Roman" w:cs="Times New Roman"/>
          <w:kern w:val="0"/>
          <w:lang w:eastAsia="en-GB"/>
          <w14:ligatures w14:val="none"/>
        </w:rPr>
        <w:t xml:space="preserve"> et al., 2013</w:t>
      </w:r>
      <w:r w:rsidR="00596B23">
        <w:rPr>
          <w:rFonts w:ascii="Times New Roman" w:eastAsia="Times New Roman" w:hAnsi="Times New Roman" w:cs="Times New Roman"/>
          <w:kern w:val="0"/>
          <w:lang w:eastAsia="en-GB"/>
          <w14:ligatures w14:val="none"/>
        </w:rPr>
        <w:t>;</w:t>
      </w:r>
      <w:r w:rsidR="00A448F7">
        <w:rPr>
          <w:rFonts w:ascii="Times New Roman" w:eastAsia="Times New Roman" w:hAnsi="Times New Roman" w:cs="Times New Roman"/>
          <w:kern w:val="0"/>
          <w:lang w:eastAsia="en-GB"/>
          <w14:ligatures w14:val="none"/>
        </w:rPr>
        <w:t xml:space="preserve"> Ekwueme et al., 202</w:t>
      </w:r>
      <w:r w:rsidR="00164891">
        <w:rPr>
          <w:rFonts w:ascii="Times New Roman" w:eastAsia="Times New Roman" w:hAnsi="Times New Roman" w:cs="Times New Roman"/>
          <w:kern w:val="0"/>
          <w:lang w:eastAsia="en-GB"/>
          <w14:ligatures w14:val="none"/>
        </w:rPr>
        <w:t>5</w:t>
      </w:r>
      <w:r w:rsidRPr="00932C17">
        <w:rPr>
          <w:rFonts w:ascii="Times New Roman" w:eastAsia="Times New Roman" w:hAnsi="Times New Roman" w:cs="Times New Roman"/>
          <w:kern w:val="0"/>
          <w:lang w:eastAsia="en-GB"/>
          <w14:ligatures w14:val="none"/>
        </w:rPr>
        <w:t>).</w:t>
      </w:r>
    </w:p>
    <w:p w14:paraId="6E1B4661" w14:textId="191C4DE0" w:rsidR="0053160A" w:rsidRDefault="00F21A46"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Climate change is anticipated to intensify the hydrological cycle, as </w:t>
      </w:r>
      <w:r w:rsidR="0053160A">
        <w:rPr>
          <w:rFonts w:ascii="Times New Roman" w:eastAsia="Times New Roman" w:hAnsi="Times New Roman" w:cs="Times New Roman"/>
          <w:kern w:val="0"/>
          <w:lang w:eastAsia="en-GB"/>
          <w14:ligatures w14:val="none"/>
        </w:rPr>
        <w:t>the Clausius-Clapeyron relationship</w:t>
      </w:r>
      <w:r>
        <w:rPr>
          <w:rFonts w:ascii="Times New Roman" w:eastAsia="Times New Roman" w:hAnsi="Times New Roman" w:cs="Times New Roman"/>
          <w:kern w:val="0"/>
          <w:lang w:eastAsia="en-GB"/>
          <w14:ligatures w14:val="none"/>
        </w:rPr>
        <w:t xml:space="preserve"> states that </w:t>
      </w:r>
      <w:r w:rsidR="0053160A">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 xml:space="preserve">atmospheric capacity to hold water increases by about 7% for every 1°C of warming </w:t>
      </w:r>
      <w:r w:rsidR="00932C17" w:rsidRPr="00932C17">
        <w:rPr>
          <w:rFonts w:ascii="Times New Roman" w:eastAsia="Times New Roman" w:hAnsi="Times New Roman" w:cs="Times New Roman"/>
          <w:kern w:val="0"/>
          <w:lang w:eastAsia="en-GB"/>
          <w14:ligatures w14:val="none"/>
        </w:rPr>
        <w:t xml:space="preserve">(Trenberth, 2011; </w:t>
      </w:r>
      <w:proofErr w:type="spellStart"/>
      <w:r w:rsidR="00932C17" w:rsidRPr="00932C17">
        <w:rPr>
          <w:rFonts w:ascii="Times New Roman" w:eastAsia="Times New Roman" w:hAnsi="Times New Roman" w:cs="Times New Roman"/>
          <w:kern w:val="0"/>
          <w:lang w:eastAsia="en-GB"/>
          <w14:ligatures w14:val="none"/>
        </w:rPr>
        <w:t>Lenderink</w:t>
      </w:r>
      <w:proofErr w:type="spellEnd"/>
      <w:r w:rsidR="00932C17" w:rsidRPr="00932C17">
        <w:rPr>
          <w:rFonts w:ascii="Times New Roman" w:eastAsia="Times New Roman" w:hAnsi="Times New Roman" w:cs="Times New Roman"/>
          <w:kern w:val="0"/>
          <w:lang w:eastAsia="en-GB"/>
          <w14:ligatures w14:val="none"/>
        </w:rPr>
        <w:t xml:space="preserve"> </w:t>
      </w:r>
      <w:r w:rsidR="00164891">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van </w:t>
      </w:r>
      <w:proofErr w:type="spellStart"/>
      <w:r w:rsidR="00932C17" w:rsidRPr="00932C17">
        <w:rPr>
          <w:rFonts w:ascii="Times New Roman" w:eastAsia="Times New Roman" w:hAnsi="Times New Roman" w:cs="Times New Roman"/>
          <w:kern w:val="0"/>
          <w:lang w:eastAsia="en-GB"/>
          <w14:ligatures w14:val="none"/>
        </w:rPr>
        <w:t>Meijgaard</w:t>
      </w:r>
      <w:proofErr w:type="spellEnd"/>
      <w:r w:rsidR="00932C17" w:rsidRPr="00932C17">
        <w:rPr>
          <w:rFonts w:ascii="Times New Roman" w:eastAsia="Times New Roman" w:hAnsi="Times New Roman" w:cs="Times New Roman"/>
          <w:kern w:val="0"/>
          <w:lang w:eastAsia="en-GB"/>
          <w14:ligatures w14:val="none"/>
        </w:rPr>
        <w:t xml:space="preserve">, 2008). This physical relationship directly influences precipitation intensity, potentially increasing the frequency and severity of extreme rainfall events (Cheng </w:t>
      </w:r>
      <w:r w:rsidR="0053160A">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AghaKouchak</w:t>
      </w:r>
      <w:proofErr w:type="spellEnd"/>
      <w:r w:rsidR="00932C17" w:rsidRPr="00932C17">
        <w:rPr>
          <w:rFonts w:ascii="Times New Roman" w:eastAsia="Times New Roman" w:hAnsi="Times New Roman" w:cs="Times New Roman"/>
          <w:kern w:val="0"/>
          <w:lang w:eastAsia="en-GB"/>
          <w14:ligatures w14:val="none"/>
        </w:rPr>
        <w:t xml:space="preserve">, 2014; </w:t>
      </w:r>
      <w:proofErr w:type="spellStart"/>
      <w:r w:rsidR="00932C17" w:rsidRPr="00932C17">
        <w:rPr>
          <w:rFonts w:ascii="Times New Roman" w:eastAsia="Times New Roman" w:hAnsi="Times New Roman" w:cs="Times New Roman"/>
          <w:kern w:val="0"/>
          <w:lang w:eastAsia="en-GB"/>
          <w14:ligatures w14:val="none"/>
        </w:rPr>
        <w:t>Westra</w:t>
      </w:r>
      <w:proofErr w:type="spellEnd"/>
      <w:r w:rsidR="00932C17" w:rsidRPr="00932C17">
        <w:rPr>
          <w:rFonts w:ascii="Times New Roman" w:eastAsia="Times New Roman" w:hAnsi="Times New Roman" w:cs="Times New Roman"/>
          <w:kern w:val="0"/>
          <w:lang w:eastAsia="en-GB"/>
          <w14:ligatures w14:val="none"/>
        </w:rPr>
        <w:t xml:space="preserve"> et al., 2013). </w:t>
      </w:r>
      <w:r w:rsidR="0053160A">
        <w:rPr>
          <w:rFonts w:ascii="Times New Roman" w:eastAsia="Times New Roman" w:hAnsi="Times New Roman" w:cs="Times New Roman"/>
          <w:kern w:val="0"/>
          <w:lang w:eastAsia="en-GB"/>
          <w14:ligatures w14:val="none"/>
        </w:rPr>
        <w:t>The changes in precipitation patterns lead to nonstationary, meaning that the statistical characteristics of extreme rainfall vary over time</w:t>
      </w:r>
      <w:r w:rsidR="00AD339B">
        <w:rPr>
          <w:rFonts w:ascii="Times New Roman" w:eastAsia="Times New Roman" w:hAnsi="Times New Roman" w:cs="Times New Roman"/>
          <w:kern w:val="0"/>
          <w:lang w:eastAsia="en-GB"/>
          <w14:ligatures w14:val="none"/>
        </w:rPr>
        <w:t>, w</w:t>
      </w:r>
      <w:r w:rsidR="00CD46E8">
        <w:rPr>
          <w:rFonts w:ascii="Times New Roman" w:eastAsia="Times New Roman" w:hAnsi="Times New Roman" w:cs="Times New Roman"/>
          <w:kern w:val="0"/>
          <w:lang w:eastAsia="en-GB"/>
          <w14:ligatures w14:val="none"/>
        </w:rPr>
        <w:t>hich necessitate a time component to be introduced to IDF model development to account for the vari</w:t>
      </w:r>
      <w:r w:rsidR="00AD339B">
        <w:rPr>
          <w:rFonts w:ascii="Times New Roman" w:eastAsia="Times New Roman" w:hAnsi="Times New Roman" w:cs="Times New Roman"/>
          <w:kern w:val="0"/>
          <w:lang w:eastAsia="en-GB"/>
          <w14:ligatures w14:val="none"/>
        </w:rPr>
        <w:t>ations</w:t>
      </w:r>
      <w:r w:rsidR="00CD46E8">
        <w:rPr>
          <w:rFonts w:ascii="Times New Roman" w:eastAsia="Times New Roman" w:hAnsi="Times New Roman" w:cs="Times New Roman"/>
          <w:kern w:val="0"/>
          <w:lang w:eastAsia="en-GB"/>
          <w14:ligatures w14:val="none"/>
        </w:rPr>
        <w:t xml:space="preserve"> of the statistical parameters over time. </w:t>
      </w:r>
    </w:p>
    <w:p w14:paraId="5580DC1D" w14:textId="2ACC3B42" w:rsidR="00932C17" w:rsidRPr="00932C17" w:rsidRDefault="00D46979" w:rsidP="00932C17">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Nigeria, especially in the southeast around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the effects of climate change are becoming more apparent through changes in rainfall patterns and intensities (Ekwueme et al., 2024)</w:t>
      </w:r>
      <w:r w:rsidR="00932C17" w:rsidRPr="00932C1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Traditional IDF curves that do not account for </w:t>
      </w:r>
      <w:proofErr w:type="spellStart"/>
      <w:r>
        <w:rPr>
          <w:rFonts w:ascii="Times New Roman" w:eastAsia="Times New Roman" w:hAnsi="Times New Roman" w:cs="Times New Roman"/>
          <w:kern w:val="0"/>
          <w:lang w:eastAsia="en-GB"/>
          <w14:ligatures w14:val="none"/>
        </w:rPr>
        <w:t>nonstationarity</w:t>
      </w:r>
      <w:proofErr w:type="spellEnd"/>
      <w:r>
        <w:rPr>
          <w:rFonts w:ascii="Times New Roman" w:eastAsia="Times New Roman" w:hAnsi="Times New Roman" w:cs="Times New Roman"/>
          <w:kern w:val="0"/>
          <w:lang w:eastAsia="en-GB"/>
          <w14:ligatures w14:val="none"/>
        </w:rPr>
        <w:t xml:space="preserve"> can significantly underestimate future rainfall extremes. </w:t>
      </w:r>
      <w:r w:rsidR="00E16269">
        <w:rPr>
          <w:rFonts w:ascii="Times New Roman" w:eastAsia="Times New Roman" w:hAnsi="Times New Roman" w:cs="Times New Roman"/>
          <w:kern w:val="0"/>
          <w:lang w:eastAsia="en-GB"/>
          <w14:ligatures w14:val="none"/>
        </w:rPr>
        <w:t xml:space="preserve">The utilisation of a stationary IDF model for design </w:t>
      </w:r>
      <w:r>
        <w:rPr>
          <w:rFonts w:ascii="Times New Roman" w:eastAsia="Times New Roman" w:hAnsi="Times New Roman" w:cs="Times New Roman"/>
          <w:kern w:val="0"/>
          <w:lang w:eastAsia="en-GB"/>
          <w14:ligatures w14:val="none"/>
        </w:rPr>
        <w:t xml:space="preserve">could result in insufficient infrastructure design and a heightened flood risk </w:t>
      </w:r>
      <w:r w:rsidR="00932C17" w:rsidRPr="00932C17">
        <w:rPr>
          <w:rFonts w:ascii="Times New Roman" w:eastAsia="Times New Roman" w:hAnsi="Times New Roman" w:cs="Times New Roman"/>
          <w:kern w:val="0"/>
          <w:lang w:eastAsia="en-GB"/>
          <w14:ligatures w14:val="none"/>
        </w:rPr>
        <w:t xml:space="preserve">(Cheng </w:t>
      </w:r>
      <w:r w:rsidR="00FE3C6E">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AghaKouchak</w:t>
      </w:r>
      <w:proofErr w:type="spellEnd"/>
      <w:r w:rsidR="00932C17" w:rsidRPr="00932C17">
        <w:rPr>
          <w:rFonts w:ascii="Times New Roman" w:eastAsia="Times New Roman" w:hAnsi="Times New Roman" w:cs="Times New Roman"/>
          <w:kern w:val="0"/>
          <w:lang w:eastAsia="en-GB"/>
          <w14:ligatures w14:val="none"/>
        </w:rPr>
        <w:t>, 2014).</w:t>
      </w:r>
      <w:r w:rsidR="00FE3C6E">
        <w:rPr>
          <w:rFonts w:ascii="Times New Roman" w:eastAsia="Times New Roman" w:hAnsi="Times New Roman" w:cs="Times New Roman"/>
          <w:kern w:val="0"/>
          <w:lang w:eastAsia="en-GB"/>
          <w14:ligatures w14:val="none"/>
        </w:rPr>
        <w:t xml:space="preserve"> </w:t>
      </w:r>
      <w:r w:rsidR="00E16269" w:rsidRPr="00932C17">
        <w:rPr>
          <w:rFonts w:ascii="Times New Roman" w:eastAsia="Times New Roman" w:hAnsi="Times New Roman" w:cs="Times New Roman"/>
          <w:kern w:val="0"/>
          <w:lang w:eastAsia="en-GB"/>
          <w14:ligatures w14:val="none"/>
        </w:rPr>
        <w:t xml:space="preserve">Cheng </w:t>
      </w:r>
      <w:r w:rsidR="00E16269">
        <w:rPr>
          <w:rFonts w:ascii="Times New Roman" w:eastAsia="Times New Roman" w:hAnsi="Times New Roman" w:cs="Times New Roman"/>
          <w:kern w:val="0"/>
          <w:lang w:eastAsia="en-GB"/>
          <w14:ligatures w14:val="none"/>
        </w:rPr>
        <w:t>and</w:t>
      </w:r>
      <w:r w:rsidR="00E16269" w:rsidRPr="00932C17">
        <w:rPr>
          <w:rFonts w:ascii="Times New Roman" w:eastAsia="Times New Roman" w:hAnsi="Times New Roman" w:cs="Times New Roman"/>
          <w:kern w:val="0"/>
          <w:lang w:eastAsia="en-GB"/>
          <w14:ligatures w14:val="none"/>
        </w:rPr>
        <w:t xml:space="preserve"> </w:t>
      </w:r>
      <w:proofErr w:type="spellStart"/>
      <w:r w:rsidR="00E16269" w:rsidRPr="00932C17">
        <w:rPr>
          <w:rFonts w:ascii="Times New Roman" w:eastAsia="Times New Roman" w:hAnsi="Times New Roman" w:cs="Times New Roman"/>
          <w:kern w:val="0"/>
          <w:lang w:eastAsia="en-GB"/>
          <w14:ligatures w14:val="none"/>
        </w:rPr>
        <w:t>AghaKouchak</w:t>
      </w:r>
      <w:proofErr w:type="spellEnd"/>
      <w:r w:rsidR="00E16269">
        <w:rPr>
          <w:rFonts w:ascii="Times New Roman" w:eastAsia="Times New Roman" w:hAnsi="Times New Roman" w:cs="Times New Roman"/>
          <w:kern w:val="0"/>
          <w:lang w:eastAsia="en-GB"/>
          <w14:ligatures w14:val="none"/>
        </w:rPr>
        <w:t xml:space="preserve"> (</w:t>
      </w:r>
      <w:r w:rsidR="00E16269" w:rsidRPr="00932C17">
        <w:rPr>
          <w:rFonts w:ascii="Times New Roman" w:eastAsia="Times New Roman" w:hAnsi="Times New Roman" w:cs="Times New Roman"/>
          <w:kern w:val="0"/>
          <w:lang w:eastAsia="en-GB"/>
          <w14:ligatures w14:val="none"/>
        </w:rPr>
        <w:t>2014</w:t>
      </w:r>
      <w:r w:rsidR="00E16269">
        <w:rPr>
          <w:rFonts w:ascii="Times New Roman" w:eastAsia="Times New Roman" w:hAnsi="Times New Roman" w:cs="Times New Roman"/>
          <w:kern w:val="0"/>
          <w:lang w:eastAsia="en-GB"/>
          <w14:ligatures w14:val="none"/>
        </w:rPr>
        <w:t>) showed that conventional stationary methods for IDF development may underestimate extreme precipitation by up to 60% in areas undergoing substantial climate change</w:t>
      </w:r>
      <w:r w:rsidR="00932C17" w:rsidRPr="00932C17">
        <w:rPr>
          <w:rFonts w:ascii="Times New Roman" w:eastAsia="Times New Roman" w:hAnsi="Times New Roman" w:cs="Times New Roman"/>
          <w:kern w:val="0"/>
          <w:lang w:eastAsia="en-GB"/>
          <w14:ligatures w14:val="none"/>
        </w:rPr>
        <w:t xml:space="preserve">. </w:t>
      </w:r>
      <w:r w:rsidR="001E2956">
        <w:rPr>
          <w:rFonts w:ascii="Times New Roman" w:eastAsia="Times New Roman" w:hAnsi="Times New Roman" w:cs="Times New Roman"/>
          <w:kern w:val="0"/>
          <w:lang w:eastAsia="en-GB"/>
          <w14:ligatures w14:val="none"/>
        </w:rPr>
        <w:t>This difference underscores the essential requirement for nonstationary methods considering temporal variations in rainfall patterns.</w:t>
      </w:r>
      <w:r w:rsidR="00932C17" w:rsidRPr="00932C17">
        <w:rPr>
          <w:rFonts w:ascii="Times New Roman" w:eastAsia="Times New Roman" w:hAnsi="Times New Roman" w:cs="Times New Roman"/>
          <w:kern w:val="0"/>
          <w:lang w:eastAsia="en-GB"/>
          <w14:ligatures w14:val="none"/>
        </w:rPr>
        <w:t xml:space="preserve"> Several researchers have proposed frameworks for developing nonstationary IDF curves, incorporating time-varying parameters in extreme value distributions (</w:t>
      </w:r>
      <w:r w:rsidR="00897DBD" w:rsidRPr="00932C17">
        <w:rPr>
          <w:rFonts w:ascii="Times New Roman" w:eastAsia="Times New Roman" w:hAnsi="Times New Roman" w:cs="Times New Roman"/>
          <w:kern w:val="0"/>
          <w:lang w:eastAsia="en-GB"/>
          <w14:ligatures w14:val="none"/>
        </w:rPr>
        <w:t xml:space="preserve">Cheng </w:t>
      </w:r>
      <w:r w:rsidR="00C405AD">
        <w:rPr>
          <w:rFonts w:ascii="Times New Roman" w:eastAsia="Times New Roman" w:hAnsi="Times New Roman" w:cs="Times New Roman"/>
          <w:kern w:val="0"/>
          <w:lang w:eastAsia="en-GB"/>
          <w14:ligatures w14:val="none"/>
        </w:rPr>
        <w:t>&amp;</w:t>
      </w:r>
      <w:r w:rsidR="00897DBD" w:rsidRPr="00932C17">
        <w:rPr>
          <w:rFonts w:ascii="Times New Roman" w:eastAsia="Times New Roman" w:hAnsi="Times New Roman" w:cs="Times New Roman"/>
          <w:kern w:val="0"/>
          <w:lang w:eastAsia="en-GB"/>
          <w14:ligatures w14:val="none"/>
        </w:rPr>
        <w:t xml:space="preserve"> </w:t>
      </w:r>
      <w:proofErr w:type="spellStart"/>
      <w:r w:rsidR="00897DBD" w:rsidRPr="00932C17">
        <w:rPr>
          <w:rFonts w:ascii="Times New Roman" w:eastAsia="Times New Roman" w:hAnsi="Times New Roman" w:cs="Times New Roman"/>
          <w:kern w:val="0"/>
          <w:lang w:eastAsia="en-GB"/>
          <w14:ligatures w14:val="none"/>
        </w:rPr>
        <w:t>AghaKouchak</w:t>
      </w:r>
      <w:proofErr w:type="spellEnd"/>
      <w:r w:rsidR="00897DBD">
        <w:rPr>
          <w:rFonts w:ascii="Times New Roman" w:eastAsia="Times New Roman" w:hAnsi="Times New Roman" w:cs="Times New Roman"/>
          <w:kern w:val="0"/>
          <w:lang w:eastAsia="en-GB"/>
          <w14:ligatures w14:val="none"/>
        </w:rPr>
        <w:t xml:space="preserve">, </w:t>
      </w:r>
      <w:r w:rsidR="00C405AD">
        <w:rPr>
          <w:rFonts w:ascii="Times New Roman" w:eastAsia="Times New Roman" w:hAnsi="Times New Roman" w:cs="Times New Roman"/>
          <w:kern w:val="0"/>
          <w:lang w:eastAsia="en-GB"/>
          <w14:ligatures w14:val="none"/>
        </w:rPr>
        <w:t xml:space="preserve">2014; </w:t>
      </w:r>
      <w:proofErr w:type="spellStart"/>
      <w:r w:rsidR="00932C17" w:rsidRPr="00932C17">
        <w:rPr>
          <w:rFonts w:ascii="Times New Roman" w:eastAsia="Times New Roman" w:hAnsi="Times New Roman" w:cs="Times New Roman"/>
          <w:kern w:val="0"/>
          <w:lang w:eastAsia="en-GB"/>
          <w14:ligatures w14:val="none"/>
        </w:rPr>
        <w:t>Agilan</w:t>
      </w:r>
      <w:proofErr w:type="spellEnd"/>
      <w:r w:rsidR="00932C17" w:rsidRPr="00932C17">
        <w:rPr>
          <w:rFonts w:ascii="Times New Roman" w:eastAsia="Times New Roman" w:hAnsi="Times New Roman" w:cs="Times New Roman"/>
          <w:kern w:val="0"/>
          <w:lang w:eastAsia="en-GB"/>
          <w14:ligatures w14:val="none"/>
        </w:rPr>
        <w:t xml:space="preserve"> </w:t>
      </w:r>
      <w:r w:rsidR="00897DB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Umamahesh</w:t>
      </w:r>
      <w:proofErr w:type="spellEnd"/>
      <w:r w:rsidR="00932C17" w:rsidRPr="00932C17">
        <w:rPr>
          <w:rFonts w:ascii="Times New Roman" w:eastAsia="Times New Roman" w:hAnsi="Times New Roman" w:cs="Times New Roman"/>
          <w:kern w:val="0"/>
          <w:lang w:eastAsia="en-GB"/>
          <w14:ligatures w14:val="none"/>
        </w:rPr>
        <w:t xml:space="preserve">, 2016; Ganguli </w:t>
      </w:r>
      <w:r w:rsidR="00897DB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Coulibaly, 2017; Ekwueme et al., 2024).</w:t>
      </w:r>
      <w:r w:rsidR="00C405AD">
        <w:rPr>
          <w:rFonts w:ascii="Times New Roman" w:eastAsia="Times New Roman" w:hAnsi="Times New Roman" w:cs="Times New Roman"/>
          <w:kern w:val="0"/>
          <w:lang w:eastAsia="en-GB"/>
          <w14:ligatures w14:val="none"/>
        </w:rPr>
        <w:t xml:space="preserve"> </w:t>
      </w:r>
      <w:r w:rsidR="00932C17" w:rsidRPr="00932C17">
        <w:rPr>
          <w:rFonts w:ascii="Times New Roman" w:eastAsia="Times New Roman" w:hAnsi="Times New Roman" w:cs="Times New Roman"/>
          <w:kern w:val="0"/>
          <w:lang w:eastAsia="en-GB"/>
          <w14:ligatures w14:val="none"/>
        </w:rPr>
        <w:t xml:space="preserve">The General </w:t>
      </w:r>
      <w:r w:rsidR="00932C17" w:rsidRPr="00932C17">
        <w:rPr>
          <w:rFonts w:ascii="Times New Roman" w:eastAsia="Times New Roman" w:hAnsi="Times New Roman" w:cs="Times New Roman"/>
          <w:kern w:val="0"/>
          <w:lang w:eastAsia="en-GB"/>
          <w14:ligatures w14:val="none"/>
        </w:rPr>
        <w:lastRenderedPageBreak/>
        <w:t xml:space="preserve">Extreme Value (GEV) distribution has emerged as a particularly useful model for incorporating </w:t>
      </w:r>
      <w:proofErr w:type="spellStart"/>
      <w:r w:rsidR="00C405AD" w:rsidRPr="00932C17">
        <w:rPr>
          <w:rFonts w:ascii="Times New Roman" w:eastAsia="Times New Roman" w:hAnsi="Times New Roman" w:cs="Times New Roman"/>
          <w:kern w:val="0"/>
          <w:lang w:eastAsia="en-GB"/>
          <w14:ligatures w14:val="none"/>
        </w:rPr>
        <w:t>nonstationar</w:t>
      </w:r>
      <w:r w:rsidR="00AD339B">
        <w:rPr>
          <w:rFonts w:ascii="Times New Roman" w:eastAsia="Times New Roman" w:hAnsi="Times New Roman" w:cs="Times New Roman"/>
          <w:kern w:val="0"/>
          <w:lang w:eastAsia="en-GB"/>
          <w14:ligatures w14:val="none"/>
        </w:rPr>
        <w:t>it</w:t>
      </w:r>
      <w:r w:rsidR="00C405AD" w:rsidRPr="00932C17">
        <w:rPr>
          <w:rFonts w:ascii="Times New Roman" w:eastAsia="Times New Roman" w:hAnsi="Times New Roman" w:cs="Times New Roman"/>
          <w:kern w:val="0"/>
          <w:lang w:eastAsia="en-GB"/>
          <w14:ligatures w14:val="none"/>
        </w:rPr>
        <w:t>y</w:t>
      </w:r>
      <w:proofErr w:type="spellEnd"/>
      <w:r w:rsidR="00932C17" w:rsidRPr="00932C17">
        <w:rPr>
          <w:rFonts w:ascii="Times New Roman" w:eastAsia="Times New Roman" w:hAnsi="Times New Roman" w:cs="Times New Roman"/>
          <w:kern w:val="0"/>
          <w:lang w:eastAsia="en-GB"/>
          <w14:ligatures w14:val="none"/>
        </w:rPr>
        <w:t>, as it allows for temporal changes in distribution parameters (</w:t>
      </w:r>
      <w:proofErr w:type="spellStart"/>
      <w:r w:rsidR="00932C17" w:rsidRPr="00932C17">
        <w:rPr>
          <w:rFonts w:ascii="Times New Roman" w:eastAsia="Times New Roman" w:hAnsi="Times New Roman" w:cs="Times New Roman"/>
          <w:kern w:val="0"/>
          <w:lang w:eastAsia="en-GB"/>
          <w14:ligatures w14:val="none"/>
        </w:rPr>
        <w:t>Tramblay</w:t>
      </w:r>
      <w:proofErr w:type="spellEnd"/>
      <w:r w:rsidR="00932C17" w:rsidRPr="00932C17">
        <w:rPr>
          <w:rFonts w:ascii="Times New Roman" w:eastAsia="Times New Roman" w:hAnsi="Times New Roman" w:cs="Times New Roman"/>
          <w:kern w:val="0"/>
          <w:lang w:eastAsia="en-GB"/>
          <w14:ligatures w14:val="none"/>
        </w:rPr>
        <w:t xml:space="preserve"> et al., 2013; Ganguli </w:t>
      </w:r>
      <w:r w:rsidR="00C405AD">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Coulibaly, 2017). Studies have employed various approaches to model </w:t>
      </w:r>
      <w:r w:rsidR="00C545B3" w:rsidRPr="00932C17">
        <w:rPr>
          <w:rFonts w:ascii="Times New Roman" w:eastAsia="Times New Roman" w:hAnsi="Times New Roman" w:cs="Times New Roman"/>
          <w:kern w:val="0"/>
          <w:lang w:eastAsia="en-GB"/>
          <w14:ligatures w14:val="none"/>
        </w:rPr>
        <w:t>nonstationary</w:t>
      </w:r>
      <w:r w:rsidR="00932C17" w:rsidRPr="00932C17">
        <w:rPr>
          <w:rFonts w:ascii="Times New Roman" w:eastAsia="Times New Roman" w:hAnsi="Times New Roman" w:cs="Times New Roman"/>
          <w:kern w:val="0"/>
          <w:lang w:eastAsia="en-GB"/>
          <w14:ligatures w14:val="none"/>
        </w:rPr>
        <w:t xml:space="preserve">, including linear trends in distribution parameters and </w:t>
      </w:r>
      <w:r w:rsidR="00C545B3">
        <w:rPr>
          <w:rFonts w:ascii="Times New Roman" w:eastAsia="Times New Roman" w:hAnsi="Times New Roman" w:cs="Times New Roman"/>
          <w:kern w:val="0"/>
          <w:lang w:eastAsia="en-GB"/>
          <w14:ligatures w14:val="none"/>
        </w:rPr>
        <w:t>incorporating</w:t>
      </w:r>
      <w:r w:rsidR="00932C17" w:rsidRPr="00932C17">
        <w:rPr>
          <w:rFonts w:ascii="Times New Roman" w:eastAsia="Times New Roman" w:hAnsi="Times New Roman" w:cs="Times New Roman"/>
          <w:kern w:val="0"/>
          <w:lang w:eastAsia="en-GB"/>
          <w14:ligatures w14:val="none"/>
        </w:rPr>
        <w:t xml:space="preserve"> covariates such as global temperature anomalies, </w:t>
      </w:r>
      <w:r w:rsidR="00C545B3">
        <w:rPr>
          <w:rFonts w:ascii="Times New Roman" w:eastAsia="Times New Roman" w:hAnsi="Times New Roman" w:cs="Times New Roman"/>
          <w:kern w:val="0"/>
          <w:lang w:eastAsia="en-GB"/>
          <w14:ligatures w14:val="none"/>
        </w:rPr>
        <w:t>urbanisation</w:t>
      </w:r>
      <w:r w:rsidR="00932C17" w:rsidRPr="00932C17">
        <w:rPr>
          <w:rFonts w:ascii="Times New Roman" w:eastAsia="Times New Roman" w:hAnsi="Times New Roman" w:cs="Times New Roman"/>
          <w:kern w:val="0"/>
          <w:lang w:eastAsia="en-GB"/>
          <w14:ligatures w14:val="none"/>
        </w:rPr>
        <w:t xml:space="preserve"> indicators, and climate indices (</w:t>
      </w:r>
      <w:proofErr w:type="spellStart"/>
      <w:r w:rsidR="00932C17" w:rsidRPr="00932C17">
        <w:rPr>
          <w:rFonts w:ascii="Times New Roman" w:eastAsia="Times New Roman" w:hAnsi="Times New Roman" w:cs="Times New Roman"/>
          <w:kern w:val="0"/>
          <w:lang w:eastAsia="en-GB"/>
          <w14:ligatures w14:val="none"/>
        </w:rPr>
        <w:t>Agilan</w:t>
      </w:r>
      <w:proofErr w:type="spellEnd"/>
      <w:r w:rsidR="00932C17" w:rsidRPr="00932C17">
        <w:rPr>
          <w:rFonts w:ascii="Times New Roman" w:eastAsia="Times New Roman" w:hAnsi="Times New Roman" w:cs="Times New Roman"/>
          <w:kern w:val="0"/>
          <w:lang w:eastAsia="en-GB"/>
          <w14:ligatures w14:val="none"/>
        </w:rPr>
        <w:t xml:space="preserve"> </w:t>
      </w:r>
      <w:r w:rsidR="00C545B3">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w:t>
      </w:r>
      <w:proofErr w:type="spellStart"/>
      <w:r w:rsidR="00932C17" w:rsidRPr="00932C17">
        <w:rPr>
          <w:rFonts w:ascii="Times New Roman" w:eastAsia="Times New Roman" w:hAnsi="Times New Roman" w:cs="Times New Roman"/>
          <w:kern w:val="0"/>
          <w:lang w:eastAsia="en-GB"/>
          <w14:ligatures w14:val="none"/>
        </w:rPr>
        <w:t>Umamahesh</w:t>
      </w:r>
      <w:proofErr w:type="spellEnd"/>
      <w:r w:rsidR="00932C17" w:rsidRPr="00932C17">
        <w:rPr>
          <w:rFonts w:ascii="Times New Roman" w:eastAsia="Times New Roman" w:hAnsi="Times New Roman" w:cs="Times New Roman"/>
          <w:kern w:val="0"/>
          <w:lang w:eastAsia="en-GB"/>
          <w14:ligatures w14:val="none"/>
        </w:rPr>
        <w:t xml:space="preserve">, 2016; Ali </w:t>
      </w:r>
      <w:r w:rsidR="00C545B3">
        <w:rPr>
          <w:rFonts w:ascii="Times New Roman" w:eastAsia="Times New Roman" w:hAnsi="Times New Roman" w:cs="Times New Roman"/>
          <w:kern w:val="0"/>
          <w:lang w:eastAsia="en-GB"/>
          <w14:ligatures w14:val="none"/>
        </w:rPr>
        <w:t>&amp;</w:t>
      </w:r>
      <w:r w:rsidR="00932C17" w:rsidRPr="00932C17">
        <w:rPr>
          <w:rFonts w:ascii="Times New Roman" w:eastAsia="Times New Roman" w:hAnsi="Times New Roman" w:cs="Times New Roman"/>
          <w:kern w:val="0"/>
          <w:lang w:eastAsia="en-GB"/>
          <w14:ligatures w14:val="none"/>
        </w:rPr>
        <w:t xml:space="preserve"> Mishra, 2017).</w:t>
      </w:r>
    </w:p>
    <w:p w14:paraId="71B4F528" w14:textId="77777777" w:rsidR="0014292E" w:rsidRDefault="00C545B3" w:rsidP="0014292E">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Despite </w:t>
      </w:r>
      <w:r w:rsidR="0014292E">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progress</w:t>
      </w:r>
      <w:r w:rsidR="0014292E">
        <w:rPr>
          <w:rFonts w:ascii="Times New Roman" w:eastAsia="Times New Roman" w:hAnsi="Times New Roman" w:cs="Times New Roman"/>
          <w:kern w:val="0"/>
          <w:lang w:eastAsia="en-GB"/>
          <w14:ligatures w14:val="none"/>
        </w:rPr>
        <w:t xml:space="preserve"> in nonstationary IDF model development</w:t>
      </w:r>
      <w:r>
        <w:rPr>
          <w:rFonts w:ascii="Times New Roman" w:eastAsia="Times New Roman" w:hAnsi="Times New Roman" w:cs="Times New Roman"/>
          <w:kern w:val="0"/>
          <w:lang w:eastAsia="en-GB"/>
          <w14:ligatures w14:val="none"/>
        </w:rPr>
        <w:t xml:space="preserve">, </w:t>
      </w:r>
      <w:r w:rsidR="0014292E">
        <w:rPr>
          <w:rFonts w:ascii="Times New Roman" w:eastAsia="Times New Roman" w:hAnsi="Times New Roman" w:cs="Times New Roman"/>
          <w:kern w:val="0"/>
          <w:lang w:eastAsia="en-GB"/>
          <w14:ligatures w14:val="none"/>
        </w:rPr>
        <w:t>nonstationary IDF methods are</w:t>
      </w:r>
      <w:r>
        <w:rPr>
          <w:rFonts w:ascii="Times New Roman" w:eastAsia="Times New Roman" w:hAnsi="Times New Roman" w:cs="Times New Roman"/>
          <w:kern w:val="0"/>
          <w:lang w:eastAsia="en-GB"/>
          <w14:ligatures w14:val="none"/>
        </w:rPr>
        <w:t xml:space="preserve"> still not widespread in Nigeria, especially in the southeast. Nwaogazie and Sam (2020) found that </w:t>
      </w:r>
      <w:r w:rsidR="0014292E">
        <w:rPr>
          <w:rFonts w:ascii="Times New Roman" w:eastAsia="Times New Roman" w:hAnsi="Times New Roman" w:cs="Times New Roman"/>
          <w:kern w:val="0"/>
          <w:lang w:eastAsia="en-GB"/>
          <w14:ligatures w14:val="none"/>
        </w:rPr>
        <w:t>most</w:t>
      </w:r>
      <w:r>
        <w:rPr>
          <w:rFonts w:ascii="Times New Roman" w:eastAsia="Times New Roman" w:hAnsi="Times New Roman" w:cs="Times New Roman"/>
          <w:kern w:val="0"/>
          <w:lang w:eastAsia="en-GB"/>
          <w14:ligatures w14:val="none"/>
        </w:rPr>
        <w:t xml:space="preserve"> IDF studies in Nigeria continue to depend on stationary methods, even as evidence of climate change's effects becomes more apparent. </w:t>
      </w:r>
      <w:r w:rsidR="0014292E">
        <w:rPr>
          <w:rFonts w:ascii="Times New Roman" w:eastAsia="Times New Roman" w:hAnsi="Times New Roman" w:cs="Times New Roman"/>
          <w:kern w:val="0"/>
          <w:lang w:eastAsia="en-GB"/>
          <w14:ligatures w14:val="none"/>
        </w:rPr>
        <w:t xml:space="preserve"> </w:t>
      </w:r>
      <w:r w:rsidR="00932C17" w:rsidRPr="00932C17">
        <w:rPr>
          <w:rFonts w:ascii="Times New Roman" w:eastAsia="Times New Roman" w:hAnsi="Times New Roman" w:cs="Times New Roman"/>
          <w:kern w:val="0"/>
          <w:lang w:eastAsia="en-GB"/>
          <w14:ligatures w14:val="none"/>
        </w:rPr>
        <w:t xml:space="preserve">This study aims to address this knowledge gap by developing nonstationary IDF curves for </w:t>
      </w:r>
      <w:proofErr w:type="spellStart"/>
      <w:r w:rsidR="00932C17" w:rsidRPr="00932C17">
        <w:rPr>
          <w:rFonts w:ascii="Times New Roman" w:eastAsia="Times New Roman" w:hAnsi="Times New Roman" w:cs="Times New Roman"/>
          <w:kern w:val="0"/>
          <w:lang w:eastAsia="en-GB"/>
          <w14:ligatures w14:val="none"/>
        </w:rPr>
        <w:t>Abakaliki</w:t>
      </w:r>
      <w:proofErr w:type="spellEnd"/>
      <w:r w:rsidR="00932C17" w:rsidRPr="00932C17">
        <w:rPr>
          <w:rFonts w:ascii="Times New Roman" w:eastAsia="Times New Roman" w:hAnsi="Times New Roman" w:cs="Times New Roman"/>
          <w:kern w:val="0"/>
          <w:lang w:eastAsia="en-GB"/>
          <w14:ligatures w14:val="none"/>
        </w:rPr>
        <w:t xml:space="preserve">, Nigeria, using a 31-year rainfall record spanning from 1992 to 2022. </w:t>
      </w:r>
    </w:p>
    <w:p w14:paraId="1F6BE7E3" w14:textId="77777777" w:rsidR="00AD339B" w:rsidRDefault="00BD1CB8" w:rsidP="00AD339B">
      <w:pPr>
        <w:spacing w:before="100" w:beforeAutospacing="1" w:after="100" w:afterAutospacing="1" w:line="480" w:lineRule="auto"/>
        <w:jc w:val="both"/>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w:t>
      </w:r>
      <w:r w:rsidR="00AD339B">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Materials and Methods</w:t>
      </w:r>
    </w:p>
    <w:p w14:paraId="6EF7A3AA" w14:textId="301136B1" w:rsidR="00BD1CB8" w:rsidRPr="00BD1CB8" w:rsidRDefault="00BD1CB8" w:rsidP="00AD339B">
      <w:pPr>
        <w:spacing w:before="100" w:beforeAutospacing="1" w:after="100" w:afterAutospacing="1" w:line="480" w:lineRule="auto"/>
        <w:jc w:val="both"/>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2.1 Study Area</w:t>
      </w:r>
    </w:p>
    <w:p w14:paraId="2D4E97DC" w14:textId="27C094A2" w:rsidR="00BD1CB8" w:rsidRDefault="0014292E"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the capital of Ebonyi State, is in southeastern Nigeria, specifically in the South-Eastern region, at coordinates 6.3231°N latitude and 8.1120°E longitude. The city has a tropical climate with a rainy season from March to October and a dry season from November to February. Its climate is shaped by its position in the Guinea Forest-Savanna mosaic ecoregion, which typically yields substantial annual rainfall, rendering it prone to flooding and other rain-related issues. The city's rapid urbanisation in recent years has increased its exposure to climate change effects, particularly regarding alterations in rainfall patterns.</w:t>
      </w:r>
    </w:p>
    <w:p w14:paraId="16A390C0" w14:textId="6650937C" w:rsidR="009A4601" w:rsidRDefault="009A4601" w:rsidP="009A4601">
      <w:pPr>
        <w:spacing w:before="100" w:beforeAutospacing="1" w:after="100" w:afterAutospacing="1" w:line="276" w:lineRule="auto"/>
        <w:jc w:val="center"/>
        <w:rPr>
          <w:rFonts w:ascii="Times New Roman" w:eastAsia="Times New Roman" w:hAnsi="Times New Roman" w:cs="Times New Roman"/>
          <w:kern w:val="0"/>
          <w:lang w:eastAsia="en-GB"/>
          <w14:ligatures w14:val="none"/>
        </w:rPr>
      </w:pPr>
      <w:r>
        <w:rPr>
          <w:noProof/>
        </w:rPr>
        <w:lastRenderedPageBreak/>
        <w:drawing>
          <wp:inline distT="0" distB="0" distL="0" distR="0" wp14:anchorId="5330F0E4" wp14:editId="77B1FFCC">
            <wp:extent cx="4835371" cy="3794760"/>
            <wp:effectExtent l="19050" t="19050" r="22860" b="15240"/>
            <wp:docPr id="1434019913" name="Picture 1" descr="A map of nigeria with a yellow and green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19913" name="Picture 1" descr="A map of nigeria with a yellow and green ma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5371" cy="3794760"/>
                    </a:xfrm>
                    <a:prstGeom prst="rect">
                      <a:avLst/>
                    </a:prstGeom>
                    <a:noFill/>
                    <a:ln>
                      <a:solidFill>
                        <a:schemeClr val="bg1">
                          <a:lumMod val="85000"/>
                        </a:schemeClr>
                      </a:solidFill>
                    </a:ln>
                  </pic:spPr>
                </pic:pic>
              </a:graphicData>
            </a:graphic>
          </wp:inline>
        </w:drawing>
      </w:r>
    </w:p>
    <w:p w14:paraId="7648A96B" w14:textId="3AA20EF5" w:rsidR="009A4601" w:rsidRPr="00BD1CB8" w:rsidRDefault="009A4601" w:rsidP="009A4601">
      <w:pPr>
        <w:spacing w:before="100" w:beforeAutospacing="1" w:after="100" w:afterAutospacing="1" w:line="276" w:lineRule="auto"/>
        <w:jc w:val="both"/>
        <w:rPr>
          <w:rFonts w:ascii="Times New Roman" w:eastAsia="Times New Roman" w:hAnsi="Times New Roman" w:cs="Times New Roman"/>
          <w:kern w:val="0"/>
          <w:lang w:eastAsia="en-GB"/>
          <w14:ligatures w14:val="none"/>
        </w:rPr>
      </w:pPr>
      <w:r w:rsidRPr="009A4601">
        <w:rPr>
          <w:rFonts w:ascii="Times New Roman" w:eastAsia="Times New Roman" w:hAnsi="Times New Roman" w:cs="Times New Roman"/>
          <w:b/>
          <w:bCs/>
          <w:kern w:val="0"/>
          <w:lang w:eastAsia="en-GB"/>
          <w14:ligatures w14:val="none"/>
        </w:rPr>
        <w:t>Figure 1</w:t>
      </w:r>
      <w:r>
        <w:rPr>
          <w:rFonts w:ascii="Times New Roman" w:eastAsia="Times New Roman" w:hAnsi="Times New Roman" w:cs="Times New Roman"/>
          <w:kern w:val="0"/>
          <w:lang w:eastAsia="en-GB"/>
          <w14:ligatures w14:val="none"/>
        </w:rPr>
        <w:t>: Map of the study Area</w:t>
      </w:r>
    </w:p>
    <w:p w14:paraId="3B24AA5D" w14:textId="77777777" w:rsidR="00BD1CB8" w:rsidRPr="00BD1CB8" w:rsidRDefault="00BD1CB8" w:rsidP="00BD1CB8">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2.2 Data Collection</w:t>
      </w:r>
    </w:p>
    <w:p w14:paraId="08A88AA7" w14:textId="217DDBA0" w:rsidR="00BD1CB8" w:rsidRPr="00BD1CB8" w:rsidRDefault="00CF7120"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research employed long-term historical rainfall data spanning nearly thirty years. A 31-year rainfall dataset covering the period from 1992 to 2022 was acquired from the Nigerian Meteorological Agency (NIMET) for analysis in </w:t>
      </w:r>
      <w:proofErr w:type="spellStart"/>
      <w:r>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The data obtained was the 24-hour monthly rainfall record for </w:t>
      </w:r>
      <w:proofErr w:type="spellStart"/>
      <w:r w:rsidR="00BD1CB8" w:rsidRPr="00BD1CB8">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Smaller rainfall duration records were obtained by downscaling the 24-hour rainfall record utilizing </w:t>
      </w:r>
      <w:r w:rsidR="009D6161">
        <w:rPr>
          <w:rFonts w:ascii="Times New Roman" w:eastAsia="Times New Roman" w:hAnsi="Times New Roman" w:cs="Times New Roman"/>
          <w:kern w:val="0"/>
          <w:lang w:eastAsia="en-GB"/>
          <w14:ligatures w14:val="none"/>
        </w:rPr>
        <w:t xml:space="preserve">the Indian Meteorological Department (IMD) model, which is given by Equation </w:t>
      </w:r>
      <w:r w:rsidR="00A424CC">
        <w:rPr>
          <w:rFonts w:ascii="Times New Roman" w:eastAsia="Times New Roman" w:hAnsi="Times New Roman" w:cs="Times New Roman"/>
          <w:kern w:val="0"/>
          <w:lang w:eastAsia="en-GB"/>
          <w14:ligatures w14:val="none"/>
        </w:rPr>
        <w:t>(</w:t>
      </w:r>
      <w:r w:rsidR="009D6161">
        <w:rPr>
          <w:rFonts w:ascii="Times New Roman" w:eastAsia="Times New Roman" w:hAnsi="Times New Roman" w:cs="Times New Roman"/>
          <w:kern w:val="0"/>
          <w:lang w:eastAsia="en-GB"/>
          <w14:ligatures w14:val="none"/>
        </w:rPr>
        <w:t>1</w:t>
      </w:r>
      <w:r w:rsidR="00A424CC">
        <w:rPr>
          <w:rFonts w:ascii="Times New Roman" w:eastAsia="Times New Roman" w:hAnsi="Times New Roman" w:cs="Times New Roman"/>
          <w:kern w:val="0"/>
          <w:lang w:eastAsia="en-GB"/>
          <w14:ligatures w14:val="none"/>
        </w:rPr>
        <w:t>)</w:t>
      </w:r>
      <w:r w:rsidR="009D6161">
        <w:rPr>
          <w:rFonts w:ascii="Times New Roman" w:eastAsia="Times New Roman" w:hAnsi="Times New Roman" w:cs="Times New Roman"/>
          <w:kern w:val="0"/>
          <w:lang w:eastAsia="en-GB"/>
          <w14:ligatures w14:val="none"/>
        </w:rPr>
        <w:t>. The shorter duration records</w:t>
      </w:r>
      <w:r w:rsidR="00BD1CB8" w:rsidRPr="00BD1CB8">
        <w:rPr>
          <w:rFonts w:ascii="Times New Roman" w:eastAsia="Times New Roman" w:hAnsi="Times New Roman" w:cs="Times New Roman"/>
          <w:kern w:val="0"/>
          <w:lang w:eastAsia="en-GB"/>
          <w14:ligatures w14:val="none"/>
        </w:rPr>
        <w:t xml:space="preserve"> obtained included 5, 10, 20, 30, 60, 120, 360, and 720 minutes.</w:t>
      </w:r>
    </w:p>
    <w:p w14:paraId="1B55ADA1" w14:textId="02098434" w:rsidR="009D6161" w:rsidRDefault="00F15148" w:rsidP="009D6161">
      <w:pPr>
        <w:spacing w:line="480" w:lineRule="auto"/>
        <w:jc w:val="right"/>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oMath>
      <w:r w:rsidR="009D6161">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24</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24</m:t>
                    </m:r>
                  </m:den>
                </m:f>
              </m:e>
            </m:d>
          </m:e>
          <m:sup>
            <m:f>
              <m:fPr>
                <m:type m:val="skw"/>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sup>
        </m:sSup>
      </m:oMath>
      <w:r w:rsidR="009D6161">
        <w:rPr>
          <w:rFonts w:ascii="Times New Roman" w:eastAsiaTheme="minorEastAsia" w:hAnsi="Times New Roman" w:cs="Times New Roman"/>
        </w:rPr>
        <w:t xml:space="preserve">                                                      </w:t>
      </w:r>
      <w:proofErr w:type="gramStart"/>
      <w:r w:rsidR="009D6161">
        <w:rPr>
          <w:rFonts w:ascii="Times New Roman" w:eastAsiaTheme="minorEastAsia" w:hAnsi="Times New Roman" w:cs="Times New Roman"/>
        </w:rPr>
        <w:t xml:space="preserve">   </w:t>
      </w:r>
      <w:r w:rsidR="00A424CC">
        <w:rPr>
          <w:rFonts w:ascii="Times New Roman" w:eastAsiaTheme="minorEastAsia" w:hAnsi="Times New Roman" w:cs="Times New Roman"/>
        </w:rPr>
        <w:t>(</w:t>
      </w:r>
      <w:proofErr w:type="gramEnd"/>
      <w:r w:rsidR="009D6161">
        <w:rPr>
          <w:rFonts w:ascii="Times New Roman" w:eastAsiaTheme="minorEastAsia" w:hAnsi="Times New Roman" w:cs="Times New Roman"/>
        </w:rPr>
        <w:t>1</w:t>
      </w:r>
      <w:r w:rsidR="00A424CC">
        <w:rPr>
          <w:rFonts w:ascii="Times New Roman" w:eastAsiaTheme="minorEastAsia" w:hAnsi="Times New Roman" w:cs="Times New Roman"/>
        </w:rPr>
        <w:t>)</w:t>
      </w:r>
    </w:p>
    <w:p w14:paraId="40F2C5C4" w14:textId="77777777" w:rsidR="009D6161" w:rsidRPr="00CE5600" w:rsidRDefault="009D6161" w:rsidP="009D6161">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oMath>
      <w:r>
        <w:rPr>
          <w:rFonts w:ascii="Times New Roman" w:eastAsiaTheme="minorEastAsia" w:hAnsi="Times New Roman" w:cs="Times New Roman"/>
        </w:rPr>
        <w:t xml:space="preserve"> = Downscaled rainfall precipitation,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24</m:t>
            </m:r>
          </m:sub>
        </m:sSub>
      </m:oMath>
      <w:r>
        <w:rPr>
          <w:rFonts w:ascii="Times New Roman" w:eastAsiaTheme="minorEastAsia" w:hAnsi="Times New Roman" w:cs="Times New Roman"/>
        </w:rPr>
        <w:t xml:space="preserve"> = daily rainfall precipitation (mm), t = time.</w:t>
      </w:r>
    </w:p>
    <w:p w14:paraId="188CE318" w14:textId="77777777" w:rsidR="00BD1CB8" w:rsidRPr="00BD1CB8" w:rsidRDefault="00BD1CB8" w:rsidP="00BD1CB8">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2.3 Development of Non-Stationary IDF model</w:t>
      </w:r>
    </w:p>
    <w:p w14:paraId="6FF0BC86" w14:textId="0CF41A75" w:rsidR="00BD1CB8" w:rsidRPr="00BD1CB8" w:rsidRDefault="004F0C92"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The trend and change point analysis </w:t>
      </w:r>
      <w:proofErr w:type="gramStart"/>
      <w:r>
        <w:rPr>
          <w:rFonts w:ascii="Times New Roman" w:eastAsia="Times New Roman" w:hAnsi="Times New Roman" w:cs="Times New Roman"/>
          <w:kern w:val="0"/>
          <w:lang w:eastAsia="en-GB"/>
          <w14:ligatures w14:val="none"/>
        </w:rPr>
        <w:t>was</w:t>
      </w:r>
      <w:proofErr w:type="gramEnd"/>
      <w:r>
        <w:rPr>
          <w:rFonts w:ascii="Times New Roman" w:eastAsia="Times New Roman" w:hAnsi="Times New Roman" w:cs="Times New Roman"/>
          <w:kern w:val="0"/>
          <w:lang w:eastAsia="en-GB"/>
          <w14:ligatures w14:val="none"/>
        </w:rPr>
        <w:t xml:space="preserve"> done before developing the rainfall intensity duration frequency models</w:t>
      </w:r>
      <w:r w:rsidR="00BD1CB8" w:rsidRPr="00BD1CB8">
        <w:rPr>
          <w:rFonts w:ascii="Times New Roman" w:eastAsia="Times New Roman" w:hAnsi="Times New Roman" w:cs="Times New Roman"/>
          <w:kern w:val="0"/>
          <w:lang w:eastAsia="en-GB"/>
          <w14:ligatures w14:val="none"/>
        </w:rPr>
        <w:t xml:space="preserve">. </w:t>
      </w:r>
      <w:r w:rsidR="00A80594">
        <w:rPr>
          <w:rFonts w:ascii="Times New Roman" w:eastAsia="Times New Roman" w:hAnsi="Times New Roman" w:cs="Times New Roman"/>
          <w:kern w:val="0"/>
          <w:lang w:eastAsia="en-GB"/>
          <w14:ligatures w14:val="none"/>
        </w:rPr>
        <w:t xml:space="preserve">The trend analysis </w:t>
      </w:r>
      <w:r w:rsidR="0016662E">
        <w:rPr>
          <w:rFonts w:ascii="Times New Roman" w:eastAsia="Times New Roman" w:hAnsi="Times New Roman" w:cs="Times New Roman"/>
          <w:kern w:val="0"/>
          <w:lang w:eastAsia="en-GB"/>
          <w14:ligatures w14:val="none"/>
        </w:rPr>
        <w:t>was carried out</w:t>
      </w:r>
      <w:r w:rsidR="00A80594">
        <w:rPr>
          <w:rFonts w:ascii="Times New Roman" w:eastAsia="Times New Roman" w:hAnsi="Times New Roman" w:cs="Times New Roman"/>
          <w:kern w:val="0"/>
          <w:lang w:eastAsia="en-GB"/>
          <w14:ligatures w14:val="none"/>
        </w:rPr>
        <w:t xml:space="preserve"> to determine how the statistical parameters of rainfall fluctuated over time and to support the development of a non-stationary IDF model. Change point analysis was performed to pinpoint significant shifts in the rainfall data. The Mann-Kendall test </w:t>
      </w:r>
      <w:r w:rsidR="0016662E">
        <w:rPr>
          <w:rFonts w:ascii="Times New Roman" w:eastAsia="Times New Roman" w:hAnsi="Times New Roman" w:cs="Times New Roman"/>
          <w:kern w:val="0"/>
          <w:lang w:eastAsia="en-GB"/>
          <w14:ligatures w14:val="none"/>
        </w:rPr>
        <w:t>assessed the</w:t>
      </w:r>
      <w:r w:rsidR="00A80594">
        <w:rPr>
          <w:rFonts w:ascii="Times New Roman" w:eastAsia="Times New Roman" w:hAnsi="Times New Roman" w:cs="Times New Roman"/>
          <w:kern w:val="0"/>
          <w:lang w:eastAsia="en-GB"/>
          <w14:ligatures w14:val="none"/>
        </w:rPr>
        <w:t xml:space="preserve"> trend changes, while the distribution-free CUSUM and Sequential Mann-Kendall methods identified the change point year</w:t>
      </w:r>
      <w:r w:rsidR="00BD1CB8" w:rsidRPr="00BD1CB8">
        <w:rPr>
          <w:rFonts w:ascii="Times New Roman" w:eastAsia="Times New Roman" w:hAnsi="Times New Roman" w:cs="Times New Roman"/>
          <w:kern w:val="0"/>
          <w:lang w:eastAsia="en-GB"/>
          <w14:ligatures w14:val="none"/>
        </w:rPr>
        <w:t>.</w:t>
      </w:r>
    </w:p>
    <w:p w14:paraId="017D525A" w14:textId="154A9310" w:rsidR="00F17FEE" w:rsidRDefault="00BD1CB8" w:rsidP="00F17FEE">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 xml:space="preserve">The development of the non-stationary IDF model was based on the General Extreme Value (GEV) distribution. The GEV distribution was adapted for modeling different </w:t>
      </w:r>
      <w:r w:rsidR="00AB048A" w:rsidRPr="00BD1CB8">
        <w:rPr>
          <w:rFonts w:ascii="Times New Roman" w:eastAsia="Times New Roman" w:hAnsi="Times New Roman" w:cs="Times New Roman"/>
          <w:kern w:val="0"/>
          <w:lang w:eastAsia="en-GB"/>
          <w14:ligatures w14:val="none"/>
        </w:rPr>
        <w:t>behavioural</w:t>
      </w:r>
      <w:r w:rsidRPr="00BD1CB8">
        <w:rPr>
          <w:rFonts w:ascii="Times New Roman" w:eastAsia="Times New Roman" w:hAnsi="Times New Roman" w:cs="Times New Roman"/>
          <w:kern w:val="0"/>
          <w:lang w:eastAsia="en-GB"/>
          <w14:ligatures w14:val="none"/>
        </w:rPr>
        <w:t xml:space="preserve"> extremes with three distribution parameters, notably</w:t>
      </w:r>
      <w:r w:rsidR="00AB048A">
        <w:rPr>
          <w:rFonts w:ascii="Times New Roman" w:eastAsia="Times New Roman" w:hAnsi="Times New Roman" w:cs="Times New Roman"/>
          <w:kern w:val="0"/>
          <w:lang w:eastAsia="en-GB"/>
          <w14:ligatures w14:val="none"/>
        </w:rPr>
        <w:t xml:space="preserve"> location, scale, and shape parameters (Cheng et al., 2014). Equation </w:t>
      </w:r>
      <w:r w:rsidR="00A424CC">
        <w:rPr>
          <w:rFonts w:ascii="Times New Roman" w:eastAsia="Times New Roman" w:hAnsi="Times New Roman" w:cs="Times New Roman"/>
          <w:kern w:val="0"/>
          <w:lang w:eastAsia="en-GB"/>
          <w14:ligatures w14:val="none"/>
        </w:rPr>
        <w:t>(</w:t>
      </w:r>
      <w:r w:rsidR="00AB048A">
        <w:rPr>
          <w:rFonts w:ascii="Times New Roman" w:eastAsia="Times New Roman" w:hAnsi="Times New Roman" w:cs="Times New Roman"/>
          <w:kern w:val="0"/>
          <w:lang w:eastAsia="en-GB"/>
          <w14:ligatures w14:val="none"/>
        </w:rPr>
        <w:t>2</w:t>
      </w:r>
      <w:r w:rsidR="00A424CC">
        <w:rPr>
          <w:rFonts w:ascii="Times New Roman" w:eastAsia="Times New Roman" w:hAnsi="Times New Roman" w:cs="Times New Roman"/>
          <w:kern w:val="0"/>
          <w:lang w:eastAsia="en-GB"/>
          <w14:ligatures w14:val="none"/>
        </w:rPr>
        <w:t>)</w:t>
      </w:r>
      <w:r w:rsidR="00AB048A">
        <w:rPr>
          <w:rFonts w:ascii="Times New Roman" w:eastAsia="Times New Roman" w:hAnsi="Times New Roman" w:cs="Times New Roman"/>
          <w:kern w:val="0"/>
          <w:lang w:eastAsia="en-GB"/>
          <w14:ligatures w14:val="none"/>
        </w:rPr>
        <w:t xml:space="preserve"> presents the standard cumulative distribution function (CDF) of the GEV as given by Coles et al. (2001)</w:t>
      </w:r>
      <w:r w:rsidRPr="00BD1CB8">
        <w:rPr>
          <w:rFonts w:ascii="Times New Roman" w:eastAsia="Times New Roman" w:hAnsi="Times New Roman" w:cs="Times New Roman"/>
          <w:kern w:val="0"/>
          <w:lang w:eastAsia="en-GB"/>
          <w14:ligatures w14:val="none"/>
        </w:rPr>
        <w:t>.</w:t>
      </w:r>
    </w:p>
    <w:p w14:paraId="1A5BA5AC" w14:textId="4DDF3428" w:rsidR="00F17FEE" w:rsidRPr="00487239" w:rsidRDefault="00F17FEE" w:rsidP="00F17FEE">
      <w:pPr>
        <w:spacing w:after="0" w:line="480" w:lineRule="auto"/>
        <w:ind w:right="26"/>
        <w:jc w:val="right"/>
        <w:rPr>
          <w:rFonts w:ascii="Times New Roman" w:eastAsia="Times New Roman" w:hAnsi="Times New Roman" w:cs="Times New Roman"/>
          <w:color w:val="000000"/>
          <w:lang w:eastAsia="en-GB"/>
        </w:rPr>
      </w:pPr>
      <m:oMath>
        <m:r>
          <w:rPr>
            <w:rFonts w:ascii="Cambria Math" w:eastAsia="Times New Roman" w:hAnsi="Cambria Math" w:cs="Times New Roman"/>
            <w:color w:val="000000"/>
            <w:lang w:eastAsia="en-GB"/>
          </w:rPr>
          <m:t>F</m:t>
        </m:r>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m:t>
            </m:r>
          </m:e>
        </m:d>
        <m:r>
          <w:rPr>
            <w:rFonts w:ascii="Cambria Math" w:eastAsia="Times New Roman" w:hAnsi="Cambria Math" w:cs="Times New Roman"/>
            <w:color w:val="000000"/>
            <w:lang w:eastAsia="en-GB"/>
          </w:rPr>
          <m:t>=</m:t>
        </m:r>
        <m:func>
          <m:funcPr>
            <m:ctrlPr>
              <w:rPr>
                <w:rFonts w:ascii="Cambria Math" w:eastAsia="Times New Roman" w:hAnsi="Cambria Math" w:cs="Times New Roman"/>
                <w:i/>
                <w:color w:val="000000"/>
                <w:lang w:eastAsia="en-GB"/>
              </w:rPr>
            </m:ctrlPr>
          </m:funcPr>
          <m:fName>
            <m:r>
              <m:rPr>
                <m:sty m:val="p"/>
              </m:rPr>
              <w:rPr>
                <w:rFonts w:ascii="Cambria Math" w:eastAsia="Times New Roman" w:hAnsi="Cambria Math" w:cs="Times New Roman"/>
                <w:color w:val="000000"/>
                <w:lang w:eastAsia="en-GB"/>
              </w:rPr>
              <m:t>exp</m:t>
            </m:r>
          </m:fName>
          <m:e>
            <m:d>
              <m:dPr>
                <m:begChr m:val="["/>
                <m:endChr m:val="]"/>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1+ξ</m:t>
                        </m:r>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t</m:t>
                            </m:r>
                          </m:e>
                        </m:d>
                        <m:f>
                          <m:fPr>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x-μ(t)</m:t>
                            </m:r>
                          </m:num>
                          <m:den>
                            <m:r>
                              <w:rPr>
                                <w:rFonts w:ascii="Cambria Math" w:eastAsia="Times New Roman" w:hAnsi="Cambria Math" w:cs="Times New Roman"/>
                                <w:color w:val="000000"/>
                                <w:lang w:eastAsia="en-GB"/>
                              </w:rPr>
                              <m:t>σ(t)</m:t>
                            </m:r>
                          </m:den>
                        </m:f>
                      </m:e>
                    </m:d>
                  </m:e>
                  <m:sup>
                    <m:r>
                      <w:rPr>
                        <w:rFonts w:ascii="Cambria Math" w:eastAsia="Times New Roman" w:hAnsi="Cambria Math" w:cs="Times New Roman"/>
                        <w:color w:val="000000"/>
                        <w:lang w:eastAsia="en-GB"/>
                      </w:rPr>
                      <m:t>-</m:t>
                    </m:r>
                    <m:f>
                      <m:fPr>
                        <m:type m:val="skw"/>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-1</m:t>
                        </m:r>
                      </m:num>
                      <m:den>
                        <m:r>
                          <w:rPr>
                            <w:rFonts w:ascii="Cambria Math" w:eastAsia="Times New Roman" w:hAnsi="Cambria Math" w:cs="Times New Roman"/>
                            <w:color w:val="000000"/>
                            <w:lang w:eastAsia="en-GB"/>
                          </w:rPr>
                          <m:t>ξ(t)</m:t>
                        </m:r>
                      </m:den>
                    </m:f>
                  </m:sup>
                </m:sSup>
              </m:e>
            </m:d>
          </m:e>
        </m:func>
        <m:r>
          <w:rPr>
            <w:rFonts w:ascii="Cambria Math" w:eastAsia="Times New Roman" w:hAnsi="Cambria Math" w:cs="Times New Roman"/>
            <w:color w:val="000000"/>
            <w:lang w:eastAsia="en-GB"/>
          </w:rPr>
          <m:t xml:space="preserve">     for  ξ≠0 </m:t>
        </m:r>
      </m:oMath>
      <w:r w:rsidRPr="00487239">
        <w:rPr>
          <w:rFonts w:ascii="Times New Roman" w:eastAsia="Times New Roman" w:hAnsi="Times New Roman" w:cs="Times New Roman"/>
          <w:color w:val="000000"/>
          <w:lang w:eastAsia="en-GB"/>
        </w:rPr>
        <w:t xml:space="preserve">  </w:t>
      </w:r>
      <w:r w:rsidRPr="00487239">
        <w:rPr>
          <w:rFonts w:ascii="Times New Roman" w:eastAsia="Times New Roman" w:hAnsi="Times New Roman" w:cs="Times New Roman"/>
          <w:color w:val="000000"/>
          <w:lang w:eastAsia="en-GB"/>
        </w:rPr>
        <w:tab/>
      </w:r>
      <w:r w:rsidRPr="00487239">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 xml:space="preserve">              </w:t>
      </w:r>
      <w:r w:rsidR="00A424CC">
        <w:rPr>
          <w:rFonts w:ascii="Times New Roman" w:eastAsia="Times New Roman" w:hAnsi="Times New Roman" w:cs="Times New Roman"/>
          <w:color w:val="000000"/>
          <w:lang w:eastAsia="en-GB"/>
        </w:rPr>
        <w:t>(2)</w:t>
      </w:r>
    </w:p>
    <w:p w14:paraId="48EF7DD8" w14:textId="77777777" w:rsidR="00F17FEE" w:rsidRPr="00487239" w:rsidRDefault="00F17FEE" w:rsidP="00F17FEE">
      <w:pPr>
        <w:spacing w:after="0" w:line="240" w:lineRule="auto"/>
        <w:jc w:val="both"/>
        <w:rPr>
          <w:rFonts w:ascii="Times New Roman" w:eastAsia="Times New Roman" w:hAnsi="Times New Roman" w:cs="Times New Roman"/>
          <w:lang w:eastAsia="en-GB"/>
        </w:rPr>
      </w:pPr>
    </w:p>
    <w:p w14:paraId="33111967" w14:textId="50C3E5F1" w:rsidR="00BD1CB8" w:rsidRPr="00F17FEE" w:rsidRDefault="00F17FEE" w:rsidP="00F17FEE">
      <w:pPr>
        <w:spacing w:after="0" w:line="480" w:lineRule="auto"/>
        <w:jc w:val="both"/>
        <w:rPr>
          <w:rFonts w:ascii="Times New Roman" w:eastAsia="Times New Roman" w:hAnsi="Times New Roman" w:cs="Times New Roman"/>
          <w:lang w:eastAsia="en-GB"/>
        </w:rPr>
      </w:pPr>
      <w:r w:rsidRPr="00487239">
        <w:rPr>
          <w:rFonts w:ascii="Times New Roman" w:eastAsia="Times New Roman" w:hAnsi="Times New Roman" w:cs="Times New Roman"/>
          <w:color w:val="000000"/>
          <w:lang w:eastAsia="en-GB"/>
        </w:rPr>
        <w:t xml:space="preserve">Where F(x) = Cumulative distribution function, </w:t>
      </w:r>
      <m:oMath>
        <m:r>
          <w:rPr>
            <w:rFonts w:ascii="Cambria Math" w:eastAsia="Times New Roman" w:hAnsi="Cambria Math" w:cs="Times New Roman"/>
            <w:color w:val="000000"/>
            <w:lang w:eastAsia="en-GB"/>
          </w:rPr>
          <m:t>μ</m:t>
        </m:r>
      </m:oMath>
      <w:r w:rsidRPr="00487239">
        <w:rPr>
          <w:rFonts w:ascii="Times New Roman" w:eastAsia="Times New Roman" w:hAnsi="Times New Roman" w:cs="Times New Roman"/>
          <w:color w:val="000000"/>
          <w:lang w:eastAsia="en-GB"/>
        </w:rPr>
        <w:t xml:space="preserve"> = mean (location), </w:t>
      </w:r>
      <m:oMath>
        <m:r>
          <w:rPr>
            <w:rFonts w:ascii="Cambria Math" w:eastAsia="Times New Roman" w:hAnsi="Cambria Math" w:cs="Times New Roman"/>
            <w:color w:val="000000"/>
            <w:lang w:eastAsia="en-GB"/>
          </w:rPr>
          <m:t>σ</m:t>
        </m:r>
      </m:oMath>
      <w:r w:rsidRPr="00487239">
        <w:rPr>
          <w:rFonts w:ascii="Times New Roman" w:eastAsia="Times New Roman" w:hAnsi="Times New Roman" w:cs="Times New Roman"/>
          <w:iCs/>
          <w:color w:val="000000"/>
          <w:lang w:eastAsia="en-GB"/>
        </w:rPr>
        <w:t>=</w:t>
      </w:r>
      <w:r w:rsidRPr="00487239">
        <w:rPr>
          <w:rFonts w:ascii="Times New Roman" w:eastAsia="Times New Roman" w:hAnsi="Times New Roman" w:cs="Times New Roman"/>
          <w:color w:val="000000"/>
          <w:lang w:eastAsia="en-GB"/>
        </w:rPr>
        <w:t xml:space="preserve"> standard deviation</w:t>
      </w:r>
      <w:r>
        <w:rPr>
          <w:rFonts w:ascii="Times New Roman" w:eastAsia="Times New Roman" w:hAnsi="Times New Roman" w:cs="Times New Roman"/>
          <w:color w:val="000000"/>
          <w:lang w:eastAsia="en-GB"/>
        </w:rPr>
        <w:t xml:space="preserve"> </w:t>
      </w:r>
      <w:r w:rsidRPr="00487239">
        <w:rPr>
          <w:rFonts w:ascii="Times New Roman" w:eastAsia="Times New Roman" w:hAnsi="Times New Roman" w:cs="Times New Roman"/>
          <w:color w:val="000000"/>
          <w:lang w:eastAsia="en-GB"/>
        </w:rPr>
        <w:t xml:space="preserve">(scale) and, </w:t>
      </w:r>
      <m:oMath>
        <m:r>
          <w:rPr>
            <w:rFonts w:ascii="Cambria Math" w:eastAsia="Times New Roman" w:hAnsi="Cambria Math" w:cs="Times New Roman"/>
            <w:color w:val="000000"/>
            <w:lang w:eastAsia="en-GB"/>
          </w:rPr>
          <m:t>ξ</m:t>
        </m:r>
      </m:oMath>
      <w:r w:rsidRPr="00487239">
        <w:rPr>
          <w:rFonts w:ascii="Times New Roman" w:eastAsia="Times New Roman" w:hAnsi="Times New Roman" w:cs="Times New Roman"/>
          <w:color w:val="000000"/>
          <w:lang w:eastAsia="en-GB"/>
        </w:rPr>
        <w:t xml:space="preserve"> = shape parameter are three </w:t>
      </w:r>
      <w:r>
        <w:rPr>
          <w:rFonts w:ascii="Times New Roman" w:eastAsia="Times New Roman" w:hAnsi="Times New Roman" w:cs="Times New Roman"/>
          <w:color w:val="000000"/>
          <w:lang w:eastAsia="en-GB"/>
        </w:rPr>
        <w:t>behavioural</w:t>
      </w:r>
      <w:r w:rsidRPr="00487239">
        <w:rPr>
          <w:rFonts w:ascii="Times New Roman" w:eastAsia="Times New Roman" w:hAnsi="Times New Roman" w:cs="Times New Roman"/>
          <w:color w:val="000000"/>
          <w:lang w:eastAsia="en-GB"/>
        </w:rPr>
        <w:t xml:space="preserve"> parameter extremes.</w:t>
      </w:r>
    </w:p>
    <w:p w14:paraId="32085E09" w14:textId="3295A6BF" w:rsidR="00BD1CB8" w:rsidRPr="00BD1CB8" w:rsidRDefault="00092239" w:rsidP="00A80594">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maximum likelihood estimator served as the statistical method for estimating distribution parameters, as it can be readily adapted for non-stationary evaluations. Non-stationarity arises from expressing one or more statistical parameters of the GEV as a function of time</w:t>
      </w:r>
      <w:r w:rsidR="00A424CC">
        <w:rPr>
          <w:rFonts w:ascii="Times New Roman" w:eastAsia="Times New Roman" w:hAnsi="Times New Roman" w:cs="Times New Roman"/>
          <w:kern w:val="0"/>
          <w:lang w:eastAsia="en-GB"/>
          <w14:ligatures w14:val="none"/>
        </w:rPr>
        <w:t xml:space="preserve"> </w:t>
      </w:r>
      <w:r w:rsidR="00BD1CB8" w:rsidRPr="00BD1CB8">
        <w:rPr>
          <w:rFonts w:ascii="Times New Roman" w:eastAsia="Times New Roman" w:hAnsi="Times New Roman" w:cs="Times New Roman"/>
          <w:kern w:val="0"/>
          <w:lang w:eastAsia="en-GB"/>
          <w14:ligatures w14:val="none"/>
        </w:rPr>
        <w:t xml:space="preserve">(Coles et al., 2001; Katz, 2013). </w:t>
      </w:r>
      <w:r>
        <w:rPr>
          <w:rFonts w:ascii="Times New Roman" w:eastAsia="Times New Roman" w:hAnsi="Times New Roman" w:cs="Times New Roman"/>
          <w:kern w:val="0"/>
          <w:lang w:eastAsia="en-GB"/>
          <w14:ligatures w14:val="none"/>
        </w:rPr>
        <w:t xml:space="preserve">Three linear non-stationary expressions were used to develop the IDF models, as shown in Table 1. The optimal non-stationary model was chosen based on the goodness of fit </w:t>
      </w:r>
      <w:r w:rsidRPr="005E2C4C">
        <w:rPr>
          <w:rFonts w:ascii="Times New Roman" w:eastAsia="Times New Roman" w:hAnsi="Times New Roman" w:cs="Times New Roman"/>
          <w:kern w:val="0"/>
          <w:lang w:eastAsia="en-GB"/>
          <w14:ligatures w14:val="none"/>
        </w:rPr>
        <w:t>indicated by AIC and BIC. Among</w:t>
      </w:r>
      <w:r>
        <w:rPr>
          <w:rFonts w:ascii="Times New Roman" w:eastAsia="Times New Roman" w:hAnsi="Times New Roman" w:cs="Times New Roman"/>
          <w:kern w:val="0"/>
          <w:lang w:eastAsia="en-GB"/>
          <w14:ligatures w14:val="none"/>
        </w:rPr>
        <w:t xml:space="preserve"> these, the model exhibiting the lowest AIC and BIC was considered the best match for the rainfall's non-stationarity. R-studio facilitated the retrieval of model parameters and the calculation of rainfall intensity.</w:t>
      </w:r>
    </w:p>
    <w:p w14:paraId="28509F5F" w14:textId="75BFBDFD" w:rsidR="007656E6" w:rsidRPr="007656E6" w:rsidRDefault="00BD1CB8" w:rsidP="007656E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lastRenderedPageBreak/>
        <w:t>Table 1:</w:t>
      </w:r>
      <w:r w:rsidRPr="00BD1CB8">
        <w:rPr>
          <w:rFonts w:ascii="Times New Roman" w:eastAsia="Times New Roman" w:hAnsi="Times New Roman" w:cs="Times New Roman"/>
          <w:kern w:val="0"/>
          <w:lang w:eastAsia="en-GB"/>
          <w14:ligatures w14:val="none"/>
        </w:rPr>
        <w:t xml:space="preserve"> Types of Selected GEV Linear Parameter Models</w:t>
      </w:r>
    </w:p>
    <w:tbl>
      <w:tblPr>
        <w:tblStyle w:val="TableGrid"/>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59"/>
        <w:gridCol w:w="3043"/>
      </w:tblGrid>
      <w:tr w:rsidR="007656E6" w:rsidRPr="00E479B1" w14:paraId="3C4F981C" w14:textId="77777777" w:rsidTr="00ED6D92">
        <w:trPr>
          <w:trHeight w:val="251"/>
        </w:trPr>
        <w:tc>
          <w:tcPr>
            <w:tcW w:w="3042" w:type="dxa"/>
            <w:tcBorders>
              <w:top w:val="single" w:sz="4" w:space="0" w:color="auto"/>
              <w:bottom w:val="single" w:sz="4" w:space="0" w:color="auto"/>
            </w:tcBorders>
            <w:vAlign w:val="center"/>
          </w:tcPr>
          <w:p w14:paraId="37FED29C"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t>Model Type</w:t>
            </w:r>
          </w:p>
        </w:tc>
        <w:tc>
          <w:tcPr>
            <w:tcW w:w="3059" w:type="dxa"/>
            <w:tcBorders>
              <w:top w:val="single" w:sz="4" w:space="0" w:color="auto"/>
              <w:bottom w:val="single" w:sz="4" w:space="0" w:color="auto"/>
            </w:tcBorders>
            <w:vAlign w:val="center"/>
          </w:tcPr>
          <w:p w14:paraId="45E26F02"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t>Parameter Combination</w:t>
            </w:r>
          </w:p>
        </w:tc>
        <w:tc>
          <w:tcPr>
            <w:tcW w:w="3043" w:type="dxa"/>
            <w:tcBorders>
              <w:top w:val="single" w:sz="4" w:space="0" w:color="auto"/>
              <w:bottom w:val="single" w:sz="4" w:space="0" w:color="auto"/>
            </w:tcBorders>
            <w:vAlign w:val="center"/>
          </w:tcPr>
          <w:p w14:paraId="1AC96C61" w14:textId="77777777" w:rsidR="007656E6" w:rsidRPr="00E479B1" w:rsidRDefault="007656E6" w:rsidP="00ED6D92">
            <w:pPr>
              <w:jc w:val="center"/>
              <w:rPr>
                <w:rFonts w:ascii="Times New Roman" w:eastAsia="Times New Roman" w:hAnsi="Times New Roman" w:cs="Times New Roman"/>
                <w:b/>
                <w:iCs/>
                <w:color w:val="000000"/>
                <w:lang w:eastAsia="en-GB"/>
              </w:rPr>
            </w:pPr>
            <w:r w:rsidRPr="00E479B1">
              <w:rPr>
                <w:rFonts w:ascii="Times New Roman" w:eastAsia="Times New Roman" w:hAnsi="Times New Roman" w:cs="Times New Roman"/>
                <w:b/>
                <w:iCs/>
                <w:color w:val="000000"/>
                <w:lang w:eastAsia="en-GB"/>
              </w:rPr>
              <w:t>Remark</w:t>
            </w:r>
          </w:p>
        </w:tc>
      </w:tr>
      <w:tr w:rsidR="007656E6" w:rsidRPr="00E479B1" w14:paraId="712C0C2C" w14:textId="77777777" w:rsidTr="00ED6D92">
        <w:trPr>
          <w:trHeight w:val="767"/>
        </w:trPr>
        <w:tc>
          <w:tcPr>
            <w:tcW w:w="3042" w:type="dxa"/>
            <w:tcBorders>
              <w:top w:val="single" w:sz="4" w:space="0" w:color="auto"/>
            </w:tcBorders>
            <w:vAlign w:val="center"/>
          </w:tcPr>
          <w:p w14:paraId="548B3FF7" w14:textId="77777777" w:rsidR="007656E6" w:rsidRPr="00E479B1" w:rsidRDefault="007656E6" w:rsidP="00ED6D92">
            <w:pPr>
              <w:jc w:val="center"/>
              <w:rPr>
                <w:rFonts w:ascii="Times New Roman" w:eastAsia="Times New Roman" w:hAnsi="Times New Roman" w:cs="Times New Roman"/>
                <w:iCs/>
                <w:color w:val="000000"/>
                <w:lang w:eastAsia="en-GB"/>
              </w:rPr>
            </w:pPr>
          </w:p>
          <w:p w14:paraId="7D21BFBE"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w:t>
            </w:r>
            <w:proofErr w:type="spellStart"/>
            <w:r w:rsidRPr="00E479B1">
              <w:rPr>
                <w:rFonts w:ascii="Times New Roman" w:eastAsia="Times New Roman" w:hAnsi="Times New Roman" w:cs="Times New Roman"/>
                <w:iCs/>
                <w:color w:val="000000"/>
                <w:lang w:eastAsia="en-GB"/>
              </w:rPr>
              <w:t>i</w:t>
            </w:r>
            <w:proofErr w:type="spellEnd"/>
            <w:r w:rsidRPr="00E479B1">
              <w:rPr>
                <w:rFonts w:ascii="Times New Roman" w:eastAsia="Times New Roman" w:hAnsi="Times New Roman" w:cs="Times New Roman"/>
                <w:iCs/>
                <w:color w:val="000000"/>
                <w:lang w:eastAsia="en-GB"/>
              </w:rPr>
              <w:t xml:space="preserve">) </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0</w:t>
            </w:r>
          </w:p>
        </w:tc>
        <w:tc>
          <w:tcPr>
            <w:tcW w:w="3059" w:type="dxa"/>
            <w:tcBorders>
              <w:top w:val="single" w:sz="4" w:space="0" w:color="auto"/>
            </w:tcBorders>
            <w:vAlign w:val="center"/>
          </w:tcPr>
          <w:p w14:paraId="12C5D423"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μ</m:t>
                </m:r>
              </m:oMath>
            </m:oMathPara>
          </w:p>
          <w:p w14:paraId="4A67FCC9"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σ</m:t>
                </m:r>
              </m:oMath>
            </m:oMathPara>
          </w:p>
          <w:p w14:paraId="12597C1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tc>
        <w:tc>
          <w:tcPr>
            <w:tcW w:w="3043" w:type="dxa"/>
            <w:tcBorders>
              <w:top w:val="single" w:sz="4" w:space="0" w:color="auto"/>
            </w:tcBorders>
            <w:vAlign w:val="center"/>
          </w:tcPr>
          <w:p w14:paraId="0DFA6CBA" w14:textId="77777777" w:rsidR="007656E6" w:rsidRPr="00E479B1" w:rsidRDefault="007656E6" w:rsidP="00ED6D92">
            <w:pPr>
              <w:jc w:val="center"/>
              <w:rPr>
                <w:rFonts w:ascii="Times New Roman" w:eastAsia="Times New Roman" w:hAnsi="Times New Roman" w:cs="Times New Roman"/>
                <w:iCs/>
                <w:color w:val="000000"/>
                <w:lang w:eastAsia="en-GB"/>
              </w:rPr>
            </w:pPr>
          </w:p>
          <w:p w14:paraId="5B29E46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Stationary parameter model</w:t>
            </w:r>
          </w:p>
        </w:tc>
      </w:tr>
      <w:tr w:rsidR="007656E6" w:rsidRPr="00E479B1" w14:paraId="2DBB0B5B" w14:textId="77777777" w:rsidTr="00ED6D92">
        <w:trPr>
          <w:trHeight w:val="1018"/>
        </w:trPr>
        <w:tc>
          <w:tcPr>
            <w:tcW w:w="3042" w:type="dxa"/>
            <w:vAlign w:val="center"/>
          </w:tcPr>
          <w:p w14:paraId="41DBDC23" w14:textId="77777777" w:rsidR="007656E6" w:rsidRPr="00E479B1" w:rsidRDefault="007656E6" w:rsidP="00ED6D92">
            <w:pPr>
              <w:jc w:val="center"/>
              <w:rPr>
                <w:rFonts w:ascii="Times New Roman" w:eastAsia="Times New Roman" w:hAnsi="Times New Roman" w:cs="Times New Roman"/>
                <w:iCs/>
                <w:color w:val="000000"/>
                <w:lang w:eastAsia="en-GB"/>
              </w:rPr>
            </w:pPr>
          </w:p>
          <w:p w14:paraId="2A98F0C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(ii)</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w:t>
            </w:r>
            <w:r>
              <w:rPr>
                <w:rFonts w:ascii="Times New Roman" w:eastAsia="Times New Roman" w:hAnsi="Times New Roman" w:cs="Times New Roman"/>
                <w:iCs/>
                <w:color w:val="000000"/>
                <w:lang w:eastAsia="en-GB"/>
              </w:rPr>
              <w:t>I</w:t>
            </w:r>
          </w:p>
        </w:tc>
        <w:tc>
          <w:tcPr>
            <w:tcW w:w="3059" w:type="dxa"/>
            <w:vAlign w:val="center"/>
          </w:tcPr>
          <w:p w14:paraId="4859AF66"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33AAC33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σ</m:t>
                </m:r>
              </m:oMath>
            </m:oMathPara>
          </w:p>
          <w:p w14:paraId="39108CD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p w14:paraId="4AF80F36"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μ</m:t>
                </m:r>
              </m:oMath>
            </m:oMathPara>
          </w:p>
        </w:tc>
        <w:tc>
          <w:tcPr>
            <w:tcW w:w="3043" w:type="dxa"/>
            <w:vAlign w:val="center"/>
          </w:tcPr>
          <w:p w14:paraId="296C752B" w14:textId="77777777" w:rsidR="007656E6" w:rsidRPr="00E479B1" w:rsidRDefault="007656E6" w:rsidP="00ED6D92">
            <w:pPr>
              <w:jc w:val="center"/>
              <w:rPr>
                <w:rFonts w:ascii="Times New Roman" w:eastAsia="Times New Roman" w:hAnsi="Times New Roman" w:cs="Times New Roman"/>
                <w:iCs/>
                <w:color w:val="000000"/>
                <w:lang w:eastAsia="en-GB"/>
              </w:rPr>
            </w:pPr>
          </w:p>
          <w:p w14:paraId="40D7B156"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r w:rsidR="007656E6" w:rsidRPr="00E479B1" w14:paraId="2AB905E6" w14:textId="77777777" w:rsidTr="00ED6D92">
        <w:trPr>
          <w:trHeight w:val="754"/>
        </w:trPr>
        <w:tc>
          <w:tcPr>
            <w:tcW w:w="3042" w:type="dxa"/>
            <w:vAlign w:val="center"/>
          </w:tcPr>
          <w:p w14:paraId="7BAF7719" w14:textId="77777777" w:rsidR="007656E6" w:rsidRPr="00E479B1" w:rsidRDefault="007656E6" w:rsidP="00ED6D92">
            <w:pPr>
              <w:jc w:val="center"/>
              <w:rPr>
                <w:rFonts w:ascii="Times New Roman" w:eastAsia="Times New Roman" w:hAnsi="Times New Roman" w:cs="Times New Roman"/>
                <w:iCs/>
                <w:color w:val="000000"/>
                <w:lang w:eastAsia="en-GB"/>
              </w:rPr>
            </w:pPr>
          </w:p>
          <w:p w14:paraId="15790082"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(iii)</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II</w:t>
            </w:r>
          </w:p>
        </w:tc>
        <w:tc>
          <w:tcPr>
            <w:tcW w:w="3059" w:type="dxa"/>
            <w:vAlign w:val="center"/>
          </w:tcPr>
          <w:p w14:paraId="5E15299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6CEA09D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p w14:paraId="6988FBA2" w14:textId="77777777" w:rsidR="007656E6" w:rsidRPr="00E479B1" w:rsidRDefault="00F15148" w:rsidP="00ED6D92">
            <w:pPr>
              <w:jc w:val="center"/>
              <w:rPr>
                <w:rFonts w:ascii="Times New Roman" w:eastAsia="Times New Roman" w:hAnsi="Times New Roman" w:cs="Times New Roman"/>
                <w:iCs/>
                <w:color w:val="000000"/>
                <w:lang w:eastAsia="en-GB"/>
              </w:rPr>
            </w:pPr>
            <m:oMathPara>
              <m:oMath>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tc>
        <w:tc>
          <w:tcPr>
            <w:tcW w:w="3043" w:type="dxa"/>
            <w:vAlign w:val="center"/>
          </w:tcPr>
          <w:p w14:paraId="472A7767" w14:textId="77777777" w:rsidR="007656E6" w:rsidRPr="00E479B1" w:rsidRDefault="007656E6" w:rsidP="00ED6D92">
            <w:pPr>
              <w:jc w:val="center"/>
              <w:rPr>
                <w:rFonts w:ascii="Times New Roman" w:eastAsia="Times New Roman" w:hAnsi="Times New Roman" w:cs="Times New Roman"/>
                <w:iCs/>
                <w:color w:val="000000"/>
                <w:lang w:eastAsia="en-GB"/>
              </w:rPr>
            </w:pPr>
          </w:p>
          <w:p w14:paraId="4333866E"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r w:rsidR="007656E6" w:rsidRPr="00E479B1" w14:paraId="370942B1" w14:textId="77777777" w:rsidTr="00ED6D92">
        <w:trPr>
          <w:trHeight w:val="637"/>
        </w:trPr>
        <w:tc>
          <w:tcPr>
            <w:tcW w:w="3042" w:type="dxa"/>
            <w:tcBorders>
              <w:bottom w:val="single" w:sz="4" w:space="0" w:color="auto"/>
            </w:tcBorders>
            <w:vAlign w:val="center"/>
          </w:tcPr>
          <w:p w14:paraId="17241D87" w14:textId="77777777" w:rsidR="007656E6" w:rsidRPr="00E479B1" w:rsidRDefault="007656E6" w:rsidP="00ED6D92">
            <w:pPr>
              <w:jc w:val="center"/>
              <w:rPr>
                <w:rFonts w:ascii="Times New Roman" w:eastAsia="Times New Roman" w:hAnsi="Times New Roman" w:cs="Times New Roman"/>
                <w:iCs/>
                <w:color w:val="000000"/>
                <w:lang w:eastAsia="en-GB"/>
              </w:rPr>
            </w:pPr>
          </w:p>
          <w:p w14:paraId="5F8D76C5"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(iv)</w:t>
            </w:r>
            <w:r w:rsidRPr="00E479B1">
              <w:rPr>
                <w:rFonts w:ascii="Times New Roman" w:eastAsia="Times New Roman" w:hAnsi="Times New Roman" w:cs="Times New Roman"/>
                <w:iCs/>
                <w:color w:val="000000"/>
                <w:lang w:eastAsia="en-GB"/>
              </w:rPr>
              <w:tab/>
            </w:r>
            <w:proofErr w:type="spellStart"/>
            <w:r w:rsidRPr="00E479B1">
              <w:rPr>
                <w:rFonts w:ascii="Times New Roman" w:eastAsia="Times New Roman" w:hAnsi="Times New Roman" w:cs="Times New Roman"/>
                <w:iCs/>
                <w:color w:val="000000"/>
                <w:lang w:eastAsia="en-GB"/>
              </w:rPr>
              <w:t>GEV</w:t>
            </w:r>
            <w:r w:rsidRPr="00E479B1">
              <w:rPr>
                <w:rFonts w:ascii="Times New Roman" w:eastAsia="Times New Roman" w:hAnsi="Times New Roman" w:cs="Times New Roman"/>
                <w:iCs/>
                <w:color w:val="000000"/>
                <w:vertAlign w:val="subscript"/>
                <w:lang w:eastAsia="en-GB"/>
              </w:rPr>
              <w:t>t</w:t>
            </w:r>
            <w:proofErr w:type="spellEnd"/>
            <w:r w:rsidRPr="00E479B1">
              <w:rPr>
                <w:rFonts w:ascii="Times New Roman" w:eastAsia="Times New Roman" w:hAnsi="Times New Roman" w:cs="Times New Roman"/>
                <w:iCs/>
                <w:color w:val="000000"/>
                <w:lang w:eastAsia="en-GB"/>
              </w:rPr>
              <w:t xml:space="preserve"> – III</w:t>
            </w:r>
          </w:p>
        </w:tc>
        <w:tc>
          <w:tcPr>
            <w:tcW w:w="3059" w:type="dxa"/>
            <w:tcBorders>
              <w:bottom w:val="single" w:sz="4" w:space="0" w:color="auto"/>
            </w:tcBorders>
            <w:vAlign w:val="center"/>
          </w:tcPr>
          <w:p w14:paraId="51123C48"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μ</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μ</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439F7265"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σ</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xml:space="preserve">= </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0</m:t>
                    </m:r>
                  </m:sub>
                </m:sSub>
                <m:r>
                  <w:rPr>
                    <w:rFonts w:ascii="Cambria Math" w:eastAsia="Times New Roman" w:hAnsi="Cambria Math" w:cs="Times New Roman"/>
                    <w:color w:val="000000"/>
                    <w:lang w:eastAsia="en-GB"/>
                  </w:rPr>
                  <m:t>+</m:t>
                </m:r>
                <m:sSub>
                  <m:sSubPr>
                    <m:ctrlPr>
                      <w:rPr>
                        <w:rFonts w:ascii="Cambria Math" w:eastAsia="Times New Roman" w:hAnsi="Cambria Math" w:cs="Times New Roman"/>
                        <w:i/>
                        <w:iCs/>
                        <w:color w:val="000000"/>
                        <w:lang w:eastAsia="en-GB"/>
                      </w:rPr>
                    </m:ctrlPr>
                  </m:sSubPr>
                  <m:e>
                    <m:r>
                      <w:rPr>
                        <w:rFonts w:ascii="Cambria Math" w:eastAsia="Times New Roman" w:hAnsi="Cambria Math" w:cs="Times New Roman"/>
                        <w:color w:val="000000"/>
                        <w:lang w:eastAsia="en-GB"/>
                      </w:rPr>
                      <m:t>σ</m:t>
                    </m:r>
                  </m:e>
                  <m:sub>
                    <m:r>
                      <w:rPr>
                        <w:rFonts w:ascii="Cambria Math" w:eastAsia="Times New Roman" w:hAnsi="Cambria Math" w:cs="Times New Roman"/>
                        <w:color w:val="000000"/>
                        <w:lang w:eastAsia="en-GB"/>
                      </w:rPr>
                      <m:t>1</m:t>
                    </m:r>
                  </m:sub>
                </m:sSub>
                <m:r>
                  <w:rPr>
                    <w:rFonts w:ascii="Cambria Math" w:eastAsia="Times New Roman" w:hAnsi="Cambria Math" w:cs="Times New Roman"/>
                    <w:color w:val="000000"/>
                    <w:lang w:eastAsia="en-GB"/>
                  </w:rPr>
                  <m:t>t</m:t>
                </m:r>
              </m:oMath>
            </m:oMathPara>
          </w:p>
          <w:p w14:paraId="56F4572B" w14:textId="77777777" w:rsidR="007656E6" w:rsidRPr="00E479B1" w:rsidRDefault="007656E6" w:rsidP="00ED6D92">
            <w:pPr>
              <w:jc w:val="center"/>
              <w:rPr>
                <w:rFonts w:ascii="Times New Roman" w:eastAsia="Times New Roman" w:hAnsi="Times New Roman" w:cs="Times New Roman"/>
                <w:iCs/>
                <w:color w:val="000000"/>
                <w:lang w:eastAsia="en-GB"/>
              </w:rPr>
            </w:pPr>
            <m:oMathPara>
              <m:oMath>
                <m:r>
                  <w:rPr>
                    <w:rFonts w:ascii="Cambria Math" w:eastAsia="Times New Roman" w:hAnsi="Cambria Math" w:cs="Times New Roman"/>
                    <w:color w:val="000000"/>
                    <w:lang w:eastAsia="en-GB"/>
                  </w:rPr>
                  <m:t>ξ</m:t>
                </m:r>
                <m:d>
                  <m:dPr>
                    <m:ctrlPr>
                      <w:rPr>
                        <w:rFonts w:ascii="Cambria Math" w:eastAsia="Times New Roman" w:hAnsi="Cambria Math" w:cs="Times New Roman"/>
                        <w:i/>
                        <w:iCs/>
                        <w:color w:val="000000"/>
                        <w:lang w:eastAsia="en-GB"/>
                      </w:rPr>
                    </m:ctrlPr>
                  </m:dPr>
                  <m:e>
                    <m:r>
                      <w:rPr>
                        <w:rFonts w:ascii="Cambria Math" w:eastAsia="Times New Roman" w:hAnsi="Cambria Math" w:cs="Times New Roman"/>
                        <w:color w:val="000000"/>
                        <w:lang w:eastAsia="en-GB"/>
                      </w:rPr>
                      <m:t>t</m:t>
                    </m:r>
                  </m:e>
                </m:d>
                <m:r>
                  <w:rPr>
                    <w:rFonts w:ascii="Cambria Math" w:eastAsia="Times New Roman" w:hAnsi="Cambria Math" w:cs="Times New Roman"/>
                    <w:color w:val="000000"/>
                    <w:lang w:eastAsia="en-GB"/>
                  </w:rPr>
                  <m:t>= ξ</m:t>
                </m:r>
              </m:oMath>
            </m:oMathPara>
          </w:p>
        </w:tc>
        <w:tc>
          <w:tcPr>
            <w:tcW w:w="3043" w:type="dxa"/>
            <w:tcBorders>
              <w:bottom w:val="single" w:sz="4" w:space="0" w:color="auto"/>
            </w:tcBorders>
            <w:vAlign w:val="center"/>
          </w:tcPr>
          <w:p w14:paraId="76C0FB96" w14:textId="77777777" w:rsidR="007656E6" w:rsidRPr="00E479B1" w:rsidRDefault="007656E6" w:rsidP="00ED6D92">
            <w:pPr>
              <w:jc w:val="center"/>
              <w:rPr>
                <w:rFonts w:ascii="Times New Roman" w:eastAsia="Times New Roman" w:hAnsi="Times New Roman" w:cs="Times New Roman"/>
                <w:iCs/>
                <w:color w:val="000000"/>
                <w:lang w:eastAsia="en-GB"/>
              </w:rPr>
            </w:pPr>
          </w:p>
          <w:p w14:paraId="6480AA11" w14:textId="77777777" w:rsidR="007656E6" w:rsidRPr="00E479B1" w:rsidRDefault="007656E6" w:rsidP="00ED6D92">
            <w:pPr>
              <w:jc w:val="center"/>
              <w:rPr>
                <w:rFonts w:ascii="Times New Roman" w:eastAsia="Times New Roman" w:hAnsi="Times New Roman" w:cs="Times New Roman"/>
                <w:iCs/>
                <w:color w:val="000000"/>
                <w:lang w:eastAsia="en-GB"/>
              </w:rPr>
            </w:pPr>
            <w:r w:rsidRPr="00E479B1">
              <w:rPr>
                <w:rFonts w:ascii="Times New Roman" w:eastAsia="Times New Roman" w:hAnsi="Times New Roman" w:cs="Times New Roman"/>
                <w:iCs/>
                <w:color w:val="000000"/>
                <w:lang w:eastAsia="en-GB"/>
              </w:rPr>
              <w:t>Non-stationary parameter model</w:t>
            </w:r>
          </w:p>
        </w:tc>
      </w:tr>
    </w:tbl>
    <w:p w14:paraId="2924CF25" w14:textId="02B7B54C" w:rsidR="007656E6" w:rsidRPr="007656E6" w:rsidRDefault="007656E6" w:rsidP="007656E6">
      <w:pPr>
        <w:spacing w:after="0" w:line="480" w:lineRule="auto"/>
        <w:jc w:val="both"/>
        <w:rPr>
          <w:rFonts w:ascii="Times New Roman" w:eastAsia="Times New Roman" w:hAnsi="Times New Roman" w:cs="Times New Roman"/>
          <w:color w:val="000000"/>
          <w:lang w:eastAsia="en-GB"/>
        </w:rPr>
      </w:pPr>
      <w:r w:rsidRPr="00101DE1">
        <w:rPr>
          <w:rFonts w:ascii="Times New Roman" w:eastAsia="Times New Roman" w:hAnsi="Times New Roman" w:cs="Times New Roman"/>
          <w:color w:val="000000"/>
          <w:lang w:eastAsia="en-GB"/>
        </w:rPr>
        <w:t>Source: Silva and Simonovic (2020)</w:t>
      </w:r>
    </w:p>
    <w:p w14:paraId="76901F4B" w14:textId="792D69A9" w:rsidR="00BD1CB8" w:rsidRPr="00BD1CB8" w:rsidRDefault="00BD1CB8" w:rsidP="007656E6">
      <w:pPr>
        <w:spacing w:before="100" w:beforeAutospacing="1" w:after="100" w:afterAutospacing="1" w:line="48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3.</w:t>
      </w:r>
      <w:r w:rsidR="00A424CC">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Results</w:t>
      </w:r>
    </w:p>
    <w:p w14:paraId="120D8120" w14:textId="3606D39B" w:rsidR="00BD1CB8" w:rsidRPr="00BD1CB8" w:rsidRDefault="00AB2FE7" w:rsidP="007656E6">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2 </w:t>
      </w:r>
      <w:r w:rsidR="007656E6">
        <w:rPr>
          <w:rFonts w:ascii="Times New Roman" w:eastAsia="Times New Roman" w:hAnsi="Times New Roman" w:cs="Times New Roman"/>
          <w:kern w:val="0"/>
          <w:lang w:eastAsia="en-GB"/>
          <w14:ligatures w14:val="none"/>
        </w:rPr>
        <w:t>shows the</w:t>
      </w:r>
      <w:r>
        <w:rPr>
          <w:rFonts w:ascii="Times New Roman" w:eastAsia="Times New Roman" w:hAnsi="Times New Roman" w:cs="Times New Roman"/>
          <w:kern w:val="0"/>
          <w:lang w:eastAsia="en-GB"/>
          <w14:ligatures w14:val="none"/>
        </w:rPr>
        <w:t xml:space="preserve"> </w:t>
      </w:r>
      <w:r w:rsidR="007656E6">
        <w:rPr>
          <w:rFonts w:ascii="Times New Roman" w:eastAsia="Times New Roman" w:hAnsi="Times New Roman" w:cs="Times New Roman"/>
          <w:kern w:val="0"/>
          <w:lang w:eastAsia="en-GB"/>
          <w14:ligatures w14:val="none"/>
        </w:rPr>
        <w:t xml:space="preserve">trend and change point analysis outcomes </w:t>
      </w:r>
      <w:r>
        <w:rPr>
          <w:rFonts w:ascii="Times New Roman" w:eastAsia="Times New Roman" w:hAnsi="Times New Roman" w:cs="Times New Roman"/>
          <w:kern w:val="0"/>
          <w:lang w:eastAsia="en-GB"/>
          <w14:ligatures w14:val="none"/>
        </w:rPr>
        <w:t xml:space="preserve">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The Mann-Kendall test indicated a statistically significant upward trend in rainfall, with a test statistic of 2.7534 and a p-value of 0.0059. Th</w:t>
      </w:r>
      <w:r w:rsidR="007656E6">
        <w:rPr>
          <w:rFonts w:ascii="Times New Roman" w:eastAsia="Times New Roman" w:hAnsi="Times New Roman" w:cs="Times New Roman"/>
          <w:kern w:val="0"/>
          <w:lang w:eastAsia="en-GB"/>
          <w14:ligatures w14:val="none"/>
        </w:rPr>
        <w:t xml:space="preserve">e result from the Mann Kendall </w:t>
      </w:r>
      <w:r w:rsidR="009A4DE5">
        <w:rPr>
          <w:rFonts w:ascii="Times New Roman" w:eastAsia="Times New Roman" w:hAnsi="Times New Roman" w:cs="Times New Roman"/>
          <w:kern w:val="0"/>
          <w:lang w:eastAsia="en-GB"/>
          <w14:ligatures w14:val="none"/>
        </w:rPr>
        <w:t xml:space="preserve">provides sufficient evidence that the rainfall at </w:t>
      </w:r>
      <w:proofErr w:type="spellStart"/>
      <w:r w:rsidR="009A4DE5">
        <w:rPr>
          <w:rFonts w:ascii="Times New Roman" w:eastAsia="Times New Roman" w:hAnsi="Times New Roman" w:cs="Times New Roman"/>
          <w:kern w:val="0"/>
          <w:lang w:eastAsia="en-GB"/>
          <w14:ligatures w14:val="none"/>
        </w:rPr>
        <w:t>Abakaliki</w:t>
      </w:r>
      <w:proofErr w:type="spellEnd"/>
      <w:r w:rsidR="009A4DE5">
        <w:rPr>
          <w:rFonts w:ascii="Times New Roman" w:eastAsia="Times New Roman" w:hAnsi="Times New Roman" w:cs="Times New Roman"/>
          <w:kern w:val="0"/>
          <w:lang w:eastAsia="en-GB"/>
          <w14:ligatures w14:val="none"/>
        </w:rPr>
        <w:t xml:space="preserve"> </w:t>
      </w:r>
      <w:r w:rsidR="00FB5D90">
        <w:rPr>
          <w:rFonts w:ascii="Times New Roman" w:eastAsia="Times New Roman" w:hAnsi="Times New Roman" w:cs="Times New Roman"/>
          <w:kern w:val="0"/>
          <w:lang w:eastAsia="en-GB"/>
          <w14:ligatures w14:val="none"/>
        </w:rPr>
        <w:t xml:space="preserve">is on the rise and the statistical parameters of the rainfall will </w:t>
      </w:r>
      <w:r w:rsidR="007432CB">
        <w:rPr>
          <w:rFonts w:ascii="Times New Roman" w:eastAsia="Times New Roman" w:hAnsi="Times New Roman" w:cs="Times New Roman"/>
          <w:kern w:val="0"/>
          <w:lang w:eastAsia="en-GB"/>
          <w14:ligatures w14:val="none"/>
        </w:rPr>
        <w:t>change</w:t>
      </w:r>
      <w:r w:rsidR="00FB5D90">
        <w:rPr>
          <w:rFonts w:ascii="Times New Roman" w:eastAsia="Times New Roman" w:hAnsi="Times New Roman" w:cs="Times New Roman"/>
          <w:kern w:val="0"/>
          <w:lang w:eastAsia="en-GB"/>
          <w14:ligatures w14:val="none"/>
        </w:rPr>
        <w:t xml:space="preserve"> over time. The result </w:t>
      </w:r>
      <w:r w:rsidR="007432CB">
        <w:rPr>
          <w:rFonts w:ascii="Times New Roman" w:eastAsia="Times New Roman" w:hAnsi="Times New Roman" w:cs="Times New Roman"/>
          <w:kern w:val="0"/>
          <w:lang w:eastAsia="en-GB"/>
          <w14:ligatures w14:val="none"/>
        </w:rPr>
        <w:t xml:space="preserve">prompts the use of a </w:t>
      </w:r>
      <w:r w:rsidR="00FB5D90">
        <w:rPr>
          <w:rFonts w:ascii="Times New Roman" w:eastAsia="Times New Roman" w:hAnsi="Times New Roman" w:cs="Times New Roman"/>
          <w:kern w:val="0"/>
          <w:lang w:eastAsia="en-GB"/>
          <w14:ligatures w14:val="none"/>
        </w:rPr>
        <w:t>non-stationary approach for modelling the rai</w:t>
      </w:r>
      <w:r w:rsidR="007432CB">
        <w:rPr>
          <w:rFonts w:ascii="Times New Roman" w:eastAsia="Times New Roman" w:hAnsi="Times New Roman" w:cs="Times New Roman"/>
          <w:kern w:val="0"/>
          <w:lang w:eastAsia="en-GB"/>
          <w14:ligatures w14:val="none"/>
        </w:rPr>
        <w:t>nfall.</w:t>
      </w:r>
      <w:r>
        <w:rPr>
          <w:rFonts w:ascii="Times New Roman" w:eastAsia="Times New Roman" w:hAnsi="Times New Roman" w:cs="Times New Roman"/>
          <w:kern w:val="0"/>
          <w:lang w:eastAsia="en-GB"/>
          <w14:ligatures w14:val="none"/>
        </w:rPr>
        <w:t xml:space="preserve"> The change point analysis results in Table 2 demonstrate that both methods yield similar findings. The CUSUM test pinpointed 2010 and 2012 as potential change point years, though these points were not statistically significant at </w:t>
      </w:r>
      <w:r w:rsidR="00A10D99">
        <w:rPr>
          <w:rFonts w:ascii="Times New Roman" w:eastAsia="Times New Roman" w:hAnsi="Times New Roman" w:cs="Times New Roman"/>
          <w:kern w:val="0"/>
          <w:lang w:eastAsia="en-GB"/>
          <w14:ligatures w14:val="none"/>
        </w:rPr>
        <w:t>90% and 95% confidence levels</w:t>
      </w:r>
      <w:r>
        <w:rPr>
          <w:rFonts w:ascii="Times New Roman" w:eastAsia="Times New Roman" w:hAnsi="Times New Roman" w:cs="Times New Roman"/>
          <w:kern w:val="0"/>
          <w:lang w:eastAsia="en-GB"/>
          <w14:ligatures w14:val="none"/>
        </w:rPr>
        <w:t xml:space="preserve">. This was further supported by the Sequential Mann Kendall (SQMK) test, which identified 2010 as a change point. The close occurrence of these change points (2010-2012) indicate a </w:t>
      </w:r>
      <w:r w:rsidR="00FD3BD7">
        <w:rPr>
          <w:rFonts w:ascii="Times New Roman" w:eastAsia="Times New Roman" w:hAnsi="Times New Roman" w:cs="Times New Roman"/>
          <w:kern w:val="0"/>
          <w:lang w:eastAsia="en-GB"/>
          <w14:ligatures w14:val="none"/>
        </w:rPr>
        <w:t xml:space="preserve">potential </w:t>
      </w:r>
      <w:r>
        <w:rPr>
          <w:rFonts w:ascii="Times New Roman" w:eastAsia="Times New Roman" w:hAnsi="Times New Roman" w:cs="Times New Roman"/>
          <w:kern w:val="0"/>
          <w:lang w:eastAsia="en-GB"/>
          <w14:ligatures w14:val="none"/>
        </w:rPr>
        <w:t xml:space="preserve">shift in rainfall patterns during this timeframe 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results from both the Mann-Kendall and change point analyses strongly suggest that climate change is impacting rainfall precipitation in </w:t>
      </w:r>
      <w:proofErr w:type="spellStart"/>
      <w:r>
        <w:rPr>
          <w:rFonts w:ascii="Times New Roman" w:eastAsia="Times New Roman" w:hAnsi="Times New Roman" w:cs="Times New Roman"/>
          <w:kern w:val="0"/>
          <w:lang w:eastAsia="en-GB"/>
          <w14:ligatures w14:val="none"/>
        </w:rPr>
        <w:t>Abakaliki</w:t>
      </w:r>
      <w:proofErr w:type="spellEnd"/>
      <w:r w:rsidR="00A424CC">
        <w:rPr>
          <w:rFonts w:ascii="Times New Roman" w:eastAsia="Times New Roman" w:hAnsi="Times New Roman" w:cs="Times New Roman"/>
          <w:kern w:val="0"/>
          <w:lang w:eastAsia="en-GB"/>
          <w14:ligatures w14:val="none"/>
        </w:rPr>
        <w:t>; t</w:t>
      </w:r>
      <w:r>
        <w:rPr>
          <w:rFonts w:ascii="Times New Roman" w:eastAsia="Times New Roman" w:hAnsi="Times New Roman" w:cs="Times New Roman"/>
          <w:kern w:val="0"/>
          <w:lang w:eastAsia="en-GB"/>
          <w14:ligatures w14:val="none"/>
        </w:rPr>
        <w:t xml:space="preserve">herefore, a non-stationary method should be applied </w:t>
      </w:r>
      <w:r w:rsidR="00FD3BD7">
        <w:rPr>
          <w:rFonts w:ascii="Times New Roman" w:eastAsia="Times New Roman" w:hAnsi="Times New Roman" w:cs="Times New Roman"/>
          <w:kern w:val="0"/>
          <w:lang w:eastAsia="en-GB"/>
          <w14:ligatures w14:val="none"/>
        </w:rPr>
        <w:t>to develop the IDF model</w:t>
      </w:r>
      <w:r w:rsidR="00BD1CB8" w:rsidRPr="00BD1CB8">
        <w:rPr>
          <w:rFonts w:ascii="Times New Roman" w:eastAsia="Times New Roman" w:hAnsi="Times New Roman" w:cs="Times New Roman"/>
          <w:kern w:val="0"/>
          <w:lang w:eastAsia="en-GB"/>
          <w14:ligatures w14:val="none"/>
        </w:rPr>
        <w:t>.</w:t>
      </w:r>
    </w:p>
    <w:p w14:paraId="2B1F6C49" w14:textId="77777777"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lastRenderedPageBreak/>
        <w:t>Table 2</w:t>
      </w:r>
      <w:r w:rsidRPr="00BD1CB8">
        <w:rPr>
          <w:rFonts w:ascii="Times New Roman" w:eastAsia="Times New Roman" w:hAnsi="Times New Roman" w:cs="Times New Roman"/>
          <w:kern w:val="0"/>
          <w:lang w:eastAsia="en-GB"/>
          <w14:ligatures w14:val="none"/>
        </w:rPr>
        <w:t xml:space="preserve">: Mann Kendall and Change Point for </w:t>
      </w:r>
      <w:proofErr w:type="spellStart"/>
      <w:r w:rsidRPr="00BD1CB8">
        <w:rPr>
          <w:rFonts w:ascii="Times New Roman" w:eastAsia="Times New Roman" w:hAnsi="Times New Roman" w:cs="Times New Roman"/>
          <w:kern w:val="0"/>
          <w:lang w:eastAsia="en-GB"/>
          <w14:ligatures w14:val="none"/>
        </w:rPr>
        <w:t>Abakaliki</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8"/>
        <w:gridCol w:w="887"/>
        <w:gridCol w:w="1171"/>
        <w:gridCol w:w="1941"/>
        <w:gridCol w:w="3309"/>
      </w:tblGrid>
      <w:tr w:rsidR="00BD1CB8" w:rsidRPr="00BD1CB8" w14:paraId="4B08985A" w14:textId="77777777" w:rsidTr="00BD1CB8">
        <w:trPr>
          <w:tblHeader/>
          <w:tblCellSpacing w:w="15" w:type="dxa"/>
        </w:trPr>
        <w:tc>
          <w:tcPr>
            <w:tcW w:w="1755" w:type="dxa"/>
            <w:tcBorders>
              <w:top w:val="single" w:sz="4" w:space="0" w:color="auto"/>
            </w:tcBorders>
            <w:vAlign w:val="center"/>
            <w:hideMark/>
          </w:tcPr>
          <w:p w14:paraId="6F8A072E"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Test Type</w:t>
            </w:r>
          </w:p>
        </w:tc>
        <w:tc>
          <w:tcPr>
            <w:tcW w:w="461" w:type="dxa"/>
            <w:tcBorders>
              <w:top w:val="single" w:sz="4" w:space="0" w:color="auto"/>
            </w:tcBorders>
            <w:vAlign w:val="center"/>
            <w:hideMark/>
          </w:tcPr>
          <w:p w14:paraId="1D4267A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Statistic</w:t>
            </w:r>
          </w:p>
        </w:tc>
        <w:tc>
          <w:tcPr>
            <w:tcW w:w="1188" w:type="dxa"/>
            <w:tcBorders>
              <w:top w:val="single" w:sz="4" w:space="0" w:color="auto"/>
            </w:tcBorders>
            <w:vAlign w:val="center"/>
            <w:hideMark/>
          </w:tcPr>
          <w:p w14:paraId="179003F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p-value</w:t>
            </w:r>
          </w:p>
        </w:tc>
        <w:tc>
          <w:tcPr>
            <w:tcW w:w="1951" w:type="dxa"/>
            <w:tcBorders>
              <w:top w:val="single" w:sz="4" w:space="0" w:color="auto"/>
            </w:tcBorders>
            <w:vAlign w:val="center"/>
            <w:hideMark/>
          </w:tcPr>
          <w:p w14:paraId="0AF58D80"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Trend/Change Point</w:t>
            </w:r>
          </w:p>
        </w:tc>
        <w:tc>
          <w:tcPr>
            <w:tcW w:w="3491" w:type="dxa"/>
            <w:tcBorders>
              <w:top w:val="single" w:sz="4" w:space="0" w:color="auto"/>
            </w:tcBorders>
            <w:vAlign w:val="center"/>
            <w:hideMark/>
          </w:tcPr>
          <w:p w14:paraId="09422EC3"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Remark</w:t>
            </w:r>
          </w:p>
        </w:tc>
      </w:tr>
      <w:tr w:rsidR="00BD1CB8" w:rsidRPr="00BD1CB8" w14:paraId="71D9DDAF" w14:textId="77777777" w:rsidTr="00BD1CB8">
        <w:trPr>
          <w:tblCellSpacing w:w="15" w:type="dxa"/>
        </w:trPr>
        <w:tc>
          <w:tcPr>
            <w:tcW w:w="1755" w:type="dxa"/>
            <w:tcBorders>
              <w:top w:val="single" w:sz="4" w:space="0" w:color="auto"/>
            </w:tcBorders>
            <w:vAlign w:val="center"/>
            <w:hideMark/>
          </w:tcPr>
          <w:p w14:paraId="23C9804D"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Mann-Kendall</w:t>
            </w:r>
          </w:p>
        </w:tc>
        <w:tc>
          <w:tcPr>
            <w:tcW w:w="461" w:type="dxa"/>
            <w:tcBorders>
              <w:top w:val="single" w:sz="4" w:space="0" w:color="auto"/>
            </w:tcBorders>
            <w:vAlign w:val="center"/>
            <w:hideMark/>
          </w:tcPr>
          <w:p w14:paraId="044BC804"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2.7534</w:t>
            </w:r>
          </w:p>
        </w:tc>
        <w:tc>
          <w:tcPr>
            <w:tcW w:w="1188" w:type="dxa"/>
            <w:tcBorders>
              <w:top w:val="single" w:sz="4" w:space="0" w:color="auto"/>
            </w:tcBorders>
            <w:vAlign w:val="center"/>
            <w:hideMark/>
          </w:tcPr>
          <w:p w14:paraId="6A450436"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0.0059</w:t>
            </w:r>
          </w:p>
        </w:tc>
        <w:tc>
          <w:tcPr>
            <w:tcW w:w="1951" w:type="dxa"/>
            <w:tcBorders>
              <w:top w:val="single" w:sz="4" w:space="0" w:color="auto"/>
            </w:tcBorders>
            <w:vAlign w:val="center"/>
            <w:hideMark/>
          </w:tcPr>
          <w:p w14:paraId="74BF85BF"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Increasing</w:t>
            </w:r>
          </w:p>
        </w:tc>
        <w:tc>
          <w:tcPr>
            <w:tcW w:w="3491" w:type="dxa"/>
            <w:tcBorders>
              <w:top w:val="single" w:sz="4" w:space="0" w:color="auto"/>
            </w:tcBorders>
            <w:vAlign w:val="center"/>
            <w:hideMark/>
          </w:tcPr>
          <w:p w14:paraId="727AF36F"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Significant</w:t>
            </w:r>
          </w:p>
        </w:tc>
      </w:tr>
      <w:tr w:rsidR="00BD1CB8" w:rsidRPr="00BD1CB8" w14:paraId="173413C4" w14:textId="77777777" w:rsidTr="00BD1CB8">
        <w:trPr>
          <w:tblCellSpacing w:w="15" w:type="dxa"/>
        </w:trPr>
        <w:tc>
          <w:tcPr>
            <w:tcW w:w="1755" w:type="dxa"/>
            <w:vAlign w:val="center"/>
            <w:hideMark/>
          </w:tcPr>
          <w:p w14:paraId="4E1A8639"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CUSUM</w:t>
            </w:r>
          </w:p>
        </w:tc>
        <w:tc>
          <w:tcPr>
            <w:tcW w:w="461" w:type="dxa"/>
            <w:vAlign w:val="center"/>
            <w:hideMark/>
          </w:tcPr>
          <w:p w14:paraId="6A9C181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5.0</w:t>
            </w:r>
          </w:p>
        </w:tc>
        <w:tc>
          <w:tcPr>
            <w:tcW w:w="1188" w:type="dxa"/>
            <w:vAlign w:val="center"/>
            <w:hideMark/>
          </w:tcPr>
          <w:p w14:paraId="01550CF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951" w:type="dxa"/>
            <w:vAlign w:val="center"/>
            <w:hideMark/>
          </w:tcPr>
          <w:p w14:paraId="36DF14B5"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2010 and 2012</w:t>
            </w:r>
          </w:p>
        </w:tc>
        <w:tc>
          <w:tcPr>
            <w:tcW w:w="3491" w:type="dxa"/>
            <w:vAlign w:val="center"/>
            <w:hideMark/>
          </w:tcPr>
          <w:p w14:paraId="272A2758"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Not Significant (CI: 90%, 95%)</w:t>
            </w:r>
          </w:p>
        </w:tc>
      </w:tr>
      <w:tr w:rsidR="00BD1CB8" w:rsidRPr="00BD1CB8" w14:paraId="37A05C58" w14:textId="77777777" w:rsidTr="00BD1CB8">
        <w:trPr>
          <w:tblCellSpacing w:w="15" w:type="dxa"/>
        </w:trPr>
        <w:tc>
          <w:tcPr>
            <w:tcW w:w="1755" w:type="dxa"/>
            <w:tcBorders>
              <w:bottom w:val="single" w:sz="4" w:space="0" w:color="auto"/>
            </w:tcBorders>
            <w:vAlign w:val="center"/>
            <w:hideMark/>
          </w:tcPr>
          <w:p w14:paraId="43E713E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SQMK</w:t>
            </w:r>
          </w:p>
        </w:tc>
        <w:tc>
          <w:tcPr>
            <w:tcW w:w="461" w:type="dxa"/>
            <w:tcBorders>
              <w:bottom w:val="single" w:sz="4" w:space="0" w:color="auto"/>
            </w:tcBorders>
            <w:vAlign w:val="center"/>
            <w:hideMark/>
          </w:tcPr>
          <w:p w14:paraId="12F36C9F"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188" w:type="dxa"/>
            <w:tcBorders>
              <w:bottom w:val="single" w:sz="4" w:space="0" w:color="auto"/>
            </w:tcBorders>
            <w:vAlign w:val="center"/>
            <w:hideMark/>
          </w:tcPr>
          <w:p w14:paraId="1F9AD23A"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w:t>
            </w:r>
          </w:p>
        </w:tc>
        <w:tc>
          <w:tcPr>
            <w:tcW w:w="1951" w:type="dxa"/>
            <w:tcBorders>
              <w:bottom w:val="single" w:sz="4" w:space="0" w:color="auto"/>
            </w:tcBorders>
            <w:vAlign w:val="center"/>
            <w:hideMark/>
          </w:tcPr>
          <w:p w14:paraId="117FB2F8"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2010</w:t>
            </w:r>
          </w:p>
        </w:tc>
        <w:tc>
          <w:tcPr>
            <w:tcW w:w="3491" w:type="dxa"/>
            <w:tcBorders>
              <w:bottom w:val="single" w:sz="4" w:space="0" w:color="auto"/>
            </w:tcBorders>
            <w:vAlign w:val="center"/>
            <w:hideMark/>
          </w:tcPr>
          <w:p w14:paraId="6B019AE6"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Steady positive increase from 2013 to 2019</w:t>
            </w:r>
          </w:p>
        </w:tc>
      </w:tr>
    </w:tbl>
    <w:p w14:paraId="18AC4E3E" w14:textId="6EA69CD3" w:rsidR="007D3587" w:rsidRDefault="007D3587"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3 presents the development of the </w:t>
      </w:r>
      <w:r w:rsidR="008A1CA0">
        <w:rPr>
          <w:rFonts w:ascii="Times New Roman" w:eastAsia="Times New Roman" w:hAnsi="Times New Roman" w:cs="Times New Roman"/>
          <w:kern w:val="0"/>
          <w:lang w:eastAsia="en-GB"/>
          <w14:ligatures w14:val="none"/>
        </w:rPr>
        <w:t>non-stationary</w:t>
      </w:r>
      <w:r>
        <w:rPr>
          <w:rFonts w:ascii="Times New Roman" w:eastAsia="Times New Roman" w:hAnsi="Times New Roman" w:cs="Times New Roman"/>
          <w:kern w:val="0"/>
          <w:lang w:eastAsia="en-GB"/>
          <w14:ligatures w14:val="none"/>
        </w:rPr>
        <w:t xml:space="preserve"> IDF model. </w:t>
      </w:r>
      <w:r w:rsidR="008A1CA0">
        <w:rPr>
          <w:rFonts w:ascii="Times New Roman" w:eastAsia="Times New Roman" w:hAnsi="Times New Roman" w:cs="Times New Roman"/>
          <w:kern w:val="0"/>
          <w:lang w:eastAsia="en-GB"/>
          <w14:ligatures w14:val="none"/>
        </w:rPr>
        <w:t>Analysing</w:t>
      </w:r>
      <w:r>
        <w:rPr>
          <w:rFonts w:ascii="Times New Roman" w:eastAsia="Times New Roman" w:hAnsi="Times New Roman" w:cs="Times New Roman"/>
          <w:kern w:val="0"/>
          <w:lang w:eastAsia="en-GB"/>
          <w14:ligatures w14:val="none"/>
        </w:rPr>
        <w:t xml:space="preserve"> the GEV parameters uncovers intriguing patterns across various time durations from 5 to 1440 minutes. For </w:t>
      </w:r>
      <w:r w:rsidR="008A1CA0">
        <w:rPr>
          <w:rFonts w:ascii="Times New Roman" w:eastAsia="Times New Roman" w:hAnsi="Times New Roman" w:cs="Times New Roman"/>
          <w:kern w:val="0"/>
          <w:lang w:eastAsia="en-GB"/>
          <w14:ligatures w14:val="none"/>
        </w:rPr>
        <w:t>5-minute</w:t>
      </w:r>
      <w:r>
        <w:rPr>
          <w:rFonts w:ascii="Times New Roman" w:eastAsia="Times New Roman" w:hAnsi="Times New Roman" w:cs="Times New Roman"/>
          <w:kern w:val="0"/>
          <w:lang w:eastAsia="en-GB"/>
          <w14:ligatures w14:val="none"/>
        </w:rPr>
        <w:t xml:space="preserve"> </w:t>
      </w:r>
      <w:r w:rsidR="008A1CA0">
        <w:rPr>
          <w:rFonts w:ascii="Times New Roman" w:eastAsia="Times New Roman" w:hAnsi="Times New Roman" w:cs="Times New Roman"/>
          <w:kern w:val="0"/>
          <w:lang w:eastAsia="en-GB"/>
          <w14:ligatures w14:val="none"/>
        </w:rPr>
        <w:t>duration</w:t>
      </w:r>
      <w:r>
        <w:rPr>
          <w:rFonts w:ascii="Times New Roman" w:eastAsia="Times New Roman" w:hAnsi="Times New Roman" w:cs="Times New Roman"/>
          <w:kern w:val="0"/>
          <w:lang w:eastAsia="en-GB"/>
          <w14:ligatures w14:val="none"/>
        </w:rPr>
        <w:t xml:space="preserv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 model exhibited the best fit, achieving an AIC of 207. 946 and a BIC of 213. 682. However, as durations extended to 10 minutes or more,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model consistently outperformed others with the lowest AIC values- such as 218. 897 for the 10- minute duration versus 223. 555 for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 In the intermediate range of 20 to 60 minutes,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model continued to show superiority. Specifically, for the 20- minute duration, the model performed optimally with an AIC of 238. 470. This trend persisted for the 30- minute period (AIC = 247. 691) and the 60- minute duration (AIC = 262. 103). The adjustments in both the location and scale parameters over time indicate that both the central tendency and variability of extreme rainfall events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are evolving.</w:t>
      </w:r>
    </w:p>
    <w:p w14:paraId="3CD71CEB" w14:textId="470776E1" w:rsidR="00CA249E" w:rsidRPr="00BD1CB8" w:rsidRDefault="007D3587"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For the longer durations of 120 to 1440 minutes, the trend remained with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consistently yielding the best fits. The analysis for the 720- minute duration recorded an AIC of 314. 329 for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 III, while the 1440- minute duration showed an AIC of 328. 818, both representing the lowest values in their respective duration categories. Figure </w:t>
      </w:r>
      <w:r w:rsidR="009A4601">
        <w:rPr>
          <w:rFonts w:ascii="Times New Roman" w:eastAsia="Times New Roman" w:hAnsi="Times New Roman" w:cs="Times New Roman"/>
          <w:kern w:val="0"/>
          <w:lang w:eastAsia="en-GB"/>
          <w14:ligatures w14:val="none"/>
        </w:rPr>
        <w:t>2</w:t>
      </w:r>
      <w:r>
        <w:rPr>
          <w:rFonts w:ascii="Times New Roman" w:eastAsia="Times New Roman" w:hAnsi="Times New Roman" w:cs="Times New Roman"/>
          <w:kern w:val="0"/>
          <w:lang w:eastAsia="en-GB"/>
          <w14:ligatures w14:val="none"/>
        </w:rPr>
        <w:t xml:space="preserve"> </w:t>
      </w:r>
      <w:r w:rsidR="008A1CA0">
        <w:rPr>
          <w:rFonts w:ascii="Times New Roman" w:eastAsia="Times New Roman" w:hAnsi="Times New Roman" w:cs="Times New Roman"/>
          <w:kern w:val="0"/>
          <w:lang w:eastAsia="en-GB"/>
          <w14:ligatures w14:val="none"/>
        </w:rPr>
        <w:t>sh</w:t>
      </w:r>
      <w:r w:rsidR="00DC33E2">
        <w:rPr>
          <w:rFonts w:ascii="Times New Roman" w:eastAsia="Times New Roman" w:hAnsi="Times New Roman" w:cs="Times New Roman"/>
          <w:kern w:val="0"/>
          <w:lang w:eastAsia="en-GB"/>
          <w14:ligatures w14:val="none"/>
        </w:rPr>
        <w:t>ows</w:t>
      </w:r>
      <w:r>
        <w:rPr>
          <w:rFonts w:ascii="Times New Roman" w:eastAsia="Times New Roman" w:hAnsi="Times New Roman" w:cs="Times New Roman"/>
          <w:kern w:val="0"/>
          <w:lang w:eastAsia="en-GB"/>
          <w14:ligatures w14:val="none"/>
        </w:rPr>
        <w:t xml:space="preserve"> the calculated rainfall intensity</w:t>
      </w:r>
      <w:r w:rsidR="00DC33E2">
        <w:rPr>
          <w:rFonts w:ascii="Times New Roman" w:eastAsia="Times New Roman" w:hAnsi="Times New Roman" w:cs="Times New Roman"/>
          <w:kern w:val="0"/>
          <w:lang w:eastAsia="en-GB"/>
          <w14:ligatures w14:val="none"/>
        </w:rPr>
        <w:t xml:space="preserve"> for all durations and return periods</w:t>
      </w:r>
      <w:r>
        <w:rPr>
          <w:rFonts w:ascii="Times New Roman" w:eastAsia="Times New Roman" w:hAnsi="Times New Roman" w:cs="Times New Roman"/>
          <w:kern w:val="0"/>
          <w:lang w:eastAsia="en-GB"/>
          <w14:ligatures w14:val="none"/>
        </w:rPr>
        <w:t xml:space="preserve">. This figure serves as a practical resource for engineers to determine rainfall intensity for any duration and return period relevant to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w:t>
      </w:r>
      <w:r w:rsidR="008371DF">
        <w:rPr>
          <w:rFonts w:ascii="Times New Roman" w:eastAsia="Times New Roman" w:hAnsi="Times New Roman" w:cs="Times New Roman"/>
          <w:kern w:val="0"/>
          <w:lang w:eastAsia="en-GB"/>
          <w14:ligatures w14:val="none"/>
        </w:rPr>
        <w:t>A general IDF model was created to facilitate ease in obtaining rainfall intensity for any duration and return period</w:t>
      </w:r>
      <w:r>
        <w:rPr>
          <w:rFonts w:ascii="Times New Roman" w:eastAsia="Times New Roman" w:hAnsi="Times New Roman" w:cs="Times New Roman"/>
          <w:kern w:val="0"/>
          <w:lang w:eastAsia="en-GB"/>
          <w14:ligatures w14:val="none"/>
        </w:rPr>
        <w:t xml:space="preserve">, </w:t>
      </w:r>
      <w:r w:rsidR="008371DF">
        <w:rPr>
          <w:rFonts w:ascii="Times New Roman" w:eastAsia="Times New Roman" w:hAnsi="Times New Roman" w:cs="Times New Roman"/>
          <w:kern w:val="0"/>
          <w:lang w:eastAsia="en-GB"/>
          <w14:ligatures w14:val="none"/>
        </w:rPr>
        <w:t>as shown</w:t>
      </w:r>
      <w:r>
        <w:rPr>
          <w:rFonts w:ascii="Times New Roman" w:eastAsia="Times New Roman" w:hAnsi="Times New Roman" w:cs="Times New Roman"/>
          <w:kern w:val="0"/>
          <w:lang w:eastAsia="en-GB"/>
          <w14:ligatures w14:val="none"/>
        </w:rPr>
        <w:t xml:space="preserve"> in Table 4. This model demonstrated exceptional predictive capability with a high coefficient of determination (R ² = 0. 996) and a relatively </w:t>
      </w:r>
      <w:r>
        <w:rPr>
          <w:rFonts w:ascii="Times New Roman" w:eastAsia="Times New Roman" w:hAnsi="Times New Roman" w:cs="Times New Roman"/>
          <w:kern w:val="0"/>
          <w:lang w:eastAsia="en-GB"/>
          <w14:ligatures w14:val="none"/>
        </w:rPr>
        <w:lastRenderedPageBreak/>
        <w:t>modest Mean Square Error (MSE = 37. 00). The elevated R² value indicates that the model accounts for approximately 99.6% of the variability in rainfall intensity, suggesting high reliability for predicting rainfall intensities across various durations and return periods</w:t>
      </w:r>
      <w:r w:rsidR="00BD1CB8" w:rsidRPr="00BD1CB8">
        <w:rPr>
          <w:rFonts w:ascii="Times New Roman" w:eastAsia="Times New Roman" w:hAnsi="Times New Roman" w:cs="Times New Roman"/>
          <w:kern w:val="0"/>
          <w:lang w:eastAsia="en-GB"/>
          <w14:ligatures w14:val="none"/>
        </w:rPr>
        <w:t>.</w:t>
      </w:r>
    </w:p>
    <w:p w14:paraId="2EE38D5B" w14:textId="77777777" w:rsid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Table 3:</w:t>
      </w:r>
      <w:r w:rsidRPr="00BD1CB8">
        <w:rPr>
          <w:rFonts w:ascii="Times New Roman" w:eastAsia="Times New Roman" w:hAnsi="Times New Roman" w:cs="Times New Roman"/>
          <w:kern w:val="0"/>
          <w:lang w:eastAsia="en-GB"/>
          <w14:ligatures w14:val="none"/>
        </w:rPr>
        <w:t xml:space="preserve"> Evaluation of the performance of GEV parameters used for non-stationary and stationary models for </w:t>
      </w:r>
      <w:proofErr w:type="spellStart"/>
      <w:r w:rsidRPr="00BD1CB8">
        <w:rPr>
          <w:rFonts w:ascii="Times New Roman" w:eastAsia="Times New Roman" w:hAnsi="Times New Roman" w:cs="Times New Roman"/>
          <w:kern w:val="0"/>
          <w:lang w:eastAsia="en-GB"/>
          <w14:ligatures w14:val="none"/>
        </w:rPr>
        <w:t>Abakaliki</w:t>
      </w:r>
      <w:proofErr w:type="spellEnd"/>
    </w:p>
    <w:tbl>
      <w:tblPr>
        <w:tblW w:w="9546" w:type="dxa"/>
        <w:tblLook w:val="04A0" w:firstRow="1" w:lastRow="0" w:firstColumn="1" w:lastColumn="0" w:noHBand="0" w:noVBand="1"/>
      </w:tblPr>
      <w:tblGrid>
        <w:gridCol w:w="870"/>
        <w:gridCol w:w="1470"/>
        <w:gridCol w:w="2070"/>
        <w:gridCol w:w="1835"/>
        <w:gridCol w:w="1309"/>
        <w:gridCol w:w="996"/>
        <w:gridCol w:w="996"/>
      </w:tblGrid>
      <w:tr w:rsidR="008A3CD3" w:rsidRPr="008A3CD3" w14:paraId="41B5F708" w14:textId="77777777" w:rsidTr="00D1119D">
        <w:trPr>
          <w:trHeight w:val="919"/>
        </w:trPr>
        <w:tc>
          <w:tcPr>
            <w:tcW w:w="870" w:type="dxa"/>
            <w:tcBorders>
              <w:top w:val="single" w:sz="4" w:space="0" w:color="auto"/>
              <w:left w:val="nil"/>
              <w:bottom w:val="single" w:sz="4" w:space="0" w:color="auto"/>
              <w:right w:val="nil"/>
            </w:tcBorders>
            <w:shd w:val="clear" w:color="auto" w:fill="auto"/>
            <w:vAlign w:val="center"/>
            <w:hideMark/>
          </w:tcPr>
          <w:p w14:paraId="77CD26E1"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Time (mins)</w:t>
            </w:r>
          </w:p>
        </w:tc>
        <w:tc>
          <w:tcPr>
            <w:tcW w:w="1470" w:type="dxa"/>
            <w:tcBorders>
              <w:top w:val="single" w:sz="4" w:space="0" w:color="auto"/>
              <w:left w:val="nil"/>
              <w:bottom w:val="single" w:sz="4" w:space="0" w:color="auto"/>
              <w:right w:val="nil"/>
            </w:tcBorders>
            <w:shd w:val="clear" w:color="auto" w:fill="auto"/>
            <w:vAlign w:val="center"/>
            <w:hideMark/>
          </w:tcPr>
          <w:p w14:paraId="14598B1D"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Models</w:t>
            </w:r>
          </w:p>
        </w:tc>
        <w:tc>
          <w:tcPr>
            <w:tcW w:w="2070" w:type="dxa"/>
            <w:tcBorders>
              <w:top w:val="single" w:sz="4" w:space="0" w:color="auto"/>
              <w:left w:val="nil"/>
              <w:bottom w:val="single" w:sz="4" w:space="0" w:color="auto"/>
              <w:right w:val="nil"/>
            </w:tcBorders>
            <w:shd w:val="clear" w:color="auto" w:fill="auto"/>
            <w:vAlign w:val="center"/>
            <w:hideMark/>
          </w:tcPr>
          <w:p w14:paraId="4A3AA2D6"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Location Parameter</w:t>
            </w:r>
          </w:p>
        </w:tc>
        <w:tc>
          <w:tcPr>
            <w:tcW w:w="1835" w:type="dxa"/>
            <w:tcBorders>
              <w:top w:val="single" w:sz="4" w:space="0" w:color="auto"/>
              <w:left w:val="nil"/>
              <w:bottom w:val="single" w:sz="4" w:space="0" w:color="auto"/>
              <w:right w:val="nil"/>
            </w:tcBorders>
            <w:shd w:val="clear" w:color="auto" w:fill="auto"/>
            <w:vAlign w:val="center"/>
            <w:hideMark/>
          </w:tcPr>
          <w:p w14:paraId="4685DAA3"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Scale</w:t>
            </w:r>
          </w:p>
        </w:tc>
        <w:tc>
          <w:tcPr>
            <w:tcW w:w="1309" w:type="dxa"/>
            <w:tcBorders>
              <w:top w:val="single" w:sz="4" w:space="0" w:color="auto"/>
              <w:left w:val="nil"/>
              <w:bottom w:val="single" w:sz="4" w:space="0" w:color="auto"/>
              <w:right w:val="nil"/>
            </w:tcBorders>
            <w:shd w:val="clear" w:color="auto" w:fill="auto"/>
            <w:vAlign w:val="center"/>
            <w:hideMark/>
          </w:tcPr>
          <w:p w14:paraId="18217277"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Shape Parameter</w:t>
            </w:r>
          </w:p>
        </w:tc>
        <w:tc>
          <w:tcPr>
            <w:tcW w:w="996" w:type="dxa"/>
            <w:tcBorders>
              <w:top w:val="single" w:sz="4" w:space="0" w:color="auto"/>
              <w:left w:val="nil"/>
              <w:bottom w:val="single" w:sz="4" w:space="0" w:color="auto"/>
              <w:right w:val="nil"/>
            </w:tcBorders>
            <w:shd w:val="clear" w:color="auto" w:fill="auto"/>
            <w:vAlign w:val="center"/>
            <w:hideMark/>
          </w:tcPr>
          <w:p w14:paraId="5630EB23"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BIC</w:t>
            </w:r>
          </w:p>
        </w:tc>
        <w:tc>
          <w:tcPr>
            <w:tcW w:w="996" w:type="dxa"/>
            <w:tcBorders>
              <w:top w:val="single" w:sz="4" w:space="0" w:color="auto"/>
              <w:left w:val="nil"/>
              <w:bottom w:val="single" w:sz="4" w:space="0" w:color="auto"/>
              <w:right w:val="nil"/>
            </w:tcBorders>
            <w:shd w:val="clear" w:color="auto" w:fill="auto"/>
            <w:vAlign w:val="center"/>
            <w:hideMark/>
          </w:tcPr>
          <w:p w14:paraId="2DB9887D" w14:textId="77777777" w:rsidR="008A3CD3" w:rsidRPr="008A3CD3" w:rsidRDefault="008A3CD3"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AIC</w:t>
            </w:r>
          </w:p>
        </w:tc>
      </w:tr>
      <w:tr w:rsidR="00D1119D" w:rsidRPr="008A3CD3" w14:paraId="4BB3AEAC" w14:textId="77777777" w:rsidTr="00AF039A">
        <w:trPr>
          <w:trHeight w:val="306"/>
        </w:trPr>
        <w:tc>
          <w:tcPr>
            <w:tcW w:w="870" w:type="dxa"/>
            <w:vMerge w:val="restart"/>
            <w:tcBorders>
              <w:top w:val="single" w:sz="4" w:space="0" w:color="auto"/>
              <w:left w:val="nil"/>
              <w:right w:val="nil"/>
            </w:tcBorders>
            <w:shd w:val="clear" w:color="auto" w:fill="auto"/>
            <w:vAlign w:val="center"/>
            <w:hideMark/>
          </w:tcPr>
          <w:p w14:paraId="7CD2BCA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w:t>
            </w:r>
          </w:p>
        </w:tc>
        <w:tc>
          <w:tcPr>
            <w:tcW w:w="1470" w:type="dxa"/>
            <w:tcBorders>
              <w:top w:val="single" w:sz="4" w:space="0" w:color="auto"/>
              <w:left w:val="nil"/>
              <w:bottom w:val="nil"/>
              <w:right w:val="nil"/>
            </w:tcBorders>
            <w:shd w:val="clear" w:color="auto" w:fill="auto"/>
            <w:vAlign w:val="center"/>
            <w:hideMark/>
          </w:tcPr>
          <w:p w14:paraId="3B9C4F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76972D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-67.764 + 0.038t</w:t>
            </w:r>
          </w:p>
        </w:tc>
        <w:tc>
          <w:tcPr>
            <w:tcW w:w="1835" w:type="dxa"/>
            <w:tcBorders>
              <w:top w:val="single" w:sz="4" w:space="0" w:color="auto"/>
              <w:left w:val="nil"/>
              <w:bottom w:val="nil"/>
              <w:right w:val="nil"/>
            </w:tcBorders>
            <w:shd w:val="clear" w:color="auto" w:fill="auto"/>
            <w:vAlign w:val="center"/>
            <w:hideMark/>
          </w:tcPr>
          <w:p w14:paraId="20ACBC1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4.703</w:t>
            </w:r>
          </w:p>
        </w:tc>
        <w:tc>
          <w:tcPr>
            <w:tcW w:w="1309" w:type="dxa"/>
            <w:tcBorders>
              <w:top w:val="single" w:sz="4" w:space="0" w:color="auto"/>
              <w:left w:val="nil"/>
              <w:bottom w:val="nil"/>
              <w:right w:val="nil"/>
            </w:tcBorders>
            <w:shd w:val="clear" w:color="auto" w:fill="auto"/>
            <w:vAlign w:val="center"/>
            <w:hideMark/>
          </w:tcPr>
          <w:p w14:paraId="1DB78BF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0.209</w:t>
            </w:r>
          </w:p>
        </w:tc>
        <w:tc>
          <w:tcPr>
            <w:tcW w:w="996" w:type="dxa"/>
            <w:tcBorders>
              <w:top w:val="single" w:sz="4" w:space="0" w:color="auto"/>
              <w:left w:val="nil"/>
              <w:bottom w:val="nil"/>
              <w:right w:val="nil"/>
            </w:tcBorders>
            <w:shd w:val="clear" w:color="auto" w:fill="auto"/>
            <w:vAlign w:val="center"/>
            <w:hideMark/>
          </w:tcPr>
          <w:p w14:paraId="2580D6D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213.682</w:t>
            </w:r>
          </w:p>
        </w:tc>
        <w:tc>
          <w:tcPr>
            <w:tcW w:w="996" w:type="dxa"/>
            <w:tcBorders>
              <w:top w:val="single" w:sz="4" w:space="0" w:color="auto"/>
              <w:left w:val="nil"/>
              <w:bottom w:val="nil"/>
              <w:right w:val="nil"/>
            </w:tcBorders>
            <w:shd w:val="clear" w:color="auto" w:fill="auto"/>
            <w:vAlign w:val="center"/>
            <w:hideMark/>
          </w:tcPr>
          <w:p w14:paraId="5ABE258E"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207.946</w:t>
            </w:r>
          </w:p>
        </w:tc>
      </w:tr>
      <w:tr w:rsidR="00D1119D" w:rsidRPr="008A3CD3" w14:paraId="09393CC3" w14:textId="77777777" w:rsidTr="00AF039A">
        <w:trPr>
          <w:trHeight w:val="306"/>
        </w:trPr>
        <w:tc>
          <w:tcPr>
            <w:tcW w:w="870" w:type="dxa"/>
            <w:vMerge/>
            <w:tcBorders>
              <w:left w:val="nil"/>
              <w:right w:val="nil"/>
            </w:tcBorders>
            <w:shd w:val="clear" w:color="auto" w:fill="auto"/>
            <w:vAlign w:val="center"/>
            <w:hideMark/>
          </w:tcPr>
          <w:p w14:paraId="4740E083"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1EF1EE3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24D5C2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8.443</w:t>
            </w:r>
          </w:p>
        </w:tc>
        <w:tc>
          <w:tcPr>
            <w:tcW w:w="1835" w:type="dxa"/>
            <w:tcBorders>
              <w:top w:val="nil"/>
              <w:left w:val="nil"/>
              <w:bottom w:val="nil"/>
              <w:right w:val="nil"/>
            </w:tcBorders>
            <w:shd w:val="clear" w:color="auto" w:fill="auto"/>
            <w:vAlign w:val="center"/>
            <w:hideMark/>
          </w:tcPr>
          <w:p w14:paraId="2CD5DEC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5.158 - 0.0002t</w:t>
            </w:r>
          </w:p>
        </w:tc>
        <w:tc>
          <w:tcPr>
            <w:tcW w:w="1309" w:type="dxa"/>
            <w:tcBorders>
              <w:top w:val="nil"/>
              <w:left w:val="nil"/>
              <w:bottom w:val="nil"/>
              <w:right w:val="nil"/>
            </w:tcBorders>
            <w:shd w:val="clear" w:color="auto" w:fill="auto"/>
            <w:vAlign w:val="center"/>
            <w:hideMark/>
          </w:tcPr>
          <w:p w14:paraId="23D117A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hideMark/>
          </w:tcPr>
          <w:p w14:paraId="2784DF1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215.689</w:t>
            </w:r>
          </w:p>
        </w:tc>
        <w:tc>
          <w:tcPr>
            <w:tcW w:w="996" w:type="dxa"/>
            <w:tcBorders>
              <w:top w:val="nil"/>
              <w:left w:val="nil"/>
              <w:bottom w:val="nil"/>
              <w:right w:val="nil"/>
            </w:tcBorders>
            <w:shd w:val="clear" w:color="auto" w:fill="auto"/>
            <w:vAlign w:val="center"/>
            <w:hideMark/>
          </w:tcPr>
          <w:p w14:paraId="2F707B5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209.953</w:t>
            </w:r>
          </w:p>
        </w:tc>
      </w:tr>
      <w:tr w:rsidR="00D1119D" w:rsidRPr="008A3CD3" w14:paraId="729F998B" w14:textId="77777777" w:rsidTr="00AF039A">
        <w:trPr>
          <w:trHeight w:val="306"/>
        </w:trPr>
        <w:tc>
          <w:tcPr>
            <w:tcW w:w="870" w:type="dxa"/>
            <w:vMerge/>
            <w:tcBorders>
              <w:left w:val="nil"/>
              <w:bottom w:val="single" w:sz="4" w:space="0" w:color="auto"/>
              <w:right w:val="nil"/>
            </w:tcBorders>
            <w:shd w:val="clear" w:color="auto" w:fill="auto"/>
            <w:vAlign w:val="center"/>
            <w:hideMark/>
          </w:tcPr>
          <w:p w14:paraId="73DCAB2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739DE3D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0B3B44D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-145.167 + 0.076t</w:t>
            </w:r>
          </w:p>
        </w:tc>
        <w:tc>
          <w:tcPr>
            <w:tcW w:w="1835" w:type="dxa"/>
            <w:tcBorders>
              <w:top w:val="nil"/>
              <w:left w:val="nil"/>
              <w:bottom w:val="single" w:sz="4" w:space="0" w:color="auto"/>
              <w:right w:val="nil"/>
            </w:tcBorders>
            <w:shd w:val="clear" w:color="auto" w:fill="auto"/>
            <w:vAlign w:val="center"/>
            <w:hideMark/>
          </w:tcPr>
          <w:p w14:paraId="7BCDB94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-3.348 + 0.004t</w:t>
            </w:r>
          </w:p>
        </w:tc>
        <w:tc>
          <w:tcPr>
            <w:tcW w:w="1309" w:type="dxa"/>
            <w:tcBorders>
              <w:top w:val="nil"/>
              <w:left w:val="nil"/>
              <w:bottom w:val="single" w:sz="4" w:space="0" w:color="auto"/>
              <w:right w:val="nil"/>
            </w:tcBorders>
            <w:shd w:val="clear" w:color="auto" w:fill="auto"/>
            <w:vAlign w:val="center"/>
            <w:hideMark/>
          </w:tcPr>
          <w:p w14:paraId="1E4B028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0.31</w:t>
            </w:r>
          </w:p>
        </w:tc>
        <w:tc>
          <w:tcPr>
            <w:tcW w:w="996" w:type="dxa"/>
            <w:tcBorders>
              <w:top w:val="nil"/>
              <w:left w:val="nil"/>
              <w:bottom w:val="single" w:sz="4" w:space="0" w:color="auto"/>
              <w:right w:val="nil"/>
            </w:tcBorders>
            <w:shd w:val="clear" w:color="auto" w:fill="auto"/>
            <w:vAlign w:val="center"/>
            <w:hideMark/>
          </w:tcPr>
          <w:p w14:paraId="3EAD1EE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215.269</w:t>
            </w:r>
          </w:p>
        </w:tc>
        <w:tc>
          <w:tcPr>
            <w:tcW w:w="996" w:type="dxa"/>
            <w:tcBorders>
              <w:top w:val="nil"/>
              <w:left w:val="nil"/>
              <w:bottom w:val="single" w:sz="4" w:space="0" w:color="auto"/>
              <w:right w:val="nil"/>
            </w:tcBorders>
            <w:shd w:val="clear" w:color="auto" w:fill="auto"/>
            <w:vAlign w:val="center"/>
            <w:hideMark/>
          </w:tcPr>
          <w:p w14:paraId="12877BA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208.099</w:t>
            </w:r>
          </w:p>
        </w:tc>
      </w:tr>
      <w:tr w:rsidR="00D1119D" w:rsidRPr="008A3CD3" w14:paraId="5753185E" w14:textId="77777777" w:rsidTr="009B2139">
        <w:trPr>
          <w:trHeight w:val="306"/>
        </w:trPr>
        <w:tc>
          <w:tcPr>
            <w:tcW w:w="870" w:type="dxa"/>
            <w:vMerge w:val="restart"/>
            <w:tcBorders>
              <w:top w:val="single" w:sz="4" w:space="0" w:color="auto"/>
              <w:left w:val="nil"/>
              <w:right w:val="nil"/>
            </w:tcBorders>
            <w:shd w:val="clear" w:color="auto" w:fill="auto"/>
            <w:vAlign w:val="center"/>
            <w:hideMark/>
          </w:tcPr>
          <w:p w14:paraId="6FD26E9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w:t>
            </w:r>
          </w:p>
        </w:tc>
        <w:tc>
          <w:tcPr>
            <w:tcW w:w="1470" w:type="dxa"/>
            <w:tcBorders>
              <w:top w:val="single" w:sz="4" w:space="0" w:color="auto"/>
              <w:left w:val="nil"/>
              <w:bottom w:val="nil"/>
              <w:right w:val="nil"/>
            </w:tcBorders>
            <w:shd w:val="clear" w:color="auto" w:fill="auto"/>
            <w:vAlign w:val="center"/>
            <w:hideMark/>
          </w:tcPr>
          <w:p w14:paraId="76E8A1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580946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-24.522 + 0.018t</w:t>
            </w:r>
          </w:p>
        </w:tc>
        <w:tc>
          <w:tcPr>
            <w:tcW w:w="1835" w:type="dxa"/>
            <w:tcBorders>
              <w:top w:val="single" w:sz="4" w:space="0" w:color="auto"/>
              <w:left w:val="nil"/>
              <w:bottom w:val="nil"/>
              <w:right w:val="nil"/>
            </w:tcBorders>
            <w:shd w:val="clear" w:color="auto" w:fill="auto"/>
            <w:vAlign w:val="center"/>
            <w:hideMark/>
          </w:tcPr>
          <w:p w14:paraId="40C9613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5.846</w:t>
            </w:r>
          </w:p>
        </w:tc>
        <w:tc>
          <w:tcPr>
            <w:tcW w:w="1309" w:type="dxa"/>
            <w:tcBorders>
              <w:top w:val="single" w:sz="4" w:space="0" w:color="auto"/>
              <w:left w:val="nil"/>
              <w:bottom w:val="nil"/>
              <w:right w:val="nil"/>
            </w:tcBorders>
            <w:shd w:val="clear" w:color="auto" w:fill="auto"/>
            <w:vAlign w:val="center"/>
            <w:hideMark/>
          </w:tcPr>
          <w:p w14:paraId="08A3979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0.193</w:t>
            </w:r>
          </w:p>
        </w:tc>
        <w:tc>
          <w:tcPr>
            <w:tcW w:w="996" w:type="dxa"/>
            <w:tcBorders>
              <w:top w:val="single" w:sz="4" w:space="0" w:color="auto"/>
              <w:left w:val="nil"/>
              <w:bottom w:val="nil"/>
              <w:right w:val="nil"/>
            </w:tcBorders>
            <w:shd w:val="clear" w:color="auto" w:fill="auto"/>
            <w:vAlign w:val="center"/>
            <w:hideMark/>
          </w:tcPr>
          <w:p w14:paraId="06FAFAB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229.292</w:t>
            </w:r>
          </w:p>
        </w:tc>
        <w:tc>
          <w:tcPr>
            <w:tcW w:w="996" w:type="dxa"/>
            <w:tcBorders>
              <w:top w:val="single" w:sz="4" w:space="0" w:color="auto"/>
              <w:left w:val="nil"/>
              <w:bottom w:val="nil"/>
              <w:right w:val="nil"/>
            </w:tcBorders>
            <w:shd w:val="clear" w:color="auto" w:fill="auto"/>
            <w:vAlign w:val="center"/>
            <w:hideMark/>
          </w:tcPr>
          <w:p w14:paraId="6571BC5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223.555</w:t>
            </w:r>
          </w:p>
        </w:tc>
      </w:tr>
      <w:tr w:rsidR="00D1119D" w:rsidRPr="008A3CD3" w14:paraId="44B24DD2" w14:textId="77777777" w:rsidTr="009B2139">
        <w:trPr>
          <w:trHeight w:val="306"/>
        </w:trPr>
        <w:tc>
          <w:tcPr>
            <w:tcW w:w="870" w:type="dxa"/>
            <w:vMerge/>
            <w:tcBorders>
              <w:left w:val="nil"/>
              <w:right w:val="nil"/>
            </w:tcBorders>
            <w:shd w:val="clear" w:color="auto" w:fill="auto"/>
            <w:vAlign w:val="center"/>
            <w:hideMark/>
          </w:tcPr>
          <w:p w14:paraId="29DAA1E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438291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0303BA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10.638</w:t>
            </w:r>
          </w:p>
        </w:tc>
        <w:tc>
          <w:tcPr>
            <w:tcW w:w="1835" w:type="dxa"/>
            <w:tcBorders>
              <w:top w:val="nil"/>
              <w:left w:val="nil"/>
              <w:bottom w:val="nil"/>
              <w:right w:val="nil"/>
            </w:tcBorders>
            <w:shd w:val="clear" w:color="auto" w:fill="auto"/>
            <w:vAlign w:val="center"/>
            <w:hideMark/>
          </w:tcPr>
          <w:p w14:paraId="4111CB1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6.50- 0.0002t</w:t>
            </w:r>
          </w:p>
        </w:tc>
        <w:tc>
          <w:tcPr>
            <w:tcW w:w="1309" w:type="dxa"/>
            <w:tcBorders>
              <w:top w:val="nil"/>
              <w:left w:val="nil"/>
              <w:bottom w:val="nil"/>
              <w:right w:val="nil"/>
            </w:tcBorders>
            <w:shd w:val="clear" w:color="auto" w:fill="auto"/>
            <w:vAlign w:val="center"/>
            <w:hideMark/>
          </w:tcPr>
          <w:p w14:paraId="62AA1A5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hideMark/>
          </w:tcPr>
          <w:p w14:paraId="32C231C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230.022</w:t>
            </w:r>
          </w:p>
        </w:tc>
        <w:tc>
          <w:tcPr>
            <w:tcW w:w="996" w:type="dxa"/>
            <w:tcBorders>
              <w:top w:val="nil"/>
              <w:left w:val="nil"/>
              <w:bottom w:val="nil"/>
              <w:right w:val="nil"/>
            </w:tcBorders>
            <w:shd w:val="clear" w:color="auto" w:fill="auto"/>
            <w:vAlign w:val="center"/>
            <w:hideMark/>
          </w:tcPr>
          <w:p w14:paraId="5EFDABB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224.286</w:t>
            </w:r>
          </w:p>
        </w:tc>
      </w:tr>
      <w:tr w:rsidR="00D1119D" w:rsidRPr="008A3CD3" w14:paraId="32E95D6B" w14:textId="77777777" w:rsidTr="009B2139">
        <w:trPr>
          <w:trHeight w:val="306"/>
        </w:trPr>
        <w:tc>
          <w:tcPr>
            <w:tcW w:w="870" w:type="dxa"/>
            <w:vMerge/>
            <w:tcBorders>
              <w:left w:val="nil"/>
              <w:bottom w:val="single" w:sz="4" w:space="0" w:color="auto"/>
              <w:right w:val="nil"/>
            </w:tcBorders>
            <w:shd w:val="clear" w:color="auto" w:fill="auto"/>
            <w:vAlign w:val="center"/>
            <w:hideMark/>
          </w:tcPr>
          <w:p w14:paraId="07605B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169626F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19626B6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-390.026 + 0.199t</w:t>
            </w:r>
          </w:p>
        </w:tc>
        <w:tc>
          <w:tcPr>
            <w:tcW w:w="1835" w:type="dxa"/>
            <w:tcBorders>
              <w:top w:val="nil"/>
              <w:left w:val="nil"/>
              <w:bottom w:val="single" w:sz="4" w:space="0" w:color="auto"/>
              <w:right w:val="nil"/>
            </w:tcBorders>
            <w:shd w:val="clear" w:color="auto" w:fill="auto"/>
            <w:vAlign w:val="center"/>
            <w:hideMark/>
          </w:tcPr>
          <w:p w14:paraId="6FBE86A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-13.12 + 0.009t</w:t>
            </w:r>
          </w:p>
        </w:tc>
        <w:tc>
          <w:tcPr>
            <w:tcW w:w="1309" w:type="dxa"/>
            <w:tcBorders>
              <w:top w:val="nil"/>
              <w:left w:val="nil"/>
              <w:bottom w:val="single" w:sz="4" w:space="0" w:color="auto"/>
              <w:right w:val="nil"/>
            </w:tcBorders>
            <w:shd w:val="clear" w:color="auto" w:fill="auto"/>
            <w:vAlign w:val="center"/>
            <w:hideMark/>
          </w:tcPr>
          <w:p w14:paraId="7B3FF4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0.177</w:t>
            </w:r>
          </w:p>
        </w:tc>
        <w:tc>
          <w:tcPr>
            <w:tcW w:w="996" w:type="dxa"/>
            <w:tcBorders>
              <w:top w:val="nil"/>
              <w:left w:val="nil"/>
              <w:bottom w:val="single" w:sz="4" w:space="0" w:color="auto"/>
              <w:right w:val="nil"/>
            </w:tcBorders>
            <w:shd w:val="clear" w:color="auto" w:fill="auto"/>
            <w:vAlign w:val="center"/>
            <w:hideMark/>
          </w:tcPr>
          <w:p w14:paraId="5F97AC9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226.067</w:t>
            </w:r>
          </w:p>
        </w:tc>
        <w:tc>
          <w:tcPr>
            <w:tcW w:w="996" w:type="dxa"/>
            <w:tcBorders>
              <w:top w:val="nil"/>
              <w:left w:val="nil"/>
              <w:bottom w:val="single" w:sz="4" w:space="0" w:color="auto"/>
              <w:right w:val="nil"/>
            </w:tcBorders>
            <w:shd w:val="clear" w:color="auto" w:fill="auto"/>
            <w:vAlign w:val="center"/>
            <w:hideMark/>
          </w:tcPr>
          <w:p w14:paraId="58C5AF77"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218.897</w:t>
            </w:r>
          </w:p>
        </w:tc>
      </w:tr>
      <w:tr w:rsidR="00D1119D" w:rsidRPr="008A3CD3" w14:paraId="137B6FB7" w14:textId="77777777" w:rsidTr="00940B1C">
        <w:trPr>
          <w:trHeight w:val="306"/>
        </w:trPr>
        <w:tc>
          <w:tcPr>
            <w:tcW w:w="870" w:type="dxa"/>
            <w:vMerge w:val="restart"/>
            <w:tcBorders>
              <w:top w:val="single" w:sz="4" w:space="0" w:color="auto"/>
              <w:left w:val="nil"/>
              <w:right w:val="nil"/>
            </w:tcBorders>
            <w:shd w:val="clear" w:color="auto" w:fill="auto"/>
            <w:vAlign w:val="center"/>
            <w:hideMark/>
          </w:tcPr>
          <w:p w14:paraId="3DB1AF0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w:t>
            </w:r>
          </w:p>
        </w:tc>
        <w:tc>
          <w:tcPr>
            <w:tcW w:w="1470" w:type="dxa"/>
            <w:tcBorders>
              <w:top w:val="single" w:sz="4" w:space="0" w:color="auto"/>
              <w:left w:val="nil"/>
              <w:bottom w:val="nil"/>
              <w:right w:val="nil"/>
            </w:tcBorders>
            <w:shd w:val="clear" w:color="auto" w:fill="auto"/>
            <w:vAlign w:val="center"/>
            <w:hideMark/>
          </w:tcPr>
          <w:p w14:paraId="6493B11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10FDEFF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-136.164 + 0.075t</w:t>
            </w:r>
          </w:p>
        </w:tc>
        <w:tc>
          <w:tcPr>
            <w:tcW w:w="1835" w:type="dxa"/>
            <w:tcBorders>
              <w:top w:val="single" w:sz="4" w:space="0" w:color="auto"/>
              <w:left w:val="nil"/>
              <w:bottom w:val="nil"/>
              <w:right w:val="nil"/>
            </w:tcBorders>
            <w:shd w:val="clear" w:color="auto" w:fill="auto"/>
            <w:vAlign w:val="center"/>
            <w:hideMark/>
          </w:tcPr>
          <w:p w14:paraId="78EB8F1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7.457</w:t>
            </w:r>
          </w:p>
        </w:tc>
        <w:tc>
          <w:tcPr>
            <w:tcW w:w="1309" w:type="dxa"/>
            <w:tcBorders>
              <w:top w:val="single" w:sz="4" w:space="0" w:color="auto"/>
              <w:left w:val="nil"/>
              <w:bottom w:val="nil"/>
              <w:right w:val="nil"/>
            </w:tcBorders>
            <w:shd w:val="clear" w:color="auto" w:fill="auto"/>
            <w:vAlign w:val="center"/>
            <w:hideMark/>
          </w:tcPr>
          <w:p w14:paraId="7FDCBC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0.167</w:t>
            </w:r>
          </w:p>
        </w:tc>
        <w:tc>
          <w:tcPr>
            <w:tcW w:w="996" w:type="dxa"/>
            <w:tcBorders>
              <w:top w:val="single" w:sz="4" w:space="0" w:color="auto"/>
              <w:left w:val="nil"/>
              <w:bottom w:val="nil"/>
              <w:right w:val="nil"/>
            </w:tcBorders>
            <w:shd w:val="clear" w:color="auto" w:fill="auto"/>
            <w:vAlign w:val="center"/>
            <w:hideMark/>
          </w:tcPr>
          <w:p w14:paraId="5239147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241.987</w:t>
            </w:r>
          </w:p>
        </w:tc>
        <w:tc>
          <w:tcPr>
            <w:tcW w:w="996" w:type="dxa"/>
            <w:tcBorders>
              <w:top w:val="single" w:sz="4" w:space="0" w:color="auto"/>
              <w:left w:val="nil"/>
              <w:bottom w:val="nil"/>
              <w:right w:val="nil"/>
            </w:tcBorders>
            <w:shd w:val="clear" w:color="auto" w:fill="auto"/>
            <w:vAlign w:val="center"/>
            <w:hideMark/>
          </w:tcPr>
          <w:p w14:paraId="72D293C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236.251</w:t>
            </w:r>
          </w:p>
        </w:tc>
      </w:tr>
      <w:tr w:rsidR="00D1119D" w:rsidRPr="008A3CD3" w14:paraId="62820CA0" w14:textId="77777777" w:rsidTr="00940B1C">
        <w:trPr>
          <w:trHeight w:val="306"/>
        </w:trPr>
        <w:tc>
          <w:tcPr>
            <w:tcW w:w="870" w:type="dxa"/>
            <w:vMerge/>
            <w:tcBorders>
              <w:left w:val="nil"/>
              <w:right w:val="nil"/>
            </w:tcBorders>
            <w:shd w:val="clear" w:color="auto" w:fill="auto"/>
            <w:vAlign w:val="center"/>
            <w:hideMark/>
          </w:tcPr>
          <w:p w14:paraId="01798B3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2EDF48C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6F7B4D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13.402</w:t>
            </w:r>
          </w:p>
        </w:tc>
        <w:tc>
          <w:tcPr>
            <w:tcW w:w="1835" w:type="dxa"/>
            <w:tcBorders>
              <w:top w:val="nil"/>
              <w:left w:val="nil"/>
              <w:bottom w:val="nil"/>
              <w:right w:val="nil"/>
            </w:tcBorders>
            <w:shd w:val="clear" w:color="auto" w:fill="auto"/>
            <w:vAlign w:val="center"/>
            <w:hideMark/>
          </w:tcPr>
          <w:p w14:paraId="27E06F9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8.190 - 0.0007t</w:t>
            </w:r>
          </w:p>
        </w:tc>
        <w:tc>
          <w:tcPr>
            <w:tcW w:w="1309" w:type="dxa"/>
            <w:tcBorders>
              <w:top w:val="nil"/>
              <w:left w:val="nil"/>
              <w:bottom w:val="nil"/>
              <w:right w:val="nil"/>
            </w:tcBorders>
            <w:shd w:val="clear" w:color="auto" w:fill="auto"/>
            <w:vAlign w:val="center"/>
            <w:hideMark/>
          </w:tcPr>
          <w:p w14:paraId="68258B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0.219</w:t>
            </w:r>
          </w:p>
        </w:tc>
        <w:tc>
          <w:tcPr>
            <w:tcW w:w="996" w:type="dxa"/>
            <w:tcBorders>
              <w:top w:val="nil"/>
              <w:left w:val="nil"/>
              <w:bottom w:val="nil"/>
              <w:right w:val="nil"/>
            </w:tcBorders>
            <w:shd w:val="clear" w:color="auto" w:fill="auto"/>
            <w:vAlign w:val="center"/>
            <w:hideMark/>
          </w:tcPr>
          <w:p w14:paraId="036109C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244.343</w:t>
            </w:r>
          </w:p>
        </w:tc>
        <w:tc>
          <w:tcPr>
            <w:tcW w:w="996" w:type="dxa"/>
            <w:tcBorders>
              <w:top w:val="nil"/>
              <w:left w:val="nil"/>
              <w:bottom w:val="nil"/>
              <w:right w:val="nil"/>
            </w:tcBorders>
            <w:shd w:val="clear" w:color="auto" w:fill="auto"/>
            <w:vAlign w:val="center"/>
            <w:hideMark/>
          </w:tcPr>
          <w:p w14:paraId="3CC1666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238.607</w:t>
            </w:r>
          </w:p>
        </w:tc>
      </w:tr>
      <w:tr w:rsidR="00D1119D" w:rsidRPr="008A3CD3" w14:paraId="42B41A14" w14:textId="77777777" w:rsidTr="00940B1C">
        <w:trPr>
          <w:trHeight w:val="306"/>
        </w:trPr>
        <w:tc>
          <w:tcPr>
            <w:tcW w:w="870" w:type="dxa"/>
            <w:vMerge/>
            <w:tcBorders>
              <w:left w:val="nil"/>
              <w:bottom w:val="single" w:sz="4" w:space="0" w:color="auto"/>
              <w:right w:val="nil"/>
            </w:tcBorders>
            <w:shd w:val="clear" w:color="auto" w:fill="auto"/>
            <w:vAlign w:val="center"/>
            <w:hideMark/>
          </w:tcPr>
          <w:p w14:paraId="322B517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42E0CE9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456275E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-118.461 + 0.066t</w:t>
            </w:r>
          </w:p>
        </w:tc>
        <w:tc>
          <w:tcPr>
            <w:tcW w:w="1835" w:type="dxa"/>
            <w:tcBorders>
              <w:top w:val="nil"/>
              <w:left w:val="nil"/>
              <w:bottom w:val="single" w:sz="4" w:space="0" w:color="auto"/>
              <w:right w:val="nil"/>
            </w:tcBorders>
            <w:shd w:val="clear" w:color="auto" w:fill="auto"/>
            <w:vAlign w:val="center"/>
            <w:hideMark/>
          </w:tcPr>
          <w:p w14:paraId="6D532E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-0.115 + 0.004t</w:t>
            </w:r>
          </w:p>
        </w:tc>
        <w:tc>
          <w:tcPr>
            <w:tcW w:w="1309" w:type="dxa"/>
            <w:tcBorders>
              <w:top w:val="nil"/>
              <w:left w:val="nil"/>
              <w:bottom w:val="single" w:sz="4" w:space="0" w:color="auto"/>
              <w:right w:val="nil"/>
            </w:tcBorders>
            <w:shd w:val="clear" w:color="auto" w:fill="auto"/>
            <w:vAlign w:val="center"/>
            <w:hideMark/>
          </w:tcPr>
          <w:p w14:paraId="2B1AE64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0.203</w:t>
            </w:r>
          </w:p>
        </w:tc>
        <w:tc>
          <w:tcPr>
            <w:tcW w:w="996" w:type="dxa"/>
            <w:tcBorders>
              <w:top w:val="nil"/>
              <w:left w:val="nil"/>
              <w:bottom w:val="single" w:sz="4" w:space="0" w:color="auto"/>
              <w:right w:val="nil"/>
            </w:tcBorders>
            <w:shd w:val="clear" w:color="auto" w:fill="auto"/>
            <w:vAlign w:val="center"/>
            <w:hideMark/>
          </w:tcPr>
          <w:p w14:paraId="4201940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245.64</w:t>
            </w:r>
          </w:p>
        </w:tc>
        <w:tc>
          <w:tcPr>
            <w:tcW w:w="996" w:type="dxa"/>
            <w:tcBorders>
              <w:top w:val="nil"/>
              <w:left w:val="nil"/>
              <w:bottom w:val="single" w:sz="4" w:space="0" w:color="auto"/>
              <w:right w:val="nil"/>
            </w:tcBorders>
            <w:shd w:val="clear" w:color="auto" w:fill="auto"/>
            <w:vAlign w:val="center"/>
            <w:hideMark/>
          </w:tcPr>
          <w:p w14:paraId="5197AC26"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238.47</w:t>
            </w:r>
          </w:p>
        </w:tc>
      </w:tr>
      <w:tr w:rsidR="00D1119D" w:rsidRPr="008A3CD3" w14:paraId="57A4EDA9" w14:textId="77777777" w:rsidTr="00F75E60">
        <w:trPr>
          <w:trHeight w:val="306"/>
        </w:trPr>
        <w:tc>
          <w:tcPr>
            <w:tcW w:w="870" w:type="dxa"/>
            <w:vMerge w:val="restart"/>
            <w:tcBorders>
              <w:top w:val="single" w:sz="4" w:space="0" w:color="auto"/>
              <w:left w:val="nil"/>
              <w:right w:val="nil"/>
            </w:tcBorders>
            <w:shd w:val="clear" w:color="auto" w:fill="auto"/>
            <w:vAlign w:val="center"/>
            <w:hideMark/>
          </w:tcPr>
          <w:p w14:paraId="125936C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w:t>
            </w:r>
          </w:p>
        </w:tc>
        <w:tc>
          <w:tcPr>
            <w:tcW w:w="1470" w:type="dxa"/>
            <w:tcBorders>
              <w:top w:val="single" w:sz="4" w:space="0" w:color="auto"/>
              <w:left w:val="nil"/>
              <w:bottom w:val="nil"/>
              <w:right w:val="nil"/>
            </w:tcBorders>
            <w:shd w:val="clear" w:color="auto" w:fill="auto"/>
            <w:vAlign w:val="center"/>
            <w:hideMark/>
          </w:tcPr>
          <w:p w14:paraId="03981F8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7DFE5BB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6.277 + 0.005t</w:t>
            </w:r>
          </w:p>
        </w:tc>
        <w:tc>
          <w:tcPr>
            <w:tcW w:w="1835" w:type="dxa"/>
            <w:tcBorders>
              <w:top w:val="single" w:sz="4" w:space="0" w:color="auto"/>
              <w:left w:val="nil"/>
              <w:bottom w:val="nil"/>
              <w:right w:val="nil"/>
            </w:tcBorders>
            <w:shd w:val="clear" w:color="auto" w:fill="auto"/>
            <w:vAlign w:val="center"/>
            <w:hideMark/>
          </w:tcPr>
          <w:p w14:paraId="2210E42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8.948</w:t>
            </w:r>
          </w:p>
        </w:tc>
        <w:tc>
          <w:tcPr>
            <w:tcW w:w="1309" w:type="dxa"/>
            <w:tcBorders>
              <w:top w:val="single" w:sz="4" w:space="0" w:color="auto"/>
              <w:left w:val="nil"/>
              <w:bottom w:val="nil"/>
              <w:right w:val="nil"/>
            </w:tcBorders>
            <w:shd w:val="clear" w:color="auto" w:fill="auto"/>
            <w:vAlign w:val="center"/>
            <w:hideMark/>
          </w:tcPr>
          <w:p w14:paraId="7D0E7F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0.1841</w:t>
            </w:r>
          </w:p>
        </w:tc>
        <w:tc>
          <w:tcPr>
            <w:tcW w:w="996" w:type="dxa"/>
            <w:tcBorders>
              <w:top w:val="single" w:sz="4" w:space="0" w:color="auto"/>
              <w:left w:val="nil"/>
              <w:bottom w:val="nil"/>
              <w:right w:val="nil"/>
            </w:tcBorders>
            <w:shd w:val="clear" w:color="auto" w:fill="auto"/>
            <w:vAlign w:val="center"/>
            <w:hideMark/>
          </w:tcPr>
          <w:p w14:paraId="304A5D3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252.609</w:t>
            </w:r>
          </w:p>
        </w:tc>
        <w:tc>
          <w:tcPr>
            <w:tcW w:w="996" w:type="dxa"/>
            <w:tcBorders>
              <w:top w:val="single" w:sz="4" w:space="0" w:color="auto"/>
              <w:left w:val="nil"/>
              <w:bottom w:val="nil"/>
              <w:right w:val="nil"/>
            </w:tcBorders>
            <w:shd w:val="clear" w:color="auto" w:fill="auto"/>
            <w:vAlign w:val="center"/>
            <w:hideMark/>
          </w:tcPr>
          <w:p w14:paraId="2FE74DE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246.873</w:t>
            </w:r>
          </w:p>
        </w:tc>
      </w:tr>
      <w:tr w:rsidR="00D1119D" w:rsidRPr="008A3CD3" w14:paraId="21F7BF7D" w14:textId="77777777" w:rsidTr="00F75E60">
        <w:trPr>
          <w:trHeight w:val="306"/>
        </w:trPr>
        <w:tc>
          <w:tcPr>
            <w:tcW w:w="870" w:type="dxa"/>
            <w:vMerge/>
            <w:tcBorders>
              <w:left w:val="nil"/>
              <w:right w:val="nil"/>
            </w:tcBorders>
            <w:shd w:val="clear" w:color="auto" w:fill="auto"/>
            <w:vAlign w:val="center"/>
            <w:hideMark/>
          </w:tcPr>
          <w:p w14:paraId="6D3E5C8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0C71D6E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064F416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15.342</w:t>
            </w:r>
          </w:p>
        </w:tc>
        <w:tc>
          <w:tcPr>
            <w:tcW w:w="1835" w:type="dxa"/>
            <w:tcBorders>
              <w:top w:val="nil"/>
              <w:left w:val="nil"/>
              <w:bottom w:val="nil"/>
              <w:right w:val="nil"/>
            </w:tcBorders>
            <w:shd w:val="clear" w:color="auto" w:fill="auto"/>
            <w:vAlign w:val="center"/>
            <w:hideMark/>
          </w:tcPr>
          <w:p w14:paraId="298CD7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9.376 - 0.0003t</w:t>
            </w:r>
          </w:p>
        </w:tc>
        <w:tc>
          <w:tcPr>
            <w:tcW w:w="1309" w:type="dxa"/>
            <w:tcBorders>
              <w:top w:val="nil"/>
              <w:left w:val="nil"/>
              <w:bottom w:val="nil"/>
              <w:right w:val="nil"/>
            </w:tcBorders>
            <w:shd w:val="clear" w:color="auto" w:fill="auto"/>
            <w:vAlign w:val="center"/>
            <w:hideMark/>
          </w:tcPr>
          <w:p w14:paraId="1B287DA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0.1847</w:t>
            </w:r>
          </w:p>
        </w:tc>
        <w:tc>
          <w:tcPr>
            <w:tcW w:w="996" w:type="dxa"/>
            <w:tcBorders>
              <w:top w:val="nil"/>
              <w:left w:val="nil"/>
              <w:bottom w:val="nil"/>
              <w:right w:val="nil"/>
            </w:tcBorders>
            <w:shd w:val="clear" w:color="auto" w:fill="auto"/>
            <w:vAlign w:val="center"/>
            <w:hideMark/>
          </w:tcPr>
          <w:p w14:paraId="7B68ECA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252.726</w:t>
            </w:r>
          </w:p>
        </w:tc>
        <w:tc>
          <w:tcPr>
            <w:tcW w:w="996" w:type="dxa"/>
            <w:tcBorders>
              <w:top w:val="nil"/>
              <w:left w:val="nil"/>
              <w:bottom w:val="nil"/>
              <w:right w:val="nil"/>
            </w:tcBorders>
            <w:shd w:val="clear" w:color="auto" w:fill="auto"/>
            <w:vAlign w:val="center"/>
            <w:hideMark/>
          </w:tcPr>
          <w:p w14:paraId="034C522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246.99</w:t>
            </w:r>
          </w:p>
        </w:tc>
      </w:tr>
      <w:tr w:rsidR="00D1119D" w:rsidRPr="008A3CD3" w14:paraId="778465C3" w14:textId="77777777" w:rsidTr="00F75E60">
        <w:trPr>
          <w:trHeight w:val="306"/>
        </w:trPr>
        <w:tc>
          <w:tcPr>
            <w:tcW w:w="870" w:type="dxa"/>
            <w:vMerge/>
            <w:tcBorders>
              <w:left w:val="nil"/>
              <w:bottom w:val="single" w:sz="4" w:space="0" w:color="auto"/>
              <w:right w:val="nil"/>
            </w:tcBorders>
            <w:shd w:val="clear" w:color="auto" w:fill="auto"/>
            <w:vAlign w:val="center"/>
            <w:hideMark/>
          </w:tcPr>
          <w:p w14:paraId="3879EFC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8F0C68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07FD71C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-82.163 + 0.049t</w:t>
            </w:r>
          </w:p>
        </w:tc>
        <w:tc>
          <w:tcPr>
            <w:tcW w:w="1835" w:type="dxa"/>
            <w:tcBorders>
              <w:top w:val="nil"/>
              <w:left w:val="nil"/>
              <w:bottom w:val="single" w:sz="4" w:space="0" w:color="auto"/>
              <w:right w:val="nil"/>
            </w:tcBorders>
            <w:shd w:val="clear" w:color="auto" w:fill="auto"/>
            <w:vAlign w:val="center"/>
            <w:hideMark/>
          </w:tcPr>
          <w:p w14:paraId="2102AA6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3.017 + 0.003t</w:t>
            </w:r>
          </w:p>
        </w:tc>
        <w:tc>
          <w:tcPr>
            <w:tcW w:w="1309" w:type="dxa"/>
            <w:tcBorders>
              <w:top w:val="nil"/>
              <w:left w:val="nil"/>
              <w:bottom w:val="single" w:sz="4" w:space="0" w:color="auto"/>
              <w:right w:val="nil"/>
            </w:tcBorders>
            <w:shd w:val="clear" w:color="auto" w:fill="auto"/>
            <w:vAlign w:val="center"/>
            <w:hideMark/>
          </w:tcPr>
          <w:p w14:paraId="7E4ED87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0.1624</w:t>
            </w:r>
          </w:p>
        </w:tc>
        <w:tc>
          <w:tcPr>
            <w:tcW w:w="996" w:type="dxa"/>
            <w:tcBorders>
              <w:top w:val="nil"/>
              <w:left w:val="nil"/>
              <w:bottom w:val="single" w:sz="4" w:space="0" w:color="auto"/>
              <w:right w:val="nil"/>
            </w:tcBorders>
            <w:shd w:val="clear" w:color="auto" w:fill="auto"/>
            <w:vAlign w:val="center"/>
            <w:hideMark/>
          </w:tcPr>
          <w:p w14:paraId="31D4861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254.861</w:t>
            </w:r>
          </w:p>
        </w:tc>
        <w:tc>
          <w:tcPr>
            <w:tcW w:w="996" w:type="dxa"/>
            <w:tcBorders>
              <w:top w:val="nil"/>
              <w:left w:val="nil"/>
              <w:bottom w:val="single" w:sz="4" w:space="0" w:color="auto"/>
              <w:right w:val="nil"/>
            </w:tcBorders>
            <w:shd w:val="clear" w:color="auto" w:fill="auto"/>
            <w:vAlign w:val="center"/>
            <w:hideMark/>
          </w:tcPr>
          <w:p w14:paraId="4129B152"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247.691</w:t>
            </w:r>
          </w:p>
        </w:tc>
      </w:tr>
      <w:tr w:rsidR="00D1119D" w:rsidRPr="008A3CD3" w14:paraId="2CCD0926" w14:textId="77777777" w:rsidTr="00320A32">
        <w:trPr>
          <w:trHeight w:val="306"/>
        </w:trPr>
        <w:tc>
          <w:tcPr>
            <w:tcW w:w="870" w:type="dxa"/>
            <w:vMerge w:val="restart"/>
            <w:tcBorders>
              <w:top w:val="single" w:sz="4" w:space="0" w:color="auto"/>
              <w:left w:val="nil"/>
              <w:right w:val="nil"/>
            </w:tcBorders>
            <w:shd w:val="clear" w:color="auto" w:fill="auto"/>
            <w:vAlign w:val="center"/>
            <w:hideMark/>
          </w:tcPr>
          <w:p w14:paraId="2D40D4E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60</w:t>
            </w:r>
          </w:p>
        </w:tc>
        <w:tc>
          <w:tcPr>
            <w:tcW w:w="1470" w:type="dxa"/>
            <w:tcBorders>
              <w:top w:val="single" w:sz="4" w:space="0" w:color="auto"/>
              <w:left w:val="nil"/>
              <w:bottom w:val="nil"/>
              <w:right w:val="nil"/>
            </w:tcBorders>
            <w:shd w:val="clear" w:color="auto" w:fill="auto"/>
            <w:vAlign w:val="center"/>
            <w:hideMark/>
          </w:tcPr>
          <w:p w14:paraId="2B34DE3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263DA93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9.759 + 0.005t</w:t>
            </w:r>
          </w:p>
        </w:tc>
        <w:tc>
          <w:tcPr>
            <w:tcW w:w="1835" w:type="dxa"/>
            <w:tcBorders>
              <w:top w:val="single" w:sz="4" w:space="0" w:color="auto"/>
              <w:left w:val="nil"/>
              <w:bottom w:val="nil"/>
              <w:right w:val="nil"/>
            </w:tcBorders>
            <w:shd w:val="clear" w:color="auto" w:fill="auto"/>
            <w:vAlign w:val="center"/>
            <w:hideMark/>
          </w:tcPr>
          <w:p w14:paraId="2691768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10.961</w:t>
            </w:r>
          </w:p>
        </w:tc>
        <w:tc>
          <w:tcPr>
            <w:tcW w:w="1309" w:type="dxa"/>
            <w:tcBorders>
              <w:top w:val="single" w:sz="4" w:space="0" w:color="auto"/>
              <w:left w:val="nil"/>
              <w:bottom w:val="nil"/>
              <w:right w:val="nil"/>
            </w:tcBorders>
            <w:shd w:val="clear" w:color="auto" w:fill="auto"/>
            <w:vAlign w:val="center"/>
            <w:hideMark/>
          </w:tcPr>
          <w:p w14:paraId="357CE0D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0.188</w:t>
            </w:r>
          </w:p>
        </w:tc>
        <w:tc>
          <w:tcPr>
            <w:tcW w:w="996" w:type="dxa"/>
            <w:tcBorders>
              <w:top w:val="single" w:sz="4" w:space="0" w:color="auto"/>
              <w:left w:val="nil"/>
              <w:bottom w:val="nil"/>
              <w:right w:val="nil"/>
            </w:tcBorders>
            <w:shd w:val="clear" w:color="auto" w:fill="auto"/>
            <w:vAlign w:val="center"/>
            <w:hideMark/>
          </w:tcPr>
          <w:p w14:paraId="12C9D8F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266.934</w:t>
            </w:r>
          </w:p>
        </w:tc>
        <w:tc>
          <w:tcPr>
            <w:tcW w:w="996" w:type="dxa"/>
            <w:tcBorders>
              <w:top w:val="single" w:sz="4" w:space="0" w:color="auto"/>
              <w:left w:val="nil"/>
              <w:bottom w:val="nil"/>
              <w:right w:val="nil"/>
            </w:tcBorders>
            <w:shd w:val="clear" w:color="auto" w:fill="auto"/>
            <w:vAlign w:val="center"/>
            <w:hideMark/>
          </w:tcPr>
          <w:p w14:paraId="64946AA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261.198</w:t>
            </w:r>
          </w:p>
        </w:tc>
      </w:tr>
      <w:tr w:rsidR="00D1119D" w:rsidRPr="008A3CD3" w14:paraId="31F0C68E" w14:textId="77777777" w:rsidTr="00320A32">
        <w:trPr>
          <w:trHeight w:val="306"/>
        </w:trPr>
        <w:tc>
          <w:tcPr>
            <w:tcW w:w="870" w:type="dxa"/>
            <w:vMerge/>
            <w:tcBorders>
              <w:left w:val="nil"/>
              <w:right w:val="nil"/>
            </w:tcBorders>
            <w:shd w:val="clear" w:color="auto" w:fill="auto"/>
            <w:vAlign w:val="center"/>
            <w:hideMark/>
          </w:tcPr>
          <w:p w14:paraId="50E4C74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73BDCBC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533F7B1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19.329</w:t>
            </w:r>
          </w:p>
        </w:tc>
        <w:tc>
          <w:tcPr>
            <w:tcW w:w="1835" w:type="dxa"/>
            <w:tcBorders>
              <w:top w:val="nil"/>
              <w:left w:val="nil"/>
              <w:bottom w:val="nil"/>
              <w:right w:val="nil"/>
            </w:tcBorders>
            <w:shd w:val="clear" w:color="auto" w:fill="auto"/>
            <w:vAlign w:val="center"/>
            <w:hideMark/>
          </w:tcPr>
          <w:p w14:paraId="45620D7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11.813 - 0.003t</w:t>
            </w:r>
          </w:p>
        </w:tc>
        <w:tc>
          <w:tcPr>
            <w:tcW w:w="1309" w:type="dxa"/>
            <w:tcBorders>
              <w:top w:val="nil"/>
              <w:left w:val="nil"/>
              <w:bottom w:val="nil"/>
              <w:right w:val="nil"/>
            </w:tcBorders>
            <w:shd w:val="clear" w:color="auto" w:fill="auto"/>
            <w:vAlign w:val="center"/>
            <w:hideMark/>
          </w:tcPr>
          <w:p w14:paraId="5DABDF4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0.228</w:t>
            </w:r>
          </w:p>
        </w:tc>
        <w:tc>
          <w:tcPr>
            <w:tcW w:w="996" w:type="dxa"/>
            <w:tcBorders>
              <w:top w:val="nil"/>
              <w:left w:val="nil"/>
              <w:bottom w:val="nil"/>
              <w:right w:val="nil"/>
            </w:tcBorders>
            <w:shd w:val="clear" w:color="auto" w:fill="auto"/>
            <w:vAlign w:val="center"/>
            <w:hideMark/>
          </w:tcPr>
          <w:p w14:paraId="25A19E7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267.044</w:t>
            </w:r>
          </w:p>
        </w:tc>
        <w:tc>
          <w:tcPr>
            <w:tcW w:w="996" w:type="dxa"/>
            <w:tcBorders>
              <w:top w:val="nil"/>
              <w:left w:val="nil"/>
              <w:bottom w:val="nil"/>
              <w:right w:val="nil"/>
            </w:tcBorders>
            <w:shd w:val="clear" w:color="auto" w:fill="auto"/>
            <w:vAlign w:val="center"/>
            <w:hideMark/>
          </w:tcPr>
          <w:p w14:paraId="4448A50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261.3</w:t>
            </w:r>
          </w:p>
        </w:tc>
      </w:tr>
      <w:tr w:rsidR="00D1119D" w:rsidRPr="008A3CD3" w14:paraId="016576A3" w14:textId="77777777" w:rsidTr="00320A32">
        <w:trPr>
          <w:trHeight w:val="306"/>
        </w:trPr>
        <w:tc>
          <w:tcPr>
            <w:tcW w:w="870" w:type="dxa"/>
            <w:vMerge/>
            <w:tcBorders>
              <w:left w:val="nil"/>
              <w:bottom w:val="single" w:sz="4" w:space="0" w:color="auto"/>
              <w:right w:val="nil"/>
            </w:tcBorders>
            <w:shd w:val="clear" w:color="auto" w:fill="auto"/>
            <w:vAlign w:val="center"/>
            <w:hideMark/>
          </w:tcPr>
          <w:p w14:paraId="7CFDFF7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73E55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6D6F07D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-86.316 + 0.0528t</w:t>
            </w:r>
          </w:p>
        </w:tc>
        <w:tc>
          <w:tcPr>
            <w:tcW w:w="1835" w:type="dxa"/>
            <w:tcBorders>
              <w:top w:val="nil"/>
              <w:left w:val="nil"/>
              <w:bottom w:val="single" w:sz="4" w:space="0" w:color="auto"/>
              <w:right w:val="nil"/>
            </w:tcBorders>
            <w:shd w:val="clear" w:color="auto" w:fill="auto"/>
            <w:vAlign w:val="center"/>
            <w:hideMark/>
          </w:tcPr>
          <w:p w14:paraId="578BD56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4.843 + 0.0029t</w:t>
            </w:r>
          </w:p>
        </w:tc>
        <w:tc>
          <w:tcPr>
            <w:tcW w:w="1309" w:type="dxa"/>
            <w:tcBorders>
              <w:top w:val="nil"/>
              <w:left w:val="nil"/>
              <w:bottom w:val="single" w:sz="4" w:space="0" w:color="auto"/>
              <w:right w:val="nil"/>
            </w:tcBorders>
            <w:shd w:val="clear" w:color="auto" w:fill="auto"/>
            <w:vAlign w:val="center"/>
            <w:hideMark/>
          </w:tcPr>
          <w:p w14:paraId="2A86F9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0.187</w:t>
            </w:r>
          </w:p>
        </w:tc>
        <w:tc>
          <w:tcPr>
            <w:tcW w:w="996" w:type="dxa"/>
            <w:tcBorders>
              <w:top w:val="nil"/>
              <w:left w:val="nil"/>
              <w:bottom w:val="single" w:sz="4" w:space="0" w:color="auto"/>
              <w:right w:val="nil"/>
            </w:tcBorders>
            <w:shd w:val="clear" w:color="auto" w:fill="auto"/>
            <w:vAlign w:val="center"/>
            <w:hideMark/>
          </w:tcPr>
          <w:p w14:paraId="1730EE0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269.27</w:t>
            </w:r>
          </w:p>
        </w:tc>
        <w:tc>
          <w:tcPr>
            <w:tcW w:w="996" w:type="dxa"/>
            <w:tcBorders>
              <w:top w:val="nil"/>
              <w:left w:val="nil"/>
              <w:bottom w:val="single" w:sz="4" w:space="0" w:color="auto"/>
              <w:right w:val="nil"/>
            </w:tcBorders>
            <w:shd w:val="clear" w:color="auto" w:fill="auto"/>
            <w:vAlign w:val="center"/>
            <w:hideMark/>
          </w:tcPr>
          <w:p w14:paraId="4B29105C"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262.103</w:t>
            </w:r>
          </w:p>
        </w:tc>
      </w:tr>
      <w:tr w:rsidR="00D1119D" w:rsidRPr="008A3CD3" w14:paraId="07632481" w14:textId="77777777" w:rsidTr="00A967B6">
        <w:trPr>
          <w:trHeight w:val="306"/>
        </w:trPr>
        <w:tc>
          <w:tcPr>
            <w:tcW w:w="870" w:type="dxa"/>
            <w:vMerge w:val="restart"/>
            <w:tcBorders>
              <w:top w:val="single" w:sz="4" w:space="0" w:color="auto"/>
              <w:left w:val="nil"/>
              <w:right w:val="nil"/>
            </w:tcBorders>
            <w:shd w:val="clear" w:color="auto" w:fill="auto"/>
            <w:vAlign w:val="center"/>
            <w:hideMark/>
          </w:tcPr>
          <w:p w14:paraId="2C84FD3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120</w:t>
            </w:r>
          </w:p>
        </w:tc>
        <w:tc>
          <w:tcPr>
            <w:tcW w:w="1470" w:type="dxa"/>
            <w:tcBorders>
              <w:top w:val="single" w:sz="4" w:space="0" w:color="auto"/>
              <w:left w:val="nil"/>
              <w:bottom w:val="nil"/>
              <w:right w:val="nil"/>
            </w:tcBorders>
            <w:shd w:val="clear" w:color="auto" w:fill="auto"/>
            <w:vAlign w:val="center"/>
            <w:hideMark/>
          </w:tcPr>
          <w:p w14:paraId="04F2209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7D7F88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17.533 + 0.004t</w:t>
            </w:r>
          </w:p>
        </w:tc>
        <w:tc>
          <w:tcPr>
            <w:tcW w:w="1835" w:type="dxa"/>
            <w:tcBorders>
              <w:top w:val="single" w:sz="4" w:space="0" w:color="auto"/>
              <w:left w:val="nil"/>
              <w:bottom w:val="nil"/>
              <w:right w:val="nil"/>
            </w:tcBorders>
            <w:shd w:val="clear" w:color="auto" w:fill="auto"/>
            <w:vAlign w:val="center"/>
            <w:hideMark/>
          </w:tcPr>
          <w:p w14:paraId="1366752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14.119</w:t>
            </w:r>
          </w:p>
        </w:tc>
        <w:tc>
          <w:tcPr>
            <w:tcW w:w="1309" w:type="dxa"/>
            <w:tcBorders>
              <w:top w:val="single" w:sz="4" w:space="0" w:color="auto"/>
              <w:left w:val="nil"/>
              <w:bottom w:val="nil"/>
              <w:right w:val="nil"/>
            </w:tcBorders>
            <w:shd w:val="clear" w:color="auto" w:fill="auto"/>
            <w:vAlign w:val="center"/>
            <w:hideMark/>
          </w:tcPr>
          <w:p w14:paraId="5CA91F0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0.1791</w:t>
            </w:r>
          </w:p>
        </w:tc>
        <w:tc>
          <w:tcPr>
            <w:tcW w:w="996" w:type="dxa"/>
            <w:tcBorders>
              <w:top w:val="single" w:sz="4" w:space="0" w:color="auto"/>
              <w:left w:val="nil"/>
              <w:bottom w:val="nil"/>
              <w:right w:val="nil"/>
            </w:tcBorders>
            <w:shd w:val="clear" w:color="auto" w:fill="auto"/>
            <w:vAlign w:val="center"/>
            <w:hideMark/>
          </w:tcPr>
          <w:p w14:paraId="5F1727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281.315</w:t>
            </w:r>
          </w:p>
        </w:tc>
        <w:tc>
          <w:tcPr>
            <w:tcW w:w="996" w:type="dxa"/>
            <w:tcBorders>
              <w:top w:val="single" w:sz="4" w:space="0" w:color="auto"/>
              <w:left w:val="nil"/>
              <w:bottom w:val="nil"/>
              <w:right w:val="nil"/>
            </w:tcBorders>
            <w:shd w:val="clear" w:color="auto" w:fill="auto"/>
            <w:vAlign w:val="center"/>
            <w:hideMark/>
          </w:tcPr>
          <w:p w14:paraId="1663A2A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275.58</w:t>
            </w:r>
          </w:p>
        </w:tc>
      </w:tr>
      <w:tr w:rsidR="00D1119D" w:rsidRPr="008A3CD3" w14:paraId="06394461" w14:textId="77777777" w:rsidTr="00A967B6">
        <w:trPr>
          <w:trHeight w:val="306"/>
        </w:trPr>
        <w:tc>
          <w:tcPr>
            <w:tcW w:w="870" w:type="dxa"/>
            <w:vMerge/>
            <w:tcBorders>
              <w:left w:val="nil"/>
              <w:right w:val="nil"/>
            </w:tcBorders>
            <w:shd w:val="clear" w:color="auto" w:fill="auto"/>
            <w:vAlign w:val="center"/>
            <w:hideMark/>
          </w:tcPr>
          <w:p w14:paraId="017C21D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1229DDD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6B303A3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24.355</w:t>
            </w:r>
          </w:p>
        </w:tc>
        <w:tc>
          <w:tcPr>
            <w:tcW w:w="1835" w:type="dxa"/>
            <w:tcBorders>
              <w:top w:val="nil"/>
              <w:left w:val="nil"/>
              <w:bottom w:val="nil"/>
              <w:right w:val="nil"/>
            </w:tcBorders>
            <w:shd w:val="clear" w:color="auto" w:fill="auto"/>
            <w:vAlign w:val="center"/>
            <w:hideMark/>
          </w:tcPr>
          <w:p w14:paraId="3435AB9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14.89 - 0.0005t</w:t>
            </w:r>
          </w:p>
        </w:tc>
        <w:tc>
          <w:tcPr>
            <w:tcW w:w="1309" w:type="dxa"/>
            <w:tcBorders>
              <w:top w:val="nil"/>
              <w:left w:val="nil"/>
              <w:bottom w:val="nil"/>
              <w:right w:val="nil"/>
            </w:tcBorders>
            <w:shd w:val="clear" w:color="auto" w:fill="auto"/>
            <w:vAlign w:val="center"/>
            <w:hideMark/>
          </w:tcPr>
          <w:p w14:paraId="0A0518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0.1848</w:t>
            </w:r>
          </w:p>
        </w:tc>
        <w:tc>
          <w:tcPr>
            <w:tcW w:w="996" w:type="dxa"/>
            <w:tcBorders>
              <w:top w:val="nil"/>
              <w:left w:val="nil"/>
              <w:bottom w:val="nil"/>
              <w:right w:val="nil"/>
            </w:tcBorders>
            <w:shd w:val="clear" w:color="auto" w:fill="auto"/>
            <w:vAlign w:val="center"/>
            <w:hideMark/>
          </w:tcPr>
          <w:p w14:paraId="0099F7B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281.372</w:t>
            </w:r>
          </w:p>
        </w:tc>
        <w:tc>
          <w:tcPr>
            <w:tcW w:w="996" w:type="dxa"/>
            <w:tcBorders>
              <w:top w:val="nil"/>
              <w:left w:val="nil"/>
              <w:bottom w:val="nil"/>
              <w:right w:val="nil"/>
            </w:tcBorders>
            <w:shd w:val="clear" w:color="auto" w:fill="auto"/>
            <w:vAlign w:val="center"/>
            <w:hideMark/>
          </w:tcPr>
          <w:p w14:paraId="2DC1FD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275.636</w:t>
            </w:r>
          </w:p>
        </w:tc>
      </w:tr>
      <w:tr w:rsidR="00D1119D" w:rsidRPr="008A3CD3" w14:paraId="5D09EAE9" w14:textId="77777777" w:rsidTr="00A967B6">
        <w:trPr>
          <w:trHeight w:val="306"/>
        </w:trPr>
        <w:tc>
          <w:tcPr>
            <w:tcW w:w="870" w:type="dxa"/>
            <w:vMerge/>
            <w:tcBorders>
              <w:left w:val="nil"/>
              <w:bottom w:val="single" w:sz="4" w:space="0" w:color="auto"/>
              <w:right w:val="nil"/>
            </w:tcBorders>
            <w:shd w:val="clear" w:color="auto" w:fill="auto"/>
            <w:vAlign w:val="center"/>
            <w:hideMark/>
          </w:tcPr>
          <w:p w14:paraId="5E00F31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6579FA1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137BAF1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-180.216 + 0.102t</w:t>
            </w:r>
          </w:p>
        </w:tc>
        <w:tc>
          <w:tcPr>
            <w:tcW w:w="1835" w:type="dxa"/>
            <w:tcBorders>
              <w:top w:val="nil"/>
              <w:left w:val="nil"/>
              <w:bottom w:val="single" w:sz="4" w:space="0" w:color="auto"/>
              <w:right w:val="nil"/>
            </w:tcBorders>
            <w:shd w:val="clear" w:color="auto" w:fill="auto"/>
            <w:vAlign w:val="center"/>
            <w:hideMark/>
          </w:tcPr>
          <w:p w14:paraId="0AF855A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1.492 + 0.0060t</w:t>
            </w:r>
          </w:p>
        </w:tc>
        <w:tc>
          <w:tcPr>
            <w:tcW w:w="1309" w:type="dxa"/>
            <w:tcBorders>
              <w:top w:val="nil"/>
              <w:left w:val="nil"/>
              <w:bottom w:val="single" w:sz="4" w:space="0" w:color="auto"/>
              <w:right w:val="nil"/>
            </w:tcBorders>
            <w:shd w:val="clear" w:color="auto" w:fill="auto"/>
            <w:vAlign w:val="center"/>
            <w:hideMark/>
          </w:tcPr>
          <w:p w14:paraId="73F9C04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0.2055</w:t>
            </w:r>
          </w:p>
        </w:tc>
        <w:tc>
          <w:tcPr>
            <w:tcW w:w="996" w:type="dxa"/>
            <w:tcBorders>
              <w:top w:val="nil"/>
              <w:left w:val="nil"/>
              <w:bottom w:val="single" w:sz="4" w:space="0" w:color="auto"/>
              <w:right w:val="nil"/>
            </w:tcBorders>
            <w:shd w:val="clear" w:color="auto" w:fill="auto"/>
            <w:vAlign w:val="center"/>
            <w:hideMark/>
          </w:tcPr>
          <w:p w14:paraId="4F5245E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282.945</w:t>
            </w:r>
          </w:p>
        </w:tc>
        <w:tc>
          <w:tcPr>
            <w:tcW w:w="996" w:type="dxa"/>
            <w:tcBorders>
              <w:top w:val="nil"/>
              <w:left w:val="nil"/>
              <w:bottom w:val="single" w:sz="4" w:space="0" w:color="auto"/>
              <w:right w:val="nil"/>
            </w:tcBorders>
            <w:shd w:val="clear" w:color="auto" w:fill="auto"/>
            <w:vAlign w:val="center"/>
            <w:hideMark/>
          </w:tcPr>
          <w:p w14:paraId="224F7360"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275.775</w:t>
            </w:r>
          </w:p>
        </w:tc>
      </w:tr>
      <w:tr w:rsidR="00D1119D" w:rsidRPr="008A3CD3" w14:paraId="57FB636F" w14:textId="77777777" w:rsidTr="00712206">
        <w:trPr>
          <w:trHeight w:val="306"/>
        </w:trPr>
        <w:tc>
          <w:tcPr>
            <w:tcW w:w="870" w:type="dxa"/>
            <w:vMerge w:val="restart"/>
            <w:tcBorders>
              <w:top w:val="single" w:sz="4" w:space="0" w:color="auto"/>
              <w:left w:val="nil"/>
              <w:right w:val="nil"/>
            </w:tcBorders>
            <w:shd w:val="clear" w:color="auto" w:fill="auto"/>
            <w:vAlign w:val="center"/>
            <w:hideMark/>
          </w:tcPr>
          <w:p w14:paraId="6085DFF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360</w:t>
            </w:r>
          </w:p>
        </w:tc>
        <w:tc>
          <w:tcPr>
            <w:tcW w:w="1470" w:type="dxa"/>
            <w:tcBorders>
              <w:top w:val="single" w:sz="4" w:space="0" w:color="auto"/>
              <w:left w:val="nil"/>
              <w:bottom w:val="nil"/>
              <w:right w:val="nil"/>
            </w:tcBorders>
            <w:shd w:val="clear" w:color="auto" w:fill="auto"/>
            <w:vAlign w:val="center"/>
            <w:hideMark/>
          </w:tcPr>
          <w:p w14:paraId="0AEDA8C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5A6F930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35.417-- 0.00011t</w:t>
            </w:r>
          </w:p>
        </w:tc>
        <w:tc>
          <w:tcPr>
            <w:tcW w:w="1835" w:type="dxa"/>
            <w:tcBorders>
              <w:top w:val="single" w:sz="4" w:space="0" w:color="auto"/>
              <w:left w:val="nil"/>
              <w:bottom w:val="nil"/>
              <w:right w:val="nil"/>
            </w:tcBorders>
            <w:shd w:val="clear" w:color="auto" w:fill="auto"/>
            <w:vAlign w:val="center"/>
            <w:hideMark/>
          </w:tcPr>
          <w:p w14:paraId="056980F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20.081</w:t>
            </w:r>
          </w:p>
        </w:tc>
        <w:tc>
          <w:tcPr>
            <w:tcW w:w="1309" w:type="dxa"/>
            <w:tcBorders>
              <w:top w:val="single" w:sz="4" w:space="0" w:color="auto"/>
              <w:left w:val="nil"/>
              <w:bottom w:val="nil"/>
              <w:right w:val="nil"/>
            </w:tcBorders>
            <w:shd w:val="clear" w:color="auto" w:fill="auto"/>
            <w:vAlign w:val="center"/>
            <w:hideMark/>
          </w:tcPr>
          <w:p w14:paraId="3B85476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0.1836</w:t>
            </w:r>
          </w:p>
        </w:tc>
        <w:tc>
          <w:tcPr>
            <w:tcW w:w="996" w:type="dxa"/>
            <w:tcBorders>
              <w:top w:val="single" w:sz="4" w:space="0" w:color="auto"/>
              <w:left w:val="nil"/>
              <w:bottom w:val="nil"/>
              <w:right w:val="nil"/>
            </w:tcBorders>
            <w:shd w:val="clear" w:color="auto" w:fill="auto"/>
            <w:vAlign w:val="center"/>
            <w:hideMark/>
          </w:tcPr>
          <w:p w14:paraId="0310A1F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304.081</w:t>
            </w:r>
          </w:p>
        </w:tc>
        <w:tc>
          <w:tcPr>
            <w:tcW w:w="996" w:type="dxa"/>
            <w:tcBorders>
              <w:top w:val="single" w:sz="4" w:space="0" w:color="auto"/>
              <w:left w:val="nil"/>
              <w:bottom w:val="nil"/>
              <w:right w:val="nil"/>
            </w:tcBorders>
            <w:shd w:val="clear" w:color="auto" w:fill="auto"/>
            <w:vAlign w:val="center"/>
            <w:hideMark/>
          </w:tcPr>
          <w:p w14:paraId="30235ED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298.345</w:t>
            </w:r>
          </w:p>
        </w:tc>
      </w:tr>
      <w:tr w:rsidR="00D1119D" w:rsidRPr="008A3CD3" w14:paraId="08FA68F0" w14:textId="77777777" w:rsidTr="00712206">
        <w:trPr>
          <w:trHeight w:val="306"/>
        </w:trPr>
        <w:tc>
          <w:tcPr>
            <w:tcW w:w="870" w:type="dxa"/>
            <w:vMerge/>
            <w:tcBorders>
              <w:left w:val="nil"/>
              <w:right w:val="nil"/>
            </w:tcBorders>
            <w:shd w:val="clear" w:color="auto" w:fill="auto"/>
            <w:vAlign w:val="center"/>
            <w:hideMark/>
          </w:tcPr>
          <w:p w14:paraId="622282AC"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60FBE92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3B2C9A3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35.119</w:t>
            </w:r>
          </w:p>
        </w:tc>
        <w:tc>
          <w:tcPr>
            <w:tcW w:w="1835" w:type="dxa"/>
            <w:tcBorders>
              <w:top w:val="nil"/>
              <w:left w:val="nil"/>
              <w:bottom w:val="nil"/>
              <w:right w:val="nil"/>
            </w:tcBorders>
            <w:shd w:val="clear" w:color="auto" w:fill="auto"/>
            <w:vAlign w:val="center"/>
            <w:hideMark/>
          </w:tcPr>
          <w:p w14:paraId="3925256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21.47 - 0.0007t</w:t>
            </w:r>
          </w:p>
        </w:tc>
        <w:tc>
          <w:tcPr>
            <w:tcW w:w="1309" w:type="dxa"/>
            <w:tcBorders>
              <w:top w:val="nil"/>
              <w:left w:val="nil"/>
              <w:bottom w:val="nil"/>
              <w:right w:val="nil"/>
            </w:tcBorders>
            <w:shd w:val="clear" w:color="auto" w:fill="auto"/>
            <w:vAlign w:val="center"/>
            <w:hideMark/>
          </w:tcPr>
          <w:p w14:paraId="61185F5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0.1849</w:t>
            </w:r>
          </w:p>
        </w:tc>
        <w:tc>
          <w:tcPr>
            <w:tcW w:w="996" w:type="dxa"/>
            <w:tcBorders>
              <w:top w:val="nil"/>
              <w:left w:val="nil"/>
              <w:bottom w:val="nil"/>
              <w:right w:val="nil"/>
            </w:tcBorders>
            <w:shd w:val="clear" w:color="auto" w:fill="auto"/>
            <w:vAlign w:val="center"/>
            <w:hideMark/>
          </w:tcPr>
          <w:p w14:paraId="7F0F84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304.08</w:t>
            </w:r>
          </w:p>
        </w:tc>
        <w:tc>
          <w:tcPr>
            <w:tcW w:w="996" w:type="dxa"/>
            <w:tcBorders>
              <w:top w:val="nil"/>
              <w:left w:val="nil"/>
              <w:bottom w:val="nil"/>
              <w:right w:val="nil"/>
            </w:tcBorders>
            <w:shd w:val="clear" w:color="auto" w:fill="auto"/>
            <w:vAlign w:val="center"/>
            <w:hideMark/>
          </w:tcPr>
          <w:p w14:paraId="115BC75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298.344</w:t>
            </w:r>
          </w:p>
        </w:tc>
      </w:tr>
      <w:tr w:rsidR="00D1119D" w:rsidRPr="008A3CD3" w14:paraId="76D3CAD2" w14:textId="77777777" w:rsidTr="00712206">
        <w:trPr>
          <w:trHeight w:val="306"/>
        </w:trPr>
        <w:tc>
          <w:tcPr>
            <w:tcW w:w="870" w:type="dxa"/>
            <w:vMerge/>
            <w:tcBorders>
              <w:left w:val="nil"/>
              <w:bottom w:val="single" w:sz="4" w:space="0" w:color="auto"/>
              <w:right w:val="nil"/>
            </w:tcBorders>
            <w:shd w:val="clear" w:color="auto" w:fill="auto"/>
            <w:vAlign w:val="center"/>
            <w:hideMark/>
          </w:tcPr>
          <w:p w14:paraId="099871F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859D69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698A5D55"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-0.1703 + 0.017t</w:t>
            </w:r>
          </w:p>
        </w:tc>
        <w:tc>
          <w:tcPr>
            <w:tcW w:w="1835" w:type="dxa"/>
            <w:tcBorders>
              <w:top w:val="nil"/>
              <w:left w:val="nil"/>
              <w:bottom w:val="single" w:sz="4" w:space="0" w:color="auto"/>
              <w:right w:val="nil"/>
            </w:tcBorders>
            <w:shd w:val="clear" w:color="auto" w:fill="auto"/>
            <w:vAlign w:val="center"/>
            <w:hideMark/>
          </w:tcPr>
          <w:p w14:paraId="7C2B771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19.0 + 0.0004t</w:t>
            </w:r>
          </w:p>
        </w:tc>
        <w:tc>
          <w:tcPr>
            <w:tcW w:w="1309" w:type="dxa"/>
            <w:tcBorders>
              <w:top w:val="nil"/>
              <w:left w:val="nil"/>
              <w:bottom w:val="single" w:sz="4" w:space="0" w:color="auto"/>
              <w:right w:val="nil"/>
            </w:tcBorders>
            <w:shd w:val="clear" w:color="auto" w:fill="auto"/>
            <w:vAlign w:val="center"/>
            <w:hideMark/>
          </w:tcPr>
          <w:p w14:paraId="2A84BF2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0.1954</w:t>
            </w:r>
          </w:p>
        </w:tc>
        <w:tc>
          <w:tcPr>
            <w:tcW w:w="996" w:type="dxa"/>
            <w:tcBorders>
              <w:top w:val="nil"/>
              <w:left w:val="nil"/>
              <w:bottom w:val="single" w:sz="4" w:space="0" w:color="auto"/>
              <w:right w:val="nil"/>
            </w:tcBorders>
            <w:shd w:val="clear" w:color="auto" w:fill="auto"/>
            <w:vAlign w:val="center"/>
            <w:hideMark/>
          </w:tcPr>
          <w:p w14:paraId="41A69A6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307.297</w:t>
            </w:r>
          </w:p>
        </w:tc>
        <w:tc>
          <w:tcPr>
            <w:tcW w:w="996" w:type="dxa"/>
            <w:tcBorders>
              <w:top w:val="nil"/>
              <w:left w:val="nil"/>
              <w:bottom w:val="single" w:sz="4" w:space="0" w:color="auto"/>
              <w:right w:val="nil"/>
            </w:tcBorders>
            <w:shd w:val="clear" w:color="auto" w:fill="auto"/>
            <w:vAlign w:val="center"/>
            <w:hideMark/>
          </w:tcPr>
          <w:p w14:paraId="2F7D5933"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300.127</w:t>
            </w:r>
          </w:p>
        </w:tc>
      </w:tr>
      <w:tr w:rsidR="00D1119D" w:rsidRPr="008A3CD3" w14:paraId="752B5C53" w14:textId="77777777" w:rsidTr="00C64678">
        <w:trPr>
          <w:trHeight w:val="306"/>
        </w:trPr>
        <w:tc>
          <w:tcPr>
            <w:tcW w:w="870" w:type="dxa"/>
            <w:vMerge w:val="restart"/>
            <w:tcBorders>
              <w:top w:val="single" w:sz="4" w:space="0" w:color="auto"/>
              <w:left w:val="nil"/>
              <w:right w:val="nil"/>
            </w:tcBorders>
            <w:shd w:val="clear" w:color="auto" w:fill="auto"/>
            <w:vAlign w:val="center"/>
            <w:hideMark/>
          </w:tcPr>
          <w:p w14:paraId="3618DD9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720</w:t>
            </w:r>
          </w:p>
        </w:tc>
        <w:tc>
          <w:tcPr>
            <w:tcW w:w="1470" w:type="dxa"/>
            <w:tcBorders>
              <w:top w:val="single" w:sz="4" w:space="0" w:color="auto"/>
              <w:left w:val="nil"/>
              <w:bottom w:val="nil"/>
              <w:right w:val="nil"/>
            </w:tcBorders>
            <w:shd w:val="clear" w:color="auto" w:fill="auto"/>
            <w:vAlign w:val="center"/>
            <w:hideMark/>
          </w:tcPr>
          <w:p w14:paraId="72F8C02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4BF0155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44.635-- 0.0002t</w:t>
            </w:r>
          </w:p>
        </w:tc>
        <w:tc>
          <w:tcPr>
            <w:tcW w:w="1835" w:type="dxa"/>
            <w:tcBorders>
              <w:top w:val="single" w:sz="4" w:space="0" w:color="auto"/>
              <w:left w:val="nil"/>
              <w:bottom w:val="nil"/>
              <w:right w:val="nil"/>
            </w:tcBorders>
            <w:shd w:val="clear" w:color="auto" w:fill="auto"/>
            <w:vAlign w:val="center"/>
            <w:hideMark/>
          </w:tcPr>
          <w:p w14:paraId="546EC88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25.296</w:t>
            </w:r>
          </w:p>
        </w:tc>
        <w:tc>
          <w:tcPr>
            <w:tcW w:w="1309" w:type="dxa"/>
            <w:tcBorders>
              <w:top w:val="single" w:sz="4" w:space="0" w:color="auto"/>
              <w:left w:val="nil"/>
              <w:bottom w:val="nil"/>
              <w:right w:val="nil"/>
            </w:tcBorders>
            <w:shd w:val="clear" w:color="auto" w:fill="auto"/>
            <w:vAlign w:val="center"/>
            <w:hideMark/>
          </w:tcPr>
          <w:p w14:paraId="390F9F7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0.183</w:t>
            </w:r>
          </w:p>
        </w:tc>
        <w:tc>
          <w:tcPr>
            <w:tcW w:w="996" w:type="dxa"/>
            <w:tcBorders>
              <w:top w:val="single" w:sz="4" w:space="0" w:color="auto"/>
              <w:left w:val="nil"/>
              <w:bottom w:val="nil"/>
              <w:right w:val="nil"/>
            </w:tcBorders>
            <w:shd w:val="clear" w:color="auto" w:fill="auto"/>
            <w:vAlign w:val="center"/>
            <w:hideMark/>
          </w:tcPr>
          <w:p w14:paraId="27644E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318.406</w:t>
            </w:r>
          </w:p>
        </w:tc>
        <w:tc>
          <w:tcPr>
            <w:tcW w:w="996" w:type="dxa"/>
            <w:tcBorders>
              <w:top w:val="single" w:sz="4" w:space="0" w:color="auto"/>
              <w:left w:val="nil"/>
              <w:bottom w:val="nil"/>
              <w:right w:val="nil"/>
            </w:tcBorders>
            <w:shd w:val="clear" w:color="auto" w:fill="auto"/>
            <w:vAlign w:val="center"/>
            <w:hideMark/>
          </w:tcPr>
          <w:p w14:paraId="4E2825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312.67</w:t>
            </w:r>
          </w:p>
        </w:tc>
      </w:tr>
      <w:tr w:rsidR="00D1119D" w:rsidRPr="008A3CD3" w14:paraId="352130CA" w14:textId="77777777" w:rsidTr="00C64678">
        <w:trPr>
          <w:trHeight w:val="306"/>
        </w:trPr>
        <w:tc>
          <w:tcPr>
            <w:tcW w:w="870" w:type="dxa"/>
            <w:vMerge/>
            <w:tcBorders>
              <w:left w:val="nil"/>
              <w:right w:val="nil"/>
            </w:tcBorders>
            <w:shd w:val="clear" w:color="auto" w:fill="auto"/>
            <w:vAlign w:val="center"/>
            <w:hideMark/>
          </w:tcPr>
          <w:p w14:paraId="1B81D13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5E43142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4E68DD5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44.252</w:t>
            </w:r>
          </w:p>
        </w:tc>
        <w:tc>
          <w:tcPr>
            <w:tcW w:w="1835" w:type="dxa"/>
            <w:tcBorders>
              <w:top w:val="nil"/>
              <w:left w:val="nil"/>
              <w:bottom w:val="nil"/>
              <w:right w:val="nil"/>
            </w:tcBorders>
            <w:shd w:val="clear" w:color="auto" w:fill="auto"/>
            <w:vAlign w:val="center"/>
            <w:hideMark/>
          </w:tcPr>
          <w:p w14:paraId="2800C6F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27.05 - 0.0009t</w:t>
            </w:r>
          </w:p>
        </w:tc>
        <w:tc>
          <w:tcPr>
            <w:tcW w:w="1309" w:type="dxa"/>
            <w:tcBorders>
              <w:top w:val="nil"/>
              <w:left w:val="nil"/>
              <w:bottom w:val="nil"/>
              <w:right w:val="nil"/>
            </w:tcBorders>
            <w:shd w:val="clear" w:color="auto" w:fill="auto"/>
            <w:vAlign w:val="center"/>
            <w:hideMark/>
          </w:tcPr>
          <w:p w14:paraId="40DD186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0.2336</w:t>
            </w:r>
          </w:p>
        </w:tc>
        <w:tc>
          <w:tcPr>
            <w:tcW w:w="996" w:type="dxa"/>
            <w:tcBorders>
              <w:top w:val="nil"/>
              <w:left w:val="nil"/>
              <w:bottom w:val="nil"/>
              <w:right w:val="nil"/>
            </w:tcBorders>
            <w:shd w:val="clear" w:color="auto" w:fill="auto"/>
            <w:vAlign w:val="center"/>
            <w:hideMark/>
          </w:tcPr>
          <w:p w14:paraId="7CFE86E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318.405</w:t>
            </w:r>
          </w:p>
        </w:tc>
        <w:tc>
          <w:tcPr>
            <w:tcW w:w="996" w:type="dxa"/>
            <w:tcBorders>
              <w:top w:val="nil"/>
              <w:left w:val="nil"/>
              <w:bottom w:val="nil"/>
              <w:right w:val="nil"/>
            </w:tcBorders>
            <w:shd w:val="clear" w:color="auto" w:fill="auto"/>
            <w:vAlign w:val="center"/>
            <w:hideMark/>
          </w:tcPr>
          <w:p w14:paraId="4B8B2BEE"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312.669</w:t>
            </w:r>
          </w:p>
        </w:tc>
      </w:tr>
      <w:tr w:rsidR="00D1119D" w:rsidRPr="008A3CD3" w14:paraId="07C18377" w14:textId="77777777" w:rsidTr="00C64678">
        <w:trPr>
          <w:trHeight w:val="306"/>
        </w:trPr>
        <w:tc>
          <w:tcPr>
            <w:tcW w:w="870" w:type="dxa"/>
            <w:vMerge/>
            <w:tcBorders>
              <w:left w:val="nil"/>
              <w:bottom w:val="single" w:sz="4" w:space="0" w:color="auto"/>
              <w:right w:val="nil"/>
            </w:tcBorders>
            <w:shd w:val="clear" w:color="auto" w:fill="auto"/>
            <w:vAlign w:val="center"/>
            <w:hideMark/>
          </w:tcPr>
          <w:p w14:paraId="55597B5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64DE91A6"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4986789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-24.449 + 0.0343t</w:t>
            </w:r>
          </w:p>
        </w:tc>
        <w:tc>
          <w:tcPr>
            <w:tcW w:w="1835" w:type="dxa"/>
            <w:tcBorders>
              <w:top w:val="nil"/>
              <w:left w:val="nil"/>
              <w:bottom w:val="single" w:sz="4" w:space="0" w:color="auto"/>
              <w:right w:val="nil"/>
            </w:tcBorders>
            <w:shd w:val="clear" w:color="auto" w:fill="auto"/>
            <w:vAlign w:val="center"/>
            <w:hideMark/>
          </w:tcPr>
          <w:p w14:paraId="46CD89F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22.28 + 0.0011t</w:t>
            </w:r>
          </w:p>
        </w:tc>
        <w:tc>
          <w:tcPr>
            <w:tcW w:w="1309" w:type="dxa"/>
            <w:tcBorders>
              <w:top w:val="nil"/>
              <w:left w:val="nil"/>
              <w:bottom w:val="single" w:sz="4" w:space="0" w:color="auto"/>
              <w:right w:val="nil"/>
            </w:tcBorders>
            <w:shd w:val="clear" w:color="auto" w:fill="auto"/>
            <w:vAlign w:val="center"/>
            <w:hideMark/>
          </w:tcPr>
          <w:p w14:paraId="56333A7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0.2072</w:t>
            </w:r>
          </w:p>
        </w:tc>
        <w:tc>
          <w:tcPr>
            <w:tcW w:w="996" w:type="dxa"/>
            <w:tcBorders>
              <w:top w:val="nil"/>
              <w:left w:val="nil"/>
              <w:bottom w:val="single" w:sz="4" w:space="0" w:color="auto"/>
              <w:right w:val="nil"/>
            </w:tcBorders>
            <w:shd w:val="clear" w:color="auto" w:fill="auto"/>
            <w:vAlign w:val="center"/>
            <w:hideMark/>
          </w:tcPr>
          <w:p w14:paraId="0656269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321.499</w:t>
            </w:r>
          </w:p>
        </w:tc>
        <w:tc>
          <w:tcPr>
            <w:tcW w:w="996" w:type="dxa"/>
            <w:tcBorders>
              <w:top w:val="nil"/>
              <w:left w:val="nil"/>
              <w:bottom w:val="single" w:sz="4" w:space="0" w:color="auto"/>
              <w:right w:val="nil"/>
            </w:tcBorders>
            <w:shd w:val="clear" w:color="auto" w:fill="auto"/>
            <w:vAlign w:val="center"/>
            <w:hideMark/>
          </w:tcPr>
          <w:p w14:paraId="32126BE2"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314.329</w:t>
            </w:r>
          </w:p>
        </w:tc>
      </w:tr>
      <w:tr w:rsidR="00D1119D" w:rsidRPr="008A3CD3" w14:paraId="1098866E" w14:textId="77777777" w:rsidTr="00317490">
        <w:trPr>
          <w:trHeight w:val="306"/>
        </w:trPr>
        <w:tc>
          <w:tcPr>
            <w:tcW w:w="870" w:type="dxa"/>
            <w:vMerge w:val="restart"/>
            <w:tcBorders>
              <w:top w:val="single" w:sz="4" w:space="0" w:color="auto"/>
              <w:left w:val="nil"/>
              <w:right w:val="nil"/>
            </w:tcBorders>
            <w:shd w:val="clear" w:color="auto" w:fill="auto"/>
            <w:vAlign w:val="center"/>
            <w:hideMark/>
          </w:tcPr>
          <w:p w14:paraId="25DD0ED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1440</w:t>
            </w:r>
          </w:p>
        </w:tc>
        <w:tc>
          <w:tcPr>
            <w:tcW w:w="1470" w:type="dxa"/>
            <w:tcBorders>
              <w:top w:val="single" w:sz="4" w:space="0" w:color="auto"/>
              <w:left w:val="nil"/>
              <w:bottom w:val="nil"/>
              <w:right w:val="nil"/>
            </w:tcBorders>
            <w:shd w:val="clear" w:color="auto" w:fill="auto"/>
            <w:vAlign w:val="center"/>
            <w:hideMark/>
          </w:tcPr>
          <w:p w14:paraId="2C8F718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w:t>
            </w:r>
          </w:p>
        </w:tc>
        <w:tc>
          <w:tcPr>
            <w:tcW w:w="2070" w:type="dxa"/>
            <w:tcBorders>
              <w:top w:val="single" w:sz="4" w:space="0" w:color="auto"/>
              <w:left w:val="nil"/>
              <w:bottom w:val="nil"/>
              <w:right w:val="nil"/>
            </w:tcBorders>
            <w:shd w:val="clear" w:color="auto" w:fill="auto"/>
            <w:vAlign w:val="center"/>
            <w:hideMark/>
          </w:tcPr>
          <w:p w14:paraId="16030197"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56.244 - 0.0002t</w:t>
            </w:r>
          </w:p>
        </w:tc>
        <w:tc>
          <w:tcPr>
            <w:tcW w:w="1835" w:type="dxa"/>
            <w:tcBorders>
              <w:top w:val="single" w:sz="4" w:space="0" w:color="auto"/>
              <w:left w:val="nil"/>
              <w:bottom w:val="nil"/>
              <w:right w:val="nil"/>
            </w:tcBorders>
            <w:shd w:val="clear" w:color="auto" w:fill="auto"/>
            <w:vAlign w:val="center"/>
            <w:hideMark/>
          </w:tcPr>
          <w:p w14:paraId="0C60C484"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31.872</w:t>
            </w:r>
          </w:p>
        </w:tc>
        <w:tc>
          <w:tcPr>
            <w:tcW w:w="1309" w:type="dxa"/>
            <w:tcBorders>
              <w:top w:val="single" w:sz="4" w:space="0" w:color="auto"/>
              <w:left w:val="nil"/>
              <w:bottom w:val="nil"/>
              <w:right w:val="nil"/>
            </w:tcBorders>
            <w:shd w:val="clear" w:color="auto" w:fill="auto"/>
            <w:vAlign w:val="center"/>
            <w:hideMark/>
          </w:tcPr>
          <w:p w14:paraId="775FBA7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0.3669</w:t>
            </w:r>
          </w:p>
        </w:tc>
        <w:tc>
          <w:tcPr>
            <w:tcW w:w="996" w:type="dxa"/>
            <w:tcBorders>
              <w:top w:val="single" w:sz="4" w:space="0" w:color="auto"/>
              <w:left w:val="nil"/>
              <w:bottom w:val="nil"/>
              <w:right w:val="nil"/>
            </w:tcBorders>
            <w:shd w:val="clear" w:color="auto" w:fill="auto"/>
            <w:vAlign w:val="center"/>
            <w:hideMark/>
          </w:tcPr>
          <w:p w14:paraId="2E806DA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332.73</w:t>
            </w:r>
          </w:p>
        </w:tc>
        <w:tc>
          <w:tcPr>
            <w:tcW w:w="996" w:type="dxa"/>
            <w:tcBorders>
              <w:top w:val="single" w:sz="4" w:space="0" w:color="auto"/>
              <w:left w:val="nil"/>
              <w:bottom w:val="nil"/>
              <w:right w:val="nil"/>
            </w:tcBorders>
            <w:shd w:val="clear" w:color="auto" w:fill="auto"/>
            <w:vAlign w:val="center"/>
            <w:hideMark/>
          </w:tcPr>
          <w:p w14:paraId="0FFA4E3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326.994</w:t>
            </w:r>
          </w:p>
        </w:tc>
      </w:tr>
      <w:tr w:rsidR="00D1119D" w:rsidRPr="008A3CD3" w14:paraId="24EFB65D" w14:textId="77777777" w:rsidTr="00317490">
        <w:trPr>
          <w:trHeight w:val="306"/>
        </w:trPr>
        <w:tc>
          <w:tcPr>
            <w:tcW w:w="870" w:type="dxa"/>
            <w:vMerge/>
            <w:tcBorders>
              <w:left w:val="nil"/>
              <w:right w:val="nil"/>
            </w:tcBorders>
            <w:shd w:val="clear" w:color="auto" w:fill="auto"/>
            <w:vAlign w:val="center"/>
            <w:hideMark/>
          </w:tcPr>
          <w:p w14:paraId="4669DEA3"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hideMark/>
          </w:tcPr>
          <w:p w14:paraId="668EE14A"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w:t>
            </w:r>
          </w:p>
        </w:tc>
        <w:tc>
          <w:tcPr>
            <w:tcW w:w="2070" w:type="dxa"/>
            <w:tcBorders>
              <w:top w:val="nil"/>
              <w:left w:val="nil"/>
              <w:bottom w:val="nil"/>
              <w:right w:val="nil"/>
            </w:tcBorders>
            <w:shd w:val="clear" w:color="auto" w:fill="auto"/>
            <w:vAlign w:val="center"/>
            <w:hideMark/>
          </w:tcPr>
          <w:p w14:paraId="1265B81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55.759</w:t>
            </w:r>
          </w:p>
        </w:tc>
        <w:tc>
          <w:tcPr>
            <w:tcW w:w="1835" w:type="dxa"/>
            <w:tcBorders>
              <w:top w:val="nil"/>
              <w:left w:val="nil"/>
              <w:bottom w:val="nil"/>
              <w:right w:val="nil"/>
            </w:tcBorders>
            <w:shd w:val="clear" w:color="auto" w:fill="auto"/>
            <w:vAlign w:val="center"/>
            <w:hideMark/>
          </w:tcPr>
          <w:p w14:paraId="6353120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34.08 - 0.0011t</w:t>
            </w:r>
          </w:p>
        </w:tc>
        <w:tc>
          <w:tcPr>
            <w:tcW w:w="1309" w:type="dxa"/>
            <w:tcBorders>
              <w:top w:val="nil"/>
              <w:left w:val="nil"/>
              <w:bottom w:val="nil"/>
              <w:right w:val="nil"/>
            </w:tcBorders>
            <w:shd w:val="clear" w:color="auto" w:fill="auto"/>
            <w:vAlign w:val="center"/>
            <w:hideMark/>
          </w:tcPr>
          <w:p w14:paraId="04E79D0B"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0.2321</w:t>
            </w:r>
          </w:p>
        </w:tc>
        <w:tc>
          <w:tcPr>
            <w:tcW w:w="996" w:type="dxa"/>
            <w:tcBorders>
              <w:top w:val="nil"/>
              <w:left w:val="nil"/>
              <w:bottom w:val="nil"/>
              <w:right w:val="nil"/>
            </w:tcBorders>
            <w:shd w:val="clear" w:color="auto" w:fill="auto"/>
            <w:vAlign w:val="center"/>
            <w:hideMark/>
          </w:tcPr>
          <w:p w14:paraId="44806432"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332.728</w:t>
            </w:r>
          </w:p>
        </w:tc>
        <w:tc>
          <w:tcPr>
            <w:tcW w:w="996" w:type="dxa"/>
            <w:tcBorders>
              <w:top w:val="nil"/>
              <w:left w:val="nil"/>
              <w:bottom w:val="nil"/>
              <w:right w:val="nil"/>
            </w:tcBorders>
            <w:shd w:val="clear" w:color="auto" w:fill="auto"/>
            <w:vAlign w:val="center"/>
            <w:hideMark/>
          </w:tcPr>
          <w:p w14:paraId="0C90AAA8"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326.993</w:t>
            </w:r>
          </w:p>
        </w:tc>
      </w:tr>
      <w:tr w:rsidR="00D1119D" w:rsidRPr="008A3CD3" w14:paraId="4F3F4859" w14:textId="77777777" w:rsidTr="00317490">
        <w:trPr>
          <w:trHeight w:val="306"/>
        </w:trPr>
        <w:tc>
          <w:tcPr>
            <w:tcW w:w="870" w:type="dxa"/>
            <w:vMerge/>
            <w:tcBorders>
              <w:left w:val="nil"/>
              <w:bottom w:val="single" w:sz="4" w:space="0" w:color="auto"/>
              <w:right w:val="nil"/>
            </w:tcBorders>
            <w:shd w:val="clear" w:color="auto" w:fill="auto"/>
            <w:vAlign w:val="center"/>
            <w:hideMark/>
          </w:tcPr>
          <w:p w14:paraId="1B33E4A1"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
        </w:tc>
        <w:tc>
          <w:tcPr>
            <w:tcW w:w="1470" w:type="dxa"/>
            <w:tcBorders>
              <w:top w:val="nil"/>
              <w:left w:val="nil"/>
              <w:bottom w:val="single" w:sz="4" w:space="0" w:color="auto"/>
              <w:right w:val="nil"/>
            </w:tcBorders>
            <w:shd w:val="clear" w:color="auto" w:fill="auto"/>
            <w:vAlign w:val="center"/>
            <w:hideMark/>
          </w:tcPr>
          <w:p w14:paraId="30D6BBF9"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proofErr w:type="spellStart"/>
            <w:r w:rsidRPr="008A3CD3">
              <w:rPr>
                <w:rFonts w:ascii="Times New Roman" w:eastAsia="Times New Roman" w:hAnsi="Times New Roman" w:cs="Times New Roman"/>
                <w:color w:val="000000"/>
                <w:kern w:val="0"/>
                <w:lang w:eastAsia="en-GB"/>
                <w14:ligatures w14:val="none"/>
              </w:rPr>
              <w:t>GEV₍t</w:t>
            </w:r>
            <w:proofErr w:type="spellEnd"/>
            <w:r w:rsidRPr="008A3CD3">
              <w:rPr>
                <w:rFonts w:ascii="Times New Roman" w:eastAsia="Times New Roman" w:hAnsi="Times New Roman" w:cs="Times New Roman"/>
                <w:color w:val="000000"/>
                <w:kern w:val="0"/>
                <w:lang w:eastAsia="en-GB"/>
                <w14:ligatures w14:val="none"/>
              </w:rPr>
              <w:t>₎ - III</w:t>
            </w:r>
          </w:p>
        </w:tc>
        <w:tc>
          <w:tcPr>
            <w:tcW w:w="2070" w:type="dxa"/>
            <w:tcBorders>
              <w:top w:val="nil"/>
              <w:left w:val="nil"/>
              <w:bottom w:val="single" w:sz="4" w:space="0" w:color="auto"/>
              <w:right w:val="nil"/>
            </w:tcBorders>
            <w:shd w:val="clear" w:color="auto" w:fill="auto"/>
            <w:vAlign w:val="center"/>
            <w:hideMark/>
          </w:tcPr>
          <w:p w14:paraId="38F5FDE0"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12.572 + 0.0215t</w:t>
            </w:r>
          </w:p>
        </w:tc>
        <w:tc>
          <w:tcPr>
            <w:tcW w:w="1835" w:type="dxa"/>
            <w:tcBorders>
              <w:top w:val="nil"/>
              <w:left w:val="nil"/>
              <w:bottom w:val="single" w:sz="4" w:space="0" w:color="auto"/>
              <w:right w:val="nil"/>
            </w:tcBorders>
            <w:shd w:val="clear" w:color="auto" w:fill="auto"/>
            <w:vAlign w:val="center"/>
            <w:hideMark/>
          </w:tcPr>
          <w:p w14:paraId="5019399D"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31.23 + 0.0003t</w:t>
            </w:r>
          </w:p>
        </w:tc>
        <w:tc>
          <w:tcPr>
            <w:tcW w:w="1309" w:type="dxa"/>
            <w:tcBorders>
              <w:top w:val="nil"/>
              <w:left w:val="nil"/>
              <w:bottom w:val="single" w:sz="4" w:space="0" w:color="auto"/>
              <w:right w:val="nil"/>
            </w:tcBorders>
            <w:shd w:val="clear" w:color="auto" w:fill="auto"/>
            <w:vAlign w:val="center"/>
            <w:hideMark/>
          </w:tcPr>
          <w:p w14:paraId="72C4218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0.1949</w:t>
            </w:r>
          </w:p>
        </w:tc>
        <w:tc>
          <w:tcPr>
            <w:tcW w:w="996" w:type="dxa"/>
            <w:tcBorders>
              <w:top w:val="nil"/>
              <w:left w:val="nil"/>
              <w:bottom w:val="single" w:sz="4" w:space="0" w:color="auto"/>
              <w:right w:val="nil"/>
            </w:tcBorders>
            <w:shd w:val="clear" w:color="auto" w:fill="auto"/>
            <w:vAlign w:val="center"/>
            <w:hideMark/>
          </w:tcPr>
          <w:p w14:paraId="69486FDF" w14:textId="77777777" w:rsidR="00D1119D" w:rsidRPr="008A3CD3" w:rsidRDefault="00D1119D" w:rsidP="00D1119D">
            <w:pPr>
              <w:spacing w:after="0" w:line="240" w:lineRule="auto"/>
              <w:jc w:val="center"/>
              <w:rPr>
                <w:rFonts w:ascii="Times New Roman" w:eastAsia="Times New Roman" w:hAnsi="Times New Roman" w:cs="Times New Roman"/>
                <w:color w:val="000000"/>
                <w:kern w:val="0"/>
                <w:lang w:eastAsia="en-GB"/>
                <w14:ligatures w14:val="none"/>
              </w:rPr>
            </w:pPr>
            <w:r w:rsidRPr="008A3CD3">
              <w:rPr>
                <w:rFonts w:ascii="Times New Roman" w:eastAsia="Times New Roman" w:hAnsi="Times New Roman" w:cs="Times New Roman"/>
                <w:color w:val="000000"/>
                <w:kern w:val="0"/>
                <w:lang w:eastAsia="en-GB"/>
                <w14:ligatures w14:val="none"/>
              </w:rPr>
              <w:t>335.987</w:t>
            </w:r>
          </w:p>
        </w:tc>
        <w:tc>
          <w:tcPr>
            <w:tcW w:w="996" w:type="dxa"/>
            <w:tcBorders>
              <w:top w:val="nil"/>
              <w:left w:val="nil"/>
              <w:bottom w:val="single" w:sz="4" w:space="0" w:color="auto"/>
              <w:right w:val="nil"/>
            </w:tcBorders>
            <w:shd w:val="clear" w:color="auto" w:fill="auto"/>
            <w:vAlign w:val="center"/>
            <w:hideMark/>
          </w:tcPr>
          <w:p w14:paraId="1AF8A0D8" w14:textId="77777777" w:rsidR="00D1119D" w:rsidRPr="008A3CD3" w:rsidRDefault="00D1119D" w:rsidP="00D1119D">
            <w:pPr>
              <w:spacing w:after="0" w:line="240" w:lineRule="auto"/>
              <w:jc w:val="center"/>
              <w:rPr>
                <w:rFonts w:ascii="Times New Roman" w:eastAsia="Times New Roman" w:hAnsi="Times New Roman" w:cs="Times New Roman"/>
                <w:b/>
                <w:bCs/>
                <w:color w:val="000000"/>
                <w:kern w:val="0"/>
                <w:lang w:eastAsia="en-GB"/>
                <w14:ligatures w14:val="none"/>
              </w:rPr>
            </w:pPr>
            <w:r w:rsidRPr="008A3CD3">
              <w:rPr>
                <w:rFonts w:ascii="Times New Roman" w:eastAsia="Times New Roman" w:hAnsi="Times New Roman" w:cs="Times New Roman"/>
                <w:b/>
                <w:bCs/>
                <w:color w:val="000000"/>
                <w:kern w:val="0"/>
                <w:lang w:eastAsia="en-GB"/>
                <w14:ligatures w14:val="none"/>
              </w:rPr>
              <w:t>328.818</w:t>
            </w:r>
          </w:p>
        </w:tc>
      </w:tr>
    </w:tbl>
    <w:p w14:paraId="3426E875" w14:textId="77777777" w:rsidR="008A3CD3" w:rsidRDefault="008A3CD3"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
    <w:p w14:paraId="3C6C992A" w14:textId="2AFF3B27" w:rsidR="008A3CD3" w:rsidRPr="00BD1CB8" w:rsidRDefault="00445F1E" w:rsidP="00445F1E">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Pr>
          <w:noProof/>
        </w:rPr>
        <w:lastRenderedPageBreak/>
        <w:drawing>
          <wp:inline distT="0" distB="0" distL="0" distR="0" wp14:anchorId="60AB4DA1" wp14:editId="49D51DC9">
            <wp:extent cx="4594189" cy="3714750"/>
            <wp:effectExtent l="19050" t="19050" r="16510" b="19050"/>
            <wp:docPr id="119152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4189" cy="3714750"/>
                    </a:xfrm>
                    <a:prstGeom prst="rect">
                      <a:avLst/>
                    </a:prstGeom>
                    <a:noFill/>
                    <a:ln>
                      <a:solidFill>
                        <a:schemeClr val="bg1">
                          <a:lumMod val="85000"/>
                        </a:schemeClr>
                      </a:solidFill>
                    </a:ln>
                  </pic:spPr>
                </pic:pic>
              </a:graphicData>
            </a:graphic>
          </wp:inline>
        </w:drawing>
      </w:r>
    </w:p>
    <w:p w14:paraId="776A5E67" w14:textId="2ED47C7C"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Figure </w:t>
      </w:r>
      <w:r w:rsidR="009A4601">
        <w:rPr>
          <w:rFonts w:ascii="Times New Roman" w:eastAsia="Times New Roman" w:hAnsi="Times New Roman" w:cs="Times New Roman"/>
          <w:b/>
          <w:bCs/>
          <w:kern w:val="0"/>
          <w:lang w:eastAsia="en-GB"/>
          <w14:ligatures w14:val="none"/>
        </w:rPr>
        <w:t>2</w:t>
      </w:r>
      <w:r w:rsidRPr="00BD1CB8">
        <w:rPr>
          <w:rFonts w:ascii="Times New Roman" w:eastAsia="Times New Roman" w:hAnsi="Times New Roman" w:cs="Times New Roman"/>
          <w:b/>
          <w:bCs/>
          <w:kern w:val="0"/>
          <w:lang w:eastAsia="en-GB"/>
          <w14:ligatures w14:val="none"/>
        </w:rPr>
        <w:t xml:space="preserve">: Computed Rainfall Intensity Duration Curves for </w:t>
      </w:r>
      <w:proofErr w:type="spellStart"/>
      <w:r w:rsidRPr="00BD1CB8">
        <w:rPr>
          <w:rFonts w:ascii="Times New Roman" w:eastAsia="Times New Roman" w:hAnsi="Times New Roman" w:cs="Times New Roman"/>
          <w:b/>
          <w:bCs/>
          <w:kern w:val="0"/>
          <w:lang w:eastAsia="en-GB"/>
          <w14:ligatures w14:val="none"/>
        </w:rPr>
        <w:t>Abakaliki</w:t>
      </w:r>
      <w:proofErr w:type="spellEnd"/>
    </w:p>
    <w:p w14:paraId="46B49339" w14:textId="77777777" w:rsidR="00BD1CB8" w:rsidRPr="00BD1CB8" w:rsidRDefault="00BD1CB8" w:rsidP="00BD1CB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b/>
          <w:bCs/>
          <w:kern w:val="0"/>
          <w:lang w:eastAsia="en-GB"/>
          <w14:ligatures w14:val="none"/>
        </w:rPr>
        <w:t xml:space="preserve">Table 4: GEV fitted General Non-stationary IDF (GNS-IDF) model for </w:t>
      </w:r>
      <w:proofErr w:type="spellStart"/>
      <w:r w:rsidRPr="00BD1CB8">
        <w:rPr>
          <w:rFonts w:ascii="Times New Roman" w:eastAsia="Times New Roman" w:hAnsi="Times New Roman" w:cs="Times New Roman"/>
          <w:b/>
          <w:bCs/>
          <w:kern w:val="0"/>
          <w:lang w:eastAsia="en-GB"/>
          <w14:ligatures w14:val="none"/>
        </w:rPr>
        <w:t>Abakaliki</w:t>
      </w:r>
      <w:proofErr w:type="spellEnd"/>
    </w:p>
    <w:tbl>
      <w:tblPr>
        <w:tblW w:w="8719" w:type="dxa"/>
        <w:tblCellSpacing w:w="15" w:type="dxa"/>
        <w:tblCellMar>
          <w:top w:w="15" w:type="dxa"/>
          <w:left w:w="15" w:type="dxa"/>
          <w:bottom w:w="15" w:type="dxa"/>
          <w:right w:w="15" w:type="dxa"/>
        </w:tblCellMar>
        <w:tblLook w:val="04A0" w:firstRow="1" w:lastRow="0" w:firstColumn="1" w:lastColumn="0" w:noHBand="0" w:noVBand="1"/>
      </w:tblPr>
      <w:tblGrid>
        <w:gridCol w:w="903"/>
        <w:gridCol w:w="2249"/>
        <w:gridCol w:w="3068"/>
        <w:gridCol w:w="1242"/>
        <w:gridCol w:w="1257"/>
      </w:tblGrid>
      <w:tr w:rsidR="00BD1CB8" w:rsidRPr="00BD1CB8" w14:paraId="227012BD" w14:textId="77777777" w:rsidTr="00BD1CB8">
        <w:trPr>
          <w:trHeight w:val="253"/>
          <w:tblHeader/>
          <w:tblCellSpacing w:w="15" w:type="dxa"/>
        </w:trPr>
        <w:tc>
          <w:tcPr>
            <w:tcW w:w="0" w:type="auto"/>
            <w:tcBorders>
              <w:top w:val="single" w:sz="4" w:space="0" w:color="auto"/>
              <w:bottom w:val="single" w:sz="4" w:space="0" w:color="auto"/>
            </w:tcBorders>
            <w:vAlign w:val="center"/>
            <w:hideMark/>
          </w:tcPr>
          <w:p w14:paraId="1880CAA6"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S/N</w:t>
            </w:r>
          </w:p>
        </w:tc>
        <w:tc>
          <w:tcPr>
            <w:tcW w:w="0" w:type="auto"/>
            <w:tcBorders>
              <w:top w:val="single" w:sz="4" w:space="0" w:color="auto"/>
              <w:bottom w:val="single" w:sz="4" w:space="0" w:color="auto"/>
            </w:tcBorders>
            <w:vAlign w:val="center"/>
            <w:hideMark/>
          </w:tcPr>
          <w:p w14:paraId="1FEB0D16"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Station</w:t>
            </w:r>
          </w:p>
        </w:tc>
        <w:tc>
          <w:tcPr>
            <w:tcW w:w="0" w:type="auto"/>
            <w:tcBorders>
              <w:top w:val="single" w:sz="4" w:space="0" w:color="auto"/>
              <w:bottom w:val="single" w:sz="4" w:space="0" w:color="auto"/>
            </w:tcBorders>
            <w:vAlign w:val="center"/>
            <w:hideMark/>
          </w:tcPr>
          <w:p w14:paraId="1761C31C"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IDF Model</w:t>
            </w:r>
          </w:p>
        </w:tc>
        <w:tc>
          <w:tcPr>
            <w:tcW w:w="0" w:type="auto"/>
            <w:tcBorders>
              <w:top w:val="single" w:sz="4" w:space="0" w:color="auto"/>
              <w:bottom w:val="single" w:sz="4" w:space="0" w:color="auto"/>
            </w:tcBorders>
            <w:vAlign w:val="center"/>
            <w:hideMark/>
          </w:tcPr>
          <w:p w14:paraId="1C86D2E7"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R²</w:t>
            </w:r>
          </w:p>
        </w:tc>
        <w:tc>
          <w:tcPr>
            <w:tcW w:w="0" w:type="auto"/>
            <w:tcBorders>
              <w:top w:val="single" w:sz="4" w:space="0" w:color="auto"/>
              <w:bottom w:val="single" w:sz="4" w:space="0" w:color="auto"/>
            </w:tcBorders>
            <w:vAlign w:val="center"/>
            <w:hideMark/>
          </w:tcPr>
          <w:p w14:paraId="7B55B790" w14:textId="77777777" w:rsidR="00BD1CB8" w:rsidRPr="00BD1CB8" w:rsidRDefault="00BD1CB8" w:rsidP="00BD1CB8">
            <w:pPr>
              <w:spacing w:after="0" w:line="240" w:lineRule="auto"/>
              <w:jc w:val="center"/>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MSE</w:t>
            </w:r>
          </w:p>
        </w:tc>
      </w:tr>
      <w:tr w:rsidR="00BD1CB8" w:rsidRPr="00BD1CB8" w14:paraId="123C9898" w14:textId="77777777" w:rsidTr="00BD1CB8">
        <w:trPr>
          <w:trHeight w:val="253"/>
          <w:tblCellSpacing w:w="15" w:type="dxa"/>
        </w:trPr>
        <w:tc>
          <w:tcPr>
            <w:tcW w:w="0" w:type="auto"/>
            <w:tcBorders>
              <w:bottom w:val="single" w:sz="4" w:space="0" w:color="auto"/>
            </w:tcBorders>
            <w:vAlign w:val="center"/>
            <w:hideMark/>
          </w:tcPr>
          <w:p w14:paraId="408BA737"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1</w:t>
            </w:r>
          </w:p>
        </w:tc>
        <w:tc>
          <w:tcPr>
            <w:tcW w:w="0" w:type="auto"/>
            <w:tcBorders>
              <w:bottom w:val="single" w:sz="4" w:space="0" w:color="auto"/>
            </w:tcBorders>
            <w:vAlign w:val="center"/>
            <w:hideMark/>
          </w:tcPr>
          <w:p w14:paraId="489AB88E"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proofErr w:type="spellStart"/>
            <w:r w:rsidRPr="00BD1CB8">
              <w:rPr>
                <w:rFonts w:ascii="Times New Roman" w:eastAsia="Times New Roman" w:hAnsi="Times New Roman" w:cs="Times New Roman"/>
                <w:b/>
                <w:bCs/>
                <w:kern w:val="0"/>
                <w:lang w:eastAsia="en-GB"/>
                <w14:ligatures w14:val="none"/>
              </w:rPr>
              <w:t>Abakaliki</w:t>
            </w:r>
            <w:proofErr w:type="spellEnd"/>
          </w:p>
        </w:tc>
        <w:tc>
          <w:tcPr>
            <w:tcW w:w="0" w:type="auto"/>
            <w:tcBorders>
              <w:bottom w:val="single" w:sz="4" w:space="0" w:color="auto"/>
            </w:tcBorders>
            <w:vAlign w:val="center"/>
            <w:hideMark/>
          </w:tcPr>
          <w:p w14:paraId="72A6F5AD" w14:textId="0664C257" w:rsidR="00BD1CB8" w:rsidRPr="00BD1CB8" w:rsidRDefault="00E9356C" w:rsidP="00BD1CB8">
            <w:pPr>
              <w:spacing w:after="0" w:line="240" w:lineRule="auto"/>
              <w:jc w:val="center"/>
              <w:rPr>
                <w:rFonts w:ascii="Times New Roman" w:eastAsia="Times New Roman" w:hAnsi="Times New Roman" w:cs="Times New Roman"/>
                <w:kern w:val="0"/>
                <w:lang w:eastAsia="en-GB"/>
                <w14:ligatures w14:val="none"/>
              </w:rPr>
            </w:pPr>
            <w:r w:rsidRPr="00141597">
              <w:rPr>
                <w:rFonts w:ascii="Times New Roman" w:eastAsia="Calibri" w:hAnsi="Times New Roman" w:cs="Times New Roman"/>
                <w:color w:val="000000"/>
              </w:rPr>
              <w:t xml:space="preserve">I = </w:t>
            </w:r>
            <m:oMath>
              <m:f>
                <m:fPr>
                  <m:ctrlPr>
                    <w:rPr>
                      <w:rFonts w:ascii="Cambria Math" w:eastAsia="Calibri" w:hAnsi="Cambria Math" w:cs="Times New Roman"/>
                    </w:rPr>
                  </m:ctrlPr>
                </m:fPr>
                <m:num>
                  <m:r>
                    <w:rPr>
                      <w:rFonts w:ascii="Cambria Math" w:eastAsia="Calibri" w:hAnsi="Cambria Math" w:cs="Times New Roman"/>
                    </w:rPr>
                    <m:t>375.96</m:t>
                  </m:r>
                  <m:sSubSup>
                    <m:sSubSupPr>
                      <m:ctrlPr>
                        <w:rPr>
                          <w:rFonts w:ascii="Cambria Math" w:eastAsia="Calibri" w:hAnsi="Cambria Math" w:cs="Times New Roman"/>
                        </w:rPr>
                      </m:ctrlPr>
                    </m:sSubSupPr>
                    <m:e>
                      <m:r>
                        <m:rPr>
                          <m:sty m:val="p"/>
                        </m:rPr>
                        <w:rPr>
                          <w:rFonts w:ascii="Cambria Math" w:eastAsia="Calibri" w:hAnsi="Cambria Math" w:cs="Times New Roman"/>
                        </w:rPr>
                        <m:t>T</m:t>
                      </m:r>
                    </m:e>
                    <m:sub>
                      <m:r>
                        <m:rPr>
                          <m:sty m:val="p"/>
                        </m:rPr>
                        <w:rPr>
                          <w:rFonts w:ascii="Cambria Math" w:eastAsia="Calibri" w:hAnsi="Cambria Math" w:cs="Times New Roman"/>
                        </w:rPr>
                        <m:t>r</m:t>
                      </m:r>
                    </m:sub>
                    <m:sup>
                      <m:r>
                        <m:rPr>
                          <m:sty m:val="p"/>
                        </m:rPr>
                        <w:rPr>
                          <w:rFonts w:ascii="Cambria Math" w:eastAsia="Calibri" w:hAnsi="Cambria Math" w:cs="Times New Roman"/>
                        </w:rPr>
                        <m:t xml:space="preserve">  0.325</m:t>
                      </m:r>
                    </m:sup>
                  </m:sSubSup>
                </m:num>
                <m:den>
                  <m:sSubSup>
                    <m:sSubSupPr>
                      <m:ctrlPr>
                        <w:rPr>
                          <w:rFonts w:ascii="Cambria Math" w:eastAsia="Calibri" w:hAnsi="Cambria Math" w:cs="Times New Roman"/>
                        </w:rPr>
                      </m:ctrlPr>
                    </m:sSubSupPr>
                    <m:e>
                      <m:r>
                        <m:rPr>
                          <m:sty m:val="p"/>
                        </m:rPr>
                        <w:rPr>
                          <w:rFonts w:ascii="Cambria Math" w:eastAsia="Calibri" w:hAnsi="Cambria Math" w:cs="Times New Roman"/>
                        </w:rPr>
                        <m:t>T</m:t>
                      </m:r>
                    </m:e>
                    <m:sub>
                      <m:r>
                        <m:rPr>
                          <m:sty m:val="p"/>
                        </m:rPr>
                        <w:rPr>
                          <w:rFonts w:ascii="Cambria Math" w:eastAsia="Calibri" w:hAnsi="Cambria Math" w:cs="Times New Roman"/>
                        </w:rPr>
                        <m:t>d</m:t>
                      </m:r>
                    </m:sub>
                    <m:sup>
                      <m:r>
                        <m:rPr>
                          <m:sty m:val="p"/>
                        </m:rPr>
                        <w:rPr>
                          <w:rFonts w:ascii="Cambria Math" w:eastAsia="Calibri" w:hAnsi="Cambria Math" w:cs="Times New Roman"/>
                        </w:rPr>
                        <m:t xml:space="preserve">   0.471</m:t>
                      </m:r>
                    </m:sup>
                  </m:sSubSup>
                </m:den>
              </m:f>
            </m:oMath>
          </w:p>
        </w:tc>
        <w:tc>
          <w:tcPr>
            <w:tcW w:w="0" w:type="auto"/>
            <w:tcBorders>
              <w:bottom w:val="single" w:sz="4" w:space="0" w:color="auto"/>
            </w:tcBorders>
            <w:vAlign w:val="center"/>
            <w:hideMark/>
          </w:tcPr>
          <w:p w14:paraId="0A2BE2BD"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0.996</w:t>
            </w:r>
          </w:p>
        </w:tc>
        <w:tc>
          <w:tcPr>
            <w:tcW w:w="0" w:type="auto"/>
            <w:tcBorders>
              <w:bottom w:val="single" w:sz="4" w:space="0" w:color="auto"/>
            </w:tcBorders>
            <w:vAlign w:val="center"/>
            <w:hideMark/>
          </w:tcPr>
          <w:p w14:paraId="50A62DEC" w14:textId="77777777" w:rsidR="00BD1CB8" w:rsidRPr="00BD1CB8" w:rsidRDefault="00BD1CB8" w:rsidP="00BD1CB8">
            <w:pPr>
              <w:spacing w:after="0" w:line="240" w:lineRule="auto"/>
              <w:jc w:val="center"/>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37.00</w:t>
            </w:r>
          </w:p>
        </w:tc>
      </w:tr>
    </w:tbl>
    <w:p w14:paraId="163D76D1" w14:textId="77777777" w:rsidR="00CA249E" w:rsidRDefault="00CA249E"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p>
    <w:p w14:paraId="39B6BB3D" w14:textId="1450516E"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4.</w:t>
      </w:r>
      <w:r w:rsidR="004D6BF4">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Discussion</w:t>
      </w:r>
    </w:p>
    <w:p w14:paraId="705D6C2A" w14:textId="5146D2D8" w:rsidR="00BD1CB8" w:rsidRPr="00BD1CB8" w:rsidRDefault="00BD1CB8"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BD1CB8">
        <w:rPr>
          <w:rFonts w:ascii="Times New Roman" w:eastAsia="Times New Roman" w:hAnsi="Times New Roman" w:cs="Times New Roman"/>
          <w:kern w:val="0"/>
          <w:lang w:eastAsia="en-GB"/>
          <w14:ligatures w14:val="none"/>
        </w:rPr>
        <w:t xml:space="preserve">The analysis of rainfall patterns in </w:t>
      </w:r>
      <w:proofErr w:type="spellStart"/>
      <w:r w:rsidRPr="00BD1CB8">
        <w:rPr>
          <w:rFonts w:ascii="Times New Roman" w:eastAsia="Times New Roman" w:hAnsi="Times New Roman" w:cs="Times New Roman"/>
          <w:kern w:val="0"/>
          <w:lang w:eastAsia="en-GB"/>
          <w14:ligatures w14:val="none"/>
        </w:rPr>
        <w:t>Abakaliki</w:t>
      </w:r>
      <w:proofErr w:type="spellEnd"/>
      <w:r w:rsidRPr="00BD1CB8">
        <w:rPr>
          <w:rFonts w:ascii="Times New Roman" w:eastAsia="Times New Roman" w:hAnsi="Times New Roman" w:cs="Times New Roman"/>
          <w:kern w:val="0"/>
          <w:lang w:eastAsia="en-GB"/>
          <w14:ligatures w14:val="none"/>
        </w:rPr>
        <w:t xml:space="preserve"> revealed that there would be significant implications </w:t>
      </w:r>
      <w:r w:rsidR="00445F1E">
        <w:rPr>
          <w:rFonts w:ascii="Times New Roman" w:eastAsia="Times New Roman" w:hAnsi="Times New Roman" w:cs="Times New Roman"/>
          <w:kern w:val="0"/>
          <w:lang w:eastAsia="en-GB"/>
          <w14:ligatures w14:val="none"/>
        </w:rPr>
        <w:t>for</w:t>
      </w:r>
      <w:r w:rsidRPr="00BD1CB8">
        <w:rPr>
          <w:rFonts w:ascii="Times New Roman" w:eastAsia="Times New Roman" w:hAnsi="Times New Roman" w:cs="Times New Roman"/>
          <w:kern w:val="0"/>
          <w:lang w:eastAsia="en-GB"/>
          <w14:ligatures w14:val="none"/>
        </w:rPr>
        <w:t xml:space="preserve"> infrastructure design if stationary models are </w:t>
      </w:r>
      <w:r w:rsidR="00445F1E">
        <w:rPr>
          <w:rFonts w:ascii="Times New Roman" w:eastAsia="Times New Roman" w:hAnsi="Times New Roman" w:cs="Times New Roman"/>
          <w:kern w:val="0"/>
          <w:lang w:eastAsia="en-GB"/>
          <w14:ligatures w14:val="none"/>
        </w:rPr>
        <w:t>utilised</w:t>
      </w:r>
      <w:r w:rsidRPr="00BD1CB8">
        <w:rPr>
          <w:rFonts w:ascii="Times New Roman" w:eastAsia="Times New Roman" w:hAnsi="Times New Roman" w:cs="Times New Roman"/>
          <w:kern w:val="0"/>
          <w:lang w:eastAsia="en-GB"/>
          <w14:ligatures w14:val="none"/>
        </w:rPr>
        <w:t xml:space="preserve"> in developing IDF models. The Mann-Kendall test results </w:t>
      </w:r>
      <w:r w:rsidR="00445F1E">
        <w:rPr>
          <w:rFonts w:ascii="Times New Roman" w:eastAsia="Times New Roman" w:hAnsi="Times New Roman" w:cs="Times New Roman"/>
          <w:kern w:val="0"/>
          <w:lang w:eastAsia="en-GB"/>
          <w14:ligatures w14:val="none"/>
        </w:rPr>
        <w:t>show a significant increasing trend (p-value = 0.0059),</w:t>
      </w:r>
      <w:r w:rsidRPr="00BD1CB8">
        <w:rPr>
          <w:rFonts w:ascii="Times New Roman" w:eastAsia="Times New Roman" w:hAnsi="Times New Roman" w:cs="Times New Roman"/>
          <w:kern w:val="0"/>
          <w:lang w:eastAsia="en-GB"/>
          <w14:ligatures w14:val="none"/>
        </w:rPr>
        <w:t xml:space="preserve"> and the identification of </w:t>
      </w:r>
      <w:r w:rsidR="00445F1E">
        <w:rPr>
          <w:rFonts w:ascii="Times New Roman" w:eastAsia="Times New Roman" w:hAnsi="Times New Roman" w:cs="Times New Roman"/>
          <w:kern w:val="0"/>
          <w:lang w:eastAsia="en-GB"/>
          <w14:ligatures w14:val="none"/>
        </w:rPr>
        <w:t xml:space="preserve">potential </w:t>
      </w:r>
      <w:r w:rsidRPr="00BD1CB8">
        <w:rPr>
          <w:rFonts w:ascii="Times New Roman" w:eastAsia="Times New Roman" w:hAnsi="Times New Roman" w:cs="Times New Roman"/>
          <w:kern w:val="0"/>
          <w:lang w:eastAsia="en-GB"/>
          <w14:ligatures w14:val="none"/>
        </w:rPr>
        <w:t xml:space="preserve">change points in 2010 and 2012 indicate non-stationarity in rainfall patterns. The development of IDF models utilizing non-stationary models revealed that the </w:t>
      </w:r>
      <w:proofErr w:type="spellStart"/>
      <w:r w:rsidRPr="00BD1CB8">
        <w:rPr>
          <w:rFonts w:ascii="Times New Roman" w:eastAsia="Times New Roman" w:hAnsi="Times New Roman" w:cs="Times New Roman"/>
          <w:kern w:val="0"/>
          <w:lang w:eastAsia="en-GB"/>
          <w14:ligatures w14:val="none"/>
        </w:rPr>
        <w:t>GEVt</w:t>
      </w:r>
      <w:proofErr w:type="spellEnd"/>
      <w:r w:rsidRPr="00BD1CB8">
        <w:rPr>
          <w:rFonts w:ascii="Times New Roman" w:eastAsia="Times New Roman" w:hAnsi="Times New Roman" w:cs="Times New Roman"/>
          <w:kern w:val="0"/>
          <w:lang w:eastAsia="en-GB"/>
          <w14:ligatures w14:val="none"/>
        </w:rPr>
        <w:t xml:space="preserve">-III was the best non-stationary model for </w:t>
      </w:r>
      <w:proofErr w:type="spellStart"/>
      <w:r w:rsidRPr="00BD1CB8">
        <w:rPr>
          <w:rFonts w:ascii="Times New Roman" w:eastAsia="Times New Roman" w:hAnsi="Times New Roman" w:cs="Times New Roman"/>
          <w:kern w:val="0"/>
          <w:lang w:eastAsia="en-GB"/>
          <w14:ligatures w14:val="none"/>
        </w:rPr>
        <w:t>Abakaliki</w:t>
      </w:r>
      <w:proofErr w:type="spellEnd"/>
      <w:r w:rsidRPr="00BD1CB8">
        <w:rPr>
          <w:rFonts w:ascii="Times New Roman" w:eastAsia="Times New Roman" w:hAnsi="Times New Roman" w:cs="Times New Roman"/>
          <w:kern w:val="0"/>
          <w:lang w:eastAsia="en-GB"/>
          <w14:ligatures w14:val="none"/>
        </w:rPr>
        <w:t xml:space="preserve"> for most durations, with </w:t>
      </w:r>
      <w:proofErr w:type="spellStart"/>
      <w:r w:rsidRPr="00BD1CB8">
        <w:rPr>
          <w:rFonts w:ascii="Times New Roman" w:eastAsia="Times New Roman" w:hAnsi="Times New Roman" w:cs="Times New Roman"/>
          <w:kern w:val="0"/>
          <w:lang w:eastAsia="en-GB"/>
          <w14:ligatures w14:val="none"/>
        </w:rPr>
        <w:t>GEVt</w:t>
      </w:r>
      <w:proofErr w:type="spellEnd"/>
      <w:r w:rsidRPr="00BD1CB8">
        <w:rPr>
          <w:rFonts w:ascii="Times New Roman" w:eastAsia="Times New Roman" w:hAnsi="Times New Roman" w:cs="Times New Roman"/>
          <w:kern w:val="0"/>
          <w:lang w:eastAsia="en-GB"/>
          <w14:ligatures w14:val="none"/>
        </w:rPr>
        <w:t xml:space="preserve">-I performing best for 5-minute duration. The </w:t>
      </w:r>
      <w:proofErr w:type="spellStart"/>
      <w:r w:rsidRPr="00BD1CB8">
        <w:rPr>
          <w:rFonts w:ascii="Times New Roman" w:eastAsia="Times New Roman" w:hAnsi="Times New Roman" w:cs="Times New Roman"/>
          <w:kern w:val="0"/>
          <w:lang w:eastAsia="en-GB"/>
          <w14:ligatures w14:val="none"/>
        </w:rPr>
        <w:t>GEV</w:t>
      </w:r>
      <w:r w:rsidR="004D6BF4">
        <w:rPr>
          <w:rFonts w:ascii="Times New Roman" w:eastAsia="Times New Roman" w:hAnsi="Times New Roman" w:cs="Times New Roman"/>
          <w:kern w:val="0"/>
          <w:lang w:eastAsia="en-GB"/>
          <w14:ligatures w14:val="none"/>
        </w:rPr>
        <w:t>t</w:t>
      </w:r>
      <w:proofErr w:type="spellEnd"/>
      <w:r w:rsidRPr="00BD1CB8">
        <w:rPr>
          <w:rFonts w:ascii="Times New Roman" w:eastAsia="Times New Roman" w:hAnsi="Times New Roman" w:cs="Times New Roman"/>
          <w:kern w:val="0"/>
          <w:lang w:eastAsia="en-GB"/>
          <w14:ligatures w14:val="none"/>
        </w:rPr>
        <w:t xml:space="preserve">-III model that best represents the rainfall pattern in </w:t>
      </w:r>
      <w:proofErr w:type="spellStart"/>
      <w:r w:rsidRPr="00BD1CB8">
        <w:rPr>
          <w:rFonts w:ascii="Times New Roman" w:eastAsia="Times New Roman" w:hAnsi="Times New Roman" w:cs="Times New Roman"/>
          <w:kern w:val="0"/>
          <w:lang w:eastAsia="en-GB"/>
          <w14:ligatures w14:val="none"/>
        </w:rPr>
        <w:t>Abakaliki</w:t>
      </w:r>
      <w:proofErr w:type="spellEnd"/>
      <w:r w:rsidRPr="00BD1CB8">
        <w:rPr>
          <w:rFonts w:ascii="Times New Roman" w:eastAsia="Times New Roman" w:hAnsi="Times New Roman" w:cs="Times New Roman"/>
          <w:kern w:val="0"/>
          <w:lang w:eastAsia="en-GB"/>
          <w14:ligatures w14:val="none"/>
        </w:rPr>
        <w:t xml:space="preserve"> suggests that both the location and scale parameters varied over the 31 </w:t>
      </w:r>
      <w:r w:rsidRPr="00BD1CB8">
        <w:rPr>
          <w:rFonts w:ascii="Times New Roman" w:eastAsia="Times New Roman" w:hAnsi="Times New Roman" w:cs="Times New Roman"/>
          <w:kern w:val="0"/>
          <w:lang w:eastAsia="en-GB"/>
          <w14:ligatures w14:val="none"/>
        </w:rPr>
        <w:lastRenderedPageBreak/>
        <w:t xml:space="preserve">years study duration. This indicates that </w:t>
      </w:r>
      <w:r w:rsidR="003C17A7">
        <w:rPr>
          <w:rFonts w:ascii="Times New Roman" w:eastAsia="Times New Roman" w:hAnsi="Times New Roman" w:cs="Times New Roman"/>
          <w:kern w:val="0"/>
          <w:lang w:eastAsia="en-GB"/>
          <w14:ligatures w14:val="none"/>
        </w:rPr>
        <w:t>the rainfall precipitation gradually increases from year to year, and</w:t>
      </w:r>
      <w:r w:rsidRPr="00BD1CB8">
        <w:rPr>
          <w:rFonts w:ascii="Times New Roman" w:eastAsia="Times New Roman" w:hAnsi="Times New Roman" w:cs="Times New Roman"/>
          <w:kern w:val="0"/>
          <w:lang w:eastAsia="en-GB"/>
          <w14:ligatures w14:val="none"/>
        </w:rPr>
        <w:t xml:space="preserve"> the variation within each year also changes over the study duration. </w:t>
      </w:r>
      <w:r w:rsidR="003C17A7">
        <w:rPr>
          <w:rFonts w:ascii="Times New Roman" w:eastAsia="Times New Roman" w:hAnsi="Times New Roman" w:cs="Times New Roman"/>
          <w:kern w:val="0"/>
          <w:lang w:eastAsia="en-GB"/>
          <w14:ligatures w14:val="none"/>
        </w:rPr>
        <w:t xml:space="preserve">The utilisation of a </w:t>
      </w:r>
      <w:r w:rsidRPr="00BD1CB8">
        <w:rPr>
          <w:rFonts w:ascii="Times New Roman" w:eastAsia="Times New Roman" w:hAnsi="Times New Roman" w:cs="Times New Roman"/>
          <w:kern w:val="0"/>
          <w:lang w:eastAsia="en-GB"/>
          <w14:ligatures w14:val="none"/>
        </w:rPr>
        <w:t xml:space="preserve">stationary model will </w:t>
      </w:r>
      <w:r w:rsidR="003C17A7">
        <w:rPr>
          <w:rFonts w:ascii="Times New Roman" w:eastAsia="Times New Roman" w:hAnsi="Times New Roman" w:cs="Times New Roman"/>
          <w:kern w:val="0"/>
          <w:lang w:eastAsia="en-GB"/>
          <w14:ligatures w14:val="none"/>
        </w:rPr>
        <w:t>significantly underestimate</w:t>
      </w:r>
      <w:r w:rsidRPr="00BD1CB8">
        <w:rPr>
          <w:rFonts w:ascii="Times New Roman" w:eastAsia="Times New Roman" w:hAnsi="Times New Roman" w:cs="Times New Roman"/>
          <w:kern w:val="0"/>
          <w:lang w:eastAsia="en-GB"/>
          <w14:ligatures w14:val="none"/>
        </w:rPr>
        <w:t xml:space="preserve"> the rainfall intensities as both the increase in the rainfall precipitation and its variability are not captured in the stationary models.</w:t>
      </w:r>
    </w:p>
    <w:p w14:paraId="1341B83D" w14:textId="0C4487A4" w:rsidR="00BD1CB8" w:rsidRDefault="003C17A7"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Underestimating rainfall intensity could lead to the design of inadequate drainage infrastructure, thereby increasing the risk of flooding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Cheng and </w:t>
      </w:r>
      <w:proofErr w:type="spellStart"/>
      <w:r>
        <w:rPr>
          <w:rFonts w:ascii="Times New Roman" w:eastAsia="Times New Roman" w:hAnsi="Times New Roman" w:cs="Times New Roman"/>
          <w:kern w:val="0"/>
          <w:lang w:eastAsia="en-GB"/>
          <w14:ligatures w14:val="none"/>
        </w:rPr>
        <w:t>AghaKouchak</w:t>
      </w:r>
      <w:proofErr w:type="spellEnd"/>
      <w:r>
        <w:rPr>
          <w:rFonts w:ascii="Times New Roman" w:eastAsia="Times New Roman" w:hAnsi="Times New Roman" w:cs="Times New Roman"/>
          <w:kern w:val="0"/>
          <w:lang w:eastAsia="en-GB"/>
          <w14:ligatures w14:val="none"/>
        </w:rPr>
        <w:t xml:space="preserve"> (2014) demonstrated that stationary models could underestimate the 50-year precipitation by as much as 60% in some regions. The global trend towards non-stationary analysis is evident in the </w:t>
      </w:r>
      <w:r w:rsidR="00BD1CB8" w:rsidRPr="00BD1CB8">
        <w:rPr>
          <w:rFonts w:ascii="Times New Roman" w:eastAsia="Times New Roman" w:hAnsi="Times New Roman" w:cs="Times New Roman"/>
          <w:kern w:val="0"/>
          <w:lang w:eastAsia="en-GB"/>
          <w14:ligatures w14:val="none"/>
        </w:rPr>
        <w:t>literature. Sugahara et al. (2009) found that non-stationary models better captured the increasing intensity of extreme rainfall events.</w:t>
      </w:r>
      <w:r>
        <w:rPr>
          <w:rFonts w:ascii="Times New Roman" w:eastAsia="Times New Roman" w:hAnsi="Times New Roman" w:cs="Times New Roman"/>
          <w:kern w:val="0"/>
          <w:lang w:eastAsia="en-GB"/>
          <w14:ligatures w14:val="none"/>
        </w:rPr>
        <w:t xml:space="preserve"> </w:t>
      </w:r>
      <w:r w:rsidR="00BD1CB8" w:rsidRPr="00BD1CB8">
        <w:rPr>
          <w:rFonts w:ascii="Times New Roman" w:eastAsia="Times New Roman" w:hAnsi="Times New Roman" w:cs="Times New Roman"/>
          <w:kern w:val="0"/>
          <w:lang w:eastAsia="en-GB"/>
          <w14:ligatures w14:val="none"/>
        </w:rPr>
        <w:t xml:space="preserve">The use of </w:t>
      </w:r>
      <w:r w:rsidR="00C873A8">
        <w:rPr>
          <w:rFonts w:ascii="Times New Roman" w:eastAsia="Times New Roman" w:hAnsi="Times New Roman" w:cs="Times New Roman"/>
          <w:kern w:val="0"/>
          <w:lang w:eastAsia="en-GB"/>
          <w14:ligatures w14:val="none"/>
        </w:rPr>
        <w:t>the non-stationary model for developing the IDF model has been embraced in other parts</w:t>
      </w:r>
      <w:r w:rsidR="00BD1CB8" w:rsidRPr="00BD1CB8">
        <w:rPr>
          <w:rFonts w:ascii="Times New Roman" w:eastAsia="Times New Roman" w:hAnsi="Times New Roman" w:cs="Times New Roman"/>
          <w:kern w:val="0"/>
          <w:lang w:eastAsia="en-GB"/>
          <w14:ligatures w14:val="none"/>
        </w:rPr>
        <w:t xml:space="preserve"> of the world. However, the adoption of non-stationary approaches in Nigeria has been relatively slow. Very limited studies have been done on non-stationary models in Nigeria. Nwaogazie and Sam (2020) found that most IDF studies in Nigeria still relied on stationary approaches despite growing evidence of climate change impacts. The implications of using stationary instead of non-stationary approaches in </w:t>
      </w:r>
      <w:proofErr w:type="spellStart"/>
      <w:r w:rsidR="00BD1CB8" w:rsidRPr="00BD1CB8">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are particularly </w:t>
      </w:r>
      <w:r w:rsidR="004D6BF4">
        <w:rPr>
          <w:rFonts w:ascii="Times New Roman" w:eastAsia="Times New Roman" w:hAnsi="Times New Roman" w:cs="Times New Roman"/>
          <w:kern w:val="0"/>
          <w:lang w:eastAsia="en-GB"/>
          <w14:ligatures w14:val="none"/>
        </w:rPr>
        <w:t xml:space="preserve">of </w:t>
      </w:r>
      <w:r w:rsidR="00BD1CB8" w:rsidRPr="00BD1CB8">
        <w:rPr>
          <w:rFonts w:ascii="Times New Roman" w:eastAsia="Times New Roman" w:hAnsi="Times New Roman" w:cs="Times New Roman"/>
          <w:kern w:val="0"/>
          <w:lang w:eastAsia="en-GB"/>
          <w14:ligatures w14:val="none"/>
        </w:rPr>
        <w:t>concer</w:t>
      </w:r>
      <w:r w:rsidR="004D6BF4">
        <w:rPr>
          <w:rFonts w:ascii="Times New Roman" w:eastAsia="Times New Roman" w:hAnsi="Times New Roman" w:cs="Times New Roman"/>
          <w:kern w:val="0"/>
          <w:lang w:eastAsia="en-GB"/>
          <w14:ligatures w14:val="none"/>
        </w:rPr>
        <w:t>n</w:t>
      </w:r>
      <w:r w:rsidR="00C873A8">
        <w:rPr>
          <w:rFonts w:ascii="Times New Roman" w:eastAsia="Times New Roman" w:hAnsi="Times New Roman" w:cs="Times New Roman"/>
          <w:kern w:val="0"/>
          <w:lang w:eastAsia="en-GB"/>
          <w14:ligatures w14:val="none"/>
        </w:rPr>
        <w:t>,</w:t>
      </w:r>
      <w:r w:rsidR="00BD1CB8" w:rsidRPr="00BD1CB8">
        <w:rPr>
          <w:rFonts w:ascii="Times New Roman" w:eastAsia="Times New Roman" w:hAnsi="Times New Roman" w:cs="Times New Roman"/>
          <w:kern w:val="0"/>
          <w:lang w:eastAsia="en-GB"/>
          <w14:ligatures w14:val="none"/>
        </w:rPr>
        <w:t xml:space="preserve"> given its location in the South-Eastern region. </w:t>
      </w:r>
      <w:proofErr w:type="spellStart"/>
      <w:r w:rsidR="00BD1CB8" w:rsidRPr="00BD1CB8">
        <w:rPr>
          <w:rFonts w:ascii="Times New Roman" w:eastAsia="Times New Roman" w:hAnsi="Times New Roman" w:cs="Times New Roman"/>
          <w:kern w:val="0"/>
          <w:lang w:eastAsia="en-GB"/>
          <w14:ligatures w14:val="none"/>
        </w:rPr>
        <w:t>AghaKouchak</w:t>
      </w:r>
      <w:proofErr w:type="spellEnd"/>
      <w:r w:rsidR="00BD1CB8" w:rsidRPr="00BD1CB8">
        <w:rPr>
          <w:rFonts w:ascii="Times New Roman" w:eastAsia="Times New Roman" w:hAnsi="Times New Roman" w:cs="Times New Roman"/>
          <w:kern w:val="0"/>
          <w:lang w:eastAsia="en-GB"/>
          <w14:ligatures w14:val="none"/>
        </w:rPr>
        <w:t xml:space="preserve"> et al. (2018) </w:t>
      </w:r>
      <w:r w:rsidR="00C873A8">
        <w:rPr>
          <w:rFonts w:ascii="Times New Roman" w:eastAsia="Times New Roman" w:hAnsi="Times New Roman" w:cs="Times New Roman"/>
          <w:kern w:val="0"/>
          <w:lang w:eastAsia="en-GB"/>
          <w14:ligatures w14:val="none"/>
        </w:rPr>
        <w:t>emphasised</w:t>
      </w:r>
      <w:r w:rsidR="00BD1CB8" w:rsidRPr="00BD1CB8">
        <w:rPr>
          <w:rFonts w:ascii="Times New Roman" w:eastAsia="Times New Roman" w:hAnsi="Times New Roman" w:cs="Times New Roman"/>
          <w:kern w:val="0"/>
          <w:lang w:eastAsia="en-GB"/>
          <w14:ligatures w14:val="none"/>
        </w:rPr>
        <w:t xml:space="preserve"> the importance of non-stationary approaches in regions experiencing rapid climate change. Willem et al. (2012) noted that incorporating such non-stationary patterns in urban drainage design could reduce infrastructure vulnerability by up to 30%. These findings suggest an urgent need to update design standards and infrastructure planning approaches in </w:t>
      </w:r>
      <w:proofErr w:type="spellStart"/>
      <w:r w:rsidR="00BD1CB8" w:rsidRPr="00BD1CB8">
        <w:rPr>
          <w:rFonts w:ascii="Times New Roman" w:eastAsia="Times New Roman" w:hAnsi="Times New Roman" w:cs="Times New Roman"/>
          <w:kern w:val="0"/>
          <w:lang w:eastAsia="en-GB"/>
          <w14:ligatures w14:val="none"/>
        </w:rPr>
        <w:t>Abakaliki</w:t>
      </w:r>
      <w:proofErr w:type="spellEnd"/>
      <w:r w:rsidR="00BD1CB8" w:rsidRPr="00BD1CB8">
        <w:rPr>
          <w:rFonts w:ascii="Times New Roman" w:eastAsia="Times New Roman" w:hAnsi="Times New Roman" w:cs="Times New Roman"/>
          <w:kern w:val="0"/>
          <w:lang w:eastAsia="en-GB"/>
          <w14:ligatures w14:val="none"/>
        </w:rPr>
        <w:t xml:space="preserve">. Continuing to use stationary approaches would </w:t>
      </w:r>
      <w:r w:rsidR="00C873A8">
        <w:rPr>
          <w:rFonts w:ascii="Times New Roman" w:eastAsia="Times New Roman" w:hAnsi="Times New Roman" w:cs="Times New Roman"/>
          <w:kern w:val="0"/>
          <w:lang w:eastAsia="en-GB"/>
          <w14:ligatures w14:val="none"/>
        </w:rPr>
        <w:t>underestimate future rainfall intensities and</w:t>
      </w:r>
      <w:r w:rsidR="00BD1CB8" w:rsidRPr="00BD1CB8">
        <w:rPr>
          <w:rFonts w:ascii="Times New Roman" w:eastAsia="Times New Roman" w:hAnsi="Times New Roman" w:cs="Times New Roman"/>
          <w:kern w:val="0"/>
          <w:lang w:eastAsia="en-GB"/>
          <w14:ligatures w14:val="none"/>
        </w:rPr>
        <w:t xml:space="preserve"> lead to systemic infrastructure inadequacies, particularly in urban drainage system.</w:t>
      </w:r>
    </w:p>
    <w:p w14:paraId="45BC6D24" w14:textId="77777777" w:rsidR="00164891" w:rsidRPr="00BD1CB8" w:rsidRDefault="00164891"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p>
    <w:p w14:paraId="5B45A6DE" w14:textId="398BA01C" w:rsidR="00BD1CB8" w:rsidRPr="00BD1CB8" w:rsidRDefault="00BD1CB8" w:rsidP="00BD1CB8">
      <w:pPr>
        <w:spacing w:before="100" w:beforeAutospacing="1" w:after="100" w:afterAutospacing="1" w:line="240" w:lineRule="auto"/>
        <w:jc w:val="both"/>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lastRenderedPageBreak/>
        <w:t>5.</w:t>
      </w:r>
      <w:r w:rsidR="004D6BF4">
        <w:rPr>
          <w:rFonts w:ascii="Times New Roman" w:eastAsia="Times New Roman" w:hAnsi="Times New Roman" w:cs="Times New Roman"/>
          <w:b/>
          <w:bCs/>
          <w:kern w:val="0"/>
          <w:lang w:eastAsia="en-GB"/>
          <w14:ligatures w14:val="none"/>
        </w:rPr>
        <w:t xml:space="preserve"> </w:t>
      </w:r>
      <w:r w:rsidRPr="00BD1CB8">
        <w:rPr>
          <w:rFonts w:ascii="Times New Roman" w:eastAsia="Times New Roman" w:hAnsi="Times New Roman" w:cs="Times New Roman"/>
          <w:b/>
          <w:bCs/>
          <w:kern w:val="0"/>
          <w:lang w:eastAsia="en-GB"/>
          <w14:ligatures w14:val="none"/>
        </w:rPr>
        <w:t>Conclusion</w:t>
      </w:r>
    </w:p>
    <w:p w14:paraId="1A1F8105" w14:textId="0370365A" w:rsidR="00BD1CB8" w:rsidRPr="00BD1CB8" w:rsidRDefault="00C873A8" w:rsidP="00BD1CB8">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study aimed to create non-stationary Intensity-Duration-Frequency (IDF) curves for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Nigeria, utilizing a 31-year rainfall dataset (1992-2022) sourced from the Nigerian Meteorological Agency. Trend and change point analyses indicated that climate change affects rainfall patterns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The identified significant increasing trend in rainfall intensity and the change points detected in 2010 and 2012 provide compelling evidence of non-stationarity in local precipitation patterns.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-III model outperformed in most duration intervals, while the </w:t>
      </w:r>
      <w:proofErr w:type="spellStart"/>
      <w:r>
        <w:rPr>
          <w:rFonts w:ascii="Times New Roman" w:eastAsia="Times New Roman" w:hAnsi="Times New Roman" w:cs="Times New Roman"/>
          <w:kern w:val="0"/>
          <w:lang w:eastAsia="en-GB"/>
          <w14:ligatures w14:val="none"/>
        </w:rPr>
        <w:t>GEVt</w:t>
      </w:r>
      <w:proofErr w:type="spellEnd"/>
      <w:r>
        <w:rPr>
          <w:rFonts w:ascii="Times New Roman" w:eastAsia="Times New Roman" w:hAnsi="Times New Roman" w:cs="Times New Roman"/>
          <w:kern w:val="0"/>
          <w:lang w:eastAsia="en-GB"/>
          <w14:ligatures w14:val="none"/>
        </w:rPr>
        <w:t xml:space="preserve">-I model excelled </w:t>
      </w:r>
      <w:proofErr w:type="gramStart"/>
      <w:r>
        <w:rPr>
          <w:rFonts w:ascii="Times New Roman" w:eastAsia="Times New Roman" w:hAnsi="Times New Roman" w:cs="Times New Roman"/>
          <w:kern w:val="0"/>
          <w:lang w:eastAsia="en-GB"/>
          <w14:ligatures w14:val="none"/>
        </w:rPr>
        <w:t>at  5</w:t>
      </w:r>
      <w:proofErr w:type="gramEnd"/>
      <w:r>
        <w:rPr>
          <w:rFonts w:ascii="Times New Roman" w:eastAsia="Times New Roman" w:hAnsi="Times New Roman" w:cs="Times New Roman"/>
          <w:kern w:val="0"/>
          <w:lang w:eastAsia="en-GB"/>
          <w14:ligatures w14:val="none"/>
        </w:rPr>
        <w:t xml:space="preserve">-minute duration, highlighting the limitations of traditional stationary methods for modeling rainfall in this area. The findings correspond with global trends regarding climate change's impact on precipitation patterns and emphasize the urgent need to revise design standards and infrastructure planning in the region. The results indicate that relying on stationary IDF curves for infrastructure design in </w:t>
      </w:r>
      <w:proofErr w:type="spellStart"/>
      <w:r>
        <w:rPr>
          <w:rFonts w:ascii="Times New Roman" w:eastAsia="Times New Roman" w:hAnsi="Times New Roman" w:cs="Times New Roman"/>
          <w:kern w:val="0"/>
          <w:lang w:eastAsia="en-GB"/>
          <w14:ligatures w14:val="none"/>
        </w:rPr>
        <w:t>Abakaliki</w:t>
      </w:r>
      <w:proofErr w:type="spellEnd"/>
      <w:r>
        <w:rPr>
          <w:rFonts w:ascii="Times New Roman" w:eastAsia="Times New Roman" w:hAnsi="Times New Roman" w:cs="Times New Roman"/>
          <w:kern w:val="0"/>
          <w:lang w:eastAsia="en-GB"/>
          <w14:ligatures w14:val="none"/>
        </w:rPr>
        <w:t xml:space="preserve"> may lead to substantial underestimation of rainfall intensities, potentially resulting in inadequate infrastructure capacity</w:t>
      </w:r>
      <w:r w:rsidR="00BD1CB8" w:rsidRPr="00BD1CB8">
        <w:rPr>
          <w:rFonts w:ascii="Times New Roman" w:eastAsia="Times New Roman" w:hAnsi="Times New Roman" w:cs="Times New Roman"/>
          <w:kern w:val="0"/>
          <w:lang w:eastAsia="en-GB"/>
          <w14:ligatures w14:val="none"/>
        </w:rPr>
        <w:t>.</w:t>
      </w:r>
    </w:p>
    <w:p w14:paraId="45A565A6" w14:textId="77777777" w:rsidR="00BD1CB8" w:rsidRDefault="00BD1CB8" w:rsidP="00BD1CB8">
      <w:pPr>
        <w:spacing w:before="100" w:beforeAutospacing="1" w:after="100" w:afterAutospacing="1" w:line="240" w:lineRule="auto"/>
        <w:jc w:val="center"/>
        <w:outlineLvl w:val="1"/>
        <w:rPr>
          <w:rFonts w:ascii="Times New Roman" w:eastAsia="Times New Roman" w:hAnsi="Times New Roman" w:cs="Times New Roman"/>
          <w:b/>
          <w:bCs/>
          <w:kern w:val="0"/>
          <w:lang w:eastAsia="en-GB"/>
          <w14:ligatures w14:val="none"/>
        </w:rPr>
      </w:pPr>
      <w:r w:rsidRPr="00BD1CB8">
        <w:rPr>
          <w:rFonts w:ascii="Times New Roman" w:eastAsia="Times New Roman" w:hAnsi="Times New Roman" w:cs="Times New Roman"/>
          <w:b/>
          <w:bCs/>
          <w:kern w:val="0"/>
          <w:lang w:eastAsia="en-GB"/>
          <w14:ligatures w14:val="none"/>
        </w:rPr>
        <w:t>References</w:t>
      </w:r>
    </w:p>
    <w:p w14:paraId="483E69BA"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Abiodun, B. J., Adegoke, J., Abatan, A. A., Ibe, C. A., </w:t>
      </w:r>
      <w:proofErr w:type="spellStart"/>
      <w:r w:rsidRPr="00774EC1">
        <w:rPr>
          <w:rFonts w:ascii="Times New Roman" w:eastAsia="Times New Roman" w:hAnsi="Times New Roman" w:cs="Times New Roman"/>
          <w:kern w:val="0"/>
          <w:lang w:eastAsia="en-GB"/>
          <w14:ligatures w14:val="none"/>
        </w:rPr>
        <w:t>Egbebiyi</w:t>
      </w:r>
      <w:proofErr w:type="spellEnd"/>
      <w:r w:rsidRPr="00774EC1">
        <w:rPr>
          <w:rFonts w:ascii="Times New Roman" w:eastAsia="Times New Roman" w:hAnsi="Times New Roman" w:cs="Times New Roman"/>
          <w:kern w:val="0"/>
          <w:lang w:eastAsia="en-GB"/>
          <w14:ligatures w14:val="none"/>
        </w:rPr>
        <w:t>, T. S., Engelbrecht, F., &amp; Pinto, I. (2017). Potential impacts of climate change on extreme precipitation over four African coastal cities. Climatic Change, 143(3), 399-413.</w:t>
      </w:r>
    </w:p>
    <w:p w14:paraId="1D6AEA8D"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xml:space="preserve">, A., Cheng, L., </w:t>
      </w:r>
      <w:proofErr w:type="spellStart"/>
      <w:r w:rsidRPr="00774EC1">
        <w:rPr>
          <w:rFonts w:ascii="Times New Roman" w:eastAsia="Times New Roman" w:hAnsi="Times New Roman" w:cs="Times New Roman"/>
          <w:kern w:val="0"/>
          <w:lang w:eastAsia="en-GB"/>
          <w14:ligatures w14:val="none"/>
        </w:rPr>
        <w:t>Mazdiyasni</w:t>
      </w:r>
      <w:proofErr w:type="spellEnd"/>
      <w:r w:rsidRPr="00774EC1">
        <w:rPr>
          <w:rFonts w:ascii="Times New Roman" w:eastAsia="Times New Roman" w:hAnsi="Times New Roman" w:cs="Times New Roman"/>
          <w:kern w:val="0"/>
          <w:lang w:eastAsia="en-GB"/>
          <w14:ligatures w14:val="none"/>
        </w:rPr>
        <w:t>, O., &amp; Farahmand, A. (2018). Global warming and changes in risk of concurrent climate extremes: Insights from the 2014 California drought. Geophysical Research Letters, 41(24), 8847-8852.</w:t>
      </w:r>
    </w:p>
    <w:p w14:paraId="29B4DEDE"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Agilan, V., &amp; </w:t>
      </w:r>
      <w:proofErr w:type="spellStart"/>
      <w:r w:rsidRPr="00774EC1">
        <w:rPr>
          <w:rFonts w:ascii="Times New Roman" w:eastAsia="Times New Roman" w:hAnsi="Times New Roman" w:cs="Times New Roman"/>
          <w:kern w:val="0"/>
          <w:lang w:eastAsia="en-GB"/>
          <w14:ligatures w14:val="none"/>
        </w:rPr>
        <w:t>Umamahesh</w:t>
      </w:r>
      <w:proofErr w:type="spellEnd"/>
      <w:r w:rsidRPr="00774EC1">
        <w:rPr>
          <w:rFonts w:ascii="Times New Roman" w:eastAsia="Times New Roman" w:hAnsi="Times New Roman" w:cs="Times New Roman"/>
          <w:kern w:val="0"/>
          <w:lang w:eastAsia="en-GB"/>
          <w14:ligatures w14:val="none"/>
        </w:rPr>
        <w:t>, N. V. (2016). Is the covariate based non-stationary rainfall intensity-duration-frequency relationship varying with return period? – A study from Chennai, India. Water Resources Management, 30(13), 4795-4810.</w:t>
      </w:r>
    </w:p>
    <w:p w14:paraId="1AD6B49B"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Ali, H., &amp; Mishra, V. (2017). Contrasting response of rainfall extremes to increase in surface air and dewpoint temperatures at urban locations in India. Scientific Reports, 7(1), 1228.</w:t>
      </w:r>
    </w:p>
    <w:p w14:paraId="39DB5C80"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Cheng, L., &amp; </w:t>
      </w: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A. (2014). Nonstationary precipitation intensity-duration-frequency curves for infrastructure design in a changing climate. Scientific Reports, 4(1), 1-6.</w:t>
      </w:r>
    </w:p>
    <w:p w14:paraId="2F786B33"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lastRenderedPageBreak/>
        <w:t xml:space="preserve">Cheng, L., </w:t>
      </w:r>
      <w:proofErr w:type="spellStart"/>
      <w:r w:rsidRPr="00774EC1">
        <w:rPr>
          <w:rFonts w:ascii="Times New Roman" w:eastAsia="Times New Roman" w:hAnsi="Times New Roman" w:cs="Times New Roman"/>
          <w:kern w:val="0"/>
          <w:lang w:eastAsia="en-GB"/>
          <w14:ligatures w14:val="none"/>
        </w:rPr>
        <w:t>AghaKouchak</w:t>
      </w:r>
      <w:proofErr w:type="spellEnd"/>
      <w:r w:rsidRPr="00774EC1">
        <w:rPr>
          <w:rFonts w:ascii="Times New Roman" w:eastAsia="Times New Roman" w:hAnsi="Times New Roman" w:cs="Times New Roman"/>
          <w:kern w:val="0"/>
          <w:lang w:eastAsia="en-GB"/>
          <w14:ligatures w14:val="none"/>
        </w:rPr>
        <w:t>, A., Gilleland, E., &amp; Katz, R. W. (2014). Non-stationary extreme value analysis in a changing climate. Climatic Change, 127(2), 353-369.</w:t>
      </w:r>
    </w:p>
    <w:p w14:paraId="39B54F0E"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Coles, S., Bawa, J., Trenner, L. &amp; Dorazio, P. (2001). An introduction to statistical modeling of extreme values. London: Springer.</w:t>
      </w:r>
    </w:p>
    <w:p w14:paraId="52A7CC70" w14:textId="569D551E" w:rsidR="00164891" w:rsidRDefault="00164891"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164891">
        <w:rPr>
          <w:rFonts w:ascii="Times New Roman" w:eastAsia="Times New Roman" w:hAnsi="Times New Roman" w:cs="Times New Roman"/>
          <w:kern w:val="0"/>
          <w:lang w:eastAsia="en-GB"/>
          <w14:ligatures w14:val="none"/>
        </w:rPr>
        <w:t xml:space="preserve">Ekwueme, C. M., Nwaogazie, I. L., </w:t>
      </w:r>
      <w:proofErr w:type="spellStart"/>
      <w:r w:rsidRPr="00164891">
        <w:rPr>
          <w:rFonts w:ascii="Times New Roman" w:eastAsia="Times New Roman" w:hAnsi="Times New Roman" w:cs="Times New Roman"/>
          <w:kern w:val="0"/>
          <w:lang w:eastAsia="en-GB"/>
          <w14:ligatures w14:val="none"/>
        </w:rPr>
        <w:t>Ikebude</w:t>
      </w:r>
      <w:proofErr w:type="spellEnd"/>
      <w:r w:rsidRPr="00164891">
        <w:rPr>
          <w:rFonts w:ascii="Times New Roman" w:eastAsia="Times New Roman" w:hAnsi="Times New Roman" w:cs="Times New Roman"/>
          <w:kern w:val="0"/>
          <w:lang w:eastAsia="en-GB"/>
          <w14:ligatures w14:val="none"/>
        </w:rPr>
        <w:t xml:space="preserve">, C. F., </w:t>
      </w:r>
      <w:proofErr w:type="spellStart"/>
      <w:r w:rsidRPr="00164891">
        <w:rPr>
          <w:rFonts w:ascii="Times New Roman" w:eastAsia="Times New Roman" w:hAnsi="Times New Roman" w:cs="Times New Roman"/>
          <w:kern w:val="0"/>
          <w:lang w:eastAsia="en-GB"/>
          <w14:ligatures w14:val="none"/>
        </w:rPr>
        <w:t>Amuchi</w:t>
      </w:r>
      <w:proofErr w:type="spellEnd"/>
      <w:r w:rsidRPr="00164891">
        <w:rPr>
          <w:rFonts w:ascii="Times New Roman" w:eastAsia="Times New Roman" w:hAnsi="Times New Roman" w:cs="Times New Roman"/>
          <w:kern w:val="0"/>
          <w:lang w:eastAsia="en-GB"/>
          <w14:ligatures w14:val="none"/>
        </w:rPr>
        <w:t xml:space="preserve">, G. O., Irokwe, J. O., et al. (2025). Modeling Rainfall Intensity-Duration-Frequency (IDF) and Establishing Climate Change Existence in Umuahia - Nigeria Using Non-Stationary Approach. Hydrology, 13(1), 83-89. </w:t>
      </w:r>
      <w:hyperlink r:id="rId8" w:history="1">
        <w:r w:rsidRPr="00737287">
          <w:rPr>
            <w:rStyle w:val="Hyperlink"/>
            <w:rFonts w:ascii="Times New Roman" w:eastAsia="Times New Roman" w:hAnsi="Times New Roman" w:cs="Times New Roman"/>
            <w:kern w:val="0"/>
            <w:lang w:eastAsia="en-GB"/>
            <w14:ligatures w14:val="none"/>
          </w:rPr>
          <w:t>https://doi.org/10.11648/j.hyd.20251301.19</w:t>
        </w:r>
      </w:hyperlink>
    </w:p>
    <w:p w14:paraId="56C0AD57" w14:textId="08DAF2F8" w:rsidR="00887CBE" w:rsidRDefault="00FA3ABE"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FA3ABE">
        <w:rPr>
          <w:rFonts w:ascii="Times New Roman" w:eastAsia="Times New Roman" w:hAnsi="Times New Roman" w:cs="Times New Roman"/>
          <w:kern w:val="0"/>
          <w:lang w:eastAsia="en-GB"/>
          <w14:ligatures w14:val="none"/>
        </w:rPr>
        <w:t xml:space="preserve">Ekwueme, C. M., Nwaogazie, I. L., </w:t>
      </w:r>
      <w:proofErr w:type="spellStart"/>
      <w:r w:rsidRPr="00FA3ABE">
        <w:rPr>
          <w:rFonts w:ascii="Times New Roman" w:eastAsia="Times New Roman" w:hAnsi="Times New Roman" w:cs="Times New Roman"/>
          <w:kern w:val="0"/>
          <w:lang w:eastAsia="en-GB"/>
          <w14:ligatures w14:val="none"/>
        </w:rPr>
        <w:t>Ikebude</w:t>
      </w:r>
      <w:proofErr w:type="spellEnd"/>
      <w:r w:rsidRPr="00FA3ABE">
        <w:rPr>
          <w:rFonts w:ascii="Times New Roman" w:eastAsia="Times New Roman" w:hAnsi="Times New Roman" w:cs="Times New Roman"/>
          <w:kern w:val="0"/>
          <w:lang w:eastAsia="en-GB"/>
          <w14:ligatures w14:val="none"/>
        </w:rPr>
        <w:t xml:space="preserve">, C. F., </w:t>
      </w:r>
      <w:proofErr w:type="spellStart"/>
      <w:r w:rsidRPr="00FA3ABE">
        <w:rPr>
          <w:rFonts w:ascii="Times New Roman" w:eastAsia="Times New Roman" w:hAnsi="Times New Roman" w:cs="Times New Roman"/>
          <w:kern w:val="0"/>
          <w:lang w:eastAsia="en-GB"/>
          <w14:ligatures w14:val="none"/>
        </w:rPr>
        <w:t>Amuchi</w:t>
      </w:r>
      <w:proofErr w:type="spellEnd"/>
      <w:r w:rsidRPr="00FA3ABE">
        <w:rPr>
          <w:rFonts w:ascii="Times New Roman" w:eastAsia="Times New Roman" w:hAnsi="Times New Roman" w:cs="Times New Roman"/>
          <w:kern w:val="0"/>
          <w:lang w:eastAsia="en-GB"/>
          <w14:ligatures w14:val="none"/>
        </w:rPr>
        <w:t xml:space="preserve">, G. O., Irokwe, J. O., et al. (2025). Comparative Analysis of Climate Change Trend and Change-point for Daily Rainfall Annual Maximum Time Series Data in Four Gauging Stations in South-East Nigeria. Hydrology, 13(1), 73-82. </w:t>
      </w:r>
      <w:hyperlink r:id="rId9" w:history="1">
        <w:r w:rsidR="00887CBE" w:rsidRPr="00737287">
          <w:rPr>
            <w:rStyle w:val="Hyperlink"/>
            <w:rFonts w:ascii="Times New Roman" w:eastAsia="Times New Roman" w:hAnsi="Times New Roman" w:cs="Times New Roman"/>
            <w:kern w:val="0"/>
            <w:lang w:eastAsia="en-GB"/>
            <w14:ligatures w14:val="none"/>
          </w:rPr>
          <w:t>https://doi.org/10.11648/j.hyd.20251301.18</w:t>
        </w:r>
      </w:hyperlink>
      <w:r w:rsidR="00887CBE">
        <w:rPr>
          <w:rFonts w:ascii="Times New Roman" w:eastAsia="Times New Roman" w:hAnsi="Times New Roman" w:cs="Times New Roman"/>
          <w:kern w:val="0"/>
          <w:lang w:eastAsia="en-GB"/>
          <w14:ligatures w14:val="none"/>
        </w:rPr>
        <w:t>.</w:t>
      </w:r>
    </w:p>
    <w:p w14:paraId="43C24090" w14:textId="711BE8D8" w:rsidR="00774EC1" w:rsidRPr="00774EC1" w:rsidRDefault="00774EC1" w:rsidP="00887CBE">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Endreny</w:t>
      </w:r>
      <w:proofErr w:type="spellEnd"/>
      <w:r w:rsidRPr="00774EC1">
        <w:rPr>
          <w:rFonts w:ascii="Times New Roman" w:eastAsia="Times New Roman" w:hAnsi="Times New Roman" w:cs="Times New Roman"/>
          <w:kern w:val="0"/>
          <w:lang w:eastAsia="en-GB"/>
          <w14:ligatures w14:val="none"/>
        </w:rPr>
        <w:t xml:space="preserve">, T. A., &amp; </w:t>
      </w:r>
      <w:proofErr w:type="spellStart"/>
      <w:r w:rsidRPr="00774EC1">
        <w:rPr>
          <w:rFonts w:ascii="Times New Roman" w:eastAsia="Times New Roman" w:hAnsi="Times New Roman" w:cs="Times New Roman"/>
          <w:kern w:val="0"/>
          <w:lang w:eastAsia="en-GB"/>
          <w14:ligatures w14:val="none"/>
        </w:rPr>
        <w:t>Imbeah</w:t>
      </w:r>
      <w:proofErr w:type="spellEnd"/>
      <w:r w:rsidRPr="00774EC1">
        <w:rPr>
          <w:rFonts w:ascii="Times New Roman" w:eastAsia="Times New Roman" w:hAnsi="Times New Roman" w:cs="Times New Roman"/>
          <w:kern w:val="0"/>
          <w:lang w:eastAsia="en-GB"/>
          <w14:ligatures w14:val="none"/>
        </w:rPr>
        <w:t>, N. (2009). Generating robust rainfall intensity–duration–frequency estimates with short-record satellite data. Journal of Hydrology, 371(1-4), 182-191.</w:t>
      </w:r>
    </w:p>
    <w:p w14:paraId="0E33A7DC"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Ganguli, P., &amp; Coulibaly, P. (2017). Does </w:t>
      </w:r>
      <w:proofErr w:type="spellStart"/>
      <w:r w:rsidRPr="00774EC1">
        <w:rPr>
          <w:rFonts w:ascii="Times New Roman" w:eastAsia="Times New Roman" w:hAnsi="Times New Roman" w:cs="Times New Roman"/>
          <w:kern w:val="0"/>
          <w:lang w:eastAsia="en-GB"/>
          <w14:ligatures w14:val="none"/>
        </w:rPr>
        <w:t>nonstationarity</w:t>
      </w:r>
      <w:proofErr w:type="spellEnd"/>
      <w:r w:rsidRPr="00774EC1">
        <w:rPr>
          <w:rFonts w:ascii="Times New Roman" w:eastAsia="Times New Roman" w:hAnsi="Times New Roman" w:cs="Times New Roman"/>
          <w:kern w:val="0"/>
          <w:lang w:eastAsia="en-GB"/>
          <w14:ligatures w14:val="none"/>
        </w:rPr>
        <w:t xml:space="preserve"> in rainfall require nonstationary intensity–duration–frequency curves? Hydrology and Earth System Sciences, 21(12), 6461-6483.</w:t>
      </w:r>
    </w:p>
    <w:p w14:paraId="6EBB6AB3"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IPCC. (2021). Climate Change 2021: The Physical Science Basis. Contribution of Working Group I to the Sixth Assessment Report of the Intergovernmental Panel on Climate Change. Cambridge University Press.</w:t>
      </w:r>
    </w:p>
    <w:p w14:paraId="26F955AE"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Katz, R.W. (2013). Statistical methods for nonstationary extremes. In: Extremes in a changing climate (pp. 15-37). Dordrecht: Springer.</w:t>
      </w:r>
    </w:p>
    <w:p w14:paraId="4658C968"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Lenderink, G., &amp; van </w:t>
      </w:r>
      <w:proofErr w:type="spellStart"/>
      <w:r w:rsidRPr="00774EC1">
        <w:rPr>
          <w:rFonts w:ascii="Times New Roman" w:eastAsia="Times New Roman" w:hAnsi="Times New Roman" w:cs="Times New Roman"/>
          <w:kern w:val="0"/>
          <w:lang w:eastAsia="en-GB"/>
          <w14:ligatures w14:val="none"/>
        </w:rPr>
        <w:t>Meijgaard</w:t>
      </w:r>
      <w:proofErr w:type="spellEnd"/>
      <w:r w:rsidRPr="00774EC1">
        <w:rPr>
          <w:rFonts w:ascii="Times New Roman" w:eastAsia="Times New Roman" w:hAnsi="Times New Roman" w:cs="Times New Roman"/>
          <w:kern w:val="0"/>
          <w:lang w:eastAsia="en-GB"/>
          <w14:ligatures w14:val="none"/>
        </w:rPr>
        <w:t>, E. (2008). Increase in hourly precipitation extremes beyond expectations from temperature changes. Nature Geoscience, 1(8), 511-514.</w:t>
      </w:r>
    </w:p>
    <w:p w14:paraId="57336269"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Milly, P. C., Betancourt, J., </w:t>
      </w:r>
      <w:proofErr w:type="spellStart"/>
      <w:r w:rsidRPr="00774EC1">
        <w:rPr>
          <w:rFonts w:ascii="Times New Roman" w:eastAsia="Times New Roman" w:hAnsi="Times New Roman" w:cs="Times New Roman"/>
          <w:kern w:val="0"/>
          <w:lang w:eastAsia="en-GB"/>
          <w14:ligatures w14:val="none"/>
        </w:rPr>
        <w:t>Falkenmark</w:t>
      </w:r>
      <w:proofErr w:type="spellEnd"/>
      <w:r w:rsidRPr="00774EC1">
        <w:rPr>
          <w:rFonts w:ascii="Times New Roman" w:eastAsia="Times New Roman" w:hAnsi="Times New Roman" w:cs="Times New Roman"/>
          <w:kern w:val="0"/>
          <w:lang w:eastAsia="en-GB"/>
          <w14:ligatures w14:val="none"/>
        </w:rPr>
        <w:t xml:space="preserve">, M., Hirsch, R. M., </w:t>
      </w:r>
      <w:proofErr w:type="spellStart"/>
      <w:r w:rsidRPr="00774EC1">
        <w:rPr>
          <w:rFonts w:ascii="Times New Roman" w:eastAsia="Times New Roman" w:hAnsi="Times New Roman" w:cs="Times New Roman"/>
          <w:kern w:val="0"/>
          <w:lang w:eastAsia="en-GB"/>
          <w14:ligatures w14:val="none"/>
        </w:rPr>
        <w:t>Kundzewicz</w:t>
      </w:r>
      <w:proofErr w:type="spellEnd"/>
      <w:r w:rsidRPr="00774EC1">
        <w:rPr>
          <w:rFonts w:ascii="Times New Roman" w:eastAsia="Times New Roman" w:hAnsi="Times New Roman" w:cs="Times New Roman"/>
          <w:kern w:val="0"/>
          <w:lang w:eastAsia="en-GB"/>
          <w14:ligatures w14:val="none"/>
        </w:rPr>
        <w:t>, Z. W., Lettenmaier, D. P., &amp; Stouffer, R. J. (2008). Stationarity is dead: Whither water management? Science, 319(5863), 573-574.</w:t>
      </w:r>
    </w:p>
    <w:p w14:paraId="695348DC"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Nashwan, M. S., Ismail, T. A. R. M. I. Z. I., &amp; Ahmed, K. A. M. A. L. (2019). Non-stationary analysis of extreme rainfall in peninsular Malaysia. Journal of Sustainability Science and Management, 14(3), 17-34.</w:t>
      </w:r>
    </w:p>
    <w:p w14:paraId="3B1EFD48"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Nwaogazie, I. L., &amp; Sam, M. G. (2020). A review study on stationary and non-stationary IDF models used in rainfall data analysis around the world from 1951-2020. Int. J. Environ. Clim. Change, 10(12), 465-482.</w:t>
      </w:r>
    </w:p>
    <w:p w14:paraId="2EE7996F"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lastRenderedPageBreak/>
        <w:t xml:space="preserve">Sam, M. G., Nwaogazie, I. L., &amp;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C. (2021). Improving Indian meteorological department method for 24-hourly rainfall downscaling to shorter durations for IDF modeling. International Journal of Hydrology, 5(2), 72-82.</w:t>
      </w:r>
    </w:p>
    <w:p w14:paraId="05F60ED8"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Sam, M. G., Nwaogazie, I. L., &amp;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C. (2023). Establishing Climatic Change on Rainfall Trend, Variation and Change Point Pattern in Benin City, Nigeria. International Journal of Environment and Climate Change, 13(5), 202-212.</w:t>
      </w:r>
    </w:p>
    <w:p w14:paraId="4BA42DF0"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 xml:space="preserve">Sam, M. G., Nwaogazie, I. L., </w:t>
      </w:r>
      <w:proofErr w:type="spellStart"/>
      <w:r w:rsidRPr="00774EC1">
        <w:rPr>
          <w:rFonts w:ascii="Times New Roman" w:eastAsia="Times New Roman" w:hAnsi="Times New Roman" w:cs="Times New Roman"/>
          <w:kern w:val="0"/>
          <w:lang w:eastAsia="en-GB"/>
          <w14:ligatures w14:val="none"/>
        </w:rPr>
        <w:t>Ikebude</w:t>
      </w:r>
      <w:proofErr w:type="spellEnd"/>
      <w:r w:rsidRPr="00774EC1">
        <w:rPr>
          <w:rFonts w:ascii="Times New Roman" w:eastAsia="Times New Roman" w:hAnsi="Times New Roman" w:cs="Times New Roman"/>
          <w:kern w:val="0"/>
          <w:lang w:eastAsia="en-GB"/>
          <w14:ligatures w14:val="none"/>
        </w:rPr>
        <w:t>, C., Inyang, U. J., &amp; Irokwe, J. O. (2023). Modeling Rainfall Intensity-Duration-Frequency (IDF) and Establishing Climate Change Existence in Uyo-Nigeria Using Non-Stationary Approach. Journal of Water Resource and Protection, 15(5), 194-214.</w:t>
      </w:r>
    </w:p>
    <w:p w14:paraId="7483363D"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Silva, A. T., &amp; Simonovic, S. P. (2020). Nonstationary flood frequency analysis in the upper Thames River basin under climate change. Journal of Hydrologic Engineering, 25(4), 04020006.</w:t>
      </w:r>
    </w:p>
    <w:p w14:paraId="68C4AB22"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Sugahara, S., Da Rocha, R. P., &amp; Silveira, R. (2009). Non‐stationary frequency analysis of extreme daily rainfall in Sao Paulo, Brazil. International Journal of Climatology: A Journal of the Royal Meteorological Society, 29(9), 1339-1349.</w:t>
      </w:r>
    </w:p>
    <w:p w14:paraId="5BE6239F"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proofErr w:type="spellStart"/>
      <w:r w:rsidRPr="00774EC1">
        <w:rPr>
          <w:rFonts w:ascii="Times New Roman" w:eastAsia="Times New Roman" w:hAnsi="Times New Roman" w:cs="Times New Roman"/>
          <w:kern w:val="0"/>
          <w:lang w:eastAsia="en-GB"/>
          <w14:ligatures w14:val="none"/>
        </w:rPr>
        <w:t>Tramblay</w:t>
      </w:r>
      <w:proofErr w:type="spellEnd"/>
      <w:r w:rsidRPr="00774EC1">
        <w:rPr>
          <w:rFonts w:ascii="Times New Roman" w:eastAsia="Times New Roman" w:hAnsi="Times New Roman" w:cs="Times New Roman"/>
          <w:kern w:val="0"/>
          <w:lang w:eastAsia="en-GB"/>
          <w14:ligatures w14:val="none"/>
        </w:rPr>
        <w:t>, Y., Neppel, L., Carreau, J., &amp; Sanchez-Gomez, E. (2013). Extreme value modelling of daily areal rainfall over Mediterranean catchments in a changing climate. Hydrological Processes, 27(25), 3934-3944.</w:t>
      </w:r>
    </w:p>
    <w:p w14:paraId="26F176A9"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Trenberth, K. E. (2011). Changes in precipitation with climate change. Climate Research, 47(1-2), 123-138.</w:t>
      </w:r>
    </w:p>
    <w:p w14:paraId="1861FA74" w14:textId="77777777"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Westra, S., Alexander, L. V., &amp; Zwiers, F. W. (2013). Global increasing trends in annual maximum daily precipitation. Journal of Climate, 26(11), 3904-3918.</w:t>
      </w:r>
    </w:p>
    <w:p w14:paraId="26930754" w14:textId="01D1EB71" w:rsidR="00774EC1" w:rsidRPr="00774EC1" w:rsidRDefault="00774EC1" w:rsidP="00774EC1">
      <w:pPr>
        <w:spacing w:before="100" w:beforeAutospacing="1" w:after="100" w:afterAutospacing="1" w:line="240" w:lineRule="auto"/>
        <w:ind w:left="1530" w:hanging="1530"/>
        <w:jc w:val="both"/>
        <w:rPr>
          <w:rFonts w:ascii="Times New Roman" w:eastAsia="Times New Roman" w:hAnsi="Times New Roman" w:cs="Times New Roman"/>
          <w:kern w:val="0"/>
          <w:lang w:eastAsia="en-GB"/>
          <w14:ligatures w14:val="none"/>
        </w:rPr>
      </w:pPr>
      <w:r w:rsidRPr="00774EC1">
        <w:rPr>
          <w:rFonts w:ascii="Times New Roman" w:eastAsia="Times New Roman" w:hAnsi="Times New Roman" w:cs="Times New Roman"/>
          <w:kern w:val="0"/>
          <w:lang w:eastAsia="en-GB"/>
          <w14:ligatures w14:val="none"/>
        </w:rPr>
        <w:t>Willems, P., Arnbjerg-Nielsen, K., Olsson, J., &amp; Nguyen, V. T. V. (2012). Climate change impact assessment on urban rainfall extremes and urban drainage: Methods and shortcomings. Atmospheric Research, 103, 106-118.</w:t>
      </w:r>
    </w:p>
    <w:sectPr w:rsidR="00774EC1" w:rsidRPr="00774EC1" w:rsidSect="00621D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7BCC" w14:textId="77777777" w:rsidR="00F15148" w:rsidRDefault="00F15148" w:rsidP="007E3B6F">
      <w:pPr>
        <w:spacing w:after="0" w:line="240" w:lineRule="auto"/>
      </w:pPr>
      <w:r>
        <w:separator/>
      </w:r>
    </w:p>
  </w:endnote>
  <w:endnote w:type="continuationSeparator" w:id="0">
    <w:p w14:paraId="516BE3EB" w14:textId="77777777" w:rsidR="00F15148" w:rsidRDefault="00F15148" w:rsidP="007E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FF80" w14:textId="77777777" w:rsidR="007E3B6F" w:rsidRDefault="007E3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8B" w14:textId="77777777" w:rsidR="007E3B6F" w:rsidRDefault="007E3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030E" w14:textId="77777777" w:rsidR="007E3B6F" w:rsidRDefault="007E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BD8A8" w14:textId="77777777" w:rsidR="00F15148" w:rsidRDefault="00F15148" w:rsidP="007E3B6F">
      <w:pPr>
        <w:spacing w:after="0" w:line="240" w:lineRule="auto"/>
      </w:pPr>
      <w:r>
        <w:separator/>
      </w:r>
    </w:p>
  </w:footnote>
  <w:footnote w:type="continuationSeparator" w:id="0">
    <w:p w14:paraId="43D3BB3D" w14:textId="77777777" w:rsidR="00F15148" w:rsidRDefault="00F15148" w:rsidP="007E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E379" w14:textId="20CCD714" w:rsidR="007E3B6F" w:rsidRDefault="007E3B6F">
    <w:pPr>
      <w:pStyle w:val="Header"/>
    </w:pPr>
    <w:r>
      <w:rPr>
        <w:noProof/>
      </w:rPr>
      <w:pict w14:anchorId="708E5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A794" w14:textId="16246E7B" w:rsidR="007E3B6F" w:rsidRDefault="007E3B6F">
    <w:pPr>
      <w:pStyle w:val="Header"/>
    </w:pPr>
    <w:r>
      <w:rPr>
        <w:noProof/>
      </w:rPr>
      <w:pict w14:anchorId="7DBB5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B5D5" w14:textId="7B9E6BEB" w:rsidR="007E3B6F" w:rsidRDefault="007E3B6F">
    <w:pPr>
      <w:pStyle w:val="Header"/>
    </w:pPr>
    <w:r>
      <w:rPr>
        <w:noProof/>
      </w:rPr>
      <w:pict w14:anchorId="26B7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623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B8"/>
    <w:rsid w:val="0000486F"/>
    <w:rsid w:val="00085CD4"/>
    <w:rsid w:val="00092239"/>
    <w:rsid w:val="0014292E"/>
    <w:rsid w:val="00164891"/>
    <w:rsid w:val="0016662E"/>
    <w:rsid w:val="001A73E4"/>
    <w:rsid w:val="001B141F"/>
    <w:rsid w:val="001D2A78"/>
    <w:rsid w:val="001E2956"/>
    <w:rsid w:val="002E526C"/>
    <w:rsid w:val="00310D37"/>
    <w:rsid w:val="003544E7"/>
    <w:rsid w:val="003C17A7"/>
    <w:rsid w:val="00445F1E"/>
    <w:rsid w:val="004D6BF4"/>
    <w:rsid w:val="004E29F1"/>
    <w:rsid w:val="004F0C92"/>
    <w:rsid w:val="0053160A"/>
    <w:rsid w:val="00594C14"/>
    <w:rsid w:val="00596B23"/>
    <w:rsid w:val="005D5D29"/>
    <w:rsid w:val="005E2C4C"/>
    <w:rsid w:val="00621DD0"/>
    <w:rsid w:val="00656F34"/>
    <w:rsid w:val="007432CB"/>
    <w:rsid w:val="007656E6"/>
    <w:rsid w:val="00774EC1"/>
    <w:rsid w:val="007C1977"/>
    <w:rsid w:val="007D3587"/>
    <w:rsid w:val="007E3B6F"/>
    <w:rsid w:val="007E711D"/>
    <w:rsid w:val="007F2F90"/>
    <w:rsid w:val="008006E6"/>
    <w:rsid w:val="008371DF"/>
    <w:rsid w:val="0085188E"/>
    <w:rsid w:val="00867774"/>
    <w:rsid w:val="00887CBE"/>
    <w:rsid w:val="00897DBD"/>
    <w:rsid w:val="008A1CA0"/>
    <w:rsid w:val="008A3CD3"/>
    <w:rsid w:val="00910068"/>
    <w:rsid w:val="00911EED"/>
    <w:rsid w:val="00915B98"/>
    <w:rsid w:val="00932C17"/>
    <w:rsid w:val="009523A3"/>
    <w:rsid w:val="009A4601"/>
    <w:rsid w:val="009A4DE5"/>
    <w:rsid w:val="009D6161"/>
    <w:rsid w:val="009E1CC6"/>
    <w:rsid w:val="00A10D99"/>
    <w:rsid w:val="00A424CC"/>
    <w:rsid w:val="00A448F7"/>
    <w:rsid w:val="00A70E8B"/>
    <w:rsid w:val="00A7241F"/>
    <w:rsid w:val="00A80594"/>
    <w:rsid w:val="00AB048A"/>
    <w:rsid w:val="00AB2FE7"/>
    <w:rsid w:val="00AB5ECA"/>
    <w:rsid w:val="00AD339B"/>
    <w:rsid w:val="00B62805"/>
    <w:rsid w:val="00B80188"/>
    <w:rsid w:val="00BA3B17"/>
    <w:rsid w:val="00BD1CB8"/>
    <w:rsid w:val="00C405AD"/>
    <w:rsid w:val="00C545B3"/>
    <w:rsid w:val="00C81627"/>
    <w:rsid w:val="00C873A8"/>
    <w:rsid w:val="00CA249E"/>
    <w:rsid w:val="00CD46E8"/>
    <w:rsid w:val="00CF7120"/>
    <w:rsid w:val="00D1119D"/>
    <w:rsid w:val="00D43B2F"/>
    <w:rsid w:val="00D46979"/>
    <w:rsid w:val="00DC33E2"/>
    <w:rsid w:val="00E16269"/>
    <w:rsid w:val="00E9356C"/>
    <w:rsid w:val="00EA38E9"/>
    <w:rsid w:val="00EC782C"/>
    <w:rsid w:val="00F15148"/>
    <w:rsid w:val="00F17FEE"/>
    <w:rsid w:val="00F21A46"/>
    <w:rsid w:val="00F77EBB"/>
    <w:rsid w:val="00F82170"/>
    <w:rsid w:val="00FA3ABE"/>
    <w:rsid w:val="00FB5D90"/>
    <w:rsid w:val="00FD3BD7"/>
    <w:rsid w:val="00FE3C6E"/>
    <w:rsid w:val="00FE64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4D9390"/>
  <w15:chartTrackingRefBased/>
  <w15:docId w15:val="{474455D8-2C98-4984-A257-DD9EAC9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C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C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C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C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C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C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C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C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C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B8"/>
    <w:rPr>
      <w:rFonts w:eastAsiaTheme="majorEastAsia" w:cstheme="majorBidi"/>
      <w:color w:val="272727" w:themeColor="text1" w:themeTint="D8"/>
    </w:rPr>
  </w:style>
  <w:style w:type="paragraph" w:styleId="Title">
    <w:name w:val="Title"/>
    <w:basedOn w:val="Normal"/>
    <w:next w:val="Normal"/>
    <w:link w:val="TitleChar"/>
    <w:uiPriority w:val="10"/>
    <w:qFormat/>
    <w:rsid w:val="00BD1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B8"/>
    <w:pPr>
      <w:spacing w:before="160"/>
      <w:jc w:val="center"/>
    </w:pPr>
    <w:rPr>
      <w:i/>
      <w:iCs/>
      <w:color w:val="404040" w:themeColor="text1" w:themeTint="BF"/>
    </w:rPr>
  </w:style>
  <w:style w:type="character" w:customStyle="1" w:styleId="QuoteChar">
    <w:name w:val="Quote Char"/>
    <w:basedOn w:val="DefaultParagraphFont"/>
    <w:link w:val="Quote"/>
    <w:uiPriority w:val="29"/>
    <w:rsid w:val="00BD1CB8"/>
    <w:rPr>
      <w:i/>
      <w:iCs/>
      <w:color w:val="404040" w:themeColor="text1" w:themeTint="BF"/>
    </w:rPr>
  </w:style>
  <w:style w:type="paragraph" w:styleId="ListParagraph">
    <w:name w:val="List Paragraph"/>
    <w:basedOn w:val="Normal"/>
    <w:uiPriority w:val="34"/>
    <w:qFormat/>
    <w:rsid w:val="00BD1CB8"/>
    <w:pPr>
      <w:ind w:left="720"/>
      <w:contextualSpacing/>
    </w:pPr>
  </w:style>
  <w:style w:type="character" w:styleId="IntenseEmphasis">
    <w:name w:val="Intense Emphasis"/>
    <w:basedOn w:val="DefaultParagraphFont"/>
    <w:uiPriority w:val="21"/>
    <w:qFormat/>
    <w:rsid w:val="00BD1CB8"/>
    <w:rPr>
      <w:i/>
      <w:iCs/>
      <w:color w:val="2E74B5" w:themeColor="accent1" w:themeShade="BF"/>
    </w:rPr>
  </w:style>
  <w:style w:type="paragraph" w:styleId="IntenseQuote">
    <w:name w:val="Intense Quote"/>
    <w:basedOn w:val="Normal"/>
    <w:next w:val="Normal"/>
    <w:link w:val="IntenseQuoteChar"/>
    <w:uiPriority w:val="30"/>
    <w:qFormat/>
    <w:rsid w:val="00BD1C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CB8"/>
    <w:rPr>
      <w:i/>
      <w:iCs/>
      <w:color w:val="2E74B5" w:themeColor="accent1" w:themeShade="BF"/>
    </w:rPr>
  </w:style>
  <w:style w:type="character" w:styleId="IntenseReference">
    <w:name w:val="Intense Reference"/>
    <w:basedOn w:val="DefaultParagraphFont"/>
    <w:uiPriority w:val="32"/>
    <w:qFormat/>
    <w:rsid w:val="00BD1CB8"/>
    <w:rPr>
      <w:b/>
      <w:bCs/>
      <w:smallCaps/>
      <w:color w:val="2E74B5" w:themeColor="accent1" w:themeShade="BF"/>
      <w:spacing w:val="5"/>
    </w:rPr>
  </w:style>
  <w:style w:type="table" w:styleId="TableGrid">
    <w:name w:val="Table Grid"/>
    <w:basedOn w:val="TableNormal"/>
    <w:uiPriority w:val="39"/>
    <w:rsid w:val="0076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CBE"/>
    <w:rPr>
      <w:color w:val="0563C1" w:themeColor="hyperlink"/>
      <w:u w:val="single"/>
    </w:rPr>
  </w:style>
  <w:style w:type="character" w:styleId="UnresolvedMention">
    <w:name w:val="Unresolved Mention"/>
    <w:basedOn w:val="DefaultParagraphFont"/>
    <w:uiPriority w:val="99"/>
    <w:semiHidden/>
    <w:unhideWhenUsed/>
    <w:rsid w:val="00887CBE"/>
    <w:rPr>
      <w:color w:val="605E5C"/>
      <w:shd w:val="clear" w:color="auto" w:fill="E1DFDD"/>
    </w:rPr>
  </w:style>
  <w:style w:type="paragraph" w:styleId="Header">
    <w:name w:val="header"/>
    <w:basedOn w:val="Normal"/>
    <w:link w:val="HeaderChar"/>
    <w:uiPriority w:val="99"/>
    <w:unhideWhenUsed/>
    <w:rsid w:val="007E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6F"/>
  </w:style>
  <w:style w:type="paragraph" w:styleId="Footer">
    <w:name w:val="footer"/>
    <w:basedOn w:val="Normal"/>
    <w:link w:val="FooterChar"/>
    <w:uiPriority w:val="99"/>
    <w:unhideWhenUsed/>
    <w:rsid w:val="007E3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5243">
      <w:bodyDiv w:val="1"/>
      <w:marLeft w:val="0"/>
      <w:marRight w:val="0"/>
      <w:marTop w:val="0"/>
      <w:marBottom w:val="0"/>
      <w:divBdr>
        <w:top w:val="none" w:sz="0" w:space="0" w:color="auto"/>
        <w:left w:val="none" w:sz="0" w:space="0" w:color="auto"/>
        <w:bottom w:val="none" w:sz="0" w:space="0" w:color="auto"/>
        <w:right w:val="none" w:sz="0" w:space="0" w:color="auto"/>
      </w:divBdr>
    </w:div>
    <w:div w:id="539362869">
      <w:bodyDiv w:val="1"/>
      <w:marLeft w:val="0"/>
      <w:marRight w:val="0"/>
      <w:marTop w:val="0"/>
      <w:marBottom w:val="0"/>
      <w:divBdr>
        <w:top w:val="none" w:sz="0" w:space="0" w:color="auto"/>
        <w:left w:val="none" w:sz="0" w:space="0" w:color="auto"/>
        <w:bottom w:val="none" w:sz="0" w:space="0" w:color="auto"/>
        <w:right w:val="none" w:sz="0" w:space="0" w:color="auto"/>
      </w:divBdr>
    </w:div>
    <w:div w:id="541093234">
      <w:bodyDiv w:val="1"/>
      <w:marLeft w:val="0"/>
      <w:marRight w:val="0"/>
      <w:marTop w:val="0"/>
      <w:marBottom w:val="0"/>
      <w:divBdr>
        <w:top w:val="none" w:sz="0" w:space="0" w:color="auto"/>
        <w:left w:val="none" w:sz="0" w:space="0" w:color="auto"/>
        <w:bottom w:val="none" w:sz="0" w:space="0" w:color="auto"/>
        <w:right w:val="none" w:sz="0" w:space="0" w:color="auto"/>
      </w:divBdr>
    </w:div>
    <w:div w:id="852956249">
      <w:bodyDiv w:val="1"/>
      <w:marLeft w:val="0"/>
      <w:marRight w:val="0"/>
      <w:marTop w:val="0"/>
      <w:marBottom w:val="0"/>
      <w:divBdr>
        <w:top w:val="none" w:sz="0" w:space="0" w:color="auto"/>
        <w:left w:val="none" w:sz="0" w:space="0" w:color="auto"/>
        <w:bottom w:val="none" w:sz="0" w:space="0" w:color="auto"/>
        <w:right w:val="none" w:sz="0" w:space="0" w:color="auto"/>
      </w:divBdr>
    </w:div>
    <w:div w:id="960376991">
      <w:bodyDiv w:val="1"/>
      <w:marLeft w:val="0"/>
      <w:marRight w:val="0"/>
      <w:marTop w:val="0"/>
      <w:marBottom w:val="0"/>
      <w:divBdr>
        <w:top w:val="none" w:sz="0" w:space="0" w:color="auto"/>
        <w:left w:val="none" w:sz="0" w:space="0" w:color="auto"/>
        <w:bottom w:val="none" w:sz="0" w:space="0" w:color="auto"/>
        <w:right w:val="none" w:sz="0" w:space="0" w:color="auto"/>
      </w:divBdr>
    </w:div>
    <w:div w:id="1217277912">
      <w:bodyDiv w:val="1"/>
      <w:marLeft w:val="0"/>
      <w:marRight w:val="0"/>
      <w:marTop w:val="0"/>
      <w:marBottom w:val="0"/>
      <w:divBdr>
        <w:top w:val="none" w:sz="0" w:space="0" w:color="auto"/>
        <w:left w:val="none" w:sz="0" w:space="0" w:color="auto"/>
        <w:bottom w:val="none" w:sz="0" w:space="0" w:color="auto"/>
        <w:right w:val="none" w:sz="0" w:space="0" w:color="auto"/>
      </w:divBdr>
    </w:div>
    <w:div w:id="1571383956">
      <w:bodyDiv w:val="1"/>
      <w:marLeft w:val="0"/>
      <w:marRight w:val="0"/>
      <w:marTop w:val="0"/>
      <w:marBottom w:val="0"/>
      <w:divBdr>
        <w:top w:val="none" w:sz="0" w:space="0" w:color="auto"/>
        <w:left w:val="none" w:sz="0" w:space="0" w:color="auto"/>
        <w:bottom w:val="none" w:sz="0" w:space="0" w:color="auto"/>
        <w:right w:val="none" w:sz="0" w:space="0" w:color="auto"/>
      </w:divBdr>
    </w:div>
    <w:div w:id="1637756474">
      <w:bodyDiv w:val="1"/>
      <w:marLeft w:val="0"/>
      <w:marRight w:val="0"/>
      <w:marTop w:val="0"/>
      <w:marBottom w:val="0"/>
      <w:divBdr>
        <w:top w:val="none" w:sz="0" w:space="0" w:color="auto"/>
        <w:left w:val="none" w:sz="0" w:space="0" w:color="auto"/>
        <w:bottom w:val="none" w:sz="0" w:space="0" w:color="auto"/>
        <w:right w:val="none" w:sz="0" w:space="0" w:color="auto"/>
      </w:divBdr>
    </w:div>
    <w:div w:id="1670018590">
      <w:bodyDiv w:val="1"/>
      <w:marLeft w:val="0"/>
      <w:marRight w:val="0"/>
      <w:marTop w:val="0"/>
      <w:marBottom w:val="0"/>
      <w:divBdr>
        <w:top w:val="none" w:sz="0" w:space="0" w:color="auto"/>
        <w:left w:val="none" w:sz="0" w:space="0" w:color="auto"/>
        <w:bottom w:val="none" w:sz="0" w:space="0" w:color="auto"/>
        <w:right w:val="none" w:sz="0" w:space="0" w:color="auto"/>
      </w:divBdr>
    </w:div>
    <w:div w:id="1723212994">
      <w:bodyDiv w:val="1"/>
      <w:marLeft w:val="0"/>
      <w:marRight w:val="0"/>
      <w:marTop w:val="0"/>
      <w:marBottom w:val="0"/>
      <w:divBdr>
        <w:top w:val="none" w:sz="0" w:space="0" w:color="auto"/>
        <w:left w:val="none" w:sz="0" w:space="0" w:color="auto"/>
        <w:bottom w:val="none" w:sz="0" w:space="0" w:color="auto"/>
        <w:right w:val="none" w:sz="0" w:space="0" w:color="auto"/>
      </w:divBdr>
    </w:div>
    <w:div w:id="20600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hyd.20251301.19"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648/j.hyd.20251301.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SDI 1084</cp:lastModifiedBy>
  <cp:revision>70</cp:revision>
  <dcterms:created xsi:type="dcterms:W3CDTF">2025-03-29T16:44:00Z</dcterms:created>
  <dcterms:modified xsi:type="dcterms:W3CDTF">2025-04-07T14:20:00Z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82f07386-b419-4dff-8873-3f6057d73cd2</vt:lpwstr>
  </property>
</Properties>
</file>