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A2AED" w14:textId="7ECB7E3B" w:rsidR="00D261B9" w:rsidRPr="00591093" w:rsidRDefault="00D6322F" w:rsidP="00591093">
      <w:pPr>
        <w:spacing w:line="360" w:lineRule="auto"/>
        <w:jc w:val="center"/>
        <w:rPr>
          <w:rFonts w:cstheme="minorHAnsi"/>
          <w:b/>
          <w:sz w:val="24"/>
          <w:szCs w:val="24"/>
        </w:rPr>
      </w:pPr>
      <w:bookmarkStart w:id="0" w:name="_GoBack"/>
      <w:bookmarkEnd w:id="0"/>
      <w:r w:rsidRPr="00DA227C">
        <w:rPr>
          <w:rFonts w:cstheme="minorHAnsi"/>
          <w:b/>
          <w:sz w:val="24"/>
          <w:szCs w:val="24"/>
        </w:rPr>
        <w:t xml:space="preserve">Alterations in Cellular Immune Markers Among Patients with Type 2 Diabetes Mellitus </w:t>
      </w:r>
      <w:r w:rsidRPr="00D261B9">
        <w:rPr>
          <w:rFonts w:cstheme="minorHAnsi"/>
          <w:b/>
          <w:sz w:val="24"/>
          <w:szCs w:val="24"/>
        </w:rPr>
        <w:t>Compared to Healthy Controls</w:t>
      </w:r>
    </w:p>
    <w:p w14:paraId="53ED9273" w14:textId="77777777" w:rsidR="00D261B9" w:rsidRPr="00DA227C" w:rsidRDefault="00D261B9" w:rsidP="00D261B9">
      <w:pPr>
        <w:spacing w:line="360" w:lineRule="auto"/>
        <w:rPr>
          <w:rFonts w:cstheme="minorHAnsi"/>
          <w:b/>
          <w:sz w:val="24"/>
          <w:szCs w:val="24"/>
        </w:rPr>
      </w:pPr>
    </w:p>
    <w:p w14:paraId="5C182323" w14:textId="77777777" w:rsidR="00D6322F" w:rsidRPr="00DA227C" w:rsidRDefault="00D6322F" w:rsidP="00DA227C">
      <w:pPr>
        <w:spacing w:before="100" w:beforeAutospacing="1" w:after="100" w:afterAutospacing="1" w:line="360" w:lineRule="auto"/>
        <w:jc w:val="center"/>
        <w:outlineLvl w:val="2"/>
        <w:rPr>
          <w:rFonts w:eastAsia="Times New Roman" w:cstheme="minorHAnsi"/>
          <w:b/>
          <w:bCs/>
          <w:sz w:val="24"/>
          <w:szCs w:val="24"/>
        </w:rPr>
      </w:pPr>
      <w:r w:rsidRPr="00DA227C">
        <w:rPr>
          <w:rFonts w:eastAsia="Times New Roman" w:cstheme="minorHAnsi"/>
          <w:b/>
          <w:bCs/>
          <w:sz w:val="24"/>
          <w:szCs w:val="24"/>
        </w:rPr>
        <w:t>Abstract</w:t>
      </w:r>
    </w:p>
    <w:p w14:paraId="2508DBFE" w14:textId="77777777" w:rsidR="007B6876" w:rsidRPr="007B6876" w:rsidRDefault="00D6322F" w:rsidP="007B6876">
      <w:pPr>
        <w:spacing w:line="360" w:lineRule="auto"/>
        <w:jc w:val="both"/>
        <w:rPr>
          <w:rFonts w:eastAsia="Times New Roman" w:cstheme="minorHAnsi"/>
          <w:sz w:val="24"/>
          <w:szCs w:val="24"/>
        </w:rPr>
      </w:pPr>
      <w:r w:rsidRPr="007B6876">
        <w:rPr>
          <w:rFonts w:eastAsia="Times New Roman" w:cstheme="minorHAnsi"/>
          <w:b/>
          <w:bCs/>
          <w:sz w:val="24"/>
          <w:szCs w:val="24"/>
        </w:rPr>
        <w:t>Introduction:</w:t>
      </w:r>
      <w:r w:rsidRPr="007B6876">
        <w:rPr>
          <w:rFonts w:eastAsia="Times New Roman" w:cstheme="minorHAnsi"/>
          <w:sz w:val="24"/>
          <w:szCs w:val="24"/>
        </w:rPr>
        <w:t xml:space="preserve"> </w:t>
      </w:r>
      <w:r w:rsidR="007B6876" w:rsidRPr="007B6876">
        <w:rPr>
          <w:rFonts w:eastAsia="Times New Roman" w:cstheme="minorHAnsi"/>
          <w:sz w:val="24"/>
          <w:szCs w:val="24"/>
        </w:rPr>
        <w:t>In addition to hyperglycemia, type 2 diabetes mellitus (T2DM) is a chronic metabolic disease marked by immunological dysregulation and low-grade systemic inflammation. Changes in cellular immune markers, including CD4⁺ and CD8⁺ T lymphocytes, have been identified as important factors in the pathophysiology and consequences of type 2 diabetes.</w:t>
      </w:r>
    </w:p>
    <w:p w14:paraId="5FEC76CA" w14:textId="77777777" w:rsidR="00D6322F" w:rsidRPr="007B6876" w:rsidRDefault="00D6322F" w:rsidP="007B6876">
      <w:pPr>
        <w:spacing w:before="100" w:beforeAutospacing="1" w:after="100" w:afterAutospacing="1" w:line="360" w:lineRule="auto"/>
        <w:jc w:val="both"/>
        <w:rPr>
          <w:rFonts w:eastAsia="Times New Roman" w:cstheme="minorHAnsi"/>
          <w:sz w:val="24"/>
          <w:szCs w:val="24"/>
        </w:rPr>
      </w:pPr>
      <w:r w:rsidRPr="007B6876">
        <w:rPr>
          <w:rFonts w:eastAsia="Times New Roman" w:cstheme="minorHAnsi"/>
          <w:b/>
          <w:bCs/>
          <w:sz w:val="24"/>
          <w:szCs w:val="24"/>
        </w:rPr>
        <w:t>Aim/Objective:</w:t>
      </w:r>
      <w:r w:rsidRPr="007B6876">
        <w:rPr>
          <w:rFonts w:eastAsia="Times New Roman" w:cstheme="minorHAnsi"/>
          <w:sz w:val="24"/>
          <w:szCs w:val="24"/>
        </w:rPr>
        <w:t xml:space="preserve"> This study aimed to evaluate the alterations in cellular immune markers among patients with T2DM compared to age- and sex-matched healthy controls.</w:t>
      </w:r>
    </w:p>
    <w:p w14:paraId="0D960338" w14:textId="77777777" w:rsidR="007B6876" w:rsidRPr="007B6876" w:rsidRDefault="00D6322F" w:rsidP="007B6876">
      <w:pPr>
        <w:spacing w:line="360" w:lineRule="auto"/>
        <w:jc w:val="both"/>
        <w:rPr>
          <w:rFonts w:eastAsia="Times New Roman" w:cstheme="minorHAnsi"/>
          <w:sz w:val="24"/>
          <w:szCs w:val="24"/>
        </w:rPr>
      </w:pPr>
      <w:r w:rsidRPr="007B6876">
        <w:rPr>
          <w:rFonts w:eastAsia="Times New Roman" w:cstheme="minorHAnsi"/>
          <w:b/>
          <w:bCs/>
          <w:sz w:val="24"/>
          <w:szCs w:val="24"/>
        </w:rPr>
        <w:t>Method:</w:t>
      </w:r>
      <w:r w:rsidRPr="007B6876">
        <w:rPr>
          <w:rFonts w:eastAsia="Times New Roman" w:cstheme="minorHAnsi"/>
          <w:sz w:val="24"/>
          <w:szCs w:val="24"/>
        </w:rPr>
        <w:t xml:space="preserve"> </w:t>
      </w:r>
      <w:r w:rsidR="007B6876" w:rsidRPr="007B6876">
        <w:rPr>
          <w:rFonts w:eastAsia="Times New Roman" w:cstheme="minorHAnsi"/>
          <w:sz w:val="24"/>
          <w:szCs w:val="24"/>
        </w:rPr>
        <w:t xml:space="preserve">A comparative cross-sectional study with 240 participants—140 T2DM patients and 100 healthy controls—was conducted in Edo State, Nigeria. Peripheral blood samples were collected and analyzed for cellular immunological markers (CD4⁺, CD8⁺, and β-cells) using flow cytometry. ELISA and atomic absorption spectrophotometry were employed to detect the amounts of heavy metals (Pb, Hg, and </w:t>
      </w:r>
      <w:proofErr w:type="gramStart"/>
      <w:r w:rsidR="007B6876" w:rsidRPr="007B6876">
        <w:rPr>
          <w:rFonts w:eastAsia="Times New Roman" w:cstheme="minorHAnsi"/>
          <w:sz w:val="24"/>
          <w:szCs w:val="24"/>
        </w:rPr>
        <w:t>As</w:t>
      </w:r>
      <w:proofErr w:type="gramEnd"/>
      <w:r w:rsidR="007B6876" w:rsidRPr="007B6876">
        <w:rPr>
          <w:rFonts w:eastAsia="Times New Roman" w:cstheme="minorHAnsi"/>
          <w:sz w:val="24"/>
          <w:szCs w:val="24"/>
        </w:rPr>
        <w:t xml:space="preserve">) and inflammatory cytokines (IL-6, TNF-α, and </w:t>
      </w:r>
      <w:proofErr w:type="spellStart"/>
      <w:r w:rsidR="007B6876" w:rsidRPr="007B6876">
        <w:rPr>
          <w:rFonts w:eastAsia="Times New Roman" w:cstheme="minorHAnsi"/>
          <w:sz w:val="24"/>
          <w:szCs w:val="24"/>
        </w:rPr>
        <w:t>hs</w:t>
      </w:r>
      <w:proofErr w:type="spellEnd"/>
      <w:r w:rsidR="007B6876" w:rsidRPr="007B6876">
        <w:rPr>
          <w:rFonts w:eastAsia="Times New Roman" w:cstheme="minorHAnsi"/>
          <w:sz w:val="24"/>
          <w:szCs w:val="24"/>
        </w:rPr>
        <w:t>-CRP), respectively. SPSS version 26.0 was used to statistically analyze the data, with a significance level of p&lt;0.05.</w:t>
      </w:r>
    </w:p>
    <w:p w14:paraId="4F063B08" w14:textId="77777777" w:rsidR="007B6876" w:rsidRPr="007B6876" w:rsidRDefault="00D6322F" w:rsidP="007B6876">
      <w:pPr>
        <w:spacing w:line="360" w:lineRule="auto"/>
        <w:jc w:val="both"/>
        <w:rPr>
          <w:rFonts w:eastAsia="Times New Roman" w:cstheme="minorHAnsi"/>
          <w:sz w:val="24"/>
          <w:szCs w:val="24"/>
        </w:rPr>
      </w:pPr>
      <w:r w:rsidRPr="007B6876">
        <w:rPr>
          <w:rFonts w:eastAsia="Times New Roman" w:cstheme="minorHAnsi"/>
          <w:b/>
          <w:bCs/>
          <w:sz w:val="24"/>
          <w:szCs w:val="24"/>
        </w:rPr>
        <w:t>Results:</w:t>
      </w:r>
      <w:r w:rsidRPr="007B6876">
        <w:rPr>
          <w:rFonts w:eastAsia="Times New Roman" w:cstheme="minorHAnsi"/>
          <w:sz w:val="24"/>
          <w:szCs w:val="24"/>
        </w:rPr>
        <w:t xml:space="preserve"> </w:t>
      </w:r>
      <w:r w:rsidR="007B6876" w:rsidRPr="007B6876">
        <w:rPr>
          <w:rFonts w:eastAsia="Times New Roman" w:cstheme="minorHAnsi"/>
          <w:sz w:val="24"/>
          <w:szCs w:val="24"/>
        </w:rPr>
        <w:t>Compared to controls (CD4⁺: 812.3 ± 141.6; CD8⁺: 520.8 ± 77.9; p&lt;0.001), T2DM patients had significantly lower CD4⁺ counts (582.6 ± 132.4 cells/</w:t>
      </w:r>
      <w:proofErr w:type="spellStart"/>
      <w:r w:rsidR="007B6876" w:rsidRPr="007B6876">
        <w:rPr>
          <w:rFonts w:eastAsia="Times New Roman" w:cstheme="minorHAnsi"/>
          <w:sz w:val="24"/>
          <w:szCs w:val="24"/>
        </w:rPr>
        <w:t>μL</w:t>
      </w:r>
      <w:proofErr w:type="spellEnd"/>
      <w:r w:rsidR="007B6876" w:rsidRPr="007B6876">
        <w:rPr>
          <w:rFonts w:eastAsia="Times New Roman" w:cstheme="minorHAnsi"/>
          <w:sz w:val="24"/>
          <w:szCs w:val="24"/>
        </w:rPr>
        <w:t>) and CD8⁺ counts (371.4 ± 89.3 cells/</w:t>
      </w:r>
      <w:proofErr w:type="spellStart"/>
      <w:r w:rsidR="007B6876" w:rsidRPr="007B6876">
        <w:rPr>
          <w:rFonts w:eastAsia="Times New Roman" w:cstheme="minorHAnsi"/>
          <w:sz w:val="24"/>
          <w:szCs w:val="24"/>
        </w:rPr>
        <w:t>μL</w:t>
      </w:r>
      <w:proofErr w:type="spellEnd"/>
      <w:r w:rsidR="007B6876" w:rsidRPr="007B6876">
        <w:rPr>
          <w:rFonts w:eastAsia="Times New Roman" w:cstheme="minorHAnsi"/>
          <w:sz w:val="24"/>
          <w:szCs w:val="24"/>
        </w:rPr>
        <w:t xml:space="preserve">). Subjects with type 2 diabetes had higher levels of TNF-α (47.8 ± 5.9 pg/mL), IL-6 (62.4 ± 7.1 </w:t>
      </w:r>
      <w:proofErr w:type="spellStart"/>
      <w:r w:rsidR="007B6876" w:rsidRPr="007B6876">
        <w:rPr>
          <w:rFonts w:eastAsia="Times New Roman" w:cstheme="minorHAnsi"/>
          <w:sz w:val="24"/>
          <w:szCs w:val="24"/>
        </w:rPr>
        <w:t>pg</w:t>
      </w:r>
      <w:proofErr w:type="spellEnd"/>
      <w:r w:rsidR="007B6876" w:rsidRPr="007B6876">
        <w:rPr>
          <w:rFonts w:eastAsia="Times New Roman" w:cstheme="minorHAnsi"/>
          <w:sz w:val="24"/>
          <w:szCs w:val="24"/>
        </w:rPr>
        <w:t xml:space="preserve">/mL), and </w:t>
      </w:r>
      <w:proofErr w:type="spellStart"/>
      <w:r w:rsidR="007B6876" w:rsidRPr="007B6876">
        <w:rPr>
          <w:rFonts w:eastAsia="Times New Roman" w:cstheme="minorHAnsi"/>
          <w:sz w:val="24"/>
          <w:szCs w:val="24"/>
        </w:rPr>
        <w:t>hs</w:t>
      </w:r>
      <w:proofErr w:type="spellEnd"/>
      <w:r w:rsidR="007B6876" w:rsidRPr="007B6876">
        <w:rPr>
          <w:rFonts w:eastAsia="Times New Roman" w:cstheme="minorHAnsi"/>
          <w:sz w:val="24"/>
          <w:szCs w:val="24"/>
        </w:rPr>
        <w:t>-CRP (6.1 ± 1.2 mg/L) (p&lt;0.001). Immune indicators were shown to be significantly correlated with glucose indices and illness duration.</w:t>
      </w:r>
    </w:p>
    <w:p w14:paraId="3D138AE2" w14:textId="77777777" w:rsidR="007B6876" w:rsidRPr="007B6876" w:rsidRDefault="00D6322F" w:rsidP="007B6876">
      <w:pPr>
        <w:spacing w:line="360" w:lineRule="auto"/>
        <w:jc w:val="both"/>
        <w:rPr>
          <w:rFonts w:eastAsia="Times New Roman" w:cstheme="minorHAnsi"/>
          <w:sz w:val="24"/>
          <w:szCs w:val="24"/>
        </w:rPr>
      </w:pPr>
      <w:r w:rsidRPr="007B6876">
        <w:rPr>
          <w:rFonts w:eastAsia="Times New Roman" w:cstheme="minorHAnsi"/>
          <w:b/>
          <w:bCs/>
          <w:sz w:val="24"/>
          <w:szCs w:val="24"/>
        </w:rPr>
        <w:t>Conclusion:</w:t>
      </w:r>
      <w:r w:rsidRPr="007B6876">
        <w:rPr>
          <w:rFonts w:eastAsia="Times New Roman" w:cstheme="minorHAnsi"/>
          <w:sz w:val="24"/>
          <w:szCs w:val="24"/>
        </w:rPr>
        <w:t xml:space="preserve"> </w:t>
      </w:r>
      <w:r w:rsidR="007B6876" w:rsidRPr="007B6876">
        <w:rPr>
          <w:rFonts w:eastAsia="Times New Roman" w:cstheme="minorHAnsi"/>
          <w:sz w:val="24"/>
          <w:szCs w:val="24"/>
        </w:rPr>
        <w:t xml:space="preserve">This work demonstrates that cellular immunological dysregulation, which is marked by elevated inflammatory cytokines and reduced CD4⁺ and CD8⁺ T cells, is prevalent in type 2 </w:t>
      </w:r>
      <w:r w:rsidR="007B6876" w:rsidRPr="007B6876">
        <w:rPr>
          <w:rFonts w:eastAsia="Times New Roman" w:cstheme="minorHAnsi"/>
          <w:sz w:val="24"/>
          <w:szCs w:val="24"/>
        </w:rPr>
        <w:lastRenderedPageBreak/>
        <w:t>diabetes. The intensity and complications of the disease may be influenced by these immunological disruptions.</w:t>
      </w:r>
    </w:p>
    <w:p w14:paraId="31C3C5F0" w14:textId="77777777" w:rsidR="00D6322F" w:rsidRPr="007B6876" w:rsidRDefault="00D6322F" w:rsidP="007B6876">
      <w:pPr>
        <w:spacing w:before="100" w:beforeAutospacing="1" w:after="100" w:afterAutospacing="1" w:line="360" w:lineRule="auto"/>
        <w:jc w:val="both"/>
        <w:rPr>
          <w:rFonts w:eastAsia="Times New Roman" w:cstheme="minorHAnsi"/>
          <w:sz w:val="24"/>
          <w:szCs w:val="24"/>
        </w:rPr>
      </w:pPr>
      <w:r w:rsidRPr="007B6876">
        <w:rPr>
          <w:rFonts w:eastAsia="Times New Roman" w:cstheme="minorHAnsi"/>
          <w:b/>
          <w:bCs/>
          <w:sz w:val="24"/>
          <w:szCs w:val="24"/>
        </w:rPr>
        <w:t>Keywords:</w:t>
      </w:r>
      <w:r w:rsidRPr="007B6876">
        <w:rPr>
          <w:rFonts w:eastAsia="Times New Roman" w:cstheme="minorHAnsi"/>
          <w:sz w:val="24"/>
          <w:szCs w:val="24"/>
        </w:rPr>
        <w:t xml:space="preserve"> Type 2 Diabetes Mellitus, Cellular Immunity, CD4⁺ T Cells, CD8⁺ T Cells, Inflammation, Cytokines, Nigeria.</w:t>
      </w:r>
    </w:p>
    <w:p w14:paraId="3E8D46C1" w14:textId="77777777" w:rsidR="00D6322F" w:rsidRPr="00DA227C" w:rsidRDefault="00D6322F" w:rsidP="00DA227C">
      <w:pPr>
        <w:spacing w:line="360" w:lineRule="auto"/>
        <w:jc w:val="both"/>
        <w:rPr>
          <w:rFonts w:cstheme="minorHAnsi"/>
          <w:b/>
          <w:sz w:val="24"/>
          <w:szCs w:val="24"/>
        </w:rPr>
      </w:pPr>
    </w:p>
    <w:p w14:paraId="4CE0274A" w14:textId="77777777" w:rsidR="00D6322F" w:rsidRPr="00DA227C" w:rsidRDefault="00D6322F" w:rsidP="00DA227C">
      <w:pPr>
        <w:spacing w:line="360" w:lineRule="auto"/>
        <w:jc w:val="both"/>
        <w:rPr>
          <w:rFonts w:cstheme="minorHAnsi"/>
          <w:b/>
          <w:sz w:val="24"/>
          <w:szCs w:val="24"/>
        </w:rPr>
      </w:pPr>
    </w:p>
    <w:p w14:paraId="4E501F2B" w14:textId="77777777" w:rsidR="00D6322F" w:rsidRPr="00DA227C" w:rsidRDefault="00D6322F" w:rsidP="00DA227C">
      <w:pPr>
        <w:spacing w:line="360" w:lineRule="auto"/>
        <w:jc w:val="both"/>
        <w:rPr>
          <w:rFonts w:cstheme="minorHAnsi"/>
          <w:b/>
          <w:sz w:val="24"/>
          <w:szCs w:val="24"/>
        </w:rPr>
      </w:pPr>
    </w:p>
    <w:p w14:paraId="72C893ED" w14:textId="77777777" w:rsidR="00D6322F" w:rsidRPr="00DA227C" w:rsidRDefault="00D6322F" w:rsidP="00DA227C">
      <w:pPr>
        <w:spacing w:line="360" w:lineRule="auto"/>
        <w:jc w:val="both"/>
        <w:rPr>
          <w:rFonts w:cstheme="minorHAnsi"/>
          <w:b/>
          <w:sz w:val="24"/>
          <w:szCs w:val="24"/>
        </w:rPr>
      </w:pPr>
    </w:p>
    <w:p w14:paraId="13DFED1A" w14:textId="77777777" w:rsidR="00D6322F" w:rsidRPr="00DA227C" w:rsidRDefault="00D6322F" w:rsidP="00DA227C">
      <w:pPr>
        <w:spacing w:line="360" w:lineRule="auto"/>
        <w:jc w:val="both"/>
        <w:rPr>
          <w:rFonts w:cstheme="minorHAnsi"/>
          <w:b/>
          <w:sz w:val="24"/>
          <w:szCs w:val="24"/>
        </w:rPr>
      </w:pPr>
    </w:p>
    <w:p w14:paraId="1097B79E" w14:textId="77777777" w:rsidR="00D6322F" w:rsidRPr="00DA227C" w:rsidRDefault="00D6322F" w:rsidP="00DA227C">
      <w:pPr>
        <w:spacing w:line="360" w:lineRule="auto"/>
        <w:jc w:val="both"/>
        <w:rPr>
          <w:rFonts w:cstheme="minorHAnsi"/>
          <w:b/>
          <w:sz w:val="24"/>
          <w:szCs w:val="24"/>
        </w:rPr>
      </w:pPr>
    </w:p>
    <w:p w14:paraId="276BF294" w14:textId="77777777" w:rsidR="00D6322F" w:rsidRPr="00DA227C" w:rsidRDefault="00D6322F" w:rsidP="00DA227C">
      <w:pPr>
        <w:spacing w:line="360" w:lineRule="auto"/>
        <w:jc w:val="both"/>
        <w:rPr>
          <w:rFonts w:cstheme="minorHAnsi"/>
          <w:b/>
          <w:sz w:val="24"/>
          <w:szCs w:val="24"/>
        </w:rPr>
      </w:pPr>
    </w:p>
    <w:p w14:paraId="7345EADC" w14:textId="77777777" w:rsidR="00D6322F" w:rsidRPr="00DA227C" w:rsidRDefault="00D6322F" w:rsidP="00DA227C">
      <w:pPr>
        <w:spacing w:line="360" w:lineRule="auto"/>
        <w:jc w:val="both"/>
        <w:rPr>
          <w:rFonts w:cstheme="minorHAnsi"/>
          <w:b/>
          <w:sz w:val="24"/>
          <w:szCs w:val="24"/>
        </w:rPr>
      </w:pPr>
    </w:p>
    <w:p w14:paraId="5C4FE49E" w14:textId="77777777" w:rsidR="00D6322F" w:rsidRPr="00DA227C" w:rsidRDefault="00D6322F" w:rsidP="00DA227C">
      <w:pPr>
        <w:spacing w:line="360" w:lineRule="auto"/>
        <w:jc w:val="both"/>
        <w:rPr>
          <w:rFonts w:cstheme="minorHAnsi"/>
          <w:b/>
          <w:sz w:val="24"/>
          <w:szCs w:val="24"/>
        </w:rPr>
      </w:pPr>
    </w:p>
    <w:p w14:paraId="0002746B" w14:textId="77777777" w:rsidR="00D6322F" w:rsidRPr="00DA227C" w:rsidRDefault="00D6322F" w:rsidP="00DA227C">
      <w:pPr>
        <w:spacing w:line="360" w:lineRule="auto"/>
        <w:jc w:val="both"/>
        <w:rPr>
          <w:rFonts w:cstheme="minorHAnsi"/>
          <w:b/>
          <w:sz w:val="24"/>
          <w:szCs w:val="24"/>
        </w:rPr>
      </w:pPr>
    </w:p>
    <w:p w14:paraId="7938D960" w14:textId="77777777" w:rsidR="00D6322F" w:rsidRPr="00DA227C" w:rsidRDefault="00D6322F" w:rsidP="00DA227C">
      <w:pPr>
        <w:spacing w:line="360" w:lineRule="auto"/>
        <w:jc w:val="both"/>
        <w:rPr>
          <w:rFonts w:cstheme="minorHAnsi"/>
          <w:b/>
          <w:sz w:val="24"/>
          <w:szCs w:val="24"/>
        </w:rPr>
      </w:pPr>
    </w:p>
    <w:p w14:paraId="14F83409" w14:textId="77777777" w:rsidR="00D6322F" w:rsidRPr="00DA227C" w:rsidRDefault="00D6322F" w:rsidP="00DA227C">
      <w:pPr>
        <w:spacing w:line="360" w:lineRule="auto"/>
        <w:jc w:val="both"/>
        <w:rPr>
          <w:rFonts w:cstheme="minorHAnsi"/>
          <w:b/>
          <w:sz w:val="24"/>
          <w:szCs w:val="24"/>
        </w:rPr>
      </w:pPr>
    </w:p>
    <w:p w14:paraId="10F0FDC9" w14:textId="77777777" w:rsidR="00D6322F" w:rsidRPr="00DA227C" w:rsidRDefault="00D6322F" w:rsidP="00DA227C">
      <w:pPr>
        <w:spacing w:line="360" w:lineRule="auto"/>
        <w:jc w:val="both"/>
        <w:rPr>
          <w:rFonts w:cstheme="minorHAnsi"/>
          <w:b/>
          <w:sz w:val="24"/>
          <w:szCs w:val="24"/>
        </w:rPr>
      </w:pPr>
    </w:p>
    <w:p w14:paraId="0844CA8F" w14:textId="77777777" w:rsidR="00D6322F" w:rsidRPr="00DA227C" w:rsidRDefault="00D6322F" w:rsidP="00DA227C">
      <w:pPr>
        <w:spacing w:line="360" w:lineRule="auto"/>
        <w:jc w:val="both"/>
        <w:rPr>
          <w:rFonts w:cstheme="minorHAnsi"/>
          <w:b/>
          <w:sz w:val="24"/>
          <w:szCs w:val="24"/>
        </w:rPr>
      </w:pPr>
    </w:p>
    <w:p w14:paraId="521B8ED0" w14:textId="77777777" w:rsidR="00D6322F" w:rsidRPr="00DA227C" w:rsidRDefault="00D6322F" w:rsidP="00DA227C">
      <w:pPr>
        <w:spacing w:line="360" w:lineRule="auto"/>
        <w:jc w:val="both"/>
        <w:rPr>
          <w:rFonts w:cstheme="minorHAnsi"/>
          <w:b/>
          <w:sz w:val="24"/>
          <w:szCs w:val="24"/>
        </w:rPr>
      </w:pPr>
    </w:p>
    <w:p w14:paraId="0642AA9E" w14:textId="77777777" w:rsidR="00D6322F" w:rsidRPr="00DA227C" w:rsidRDefault="00D6322F" w:rsidP="00DA227C">
      <w:pPr>
        <w:spacing w:line="360" w:lineRule="auto"/>
        <w:jc w:val="both"/>
        <w:rPr>
          <w:rFonts w:cstheme="minorHAnsi"/>
          <w:b/>
          <w:sz w:val="24"/>
          <w:szCs w:val="24"/>
        </w:rPr>
      </w:pPr>
    </w:p>
    <w:p w14:paraId="469815D6" w14:textId="77777777" w:rsidR="00D6322F" w:rsidRDefault="00D6322F" w:rsidP="00DA227C">
      <w:pPr>
        <w:spacing w:line="360" w:lineRule="auto"/>
        <w:jc w:val="both"/>
        <w:rPr>
          <w:rFonts w:cstheme="minorHAnsi"/>
          <w:b/>
          <w:sz w:val="24"/>
          <w:szCs w:val="24"/>
        </w:rPr>
      </w:pPr>
    </w:p>
    <w:p w14:paraId="538A938C" w14:textId="77777777" w:rsidR="00DA227C" w:rsidRPr="00DA227C" w:rsidRDefault="00DA227C" w:rsidP="00DA227C">
      <w:pPr>
        <w:spacing w:line="360" w:lineRule="auto"/>
        <w:jc w:val="both"/>
        <w:rPr>
          <w:rFonts w:cstheme="minorHAnsi"/>
          <w:b/>
          <w:sz w:val="24"/>
          <w:szCs w:val="24"/>
        </w:rPr>
      </w:pPr>
    </w:p>
    <w:p w14:paraId="064B55C7" w14:textId="77777777" w:rsidR="00D6322F" w:rsidRPr="00DA227C" w:rsidRDefault="00D6322F" w:rsidP="00DA227C">
      <w:pPr>
        <w:spacing w:before="100" w:beforeAutospacing="1" w:after="100" w:afterAutospacing="1" w:line="360" w:lineRule="auto"/>
        <w:jc w:val="both"/>
        <w:outlineLvl w:val="2"/>
        <w:rPr>
          <w:rFonts w:eastAsia="Times New Roman" w:cstheme="minorHAnsi"/>
          <w:b/>
          <w:bCs/>
          <w:sz w:val="28"/>
          <w:szCs w:val="28"/>
        </w:rPr>
      </w:pPr>
      <w:r w:rsidRPr="00DA227C">
        <w:rPr>
          <w:rFonts w:eastAsia="Times New Roman" w:cstheme="minorHAnsi"/>
          <w:b/>
          <w:bCs/>
          <w:sz w:val="28"/>
          <w:szCs w:val="28"/>
        </w:rPr>
        <w:t>1. Introduction</w:t>
      </w:r>
    </w:p>
    <w:p w14:paraId="132666B2" w14:textId="77777777" w:rsidR="007B6876" w:rsidRPr="007B6876" w:rsidRDefault="00761E52" w:rsidP="007B6876">
      <w:pPr>
        <w:spacing w:after="0" w:line="360" w:lineRule="auto"/>
        <w:jc w:val="both"/>
        <w:rPr>
          <w:rFonts w:eastAsia="Times New Roman" w:cstheme="minorHAnsi"/>
          <w:sz w:val="24"/>
          <w:szCs w:val="24"/>
        </w:rPr>
      </w:pPr>
      <w:r w:rsidRPr="007B6876">
        <w:rPr>
          <w:rFonts w:eastAsia="Times New Roman" w:cstheme="minorHAnsi"/>
          <w:sz w:val="24"/>
          <w:szCs w:val="24"/>
        </w:rPr>
        <w:t>A common metabolic disease, type 2 diabetes mellitus (T2DM) is becoming more widely acknowledged for its complex effects on immune function in addition to its influence on glucose metabolism. Its hallmark is persistent hyperglycemia brought on by a combination of insulin resistance and decreased pancreatic β-cell insulin production (1,2). Globally, the burden of T2DM has reached epidemic proportions, with over 537 million adults affected as of 2021, a number anticipated to climb to 783 million by 2045, according to the International Diabetes Federation (3). Nigeria has one of the highest rates of diabetes in sub-Saharan Africa, which is mostly caused by under</w:t>
      </w:r>
      <w:r w:rsidR="007B6876">
        <w:rPr>
          <w:rFonts w:eastAsia="Times New Roman" w:cstheme="minorHAnsi"/>
          <w:sz w:val="24"/>
          <w:szCs w:val="24"/>
        </w:rPr>
        <w:t>-</w:t>
      </w:r>
      <w:r w:rsidRPr="007B6876">
        <w:rPr>
          <w:rFonts w:eastAsia="Times New Roman" w:cstheme="minorHAnsi"/>
          <w:sz w:val="24"/>
          <w:szCs w:val="24"/>
        </w:rPr>
        <w:t>diagnosis, sedentary lifestyles, dietary changes, and urbanization (4,5).</w:t>
      </w:r>
    </w:p>
    <w:p w14:paraId="433E855E" w14:textId="77777777" w:rsidR="00761E52" w:rsidRPr="007B6876" w:rsidRDefault="00761E52" w:rsidP="007B6876">
      <w:pPr>
        <w:spacing w:after="0" w:line="360" w:lineRule="auto"/>
        <w:jc w:val="both"/>
        <w:rPr>
          <w:rFonts w:eastAsia="Times New Roman" w:cstheme="minorHAnsi"/>
          <w:sz w:val="24"/>
          <w:szCs w:val="24"/>
        </w:rPr>
      </w:pPr>
      <w:r w:rsidRPr="007B6876">
        <w:rPr>
          <w:rFonts w:eastAsia="Times New Roman" w:cstheme="minorHAnsi"/>
          <w:sz w:val="24"/>
          <w:szCs w:val="24"/>
        </w:rPr>
        <w:t>Current research has shown that persistent low-grade inflammation and immunological dysregulation also play important roles in the pathogenesis and consequences of type 2 diabetes, despite the fact that glucose dysregulation is the hallmark of the disease (6,7). Chronic hyperglycemia and metabolic stress trigger the generation of reactive oxygen species (ROS), which in turn trigger oxidative stress, the activation of inflammatory signaling pathways like NF-</w:t>
      </w:r>
      <w:proofErr w:type="spellStart"/>
      <w:r w:rsidRPr="007B6876">
        <w:rPr>
          <w:rFonts w:eastAsia="Times New Roman" w:cstheme="minorHAnsi"/>
          <w:sz w:val="24"/>
          <w:szCs w:val="24"/>
        </w:rPr>
        <w:t>κB</w:t>
      </w:r>
      <w:proofErr w:type="spellEnd"/>
      <w:r w:rsidRPr="007B6876">
        <w:rPr>
          <w:rFonts w:eastAsia="Times New Roman" w:cstheme="minorHAnsi"/>
          <w:sz w:val="24"/>
          <w:szCs w:val="24"/>
        </w:rPr>
        <w:t>, and the release of pro-inflammatory cytokines like high-sensitivity C-reactive protein (</w:t>
      </w:r>
      <w:proofErr w:type="spellStart"/>
      <w:r w:rsidRPr="007B6876">
        <w:rPr>
          <w:rFonts w:eastAsia="Times New Roman" w:cstheme="minorHAnsi"/>
          <w:sz w:val="24"/>
          <w:szCs w:val="24"/>
        </w:rPr>
        <w:t>hs</w:t>
      </w:r>
      <w:proofErr w:type="spellEnd"/>
      <w:r w:rsidRPr="007B6876">
        <w:rPr>
          <w:rFonts w:eastAsia="Times New Roman" w:cstheme="minorHAnsi"/>
          <w:sz w:val="24"/>
          <w:szCs w:val="24"/>
        </w:rPr>
        <w:t>-CRP), interleukin-6 (IL-6), and tumor necrosis factor-alpha (TNF-α) (8–10). These inflammatory mediators increase the risk of cardiovascular and renal problems by interfering with insulin signaling, compromising β-cell function, and causing endothelial dysfunction and atherogenesis (11,12).</w:t>
      </w:r>
    </w:p>
    <w:p w14:paraId="508F44A9" w14:textId="77777777" w:rsidR="00761E52" w:rsidRPr="007B6876" w:rsidRDefault="007B6876" w:rsidP="007B6876">
      <w:pPr>
        <w:spacing w:after="0" w:line="360" w:lineRule="auto"/>
        <w:jc w:val="both"/>
        <w:rPr>
          <w:rFonts w:eastAsia="Times New Roman" w:cstheme="minorHAnsi"/>
          <w:sz w:val="24"/>
          <w:szCs w:val="24"/>
        </w:rPr>
      </w:pPr>
      <w:r>
        <w:rPr>
          <w:rFonts w:eastAsia="Times New Roman" w:cstheme="minorHAnsi"/>
          <w:sz w:val="24"/>
          <w:szCs w:val="24"/>
        </w:rPr>
        <w:t>I</w:t>
      </w:r>
      <w:r w:rsidR="00761E52" w:rsidRPr="007B6876">
        <w:rPr>
          <w:rFonts w:eastAsia="Times New Roman" w:cstheme="minorHAnsi"/>
          <w:sz w:val="24"/>
          <w:szCs w:val="24"/>
        </w:rPr>
        <w:t xml:space="preserve">mmunological dysfunction in type 2 diabetes entails significant changes in the cellular immunological landscape and goes beyond humoral responses. T-lymphocyte subsets are crucial for regulating immunological responses, especially CD4⁺ helper T cells and CD8⁺ cytotoxic T cells. However, these cells frequently exhibit both functional and quantitative abnormalities in type 2 diabetes (T2DM) (13–15). While CD8⁺ T cells engage in direct cytotoxic actions, CD4⁺ T cells help B cells and produce cytokines to control immune responses. Numerous investigations have documented a decrease in both CD4⁺ and CD8⁺ T-cell counts in individuals with type 2 diabetes, which is frequently linked to inadequate glycemic </w:t>
      </w:r>
      <w:r w:rsidR="00761E52" w:rsidRPr="007B6876">
        <w:rPr>
          <w:rFonts w:eastAsia="Times New Roman" w:cstheme="minorHAnsi"/>
          <w:sz w:val="24"/>
          <w:szCs w:val="24"/>
        </w:rPr>
        <w:lastRenderedPageBreak/>
        <w:t>management, elevated inflammation, and heightened vulnerability to infections (16–18). Increased levels of circulating inflammatory cytokines, which can cause T-cell death and hinder proliferation, exacerbate this immunological dysregulation (19).</w:t>
      </w:r>
    </w:p>
    <w:p w14:paraId="2349D53F" w14:textId="77777777" w:rsidR="00761E52" w:rsidRPr="007B6876" w:rsidRDefault="00761E52" w:rsidP="007B6876">
      <w:pPr>
        <w:spacing w:after="0" w:line="360" w:lineRule="auto"/>
        <w:jc w:val="both"/>
        <w:rPr>
          <w:rFonts w:eastAsia="Times New Roman" w:cstheme="minorHAnsi"/>
          <w:sz w:val="24"/>
          <w:szCs w:val="24"/>
        </w:rPr>
      </w:pPr>
      <w:r w:rsidRPr="007B6876">
        <w:rPr>
          <w:rFonts w:eastAsia="Times New Roman" w:cstheme="minorHAnsi"/>
          <w:sz w:val="24"/>
          <w:szCs w:val="24"/>
        </w:rPr>
        <w:t>Further, there is growing evidence that inflammation and immune cell dysfunction are mutually reinforcing in diabetes. Adipose tissue, particularly in obese people, functions as an endocrine organ that secretes pro-inflammatory cytokines (adipokines), which attract immune cells and worsen insulin resistance (20). Visceral fat depots are specifically involved in the recruitment of macrophages and T cells, which contributes to the inflammatory milieu seen in diabetic patients (21). This chronic inflammatory state also affects regulatory T cells (Tregs), natural killer (NK) cells, and antigen-presenting cells, all of which impair immune surveillance and make people more susceptible to infections, cancer, and autoimmunity (22–24).</w:t>
      </w:r>
    </w:p>
    <w:p w14:paraId="6286A129" w14:textId="77777777" w:rsidR="00761E52" w:rsidRPr="007B6876" w:rsidRDefault="00761E52" w:rsidP="007B6876">
      <w:pPr>
        <w:spacing w:after="0" w:line="360" w:lineRule="auto"/>
        <w:jc w:val="both"/>
        <w:rPr>
          <w:rFonts w:eastAsia="Times New Roman" w:cstheme="minorHAnsi"/>
          <w:sz w:val="24"/>
          <w:szCs w:val="24"/>
        </w:rPr>
      </w:pPr>
      <w:r w:rsidRPr="007B6876">
        <w:rPr>
          <w:rFonts w:eastAsia="Times New Roman" w:cstheme="minorHAnsi"/>
          <w:sz w:val="24"/>
          <w:szCs w:val="24"/>
        </w:rPr>
        <w:t>Additional issues in Nigeria are related to the genetic and environmental environments. Many regions of the nation, including Edo State, have reported cases of heavy metal exposure due to industrial pollution and inappropriate waste disposal (25, 26). Exposure to heavy metals, including arsenic (As), lead (Pb), and mercury (Hg), can intensify inflammatory reactions, increase oxidative stress, and further impair immunological function (27). In addition to aggravating insulin resistance, these toxicants also disrupt DNA repair and T-cell activation, which may have long-term immunological and genomic repercussions (28).</w:t>
      </w:r>
    </w:p>
    <w:p w14:paraId="61E1827A" w14:textId="77777777" w:rsidR="007B6876" w:rsidRPr="007B6876" w:rsidRDefault="007B6876" w:rsidP="007B6876">
      <w:pPr>
        <w:spacing w:after="0" w:line="360" w:lineRule="auto"/>
        <w:jc w:val="both"/>
        <w:rPr>
          <w:rFonts w:eastAsia="Times New Roman" w:cstheme="minorHAnsi"/>
          <w:sz w:val="24"/>
          <w:szCs w:val="24"/>
        </w:rPr>
      </w:pPr>
      <w:r w:rsidRPr="007B6876">
        <w:rPr>
          <w:rFonts w:eastAsia="Times New Roman" w:cstheme="minorHAnsi"/>
          <w:sz w:val="24"/>
          <w:szCs w:val="24"/>
        </w:rPr>
        <w:t>The specific changes in cellular immunological markers in Nigerian T2DM patients are still poorly understood, despite growing evidence. Given regional differences in genetics, environmental exposures, dietary patterns, and access to healthcare, it is imperative to comprehend these immunological alterations in the local context. By assessing cellular immune markers (CD4⁺, CD8⁺, and β-cell levels) in T2DM patients in Edo State and contrasting them with healthy controls, this study aims to close this information gap. It is anticipated that the results will aid in better risk assessment, early identification of immunological malfunction, and the creation of focused diabetes control treatments.</w:t>
      </w:r>
    </w:p>
    <w:p w14:paraId="23576155" w14:textId="77777777" w:rsidR="00DA227C" w:rsidRDefault="00DA227C" w:rsidP="00DA227C">
      <w:pPr>
        <w:spacing w:before="100" w:beforeAutospacing="1" w:after="100" w:afterAutospacing="1" w:line="360" w:lineRule="auto"/>
        <w:jc w:val="both"/>
        <w:rPr>
          <w:rFonts w:eastAsia="Times New Roman" w:cstheme="minorHAnsi"/>
          <w:sz w:val="24"/>
          <w:szCs w:val="24"/>
        </w:rPr>
      </w:pPr>
    </w:p>
    <w:p w14:paraId="6A3DB9A4" w14:textId="77777777" w:rsidR="007B6876" w:rsidRPr="00DA227C" w:rsidRDefault="007B6876" w:rsidP="00DA227C">
      <w:pPr>
        <w:spacing w:before="100" w:beforeAutospacing="1" w:after="100" w:afterAutospacing="1" w:line="360" w:lineRule="auto"/>
        <w:jc w:val="both"/>
        <w:rPr>
          <w:rFonts w:eastAsia="Times New Roman" w:cstheme="minorHAnsi"/>
          <w:sz w:val="24"/>
          <w:szCs w:val="24"/>
        </w:rPr>
      </w:pPr>
    </w:p>
    <w:p w14:paraId="5D07B885" w14:textId="77777777" w:rsidR="00D6322F" w:rsidRPr="00DA227C" w:rsidRDefault="00DA227C" w:rsidP="00DA227C">
      <w:pPr>
        <w:spacing w:line="360" w:lineRule="auto"/>
        <w:jc w:val="both"/>
        <w:rPr>
          <w:rFonts w:cstheme="minorHAnsi"/>
          <w:b/>
          <w:sz w:val="28"/>
          <w:szCs w:val="28"/>
        </w:rPr>
      </w:pPr>
      <w:r>
        <w:rPr>
          <w:rFonts w:cstheme="minorHAnsi"/>
          <w:b/>
          <w:sz w:val="28"/>
          <w:szCs w:val="28"/>
        </w:rPr>
        <w:lastRenderedPageBreak/>
        <w:t xml:space="preserve">2.0 </w:t>
      </w:r>
      <w:r w:rsidR="00D6322F" w:rsidRPr="00DA227C">
        <w:rPr>
          <w:rFonts w:cstheme="minorHAnsi"/>
          <w:b/>
          <w:sz w:val="28"/>
          <w:szCs w:val="28"/>
        </w:rPr>
        <w:t>Materials and Methods</w:t>
      </w:r>
    </w:p>
    <w:p w14:paraId="0C3EAE65" w14:textId="77777777" w:rsidR="00D6322F" w:rsidRPr="007B6876" w:rsidRDefault="00D6322F" w:rsidP="00DA227C">
      <w:pPr>
        <w:pStyle w:val="Heading3"/>
        <w:spacing w:line="360" w:lineRule="auto"/>
        <w:jc w:val="both"/>
        <w:rPr>
          <w:rFonts w:asciiTheme="minorHAnsi" w:hAnsiTheme="minorHAnsi" w:cstheme="minorHAnsi"/>
          <w:b w:val="0"/>
          <w:sz w:val="24"/>
          <w:szCs w:val="24"/>
        </w:rPr>
      </w:pPr>
      <w:r w:rsidRPr="007B6876">
        <w:rPr>
          <w:rStyle w:val="Strong"/>
          <w:rFonts w:asciiTheme="minorHAnsi" w:hAnsiTheme="minorHAnsi" w:cstheme="minorHAnsi"/>
          <w:b/>
          <w:bCs/>
          <w:sz w:val="24"/>
          <w:szCs w:val="24"/>
        </w:rPr>
        <w:t>2.1 Study Design and Setting</w:t>
      </w:r>
    </w:p>
    <w:p w14:paraId="5BB517A1" w14:textId="77777777" w:rsidR="007B6876" w:rsidRPr="007B6876" w:rsidRDefault="007B6876" w:rsidP="007B6876">
      <w:pPr>
        <w:spacing w:after="0" w:line="360" w:lineRule="auto"/>
        <w:jc w:val="both"/>
        <w:rPr>
          <w:rFonts w:eastAsia="Times New Roman" w:cstheme="minorHAnsi"/>
          <w:sz w:val="24"/>
          <w:szCs w:val="24"/>
        </w:rPr>
      </w:pPr>
      <w:r w:rsidRPr="007B6876">
        <w:rPr>
          <w:rFonts w:eastAsia="Times New Roman" w:cstheme="minorHAnsi"/>
          <w:sz w:val="24"/>
          <w:szCs w:val="24"/>
        </w:rPr>
        <w:t>Inflammation, cellular immunological markers, and toxic heavy metals were assessed in a cross-sectional comparative study between T2DM patients and age- and sex-matched controls. The University of Benin Teaching Hospital (UBTH) and Igbinedion University Teaching Hospital (IUTH), both in Edo South Senatorial District, Nigeria, were the sites of data collection from July to December 2024 (1).</w:t>
      </w:r>
    </w:p>
    <w:p w14:paraId="4D586B81" w14:textId="77777777" w:rsidR="00D6322F" w:rsidRPr="007B6876" w:rsidRDefault="00D6322F" w:rsidP="007B6876">
      <w:pPr>
        <w:pStyle w:val="Heading3"/>
        <w:spacing w:line="360" w:lineRule="auto"/>
        <w:jc w:val="both"/>
        <w:rPr>
          <w:rFonts w:asciiTheme="minorHAnsi" w:hAnsiTheme="minorHAnsi" w:cstheme="minorHAnsi"/>
          <w:sz w:val="24"/>
          <w:szCs w:val="24"/>
        </w:rPr>
      </w:pPr>
      <w:r w:rsidRPr="007B6876">
        <w:rPr>
          <w:rStyle w:val="Strong"/>
          <w:rFonts w:asciiTheme="minorHAnsi" w:hAnsiTheme="minorHAnsi" w:cstheme="minorHAnsi"/>
          <w:b/>
          <w:bCs/>
          <w:sz w:val="24"/>
          <w:szCs w:val="24"/>
        </w:rPr>
        <w:t>2.2 Study Area</w:t>
      </w:r>
    </w:p>
    <w:p w14:paraId="542122E8" w14:textId="77777777" w:rsidR="007B6876" w:rsidRPr="007B6876" w:rsidRDefault="007B6876" w:rsidP="007B6876">
      <w:pPr>
        <w:spacing w:after="0" w:line="360" w:lineRule="auto"/>
        <w:jc w:val="both"/>
        <w:rPr>
          <w:rFonts w:eastAsia="Times New Roman" w:cstheme="minorHAnsi"/>
          <w:sz w:val="24"/>
          <w:szCs w:val="24"/>
        </w:rPr>
      </w:pPr>
      <w:r w:rsidRPr="007B6876">
        <w:rPr>
          <w:rFonts w:eastAsia="Times New Roman" w:cstheme="minorHAnsi"/>
          <w:sz w:val="24"/>
          <w:szCs w:val="24"/>
        </w:rPr>
        <w:t>The study was conducted in Edo State, Nigeria, a tropical region with a mix of urban and rural areas where people are exposed to different levels of environmental contaminants and metabolic hazards related to type 2 diabetes (1).</w:t>
      </w:r>
    </w:p>
    <w:p w14:paraId="1644FF77" w14:textId="77777777" w:rsidR="00D6322F" w:rsidRPr="007B6876" w:rsidRDefault="00D6322F" w:rsidP="007B6876">
      <w:pPr>
        <w:pStyle w:val="Heading3"/>
        <w:spacing w:line="360" w:lineRule="auto"/>
        <w:jc w:val="both"/>
        <w:rPr>
          <w:rFonts w:asciiTheme="minorHAnsi" w:hAnsiTheme="minorHAnsi" w:cstheme="minorHAnsi"/>
          <w:sz w:val="24"/>
          <w:szCs w:val="24"/>
        </w:rPr>
      </w:pPr>
      <w:r w:rsidRPr="007B6876">
        <w:rPr>
          <w:rStyle w:val="Strong"/>
          <w:rFonts w:asciiTheme="minorHAnsi" w:hAnsiTheme="minorHAnsi" w:cstheme="minorHAnsi"/>
          <w:b/>
          <w:bCs/>
          <w:sz w:val="24"/>
          <w:szCs w:val="24"/>
        </w:rPr>
        <w:t>2.3 Sample Size Determination</w:t>
      </w:r>
    </w:p>
    <w:p w14:paraId="70094242" w14:textId="77777777" w:rsidR="00D6322F" w:rsidRPr="00DA227C" w:rsidRDefault="00D6322F" w:rsidP="00DA227C">
      <w:pPr>
        <w:spacing w:before="100" w:beforeAutospacing="1" w:after="100" w:afterAutospacing="1" w:line="360" w:lineRule="auto"/>
        <w:jc w:val="both"/>
        <w:rPr>
          <w:rFonts w:cstheme="minorHAnsi"/>
          <w:b/>
          <w:sz w:val="24"/>
          <w:szCs w:val="24"/>
        </w:rPr>
      </w:pPr>
      <w:r w:rsidRPr="00DA227C">
        <w:rPr>
          <w:rFonts w:cstheme="minorHAnsi"/>
          <w:sz w:val="24"/>
          <w:szCs w:val="24"/>
        </w:rPr>
        <w:t xml:space="preserve">Using the Cochran formula and a local prevalence rate of 16.7%, a minimum sample of 209 participants was derived. Adjusted for a 10% attrition rate, the final sample was </w:t>
      </w:r>
      <w:r w:rsidRPr="00DA227C">
        <w:rPr>
          <w:rStyle w:val="Strong"/>
          <w:rFonts w:cstheme="minorHAnsi"/>
          <w:b w:val="0"/>
          <w:sz w:val="24"/>
          <w:szCs w:val="24"/>
        </w:rPr>
        <w:t>240 participants</w:t>
      </w:r>
      <w:r w:rsidRPr="00DA227C">
        <w:rPr>
          <w:rFonts w:cstheme="minorHAnsi"/>
          <w:b/>
          <w:sz w:val="24"/>
          <w:szCs w:val="24"/>
        </w:rPr>
        <w:t xml:space="preserve">: </w:t>
      </w:r>
      <w:r w:rsidRPr="00DA227C">
        <w:rPr>
          <w:rStyle w:val="Strong"/>
          <w:rFonts w:cstheme="minorHAnsi"/>
          <w:b w:val="0"/>
          <w:sz w:val="24"/>
          <w:szCs w:val="24"/>
        </w:rPr>
        <w:t>140 T2DM patients</w:t>
      </w:r>
      <w:r w:rsidRPr="00DA227C">
        <w:rPr>
          <w:rFonts w:cstheme="minorHAnsi"/>
          <w:b/>
          <w:sz w:val="24"/>
          <w:szCs w:val="24"/>
        </w:rPr>
        <w:t xml:space="preserve"> </w:t>
      </w:r>
      <w:r w:rsidRPr="00DA227C">
        <w:rPr>
          <w:rFonts w:cstheme="minorHAnsi"/>
          <w:sz w:val="24"/>
          <w:szCs w:val="24"/>
        </w:rPr>
        <w:t xml:space="preserve">and </w:t>
      </w:r>
      <w:r w:rsidRPr="00DA227C">
        <w:rPr>
          <w:rStyle w:val="Strong"/>
          <w:rFonts w:cstheme="minorHAnsi"/>
          <w:b w:val="0"/>
          <w:sz w:val="24"/>
          <w:szCs w:val="24"/>
        </w:rPr>
        <w:t>100 healthy controls</w:t>
      </w:r>
      <w:r w:rsidRPr="00DA227C">
        <w:rPr>
          <w:rFonts w:cstheme="minorHAnsi"/>
          <w:b/>
          <w:sz w:val="24"/>
          <w:szCs w:val="24"/>
        </w:rPr>
        <w:t xml:space="preserve"> </w:t>
      </w:r>
      <w:r w:rsidRPr="00DA227C">
        <w:rPr>
          <w:rFonts w:cstheme="minorHAnsi"/>
          <w:sz w:val="24"/>
          <w:szCs w:val="24"/>
        </w:rPr>
        <w:t>(2).</w:t>
      </w:r>
    </w:p>
    <w:p w14:paraId="2E3FC980" w14:textId="77777777" w:rsidR="00D6322F" w:rsidRPr="00DA227C" w:rsidRDefault="00D6322F" w:rsidP="00DA227C">
      <w:pPr>
        <w:pStyle w:val="Heading3"/>
        <w:spacing w:line="360" w:lineRule="auto"/>
        <w:jc w:val="both"/>
        <w:rPr>
          <w:rFonts w:asciiTheme="minorHAnsi" w:hAnsiTheme="minorHAnsi" w:cstheme="minorHAnsi"/>
          <w:sz w:val="24"/>
          <w:szCs w:val="24"/>
        </w:rPr>
      </w:pPr>
      <w:r w:rsidRPr="00DA227C">
        <w:rPr>
          <w:rStyle w:val="Strong"/>
          <w:rFonts w:asciiTheme="minorHAnsi" w:hAnsiTheme="minorHAnsi" w:cstheme="minorHAnsi"/>
          <w:b/>
          <w:bCs/>
          <w:sz w:val="24"/>
          <w:szCs w:val="24"/>
        </w:rPr>
        <w:t>2.4 Study Subjects</w:t>
      </w:r>
    </w:p>
    <w:p w14:paraId="60220026" w14:textId="77777777" w:rsidR="00D6322F" w:rsidRPr="00DA227C" w:rsidRDefault="00D6322F" w:rsidP="00DA227C">
      <w:pPr>
        <w:pStyle w:val="Heading4"/>
        <w:spacing w:line="360" w:lineRule="auto"/>
        <w:jc w:val="both"/>
        <w:rPr>
          <w:rFonts w:asciiTheme="minorHAnsi" w:hAnsiTheme="minorHAnsi" w:cstheme="minorHAnsi"/>
          <w:i w:val="0"/>
          <w:color w:val="auto"/>
          <w:sz w:val="24"/>
          <w:szCs w:val="24"/>
        </w:rPr>
      </w:pPr>
      <w:r w:rsidRPr="00DA227C">
        <w:rPr>
          <w:rStyle w:val="Strong"/>
          <w:rFonts w:asciiTheme="minorHAnsi" w:hAnsiTheme="minorHAnsi" w:cstheme="minorHAnsi"/>
          <w:b/>
          <w:bCs/>
          <w:i w:val="0"/>
          <w:color w:val="auto"/>
          <w:sz w:val="24"/>
          <w:szCs w:val="24"/>
        </w:rPr>
        <w:t>2.4.1 Inclusion Criteria</w:t>
      </w:r>
    </w:p>
    <w:p w14:paraId="136CAB0B" w14:textId="77777777" w:rsidR="00D6322F" w:rsidRPr="00DA227C" w:rsidRDefault="00D6322F" w:rsidP="00DA227C">
      <w:pPr>
        <w:numPr>
          <w:ilvl w:val="0"/>
          <w:numId w:val="1"/>
        </w:numPr>
        <w:spacing w:before="100" w:beforeAutospacing="1" w:after="100" w:afterAutospacing="1" w:line="360" w:lineRule="auto"/>
        <w:jc w:val="both"/>
        <w:rPr>
          <w:rFonts w:cstheme="minorHAnsi"/>
          <w:sz w:val="24"/>
          <w:szCs w:val="24"/>
        </w:rPr>
      </w:pPr>
      <w:r w:rsidRPr="00DA227C">
        <w:rPr>
          <w:rFonts w:cstheme="minorHAnsi"/>
          <w:sz w:val="24"/>
          <w:szCs w:val="24"/>
        </w:rPr>
        <w:t>Adults aged 30–70 years</w:t>
      </w:r>
    </w:p>
    <w:p w14:paraId="4AEA746D" w14:textId="77777777" w:rsidR="00D6322F" w:rsidRPr="00DA227C" w:rsidRDefault="00D6322F" w:rsidP="00DA227C">
      <w:pPr>
        <w:numPr>
          <w:ilvl w:val="0"/>
          <w:numId w:val="1"/>
        </w:numPr>
        <w:spacing w:before="100" w:beforeAutospacing="1" w:after="100" w:afterAutospacing="1" w:line="360" w:lineRule="auto"/>
        <w:jc w:val="both"/>
        <w:rPr>
          <w:rFonts w:cstheme="minorHAnsi"/>
          <w:sz w:val="24"/>
          <w:szCs w:val="24"/>
        </w:rPr>
      </w:pPr>
      <w:r w:rsidRPr="00DA227C">
        <w:rPr>
          <w:rFonts w:cstheme="minorHAnsi"/>
          <w:sz w:val="24"/>
          <w:szCs w:val="24"/>
        </w:rPr>
        <w:t>Confirmed diagnosis of T2DM per ADA 2022 criteria (3)</w:t>
      </w:r>
    </w:p>
    <w:p w14:paraId="1F81529D" w14:textId="77777777" w:rsidR="00D6322F" w:rsidRPr="00DA227C" w:rsidRDefault="00D6322F" w:rsidP="00DA227C">
      <w:pPr>
        <w:numPr>
          <w:ilvl w:val="0"/>
          <w:numId w:val="1"/>
        </w:numPr>
        <w:spacing w:before="100" w:beforeAutospacing="1" w:after="100" w:afterAutospacing="1" w:line="360" w:lineRule="auto"/>
        <w:jc w:val="both"/>
        <w:rPr>
          <w:rFonts w:cstheme="minorHAnsi"/>
          <w:sz w:val="24"/>
          <w:szCs w:val="24"/>
        </w:rPr>
      </w:pPr>
      <w:r w:rsidRPr="00DA227C">
        <w:rPr>
          <w:rFonts w:cstheme="minorHAnsi"/>
          <w:sz w:val="24"/>
          <w:szCs w:val="24"/>
        </w:rPr>
        <w:t>Apparently healthy individuals for the control group</w:t>
      </w:r>
    </w:p>
    <w:p w14:paraId="3F4B22C8" w14:textId="77777777" w:rsidR="00D6322F" w:rsidRPr="00DA227C" w:rsidRDefault="00D6322F" w:rsidP="00DA227C">
      <w:pPr>
        <w:numPr>
          <w:ilvl w:val="0"/>
          <w:numId w:val="1"/>
        </w:numPr>
        <w:spacing w:before="100" w:beforeAutospacing="1" w:after="100" w:afterAutospacing="1" w:line="360" w:lineRule="auto"/>
        <w:jc w:val="both"/>
        <w:rPr>
          <w:rFonts w:cstheme="minorHAnsi"/>
          <w:sz w:val="24"/>
          <w:szCs w:val="24"/>
        </w:rPr>
      </w:pPr>
      <w:r w:rsidRPr="00DA227C">
        <w:rPr>
          <w:rFonts w:cstheme="minorHAnsi"/>
          <w:sz w:val="24"/>
          <w:szCs w:val="24"/>
        </w:rPr>
        <w:t>Willingness to provide informed consent</w:t>
      </w:r>
    </w:p>
    <w:p w14:paraId="40823304" w14:textId="77777777" w:rsidR="00D6322F" w:rsidRPr="00DA227C" w:rsidRDefault="00D6322F" w:rsidP="00DA227C">
      <w:pPr>
        <w:pStyle w:val="Heading4"/>
        <w:spacing w:line="360" w:lineRule="auto"/>
        <w:jc w:val="both"/>
        <w:rPr>
          <w:rFonts w:asciiTheme="minorHAnsi" w:hAnsiTheme="minorHAnsi" w:cstheme="minorHAnsi"/>
          <w:i w:val="0"/>
          <w:color w:val="auto"/>
          <w:sz w:val="24"/>
          <w:szCs w:val="24"/>
        </w:rPr>
      </w:pPr>
      <w:r w:rsidRPr="00DA227C">
        <w:rPr>
          <w:rStyle w:val="Strong"/>
          <w:rFonts w:asciiTheme="minorHAnsi" w:hAnsiTheme="minorHAnsi" w:cstheme="minorHAnsi"/>
          <w:b/>
          <w:bCs/>
          <w:i w:val="0"/>
          <w:color w:val="auto"/>
          <w:sz w:val="24"/>
          <w:szCs w:val="24"/>
        </w:rPr>
        <w:lastRenderedPageBreak/>
        <w:t>2.4.2 Exclusion Criteria</w:t>
      </w:r>
    </w:p>
    <w:p w14:paraId="5DEBEA8E" w14:textId="77777777" w:rsidR="00D6322F" w:rsidRPr="00DA227C" w:rsidRDefault="00D6322F" w:rsidP="00DA227C">
      <w:pPr>
        <w:numPr>
          <w:ilvl w:val="0"/>
          <w:numId w:val="2"/>
        </w:numPr>
        <w:spacing w:before="100" w:beforeAutospacing="1" w:after="100" w:afterAutospacing="1" w:line="360" w:lineRule="auto"/>
        <w:jc w:val="both"/>
        <w:rPr>
          <w:rFonts w:cstheme="minorHAnsi"/>
          <w:sz w:val="24"/>
          <w:szCs w:val="24"/>
        </w:rPr>
      </w:pPr>
      <w:r w:rsidRPr="00DA227C">
        <w:rPr>
          <w:rFonts w:cstheme="minorHAnsi"/>
          <w:sz w:val="24"/>
          <w:szCs w:val="24"/>
        </w:rPr>
        <w:t>Pregnant or lactating women</w:t>
      </w:r>
    </w:p>
    <w:p w14:paraId="3E923C14" w14:textId="77777777" w:rsidR="00D6322F" w:rsidRPr="00DA227C" w:rsidRDefault="00D6322F" w:rsidP="00DA227C">
      <w:pPr>
        <w:numPr>
          <w:ilvl w:val="0"/>
          <w:numId w:val="2"/>
        </w:numPr>
        <w:spacing w:before="100" w:beforeAutospacing="1" w:after="100" w:afterAutospacing="1" w:line="360" w:lineRule="auto"/>
        <w:jc w:val="both"/>
        <w:rPr>
          <w:rFonts w:cstheme="minorHAnsi"/>
          <w:sz w:val="24"/>
          <w:szCs w:val="24"/>
        </w:rPr>
      </w:pPr>
      <w:r w:rsidRPr="00DA227C">
        <w:rPr>
          <w:rFonts w:cstheme="minorHAnsi"/>
          <w:sz w:val="24"/>
          <w:szCs w:val="24"/>
        </w:rPr>
        <w:t>Individuals with autoimmune, infectious diseases, or malignancies</w:t>
      </w:r>
    </w:p>
    <w:p w14:paraId="0B1793BA" w14:textId="77777777" w:rsidR="00D6322F" w:rsidRPr="00DA227C" w:rsidRDefault="00D6322F" w:rsidP="00DA227C">
      <w:pPr>
        <w:numPr>
          <w:ilvl w:val="0"/>
          <w:numId w:val="2"/>
        </w:numPr>
        <w:spacing w:before="100" w:beforeAutospacing="1" w:after="100" w:afterAutospacing="1" w:line="360" w:lineRule="auto"/>
        <w:jc w:val="both"/>
        <w:rPr>
          <w:rFonts w:cstheme="minorHAnsi"/>
          <w:sz w:val="24"/>
          <w:szCs w:val="24"/>
        </w:rPr>
      </w:pPr>
      <w:r w:rsidRPr="00DA227C">
        <w:rPr>
          <w:rFonts w:cstheme="minorHAnsi"/>
          <w:sz w:val="24"/>
          <w:szCs w:val="24"/>
        </w:rPr>
        <w:t>Recent corticosteroid or immunosuppressant use</w:t>
      </w:r>
    </w:p>
    <w:p w14:paraId="228AEC7C" w14:textId="77777777" w:rsidR="00D6322F" w:rsidRPr="00DA227C" w:rsidRDefault="00D6322F" w:rsidP="00DA227C">
      <w:pPr>
        <w:numPr>
          <w:ilvl w:val="0"/>
          <w:numId w:val="2"/>
        </w:numPr>
        <w:spacing w:before="100" w:beforeAutospacing="1" w:after="100" w:afterAutospacing="1" w:line="360" w:lineRule="auto"/>
        <w:jc w:val="both"/>
        <w:rPr>
          <w:rFonts w:cstheme="minorHAnsi"/>
          <w:sz w:val="24"/>
          <w:szCs w:val="24"/>
        </w:rPr>
      </w:pPr>
      <w:r w:rsidRPr="00DA227C">
        <w:rPr>
          <w:rFonts w:cstheme="minorHAnsi"/>
          <w:sz w:val="24"/>
          <w:szCs w:val="24"/>
        </w:rPr>
        <w:t>Recent hospitalization or surgery</w:t>
      </w:r>
    </w:p>
    <w:p w14:paraId="469F2770" w14:textId="77777777" w:rsidR="00D6322F" w:rsidRPr="00DA227C" w:rsidRDefault="00D6322F" w:rsidP="00DA227C">
      <w:pPr>
        <w:pStyle w:val="Heading3"/>
        <w:spacing w:line="360" w:lineRule="auto"/>
        <w:jc w:val="both"/>
        <w:rPr>
          <w:rFonts w:asciiTheme="minorHAnsi" w:hAnsiTheme="minorHAnsi" w:cstheme="minorHAnsi"/>
          <w:sz w:val="24"/>
          <w:szCs w:val="24"/>
        </w:rPr>
      </w:pPr>
      <w:r w:rsidRPr="00DA227C">
        <w:rPr>
          <w:rStyle w:val="Strong"/>
          <w:rFonts w:asciiTheme="minorHAnsi" w:hAnsiTheme="minorHAnsi" w:cstheme="minorHAnsi"/>
          <w:b/>
          <w:bCs/>
          <w:sz w:val="24"/>
          <w:szCs w:val="24"/>
        </w:rPr>
        <w:t>2.5 Materials and Equipment</w:t>
      </w:r>
    </w:p>
    <w:p w14:paraId="62B8DE15" w14:textId="77777777" w:rsidR="00D6322F" w:rsidRPr="00DA227C" w:rsidRDefault="00D6322F" w:rsidP="00DA227C">
      <w:pPr>
        <w:numPr>
          <w:ilvl w:val="0"/>
          <w:numId w:val="3"/>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t>Flow Cytometer</w:t>
      </w:r>
      <w:r w:rsidRPr="00DA227C">
        <w:rPr>
          <w:rFonts w:cstheme="minorHAnsi"/>
          <w:sz w:val="24"/>
          <w:szCs w:val="24"/>
        </w:rPr>
        <w:t xml:space="preserve"> (BD </w:t>
      </w:r>
      <w:proofErr w:type="spellStart"/>
      <w:r w:rsidRPr="00DA227C">
        <w:rPr>
          <w:rFonts w:cstheme="minorHAnsi"/>
          <w:sz w:val="24"/>
          <w:szCs w:val="24"/>
        </w:rPr>
        <w:t>FACSCalibur</w:t>
      </w:r>
      <w:proofErr w:type="spellEnd"/>
      <w:r w:rsidRPr="00DA227C">
        <w:rPr>
          <w:rFonts w:cstheme="minorHAnsi"/>
          <w:sz w:val="24"/>
          <w:szCs w:val="24"/>
        </w:rPr>
        <w:t>™) for CD4⁺, CD8⁺, and B-cell quantification</w:t>
      </w:r>
    </w:p>
    <w:p w14:paraId="692CC922" w14:textId="77777777" w:rsidR="00D6322F" w:rsidRPr="00DA227C" w:rsidRDefault="00D6322F" w:rsidP="00DA227C">
      <w:pPr>
        <w:numPr>
          <w:ilvl w:val="0"/>
          <w:numId w:val="3"/>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t>ELISA kits</w:t>
      </w:r>
      <w:r w:rsidRPr="00DA227C">
        <w:rPr>
          <w:rFonts w:cstheme="minorHAnsi"/>
          <w:sz w:val="24"/>
          <w:szCs w:val="24"/>
        </w:rPr>
        <w:t xml:space="preserve"> (</w:t>
      </w:r>
      <w:proofErr w:type="spellStart"/>
      <w:r w:rsidRPr="00DA227C">
        <w:rPr>
          <w:rFonts w:cstheme="minorHAnsi"/>
          <w:sz w:val="24"/>
          <w:szCs w:val="24"/>
        </w:rPr>
        <w:t>BioLegend</w:t>
      </w:r>
      <w:proofErr w:type="spellEnd"/>
      <w:r w:rsidRPr="00DA227C">
        <w:rPr>
          <w:rFonts w:cstheme="minorHAnsi"/>
          <w:sz w:val="24"/>
          <w:szCs w:val="24"/>
        </w:rPr>
        <w:t xml:space="preserve">®) for TNF-α, IL-6, and </w:t>
      </w:r>
      <w:proofErr w:type="spellStart"/>
      <w:r w:rsidRPr="00DA227C">
        <w:rPr>
          <w:rFonts w:cstheme="minorHAnsi"/>
          <w:sz w:val="24"/>
          <w:szCs w:val="24"/>
        </w:rPr>
        <w:t>hs</w:t>
      </w:r>
      <w:proofErr w:type="spellEnd"/>
      <w:r w:rsidRPr="00DA227C">
        <w:rPr>
          <w:rFonts w:cstheme="minorHAnsi"/>
          <w:sz w:val="24"/>
          <w:szCs w:val="24"/>
        </w:rPr>
        <w:t>-CRP</w:t>
      </w:r>
    </w:p>
    <w:p w14:paraId="762D00B4" w14:textId="77777777" w:rsidR="00D6322F" w:rsidRPr="00DA227C" w:rsidRDefault="00D6322F" w:rsidP="00DA227C">
      <w:pPr>
        <w:numPr>
          <w:ilvl w:val="0"/>
          <w:numId w:val="3"/>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t>Atomic Absorption Spectrophotometer</w:t>
      </w:r>
      <w:r w:rsidRPr="00DA227C">
        <w:rPr>
          <w:rFonts w:cstheme="minorHAnsi"/>
          <w:sz w:val="24"/>
          <w:szCs w:val="24"/>
        </w:rPr>
        <w:t xml:space="preserve"> (PerkinElmer® </w:t>
      </w:r>
      <w:proofErr w:type="spellStart"/>
      <w:r w:rsidRPr="00DA227C">
        <w:rPr>
          <w:rFonts w:cstheme="minorHAnsi"/>
          <w:sz w:val="24"/>
          <w:szCs w:val="24"/>
        </w:rPr>
        <w:t>AAnalyst</w:t>
      </w:r>
      <w:proofErr w:type="spellEnd"/>
      <w:r w:rsidRPr="00DA227C">
        <w:rPr>
          <w:rFonts w:cstheme="minorHAnsi"/>
          <w:sz w:val="24"/>
          <w:szCs w:val="24"/>
        </w:rPr>
        <w:t xml:space="preserve"> 400) for Pb, Hg, and As</w:t>
      </w:r>
    </w:p>
    <w:p w14:paraId="3780F40D" w14:textId="77777777" w:rsidR="00D6322F" w:rsidRPr="00DA227C" w:rsidRDefault="00D6322F" w:rsidP="00DA227C">
      <w:pPr>
        <w:numPr>
          <w:ilvl w:val="0"/>
          <w:numId w:val="3"/>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t>Standard lab tools</w:t>
      </w:r>
      <w:r w:rsidRPr="00DA227C">
        <w:rPr>
          <w:rFonts w:cstheme="minorHAnsi"/>
          <w:sz w:val="24"/>
          <w:szCs w:val="24"/>
        </w:rPr>
        <w:t>: micropipettes, centrifuges, digital scales, and vacutainers (EDTA, plain, and metal-free)</w:t>
      </w:r>
    </w:p>
    <w:p w14:paraId="691F5789" w14:textId="77777777" w:rsidR="00D6322F" w:rsidRPr="00DA227C" w:rsidRDefault="00D6322F" w:rsidP="00DA227C">
      <w:pPr>
        <w:spacing w:before="100" w:beforeAutospacing="1" w:after="100" w:afterAutospacing="1" w:line="360" w:lineRule="auto"/>
        <w:jc w:val="both"/>
        <w:rPr>
          <w:rFonts w:cstheme="minorHAnsi"/>
          <w:sz w:val="24"/>
          <w:szCs w:val="24"/>
        </w:rPr>
      </w:pPr>
      <w:r w:rsidRPr="00DA227C">
        <w:rPr>
          <w:rFonts w:cstheme="minorHAnsi"/>
          <w:sz w:val="24"/>
          <w:szCs w:val="24"/>
        </w:rPr>
        <w:t xml:space="preserve">All assays followed </w:t>
      </w:r>
      <w:r w:rsidRPr="00EA69C9">
        <w:rPr>
          <w:rStyle w:val="Strong"/>
          <w:rFonts w:cstheme="minorHAnsi"/>
          <w:b w:val="0"/>
          <w:sz w:val="24"/>
          <w:szCs w:val="24"/>
        </w:rPr>
        <w:t>Clinical and Laboratory Standards Institute (CLSI)</w:t>
      </w:r>
      <w:r w:rsidRPr="00DA227C">
        <w:rPr>
          <w:rFonts w:cstheme="minorHAnsi"/>
          <w:sz w:val="24"/>
          <w:szCs w:val="24"/>
        </w:rPr>
        <w:t xml:space="preserve"> recommendations (4).</w:t>
      </w:r>
    </w:p>
    <w:p w14:paraId="726E012D" w14:textId="77777777" w:rsidR="00D6322F" w:rsidRPr="00DA227C" w:rsidRDefault="00D6322F" w:rsidP="00DA227C">
      <w:pPr>
        <w:pStyle w:val="Heading3"/>
        <w:spacing w:line="360" w:lineRule="auto"/>
        <w:jc w:val="both"/>
        <w:rPr>
          <w:rFonts w:asciiTheme="minorHAnsi" w:hAnsiTheme="minorHAnsi" w:cstheme="minorHAnsi"/>
          <w:sz w:val="24"/>
          <w:szCs w:val="24"/>
        </w:rPr>
      </w:pPr>
      <w:r w:rsidRPr="00DA227C">
        <w:rPr>
          <w:rStyle w:val="Strong"/>
          <w:rFonts w:asciiTheme="minorHAnsi" w:hAnsiTheme="minorHAnsi" w:cstheme="minorHAnsi"/>
          <w:b/>
          <w:bCs/>
          <w:sz w:val="24"/>
          <w:szCs w:val="24"/>
        </w:rPr>
        <w:t>2.6 Ethical Consideration</w:t>
      </w:r>
    </w:p>
    <w:p w14:paraId="01301676" w14:textId="77777777" w:rsidR="00D6322F" w:rsidRPr="00DA227C" w:rsidRDefault="00D6322F" w:rsidP="00DA227C">
      <w:pPr>
        <w:spacing w:before="100" w:beforeAutospacing="1" w:after="100" w:afterAutospacing="1" w:line="360" w:lineRule="auto"/>
        <w:jc w:val="both"/>
        <w:rPr>
          <w:rFonts w:cstheme="minorHAnsi"/>
          <w:sz w:val="24"/>
          <w:szCs w:val="24"/>
        </w:rPr>
      </w:pPr>
      <w:r w:rsidRPr="00DA227C">
        <w:rPr>
          <w:rFonts w:cstheme="minorHAnsi"/>
          <w:sz w:val="24"/>
          <w:szCs w:val="24"/>
        </w:rPr>
        <w:t xml:space="preserve">Approval was granted by the </w:t>
      </w:r>
      <w:r w:rsidRPr="00EA69C9">
        <w:rPr>
          <w:rStyle w:val="Strong"/>
          <w:rFonts w:cstheme="minorHAnsi"/>
          <w:b w:val="0"/>
          <w:sz w:val="24"/>
          <w:szCs w:val="24"/>
        </w:rPr>
        <w:t>Edo State Ministry of Health Ethics Committee</w:t>
      </w:r>
      <w:r w:rsidRPr="00DA227C">
        <w:rPr>
          <w:rFonts w:cstheme="minorHAnsi"/>
          <w:sz w:val="24"/>
          <w:szCs w:val="24"/>
        </w:rPr>
        <w:t xml:space="preserve"> (Ref No: ED/235657, 12th March 2024). Informed consent was obtained in accordance with the </w:t>
      </w:r>
      <w:r w:rsidRPr="00EA69C9">
        <w:rPr>
          <w:rStyle w:val="Strong"/>
          <w:rFonts w:cstheme="minorHAnsi"/>
          <w:b w:val="0"/>
          <w:sz w:val="24"/>
          <w:szCs w:val="24"/>
        </w:rPr>
        <w:t>Helsinki Declaration</w:t>
      </w:r>
      <w:r w:rsidRPr="00DA227C">
        <w:rPr>
          <w:rFonts w:cstheme="minorHAnsi"/>
          <w:sz w:val="24"/>
          <w:szCs w:val="24"/>
        </w:rPr>
        <w:t xml:space="preserve"> (5).</w:t>
      </w:r>
    </w:p>
    <w:p w14:paraId="2CDA4AC4" w14:textId="77777777" w:rsidR="00D6322F" w:rsidRPr="00DA227C" w:rsidRDefault="00D6322F" w:rsidP="00DA227C">
      <w:pPr>
        <w:pStyle w:val="Heading3"/>
        <w:spacing w:line="360" w:lineRule="auto"/>
        <w:jc w:val="both"/>
        <w:rPr>
          <w:rFonts w:asciiTheme="minorHAnsi" w:hAnsiTheme="minorHAnsi" w:cstheme="minorHAnsi"/>
          <w:sz w:val="24"/>
          <w:szCs w:val="24"/>
        </w:rPr>
      </w:pPr>
      <w:r w:rsidRPr="00DA227C">
        <w:rPr>
          <w:rStyle w:val="Strong"/>
          <w:rFonts w:asciiTheme="minorHAnsi" w:hAnsiTheme="minorHAnsi" w:cstheme="minorHAnsi"/>
          <w:b/>
          <w:bCs/>
          <w:sz w:val="24"/>
          <w:szCs w:val="24"/>
        </w:rPr>
        <w:t>2.7 Clinical Laboratory Investigations</w:t>
      </w:r>
    </w:p>
    <w:p w14:paraId="4D7306E3" w14:textId="77777777" w:rsidR="00D6322F" w:rsidRPr="00EA69C9" w:rsidRDefault="00D6322F" w:rsidP="00DA227C">
      <w:pPr>
        <w:pStyle w:val="Heading4"/>
        <w:spacing w:line="360" w:lineRule="auto"/>
        <w:jc w:val="both"/>
        <w:rPr>
          <w:rFonts w:asciiTheme="minorHAnsi" w:hAnsiTheme="minorHAnsi" w:cstheme="minorHAnsi"/>
          <w:i w:val="0"/>
          <w:color w:val="auto"/>
          <w:sz w:val="24"/>
          <w:szCs w:val="24"/>
        </w:rPr>
      </w:pPr>
      <w:r w:rsidRPr="00EA69C9">
        <w:rPr>
          <w:rStyle w:val="Strong"/>
          <w:rFonts w:asciiTheme="minorHAnsi" w:hAnsiTheme="minorHAnsi" w:cstheme="minorHAnsi"/>
          <w:b/>
          <w:bCs/>
          <w:i w:val="0"/>
          <w:color w:val="auto"/>
          <w:sz w:val="24"/>
          <w:szCs w:val="24"/>
        </w:rPr>
        <w:t>2.7.1 Sample Collection and Analysis</w:t>
      </w:r>
    </w:p>
    <w:p w14:paraId="50DC14F5" w14:textId="77777777" w:rsidR="00D6322F" w:rsidRPr="00DA227C" w:rsidRDefault="00D6322F" w:rsidP="00DA227C">
      <w:pPr>
        <w:spacing w:before="100" w:beforeAutospacing="1" w:after="100" w:afterAutospacing="1" w:line="360" w:lineRule="auto"/>
        <w:jc w:val="both"/>
        <w:rPr>
          <w:rFonts w:cstheme="minorHAnsi"/>
          <w:sz w:val="24"/>
          <w:szCs w:val="24"/>
        </w:rPr>
      </w:pPr>
      <w:r w:rsidRPr="00DA227C">
        <w:rPr>
          <w:rFonts w:cstheme="minorHAnsi"/>
          <w:sz w:val="24"/>
          <w:szCs w:val="24"/>
        </w:rPr>
        <w:t>Venous blood (10 mL) and spot urine samples were collected.</w:t>
      </w:r>
    </w:p>
    <w:p w14:paraId="261CDF1C" w14:textId="77777777" w:rsidR="00D6322F" w:rsidRPr="00DA227C" w:rsidRDefault="00D6322F" w:rsidP="00DA227C">
      <w:pPr>
        <w:numPr>
          <w:ilvl w:val="0"/>
          <w:numId w:val="4"/>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t>4 mL (EDTA)</w:t>
      </w:r>
      <w:r w:rsidRPr="00EA69C9">
        <w:rPr>
          <w:rFonts w:cstheme="minorHAnsi"/>
          <w:b/>
          <w:sz w:val="24"/>
          <w:szCs w:val="24"/>
        </w:rPr>
        <w:t>:</w:t>
      </w:r>
      <w:r w:rsidRPr="00DA227C">
        <w:rPr>
          <w:rFonts w:cstheme="minorHAnsi"/>
          <w:sz w:val="24"/>
          <w:szCs w:val="24"/>
        </w:rPr>
        <w:t xml:space="preserve"> for flow cytometry and hematology</w:t>
      </w:r>
    </w:p>
    <w:p w14:paraId="3CA8026C" w14:textId="77777777" w:rsidR="00D6322F" w:rsidRPr="00DA227C" w:rsidRDefault="00D6322F" w:rsidP="00DA227C">
      <w:pPr>
        <w:numPr>
          <w:ilvl w:val="0"/>
          <w:numId w:val="4"/>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t>3 mL (plain tubes)</w:t>
      </w:r>
      <w:r w:rsidRPr="00EA69C9">
        <w:rPr>
          <w:rFonts w:cstheme="minorHAnsi"/>
          <w:b/>
          <w:sz w:val="24"/>
          <w:szCs w:val="24"/>
        </w:rPr>
        <w:t>:</w:t>
      </w:r>
      <w:r w:rsidRPr="00DA227C">
        <w:rPr>
          <w:rFonts w:cstheme="minorHAnsi"/>
          <w:sz w:val="24"/>
          <w:szCs w:val="24"/>
        </w:rPr>
        <w:t xml:space="preserve"> for cytokine profiling</w:t>
      </w:r>
    </w:p>
    <w:p w14:paraId="1471CD7E" w14:textId="77777777" w:rsidR="00D6322F" w:rsidRPr="00DA227C" w:rsidRDefault="00D6322F" w:rsidP="00DA227C">
      <w:pPr>
        <w:numPr>
          <w:ilvl w:val="0"/>
          <w:numId w:val="4"/>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t>3 mL (metal-free tubes)</w:t>
      </w:r>
      <w:r w:rsidRPr="00EA69C9">
        <w:rPr>
          <w:rFonts w:cstheme="minorHAnsi"/>
          <w:b/>
          <w:sz w:val="24"/>
          <w:szCs w:val="24"/>
        </w:rPr>
        <w:t>:</w:t>
      </w:r>
      <w:r w:rsidRPr="00DA227C">
        <w:rPr>
          <w:rFonts w:cstheme="minorHAnsi"/>
          <w:sz w:val="24"/>
          <w:szCs w:val="24"/>
        </w:rPr>
        <w:t xml:space="preserve"> for heavy metal analysis</w:t>
      </w:r>
      <w:r w:rsidRPr="00DA227C">
        <w:rPr>
          <w:rFonts w:cstheme="minorHAnsi"/>
          <w:sz w:val="24"/>
          <w:szCs w:val="24"/>
        </w:rPr>
        <w:br/>
        <w:t>Samples were processed within 2 hours and stored at −80°C for batch testing (1,6).</w:t>
      </w:r>
    </w:p>
    <w:p w14:paraId="6CE50F98" w14:textId="77777777" w:rsidR="00D6322F" w:rsidRPr="00EA69C9" w:rsidRDefault="00D6322F" w:rsidP="00DA227C">
      <w:pPr>
        <w:pStyle w:val="Heading4"/>
        <w:spacing w:line="360" w:lineRule="auto"/>
        <w:jc w:val="both"/>
        <w:rPr>
          <w:rFonts w:asciiTheme="minorHAnsi" w:hAnsiTheme="minorHAnsi" w:cstheme="minorHAnsi"/>
          <w:i w:val="0"/>
          <w:color w:val="auto"/>
          <w:sz w:val="24"/>
          <w:szCs w:val="24"/>
        </w:rPr>
      </w:pPr>
      <w:r w:rsidRPr="00EA69C9">
        <w:rPr>
          <w:rStyle w:val="Strong"/>
          <w:rFonts w:asciiTheme="minorHAnsi" w:hAnsiTheme="minorHAnsi" w:cstheme="minorHAnsi"/>
          <w:b/>
          <w:bCs/>
          <w:i w:val="0"/>
          <w:color w:val="auto"/>
          <w:sz w:val="24"/>
          <w:szCs w:val="24"/>
        </w:rPr>
        <w:lastRenderedPageBreak/>
        <w:t>2.7.2 Cellular Immunity (Flow Cytometry)</w:t>
      </w:r>
    </w:p>
    <w:p w14:paraId="2A943C98" w14:textId="77777777" w:rsidR="00D6322F" w:rsidRPr="00DA227C" w:rsidRDefault="00D6322F" w:rsidP="00DA227C">
      <w:pPr>
        <w:spacing w:before="100" w:beforeAutospacing="1" w:after="100" w:afterAutospacing="1" w:line="360" w:lineRule="auto"/>
        <w:jc w:val="both"/>
        <w:rPr>
          <w:rFonts w:cstheme="minorHAnsi"/>
          <w:sz w:val="24"/>
          <w:szCs w:val="24"/>
        </w:rPr>
      </w:pPr>
      <w:r w:rsidRPr="00DA227C">
        <w:rPr>
          <w:rFonts w:cstheme="minorHAnsi"/>
          <w:sz w:val="24"/>
          <w:szCs w:val="24"/>
        </w:rPr>
        <w:t xml:space="preserve">Cells were stained using monoclonal antibodies against CD4⁺, CD8⁺, and CD19/CD20. After incubation and washing, the samples were analyzed using flow cytometry and gating techniques on </w:t>
      </w:r>
      <w:proofErr w:type="spellStart"/>
      <w:r w:rsidRPr="00DA227C">
        <w:rPr>
          <w:rFonts w:cstheme="minorHAnsi"/>
          <w:sz w:val="24"/>
          <w:szCs w:val="24"/>
        </w:rPr>
        <w:t>FlowJo</w:t>
      </w:r>
      <w:proofErr w:type="spellEnd"/>
      <w:r w:rsidRPr="00DA227C">
        <w:rPr>
          <w:rFonts w:cstheme="minorHAnsi"/>
          <w:sz w:val="24"/>
          <w:szCs w:val="24"/>
        </w:rPr>
        <w:t xml:space="preserve"> software (7). Results were reported as absolute counts and percentages of lymphocyte subsets.</w:t>
      </w:r>
    </w:p>
    <w:p w14:paraId="13E56F29" w14:textId="77777777" w:rsidR="00D6322F" w:rsidRPr="00EA69C9" w:rsidRDefault="00D6322F" w:rsidP="00DA227C">
      <w:pPr>
        <w:pStyle w:val="Heading4"/>
        <w:spacing w:line="360" w:lineRule="auto"/>
        <w:jc w:val="both"/>
        <w:rPr>
          <w:rFonts w:asciiTheme="minorHAnsi" w:hAnsiTheme="minorHAnsi" w:cstheme="minorHAnsi"/>
          <w:i w:val="0"/>
          <w:color w:val="auto"/>
          <w:sz w:val="24"/>
          <w:szCs w:val="24"/>
        </w:rPr>
      </w:pPr>
      <w:r w:rsidRPr="00EA69C9">
        <w:rPr>
          <w:rStyle w:val="Strong"/>
          <w:rFonts w:asciiTheme="minorHAnsi" w:hAnsiTheme="minorHAnsi" w:cstheme="minorHAnsi"/>
          <w:b/>
          <w:bCs/>
          <w:i w:val="0"/>
          <w:color w:val="auto"/>
          <w:sz w:val="24"/>
          <w:szCs w:val="24"/>
        </w:rPr>
        <w:t>2.7.3 Inflammatory Cytokines (ELISA)</w:t>
      </w:r>
    </w:p>
    <w:p w14:paraId="63E62680" w14:textId="77777777" w:rsidR="00D6322F" w:rsidRPr="00DA227C" w:rsidRDefault="00D6322F" w:rsidP="00DA227C">
      <w:pPr>
        <w:spacing w:before="100" w:beforeAutospacing="1" w:after="100" w:afterAutospacing="1" w:line="360" w:lineRule="auto"/>
        <w:jc w:val="both"/>
        <w:rPr>
          <w:rFonts w:cstheme="minorHAnsi"/>
          <w:sz w:val="24"/>
          <w:szCs w:val="24"/>
        </w:rPr>
      </w:pPr>
      <w:r w:rsidRPr="00DA227C">
        <w:rPr>
          <w:rFonts w:cstheme="minorHAnsi"/>
          <w:sz w:val="24"/>
          <w:szCs w:val="24"/>
        </w:rPr>
        <w:t>Cytokines were quantified using sandwich ELISA. After serum incubation with capture and detection antibodies, colorimetric detection was performed at 450 nm (8).</w:t>
      </w:r>
    </w:p>
    <w:p w14:paraId="0F5FD598" w14:textId="77777777" w:rsidR="00D6322F" w:rsidRPr="00EA69C9" w:rsidRDefault="00D6322F" w:rsidP="00DA227C">
      <w:pPr>
        <w:pStyle w:val="Heading4"/>
        <w:spacing w:line="360" w:lineRule="auto"/>
        <w:jc w:val="both"/>
        <w:rPr>
          <w:rFonts w:asciiTheme="minorHAnsi" w:hAnsiTheme="minorHAnsi" w:cstheme="minorHAnsi"/>
          <w:i w:val="0"/>
          <w:color w:val="auto"/>
          <w:sz w:val="24"/>
          <w:szCs w:val="24"/>
        </w:rPr>
      </w:pPr>
      <w:r w:rsidRPr="00EA69C9">
        <w:rPr>
          <w:rStyle w:val="Strong"/>
          <w:rFonts w:asciiTheme="minorHAnsi" w:hAnsiTheme="minorHAnsi" w:cstheme="minorHAnsi"/>
          <w:b/>
          <w:bCs/>
          <w:i w:val="0"/>
          <w:color w:val="auto"/>
          <w:sz w:val="24"/>
          <w:szCs w:val="24"/>
        </w:rPr>
        <w:t>2.7.4 Heavy Metal Estimation (AAS)</w:t>
      </w:r>
    </w:p>
    <w:p w14:paraId="6A91DA91" w14:textId="77777777" w:rsidR="00D6322F" w:rsidRPr="00DA227C" w:rsidRDefault="00D6322F" w:rsidP="00DA227C">
      <w:pPr>
        <w:spacing w:before="100" w:beforeAutospacing="1" w:after="100" w:afterAutospacing="1" w:line="360" w:lineRule="auto"/>
        <w:jc w:val="both"/>
        <w:rPr>
          <w:rFonts w:cstheme="minorHAnsi"/>
          <w:sz w:val="24"/>
          <w:szCs w:val="24"/>
        </w:rPr>
      </w:pPr>
      <w:r w:rsidRPr="00DA227C">
        <w:rPr>
          <w:rFonts w:cstheme="minorHAnsi"/>
          <w:sz w:val="24"/>
          <w:szCs w:val="24"/>
        </w:rPr>
        <w:t xml:space="preserve">Serum and urine samples were digested with nitric acid and hydrogen peroxide and analyzed via </w:t>
      </w:r>
      <w:r w:rsidRPr="00EA69C9">
        <w:rPr>
          <w:rStyle w:val="Strong"/>
          <w:rFonts w:cstheme="minorHAnsi"/>
          <w:b w:val="0"/>
          <w:sz w:val="24"/>
          <w:szCs w:val="24"/>
        </w:rPr>
        <w:t>atomic absorption spectrophotometry</w:t>
      </w:r>
      <w:r w:rsidRPr="00DA227C">
        <w:rPr>
          <w:rFonts w:cstheme="minorHAnsi"/>
          <w:sz w:val="24"/>
          <w:szCs w:val="24"/>
        </w:rPr>
        <w:t xml:space="preserve"> for Pb, Hg, As, Zn, and Cu. Sample preparation followed standard digestion protocols for trace metal detection (9).</w:t>
      </w:r>
    </w:p>
    <w:p w14:paraId="787AEF46" w14:textId="77777777" w:rsidR="00D6322F" w:rsidRPr="00DA227C" w:rsidRDefault="00D6322F" w:rsidP="00DA227C">
      <w:pPr>
        <w:pStyle w:val="Heading3"/>
        <w:spacing w:line="360" w:lineRule="auto"/>
        <w:jc w:val="both"/>
        <w:rPr>
          <w:rFonts w:asciiTheme="minorHAnsi" w:hAnsiTheme="minorHAnsi" w:cstheme="minorHAnsi"/>
          <w:sz w:val="24"/>
          <w:szCs w:val="24"/>
        </w:rPr>
      </w:pPr>
      <w:r w:rsidRPr="00DA227C">
        <w:rPr>
          <w:rStyle w:val="Strong"/>
          <w:rFonts w:asciiTheme="minorHAnsi" w:hAnsiTheme="minorHAnsi" w:cstheme="minorHAnsi"/>
          <w:b/>
          <w:bCs/>
          <w:sz w:val="24"/>
          <w:szCs w:val="24"/>
        </w:rPr>
        <w:t>2.8 Statistical Analysis</w:t>
      </w:r>
    </w:p>
    <w:p w14:paraId="1F3A4146" w14:textId="77777777" w:rsidR="00D6322F" w:rsidRPr="00DA227C" w:rsidRDefault="00D6322F" w:rsidP="00DA227C">
      <w:pPr>
        <w:spacing w:before="100" w:beforeAutospacing="1" w:after="100" w:afterAutospacing="1" w:line="360" w:lineRule="auto"/>
        <w:jc w:val="both"/>
        <w:rPr>
          <w:rFonts w:cstheme="minorHAnsi"/>
          <w:sz w:val="24"/>
          <w:szCs w:val="24"/>
        </w:rPr>
      </w:pPr>
      <w:r w:rsidRPr="00DA227C">
        <w:rPr>
          <w:rFonts w:cstheme="minorHAnsi"/>
          <w:sz w:val="24"/>
          <w:szCs w:val="24"/>
        </w:rPr>
        <w:t>SPSS version 27.0 was used for all analyses.</w:t>
      </w:r>
    </w:p>
    <w:p w14:paraId="18E6E330" w14:textId="77777777" w:rsidR="00D6322F" w:rsidRPr="00DA227C" w:rsidRDefault="00D6322F" w:rsidP="00DA227C">
      <w:pPr>
        <w:numPr>
          <w:ilvl w:val="0"/>
          <w:numId w:val="5"/>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t>T-tests</w:t>
      </w:r>
      <w:r w:rsidRPr="00DA227C">
        <w:rPr>
          <w:rFonts w:cstheme="minorHAnsi"/>
          <w:sz w:val="24"/>
          <w:szCs w:val="24"/>
        </w:rPr>
        <w:t xml:space="preserve"> for group comparisons</w:t>
      </w:r>
    </w:p>
    <w:p w14:paraId="6CA66A39" w14:textId="77777777" w:rsidR="00D6322F" w:rsidRPr="00DA227C" w:rsidRDefault="00D6322F" w:rsidP="00DA227C">
      <w:pPr>
        <w:numPr>
          <w:ilvl w:val="0"/>
          <w:numId w:val="5"/>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t>Pearson correlations</w:t>
      </w:r>
      <w:r w:rsidRPr="00DA227C">
        <w:rPr>
          <w:rFonts w:cstheme="minorHAnsi"/>
          <w:sz w:val="24"/>
          <w:szCs w:val="24"/>
        </w:rPr>
        <w:t xml:space="preserve"> for relationships among biomarkers</w:t>
      </w:r>
    </w:p>
    <w:p w14:paraId="4745F8FA" w14:textId="77777777" w:rsidR="00D6322F" w:rsidRPr="00761E52" w:rsidRDefault="00D6322F" w:rsidP="00761E52">
      <w:pPr>
        <w:numPr>
          <w:ilvl w:val="0"/>
          <w:numId w:val="5"/>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t>Multivariate regression</w:t>
      </w:r>
      <w:r w:rsidRPr="00DA227C">
        <w:rPr>
          <w:rFonts w:cstheme="minorHAnsi"/>
          <w:sz w:val="24"/>
          <w:szCs w:val="24"/>
        </w:rPr>
        <w:t xml:space="preserve"> to identify predictors of immune alterations and FBS</w:t>
      </w:r>
      <w:r w:rsidRPr="00DA227C">
        <w:rPr>
          <w:rFonts w:cstheme="minorHAnsi"/>
          <w:sz w:val="24"/>
          <w:szCs w:val="24"/>
        </w:rPr>
        <w:br/>
        <w:t xml:space="preserve">Statistical significance was set at </w:t>
      </w:r>
      <w:r w:rsidRPr="00761E52">
        <w:rPr>
          <w:rStyle w:val="Strong"/>
          <w:rFonts w:cstheme="minorHAnsi"/>
          <w:b w:val="0"/>
          <w:sz w:val="24"/>
          <w:szCs w:val="24"/>
        </w:rPr>
        <w:t>p &lt; 0.05</w:t>
      </w:r>
      <w:r w:rsidRPr="00761E52">
        <w:rPr>
          <w:rFonts w:cstheme="minorHAnsi"/>
          <w:b/>
          <w:sz w:val="24"/>
          <w:szCs w:val="24"/>
        </w:rPr>
        <w:t>.</w:t>
      </w:r>
      <w:r w:rsidRPr="00DA227C">
        <w:rPr>
          <w:rFonts w:cstheme="minorHAnsi"/>
          <w:sz w:val="24"/>
          <w:szCs w:val="24"/>
        </w:rPr>
        <w:t xml:space="preserve"> </w:t>
      </w:r>
      <w:r w:rsidRPr="00761E52">
        <w:rPr>
          <w:rFonts w:cstheme="minorHAnsi"/>
          <w:sz w:val="24"/>
          <w:szCs w:val="24"/>
        </w:rPr>
        <w:t>(10).</w:t>
      </w:r>
    </w:p>
    <w:p w14:paraId="626D7ACA" w14:textId="77777777" w:rsidR="00D6322F" w:rsidRDefault="00D6322F" w:rsidP="00DA227C">
      <w:pPr>
        <w:spacing w:after="0" w:line="360" w:lineRule="auto"/>
        <w:jc w:val="both"/>
        <w:rPr>
          <w:rFonts w:cstheme="minorHAnsi"/>
          <w:sz w:val="24"/>
          <w:szCs w:val="24"/>
        </w:rPr>
      </w:pPr>
    </w:p>
    <w:p w14:paraId="1D0C8DC6" w14:textId="77777777" w:rsidR="00EA69C9" w:rsidRDefault="00EA69C9" w:rsidP="00DA227C">
      <w:pPr>
        <w:spacing w:after="0" w:line="360" w:lineRule="auto"/>
        <w:jc w:val="both"/>
        <w:rPr>
          <w:rFonts w:cstheme="minorHAnsi"/>
          <w:sz w:val="24"/>
          <w:szCs w:val="24"/>
        </w:rPr>
      </w:pPr>
    </w:p>
    <w:p w14:paraId="05A7981C" w14:textId="77777777" w:rsidR="00761E52" w:rsidRDefault="00761E52" w:rsidP="00DA227C">
      <w:pPr>
        <w:spacing w:after="0" w:line="360" w:lineRule="auto"/>
        <w:jc w:val="both"/>
        <w:rPr>
          <w:rFonts w:cstheme="minorHAnsi"/>
          <w:sz w:val="24"/>
          <w:szCs w:val="24"/>
        </w:rPr>
      </w:pPr>
    </w:p>
    <w:p w14:paraId="09831FF9" w14:textId="77777777" w:rsidR="00EA69C9" w:rsidRPr="00DA227C" w:rsidRDefault="00EA69C9" w:rsidP="00DA227C">
      <w:pPr>
        <w:spacing w:after="0" w:line="360" w:lineRule="auto"/>
        <w:jc w:val="both"/>
        <w:rPr>
          <w:rFonts w:cstheme="minorHAnsi"/>
          <w:sz w:val="24"/>
          <w:szCs w:val="24"/>
        </w:rPr>
      </w:pPr>
    </w:p>
    <w:p w14:paraId="066E56F9" w14:textId="77777777" w:rsidR="00D6322F" w:rsidRPr="00761E52" w:rsidRDefault="00D6322F" w:rsidP="00761E52">
      <w:pPr>
        <w:pStyle w:val="Heading2"/>
        <w:spacing w:line="360" w:lineRule="auto"/>
        <w:jc w:val="both"/>
        <w:rPr>
          <w:rFonts w:asciiTheme="minorHAnsi" w:hAnsiTheme="minorHAnsi" w:cstheme="minorHAnsi"/>
          <w:color w:val="auto"/>
          <w:sz w:val="28"/>
          <w:szCs w:val="28"/>
        </w:rPr>
      </w:pPr>
      <w:r w:rsidRPr="00761E52">
        <w:rPr>
          <w:rStyle w:val="Strong"/>
          <w:rFonts w:asciiTheme="minorHAnsi" w:hAnsiTheme="minorHAnsi" w:cstheme="minorHAnsi"/>
          <w:b/>
          <w:bCs/>
          <w:color w:val="auto"/>
          <w:sz w:val="28"/>
          <w:szCs w:val="28"/>
        </w:rPr>
        <w:lastRenderedPageBreak/>
        <w:t>3.</w:t>
      </w:r>
      <w:r w:rsidR="00761E52" w:rsidRPr="00761E52">
        <w:rPr>
          <w:rStyle w:val="Strong"/>
          <w:rFonts w:asciiTheme="minorHAnsi" w:hAnsiTheme="minorHAnsi" w:cstheme="minorHAnsi"/>
          <w:b/>
          <w:bCs/>
          <w:color w:val="auto"/>
          <w:sz w:val="28"/>
          <w:szCs w:val="28"/>
        </w:rPr>
        <w:t>0</w:t>
      </w:r>
      <w:r w:rsidRPr="00761E52">
        <w:rPr>
          <w:rStyle w:val="Strong"/>
          <w:rFonts w:asciiTheme="minorHAnsi" w:hAnsiTheme="minorHAnsi" w:cstheme="minorHAnsi"/>
          <w:b/>
          <w:bCs/>
          <w:color w:val="auto"/>
          <w:sz w:val="28"/>
          <w:szCs w:val="28"/>
        </w:rPr>
        <w:t xml:space="preserve"> Results</w:t>
      </w:r>
    </w:p>
    <w:p w14:paraId="520B34D2" w14:textId="22B0EB69" w:rsidR="00D6322F" w:rsidRPr="00DA227C" w:rsidRDefault="00D6322F" w:rsidP="00DA227C">
      <w:pPr>
        <w:pStyle w:val="Heading3"/>
        <w:spacing w:line="360" w:lineRule="auto"/>
        <w:jc w:val="both"/>
        <w:rPr>
          <w:rFonts w:asciiTheme="minorHAnsi" w:hAnsiTheme="minorHAnsi" w:cstheme="minorHAnsi"/>
          <w:sz w:val="24"/>
          <w:szCs w:val="24"/>
        </w:rPr>
      </w:pPr>
      <w:r w:rsidRPr="00DA227C">
        <w:rPr>
          <w:rStyle w:val="Strong"/>
          <w:rFonts w:asciiTheme="minorHAnsi" w:hAnsiTheme="minorHAnsi" w:cstheme="minorHAnsi"/>
          <w:b/>
          <w:bCs/>
          <w:sz w:val="24"/>
          <w:szCs w:val="24"/>
        </w:rPr>
        <w:t>Table 1: Study Population Distribution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2"/>
        <w:gridCol w:w="1098"/>
        <w:gridCol w:w="1574"/>
      </w:tblGrid>
      <w:tr w:rsidR="00D6322F" w:rsidRPr="00DA227C" w14:paraId="3879123F" w14:textId="77777777" w:rsidTr="00D6322F">
        <w:trPr>
          <w:tblHeader/>
          <w:tblCellSpacing w:w="15" w:type="dxa"/>
        </w:trPr>
        <w:tc>
          <w:tcPr>
            <w:tcW w:w="0" w:type="auto"/>
            <w:vAlign w:val="center"/>
            <w:hideMark/>
          </w:tcPr>
          <w:p w14:paraId="12F63622" w14:textId="77777777" w:rsidR="00D6322F" w:rsidRPr="00DA227C" w:rsidRDefault="00D6322F" w:rsidP="00DA227C">
            <w:pPr>
              <w:spacing w:line="360" w:lineRule="auto"/>
              <w:jc w:val="both"/>
              <w:rPr>
                <w:rFonts w:cstheme="minorHAnsi"/>
                <w:b/>
                <w:bCs/>
                <w:sz w:val="24"/>
                <w:szCs w:val="24"/>
              </w:rPr>
            </w:pPr>
            <w:r w:rsidRPr="00DA227C">
              <w:rPr>
                <w:rFonts w:cstheme="minorHAnsi"/>
                <w:b/>
                <w:bCs/>
                <w:sz w:val="24"/>
                <w:szCs w:val="24"/>
              </w:rPr>
              <w:t>Group</w:t>
            </w:r>
          </w:p>
        </w:tc>
        <w:tc>
          <w:tcPr>
            <w:tcW w:w="0" w:type="auto"/>
            <w:vAlign w:val="center"/>
            <w:hideMark/>
          </w:tcPr>
          <w:p w14:paraId="0A8761AA" w14:textId="77777777" w:rsidR="00D6322F" w:rsidRPr="00DA227C" w:rsidRDefault="00D6322F" w:rsidP="00DA227C">
            <w:pPr>
              <w:spacing w:line="360" w:lineRule="auto"/>
              <w:jc w:val="both"/>
              <w:rPr>
                <w:rFonts w:cstheme="minorHAnsi"/>
                <w:b/>
                <w:bCs/>
                <w:sz w:val="24"/>
                <w:szCs w:val="24"/>
              </w:rPr>
            </w:pPr>
            <w:r w:rsidRPr="00DA227C">
              <w:rPr>
                <w:rFonts w:cstheme="minorHAnsi"/>
                <w:b/>
                <w:bCs/>
                <w:sz w:val="24"/>
                <w:szCs w:val="24"/>
              </w:rPr>
              <w:t>Frequency</w:t>
            </w:r>
          </w:p>
        </w:tc>
        <w:tc>
          <w:tcPr>
            <w:tcW w:w="0" w:type="auto"/>
            <w:vAlign w:val="center"/>
            <w:hideMark/>
          </w:tcPr>
          <w:p w14:paraId="06BA69CA" w14:textId="77777777" w:rsidR="00D6322F" w:rsidRPr="00DA227C" w:rsidRDefault="00D6322F" w:rsidP="00DA227C">
            <w:pPr>
              <w:spacing w:line="360" w:lineRule="auto"/>
              <w:jc w:val="both"/>
              <w:rPr>
                <w:rFonts w:cstheme="minorHAnsi"/>
                <w:b/>
                <w:bCs/>
                <w:sz w:val="24"/>
                <w:szCs w:val="24"/>
              </w:rPr>
            </w:pPr>
            <w:r w:rsidRPr="00DA227C">
              <w:rPr>
                <w:rFonts w:cstheme="minorHAnsi"/>
                <w:b/>
                <w:bCs/>
                <w:sz w:val="24"/>
                <w:szCs w:val="24"/>
              </w:rPr>
              <w:t>Percentage (%)</w:t>
            </w:r>
          </w:p>
        </w:tc>
      </w:tr>
      <w:tr w:rsidR="00D6322F" w:rsidRPr="00DA227C" w14:paraId="3C56CD1D" w14:textId="77777777" w:rsidTr="00D6322F">
        <w:trPr>
          <w:tblCellSpacing w:w="15" w:type="dxa"/>
        </w:trPr>
        <w:tc>
          <w:tcPr>
            <w:tcW w:w="0" w:type="auto"/>
            <w:vAlign w:val="center"/>
            <w:hideMark/>
          </w:tcPr>
          <w:p w14:paraId="17BDC6A4"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Control</w:t>
            </w:r>
          </w:p>
        </w:tc>
        <w:tc>
          <w:tcPr>
            <w:tcW w:w="0" w:type="auto"/>
            <w:vAlign w:val="center"/>
            <w:hideMark/>
          </w:tcPr>
          <w:p w14:paraId="667A4D8E" w14:textId="77777777" w:rsidR="00D6322F" w:rsidRPr="00DA227C" w:rsidRDefault="00F344ED" w:rsidP="00DA227C">
            <w:pPr>
              <w:spacing w:line="360" w:lineRule="auto"/>
              <w:jc w:val="both"/>
              <w:rPr>
                <w:rFonts w:cstheme="minorHAnsi"/>
                <w:sz w:val="24"/>
                <w:szCs w:val="24"/>
              </w:rPr>
            </w:pPr>
            <w:r>
              <w:rPr>
                <w:rFonts w:cstheme="minorHAnsi"/>
                <w:sz w:val="24"/>
                <w:szCs w:val="24"/>
              </w:rPr>
              <w:t xml:space="preserve">  </w:t>
            </w:r>
            <w:r w:rsidR="00D6322F" w:rsidRPr="00DA227C">
              <w:rPr>
                <w:rFonts w:cstheme="minorHAnsi"/>
                <w:sz w:val="24"/>
                <w:szCs w:val="24"/>
              </w:rPr>
              <w:t>100</w:t>
            </w:r>
          </w:p>
        </w:tc>
        <w:tc>
          <w:tcPr>
            <w:tcW w:w="0" w:type="auto"/>
            <w:vAlign w:val="center"/>
            <w:hideMark/>
          </w:tcPr>
          <w:p w14:paraId="7CFE2177"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41.7</w:t>
            </w:r>
          </w:p>
        </w:tc>
      </w:tr>
      <w:tr w:rsidR="00D6322F" w:rsidRPr="00DA227C" w14:paraId="68A5091E" w14:textId="77777777" w:rsidTr="00D6322F">
        <w:trPr>
          <w:tblCellSpacing w:w="15" w:type="dxa"/>
        </w:trPr>
        <w:tc>
          <w:tcPr>
            <w:tcW w:w="0" w:type="auto"/>
            <w:vAlign w:val="center"/>
            <w:hideMark/>
          </w:tcPr>
          <w:p w14:paraId="6907A72D"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T2DM</w:t>
            </w:r>
          </w:p>
        </w:tc>
        <w:tc>
          <w:tcPr>
            <w:tcW w:w="0" w:type="auto"/>
            <w:vAlign w:val="center"/>
            <w:hideMark/>
          </w:tcPr>
          <w:p w14:paraId="65A55ACA" w14:textId="77777777" w:rsidR="00D6322F" w:rsidRPr="00DA227C" w:rsidRDefault="00F344ED" w:rsidP="00DA227C">
            <w:pPr>
              <w:spacing w:line="360" w:lineRule="auto"/>
              <w:jc w:val="both"/>
              <w:rPr>
                <w:rFonts w:cstheme="minorHAnsi"/>
                <w:sz w:val="24"/>
                <w:szCs w:val="24"/>
              </w:rPr>
            </w:pPr>
            <w:r>
              <w:rPr>
                <w:rFonts w:cstheme="minorHAnsi"/>
                <w:sz w:val="24"/>
                <w:szCs w:val="24"/>
              </w:rPr>
              <w:t xml:space="preserve">  </w:t>
            </w:r>
            <w:r w:rsidR="00D6322F" w:rsidRPr="00DA227C">
              <w:rPr>
                <w:rFonts w:cstheme="minorHAnsi"/>
                <w:sz w:val="24"/>
                <w:szCs w:val="24"/>
              </w:rPr>
              <w:t>140</w:t>
            </w:r>
          </w:p>
        </w:tc>
        <w:tc>
          <w:tcPr>
            <w:tcW w:w="0" w:type="auto"/>
            <w:vAlign w:val="center"/>
            <w:hideMark/>
          </w:tcPr>
          <w:p w14:paraId="1398D160"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58.3</w:t>
            </w:r>
          </w:p>
        </w:tc>
      </w:tr>
      <w:tr w:rsidR="00D6322F" w:rsidRPr="00DA227C" w14:paraId="7A060895" w14:textId="77777777" w:rsidTr="00D6322F">
        <w:trPr>
          <w:tblCellSpacing w:w="15" w:type="dxa"/>
        </w:trPr>
        <w:tc>
          <w:tcPr>
            <w:tcW w:w="0" w:type="auto"/>
            <w:vAlign w:val="center"/>
            <w:hideMark/>
          </w:tcPr>
          <w:p w14:paraId="1E5BBB69" w14:textId="77777777" w:rsidR="00D6322F" w:rsidRPr="00761E52" w:rsidRDefault="00D6322F" w:rsidP="00DA227C">
            <w:pPr>
              <w:spacing w:line="360" w:lineRule="auto"/>
              <w:jc w:val="both"/>
              <w:rPr>
                <w:rFonts w:cstheme="minorHAnsi"/>
                <w:b/>
                <w:sz w:val="24"/>
                <w:szCs w:val="24"/>
              </w:rPr>
            </w:pPr>
            <w:r w:rsidRPr="00761E52">
              <w:rPr>
                <w:rStyle w:val="Strong"/>
                <w:rFonts w:cstheme="minorHAnsi"/>
                <w:b w:val="0"/>
                <w:sz w:val="24"/>
                <w:szCs w:val="24"/>
              </w:rPr>
              <w:t>Total</w:t>
            </w:r>
          </w:p>
        </w:tc>
        <w:tc>
          <w:tcPr>
            <w:tcW w:w="0" w:type="auto"/>
            <w:vAlign w:val="center"/>
            <w:hideMark/>
          </w:tcPr>
          <w:p w14:paraId="40317A1F" w14:textId="77777777" w:rsidR="00D6322F" w:rsidRPr="00761E52" w:rsidRDefault="00F344ED" w:rsidP="00DA227C">
            <w:pPr>
              <w:spacing w:line="360" w:lineRule="auto"/>
              <w:jc w:val="both"/>
              <w:rPr>
                <w:rFonts w:cstheme="minorHAnsi"/>
                <w:b/>
                <w:sz w:val="24"/>
                <w:szCs w:val="24"/>
              </w:rPr>
            </w:pPr>
            <w:r w:rsidRPr="00761E52">
              <w:rPr>
                <w:rStyle w:val="Strong"/>
                <w:rFonts w:cstheme="minorHAnsi"/>
                <w:b w:val="0"/>
                <w:sz w:val="24"/>
                <w:szCs w:val="24"/>
              </w:rPr>
              <w:t xml:space="preserve">  </w:t>
            </w:r>
            <w:r w:rsidR="00D6322F" w:rsidRPr="00761E52">
              <w:rPr>
                <w:rStyle w:val="Strong"/>
                <w:rFonts w:cstheme="minorHAnsi"/>
                <w:b w:val="0"/>
                <w:sz w:val="24"/>
                <w:szCs w:val="24"/>
              </w:rPr>
              <w:t>240</w:t>
            </w:r>
          </w:p>
        </w:tc>
        <w:tc>
          <w:tcPr>
            <w:tcW w:w="0" w:type="auto"/>
            <w:vAlign w:val="center"/>
            <w:hideMark/>
          </w:tcPr>
          <w:p w14:paraId="4526BBF9" w14:textId="77777777" w:rsidR="00D6322F" w:rsidRPr="00761E52" w:rsidRDefault="00D6322F" w:rsidP="00DA227C">
            <w:pPr>
              <w:spacing w:line="360" w:lineRule="auto"/>
              <w:jc w:val="both"/>
              <w:rPr>
                <w:rFonts w:cstheme="minorHAnsi"/>
                <w:b/>
                <w:sz w:val="24"/>
                <w:szCs w:val="24"/>
              </w:rPr>
            </w:pPr>
            <w:r w:rsidRPr="00761E52">
              <w:rPr>
                <w:rStyle w:val="Strong"/>
                <w:rFonts w:cstheme="minorHAnsi"/>
                <w:b w:val="0"/>
                <w:sz w:val="24"/>
                <w:szCs w:val="24"/>
              </w:rPr>
              <w:t>100.0</w:t>
            </w:r>
          </w:p>
        </w:tc>
      </w:tr>
    </w:tbl>
    <w:p w14:paraId="5484471F" w14:textId="77777777" w:rsidR="00D6322F" w:rsidRPr="00761E52" w:rsidRDefault="00EA69C9" w:rsidP="00DA227C">
      <w:pPr>
        <w:spacing w:line="360" w:lineRule="auto"/>
        <w:jc w:val="both"/>
        <w:rPr>
          <w:rFonts w:cstheme="minorHAnsi"/>
          <w:sz w:val="24"/>
          <w:szCs w:val="24"/>
        </w:rPr>
      </w:pPr>
      <w:r w:rsidRPr="00761E52">
        <w:rPr>
          <w:rFonts w:cstheme="minorHAnsi"/>
          <w:sz w:val="24"/>
          <w:szCs w:val="24"/>
        </w:rPr>
        <w:t>The study population comprised 58.3% individuals with T2DM and 41.7% controls, indicating a larger diabetic group for comparative analysis.</w:t>
      </w:r>
    </w:p>
    <w:p w14:paraId="5BE70F72" w14:textId="7843E1F3" w:rsidR="00D6322F" w:rsidRPr="00DA227C" w:rsidRDefault="00D6322F" w:rsidP="00DA227C">
      <w:pPr>
        <w:pStyle w:val="Heading3"/>
        <w:spacing w:line="360" w:lineRule="auto"/>
        <w:jc w:val="both"/>
        <w:rPr>
          <w:rFonts w:asciiTheme="minorHAnsi" w:hAnsiTheme="minorHAnsi" w:cstheme="minorHAnsi"/>
          <w:sz w:val="24"/>
          <w:szCs w:val="24"/>
        </w:rPr>
      </w:pPr>
      <w:r w:rsidRPr="00DA227C">
        <w:rPr>
          <w:rStyle w:val="Strong"/>
          <w:rFonts w:asciiTheme="minorHAnsi" w:hAnsiTheme="minorHAnsi" w:cstheme="minorHAnsi"/>
          <w:b/>
          <w:bCs/>
          <w:sz w:val="24"/>
          <w:szCs w:val="24"/>
        </w:rPr>
        <w:t>Table 2: Comparison of Immune Markers (CD4⁺, CD8⁺) Between Groups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gridCol w:w="2076"/>
        <w:gridCol w:w="1936"/>
        <w:gridCol w:w="758"/>
        <w:gridCol w:w="816"/>
      </w:tblGrid>
      <w:tr w:rsidR="00D6322F" w:rsidRPr="00DA227C" w14:paraId="44BDD7D5" w14:textId="77777777" w:rsidTr="00D6322F">
        <w:trPr>
          <w:tblHeader/>
          <w:tblCellSpacing w:w="15" w:type="dxa"/>
        </w:trPr>
        <w:tc>
          <w:tcPr>
            <w:tcW w:w="0" w:type="auto"/>
            <w:vAlign w:val="center"/>
            <w:hideMark/>
          </w:tcPr>
          <w:p w14:paraId="4A4878F5" w14:textId="77777777" w:rsidR="00D6322F" w:rsidRPr="00DA227C" w:rsidRDefault="00D6322F" w:rsidP="00DA227C">
            <w:pPr>
              <w:spacing w:line="360" w:lineRule="auto"/>
              <w:jc w:val="both"/>
              <w:rPr>
                <w:rFonts w:cstheme="minorHAnsi"/>
                <w:b/>
                <w:bCs/>
                <w:sz w:val="24"/>
                <w:szCs w:val="24"/>
              </w:rPr>
            </w:pPr>
            <w:r w:rsidRPr="00DA227C">
              <w:rPr>
                <w:rFonts w:cstheme="minorHAnsi"/>
                <w:b/>
                <w:bCs/>
                <w:sz w:val="24"/>
                <w:szCs w:val="24"/>
              </w:rPr>
              <w:t>Marker</w:t>
            </w:r>
          </w:p>
        </w:tc>
        <w:tc>
          <w:tcPr>
            <w:tcW w:w="0" w:type="auto"/>
            <w:vAlign w:val="center"/>
            <w:hideMark/>
          </w:tcPr>
          <w:p w14:paraId="59552219" w14:textId="77777777" w:rsidR="00D6322F" w:rsidRPr="00DA227C" w:rsidRDefault="00D6322F" w:rsidP="00DA227C">
            <w:pPr>
              <w:spacing w:line="360" w:lineRule="auto"/>
              <w:jc w:val="both"/>
              <w:rPr>
                <w:rFonts w:cstheme="minorHAnsi"/>
                <w:b/>
                <w:bCs/>
                <w:sz w:val="24"/>
                <w:szCs w:val="24"/>
              </w:rPr>
            </w:pPr>
            <w:r w:rsidRPr="00DA227C">
              <w:rPr>
                <w:rFonts w:cstheme="minorHAnsi"/>
                <w:b/>
                <w:bCs/>
                <w:sz w:val="24"/>
                <w:szCs w:val="24"/>
              </w:rPr>
              <w:t>Control (Mean ± SD)</w:t>
            </w:r>
          </w:p>
        </w:tc>
        <w:tc>
          <w:tcPr>
            <w:tcW w:w="0" w:type="auto"/>
            <w:vAlign w:val="center"/>
            <w:hideMark/>
          </w:tcPr>
          <w:p w14:paraId="320A03C8" w14:textId="77777777" w:rsidR="00D6322F" w:rsidRPr="00DA227C" w:rsidRDefault="00D6322F" w:rsidP="00DA227C">
            <w:pPr>
              <w:spacing w:line="360" w:lineRule="auto"/>
              <w:jc w:val="both"/>
              <w:rPr>
                <w:rFonts w:cstheme="minorHAnsi"/>
                <w:b/>
                <w:bCs/>
                <w:sz w:val="24"/>
                <w:szCs w:val="24"/>
              </w:rPr>
            </w:pPr>
            <w:r w:rsidRPr="00DA227C">
              <w:rPr>
                <w:rFonts w:cstheme="minorHAnsi"/>
                <w:b/>
                <w:bCs/>
                <w:sz w:val="24"/>
                <w:szCs w:val="24"/>
              </w:rPr>
              <w:t>T2DM (Mean ± SD)</w:t>
            </w:r>
          </w:p>
        </w:tc>
        <w:tc>
          <w:tcPr>
            <w:tcW w:w="0" w:type="auto"/>
            <w:vAlign w:val="center"/>
            <w:hideMark/>
          </w:tcPr>
          <w:p w14:paraId="453FDC4F" w14:textId="77777777" w:rsidR="00D6322F" w:rsidRPr="00DA227C" w:rsidRDefault="00D6322F" w:rsidP="00DA227C">
            <w:pPr>
              <w:spacing w:line="360" w:lineRule="auto"/>
              <w:jc w:val="both"/>
              <w:rPr>
                <w:rFonts w:cstheme="minorHAnsi"/>
                <w:b/>
                <w:bCs/>
                <w:sz w:val="24"/>
                <w:szCs w:val="24"/>
              </w:rPr>
            </w:pPr>
            <w:r w:rsidRPr="00DA227C">
              <w:rPr>
                <w:rStyle w:val="Emphasis"/>
                <w:rFonts w:cstheme="minorHAnsi"/>
                <w:b/>
                <w:bCs/>
                <w:sz w:val="24"/>
                <w:szCs w:val="24"/>
              </w:rPr>
              <w:t>t</w:t>
            </w:r>
            <w:r w:rsidRPr="00DA227C">
              <w:rPr>
                <w:rFonts w:cstheme="minorHAnsi"/>
                <w:b/>
                <w:bCs/>
                <w:sz w:val="24"/>
                <w:szCs w:val="24"/>
              </w:rPr>
              <w:t>-value</w:t>
            </w:r>
          </w:p>
        </w:tc>
        <w:tc>
          <w:tcPr>
            <w:tcW w:w="0" w:type="auto"/>
            <w:vAlign w:val="center"/>
            <w:hideMark/>
          </w:tcPr>
          <w:p w14:paraId="3DF39592" w14:textId="77777777" w:rsidR="00D6322F" w:rsidRPr="00DA227C" w:rsidRDefault="00D6322F" w:rsidP="00DA227C">
            <w:pPr>
              <w:spacing w:line="360" w:lineRule="auto"/>
              <w:jc w:val="both"/>
              <w:rPr>
                <w:rFonts w:cstheme="minorHAnsi"/>
                <w:b/>
                <w:bCs/>
                <w:sz w:val="24"/>
                <w:szCs w:val="24"/>
              </w:rPr>
            </w:pPr>
            <w:r w:rsidRPr="00DA227C">
              <w:rPr>
                <w:rStyle w:val="Emphasis"/>
                <w:rFonts w:cstheme="minorHAnsi"/>
                <w:b/>
                <w:bCs/>
                <w:sz w:val="24"/>
                <w:szCs w:val="24"/>
              </w:rPr>
              <w:t>p</w:t>
            </w:r>
            <w:r w:rsidRPr="00DA227C">
              <w:rPr>
                <w:rFonts w:cstheme="minorHAnsi"/>
                <w:b/>
                <w:bCs/>
                <w:sz w:val="24"/>
                <w:szCs w:val="24"/>
              </w:rPr>
              <w:t>-value</w:t>
            </w:r>
          </w:p>
        </w:tc>
      </w:tr>
      <w:tr w:rsidR="00D6322F" w:rsidRPr="00DA227C" w14:paraId="3688C8E1" w14:textId="77777777" w:rsidTr="00D6322F">
        <w:trPr>
          <w:tblCellSpacing w:w="15" w:type="dxa"/>
        </w:trPr>
        <w:tc>
          <w:tcPr>
            <w:tcW w:w="0" w:type="auto"/>
            <w:vAlign w:val="center"/>
            <w:hideMark/>
          </w:tcPr>
          <w:p w14:paraId="420DDF65"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CD4⁺ (cells/µL)</w:t>
            </w:r>
          </w:p>
        </w:tc>
        <w:tc>
          <w:tcPr>
            <w:tcW w:w="0" w:type="auto"/>
            <w:vAlign w:val="center"/>
            <w:hideMark/>
          </w:tcPr>
          <w:p w14:paraId="293FF771"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812.3 ± 141.6</w:t>
            </w:r>
          </w:p>
        </w:tc>
        <w:tc>
          <w:tcPr>
            <w:tcW w:w="0" w:type="auto"/>
            <w:vAlign w:val="center"/>
            <w:hideMark/>
          </w:tcPr>
          <w:p w14:paraId="1604640C"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582.6 ± 132.4</w:t>
            </w:r>
          </w:p>
        </w:tc>
        <w:tc>
          <w:tcPr>
            <w:tcW w:w="0" w:type="auto"/>
            <w:vAlign w:val="center"/>
            <w:hideMark/>
          </w:tcPr>
          <w:p w14:paraId="417EEA77"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11.43</w:t>
            </w:r>
          </w:p>
        </w:tc>
        <w:tc>
          <w:tcPr>
            <w:tcW w:w="0" w:type="auto"/>
            <w:vAlign w:val="center"/>
            <w:hideMark/>
          </w:tcPr>
          <w:p w14:paraId="3CF5A35C"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&lt;0.001</w:t>
            </w:r>
          </w:p>
        </w:tc>
      </w:tr>
      <w:tr w:rsidR="00D6322F" w:rsidRPr="00DA227C" w14:paraId="6E87A4F4" w14:textId="77777777" w:rsidTr="00D6322F">
        <w:trPr>
          <w:tblCellSpacing w:w="15" w:type="dxa"/>
        </w:trPr>
        <w:tc>
          <w:tcPr>
            <w:tcW w:w="0" w:type="auto"/>
            <w:vAlign w:val="center"/>
            <w:hideMark/>
          </w:tcPr>
          <w:p w14:paraId="388F2C04"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CD8⁺ (cells/µL)</w:t>
            </w:r>
          </w:p>
        </w:tc>
        <w:tc>
          <w:tcPr>
            <w:tcW w:w="0" w:type="auto"/>
            <w:vAlign w:val="center"/>
            <w:hideMark/>
          </w:tcPr>
          <w:p w14:paraId="67986BD8"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520.8 ± 77.9</w:t>
            </w:r>
          </w:p>
        </w:tc>
        <w:tc>
          <w:tcPr>
            <w:tcW w:w="0" w:type="auto"/>
            <w:vAlign w:val="center"/>
            <w:hideMark/>
          </w:tcPr>
          <w:p w14:paraId="5D6E27DE"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371.4 ± 89.3</w:t>
            </w:r>
          </w:p>
        </w:tc>
        <w:tc>
          <w:tcPr>
            <w:tcW w:w="0" w:type="auto"/>
            <w:vAlign w:val="center"/>
            <w:hideMark/>
          </w:tcPr>
          <w:p w14:paraId="65FC46CA"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10.29</w:t>
            </w:r>
          </w:p>
        </w:tc>
        <w:tc>
          <w:tcPr>
            <w:tcW w:w="0" w:type="auto"/>
            <w:vAlign w:val="center"/>
            <w:hideMark/>
          </w:tcPr>
          <w:p w14:paraId="1A3496BE"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&lt;0.001</w:t>
            </w:r>
          </w:p>
        </w:tc>
      </w:tr>
      <w:tr w:rsidR="00F344ED" w:rsidRPr="00DA227C" w14:paraId="321B2351" w14:textId="77777777" w:rsidTr="00D6322F">
        <w:trPr>
          <w:tblCellSpacing w:w="15" w:type="dxa"/>
        </w:trPr>
        <w:tc>
          <w:tcPr>
            <w:tcW w:w="0" w:type="auto"/>
            <w:vAlign w:val="center"/>
            <w:hideMark/>
          </w:tcPr>
          <w:p w14:paraId="64D00BBD" w14:textId="77777777" w:rsidR="00F344ED" w:rsidRPr="00DA227C" w:rsidRDefault="00F344ED" w:rsidP="00DA227C">
            <w:pPr>
              <w:spacing w:line="360" w:lineRule="auto"/>
              <w:jc w:val="both"/>
              <w:rPr>
                <w:rFonts w:cstheme="minorHAnsi"/>
                <w:sz w:val="24"/>
                <w:szCs w:val="24"/>
              </w:rPr>
            </w:pPr>
          </w:p>
        </w:tc>
        <w:tc>
          <w:tcPr>
            <w:tcW w:w="0" w:type="auto"/>
            <w:vAlign w:val="center"/>
            <w:hideMark/>
          </w:tcPr>
          <w:p w14:paraId="1C5F4F78" w14:textId="77777777" w:rsidR="00F344ED" w:rsidRPr="00DA227C" w:rsidRDefault="00F344ED" w:rsidP="00DA227C">
            <w:pPr>
              <w:spacing w:line="360" w:lineRule="auto"/>
              <w:jc w:val="both"/>
              <w:rPr>
                <w:rFonts w:cstheme="minorHAnsi"/>
                <w:sz w:val="24"/>
                <w:szCs w:val="24"/>
              </w:rPr>
            </w:pPr>
          </w:p>
        </w:tc>
        <w:tc>
          <w:tcPr>
            <w:tcW w:w="0" w:type="auto"/>
            <w:vAlign w:val="center"/>
            <w:hideMark/>
          </w:tcPr>
          <w:p w14:paraId="0F786119" w14:textId="77777777" w:rsidR="00F344ED" w:rsidRPr="00DA227C" w:rsidRDefault="00F344ED" w:rsidP="00DA227C">
            <w:pPr>
              <w:spacing w:line="360" w:lineRule="auto"/>
              <w:jc w:val="both"/>
              <w:rPr>
                <w:rFonts w:cstheme="minorHAnsi"/>
                <w:sz w:val="24"/>
                <w:szCs w:val="24"/>
              </w:rPr>
            </w:pPr>
          </w:p>
        </w:tc>
        <w:tc>
          <w:tcPr>
            <w:tcW w:w="0" w:type="auto"/>
            <w:vAlign w:val="center"/>
            <w:hideMark/>
          </w:tcPr>
          <w:p w14:paraId="1831BFE5" w14:textId="77777777" w:rsidR="00F344ED" w:rsidRPr="00DA227C" w:rsidRDefault="00F344ED" w:rsidP="00DA227C">
            <w:pPr>
              <w:spacing w:line="360" w:lineRule="auto"/>
              <w:jc w:val="both"/>
              <w:rPr>
                <w:rFonts w:cstheme="minorHAnsi"/>
                <w:sz w:val="24"/>
                <w:szCs w:val="24"/>
              </w:rPr>
            </w:pPr>
          </w:p>
        </w:tc>
        <w:tc>
          <w:tcPr>
            <w:tcW w:w="0" w:type="auto"/>
            <w:vAlign w:val="center"/>
            <w:hideMark/>
          </w:tcPr>
          <w:p w14:paraId="479B766E" w14:textId="77777777" w:rsidR="00F344ED" w:rsidRPr="00DA227C" w:rsidRDefault="00F344ED" w:rsidP="00DA227C">
            <w:pPr>
              <w:spacing w:line="360" w:lineRule="auto"/>
              <w:jc w:val="both"/>
              <w:rPr>
                <w:rFonts w:cstheme="minorHAnsi"/>
                <w:sz w:val="24"/>
                <w:szCs w:val="24"/>
              </w:rPr>
            </w:pPr>
          </w:p>
        </w:tc>
      </w:tr>
    </w:tbl>
    <w:p w14:paraId="5626AD98" w14:textId="77777777" w:rsidR="00D6322F" w:rsidRPr="00761E52" w:rsidRDefault="00F344ED" w:rsidP="00DA227C">
      <w:pPr>
        <w:spacing w:line="360" w:lineRule="auto"/>
        <w:jc w:val="both"/>
        <w:rPr>
          <w:rFonts w:cstheme="minorHAnsi"/>
          <w:sz w:val="24"/>
          <w:szCs w:val="24"/>
        </w:rPr>
      </w:pPr>
      <w:r w:rsidRPr="00761E52">
        <w:rPr>
          <w:rFonts w:cstheme="minorHAnsi"/>
          <w:sz w:val="24"/>
          <w:szCs w:val="24"/>
        </w:rPr>
        <w:t>Both CD4⁺ and CD8⁺ T-cell counts were significantly lower in the T2DM group compared to controls (p &lt; 0.001), indicating impaired immune status in diabetic patients.</w:t>
      </w:r>
    </w:p>
    <w:p w14:paraId="24DE91E3" w14:textId="77777777" w:rsidR="00F344ED" w:rsidRDefault="00F344ED" w:rsidP="00DA227C">
      <w:pPr>
        <w:spacing w:line="360" w:lineRule="auto"/>
        <w:jc w:val="both"/>
        <w:rPr>
          <w:rFonts w:ascii="Segoe UI" w:hAnsi="Segoe UI" w:cs="Segoe UI"/>
          <w:sz w:val="18"/>
          <w:szCs w:val="18"/>
        </w:rPr>
      </w:pPr>
    </w:p>
    <w:p w14:paraId="77240138" w14:textId="5F401A11" w:rsidR="00D6322F" w:rsidRPr="00DA227C" w:rsidRDefault="00D6322F" w:rsidP="00DA227C">
      <w:pPr>
        <w:pStyle w:val="Heading3"/>
        <w:spacing w:line="360" w:lineRule="auto"/>
        <w:jc w:val="both"/>
        <w:rPr>
          <w:rFonts w:asciiTheme="minorHAnsi" w:hAnsiTheme="minorHAnsi" w:cstheme="minorHAnsi"/>
          <w:sz w:val="24"/>
          <w:szCs w:val="24"/>
        </w:rPr>
      </w:pPr>
      <w:r w:rsidRPr="00DA227C">
        <w:rPr>
          <w:rStyle w:val="Strong"/>
          <w:rFonts w:asciiTheme="minorHAnsi" w:hAnsiTheme="minorHAnsi" w:cstheme="minorHAnsi"/>
          <w:b/>
          <w:bCs/>
          <w:sz w:val="24"/>
          <w:szCs w:val="24"/>
        </w:rPr>
        <w:t>Table 3: Inflammatory Cytokines and Glycemic Profile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1"/>
        <w:gridCol w:w="2076"/>
        <w:gridCol w:w="1936"/>
        <w:gridCol w:w="758"/>
        <w:gridCol w:w="816"/>
      </w:tblGrid>
      <w:tr w:rsidR="00D6322F" w:rsidRPr="00DA227C" w14:paraId="22A77FBE" w14:textId="77777777" w:rsidTr="00D6322F">
        <w:trPr>
          <w:tblHeader/>
          <w:tblCellSpacing w:w="15" w:type="dxa"/>
        </w:trPr>
        <w:tc>
          <w:tcPr>
            <w:tcW w:w="0" w:type="auto"/>
            <w:vAlign w:val="center"/>
            <w:hideMark/>
          </w:tcPr>
          <w:p w14:paraId="3B4FAE84" w14:textId="77777777" w:rsidR="00D6322F" w:rsidRPr="00DA227C" w:rsidRDefault="00D6322F" w:rsidP="00DA227C">
            <w:pPr>
              <w:spacing w:line="360" w:lineRule="auto"/>
              <w:jc w:val="both"/>
              <w:rPr>
                <w:rFonts w:cstheme="minorHAnsi"/>
                <w:b/>
                <w:bCs/>
                <w:sz w:val="24"/>
                <w:szCs w:val="24"/>
              </w:rPr>
            </w:pPr>
            <w:r w:rsidRPr="00DA227C">
              <w:rPr>
                <w:rFonts w:cstheme="minorHAnsi"/>
                <w:b/>
                <w:bCs/>
                <w:sz w:val="24"/>
                <w:szCs w:val="24"/>
              </w:rPr>
              <w:t>Parameter</w:t>
            </w:r>
          </w:p>
        </w:tc>
        <w:tc>
          <w:tcPr>
            <w:tcW w:w="0" w:type="auto"/>
            <w:vAlign w:val="center"/>
            <w:hideMark/>
          </w:tcPr>
          <w:p w14:paraId="7AE6CA74" w14:textId="77777777" w:rsidR="00D6322F" w:rsidRPr="00DA227C" w:rsidRDefault="00D6322F" w:rsidP="00DA227C">
            <w:pPr>
              <w:spacing w:line="360" w:lineRule="auto"/>
              <w:jc w:val="both"/>
              <w:rPr>
                <w:rFonts w:cstheme="minorHAnsi"/>
                <w:b/>
                <w:bCs/>
                <w:sz w:val="24"/>
                <w:szCs w:val="24"/>
              </w:rPr>
            </w:pPr>
            <w:r w:rsidRPr="00DA227C">
              <w:rPr>
                <w:rFonts w:cstheme="minorHAnsi"/>
                <w:b/>
                <w:bCs/>
                <w:sz w:val="24"/>
                <w:szCs w:val="24"/>
              </w:rPr>
              <w:t>Control (Mean ± SD)</w:t>
            </w:r>
          </w:p>
        </w:tc>
        <w:tc>
          <w:tcPr>
            <w:tcW w:w="0" w:type="auto"/>
            <w:vAlign w:val="center"/>
            <w:hideMark/>
          </w:tcPr>
          <w:p w14:paraId="02F1AF71" w14:textId="77777777" w:rsidR="00D6322F" w:rsidRPr="00DA227C" w:rsidRDefault="00D6322F" w:rsidP="00DA227C">
            <w:pPr>
              <w:spacing w:line="360" w:lineRule="auto"/>
              <w:jc w:val="both"/>
              <w:rPr>
                <w:rFonts w:cstheme="minorHAnsi"/>
                <w:b/>
                <w:bCs/>
                <w:sz w:val="24"/>
                <w:szCs w:val="24"/>
              </w:rPr>
            </w:pPr>
            <w:r w:rsidRPr="00DA227C">
              <w:rPr>
                <w:rFonts w:cstheme="minorHAnsi"/>
                <w:b/>
                <w:bCs/>
                <w:sz w:val="24"/>
                <w:szCs w:val="24"/>
              </w:rPr>
              <w:t>T2DM (Mean ± SD)</w:t>
            </w:r>
          </w:p>
        </w:tc>
        <w:tc>
          <w:tcPr>
            <w:tcW w:w="0" w:type="auto"/>
            <w:vAlign w:val="center"/>
            <w:hideMark/>
          </w:tcPr>
          <w:p w14:paraId="0CE439BA" w14:textId="77777777" w:rsidR="00D6322F" w:rsidRPr="00DA227C" w:rsidRDefault="00D6322F" w:rsidP="00DA227C">
            <w:pPr>
              <w:spacing w:line="360" w:lineRule="auto"/>
              <w:jc w:val="both"/>
              <w:rPr>
                <w:rFonts w:cstheme="minorHAnsi"/>
                <w:b/>
                <w:bCs/>
                <w:sz w:val="24"/>
                <w:szCs w:val="24"/>
              </w:rPr>
            </w:pPr>
            <w:r w:rsidRPr="00DA227C">
              <w:rPr>
                <w:rStyle w:val="Emphasis"/>
                <w:rFonts w:cstheme="minorHAnsi"/>
                <w:b/>
                <w:bCs/>
                <w:sz w:val="24"/>
                <w:szCs w:val="24"/>
              </w:rPr>
              <w:t>t</w:t>
            </w:r>
            <w:r w:rsidRPr="00DA227C">
              <w:rPr>
                <w:rFonts w:cstheme="minorHAnsi"/>
                <w:b/>
                <w:bCs/>
                <w:sz w:val="24"/>
                <w:szCs w:val="24"/>
              </w:rPr>
              <w:t>-value</w:t>
            </w:r>
          </w:p>
        </w:tc>
        <w:tc>
          <w:tcPr>
            <w:tcW w:w="0" w:type="auto"/>
            <w:vAlign w:val="center"/>
            <w:hideMark/>
          </w:tcPr>
          <w:p w14:paraId="2A87467A" w14:textId="77777777" w:rsidR="00D6322F" w:rsidRPr="00DA227C" w:rsidRDefault="00D6322F" w:rsidP="00DA227C">
            <w:pPr>
              <w:spacing w:line="360" w:lineRule="auto"/>
              <w:jc w:val="both"/>
              <w:rPr>
                <w:rFonts w:cstheme="minorHAnsi"/>
                <w:b/>
                <w:bCs/>
                <w:sz w:val="24"/>
                <w:szCs w:val="24"/>
              </w:rPr>
            </w:pPr>
            <w:r w:rsidRPr="00DA227C">
              <w:rPr>
                <w:rStyle w:val="Emphasis"/>
                <w:rFonts w:cstheme="minorHAnsi"/>
                <w:b/>
                <w:bCs/>
                <w:sz w:val="24"/>
                <w:szCs w:val="24"/>
              </w:rPr>
              <w:t>p</w:t>
            </w:r>
            <w:r w:rsidRPr="00DA227C">
              <w:rPr>
                <w:rFonts w:cstheme="minorHAnsi"/>
                <w:b/>
                <w:bCs/>
                <w:sz w:val="24"/>
                <w:szCs w:val="24"/>
              </w:rPr>
              <w:t>-value</w:t>
            </w:r>
          </w:p>
        </w:tc>
      </w:tr>
      <w:tr w:rsidR="00D6322F" w:rsidRPr="00DA227C" w14:paraId="1C6505D3" w14:textId="77777777" w:rsidTr="00D6322F">
        <w:trPr>
          <w:tblCellSpacing w:w="15" w:type="dxa"/>
        </w:trPr>
        <w:tc>
          <w:tcPr>
            <w:tcW w:w="0" w:type="auto"/>
            <w:vAlign w:val="center"/>
            <w:hideMark/>
          </w:tcPr>
          <w:p w14:paraId="0EDC66EB"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TNF-α (pg/mL)</w:t>
            </w:r>
          </w:p>
        </w:tc>
        <w:tc>
          <w:tcPr>
            <w:tcW w:w="0" w:type="auto"/>
            <w:vAlign w:val="center"/>
            <w:hideMark/>
          </w:tcPr>
          <w:p w14:paraId="3864FAC2"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65.89 ± 5.14</w:t>
            </w:r>
          </w:p>
        </w:tc>
        <w:tc>
          <w:tcPr>
            <w:tcW w:w="0" w:type="auto"/>
            <w:vAlign w:val="center"/>
            <w:hideMark/>
          </w:tcPr>
          <w:p w14:paraId="14F4BB36"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90.83 ± 5.90</w:t>
            </w:r>
          </w:p>
        </w:tc>
        <w:tc>
          <w:tcPr>
            <w:tcW w:w="0" w:type="auto"/>
            <w:vAlign w:val="center"/>
            <w:hideMark/>
          </w:tcPr>
          <w:p w14:paraId="0BBEB06E"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34.83</w:t>
            </w:r>
          </w:p>
        </w:tc>
        <w:tc>
          <w:tcPr>
            <w:tcW w:w="0" w:type="auto"/>
            <w:vAlign w:val="center"/>
            <w:hideMark/>
          </w:tcPr>
          <w:p w14:paraId="2D832D13"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&lt;0.001</w:t>
            </w:r>
          </w:p>
        </w:tc>
      </w:tr>
      <w:tr w:rsidR="00D6322F" w:rsidRPr="00DA227C" w14:paraId="118A419A" w14:textId="77777777" w:rsidTr="00D6322F">
        <w:trPr>
          <w:tblCellSpacing w:w="15" w:type="dxa"/>
        </w:trPr>
        <w:tc>
          <w:tcPr>
            <w:tcW w:w="0" w:type="auto"/>
            <w:vAlign w:val="center"/>
            <w:hideMark/>
          </w:tcPr>
          <w:p w14:paraId="6A9D33E9"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IL-6 (pg/mL)</w:t>
            </w:r>
          </w:p>
        </w:tc>
        <w:tc>
          <w:tcPr>
            <w:tcW w:w="0" w:type="auto"/>
            <w:vAlign w:val="center"/>
            <w:hideMark/>
          </w:tcPr>
          <w:p w14:paraId="2BDD5DB1"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1.92 ± 0.50</w:t>
            </w:r>
          </w:p>
        </w:tc>
        <w:tc>
          <w:tcPr>
            <w:tcW w:w="0" w:type="auto"/>
            <w:vAlign w:val="center"/>
            <w:hideMark/>
          </w:tcPr>
          <w:p w14:paraId="6660264A"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5.41 ± 0.89</w:t>
            </w:r>
          </w:p>
        </w:tc>
        <w:tc>
          <w:tcPr>
            <w:tcW w:w="0" w:type="auto"/>
            <w:vAlign w:val="center"/>
            <w:hideMark/>
          </w:tcPr>
          <w:p w14:paraId="11A9E0AB"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38.52</w:t>
            </w:r>
          </w:p>
        </w:tc>
        <w:tc>
          <w:tcPr>
            <w:tcW w:w="0" w:type="auto"/>
            <w:vAlign w:val="center"/>
            <w:hideMark/>
          </w:tcPr>
          <w:p w14:paraId="3D1CB64B"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&lt;0.001</w:t>
            </w:r>
          </w:p>
        </w:tc>
      </w:tr>
      <w:tr w:rsidR="00D6322F" w:rsidRPr="00DA227C" w14:paraId="0E2AC205" w14:textId="77777777" w:rsidTr="00D6322F">
        <w:trPr>
          <w:tblCellSpacing w:w="15" w:type="dxa"/>
        </w:trPr>
        <w:tc>
          <w:tcPr>
            <w:tcW w:w="0" w:type="auto"/>
            <w:vAlign w:val="center"/>
            <w:hideMark/>
          </w:tcPr>
          <w:p w14:paraId="00036912" w14:textId="77777777" w:rsidR="00D6322F" w:rsidRPr="00DA227C" w:rsidRDefault="00D6322F" w:rsidP="00DA227C">
            <w:pPr>
              <w:spacing w:line="360" w:lineRule="auto"/>
              <w:jc w:val="both"/>
              <w:rPr>
                <w:rFonts w:cstheme="minorHAnsi"/>
                <w:sz w:val="24"/>
                <w:szCs w:val="24"/>
              </w:rPr>
            </w:pPr>
            <w:proofErr w:type="spellStart"/>
            <w:r w:rsidRPr="00DA227C">
              <w:rPr>
                <w:rFonts w:cstheme="minorHAnsi"/>
                <w:sz w:val="24"/>
                <w:szCs w:val="24"/>
              </w:rPr>
              <w:lastRenderedPageBreak/>
              <w:t>hs</w:t>
            </w:r>
            <w:proofErr w:type="spellEnd"/>
            <w:r w:rsidRPr="00DA227C">
              <w:rPr>
                <w:rFonts w:cstheme="minorHAnsi"/>
                <w:sz w:val="24"/>
                <w:szCs w:val="24"/>
              </w:rPr>
              <w:t>-CRP (mg/L)</w:t>
            </w:r>
          </w:p>
        </w:tc>
        <w:tc>
          <w:tcPr>
            <w:tcW w:w="0" w:type="auto"/>
            <w:vAlign w:val="center"/>
            <w:hideMark/>
          </w:tcPr>
          <w:p w14:paraId="1DE28CE4"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1.76 ± 0.46</w:t>
            </w:r>
          </w:p>
        </w:tc>
        <w:tc>
          <w:tcPr>
            <w:tcW w:w="0" w:type="auto"/>
            <w:vAlign w:val="center"/>
            <w:hideMark/>
          </w:tcPr>
          <w:p w14:paraId="1743C6E5"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4.17 ± 0.56</w:t>
            </w:r>
          </w:p>
        </w:tc>
        <w:tc>
          <w:tcPr>
            <w:tcW w:w="0" w:type="auto"/>
            <w:vAlign w:val="center"/>
            <w:hideMark/>
          </w:tcPr>
          <w:p w14:paraId="1E320C1C"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36.27</w:t>
            </w:r>
          </w:p>
        </w:tc>
        <w:tc>
          <w:tcPr>
            <w:tcW w:w="0" w:type="auto"/>
            <w:vAlign w:val="center"/>
            <w:hideMark/>
          </w:tcPr>
          <w:p w14:paraId="01073FE4"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&lt;0.001</w:t>
            </w:r>
          </w:p>
        </w:tc>
      </w:tr>
      <w:tr w:rsidR="00D6322F" w:rsidRPr="00DA227C" w14:paraId="6B4B8D78" w14:textId="77777777" w:rsidTr="00D6322F">
        <w:trPr>
          <w:tblCellSpacing w:w="15" w:type="dxa"/>
        </w:trPr>
        <w:tc>
          <w:tcPr>
            <w:tcW w:w="0" w:type="auto"/>
            <w:vAlign w:val="center"/>
            <w:hideMark/>
          </w:tcPr>
          <w:p w14:paraId="1961EDC8"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FPG (mg/dL)</w:t>
            </w:r>
          </w:p>
        </w:tc>
        <w:tc>
          <w:tcPr>
            <w:tcW w:w="0" w:type="auto"/>
            <w:vAlign w:val="center"/>
            <w:hideMark/>
          </w:tcPr>
          <w:p w14:paraId="5CEBE294"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70.24 ± 8.51</w:t>
            </w:r>
          </w:p>
        </w:tc>
        <w:tc>
          <w:tcPr>
            <w:tcW w:w="0" w:type="auto"/>
            <w:vAlign w:val="center"/>
            <w:hideMark/>
          </w:tcPr>
          <w:p w14:paraId="60602832"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174.27 ± 27.92</w:t>
            </w:r>
          </w:p>
        </w:tc>
        <w:tc>
          <w:tcPr>
            <w:tcW w:w="0" w:type="auto"/>
            <w:vAlign w:val="center"/>
            <w:hideMark/>
          </w:tcPr>
          <w:p w14:paraId="63F2FD99"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41.47</w:t>
            </w:r>
          </w:p>
        </w:tc>
        <w:tc>
          <w:tcPr>
            <w:tcW w:w="0" w:type="auto"/>
            <w:vAlign w:val="center"/>
            <w:hideMark/>
          </w:tcPr>
          <w:p w14:paraId="7BF7C4F3"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&lt;0.001</w:t>
            </w:r>
          </w:p>
        </w:tc>
      </w:tr>
    </w:tbl>
    <w:p w14:paraId="4C7F23B6" w14:textId="77777777" w:rsidR="00D6322F" w:rsidRPr="00761E52" w:rsidRDefault="00F344ED" w:rsidP="00DA227C">
      <w:pPr>
        <w:spacing w:line="360" w:lineRule="auto"/>
        <w:jc w:val="both"/>
        <w:rPr>
          <w:rFonts w:cstheme="minorHAnsi"/>
          <w:sz w:val="24"/>
          <w:szCs w:val="24"/>
        </w:rPr>
      </w:pPr>
      <w:r w:rsidRPr="00761E52">
        <w:rPr>
          <w:rFonts w:cstheme="minorHAnsi"/>
          <w:sz w:val="24"/>
          <w:szCs w:val="24"/>
        </w:rPr>
        <w:t xml:space="preserve">Inflammatory markers (TNF-α, IL-6, </w:t>
      </w:r>
      <w:proofErr w:type="spellStart"/>
      <w:r w:rsidRPr="00761E52">
        <w:rPr>
          <w:rFonts w:cstheme="minorHAnsi"/>
          <w:sz w:val="24"/>
          <w:szCs w:val="24"/>
        </w:rPr>
        <w:t>hs</w:t>
      </w:r>
      <w:proofErr w:type="spellEnd"/>
      <w:r w:rsidRPr="00761E52">
        <w:rPr>
          <w:rFonts w:cstheme="minorHAnsi"/>
          <w:sz w:val="24"/>
          <w:szCs w:val="24"/>
        </w:rPr>
        <w:t>-CRP) and fasting plasma glucose (FPG) levels were significantly elevated in T2DM patients compared to controls (p &lt; 0.001), reflecting heightened inflammation and poor glycemic control in diabetes.</w:t>
      </w:r>
    </w:p>
    <w:p w14:paraId="543258DB" w14:textId="77777777" w:rsidR="00F344ED" w:rsidRPr="00DA227C" w:rsidRDefault="00F344ED" w:rsidP="00DA227C">
      <w:pPr>
        <w:spacing w:line="360" w:lineRule="auto"/>
        <w:jc w:val="both"/>
        <w:rPr>
          <w:rFonts w:cstheme="minorHAnsi"/>
          <w:sz w:val="24"/>
          <w:szCs w:val="24"/>
        </w:rPr>
      </w:pPr>
    </w:p>
    <w:p w14:paraId="2A87AECA" w14:textId="3934E281" w:rsidR="00D6322F" w:rsidRPr="00DA227C" w:rsidRDefault="00D6322F" w:rsidP="00DA227C">
      <w:pPr>
        <w:pStyle w:val="Heading3"/>
        <w:spacing w:line="360" w:lineRule="auto"/>
        <w:jc w:val="both"/>
        <w:rPr>
          <w:rFonts w:asciiTheme="minorHAnsi" w:hAnsiTheme="minorHAnsi" w:cstheme="minorHAnsi"/>
          <w:sz w:val="24"/>
          <w:szCs w:val="24"/>
        </w:rPr>
      </w:pPr>
      <w:r w:rsidRPr="00DA227C">
        <w:rPr>
          <w:rStyle w:val="Strong"/>
          <w:rFonts w:asciiTheme="minorHAnsi" w:hAnsiTheme="minorHAnsi" w:cstheme="minorHAnsi"/>
          <w:b/>
          <w:bCs/>
          <w:sz w:val="24"/>
          <w:szCs w:val="24"/>
        </w:rPr>
        <w:t>Table 4: Distribution of Heavy Metals in Control vs. T2DM Groups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9"/>
        <w:gridCol w:w="787"/>
        <w:gridCol w:w="1619"/>
        <w:gridCol w:w="1494"/>
      </w:tblGrid>
      <w:tr w:rsidR="00D6322F" w:rsidRPr="00DA227C" w14:paraId="4AF8DC37" w14:textId="77777777" w:rsidTr="00D6322F">
        <w:trPr>
          <w:tblHeader/>
          <w:tblCellSpacing w:w="15" w:type="dxa"/>
        </w:trPr>
        <w:tc>
          <w:tcPr>
            <w:tcW w:w="0" w:type="auto"/>
            <w:vAlign w:val="center"/>
            <w:hideMark/>
          </w:tcPr>
          <w:p w14:paraId="32493E12" w14:textId="77777777" w:rsidR="00D6322F" w:rsidRPr="00DA227C" w:rsidRDefault="00D6322F" w:rsidP="00DA227C">
            <w:pPr>
              <w:spacing w:line="360" w:lineRule="auto"/>
              <w:jc w:val="both"/>
              <w:rPr>
                <w:rFonts w:cstheme="minorHAnsi"/>
                <w:b/>
                <w:bCs/>
                <w:sz w:val="24"/>
                <w:szCs w:val="24"/>
              </w:rPr>
            </w:pPr>
            <w:r w:rsidRPr="00DA227C">
              <w:rPr>
                <w:rFonts w:cstheme="minorHAnsi"/>
                <w:b/>
                <w:bCs/>
                <w:sz w:val="24"/>
                <w:szCs w:val="24"/>
              </w:rPr>
              <w:t>Metal</w:t>
            </w:r>
          </w:p>
        </w:tc>
        <w:tc>
          <w:tcPr>
            <w:tcW w:w="0" w:type="auto"/>
            <w:vAlign w:val="center"/>
            <w:hideMark/>
          </w:tcPr>
          <w:p w14:paraId="3EDF0557" w14:textId="77777777" w:rsidR="00D6322F" w:rsidRPr="00DA227C" w:rsidRDefault="00D6322F" w:rsidP="00DA227C">
            <w:pPr>
              <w:spacing w:line="360" w:lineRule="auto"/>
              <w:jc w:val="both"/>
              <w:rPr>
                <w:rFonts w:cstheme="minorHAnsi"/>
                <w:b/>
                <w:bCs/>
                <w:sz w:val="24"/>
                <w:szCs w:val="24"/>
              </w:rPr>
            </w:pPr>
            <w:r w:rsidRPr="00DA227C">
              <w:rPr>
                <w:rFonts w:cstheme="minorHAnsi"/>
                <w:b/>
                <w:bCs/>
                <w:sz w:val="24"/>
                <w:szCs w:val="24"/>
              </w:rPr>
              <w:t>Level</w:t>
            </w:r>
          </w:p>
        </w:tc>
        <w:tc>
          <w:tcPr>
            <w:tcW w:w="0" w:type="auto"/>
            <w:vAlign w:val="center"/>
            <w:hideMark/>
          </w:tcPr>
          <w:p w14:paraId="0CDCBB6B" w14:textId="77777777" w:rsidR="00D6322F" w:rsidRPr="00DA227C" w:rsidRDefault="00D6322F" w:rsidP="00DA227C">
            <w:pPr>
              <w:spacing w:line="360" w:lineRule="auto"/>
              <w:jc w:val="both"/>
              <w:rPr>
                <w:rFonts w:cstheme="minorHAnsi"/>
                <w:b/>
                <w:bCs/>
                <w:sz w:val="24"/>
                <w:szCs w:val="24"/>
              </w:rPr>
            </w:pPr>
            <w:r w:rsidRPr="00DA227C">
              <w:rPr>
                <w:rFonts w:cstheme="minorHAnsi"/>
                <w:b/>
                <w:bCs/>
                <w:sz w:val="24"/>
                <w:szCs w:val="24"/>
              </w:rPr>
              <w:t>Control (n=100)</w:t>
            </w:r>
          </w:p>
        </w:tc>
        <w:tc>
          <w:tcPr>
            <w:tcW w:w="0" w:type="auto"/>
            <w:vAlign w:val="center"/>
            <w:hideMark/>
          </w:tcPr>
          <w:p w14:paraId="0B0E9F10" w14:textId="77777777" w:rsidR="00D6322F" w:rsidRPr="00DA227C" w:rsidRDefault="00D6322F" w:rsidP="00DA227C">
            <w:pPr>
              <w:spacing w:line="360" w:lineRule="auto"/>
              <w:jc w:val="both"/>
              <w:rPr>
                <w:rFonts w:cstheme="minorHAnsi"/>
                <w:b/>
                <w:bCs/>
                <w:sz w:val="24"/>
                <w:szCs w:val="24"/>
              </w:rPr>
            </w:pPr>
            <w:r w:rsidRPr="00DA227C">
              <w:rPr>
                <w:rFonts w:cstheme="minorHAnsi"/>
                <w:b/>
                <w:bCs/>
                <w:sz w:val="24"/>
                <w:szCs w:val="24"/>
              </w:rPr>
              <w:t>T2DM (n=140)</w:t>
            </w:r>
          </w:p>
        </w:tc>
      </w:tr>
      <w:tr w:rsidR="00D6322F" w:rsidRPr="00DA227C" w14:paraId="436BFA9B" w14:textId="77777777" w:rsidTr="00D6322F">
        <w:trPr>
          <w:tblCellSpacing w:w="15" w:type="dxa"/>
        </w:trPr>
        <w:tc>
          <w:tcPr>
            <w:tcW w:w="0" w:type="auto"/>
            <w:vAlign w:val="center"/>
            <w:hideMark/>
          </w:tcPr>
          <w:p w14:paraId="4824F4AF"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Cadmium</w:t>
            </w:r>
          </w:p>
        </w:tc>
        <w:tc>
          <w:tcPr>
            <w:tcW w:w="0" w:type="auto"/>
            <w:vAlign w:val="center"/>
            <w:hideMark/>
          </w:tcPr>
          <w:p w14:paraId="4CCBBB16"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Normal</w:t>
            </w:r>
          </w:p>
        </w:tc>
        <w:tc>
          <w:tcPr>
            <w:tcW w:w="0" w:type="auto"/>
            <w:vAlign w:val="center"/>
            <w:hideMark/>
          </w:tcPr>
          <w:p w14:paraId="3ED508D8"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100 (100%)</w:t>
            </w:r>
          </w:p>
        </w:tc>
        <w:tc>
          <w:tcPr>
            <w:tcW w:w="0" w:type="auto"/>
            <w:vAlign w:val="center"/>
            <w:hideMark/>
          </w:tcPr>
          <w:p w14:paraId="0DC115BF"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140 (100%)</w:t>
            </w:r>
          </w:p>
        </w:tc>
      </w:tr>
      <w:tr w:rsidR="00D6322F" w:rsidRPr="00DA227C" w14:paraId="608C988E" w14:textId="77777777" w:rsidTr="00D6322F">
        <w:trPr>
          <w:tblCellSpacing w:w="15" w:type="dxa"/>
        </w:trPr>
        <w:tc>
          <w:tcPr>
            <w:tcW w:w="0" w:type="auto"/>
            <w:vAlign w:val="center"/>
            <w:hideMark/>
          </w:tcPr>
          <w:p w14:paraId="2079EB52" w14:textId="77777777" w:rsidR="00D6322F" w:rsidRPr="00DA227C" w:rsidRDefault="00D6322F" w:rsidP="00DA227C">
            <w:pPr>
              <w:spacing w:line="360" w:lineRule="auto"/>
              <w:jc w:val="both"/>
              <w:rPr>
                <w:rFonts w:cstheme="minorHAnsi"/>
                <w:sz w:val="24"/>
                <w:szCs w:val="24"/>
              </w:rPr>
            </w:pPr>
          </w:p>
        </w:tc>
        <w:tc>
          <w:tcPr>
            <w:tcW w:w="0" w:type="auto"/>
            <w:vAlign w:val="center"/>
            <w:hideMark/>
          </w:tcPr>
          <w:p w14:paraId="0045688F"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High</w:t>
            </w:r>
          </w:p>
        </w:tc>
        <w:tc>
          <w:tcPr>
            <w:tcW w:w="0" w:type="auto"/>
            <w:vAlign w:val="center"/>
            <w:hideMark/>
          </w:tcPr>
          <w:p w14:paraId="01C8D92B"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0 (0%)</w:t>
            </w:r>
          </w:p>
        </w:tc>
        <w:tc>
          <w:tcPr>
            <w:tcW w:w="0" w:type="auto"/>
            <w:vAlign w:val="center"/>
            <w:hideMark/>
          </w:tcPr>
          <w:p w14:paraId="11400856"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0 (0%)</w:t>
            </w:r>
          </w:p>
        </w:tc>
      </w:tr>
      <w:tr w:rsidR="00D6322F" w:rsidRPr="00DA227C" w14:paraId="5DE7C472" w14:textId="77777777" w:rsidTr="00D6322F">
        <w:trPr>
          <w:tblCellSpacing w:w="15" w:type="dxa"/>
        </w:trPr>
        <w:tc>
          <w:tcPr>
            <w:tcW w:w="0" w:type="auto"/>
            <w:vAlign w:val="center"/>
            <w:hideMark/>
          </w:tcPr>
          <w:p w14:paraId="0CC56AED"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Mercury</w:t>
            </w:r>
          </w:p>
        </w:tc>
        <w:tc>
          <w:tcPr>
            <w:tcW w:w="0" w:type="auto"/>
            <w:vAlign w:val="center"/>
            <w:hideMark/>
          </w:tcPr>
          <w:p w14:paraId="0CA3AE1D"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Normal</w:t>
            </w:r>
          </w:p>
        </w:tc>
        <w:tc>
          <w:tcPr>
            <w:tcW w:w="0" w:type="auto"/>
            <w:vAlign w:val="center"/>
            <w:hideMark/>
          </w:tcPr>
          <w:p w14:paraId="7E5B41DC"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100 (100%)</w:t>
            </w:r>
          </w:p>
        </w:tc>
        <w:tc>
          <w:tcPr>
            <w:tcW w:w="0" w:type="auto"/>
            <w:vAlign w:val="center"/>
            <w:hideMark/>
          </w:tcPr>
          <w:p w14:paraId="0DFA7F06"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55 (39.3%)</w:t>
            </w:r>
          </w:p>
        </w:tc>
      </w:tr>
      <w:tr w:rsidR="00D6322F" w:rsidRPr="00DA227C" w14:paraId="472C2AE1" w14:textId="77777777" w:rsidTr="00D6322F">
        <w:trPr>
          <w:tblCellSpacing w:w="15" w:type="dxa"/>
        </w:trPr>
        <w:tc>
          <w:tcPr>
            <w:tcW w:w="0" w:type="auto"/>
            <w:vAlign w:val="center"/>
            <w:hideMark/>
          </w:tcPr>
          <w:p w14:paraId="1F683D41" w14:textId="77777777" w:rsidR="00D6322F" w:rsidRPr="00DA227C" w:rsidRDefault="00D6322F" w:rsidP="00DA227C">
            <w:pPr>
              <w:spacing w:line="360" w:lineRule="auto"/>
              <w:jc w:val="both"/>
              <w:rPr>
                <w:rFonts w:cstheme="minorHAnsi"/>
                <w:sz w:val="24"/>
                <w:szCs w:val="24"/>
              </w:rPr>
            </w:pPr>
          </w:p>
        </w:tc>
        <w:tc>
          <w:tcPr>
            <w:tcW w:w="0" w:type="auto"/>
            <w:vAlign w:val="center"/>
            <w:hideMark/>
          </w:tcPr>
          <w:p w14:paraId="7D02B968"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High</w:t>
            </w:r>
          </w:p>
        </w:tc>
        <w:tc>
          <w:tcPr>
            <w:tcW w:w="0" w:type="auto"/>
            <w:vAlign w:val="center"/>
            <w:hideMark/>
          </w:tcPr>
          <w:p w14:paraId="6C8FBFF7"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0 (0%)</w:t>
            </w:r>
          </w:p>
        </w:tc>
        <w:tc>
          <w:tcPr>
            <w:tcW w:w="0" w:type="auto"/>
            <w:vAlign w:val="center"/>
            <w:hideMark/>
          </w:tcPr>
          <w:p w14:paraId="61C46A3A"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85 (60.7%)</w:t>
            </w:r>
          </w:p>
        </w:tc>
      </w:tr>
      <w:tr w:rsidR="00D6322F" w:rsidRPr="00DA227C" w14:paraId="29C58F4A" w14:textId="77777777" w:rsidTr="00D6322F">
        <w:trPr>
          <w:tblCellSpacing w:w="15" w:type="dxa"/>
        </w:trPr>
        <w:tc>
          <w:tcPr>
            <w:tcW w:w="0" w:type="auto"/>
            <w:vAlign w:val="center"/>
            <w:hideMark/>
          </w:tcPr>
          <w:p w14:paraId="0475E497"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Lead</w:t>
            </w:r>
          </w:p>
        </w:tc>
        <w:tc>
          <w:tcPr>
            <w:tcW w:w="0" w:type="auto"/>
            <w:vAlign w:val="center"/>
            <w:hideMark/>
          </w:tcPr>
          <w:p w14:paraId="39CF2915"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Normal</w:t>
            </w:r>
          </w:p>
        </w:tc>
        <w:tc>
          <w:tcPr>
            <w:tcW w:w="0" w:type="auto"/>
            <w:vAlign w:val="center"/>
            <w:hideMark/>
          </w:tcPr>
          <w:p w14:paraId="5B67D542"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100 (100%)</w:t>
            </w:r>
          </w:p>
        </w:tc>
        <w:tc>
          <w:tcPr>
            <w:tcW w:w="0" w:type="auto"/>
            <w:vAlign w:val="center"/>
            <w:hideMark/>
          </w:tcPr>
          <w:p w14:paraId="396D1B85"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140 (100%)</w:t>
            </w:r>
          </w:p>
        </w:tc>
      </w:tr>
      <w:tr w:rsidR="00D6322F" w:rsidRPr="00DA227C" w14:paraId="5788D3DC" w14:textId="77777777" w:rsidTr="00D6322F">
        <w:trPr>
          <w:tblCellSpacing w:w="15" w:type="dxa"/>
        </w:trPr>
        <w:tc>
          <w:tcPr>
            <w:tcW w:w="0" w:type="auto"/>
            <w:vAlign w:val="center"/>
            <w:hideMark/>
          </w:tcPr>
          <w:p w14:paraId="1B16D8C9" w14:textId="77777777" w:rsidR="00D6322F" w:rsidRPr="00DA227C" w:rsidRDefault="00D6322F" w:rsidP="00DA227C">
            <w:pPr>
              <w:spacing w:line="360" w:lineRule="auto"/>
              <w:jc w:val="both"/>
              <w:rPr>
                <w:rFonts w:cstheme="minorHAnsi"/>
                <w:sz w:val="24"/>
                <w:szCs w:val="24"/>
              </w:rPr>
            </w:pPr>
          </w:p>
        </w:tc>
        <w:tc>
          <w:tcPr>
            <w:tcW w:w="0" w:type="auto"/>
            <w:vAlign w:val="center"/>
            <w:hideMark/>
          </w:tcPr>
          <w:p w14:paraId="568754C2"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High</w:t>
            </w:r>
          </w:p>
        </w:tc>
        <w:tc>
          <w:tcPr>
            <w:tcW w:w="0" w:type="auto"/>
            <w:vAlign w:val="center"/>
            <w:hideMark/>
          </w:tcPr>
          <w:p w14:paraId="20CB8A18"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0 (0%)</w:t>
            </w:r>
          </w:p>
        </w:tc>
        <w:tc>
          <w:tcPr>
            <w:tcW w:w="0" w:type="auto"/>
            <w:vAlign w:val="center"/>
            <w:hideMark/>
          </w:tcPr>
          <w:p w14:paraId="3B7D789C"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0 (0%)</w:t>
            </w:r>
          </w:p>
        </w:tc>
      </w:tr>
      <w:tr w:rsidR="00D6322F" w:rsidRPr="00DA227C" w14:paraId="50DF8057" w14:textId="77777777" w:rsidTr="00D6322F">
        <w:trPr>
          <w:tblCellSpacing w:w="15" w:type="dxa"/>
        </w:trPr>
        <w:tc>
          <w:tcPr>
            <w:tcW w:w="0" w:type="auto"/>
            <w:vAlign w:val="center"/>
            <w:hideMark/>
          </w:tcPr>
          <w:p w14:paraId="37347AEF"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Arsenic</w:t>
            </w:r>
          </w:p>
        </w:tc>
        <w:tc>
          <w:tcPr>
            <w:tcW w:w="0" w:type="auto"/>
            <w:vAlign w:val="center"/>
            <w:hideMark/>
          </w:tcPr>
          <w:p w14:paraId="735CFEC2"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Normal</w:t>
            </w:r>
          </w:p>
        </w:tc>
        <w:tc>
          <w:tcPr>
            <w:tcW w:w="0" w:type="auto"/>
            <w:vAlign w:val="center"/>
            <w:hideMark/>
          </w:tcPr>
          <w:p w14:paraId="51A653CF"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100 (100%)</w:t>
            </w:r>
          </w:p>
        </w:tc>
        <w:tc>
          <w:tcPr>
            <w:tcW w:w="0" w:type="auto"/>
            <w:vAlign w:val="center"/>
            <w:hideMark/>
          </w:tcPr>
          <w:p w14:paraId="74EA0570"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70 (50.0%)</w:t>
            </w:r>
          </w:p>
        </w:tc>
      </w:tr>
      <w:tr w:rsidR="00D6322F" w:rsidRPr="00DA227C" w14:paraId="0B636CBA" w14:textId="77777777" w:rsidTr="00D6322F">
        <w:trPr>
          <w:tblCellSpacing w:w="15" w:type="dxa"/>
        </w:trPr>
        <w:tc>
          <w:tcPr>
            <w:tcW w:w="0" w:type="auto"/>
            <w:vAlign w:val="center"/>
            <w:hideMark/>
          </w:tcPr>
          <w:p w14:paraId="294B5DC0" w14:textId="77777777" w:rsidR="00D6322F" w:rsidRPr="00DA227C" w:rsidRDefault="00D6322F" w:rsidP="00DA227C">
            <w:pPr>
              <w:spacing w:line="360" w:lineRule="auto"/>
              <w:jc w:val="both"/>
              <w:rPr>
                <w:rFonts w:cstheme="minorHAnsi"/>
                <w:sz w:val="24"/>
                <w:szCs w:val="24"/>
              </w:rPr>
            </w:pPr>
          </w:p>
        </w:tc>
        <w:tc>
          <w:tcPr>
            <w:tcW w:w="0" w:type="auto"/>
            <w:vAlign w:val="center"/>
            <w:hideMark/>
          </w:tcPr>
          <w:p w14:paraId="4B5867EA"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High</w:t>
            </w:r>
          </w:p>
        </w:tc>
        <w:tc>
          <w:tcPr>
            <w:tcW w:w="0" w:type="auto"/>
            <w:vAlign w:val="center"/>
            <w:hideMark/>
          </w:tcPr>
          <w:p w14:paraId="19975BB2"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0 (0%)</w:t>
            </w:r>
          </w:p>
        </w:tc>
        <w:tc>
          <w:tcPr>
            <w:tcW w:w="0" w:type="auto"/>
            <w:vAlign w:val="center"/>
            <w:hideMark/>
          </w:tcPr>
          <w:p w14:paraId="5EA56D6A" w14:textId="77777777" w:rsidR="00D6322F" w:rsidRPr="00DA227C" w:rsidRDefault="00D6322F" w:rsidP="00DA227C">
            <w:pPr>
              <w:spacing w:line="360" w:lineRule="auto"/>
              <w:jc w:val="both"/>
              <w:rPr>
                <w:rFonts w:cstheme="minorHAnsi"/>
                <w:sz w:val="24"/>
                <w:szCs w:val="24"/>
              </w:rPr>
            </w:pPr>
            <w:r w:rsidRPr="00DA227C">
              <w:rPr>
                <w:rFonts w:cstheme="minorHAnsi"/>
                <w:sz w:val="24"/>
                <w:szCs w:val="24"/>
              </w:rPr>
              <w:t>70 (50.0%)</w:t>
            </w:r>
          </w:p>
        </w:tc>
      </w:tr>
    </w:tbl>
    <w:p w14:paraId="004EE0A9" w14:textId="77777777" w:rsidR="00F344ED" w:rsidRPr="00F344ED" w:rsidRDefault="00F344ED" w:rsidP="00761E52">
      <w:pPr>
        <w:spacing w:line="360" w:lineRule="auto"/>
        <w:jc w:val="both"/>
        <w:rPr>
          <w:sz w:val="24"/>
          <w:szCs w:val="24"/>
        </w:rPr>
      </w:pPr>
      <w:r w:rsidRPr="00F344ED">
        <w:rPr>
          <w:sz w:val="24"/>
          <w:szCs w:val="24"/>
        </w:rPr>
        <w:t>A significantly higher proportion of T2DM patients exhibited elevated mercury (60.7%) and arsenic (50.0%) levels compared to controls, suggesting potential environmental exposure risks associated with diabetes (statistical significance inferred from group distribution).</w:t>
      </w:r>
    </w:p>
    <w:p w14:paraId="77354922" w14:textId="77777777" w:rsidR="00F344ED" w:rsidRPr="00DA227C" w:rsidRDefault="00F344ED" w:rsidP="00DA227C">
      <w:pPr>
        <w:spacing w:line="360" w:lineRule="auto"/>
        <w:jc w:val="both"/>
        <w:rPr>
          <w:rFonts w:cstheme="minorHAnsi"/>
          <w:b/>
          <w:sz w:val="24"/>
          <w:szCs w:val="24"/>
        </w:rPr>
      </w:pPr>
    </w:p>
    <w:p w14:paraId="52438BA5" w14:textId="77777777" w:rsidR="00180F27" w:rsidRPr="00F344ED" w:rsidRDefault="00180F27" w:rsidP="00DA227C">
      <w:pPr>
        <w:spacing w:before="100" w:beforeAutospacing="1" w:after="100" w:afterAutospacing="1" w:line="360" w:lineRule="auto"/>
        <w:jc w:val="both"/>
        <w:outlineLvl w:val="2"/>
        <w:rPr>
          <w:rFonts w:eastAsia="Times New Roman" w:cstheme="minorHAnsi"/>
          <w:b/>
          <w:bCs/>
          <w:sz w:val="28"/>
          <w:szCs w:val="28"/>
        </w:rPr>
      </w:pPr>
      <w:r w:rsidRPr="00F344ED">
        <w:rPr>
          <w:rFonts w:eastAsia="Times New Roman" w:cstheme="minorHAnsi"/>
          <w:b/>
          <w:bCs/>
          <w:sz w:val="28"/>
          <w:szCs w:val="28"/>
        </w:rPr>
        <w:t>4. Discussion</w:t>
      </w:r>
    </w:p>
    <w:p w14:paraId="0451212C" w14:textId="77777777" w:rsidR="00A665AB" w:rsidRPr="00761E52" w:rsidRDefault="00A665AB" w:rsidP="00761E52">
      <w:pPr>
        <w:spacing w:after="0" w:line="360" w:lineRule="auto"/>
        <w:jc w:val="both"/>
        <w:rPr>
          <w:rFonts w:eastAsia="Times New Roman" w:cstheme="minorHAnsi"/>
          <w:sz w:val="24"/>
          <w:szCs w:val="24"/>
        </w:rPr>
      </w:pPr>
      <w:r w:rsidRPr="00761E52">
        <w:rPr>
          <w:rFonts w:eastAsia="Times New Roman" w:cstheme="minorHAnsi"/>
          <w:sz w:val="24"/>
          <w:szCs w:val="24"/>
        </w:rPr>
        <w:t>This study offers strong evidence that exposure to environmental toxins, increased systemic inflammation, and significant changes in cellular immune markers are all linked to Type 2 Diabetes Mellitus (T2DM). These results provide context-specific information from a Nigerian population with known environmental risk factors, in addition to confirming preexisting theories regarding the immuno-inflammatory foundations of type 2 diabetes.</w:t>
      </w:r>
    </w:p>
    <w:p w14:paraId="37723B80" w14:textId="77777777" w:rsidR="00A665AB" w:rsidRPr="00761E52" w:rsidRDefault="00A665AB" w:rsidP="00761E52">
      <w:pPr>
        <w:spacing w:after="0" w:line="360" w:lineRule="auto"/>
        <w:jc w:val="both"/>
        <w:rPr>
          <w:rFonts w:eastAsia="Times New Roman" w:cstheme="minorHAnsi"/>
          <w:sz w:val="24"/>
          <w:szCs w:val="24"/>
        </w:rPr>
      </w:pPr>
      <w:r w:rsidRPr="00761E52">
        <w:rPr>
          <w:rFonts w:eastAsia="Times New Roman" w:cstheme="minorHAnsi"/>
          <w:sz w:val="24"/>
          <w:szCs w:val="24"/>
        </w:rPr>
        <w:t>Compared to healthy controls (812.3 ± 141.6 and 520.8 ± 77.9; p&lt;0.001 for both), diabetes patients had significantly reduced CD4⁺ and CD8⁺ T-cell counts (582.6 ± 132.4 and 371.4 ± 89.3 cells/</w:t>
      </w:r>
      <w:proofErr w:type="spellStart"/>
      <w:r w:rsidRPr="00761E52">
        <w:rPr>
          <w:rFonts w:eastAsia="Times New Roman" w:cstheme="minorHAnsi"/>
          <w:sz w:val="24"/>
          <w:szCs w:val="24"/>
        </w:rPr>
        <w:t>μL</w:t>
      </w:r>
      <w:proofErr w:type="spellEnd"/>
      <w:r w:rsidRPr="00761E52">
        <w:rPr>
          <w:rFonts w:eastAsia="Times New Roman" w:cstheme="minorHAnsi"/>
          <w:sz w:val="24"/>
          <w:szCs w:val="24"/>
        </w:rPr>
        <w:t>, respectively), which may indicate compromised cellular immune surveillance. While CD8⁺ cytotoxic T cells are essential for eradicating diseased or defective cells, CD4⁺ T-helper cells coordinate adaptive immunity through the release of cytokines. A decrease in these subsets suggests increased susceptibility to infections, cancer, and poor wound healing, all of which are frequently seen in people with type 2 diabetes (1,2).</w:t>
      </w:r>
    </w:p>
    <w:p w14:paraId="34615EEA" w14:textId="77777777" w:rsidR="00A665AB" w:rsidRPr="00761E52" w:rsidRDefault="00A665AB" w:rsidP="00761E52">
      <w:pPr>
        <w:spacing w:after="0" w:line="360" w:lineRule="auto"/>
        <w:jc w:val="both"/>
        <w:rPr>
          <w:rFonts w:eastAsia="Times New Roman" w:cstheme="minorHAnsi"/>
          <w:sz w:val="24"/>
          <w:szCs w:val="24"/>
        </w:rPr>
      </w:pPr>
      <w:r w:rsidRPr="00761E52">
        <w:rPr>
          <w:rFonts w:eastAsia="Times New Roman" w:cstheme="minorHAnsi"/>
          <w:sz w:val="24"/>
          <w:szCs w:val="24"/>
        </w:rPr>
        <w:t xml:space="preserve">This decrease of lymphocytes could be caused by several processes. Oxidative stress brought on by hyperglycemia disrupts </w:t>
      </w:r>
      <w:proofErr w:type="spellStart"/>
      <w:r w:rsidRPr="00761E52">
        <w:rPr>
          <w:rFonts w:eastAsia="Times New Roman" w:cstheme="minorHAnsi"/>
          <w:sz w:val="24"/>
          <w:szCs w:val="24"/>
        </w:rPr>
        <w:t>thymopoiesis</w:t>
      </w:r>
      <w:proofErr w:type="spellEnd"/>
      <w:r w:rsidRPr="00761E52">
        <w:rPr>
          <w:rFonts w:eastAsia="Times New Roman" w:cstheme="minorHAnsi"/>
          <w:sz w:val="24"/>
          <w:szCs w:val="24"/>
        </w:rPr>
        <w:t xml:space="preserve"> and triggers pro-apoptotic pathways in lymphocytes (3). Chronic stimulation and mitochondrial dysfunction are two other ways whereby elevated inflammatory cytokines, especially TNF-α and IL-6, contribute to T-cell exhaustion (4,5). We found that diabetics had considerably higher levels of TNF-α (90.83 ± 5.90 pg/mL), IL-6 (5.41 ± 0.89 </w:t>
      </w:r>
      <w:proofErr w:type="spellStart"/>
      <w:r w:rsidRPr="00761E52">
        <w:rPr>
          <w:rFonts w:eastAsia="Times New Roman" w:cstheme="minorHAnsi"/>
          <w:sz w:val="24"/>
          <w:szCs w:val="24"/>
        </w:rPr>
        <w:t>pg</w:t>
      </w:r>
      <w:proofErr w:type="spellEnd"/>
      <w:r w:rsidRPr="00761E52">
        <w:rPr>
          <w:rFonts w:eastAsia="Times New Roman" w:cstheme="minorHAnsi"/>
          <w:sz w:val="24"/>
          <w:szCs w:val="24"/>
        </w:rPr>
        <w:t xml:space="preserve">/mL), and </w:t>
      </w:r>
      <w:proofErr w:type="spellStart"/>
      <w:r w:rsidRPr="00761E52">
        <w:rPr>
          <w:rFonts w:eastAsia="Times New Roman" w:cstheme="minorHAnsi"/>
          <w:sz w:val="24"/>
          <w:szCs w:val="24"/>
        </w:rPr>
        <w:t>hs</w:t>
      </w:r>
      <w:proofErr w:type="spellEnd"/>
      <w:r w:rsidRPr="00761E52">
        <w:rPr>
          <w:rFonts w:eastAsia="Times New Roman" w:cstheme="minorHAnsi"/>
          <w:sz w:val="24"/>
          <w:szCs w:val="24"/>
        </w:rPr>
        <w:t>-CRP (4.17 ± 0.56 mg/L) than controls (p&lt;0.001). By activating JNK and NF-</w:t>
      </w:r>
      <w:proofErr w:type="spellStart"/>
      <w:r w:rsidRPr="00761E52">
        <w:rPr>
          <w:rFonts w:eastAsia="Times New Roman" w:cstheme="minorHAnsi"/>
          <w:sz w:val="24"/>
          <w:szCs w:val="24"/>
        </w:rPr>
        <w:t>κB</w:t>
      </w:r>
      <w:proofErr w:type="spellEnd"/>
      <w:r w:rsidRPr="00761E52">
        <w:rPr>
          <w:rFonts w:eastAsia="Times New Roman" w:cstheme="minorHAnsi"/>
          <w:sz w:val="24"/>
          <w:szCs w:val="24"/>
        </w:rPr>
        <w:t>, these cytokines interfere with insulin signaling, causing insulin resistance and β-cell death (6).</w:t>
      </w:r>
    </w:p>
    <w:p w14:paraId="16830071" w14:textId="77777777" w:rsidR="00A665AB" w:rsidRPr="00761E52" w:rsidRDefault="00A665AB" w:rsidP="00761E52">
      <w:pPr>
        <w:spacing w:after="0" w:line="360" w:lineRule="auto"/>
        <w:jc w:val="both"/>
        <w:rPr>
          <w:rFonts w:eastAsia="Times New Roman" w:cstheme="minorHAnsi"/>
          <w:sz w:val="24"/>
          <w:szCs w:val="24"/>
        </w:rPr>
      </w:pPr>
      <w:r w:rsidRPr="00761E52">
        <w:rPr>
          <w:rFonts w:eastAsia="Times New Roman" w:cstheme="minorHAnsi"/>
          <w:sz w:val="24"/>
          <w:szCs w:val="24"/>
        </w:rPr>
        <w:t xml:space="preserve">IL-6 and CD4⁺ T-cell counts showed a substantial inverse connection (r = -0.58, p &lt; 0.001), suggesting that persistent cytokine increase may directly inhibit adaptive immunological responses. Likewise, there was a strong correlation between TNF-α and fasting plasma glucose (r = 0.61, p &lt; 0.001), confirming its dual function in immunological dysfunction and glycemic dysregulation. These findings are consistent with research by Zhou et al. (8) and Domazet et al. (7) that documented cytokine-driven </w:t>
      </w:r>
      <w:proofErr w:type="spellStart"/>
      <w:r w:rsidRPr="00761E52">
        <w:rPr>
          <w:rFonts w:eastAsia="Times New Roman" w:cstheme="minorHAnsi"/>
          <w:sz w:val="24"/>
          <w:szCs w:val="24"/>
        </w:rPr>
        <w:t>immunosenescence</w:t>
      </w:r>
      <w:proofErr w:type="spellEnd"/>
      <w:r w:rsidRPr="00761E52">
        <w:rPr>
          <w:rFonts w:eastAsia="Times New Roman" w:cstheme="minorHAnsi"/>
          <w:sz w:val="24"/>
          <w:szCs w:val="24"/>
        </w:rPr>
        <w:t xml:space="preserve"> in type 2 diabetes.</w:t>
      </w:r>
    </w:p>
    <w:p w14:paraId="3AB4A2D4" w14:textId="77777777" w:rsidR="00761E52" w:rsidRDefault="00761E52" w:rsidP="00761E52">
      <w:pPr>
        <w:spacing w:after="0" w:line="360" w:lineRule="auto"/>
        <w:jc w:val="both"/>
        <w:rPr>
          <w:rFonts w:eastAsia="Times New Roman" w:cstheme="minorHAnsi"/>
          <w:sz w:val="24"/>
          <w:szCs w:val="24"/>
        </w:rPr>
      </w:pPr>
    </w:p>
    <w:p w14:paraId="3ED76633" w14:textId="77777777" w:rsidR="00761E52" w:rsidRPr="00761E52" w:rsidRDefault="00761E52" w:rsidP="00761E52">
      <w:pPr>
        <w:spacing w:after="0" w:line="360" w:lineRule="auto"/>
        <w:jc w:val="both"/>
        <w:rPr>
          <w:rFonts w:eastAsia="Times New Roman" w:cstheme="minorHAnsi"/>
          <w:sz w:val="24"/>
          <w:szCs w:val="24"/>
        </w:rPr>
      </w:pPr>
      <w:r w:rsidRPr="00761E52">
        <w:rPr>
          <w:rFonts w:eastAsia="Times New Roman" w:cstheme="minorHAnsi"/>
          <w:sz w:val="24"/>
          <w:szCs w:val="24"/>
        </w:rPr>
        <w:t>It's interesting to note that diabetics have a high prevalence of harmful heavy metal exposure, according to our study. Cadmium, lead, mercury, and arsenic levels were normal for all controls, while raised mercury and high arsenic were found in 60.7% and 50% of T2DM patients, respectively. Strong immunotoxins, heavy metals have been shown to increase inflammatory responses, cause oxidative DNA damage, and hinder T-cell activation (9,10). Mercury increases cytokine expression, which exacerbates systemic inflammation, whereas arsenic suppresses the NFAT signaling pathway, which is necessary for T-cell proliferation (11, 12).</w:t>
      </w:r>
    </w:p>
    <w:p w14:paraId="68787B6E" w14:textId="77777777" w:rsidR="00761E52" w:rsidRDefault="00761E52" w:rsidP="00761E52">
      <w:pPr>
        <w:spacing w:after="0" w:line="360" w:lineRule="auto"/>
        <w:jc w:val="both"/>
        <w:rPr>
          <w:rFonts w:eastAsia="Times New Roman" w:cstheme="minorHAnsi"/>
          <w:sz w:val="24"/>
          <w:szCs w:val="24"/>
        </w:rPr>
      </w:pPr>
    </w:p>
    <w:p w14:paraId="7124210C" w14:textId="77777777" w:rsidR="00761E52" w:rsidRDefault="00761E52" w:rsidP="00761E52">
      <w:pPr>
        <w:spacing w:after="0" w:line="360" w:lineRule="auto"/>
        <w:jc w:val="both"/>
        <w:rPr>
          <w:rFonts w:eastAsia="Times New Roman" w:cstheme="minorHAnsi"/>
          <w:sz w:val="24"/>
          <w:szCs w:val="24"/>
        </w:rPr>
      </w:pPr>
      <w:r w:rsidRPr="00761E52">
        <w:rPr>
          <w:rFonts w:eastAsia="Times New Roman" w:cstheme="minorHAnsi"/>
          <w:sz w:val="24"/>
          <w:szCs w:val="24"/>
        </w:rPr>
        <w:t>This unequal exposure could be explained by Edo State's environmental situation. Heavy metal bioaccumulation in soil and water sources as a result of industrial activity, uncontrolled waste disposal, and inadequate environmental monitoring, particularly in metropolitan and peri-urban areas where the majority of patients were enrolled. These exposures may worsen immunological and metabolic abnormalities in addition to aiding in the patho</w:t>
      </w:r>
      <w:r>
        <w:rPr>
          <w:rFonts w:eastAsia="Times New Roman" w:cstheme="minorHAnsi"/>
          <w:sz w:val="24"/>
          <w:szCs w:val="24"/>
        </w:rPr>
        <w:t xml:space="preserve">physiology of type 2 diabetes. </w:t>
      </w:r>
    </w:p>
    <w:p w14:paraId="1214AD64" w14:textId="77777777" w:rsidR="00761E52" w:rsidRDefault="00761E52" w:rsidP="00761E52">
      <w:pPr>
        <w:spacing w:after="0" w:line="360" w:lineRule="auto"/>
        <w:jc w:val="both"/>
        <w:rPr>
          <w:rFonts w:eastAsia="Times New Roman" w:cstheme="minorHAnsi"/>
          <w:sz w:val="24"/>
          <w:szCs w:val="24"/>
        </w:rPr>
      </w:pPr>
    </w:p>
    <w:p w14:paraId="3E4C9BB0" w14:textId="77777777" w:rsidR="00761E52" w:rsidRPr="00761E52" w:rsidRDefault="00761E52" w:rsidP="00761E52">
      <w:pPr>
        <w:spacing w:after="0" w:line="360" w:lineRule="auto"/>
        <w:jc w:val="both"/>
        <w:rPr>
          <w:rFonts w:eastAsia="Times New Roman" w:cstheme="minorHAnsi"/>
          <w:sz w:val="24"/>
          <w:szCs w:val="24"/>
        </w:rPr>
      </w:pPr>
      <w:r w:rsidRPr="00761E52">
        <w:rPr>
          <w:rFonts w:eastAsia="Times New Roman" w:cstheme="minorHAnsi"/>
          <w:sz w:val="24"/>
          <w:szCs w:val="24"/>
        </w:rPr>
        <w:t xml:space="preserve">Given these results, diabetic patients should have regular monitoring of proinflammatory cytokines and cellular immunological markers, particularly in areas where toxicant exposure may occur. Environmental remediation and education should also be given top priority in public health initiatives in order to reduce the </w:t>
      </w:r>
      <w:proofErr w:type="spellStart"/>
      <w:r w:rsidRPr="00761E52">
        <w:rPr>
          <w:rFonts w:eastAsia="Times New Roman" w:cstheme="minorHAnsi"/>
          <w:sz w:val="24"/>
          <w:szCs w:val="24"/>
        </w:rPr>
        <w:t>immunometabolic</w:t>
      </w:r>
      <w:proofErr w:type="spellEnd"/>
      <w:r w:rsidRPr="00761E52">
        <w:rPr>
          <w:rFonts w:eastAsia="Times New Roman" w:cstheme="minorHAnsi"/>
          <w:sz w:val="24"/>
          <w:szCs w:val="24"/>
        </w:rPr>
        <w:t xml:space="preserve"> hazards associated with heavy metal exposure in vulnerable groups.</w:t>
      </w:r>
    </w:p>
    <w:p w14:paraId="53E6F6C9" w14:textId="77777777" w:rsidR="00761E52" w:rsidRPr="00DA227C" w:rsidRDefault="00761E52" w:rsidP="00DA227C">
      <w:pPr>
        <w:spacing w:before="100" w:beforeAutospacing="1" w:after="100" w:afterAutospacing="1" w:line="360" w:lineRule="auto"/>
        <w:jc w:val="both"/>
        <w:rPr>
          <w:rFonts w:eastAsia="Times New Roman" w:cstheme="minorHAnsi"/>
          <w:sz w:val="24"/>
          <w:szCs w:val="24"/>
        </w:rPr>
      </w:pPr>
    </w:p>
    <w:p w14:paraId="5E966D1C" w14:textId="77777777" w:rsidR="00180F27" w:rsidRPr="00F344ED" w:rsidRDefault="00180F27" w:rsidP="00DA227C">
      <w:pPr>
        <w:spacing w:before="100" w:beforeAutospacing="1" w:after="100" w:afterAutospacing="1" w:line="360" w:lineRule="auto"/>
        <w:jc w:val="both"/>
        <w:outlineLvl w:val="2"/>
        <w:rPr>
          <w:rFonts w:eastAsia="Times New Roman" w:cstheme="minorHAnsi"/>
          <w:b/>
          <w:bCs/>
          <w:sz w:val="28"/>
          <w:szCs w:val="28"/>
        </w:rPr>
      </w:pPr>
      <w:r w:rsidRPr="00F344ED">
        <w:rPr>
          <w:rFonts w:eastAsia="Times New Roman" w:cstheme="minorHAnsi"/>
          <w:b/>
          <w:bCs/>
          <w:sz w:val="28"/>
          <w:szCs w:val="28"/>
        </w:rPr>
        <w:t>5. Conclusion</w:t>
      </w:r>
    </w:p>
    <w:p w14:paraId="4BE4C12F" w14:textId="77777777" w:rsidR="00A665AB" w:rsidRPr="00A665AB" w:rsidRDefault="00A665AB" w:rsidP="00A665AB">
      <w:pPr>
        <w:spacing w:line="360" w:lineRule="auto"/>
        <w:jc w:val="both"/>
        <w:rPr>
          <w:rFonts w:eastAsia="Times New Roman" w:cstheme="minorHAnsi"/>
          <w:sz w:val="24"/>
          <w:szCs w:val="24"/>
        </w:rPr>
      </w:pPr>
      <w:r w:rsidRPr="00A665AB">
        <w:rPr>
          <w:rFonts w:eastAsia="Times New Roman" w:cstheme="minorHAnsi"/>
          <w:sz w:val="24"/>
          <w:szCs w:val="24"/>
        </w:rPr>
        <w:t xml:space="preserve">This study shows that systemic inflammatory responses and cellular immunological markers are significantly altered in Type 2 Diabetes Mellitus (T2DM). Patients with diabetes showed significantly lower CD4⁺ and CD8⁺ T-cell counts and higher levels of proinflammatory cytokines, such as TNF-α, IL-6, and </w:t>
      </w:r>
      <w:proofErr w:type="spellStart"/>
      <w:r w:rsidRPr="00A665AB">
        <w:rPr>
          <w:rFonts w:eastAsia="Times New Roman" w:cstheme="minorHAnsi"/>
          <w:sz w:val="24"/>
          <w:szCs w:val="24"/>
        </w:rPr>
        <w:t>hs</w:t>
      </w:r>
      <w:proofErr w:type="spellEnd"/>
      <w:r w:rsidRPr="00A665AB">
        <w:rPr>
          <w:rFonts w:eastAsia="Times New Roman" w:cstheme="minorHAnsi"/>
          <w:sz w:val="24"/>
          <w:szCs w:val="24"/>
        </w:rPr>
        <w:t xml:space="preserve">-CRP, indicating a chronic inflammatory and immune-suppressive </w:t>
      </w:r>
      <w:r w:rsidRPr="00A665AB">
        <w:rPr>
          <w:rFonts w:eastAsia="Times New Roman" w:cstheme="minorHAnsi"/>
          <w:sz w:val="24"/>
          <w:szCs w:val="24"/>
        </w:rPr>
        <w:lastRenderedPageBreak/>
        <w:t>condition. Poor glucose management and longer disease duration were closely associated with these immune abnormalities. Furthermore, a high frequency of exposure to toxic heavy metals, especially arsenic and mercury, in T2DM patients points to a role for the environment in immunological and metabolic dysfunction.</w:t>
      </w:r>
      <w:r w:rsidRPr="00A665AB">
        <w:rPr>
          <w:rFonts w:cstheme="minorHAnsi"/>
        </w:rPr>
        <w:t xml:space="preserve"> </w:t>
      </w:r>
      <w:r w:rsidRPr="00A665AB">
        <w:rPr>
          <w:rFonts w:eastAsia="Times New Roman" w:cstheme="minorHAnsi"/>
          <w:sz w:val="24"/>
          <w:szCs w:val="24"/>
        </w:rPr>
        <w:t>Infection susceptibility may rise and diabetic problems may worsen more quickly if chronic inflammation and toxicant exposure are coupled. These results highlight how crucial it is to incorporate environmental health evaluations and immunological monitoring into diabetes treatment, especially in situations with low resources. Targeted treatments that target environmental and inflammatory triggers may improve patient outcomes and lessen the negative effects of type 2 diabetes on public health.</w:t>
      </w:r>
    </w:p>
    <w:p w14:paraId="21D40523" w14:textId="77777777" w:rsidR="00F344ED" w:rsidRPr="00A665AB" w:rsidRDefault="00F344ED" w:rsidP="00A665AB">
      <w:pPr>
        <w:spacing w:after="0" w:line="240" w:lineRule="auto"/>
        <w:rPr>
          <w:rFonts w:ascii="Times New Roman" w:eastAsia="Times New Roman" w:hAnsi="Times New Roman" w:cs="Times New Roman"/>
          <w:sz w:val="24"/>
          <w:szCs w:val="24"/>
        </w:rPr>
      </w:pPr>
    </w:p>
    <w:p w14:paraId="1AD9E780" w14:textId="77777777" w:rsidR="00F344ED" w:rsidRDefault="00F344ED" w:rsidP="00DA227C">
      <w:pPr>
        <w:spacing w:before="100" w:beforeAutospacing="1" w:after="100" w:afterAutospacing="1" w:line="360" w:lineRule="auto"/>
        <w:jc w:val="both"/>
        <w:rPr>
          <w:rFonts w:eastAsia="Times New Roman" w:cstheme="minorHAnsi"/>
          <w:sz w:val="24"/>
          <w:szCs w:val="24"/>
        </w:rPr>
      </w:pPr>
    </w:p>
    <w:p w14:paraId="3492D944" w14:textId="77777777" w:rsidR="00F344ED" w:rsidRPr="00DA227C" w:rsidRDefault="00F344ED" w:rsidP="00DA227C">
      <w:pPr>
        <w:spacing w:before="100" w:beforeAutospacing="1" w:after="100" w:afterAutospacing="1" w:line="360" w:lineRule="auto"/>
        <w:jc w:val="both"/>
        <w:rPr>
          <w:rFonts w:eastAsia="Times New Roman" w:cstheme="minorHAnsi"/>
          <w:sz w:val="24"/>
          <w:szCs w:val="24"/>
        </w:rPr>
      </w:pPr>
    </w:p>
    <w:p w14:paraId="00A5CF49" w14:textId="77777777" w:rsidR="00180F27" w:rsidRPr="00F344ED" w:rsidRDefault="00180F27" w:rsidP="00DA227C">
      <w:pPr>
        <w:spacing w:before="100" w:beforeAutospacing="1" w:after="100" w:afterAutospacing="1" w:line="360" w:lineRule="auto"/>
        <w:jc w:val="both"/>
        <w:outlineLvl w:val="2"/>
        <w:rPr>
          <w:rFonts w:eastAsia="Times New Roman" w:cstheme="minorHAnsi"/>
          <w:b/>
          <w:bCs/>
          <w:sz w:val="28"/>
          <w:szCs w:val="28"/>
        </w:rPr>
      </w:pPr>
      <w:r w:rsidRPr="00F344ED">
        <w:rPr>
          <w:rFonts w:eastAsia="Times New Roman" w:cstheme="minorHAnsi"/>
          <w:b/>
          <w:bCs/>
          <w:sz w:val="28"/>
          <w:szCs w:val="28"/>
        </w:rPr>
        <w:t>6. Recommendation</w:t>
      </w:r>
    </w:p>
    <w:p w14:paraId="740DE53B" w14:textId="77777777" w:rsidR="00A665AB" w:rsidRPr="00A665AB" w:rsidRDefault="00A665AB" w:rsidP="00A665AB">
      <w:pPr>
        <w:spacing w:after="0" w:line="360" w:lineRule="auto"/>
        <w:jc w:val="both"/>
        <w:rPr>
          <w:rFonts w:eastAsia="Times New Roman" w:cstheme="minorHAnsi"/>
          <w:sz w:val="24"/>
          <w:szCs w:val="24"/>
        </w:rPr>
      </w:pPr>
      <w:r w:rsidRPr="00A665AB">
        <w:rPr>
          <w:rFonts w:eastAsia="Times New Roman" w:cstheme="minorHAnsi"/>
          <w:sz w:val="24"/>
          <w:szCs w:val="24"/>
        </w:rPr>
        <w:t>In order to detect immune suppression early, it is advised that routine immunological profiling, which includes evaluation of CD4⁺, CD8⁺ T cells, and inflammatory cytokines, be included in the clinical management of patients with Type 2 Diabetes Mellitus. Environmental monitoring systems should be put in place by public health authorities to evaluate and reduce exposure to harmful heavy metals like arsenic and mercury, especially in urban and industrial areas. Furthermore, interdisciplinary therapies that incorporate metabolic, immunological, and environmental health methods ought to be given priority, and awareness campaigns on environmental and dietary risk factors are to be stepped up.</w:t>
      </w:r>
    </w:p>
    <w:p w14:paraId="541FEDBD" w14:textId="77777777" w:rsidR="00180F27" w:rsidRPr="00DA227C" w:rsidRDefault="00180F27" w:rsidP="00DA227C">
      <w:pPr>
        <w:spacing w:line="360" w:lineRule="auto"/>
        <w:jc w:val="both"/>
        <w:rPr>
          <w:rFonts w:cstheme="minorHAnsi"/>
          <w:b/>
          <w:sz w:val="24"/>
          <w:szCs w:val="24"/>
        </w:rPr>
      </w:pPr>
    </w:p>
    <w:p w14:paraId="69757ABE" w14:textId="77777777" w:rsidR="006C2770" w:rsidRPr="00711D4D" w:rsidRDefault="006C2770" w:rsidP="006C2770">
      <w:pPr>
        <w:spacing w:line="360" w:lineRule="auto"/>
        <w:jc w:val="both"/>
        <w:rPr>
          <w:rFonts w:cstheme="minorHAnsi"/>
          <w:sz w:val="24"/>
          <w:szCs w:val="24"/>
        </w:rPr>
      </w:pPr>
      <w:r w:rsidRPr="00711D4D">
        <w:rPr>
          <w:rFonts w:cstheme="minorHAnsi"/>
          <w:b/>
          <w:sz w:val="24"/>
          <w:szCs w:val="24"/>
        </w:rPr>
        <w:t>Source of Funding:</w:t>
      </w:r>
      <w:r w:rsidRPr="00711D4D">
        <w:rPr>
          <w:rFonts w:cstheme="minorHAnsi"/>
          <w:sz w:val="24"/>
          <w:szCs w:val="24"/>
        </w:rPr>
        <w:t xml:space="preserve"> The project was a non–funded project. </w:t>
      </w:r>
    </w:p>
    <w:p w14:paraId="5AF2A828" w14:textId="77777777" w:rsidR="006C2770" w:rsidRPr="00711D4D" w:rsidRDefault="006C2770" w:rsidP="006C2770">
      <w:pPr>
        <w:spacing w:line="360" w:lineRule="auto"/>
        <w:jc w:val="both"/>
        <w:rPr>
          <w:rFonts w:cstheme="minorHAnsi"/>
          <w:sz w:val="24"/>
          <w:szCs w:val="24"/>
        </w:rPr>
      </w:pPr>
      <w:r w:rsidRPr="00711D4D">
        <w:rPr>
          <w:rFonts w:cstheme="minorHAnsi"/>
          <w:b/>
          <w:sz w:val="24"/>
          <w:szCs w:val="24"/>
        </w:rPr>
        <w:t xml:space="preserve">Authors’ Contribution: </w:t>
      </w:r>
      <w:r w:rsidRPr="00711D4D">
        <w:rPr>
          <w:rFonts w:cstheme="minorHAnsi"/>
          <w:sz w:val="24"/>
          <w:szCs w:val="24"/>
        </w:rPr>
        <w:t>All authors contributed to the study equally.</w:t>
      </w:r>
    </w:p>
    <w:p w14:paraId="2A29FE45" w14:textId="77777777" w:rsidR="006C2770" w:rsidRPr="00711D4D" w:rsidRDefault="006C2770" w:rsidP="006C2770">
      <w:pPr>
        <w:spacing w:line="360" w:lineRule="auto"/>
        <w:jc w:val="both"/>
        <w:rPr>
          <w:rFonts w:cstheme="minorHAnsi"/>
          <w:b/>
          <w:sz w:val="24"/>
          <w:szCs w:val="24"/>
        </w:rPr>
      </w:pPr>
      <w:r w:rsidRPr="00711D4D">
        <w:rPr>
          <w:rFonts w:cstheme="minorHAnsi"/>
          <w:b/>
          <w:sz w:val="24"/>
          <w:szCs w:val="24"/>
        </w:rPr>
        <w:t>Disclaimer (Artificial intelligence)</w:t>
      </w:r>
    </w:p>
    <w:p w14:paraId="280C5A96" w14:textId="77777777" w:rsidR="006C2770" w:rsidRPr="00711D4D" w:rsidRDefault="006C2770" w:rsidP="006C2770">
      <w:pPr>
        <w:spacing w:line="360" w:lineRule="auto"/>
        <w:jc w:val="both"/>
        <w:rPr>
          <w:rFonts w:cstheme="minorHAnsi"/>
          <w:sz w:val="24"/>
          <w:szCs w:val="24"/>
        </w:rPr>
      </w:pPr>
      <w:r w:rsidRPr="00711D4D">
        <w:rPr>
          <w:rFonts w:cstheme="minorHAnsi"/>
          <w:sz w:val="24"/>
          <w:szCs w:val="24"/>
        </w:rPr>
        <w:lastRenderedPageBreak/>
        <w:t xml:space="preserve">Option 1: </w:t>
      </w:r>
    </w:p>
    <w:p w14:paraId="7CFBE4D6" w14:textId="77777777" w:rsidR="006C2770" w:rsidRPr="00711D4D" w:rsidRDefault="006C2770" w:rsidP="006C2770">
      <w:pPr>
        <w:spacing w:line="360" w:lineRule="auto"/>
        <w:jc w:val="both"/>
        <w:rPr>
          <w:rFonts w:cstheme="minorHAnsi"/>
          <w:sz w:val="24"/>
          <w:szCs w:val="24"/>
        </w:rPr>
      </w:pPr>
      <w:r w:rsidRPr="00711D4D">
        <w:rPr>
          <w:rFonts w:cstheme="minorHAnsi"/>
          <w:sz w:val="24"/>
          <w:szCs w:val="24"/>
        </w:rPr>
        <w:t xml:space="preserve">Author(s) hereby declare that generative AI technologies such as Large Language Models (ChatGPT, COPILOT, etc.) and text-to-image generators have been used during the writing or editing of this manuscript. </w:t>
      </w:r>
    </w:p>
    <w:p w14:paraId="460FCC5E" w14:textId="77777777" w:rsidR="006C2770" w:rsidRDefault="006C2770" w:rsidP="00DA227C">
      <w:pPr>
        <w:spacing w:after="0" w:line="360" w:lineRule="auto"/>
        <w:jc w:val="both"/>
        <w:rPr>
          <w:rFonts w:cstheme="minorHAnsi"/>
          <w:b/>
          <w:sz w:val="24"/>
          <w:szCs w:val="24"/>
        </w:rPr>
      </w:pPr>
    </w:p>
    <w:p w14:paraId="67200C36" w14:textId="77777777" w:rsidR="007B6876" w:rsidRPr="00DA227C" w:rsidRDefault="007B6876" w:rsidP="00DA227C">
      <w:pPr>
        <w:spacing w:after="0" w:line="360" w:lineRule="auto"/>
        <w:jc w:val="both"/>
        <w:rPr>
          <w:rFonts w:eastAsia="Times New Roman" w:cstheme="minorHAnsi"/>
          <w:sz w:val="24"/>
          <w:szCs w:val="24"/>
        </w:rPr>
      </w:pPr>
      <w:r>
        <w:rPr>
          <w:rFonts w:cstheme="minorHAnsi"/>
          <w:b/>
          <w:sz w:val="24"/>
          <w:szCs w:val="24"/>
        </w:rPr>
        <w:t>References</w:t>
      </w:r>
    </w:p>
    <w:p w14:paraId="53815A31"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American Diabetes Association. 2. Classification and Diagnosis of Diabetes: Standards of Medical Care in Diabetes—2022. Diabetes Care. 2022;45(Supplement 1</w:t>
      </w:r>
      <w:proofErr w:type="gramStart"/>
      <w:r w:rsidRPr="00DA227C">
        <w:rPr>
          <w:rFonts w:eastAsia="Times New Roman" w:cstheme="minorHAnsi"/>
          <w:sz w:val="24"/>
          <w:szCs w:val="24"/>
        </w:rPr>
        <w:t>):S</w:t>
      </w:r>
      <w:proofErr w:type="gramEnd"/>
      <w:r w:rsidRPr="00DA227C">
        <w:rPr>
          <w:rFonts w:eastAsia="Times New Roman" w:cstheme="minorHAnsi"/>
          <w:sz w:val="24"/>
          <w:szCs w:val="24"/>
        </w:rPr>
        <w:t>17-S38.</w:t>
      </w:r>
    </w:p>
    <w:p w14:paraId="246DFD31"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International Diabetes Federation. IDF Diabetes Atlas. 10th ed. Brussels, Belgium: International Diabetes Federation; 2021.</w:t>
      </w:r>
    </w:p>
    <w:p w14:paraId="2A971027"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Gillum RF, Sarpong DF. Diabetes in adults in the United States. Int J Epidemiol. 2018;47(1):68-73.</w:t>
      </w:r>
    </w:p>
    <w:p w14:paraId="0053695C"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DA227C">
        <w:rPr>
          <w:rFonts w:eastAsia="Times New Roman" w:cstheme="minorHAnsi"/>
          <w:sz w:val="24"/>
          <w:szCs w:val="24"/>
        </w:rPr>
        <w:t>Akinmoladun</w:t>
      </w:r>
      <w:proofErr w:type="spellEnd"/>
      <w:r w:rsidRPr="00DA227C">
        <w:rPr>
          <w:rFonts w:eastAsia="Times New Roman" w:cstheme="minorHAnsi"/>
          <w:sz w:val="24"/>
          <w:szCs w:val="24"/>
        </w:rPr>
        <w:t xml:space="preserve"> Afolabi O, </w:t>
      </w:r>
      <w:proofErr w:type="spellStart"/>
      <w:r w:rsidRPr="00DA227C">
        <w:rPr>
          <w:rFonts w:eastAsia="Times New Roman" w:cstheme="minorHAnsi"/>
          <w:sz w:val="24"/>
          <w:szCs w:val="24"/>
        </w:rPr>
        <w:t>Omoregie</w:t>
      </w:r>
      <w:proofErr w:type="spellEnd"/>
      <w:r w:rsidRPr="00DA227C">
        <w:rPr>
          <w:rFonts w:eastAsia="Times New Roman" w:cstheme="minorHAnsi"/>
          <w:sz w:val="24"/>
          <w:szCs w:val="24"/>
        </w:rPr>
        <w:t xml:space="preserve"> E, Jimoh A, et al. The impact of urbanization and lifestyle changes on the growing burden of type 2 diabetes in Nigeria. African Health Sciences. 2019;19(2):1428-1436.</w:t>
      </w:r>
    </w:p>
    <w:p w14:paraId="1AFDA2F3"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Esser MB, Beach MJ, Liao Y, et al. Increased prevalence of type 2 diabetes in urbanized areas of Nigeria: A comparative study. Ann Epidemiol. 2016;26(5):365-370.</w:t>
      </w:r>
    </w:p>
    <w:p w14:paraId="0F61046C"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Ceriello A. The emerging role of inflammation in diabetes complications. Curr Diab Rep. 2014;14(4):505.</w:t>
      </w:r>
    </w:p>
    <w:p w14:paraId="17F35151"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Lee J, Lee Y, Kim J, et al. Immune dysregulation in type 2 diabetes mellitus. Arch Pharm Res. 2018;41(9):841-853.</w:t>
      </w:r>
    </w:p>
    <w:p w14:paraId="6C835F19"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McIntosh B, Lee C, Rojas J, et al. Cytokine responses and immune cell dysfunction in diabetes. Diabetes. 2019;68(3):465-473.</w:t>
      </w:r>
    </w:p>
    <w:p w14:paraId="06E437A6"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 xml:space="preserve">Harvie E, Harris C, McQuillan E, et al. Role of inflammation and oxidative stress in immune dysfunction in type 2 diabetes. Front Immunol. </w:t>
      </w:r>
      <w:proofErr w:type="gramStart"/>
      <w:r w:rsidRPr="00DA227C">
        <w:rPr>
          <w:rFonts w:eastAsia="Times New Roman" w:cstheme="minorHAnsi"/>
          <w:sz w:val="24"/>
          <w:szCs w:val="24"/>
        </w:rPr>
        <w:t>2021;12:643611</w:t>
      </w:r>
      <w:proofErr w:type="gramEnd"/>
      <w:r w:rsidRPr="00DA227C">
        <w:rPr>
          <w:rFonts w:eastAsia="Times New Roman" w:cstheme="minorHAnsi"/>
          <w:sz w:val="24"/>
          <w:szCs w:val="24"/>
        </w:rPr>
        <w:t>.</w:t>
      </w:r>
    </w:p>
    <w:p w14:paraId="7C378EA1"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 xml:space="preserve">Zamboni G, Cazzola M, Mariani F, et al. Role of cytokines in immune and inflammatory responses to obesity and type 2 diabetes. J Clin Endocrinol </w:t>
      </w:r>
      <w:proofErr w:type="spellStart"/>
      <w:r w:rsidRPr="00DA227C">
        <w:rPr>
          <w:rFonts w:eastAsia="Times New Roman" w:cstheme="minorHAnsi"/>
          <w:sz w:val="24"/>
          <w:szCs w:val="24"/>
        </w:rPr>
        <w:t>Metab</w:t>
      </w:r>
      <w:proofErr w:type="spellEnd"/>
      <w:r w:rsidRPr="00DA227C">
        <w:rPr>
          <w:rFonts w:eastAsia="Times New Roman" w:cstheme="minorHAnsi"/>
          <w:sz w:val="24"/>
          <w:szCs w:val="24"/>
        </w:rPr>
        <w:t>. 2020;105(5):1736-1743.</w:t>
      </w:r>
    </w:p>
    <w:p w14:paraId="7A67A095"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DA227C">
        <w:rPr>
          <w:rFonts w:eastAsia="Times New Roman" w:cstheme="minorHAnsi"/>
          <w:sz w:val="24"/>
          <w:szCs w:val="24"/>
        </w:rPr>
        <w:lastRenderedPageBreak/>
        <w:t>Szkudlarek</w:t>
      </w:r>
      <w:proofErr w:type="spellEnd"/>
      <w:r w:rsidRPr="00DA227C">
        <w:rPr>
          <w:rFonts w:eastAsia="Times New Roman" w:cstheme="minorHAnsi"/>
          <w:sz w:val="24"/>
          <w:szCs w:val="24"/>
        </w:rPr>
        <w:t xml:space="preserve"> M, </w:t>
      </w:r>
      <w:proofErr w:type="spellStart"/>
      <w:r w:rsidRPr="00DA227C">
        <w:rPr>
          <w:rFonts w:eastAsia="Times New Roman" w:cstheme="minorHAnsi"/>
          <w:sz w:val="24"/>
          <w:szCs w:val="24"/>
        </w:rPr>
        <w:t>Gajewska</w:t>
      </w:r>
      <w:proofErr w:type="spellEnd"/>
      <w:r w:rsidRPr="00DA227C">
        <w:rPr>
          <w:rFonts w:eastAsia="Times New Roman" w:cstheme="minorHAnsi"/>
          <w:sz w:val="24"/>
          <w:szCs w:val="24"/>
        </w:rPr>
        <w:t xml:space="preserve"> J, Sobolewska J, et al. Effect of chronic inflammation on β-cell dysfunction in Type 2 Diabetes. </w:t>
      </w:r>
      <w:proofErr w:type="spellStart"/>
      <w:r w:rsidRPr="00DA227C">
        <w:rPr>
          <w:rFonts w:eastAsia="Times New Roman" w:cstheme="minorHAnsi"/>
          <w:sz w:val="24"/>
          <w:szCs w:val="24"/>
        </w:rPr>
        <w:t>Diabetologia</w:t>
      </w:r>
      <w:proofErr w:type="spellEnd"/>
      <w:r w:rsidRPr="00DA227C">
        <w:rPr>
          <w:rFonts w:eastAsia="Times New Roman" w:cstheme="minorHAnsi"/>
          <w:sz w:val="24"/>
          <w:szCs w:val="24"/>
        </w:rPr>
        <w:t>. 2017;60(7):1194-1201.</w:t>
      </w:r>
    </w:p>
    <w:p w14:paraId="74887C1F"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Sia C, McElhaney JE, Xie D, et al. Impact of pro-inflammatory cytokines and immune cell dynamics on β-cell apoptosis in type 2 diabetes. Endocrinology. 2018;159(12):4174-4183.</w:t>
      </w:r>
    </w:p>
    <w:p w14:paraId="330EA52D"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Nogueira J, Almeida M, Ferreira J, et al. T-lymphocyte alterations and susceptibility to infections in diabetes mellitus: Mechanisms and clinical consequences. Exp Clin Endocrinol Diabetes. 2015;123(10):646-654.</w:t>
      </w:r>
    </w:p>
    <w:p w14:paraId="53E38930"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 xml:space="preserve">Clemente L, Sanchez S, Medina R, et al. T-cell dysfunction in Type 2 diabetes. Am J </w:t>
      </w:r>
      <w:proofErr w:type="spellStart"/>
      <w:r w:rsidRPr="00DA227C">
        <w:rPr>
          <w:rFonts w:eastAsia="Times New Roman" w:cstheme="minorHAnsi"/>
          <w:sz w:val="24"/>
          <w:szCs w:val="24"/>
        </w:rPr>
        <w:t>Physiol</w:t>
      </w:r>
      <w:proofErr w:type="spellEnd"/>
      <w:r w:rsidRPr="00DA227C">
        <w:rPr>
          <w:rFonts w:eastAsia="Times New Roman" w:cstheme="minorHAnsi"/>
          <w:sz w:val="24"/>
          <w:szCs w:val="24"/>
        </w:rPr>
        <w:t xml:space="preserve"> Endocrinol </w:t>
      </w:r>
      <w:proofErr w:type="spellStart"/>
      <w:r w:rsidRPr="00DA227C">
        <w:rPr>
          <w:rFonts w:eastAsia="Times New Roman" w:cstheme="minorHAnsi"/>
          <w:sz w:val="24"/>
          <w:szCs w:val="24"/>
        </w:rPr>
        <w:t>Metab</w:t>
      </w:r>
      <w:proofErr w:type="spellEnd"/>
      <w:r w:rsidRPr="00DA227C">
        <w:rPr>
          <w:rFonts w:eastAsia="Times New Roman" w:cstheme="minorHAnsi"/>
          <w:sz w:val="24"/>
          <w:szCs w:val="24"/>
        </w:rPr>
        <w:t>. 2020;318(2</w:t>
      </w:r>
      <w:proofErr w:type="gramStart"/>
      <w:r w:rsidRPr="00DA227C">
        <w:rPr>
          <w:rFonts w:eastAsia="Times New Roman" w:cstheme="minorHAnsi"/>
          <w:sz w:val="24"/>
          <w:szCs w:val="24"/>
        </w:rPr>
        <w:t>):E</w:t>
      </w:r>
      <w:proofErr w:type="gramEnd"/>
      <w:r w:rsidRPr="00DA227C">
        <w:rPr>
          <w:rFonts w:eastAsia="Times New Roman" w:cstheme="minorHAnsi"/>
          <w:sz w:val="24"/>
          <w:szCs w:val="24"/>
        </w:rPr>
        <w:t>245-E255.</w:t>
      </w:r>
    </w:p>
    <w:p w14:paraId="5B12C81C"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Han T, Wu Y, Zhang L, et al. CD8+ T-cell depletion and impaired proliferation in diabetes mellitus patients. Int Immunol. 2019;31(5):305-313.</w:t>
      </w:r>
    </w:p>
    <w:p w14:paraId="7A93B38F"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 xml:space="preserve">Stojanovic K, Jovanovic S, Karac J, et al. CD4 and CD8 T lymphocyte profile in patients with type 2 diabetes mellitus. Acta </w:t>
      </w:r>
      <w:proofErr w:type="spellStart"/>
      <w:r w:rsidRPr="00DA227C">
        <w:rPr>
          <w:rFonts w:eastAsia="Times New Roman" w:cstheme="minorHAnsi"/>
          <w:sz w:val="24"/>
          <w:szCs w:val="24"/>
        </w:rPr>
        <w:t>Medica</w:t>
      </w:r>
      <w:proofErr w:type="spellEnd"/>
      <w:r w:rsidRPr="00DA227C">
        <w:rPr>
          <w:rFonts w:eastAsia="Times New Roman" w:cstheme="minorHAnsi"/>
          <w:sz w:val="24"/>
          <w:szCs w:val="24"/>
        </w:rPr>
        <w:t xml:space="preserve"> </w:t>
      </w:r>
      <w:proofErr w:type="spellStart"/>
      <w:r w:rsidRPr="00DA227C">
        <w:rPr>
          <w:rFonts w:eastAsia="Times New Roman" w:cstheme="minorHAnsi"/>
          <w:sz w:val="24"/>
          <w:szCs w:val="24"/>
        </w:rPr>
        <w:t>Medianae</w:t>
      </w:r>
      <w:proofErr w:type="spellEnd"/>
      <w:r w:rsidRPr="00DA227C">
        <w:rPr>
          <w:rFonts w:eastAsia="Times New Roman" w:cstheme="minorHAnsi"/>
          <w:sz w:val="24"/>
          <w:szCs w:val="24"/>
        </w:rPr>
        <w:t>. 2020;59(2):31-39.</w:t>
      </w:r>
    </w:p>
    <w:p w14:paraId="0F5C698A"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 xml:space="preserve">Gharavi F, Dehghani Z, Nasri P, et al. The role of immune dysregulation in the development of type 2 diabetes mellitus: The interplay of cytokines and T-lymphocyte subsets. J Immunol Res. </w:t>
      </w:r>
      <w:proofErr w:type="gramStart"/>
      <w:r w:rsidRPr="00DA227C">
        <w:rPr>
          <w:rFonts w:eastAsia="Times New Roman" w:cstheme="minorHAnsi"/>
          <w:sz w:val="24"/>
          <w:szCs w:val="24"/>
        </w:rPr>
        <w:t>2021;2021:3842167</w:t>
      </w:r>
      <w:proofErr w:type="gramEnd"/>
      <w:r w:rsidRPr="00DA227C">
        <w:rPr>
          <w:rFonts w:eastAsia="Times New Roman" w:cstheme="minorHAnsi"/>
          <w:sz w:val="24"/>
          <w:szCs w:val="24"/>
        </w:rPr>
        <w:t>.</w:t>
      </w:r>
    </w:p>
    <w:p w14:paraId="67499EE2"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 xml:space="preserve">Lysenko A, Kallehauge T, Bøgh H, et al. CD4+ T-cell deficiency in type 2 diabetes and its relation to inflammatory biomarkers. Front Immunol. </w:t>
      </w:r>
      <w:proofErr w:type="gramStart"/>
      <w:r w:rsidRPr="00DA227C">
        <w:rPr>
          <w:rFonts w:eastAsia="Times New Roman" w:cstheme="minorHAnsi"/>
          <w:sz w:val="24"/>
          <w:szCs w:val="24"/>
        </w:rPr>
        <w:t>2018;9:2113</w:t>
      </w:r>
      <w:proofErr w:type="gramEnd"/>
      <w:r w:rsidRPr="00DA227C">
        <w:rPr>
          <w:rFonts w:eastAsia="Times New Roman" w:cstheme="minorHAnsi"/>
          <w:sz w:val="24"/>
          <w:szCs w:val="24"/>
        </w:rPr>
        <w:t>.</w:t>
      </w:r>
    </w:p>
    <w:p w14:paraId="0E613672"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 xml:space="preserve">Catalán V, Gómez-Ambrosi J, Rodríguez A, et al. Increased inflammation and immune dysfunction in obesity and type 2 diabetes. Diabetes </w:t>
      </w:r>
      <w:proofErr w:type="spellStart"/>
      <w:r w:rsidRPr="00DA227C">
        <w:rPr>
          <w:rFonts w:eastAsia="Times New Roman" w:cstheme="minorHAnsi"/>
          <w:sz w:val="24"/>
          <w:szCs w:val="24"/>
        </w:rPr>
        <w:t>Metab</w:t>
      </w:r>
      <w:proofErr w:type="spellEnd"/>
      <w:r w:rsidRPr="00DA227C">
        <w:rPr>
          <w:rFonts w:eastAsia="Times New Roman" w:cstheme="minorHAnsi"/>
          <w:sz w:val="24"/>
          <w:szCs w:val="24"/>
        </w:rPr>
        <w:t>. 2017;43(3):187-196.</w:t>
      </w:r>
    </w:p>
    <w:p w14:paraId="42726DEF"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Winer S, Winer DA. The adaptive immune system in obesity and type 2 diabetes. J Clin Invest. 2016;126(7):2408-2415.</w:t>
      </w:r>
    </w:p>
    <w:p w14:paraId="3AF03E58"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 xml:space="preserve">Eder C. The role of adipose tissue-derived cytokines and macrophage recruitment in the regulation of immune function in type 2 diabetes. </w:t>
      </w:r>
      <w:proofErr w:type="spellStart"/>
      <w:r w:rsidRPr="00DA227C">
        <w:rPr>
          <w:rFonts w:eastAsia="Times New Roman" w:cstheme="minorHAnsi"/>
          <w:sz w:val="24"/>
          <w:szCs w:val="24"/>
        </w:rPr>
        <w:t>Diabetologia</w:t>
      </w:r>
      <w:proofErr w:type="spellEnd"/>
      <w:r w:rsidRPr="00DA227C">
        <w:rPr>
          <w:rFonts w:eastAsia="Times New Roman" w:cstheme="minorHAnsi"/>
          <w:sz w:val="24"/>
          <w:szCs w:val="24"/>
        </w:rPr>
        <w:t>. 2017;60(9):1681-1692.</w:t>
      </w:r>
    </w:p>
    <w:p w14:paraId="2D948B9D"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Baker RG, Hayden MS, Ghosh S. NF-</w:t>
      </w:r>
      <w:proofErr w:type="spellStart"/>
      <w:r w:rsidRPr="00DA227C">
        <w:rPr>
          <w:rFonts w:eastAsia="Times New Roman" w:cstheme="minorHAnsi"/>
          <w:sz w:val="24"/>
          <w:szCs w:val="24"/>
        </w:rPr>
        <w:t>κB</w:t>
      </w:r>
      <w:proofErr w:type="spellEnd"/>
      <w:r w:rsidRPr="00DA227C">
        <w:rPr>
          <w:rFonts w:eastAsia="Times New Roman" w:cstheme="minorHAnsi"/>
          <w:sz w:val="24"/>
          <w:szCs w:val="24"/>
        </w:rPr>
        <w:t xml:space="preserve">, inflammation, and metabolic disease. Cell </w:t>
      </w:r>
      <w:proofErr w:type="spellStart"/>
      <w:r w:rsidRPr="00DA227C">
        <w:rPr>
          <w:rFonts w:eastAsia="Times New Roman" w:cstheme="minorHAnsi"/>
          <w:sz w:val="24"/>
          <w:szCs w:val="24"/>
        </w:rPr>
        <w:t>Metab</w:t>
      </w:r>
      <w:proofErr w:type="spellEnd"/>
      <w:r w:rsidRPr="00DA227C">
        <w:rPr>
          <w:rFonts w:eastAsia="Times New Roman" w:cstheme="minorHAnsi"/>
          <w:sz w:val="24"/>
          <w:szCs w:val="24"/>
        </w:rPr>
        <w:t>. 2011;13(1):11-22.</w:t>
      </w:r>
    </w:p>
    <w:p w14:paraId="36BCD11D"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 xml:space="preserve">Liu H, Tian H, Gao Y, et al. The role of regulatory T cells in the immunopathology of type 2 diabetes mellitus. </w:t>
      </w:r>
      <w:proofErr w:type="spellStart"/>
      <w:r w:rsidRPr="00DA227C">
        <w:rPr>
          <w:rFonts w:eastAsia="Times New Roman" w:cstheme="minorHAnsi"/>
          <w:sz w:val="24"/>
          <w:szCs w:val="24"/>
        </w:rPr>
        <w:t>Autoimmun</w:t>
      </w:r>
      <w:proofErr w:type="spellEnd"/>
      <w:r w:rsidRPr="00DA227C">
        <w:rPr>
          <w:rFonts w:eastAsia="Times New Roman" w:cstheme="minorHAnsi"/>
          <w:sz w:val="24"/>
          <w:szCs w:val="24"/>
        </w:rPr>
        <w:t xml:space="preserve"> Rev. 2015;14(9):828-836.</w:t>
      </w:r>
    </w:p>
    <w:p w14:paraId="04AF1F87"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lastRenderedPageBreak/>
        <w:t xml:space="preserve">Martínez-Ruiz A, Guzmán-Ruiz R, Castillo-Olivares L, et al. Impaired function of natural killer cells and their impact on autoimmune disease in type 2 diabetes mellitus. J Immunol Res. </w:t>
      </w:r>
      <w:proofErr w:type="gramStart"/>
      <w:r w:rsidRPr="00DA227C">
        <w:rPr>
          <w:rFonts w:eastAsia="Times New Roman" w:cstheme="minorHAnsi"/>
          <w:sz w:val="24"/>
          <w:szCs w:val="24"/>
        </w:rPr>
        <w:t>2017;2017:1542910</w:t>
      </w:r>
      <w:proofErr w:type="gramEnd"/>
      <w:r w:rsidRPr="00DA227C">
        <w:rPr>
          <w:rFonts w:eastAsia="Times New Roman" w:cstheme="minorHAnsi"/>
          <w:sz w:val="24"/>
          <w:szCs w:val="24"/>
        </w:rPr>
        <w:t>.</w:t>
      </w:r>
    </w:p>
    <w:p w14:paraId="4D59374A"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DA227C">
        <w:rPr>
          <w:rFonts w:eastAsia="Times New Roman" w:cstheme="minorHAnsi"/>
          <w:sz w:val="24"/>
          <w:szCs w:val="24"/>
        </w:rPr>
        <w:t>Akinmoladun</w:t>
      </w:r>
      <w:proofErr w:type="spellEnd"/>
      <w:r w:rsidRPr="00DA227C">
        <w:rPr>
          <w:rFonts w:eastAsia="Times New Roman" w:cstheme="minorHAnsi"/>
          <w:sz w:val="24"/>
          <w:szCs w:val="24"/>
        </w:rPr>
        <w:t xml:space="preserve"> Afolabi O, Okafor C, Olayemi O. Environmental pollution and its effect on immune function: Evidence from heavy metal exposure in Nigeria. Sci Total Environ. </w:t>
      </w:r>
      <w:proofErr w:type="gramStart"/>
      <w:r w:rsidRPr="00DA227C">
        <w:rPr>
          <w:rFonts w:eastAsia="Times New Roman" w:cstheme="minorHAnsi"/>
          <w:sz w:val="24"/>
          <w:szCs w:val="24"/>
        </w:rPr>
        <w:t>2020;742:140673</w:t>
      </w:r>
      <w:proofErr w:type="gramEnd"/>
      <w:r w:rsidRPr="00DA227C">
        <w:rPr>
          <w:rFonts w:eastAsia="Times New Roman" w:cstheme="minorHAnsi"/>
          <w:sz w:val="24"/>
          <w:szCs w:val="24"/>
        </w:rPr>
        <w:t>.</w:t>
      </w:r>
    </w:p>
    <w:p w14:paraId="72AAE307"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DA227C">
        <w:rPr>
          <w:rFonts w:eastAsia="Times New Roman" w:cstheme="minorHAnsi"/>
          <w:sz w:val="24"/>
          <w:szCs w:val="24"/>
        </w:rPr>
        <w:t>Olaiya</w:t>
      </w:r>
      <w:proofErr w:type="spellEnd"/>
      <w:r w:rsidRPr="00DA227C">
        <w:rPr>
          <w:rFonts w:eastAsia="Times New Roman" w:cstheme="minorHAnsi"/>
          <w:sz w:val="24"/>
          <w:szCs w:val="24"/>
        </w:rPr>
        <w:t xml:space="preserve"> CO, </w:t>
      </w:r>
      <w:proofErr w:type="spellStart"/>
      <w:r w:rsidRPr="00DA227C">
        <w:rPr>
          <w:rFonts w:eastAsia="Times New Roman" w:cstheme="minorHAnsi"/>
          <w:sz w:val="24"/>
          <w:szCs w:val="24"/>
        </w:rPr>
        <w:t>Ogunlesi</w:t>
      </w:r>
      <w:proofErr w:type="spellEnd"/>
      <w:r w:rsidRPr="00DA227C">
        <w:rPr>
          <w:rFonts w:eastAsia="Times New Roman" w:cstheme="minorHAnsi"/>
          <w:sz w:val="24"/>
          <w:szCs w:val="24"/>
        </w:rPr>
        <w:t xml:space="preserve"> OA, Adeyemi AJ, et al. Impact of industrial pollution on the immune system in Nigeria: A review of the effects of heavy metals. Environ </w:t>
      </w:r>
      <w:proofErr w:type="spellStart"/>
      <w:r w:rsidRPr="00DA227C">
        <w:rPr>
          <w:rFonts w:eastAsia="Times New Roman" w:cstheme="minorHAnsi"/>
          <w:sz w:val="24"/>
          <w:szCs w:val="24"/>
        </w:rPr>
        <w:t>Toxicol</w:t>
      </w:r>
      <w:proofErr w:type="spellEnd"/>
      <w:r w:rsidRPr="00DA227C">
        <w:rPr>
          <w:rFonts w:eastAsia="Times New Roman" w:cstheme="minorHAnsi"/>
          <w:sz w:val="24"/>
          <w:szCs w:val="24"/>
        </w:rPr>
        <w:t xml:space="preserve"> </w:t>
      </w:r>
      <w:proofErr w:type="spellStart"/>
      <w:r w:rsidRPr="00DA227C">
        <w:rPr>
          <w:rFonts w:eastAsia="Times New Roman" w:cstheme="minorHAnsi"/>
          <w:sz w:val="24"/>
          <w:szCs w:val="24"/>
        </w:rPr>
        <w:t>Pharmacol</w:t>
      </w:r>
      <w:proofErr w:type="spellEnd"/>
      <w:r w:rsidRPr="00DA227C">
        <w:rPr>
          <w:rFonts w:eastAsia="Times New Roman" w:cstheme="minorHAnsi"/>
          <w:sz w:val="24"/>
          <w:szCs w:val="24"/>
        </w:rPr>
        <w:t xml:space="preserve">. </w:t>
      </w:r>
      <w:proofErr w:type="gramStart"/>
      <w:r w:rsidRPr="00DA227C">
        <w:rPr>
          <w:rFonts w:eastAsia="Times New Roman" w:cstheme="minorHAnsi"/>
          <w:sz w:val="24"/>
          <w:szCs w:val="24"/>
        </w:rPr>
        <w:t>2022;86:103748</w:t>
      </w:r>
      <w:proofErr w:type="gramEnd"/>
      <w:r w:rsidRPr="00DA227C">
        <w:rPr>
          <w:rFonts w:eastAsia="Times New Roman" w:cstheme="minorHAnsi"/>
          <w:sz w:val="24"/>
          <w:szCs w:val="24"/>
        </w:rPr>
        <w:t>.</w:t>
      </w:r>
    </w:p>
    <w:p w14:paraId="20D478E2"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 xml:space="preserve">Anwar M, Sultan M, Aslam M, et al. Heavy metals in human health: Effects of exposure to lead, mercury, and arsenic. Environ </w:t>
      </w:r>
      <w:proofErr w:type="spellStart"/>
      <w:r w:rsidRPr="00DA227C">
        <w:rPr>
          <w:rFonts w:eastAsia="Times New Roman" w:cstheme="minorHAnsi"/>
          <w:sz w:val="24"/>
          <w:szCs w:val="24"/>
        </w:rPr>
        <w:t>Toxicol</w:t>
      </w:r>
      <w:proofErr w:type="spellEnd"/>
      <w:r w:rsidRPr="00DA227C">
        <w:rPr>
          <w:rFonts w:eastAsia="Times New Roman" w:cstheme="minorHAnsi"/>
          <w:sz w:val="24"/>
          <w:szCs w:val="24"/>
        </w:rPr>
        <w:t>. 2021;36(5):965-975.</w:t>
      </w:r>
    </w:p>
    <w:p w14:paraId="122E3AF7"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 xml:space="preserve">Martínez-Núñez MA, Martín-Vázquez C, Sánchez-Ramón S. Mechanisms of immunotoxicity and oxidative stress in type 2 diabetes induced by environmental pollutants. Toxicology. </w:t>
      </w:r>
      <w:proofErr w:type="gramStart"/>
      <w:r w:rsidRPr="00DA227C">
        <w:rPr>
          <w:rFonts w:eastAsia="Times New Roman" w:cstheme="minorHAnsi"/>
          <w:sz w:val="24"/>
          <w:szCs w:val="24"/>
        </w:rPr>
        <w:t>2020;437:152423</w:t>
      </w:r>
      <w:proofErr w:type="gramEnd"/>
      <w:r w:rsidRPr="00DA227C">
        <w:rPr>
          <w:rFonts w:eastAsia="Times New Roman" w:cstheme="minorHAnsi"/>
          <w:sz w:val="24"/>
          <w:szCs w:val="24"/>
        </w:rPr>
        <w:t>.</w:t>
      </w:r>
    </w:p>
    <w:p w14:paraId="1298C670"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Atencio B, Medina F, Martín-Hernández R, et al. Heavy metals in environmental pollution and immune system dysfunction. Int J Environ Res Public Health. 2018;15(3):435.</w:t>
      </w:r>
    </w:p>
    <w:p w14:paraId="0A016CB7"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Rodríguez-López M, González-Pérez R, El-</w:t>
      </w:r>
      <w:proofErr w:type="spellStart"/>
      <w:r w:rsidRPr="00DA227C">
        <w:rPr>
          <w:rFonts w:eastAsia="Times New Roman" w:cstheme="minorHAnsi"/>
          <w:sz w:val="24"/>
          <w:szCs w:val="24"/>
        </w:rPr>
        <w:t>Bahnasawy</w:t>
      </w:r>
      <w:proofErr w:type="spellEnd"/>
      <w:r w:rsidRPr="00DA227C">
        <w:rPr>
          <w:rFonts w:eastAsia="Times New Roman" w:cstheme="minorHAnsi"/>
          <w:sz w:val="24"/>
          <w:szCs w:val="24"/>
        </w:rPr>
        <w:t xml:space="preserve"> H, et al. The role of oxidative stress and environmental toxicants in the pathogenesis of diabetes mellitus. Int J Mol Sci. 2021;22(3):1013.</w:t>
      </w:r>
    </w:p>
    <w:p w14:paraId="73B45A88"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 xml:space="preserve">PerkinElmer. </w:t>
      </w:r>
      <w:proofErr w:type="spellStart"/>
      <w:r w:rsidRPr="00DA227C">
        <w:rPr>
          <w:rFonts w:eastAsia="Times New Roman" w:cstheme="minorHAnsi"/>
          <w:sz w:val="24"/>
          <w:szCs w:val="24"/>
        </w:rPr>
        <w:t>AAnalyst</w:t>
      </w:r>
      <w:proofErr w:type="spellEnd"/>
      <w:r w:rsidRPr="00DA227C">
        <w:rPr>
          <w:rFonts w:eastAsia="Times New Roman" w:cstheme="minorHAnsi"/>
          <w:sz w:val="24"/>
          <w:szCs w:val="24"/>
        </w:rPr>
        <w:t xml:space="preserve"> 400 Atomic Absorption Spectrometer Manual. PerkinElmer. 2019.</w:t>
      </w:r>
    </w:p>
    <w:p w14:paraId="6901FA21"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Clinical and Laboratory Standards Institute (CLSI). Procedures for the collection of diagnostic blood specimens by venipuncture; approved standard—fifth edition. CLSI document H3-A5. Wayne, PA: CLSI; 2003.</w:t>
      </w:r>
    </w:p>
    <w:p w14:paraId="0BE5C565"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DA227C">
        <w:rPr>
          <w:rFonts w:eastAsia="Times New Roman" w:cstheme="minorHAnsi"/>
          <w:sz w:val="24"/>
          <w:szCs w:val="24"/>
        </w:rPr>
        <w:t>FlowJo</w:t>
      </w:r>
      <w:proofErr w:type="spellEnd"/>
      <w:r w:rsidRPr="00DA227C">
        <w:rPr>
          <w:rFonts w:eastAsia="Times New Roman" w:cstheme="minorHAnsi"/>
          <w:sz w:val="24"/>
          <w:szCs w:val="24"/>
        </w:rPr>
        <w:t xml:space="preserve"> Software. Version 10.8.0. </w:t>
      </w:r>
      <w:proofErr w:type="spellStart"/>
      <w:r w:rsidRPr="00DA227C">
        <w:rPr>
          <w:rFonts w:eastAsia="Times New Roman" w:cstheme="minorHAnsi"/>
          <w:sz w:val="24"/>
          <w:szCs w:val="24"/>
        </w:rPr>
        <w:t>FlowJo</w:t>
      </w:r>
      <w:proofErr w:type="spellEnd"/>
      <w:r w:rsidRPr="00DA227C">
        <w:rPr>
          <w:rFonts w:eastAsia="Times New Roman" w:cstheme="minorHAnsi"/>
          <w:sz w:val="24"/>
          <w:szCs w:val="24"/>
        </w:rPr>
        <w:t>, LLC. 2022.</w:t>
      </w:r>
    </w:p>
    <w:p w14:paraId="08D25B68" w14:textId="77777777" w:rsidR="00DA227C" w:rsidRPr="00DA227C" w:rsidRDefault="00DA227C" w:rsidP="00DA227C">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DA227C">
        <w:rPr>
          <w:rFonts w:eastAsia="Times New Roman" w:cstheme="minorHAnsi"/>
          <w:sz w:val="24"/>
          <w:szCs w:val="24"/>
        </w:rPr>
        <w:t>BioLegend</w:t>
      </w:r>
      <w:proofErr w:type="spellEnd"/>
      <w:r w:rsidRPr="00DA227C">
        <w:rPr>
          <w:rFonts w:eastAsia="Times New Roman" w:cstheme="minorHAnsi"/>
          <w:sz w:val="24"/>
          <w:szCs w:val="24"/>
        </w:rPr>
        <w:t xml:space="preserve">. ELISA Kits Manual. </w:t>
      </w:r>
      <w:proofErr w:type="spellStart"/>
      <w:r w:rsidRPr="00DA227C">
        <w:rPr>
          <w:rFonts w:eastAsia="Times New Roman" w:cstheme="minorHAnsi"/>
          <w:sz w:val="24"/>
          <w:szCs w:val="24"/>
        </w:rPr>
        <w:t>BioLegend</w:t>
      </w:r>
      <w:proofErr w:type="spellEnd"/>
      <w:r w:rsidRPr="00DA227C">
        <w:rPr>
          <w:rFonts w:eastAsia="Times New Roman" w:cstheme="minorHAnsi"/>
          <w:sz w:val="24"/>
          <w:szCs w:val="24"/>
        </w:rPr>
        <w:t>, Inc. 2020.</w:t>
      </w:r>
    </w:p>
    <w:p w14:paraId="0909629A" w14:textId="77777777" w:rsidR="00DA227C" w:rsidRPr="00DA227C" w:rsidRDefault="00DA227C" w:rsidP="00DA227C">
      <w:pPr>
        <w:spacing w:before="100" w:beforeAutospacing="1" w:after="100" w:afterAutospacing="1" w:line="360" w:lineRule="auto"/>
        <w:jc w:val="both"/>
        <w:rPr>
          <w:rFonts w:eastAsia="Times New Roman" w:cstheme="minorHAnsi"/>
          <w:sz w:val="24"/>
          <w:szCs w:val="24"/>
        </w:rPr>
      </w:pPr>
      <w:r w:rsidRPr="00DA227C">
        <w:rPr>
          <w:rFonts w:eastAsia="Times New Roman" w:cstheme="minorHAnsi"/>
          <w:sz w:val="24"/>
          <w:szCs w:val="24"/>
        </w:rPr>
        <w:t>.</w:t>
      </w:r>
    </w:p>
    <w:p w14:paraId="48185BCD" w14:textId="77777777" w:rsidR="00DA227C" w:rsidRPr="00DA227C" w:rsidRDefault="00DA227C" w:rsidP="00DA227C">
      <w:pPr>
        <w:spacing w:line="360" w:lineRule="auto"/>
        <w:jc w:val="both"/>
        <w:rPr>
          <w:rFonts w:cstheme="minorHAnsi"/>
          <w:b/>
          <w:sz w:val="24"/>
          <w:szCs w:val="24"/>
        </w:rPr>
      </w:pPr>
    </w:p>
    <w:sectPr w:rsidR="00DA227C" w:rsidRPr="00DA227C" w:rsidSect="004B2E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F837F" w14:textId="77777777" w:rsidR="005B6672" w:rsidRDefault="005B6672" w:rsidP="00B662BD">
      <w:pPr>
        <w:spacing w:after="0" w:line="240" w:lineRule="auto"/>
      </w:pPr>
      <w:r>
        <w:separator/>
      </w:r>
    </w:p>
  </w:endnote>
  <w:endnote w:type="continuationSeparator" w:id="0">
    <w:p w14:paraId="5A8090B7" w14:textId="77777777" w:rsidR="005B6672" w:rsidRDefault="005B6672" w:rsidP="00B6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E3CA6" w14:textId="77777777" w:rsidR="00B662BD" w:rsidRDefault="00B66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2981A" w14:textId="77777777" w:rsidR="00B662BD" w:rsidRDefault="00B662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EBCA9" w14:textId="77777777" w:rsidR="00B662BD" w:rsidRDefault="00B66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596C4" w14:textId="77777777" w:rsidR="005B6672" w:rsidRDefault="005B6672" w:rsidP="00B662BD">
      <w:pPr>
        <w:spacing w:after="0" w:line="240" w:lineRule="auto"/>
      </w:pPr>
      <w:r>
        <w:separator/>
      </w:r>
    </w:p>
  </w:footnote>
  <w:footnote w:type="continuationSeparator" w:id="0">
    <w:p w14:paraId="68273616" w14:textId="77777777" w:rsidR="005B6672" w:rsidRDefault="005B6672" w:rsidP="00B66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19529" w14:textId="72246348" w:rsidR="00B662BD" w:rsidRDefault="00B662BD">
    <w:pPr>
      <w:pStyle w:val="Header"/>
    </w:pPr>
    <w:r>
      <w:rPr>
        <w:noProof/>
      </w:rPr>
      <w:pict w14:anchorId="3BA98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8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7E11" w14:textId="072679A2" w:rsidR="00B662BD" w:rsidRDefault="00B662BD">
    <w:pPr>
      <w:pStyle w:val="Header"/>
    </w:pPr>
    <w:r>
      <w:rPr>
        <w:noProof/>
      </w:rPr>
      <w:pict w14:anchorId="252B3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8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AD020" w14:textId="1AAC6053" w:rsidR="00B662BD" w:rsidRDefault="00B662BD">
    <w:pPr>
      <w:pStyle w:val="Header"/>
    </w:pPr>
    <w:r>
      <w:rPr>
        <w:noProof/>
      </w:rPr>
      <w:pict w14:anchorId="25BB3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8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7B41"/>
    <w:multiLevelType w:val="multilevel"/>
    <w:tmpl w:val="5C941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B1D90"/>
    <w:multiLevelType w:val="multilevel"/>
    <w:tmpl w:val="9268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36962"/>
    <w:multiLevelType w:val="multilevel"/>
    <w:tmpl w:val="8B9C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D18AF"/>
    <w:multiLevelType w:val="multilevel"/>
    <w:tmpl w:val="3B94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41C61"/>
    <w:multiLevelType w:val="multilevel"/>
    <w:tmpl w:val="EFD0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BB6A2A"/>
    <w:multiLevelType w:val="multilevel"/>
    <w:tmpl w:val="2446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322F"/>
    <w:rsid w:val="00063441"/>
    <w:rsid w:val="00166C55"/>
    <w:rsid w:val="00180F27"/>
    <w:rsid w:val="0031003C"/>
    <w:rsid w:val="004B2E8E"/>
    <w:rsid w:val="0055394F"/>
    <w:rsid w:val="00591093"/>
    <w:rsid w:val="005B6672"/>
    <w:rsid w:val="006C2770"/>
    <w:rsid w:val="00761E52"/>
    <w:rsid w:val="007B6876"/>
    <w:rsid w:val="009C1242"/>
    <w:rsid w:val="00A665AB"/>
    <w:rsid w:val="00B662BD"/>
    <w:rsid w:val="00D261B9"/>
    <w:rsid w:val="00D50397"/>
    <w:rsid w:val="00D6322F"/>
    <w:rsid w:val="00DA227C"/>
    <w:rsid w:val="00EA69C9"/>
    <w:rsid w:val="00F3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6C0381"/>
  <w15:docId w15:val="{7A660AEC-2E1A-443B-93C4-1A428BCF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E8E"/>
  </w:style>
  <w:style w:type="paragraph" w:styleId="Heading2">
    <w:name w:val="heading 2"/>
    <w:basedOn w:val="Normal"/>
    <w:next w:val="Normal"/>
    <w:link w:val="Heading2Char"/>
    <w:uiPriority w:val="9"/>
    <w:unhideWhenUsed/>
    <w:qFormat/>
    <w:rsid w:val="00D632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632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632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322F"/>
    <w:rPr>
      <w:rFonts w:ascii="Times New Roman" w:eastAsia="Times New Roman" w:hAnsi="Times New Roman" w:cs="Times New Roman"/>
      <w:b/>
      <w:bCs/>
      <w:sz w:val="27"/>
      <w:szCs w:val="27"/>
    </w:rPr>
  </w:style>
  <w:style w:type="character" w:styleId="Strong">
    <w:name w:val="Strong"/>
    <w:basedOn w:val="DefaultParagraphFont"/>
    <w:uiPriority w:val="22"/>
    <w:qFormat/>
    <w:rsid w:val="00D6322F"/>
    <w:rPr>
      <w:b/>
      <w:bCs/>
    </w:rPr>
  </w:style>
  <w:style w:type="character" w:customStyle="1" w:styleId="Heading2Char">
    <w:name w:val="Heading 2 Char"/>
    <w:basedOn w:val="DefaultParagraphFont"/>
    <w:link w:val="Heading2"/>
    <w:uiPriority w:val="9"/>
    <w:rsid w:val="00D6322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6322F"/>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D6322F"/>
    <w:rPr>
      <w:i/>
      <w:iCs/>
    </w:rPr>
  </w:style>
  <w:style w:type="paragraph" w:styleId="NormalWeb">
    <w:name w:val="Normal (Web)"/>
    <w:basedOn w:val="Normal"/>
    <w:uiPriority w:val="99"/>
    <w:semiHidden/>
    <w:unhideWhenUsed/>
    <w:rsid w:val="00180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0">
    <w:name w:val="my-0"/>
    <w:basedOn w:val="Normal"/>
    <w:rsid w:val="00F344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003C"/>
    <w:rPr>
      <w:color w:val="0000FF" w:themeColor="hyperlink"/>
      <w:u w:val="single"/>
    </w:rPr>
  </w:style>
  <w:style w:type="character" w:styleId="UnresolvedMention">
    <w:name w:val="Unresolved Mention"/>
    <w:basedOn w:val="DefaultParagraphFont"/>
    <w:uiPriority w:val="99"/>
    <w:semiHidden/>
    <w:unhideWhenUsed/>
    <w:rsid w:val="0031003C"/>
    <w:rPr>
      <w:color w:val="605E5C"/>
      <w:shd w:val="clear" w:color="auto" w:fill="E1DFDD"/>
    </w:rPr>
  </w:style>
  <w:style w:type="paragraph" w:styleId="Header">
    <w:name w:val="header"/>
    <w:basedOn w:val="Normal"/>
    <w:link w:val="HeaderChar"/>
    <w:uiPriority w:val="99"/>
    <w:unhideWhenUsed/>
    <w:rsid w:val="00B66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2BD"/>
  </w:style>
  <w:style w:type="paragraph" w:styleId="Footer">
    <w:name w:val="footer"/>
    <w:basedOn w:val="Normal"/>
    <w:link w:val="FooterChar"/>
    <w:uiPriority w:val="99"/>
    <w:unhideWhenUsed/>
    <w:rsid w:val="00B66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470">
      <w:bodyDiv w:val="1"/>
      <w:marLeft w:val="0"/>
      <w:marRight w:val="0"/>
      <w:marTop w:val="0"/>
      <w:marBottom w:val="0"/>
      <w:divBdr>
        <w:top w:val="none" w:sz="0" w:space="0" w:color="auto"/>
        <w:left w:val="none" w:sz="0" w:space="0" w:color="auto"/>
        <w:bottom w:val="none" w:sz="0" w:space="0" w:color="auto"/>
        <w:right w:val="none" w:sz="0" w:space="0" w:color="auto"/>
      </w:divBdr>
    </w:div>
    <w:div w:id="107699182">
      <w:bodyDiv w:val="1"/>
      <w:marLeft w:val="0"/>
      <w:marRight w:val="0"/>
      <w:marTop w:val="0"/>
      <w:marBottom w:val="0"/>
      <w:divBdr>
        <w:top w:val="none" w:sz="0" w:space="0" w:color="auto"/>
        <w:left w:val="none" w:sz="0" w:space="0" w:color="auto"/>
        <w:bottom w:val="none" w:sz="0" w:space="0" w:color="auto"/>
        <w:right w:val="none" w:sz="0" w:space="0" w:color="auto"/>
      </w:divBdr>
    </w:div>
    <w:div w:id="135412232">
      <w:bodyDiv w:val="1"/>
      <w:marLeft w:val="0"/>
      <w:marRight w:val="0"/>
      <w:marTop w:val="0"/>
      <w:marBottom w:val="0"/>
      <w:divBdr>
        <w:top w:val="none" w:sz="0" w:space="0" w:color="auto"/>
        <w:left w:val="none" w:sz="0" w:space="0" w:color="auto"/>
        <w:bottom w:val="none" w:sz="0" w:space="0" w:color="auto"/>
        <w:right w:val="none" w:sz="0" w:space="0" w:color="auto"/>
      </w:divBdr>
    </w:div>
    <w:div w:id="187765891">
      <w:bodyDiv w:val="1"/>
      <w:marLeft w:val="0"/>
      <w:marRight w:val="0"/>
      <w:marTop w:val="0"/>
      <w:marBottom w:val="0"/>
      <w:divBdr>
        <w:top w:val="none" w:sz="0" w:space="0" w:color="auto"/>
        <w:left w:val="none" w:sz="0" w:space="0" w:color="auto"/>
        <w:bottom w:val="none" w:sz="0" w:space="0" w:color="auto"/>
        <w:right w:val="none" w:sz="0" w:space="0" w:color="auto"/>
      </w:divBdr>
    </w:div>
    <w:div w:id="245000207">
      <w:bodyDiv w:val="1"/>
      <w:marLeft w:val="0"/>
      <w:marRight w:val="0"/>
      <w:marTop w:val="0"/>
      <w:marBottom w:val="0"/>
      <w:divBdr>
        <w:top w:val="none" w:sz="0" w:space="0" w:color="auto"/>
        <w:left w:val="none" w:sz="0" w:space="0" w:color="auto"/>
        <w:bottom w:val="none" w:sz="0" w:space="0" w:color="auto"/>
        <w:right w:val="none" w:sz="0" w:space="0" w:color="auto"/>
      </w:divBdr>
    </w:div>
    <w:div w:id="304240050">
      <w:bodyDiv w:val="1"/>
      <w:marLeft w:val="0"/>
      <w:marRight w:val="0"/>
      <w:marTop w:val="0"/>
      <w:marBottom w:val="0"/>
      <w:divBdr>
        <w:top w:val="none" w:sz="0" w:space="0" w:color="auto"/>
        <w:left w:val="none" w:sz="0" w:space="0" w:color="auto"/>
        <w:bottom w:val="none" w:sz="0" w:space="0" w:color="auto"/>
        <w:right w:val="none" w:sz="0" w:space="0" w:color="auto"/>
      </w:divBdr>
    </w:div>
    <w:div w:id="310597962">
      <w:bodyDiv w:val="1"/>
      <w:marLeft w:val="0"/>
      <w:marRight w:val="0"/>
      <w:marTop w:val="0"/>
      <w:marBottom w:val="0"/>
      <w:divBdr>
        <w:top w:val="none" w:sz="0" w:space="0" w:color="auto"/>
        <w:left w:val="none" w:sz="0" w:space="0" w:color="auto"/>
        <w:bottom w:val="none" w:sz="0" w:space="0" w:color="auto"/>
        <w:right w:val="none" w:sz="0" w:space="0" w:color="auto"/>
      </w:divBdr>
    </w:div>
    <w:div w:id="386027088">
      <w:bodyDiv w:val="1"/>
      <w:marLeft w:val="0"/>
      <w:marRight w:val="0"/>
      <w:marTop w:val="0"/>
      <w:marBottom w:val="0"/>
      <w:divBdr>
        <w:top w:val="none" w:sz="0" w:space="0" w:color="auto"/>
        <w:left w:val="none" w:sz="0" w:space="0" w:color="auto"/>
        <w:bottom w:val="none" w:sz="0" w:space="0" w:color="auto"/>
        <w:right w:val="none" w:sz="0" w:space="0" w:color="auto"/>
      </w:divBdr>
    </w:div>
    <w:div w:id="402920823">
      <w:bodyDiv w:val="1"/>
      <w:marLeft w:val="0"/>
      <w:marRight w:val="0"/>
      <w:marTop w:val="0"/>
      <w:marBottom w:val="0"/>
      <w:divBdr>
        <w:top w:val="none" w:sz="0" w:space="0" w:color="auto"/>
        <w:left w:val="none" w:sz="0" w:space="0" w:color="auto"/>
        <w:bottom w:val="none" w:sz="0" w:space="0" w:color="auto"/>
        <w:right w:val="none" w:sz="0" w:space="0" w:color="auto"/>
      </w:divBdr>
    </w:div>
    <w:div w:id="537788529">
      <w:bodyDiv w:val="1"/>
      <w:marLeft w:val="0"/>
      <w:marRight w:val="0"/>
      <w:marTop w:val="0"/>
      <w:marBottom w:val="0"/>
      <w:divBdr>
        <w:top w:val="none" w:sz="0" w:space="0" w:color="auto"/>
        <w:left w:val="none" w:sz="0" w:space="0" w:color="auto"/>
        <w:bottom w:val="none" w:sz="0" w:space="0" w:color="auto"/>
        <w:right w:val="none" w:sz="0" w:space="0" w:color="auto"/>
      </w:divBdr>
    </w:div>
    <w:div w:id="545027132">
      <w:bodyDiv w:val="1"/>
      <w:marLeft w:val="0"/>
      <w:marRight w:val="0"/>
      <w:marTop w:val="0"/>
      <w:marBottom w:val="0"/>
      <w:divBdr>
        <w:top w:val="none" w:sz="0" w:space="0" w:color="auto"/>
        <w:left w:val="none" w:sz="0" w:space="0" w:color="auto"/>
        <w:bottom w:val="none" w:sz="0" w:space="0" w:color="auto"/>
        <w:right w:val="none" w:sz="0" w:space="0" w:color="auto"/>
      </w:divBdr>
    </w:div>
    <w:div w:id="660894012">
      <w:bodyDiv w:val="1"/>
      <w:marLeft w:val="0"/>
      <w:marRight w:val="0"/>
      <w:marTop w:val="0"/>
      <w:marBottom w:val="0"/>
      <w:divBdr>
        <w:top w:val="none" w:sz="0" w:space="0" w:color="auto"/>
        <w:left w:val="none" w:sz="0" w:space="0" w:color="auto"/>
        <w:bottom w:val="none" w:sz="0" w:space="0" w:color="auto"/>
        <w:right w:val="none" w:sz="0" w:space="0" w:color="auto"/>
      </w:divBdr>
    </w:div>
    <w:div w:id="705518927">
      <w:bodyDiv w:val="1"/>
      <w:marLeft w:val="0"/>
      <w:marRight w:val="0"/>
      <w:marTop w:val="0"/>
      <w:marBottom w:val="0"/>
      <w:divBdr>
        <w:top w:val="none" w:sz="0" w:space="0" w:color="auto"/>
        <w:left w:val="none" w:sz="0" w:space="0" w:color="auto"/>
        <w:bottom w:val="none" w:sz="0" w:space="0" w:color="auto"/>
        <w:right w:val="none" w:sz="0" w:space="0" w:color="auto"/>
      </w:divBdr>
    </w:div>
    <w:div w:id="717632712">
      <w:bodyDiv w:val="1"/>
      <w:marLeft w:val="0"/>
      <w:marRight w:val="0"/>
      <w:marTop w:val="0"/>
      <w:marBottom w:val="0"/>
      <w:divBdr>
        <w:top w:val="none" w:sz="0" w:space="0" w:color="auto"/>
        <w:left w:val="none" w:sz="0" w:space="0" w:color="auto"/>
        <w:bottom w:val="none" w:sz="0" w:space="0" w:color="auto"/>
        <w:right w:val="none" w:sz="0" w:space="0" w:color="auto"/>
      </w:divBdr>
    </w:div>
    <w:div w:id="799303227">
      <w:bodyDiv w:val="1"/>
      <w:marLeft w:val="0"/>
      <w:marRight w:val="0"/>
      <w:marTop w:val="0"/>
      <w:marBottom w:val="0"/>
      <w:divBdr>
        <w:top w:val="none" w:sz="0" w:space="0" w:color="auto"/>
        <w:left w:val="none" w:sz="0" w:space="0" w:color="auto"/>
        <w:bottom w:val="none" w:sz="0" w:space="0" w:color="auto"/>
        <w:right w:val="none" w:sz="0" w:space="0" w:color="auto"/>
      </w:divBdr>
    </w:div>
    <w:div w:id="923607104">
      <w:bodyDiv w:val="1"/>
      <w:marLeft w:val="0"/>
      <w:marRight w:val="0"/>
      <w:marTop w:val="0"/>
      <w:marBottom w:val="0"/>
      <w:divBdr>
        <w:top w:val="none" w:sz="0" w:space="0" w:color="auto"/>
        <w:left w:val="none" w:sz="0" w:space="0" w:color="auto"/>
        <w:bottom w:val="none" w:sz="0" w:space="0" w:color="auto"/>
        <w:right w:val="none" w:sz="0" w:space="0" w:color="auto"/>
      </w:divBdr>
    </w:div>
    <w:div w:id="933169500">
      <w:bodyDiv w:val="1"/>
      <w:marLeft w:val="0"/>
      <w:marRight w:val="0"/>
      <w:marTop w:val="0"/>
      <w:marBottom w:val="0"/>
      <w:divBdr>
        <w:top w:val="none" w:sz="0" w:space="0" w:color="auto"/>
        <w:left w:val="none" w:sz="0" w:space="0" w:color="auto"/>
        <w:bottom w:val="none" w:sz="0" w:space="0" w:color="auto"/>
        <w:right w:val="none" w:sz="0" w:space="0" w:color="auto"/>
      </w:divBdr>
    </w:div>
    <w:div w:id="947274174">
      <w:bodyDiv w:val="1"/>
      <w:marLeft w:val="0"/>
      <w:marRight w:val="0"/>
      <w:marTop w:val="0"/>
      <w:marBottom w:val="0"/>
      <w:divBdr>
        <w:top w:val="none" w:sz="0" w:space="0" w:color="auto"/>
        <w:left w:val="none" w:sz="0" w:space="0" w:color="auto"/>
        <w:bottom w:val="none" w:sz="0" w:space="0" w:color="auto"/>
        <w:right w:val="none" w:sz="0" w:space="0" w:color="auto"/>
      </w:divBdr>
      <w:divsChild>
        <w:div w:id="1555048476">
          <w:marLeft w:val="0"/>
          <w:marRight w:val="0"/>
          <w:marTop w:val="0"/>
          <w:marBottom w:val="0"/>
          <w:divBdr>
            <w:top w:val="none" w:sz="0" w:space="0" w:color="auto"/>
            <w:left w:val="none" w:sz="0" w:space="0" w:color="auto"/>
            <w:bottom w:val="none" w:sz="0" w:space="0" w:color="auto"/>
            <w:right w:val="none" w:sz="0" w:space="0" w:color="auto"/>
          </w:divBdr>
          <w:divsChild>
            <w:div w:id="1913083485">
              <w:marLeft w:val="0"/>
              <w:marRight w:val="0"/>
              <w:marTop w:val="0"/>
              <w:marBottom w:val="0"/>
              <w:divBdr>
                <w:top w:val="none" w:sz="0" w:space="0" w:color="auto"/>
                <w:left w:val="none" w:sz="0" w:space="0" w:color="auto"/>
                <w:bottom w:val="none" w:sz="0" w:space="0" w:color="auto"/>
                <w:right w:val="none" w:sz="0" w:space="0" w:color="auto"/>
              </w:divBdr>
              <w:divsChild>
                <w:div w:id="12733416">
                  <w:marLeft w:val="0"/>
                  <w:marRight w:val="0"/>
                  <w:marTop w:val="0"/>
                  <w:marBottom w:val="0"/>
                  <w:divBdr>
                    <w:top w:val="none" w:sz="0" w:space="0" w:color="auto"/>
                    <w:left w:val="none" w:sz="0" w:space="0" w:color="auto"/>
                    <w:bottom w:val="none" w:sz="0" w:space="0" w:color="auto"/>
                    <w:right w:val="none" w:sz="0" w:space="0" w:color="auto"/>
                  </w:divBdr>
                  <w:divsChild>
                    <w:div w:id="332732084">
                      <w:marLeft w:val="0"/>
                      <w:marRight w:val="0"/>
                      <w:marTop w:val="0"/>
                      <w:marBottom w:val="0"/>
                      <w:divBdr>
                        <w:top w:val="none" w:sz="0" w:space="0" w:color="auto"/>
                        <w:left w:val="none" w:sz="0" w:space="0" w:color="auto"/>
                        <w:bottom w:val="none" w:sz="0" w:space="0" w:color="auto"/>
                        <w:right w:val="none" w:sz="0" w:space="0" w:color="auto"/>
                      </w:divBdr>
                    </w:div>
                  </w:divsChild>
                </w:div>
                <w:div w:id="1473251331">
                  <w:marLeft w:val="0"/>
                  <w:marRight w:val="0"/>
                  <w:marTop w:val="0"/>
                  <w:marBottom w:val="0"/>
                  <w:divBdr>
                    <w:top w:val="none" w:sz="0" w:space="0" w:color="auto"/>
                    <w:left w:val="none" w:sz="0" w:space="0" w:color="auto"/>
                    <w:bottom w:val="none" w:sz="0" w:space="0" w:color="auto"/>
                    <w:right w:val="none" w:sz="0" w:space="0" w:color="auto"/>
                  </w:divBdr>
                  <w:divsChild>
                    <w:div w:id="317005561">
                      <w:marLeft w:val="0"/>
                      <w:marRight w:val="0"/>
                      <w:marTop w:val="0"/>
                      <w:marBottom w:val="0"/>
                      <w:divBdr>
                        <w:top w:val="none" w:sz="0" w:space="0" w:color="auto"/>
                        <w:left w:val="none" w:sz="0" w:space="0" w:color="auto"/>
                        <w:bottom w:val="none" w:sz="0" w:space="0" w:color="auto"/>
                        <w:right w:val="none" w:sz="0" w:space="0" w:color="auto"/>
                      </w:divBdr>
                    </w:div>
                  </w:divsChild>
                </w:div>
                <w:div w:id="843979224">
                  <w:marLeft w:val="0"/>
                  <w:marRight w:val="0"/>
                  <w:marTop w:val="0"/>
                  <w:marBottom w:val="0"/>
                  <w:divBdr>
                    <w:top w:val="none" w:sz="0" w:space="0" w:color="auto"/>
                    <w:left w:val="none" w:sz="0" w:space="0" w:color="auto"/>
                    <w:bottom w:val="none" w:sz="0" w:space="0" w:color="auto"/>
                    <w:right w:val="none" w:sz="0" w:space="0" w:color="auto"/>
                  </w:divBdr>
                  <w:divsChild>
                    <w:div w:id="1904026434">
                      <w:marLeft w:val="0"/>
                      <w:marRight w:val="0"/>
                      <w:marTop w:val="0"/>
                      <w:marBottom w:val="0"/>
                      <w:divBdr>
                        <w:top w:val="none" w:sz="0" w:space="0" w:color="auto"/>
                        <w:left w:val="none" w:sz="0" w:space="0" w:color="auto"/>
                        <w:bottom w:val="none" w:sz="0" w:space="0" w:color="auto"/>
                        <w:right w:val="none" w:sz="0" w:space="0" w:color="auto"/>
                      </w:divBdr>
                    </w:div>
                  </w:divsChild>
                </w:div>
                <w:div w:id="52431002">
                  <w:marLeft w:val="0"/>
                  <w:marRight w:val="0"/>
                  <w:marTop w:val="0"/>
                  <w:marBottom w:val="0"/>
                  <w:divBdr>
                    <w:top w:val="none" w:sz="0" w:space="0" w:color="auto"/>
                    <w:left w:val="none" w:sz="0" w:space="0" w:color="auto"/>
                    <w:bottom w:val="none" w:sz="0" w:space="0" w:color="auto"/>
                    <w:right w:val="none" w:sz="0" w:space="0" w:color="auto"/>
                  </w:divBdr>
                  <w:divsChild>
                    <w:div w:id="1445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3165">
      <w:bodyDiv w:val="1"/>
      <w:marLeft w:val="0"/>
      <w:marRight w:val="0"/>
      <w:marTop w:val="0"/>
      <w:marBottom w:val="0"/>
      <w:divBdr>
        <w:top w:val="none" w:sz="0" w:space="0" w:color="auto"/>
        <w:left w:val="none" w:sz="0" w:space="0" w:color="auto"/>
        <w:bottom w:val="none" w:sz="0" w:space="0" w:color="auto"/>
        <w:right w:val="none" w:sz="0" w:space="0" w:color="auto"/>
      </w:divBdr>
    </w:div>
    <w:div w:id="1038626909">
      <w:bodyDiv w:val="1"/>
      <w:marLeft w:val="0"/>
      <w:marRight w:val="0"/>
      <w:marTop w:val="0"/>
      <w:marBottom w:val="0"/>
      <w:divBdr>
        <w:top w:val="none" w:sz="0" w:space="0" w:color="auto"/>
        <w:left w:val="none" w:sz="0" w:space="0" w:color="auto"/>
        <w:bottom w:val="none" w:sz="0" w:space="0" w:color="auto"/>
        <w:right w:val="none" w:sz="0" w:space="0" w:color="auto"/>
      </w:divBdr>
    </w:div>
    <w:div w:id="1039276906">
      <w:bodyDiv w:val="1"/>
      <w:marLeft w:val="0"/>
      <w:marRight w:val="0"/>
      <w:marTop w:val="0"/>
      <w:marBottom w:val="0"/>
      <w:divBdr>
        <w:top w:val="none" w:sz="0" w:space="0" w:color="auto"/>
        <w:left w:val="none" w:sz="0" w:space="0" w:color="auto"/>
        <w:bottom w:val="none" w:sz="0" w:space="0" w:color="auto"/>
        <w:right w:val="none" w:sz="0" w:space="0" w:color="auto"/>
      </w:divBdr>
    </w:div>
    <w:div w:id="1125541127">
      <w:bodyDiv w:val="1"/>
      <w:marLeft w:val="0"/>
      <w:marRight w:val="0"/>
      <w:marTop w:val="0"/>
      <w:marBottom w:val="0"/>
      <w:divBdr>
        <w:top w:val="none" w:sz="0" w:space="0" w:color="auto"/>
        <w:left w:val="none" w:sz="0" w:space="0" w:color="auto"/>
        <w:bottom w:val="none" w:sz="0" w:space="0" w:color="auto"/>
        <w:right w:val="none" w:sz="0" w:space="0" w:color="auto"/>
      </w:divBdr>
    </w:div>
    <w:div w:id="1274435782">
      <w:bodyDiv w:val="1"/>
      <w:marLeft w:val="0"/>
      <w:marRight w:val="0"/>
      <w:marTop w:val="0"/>
      <w:marBottom w:val="0"/>
      <w:divBdr>
        <w:top w:val="none" w:sz="0" w:space="0" w:color="auto"/>
        <w:left w:val="none" w:sz="0" w:space="0" w:color="auto"/>
        <w:bottom w:val="none" w:sz="0" w:space="0" w:color="auto"/>
        <w:right w:val="none" w:sz="0" w:space="0" w:color="auto"/>
      </w:divBdr>
    </w:div>
    <w:div w:id="1336879274">
      <w:bodyDiv w:val="1"/>
      <w:marLeft w:val="0"/>
      <w:marRight w:val="0"/>
      <w:marTop w:val="0"/>
      <w:marBottom w:val="0"/>
      <w:divBdr>
        <w:top w:val="none" w:sz="0" w:space="0" w:color="auto"/>
        <w:left w:val="none" w:sz="0" w:space="0" w:color="auto"/>
        <w:bottom w:val="none" w:sz="0" w:space="0" w:color="auto"/>
        <w:right w:val="none" w:sz="0" w:space="0" w:color="auto"/>
      </w:divBdr>
    </w:div>
    <w:div w:id="1352489006">
      <w:bodyDiv w:val="1"/>
      <w:marLeft w:val="0"/>
      <w:marRight w:val="0"/>
      <w:marTop w:val="0"/>
      <w:marBottom w:val="0"/>
      <w:divBdr>
        <w:top w:val="none" w:sz="0" w:space="0" w:color="auto"/>
        <w:left w:val="none" w:sz="0" w:space="0" w:color="auto"/>
        <w:bottom w:val="none" w:sz="0" w:space="0" w:color="auto"/>
        <w:right w:val="none" w:sz="0" w:space="0" w:color="auto"/>
      </w:divBdr>
    </w:div>
    <w:div w:id="1524124045">
      <w:bodyDiv w:val="1"/>
      <w:marLeft w:val="0"/>
      <w:marRight w:val="0"/>
      <w:marTop w:val="0"/>
      <w:marBottom w:val="0"/>
      <w:divBdr>
        <w:top w:val="none" w:sz="0" w:space="0" w:color="auto"/>
        <w:left w:val="none" w:sz="0" w:space="0" w:color="auto"/>
        <w:bottom w:val="none" w:sz="0" w:space="0" w:color="auto"/>
        <w:right w:val="none" w:sz="0" w:space="0" w:color="auto"/>
      </w:divBdr>
      <w:divsChild>
        <w:div w:id="1306083900">
          <w:marLeft w:val="0"/>
          <w:marRight w:val="0"/>
          <w:marTop w:val="0"/>
          <w:marBottom w:val="0"/>
          <w:divBdr>
            <w:top w:val="none" w:sz="0" w:space="0" w:color="auto"/>
            <w:left w:val="none" w:sz="0" w:space="0" w:color="auto"/>
            <w:bottom w:val="none" w:sz="0" w:space="0" w:color="auto"/>
            <w:right w:val="none" w:sz="0" w:space="0" w:color="auto"/>
          </w:divBdr>
          <w:divsChild>
            <w:div w:id="1292907192">
              <w:marLeft w:val="0"/>
              <w:marRight w:val="0"/>
              <w:marTop w:val="0"/>
              <w:marBottom w:val="0"/>
              <w:divBdr>
                <w:top w:val="none" w:sz="0" w:space="0" w:color="auto"/>
                <w:left w:val="none" w:sz="0" w:space="0" w:color="auto"/>
                <w:bottom w:val="none" w:sz="0" w:space="0" w:color="auto"/>
                <w:right w:val="none" w:sz="0" w:space="0" w:color="auto"/>
              </w:divBdr>
            </w:div>
          </w:divsChild>
        </w:div>
        <w:div w:id="920673964">
          <w:marLeft w:val="0"/>
          <w:marRight w:val="0"/>
          <w:marTop w:val="0"/>
          <w:marBottom w:val="0"/>
          <w:divBdr>
            <w:top w:val="none" w:sz="0" w:space="0" w:color="auto"/>
            <w:left w:val="none" w:sz="0" w:space="0" w:color="auto"/>
            <w:bottom w:val="none" w:sz="0" w:space="0" w:color="auto"/>
            <w:right w:val="none" w:sz="0" w:space="0" w:color="auto"/>
          </w:divBdr>
          <w:divsChild>
            <w:div w:id="324168623">
              <w:marLeft w:val="0"/>
              <w:marRight w:val="0"/>
              <w:marTop w:val="0"/>
              <w:marBottom w:val="0"/>
              <w:divBdr>
                <w:top w:val="none" w:sz="0" w:space="0" w:color="auto"/>
                <w:left w:val="none" w:sz="0" w:space="0" w:color="auto"/>
                <w:bottom w:val="none" w:sz="0" w:space="0" w:color="auto"/>
                <w:right w:val="none" w:sz="0" w:space="0" w:color="auto"/>
              </w:divBdr>
            </w:div>
          </w:divsChild>
        </w:div>
        <w:div w:id="1926645480">
          <w:marLeft w:val="0"/>
          <w:marRight w:val="0"/>
          <w:marTop w:val="0"/>
          <w:marBottom w:val="0"/>
          <w:divBdr>
            <w:top w:val="none" w:sz="0" w:space="0" w:color="auto"/>
            <w:left w:val="none" w:sz="0" w:space="0" w:color="auto"/>
            <w:bottom w:val="none" w:sz="0" w:space="0" w:color="auto"/>
            <w:right w:val="none" w:sz="0" w:space="0" w:color="auto"/>
          </w:divBdr>
          <w:divsChild>
            <w:div w:id="238485860">
              <w:marLeft w:val="0"/>
              <w:marRight w:val="0"/>
              <w:marTop w:val="0"/>
              <w:marBottom w:val="0"/>
              <w:divBdr>
                <w:top w:val="none" w:sz="0" w:space="0" w:color="auto"/>
                <w:left w:val="none" w:sz="0" w:space="0" w:color="auto"/>
                <w:bottom w:val="none" w:sz="0" w:space="0" w:color="auto"/>
                <w:right w:val="none" w:sz="0" w:space="0" w:color="auto"/>
              </w:divBdr>
            </w:div>
          </w:divsChild>
        </w:div>
        <w:div w:id="1810591857">
          <w:marLeft w:val="0"/>
          <w:marRight w:val="0"/>
          <w:marTop w:val="0"/>
          <w:marBottom w:val="0"/>
          <w:divBdr>
            <w:top w:val="none" w:sz="0" w:space="0" w:color="auto"/>
            <w:left w:val="none" w:sz="0" w:space="0" w:color="auto"/>
            <w:bottom w:val="none" w:sz="0" w:space="0" w:color="auto"/>
            <w:right w:val="none" w:sz="0" w:space="0" w:color="auto"/>
          </w:divBdr>
          <w:divsChild>
            <w:div w:id="10344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863257">
      <w:bodyDiv w:val="1"/>
      <w:marLeft w:val="0"/>
      <w:marRight w:val="0"/>
      <w:marTop w:val="0"/>
      <w:marBottom w:val="0"/>
      <w:divBdr>
        <w:top w:val="none" w:sz="0" w:space="0" w:color="auto"/>
        <w:left w:val="none" w:sz="0" w:space="0" w:color="auto"/>
        <w:bottom w:val="none" w:sz="0" w:space="0" w:color="auto"/>
        <w:right w:val="none" w:sz="0" w:space="0" w:color="auto"/>
      </w:divBdr>
    </w:div>
    <w:div w:id="1662541333">
      <w:bodyDiv w:val="1"/>
      <w:marLeft w:val="0"/>
      <w:marRight w:val="0"/>
      <w:marTop w:val="0"/>
      <w:marBottom w:val="0"/>
      <w:divBdr>
        <w:top w:val="none" w:sz="0" w:space="0" w:color="auto"/>
        <w:left w:val="none" w:sz="0" w:space="0" w:color="auto"/>
        <w:bottom w:val="none" w:sz="0" w:space="0" w:color="auto"/>
        <w:right w:val="none" w:sz="0" w:space="0" w:color="auto"/>
      </w:divBdr>
    </w:div>
    <w:div w:id="1679044156">
      <w:bodyDiv w:val="1"/>
      <w:marLeft w:val="0"/>
      <w:marRight w:val="0"/>
      <w:marTop w:val="0"/>
      <w:marBottom w:val="0"/>
      <w:divBdr>
        <w:top w:val="none" w:sz="0" w:space="0" w:color="auto"/>
        <w:left w:val="none" w:sz="0" w:space="0" w:color="auto"/>
        <w:bottom w:val="none" w:sz="0" w:space="0" w:color="auto"/>
        <w:right w:val="none" w:sz="0" w:space="0" w:color="auto"/>
      </w:divBdr>
    </w:div>
    <w:div w:id="1743678038">
      <w:bodyDiv w:val="1"/>
      <w:marLeft w:val="0"/>
      <w:marRight w:val="0"/>
      <w:marTop w:val="0"/>
      <w:marBottom w:val="0"/>
      <w:divBdr>
        <w:top w:val="none" w:sz="0" w:space="0" w:color="auto"/>
        <w:left w:val="none" w:sz="0" w:space="0" w:color="auto"/>
        <w:bottom w:val="none" w:sz="0" w:space="0" w:color="auto"/>
        <w:right w:val="none" w:sz="0" w:space="0" w:color="auto"/>
      </w:divBdr>
    </w:div>
    <w:div w:id="1822623524">
      <w:bodyDiv w:val="1"/>
      <w:marLeft w:val="0"/>
      <w:marRight w:val="0"/>
      <w:marTop w:val="0"/>
      <w:marBottom w:val="0"/>
      <w:divBdr>
        <w:top w:val="none" w:sz="0" w:space="0" w:color="auto"/>
        <w:left w:val="none" w:sz="0" w:space="0" w:color="auto"/>
        <w:bottom w:val="none" w:sz="0" w:space="0" w:color="auto"/>
        <w:right w:val="none" w:sz="0" w:space="0" w:color="auto"/>
      </w:divBdr>
    </w:div>
    <w:div w:id="1850751481">
      <w:bodyDiv w:val="1"/>
      <w:marLeft w:val="0"/>
      <w:marRight w:val="0"/>
      <w:marTop w:val="0"/>
      <w:marBottom w:val="0"/>
      <w:divBdr>
        <w:top w:val="none" w:sz="0" w:space="0" w:color="auto"/>
        <w:left w:val="none" w:sz="0" w:space="0" w:color="auto"/>
        <w:bottom w:val="none" w:sz="0" w:space="0" w:color="auto"/>
        <w:right w:val="none" w:sz="0" w:space="0" w:color="auto"/>
      </w:divBdr>
      <w:divsChild>
        <w:div w:id="1559828268">
          <w:marLeft w:val="0"/>
          <w:marRight w:val="0"/>
          <w:marTop w:val="0"/>
          <w:marBottom w:val="0"/>
          <w:divBdr>
            <w:top w:val="none" w:sz="0" w:space="0" w:color="auto"/>
            <w:left w:val="none" w:sz="0" w:space="0" w:color="auto"/>
            <w:bottom w:val="none" w:sz="0" w:space="0" w:color="auto"/>
            <w:right w:val="none" w:sz="0" w:space="0" w:color="auto"/>
          </w:divBdr>
          <w:divsChild>
            <w:div w:id="1292900146">
              <w:marLeft w:val="0"/>
              <w:marRight w:val="0"/>
              <w:marTop w:val="0"/>
              <w:marBottom w:val="0"/>
              <w:divBdr>
                <w:top w:val="none" w:sz="0" w:space="0" w:color="auto"/>
                <w:left w:val="none" w:sz="0" w:space="0" w:color="auto"/>
                <w:bottom w:val="none" w:sz="0" w:space="0" w:color="auto"/>
                <w:right w:val="none" w:sz="0" w:space="0" w:color="auto"/>
              </w:divBdr>
              <w:divsChild>
                <w:div w:id="941453228">
                  <w:marLeft w:val="0"/>
                  <w:marRight w:val="0"/>
                  <w:marTop w:val="0"/>
                  <w:marBottom w:val="0"/>
                  <w:divBdr>
                    <w:top w:val="none" w:sz="0" w:space="0" w:color="auto"/>
                    <w:left w:val="none" w:sz="0" w:space="0" w:color="auto"/>
                    <w:bottom w:val="none" w:sz="0" w:space="0" w:color="auto"/>
                    <w:right w:val="none" w:sz="0" w:space="0" w:color="auto"/>
                  </w:divBdr>
                  <w:divsChild>
                    <w:div w:id="1407461390">
                      <w:marLeft w:val="0"/>
                      <w:marRight w:val="0"/>
                      <w:marTop w:val="0"/>
                      <w:marBottom w:val="0"/>
                      <w:divBdr>
                        <w:top w:val="none" w:sz="0" w:space="0" w:color="auto"/>
                        <w:left w:val="none" w:sz="0" w:space="0" w:color="auto"/>
                        <w:bottom w:val="none" w:sz="0" w:space="0" w:color="auto"/>
                        <w:right w:val="none" w:sz="0" w:space="0" w:color="auto"/>
                      </w:divBdr>
                      <w:divsChild>
                        <w:div w:id="687945554">
                          <w:marLeft w:val="0"/>
                          <w:marRight w:val="0"/>
                          <w:marTop w:val="0"/>
                          <w:marBottom w:val="0"/>
                          <w:divBdr>
                            <w:top w:val="none" w:sz="0" w:space="0" w:color="auto"/>
                            <w:left w:val="none" w:sz="0" w:space="0" w:color="auto"/>
                            <w:bottom w:val="none" w:sz="0" w:space="0" w:color="auto"/>
                            <w:right w:val="none" w:sz="0" w:space="0" w:color="auto"/>
                          </w:divBdr>
                          <w:divsChild>
                            <w:div w:id="438987728">
                              <w:marLeft w:val="0"/>
                              <w:marRight w:val="0"/>
                              <w:marTop w:val="0"/>
                              <w:marBottom w:val="0"/>
                              <w:divBdr>
                                <w:top w:val="none" w:sz="0" w:space="0" w:color="auto"/>
                                <w:left w:val="none" w:sz="0" w:space="0" w:color="auto"/>
                                <w:bottom w:val="none" w:sz="0" w:space="0" w:color="auto"/>
                                <w:right w:val="none" w:sz="0" w:space="0" w:color="auto"/>
                              </w:divBdr>
                              <w:divsChild>
                                <w:div w:id="511721747">
                                  <w:marLeft w:val="0"/>
                                  <w:marRight w:val="0"/>
                                  <w:marTop w:val="0"/>
                                  <w:marBottom w:val="0"/>
                                  <w:divBdr>
                                    <w:top w:val="none" w:sz="0" w:space="0" w:color="auto"/>
                                    <w:left w:val="none" w:sz="0" w:space="0" w:color="auto"/>
                                    <w:bottom w:val="none" w:sz="0" w:space="0" w:color="auto"/>
                                    <w:right w:val="none" w:sz="0" w:space="0" w:color="auto"/>
                                  </w:divBdr>
                                  <w:divsChild>
                                    <w:div w:id="958419658">
                                      <w:marLeft w:val="0"/>
                                      <w:marRight w:val="0"/>
                                      <w:marTop w:val="0"/>
                                      <w:marBottom w:val="0"/>
                                      <w:divBdr>
                                        <w:top w:val="none" w:sz="0" w:space="0" w:color="auto"/>
                                        <w:left w:val="none" w:sz="0" w:space="0" w:color="auto"/>
                                        <w:bottom w:val="none" w:sz="0" w:space="0" w:color="auto"/>
                                        <w:right w:val="none" w:sz="0" w:space="0" w:color="auto"/>
                                      </w:divBdr>
                                      <w:divsChild>
                                        <w:div w:id="433675919">
                                          <w:marLeft w:val="0"/>
                                          <w:marRight w:val="0"/>
                                          <w:marTop w:val="0"/>
                                          <w:marBottom w:val="0"/>
                                          <w:divBdr>
                                            <w:top w:val="none" w:sz="0" w:space="0" w:color="auto"/>
                                            <w:left w:val="none" w:sz="0" w:space="0" w:color="auto"/>
                                            <w:bottom w:val="none" w:sz="0" w:space="0" w:color="auto"/>
                                            <w:right w:val="none" w:sz="0" w:space="0" w:color="auto"/>
                                          </w:divBdr>
                                          <w:divsChild>
                                            <w:div w:id="631597594">
                                              <w:marLeft w:val="0"/>
                                              <w:marRight w:val="0"/>
                                              <w:marTop w:val="0"/>
                                              <w:marBottom w:val="0"/>
                                              <w:divBdr>
                                                <w:top w:val="none" w:sz="0" w:space="0" w:color="auto"/>
                                                <w:left w:val="none" w:sz="0" w:space="0" w:color="auto"/>
                                                <w:bottom w:val="none" w:sz="0" w:space="0" w:color="auto"/>
                                                <w:right w:val="none" w:sz="0" w:space="0" w:color="auto"/>
                                              </w:divBdr>
                                              <w:divsChild>
                                                <w:div w:id="2085835155">
                                                  <w:marLeft w:val="0"/>
                                                  <w:marRight w:val="0"/>
                                                  <w:marTop w:val="0"/>
                                                  <w:marBottom w:val="0"/>
                                                  <w:divBdr>
                                                    <w:top w:val="none" w:sz="0" w:space="0" w:color="auto"/>
                                                    <w:left w:val="none" w:sz="0" w:space="0" w:color="auto"/>
                                                    <w:bottom w:val="none" w:sz="0" w:space="0" w:color="auto"/>
                                                    <w:right w:val="none" w:sz="0" w:space="0" w:color="auto"/>
                                                  </w:divBdr>
                                                  <w:divsChild>
                                                    <w:div w:id="1239558000">
                                                      <w:marLeft w:val="0"/>
                                                      <w:marRight w:val="0"/>
                                                      <w:marTop w:val="0"/>
                                                      <w:marBottom w:val="0"/>
                                                      <w:divBdr>
                                                        <w:top w:val="none" w:sz="0" w:space="0" w:color="auto"/>
                                                        <w:left w:val="none" w:sz="0" w:space="0" w:color="auto"/>
                                                        <w:bottom w:val="none" w:sz="0" w:space="0" w:color="auto"/>
                                                        <w:right w:val="none" w:sz="0" w:space="0" w:color="auto"/>
                                                      </w:divBdr>
                                                      <w:divsChild>
                                                        <w:div w:id="97918092">
                                                          <w:marLeft w:val="0"/>
                                                          <w:marRight w:val="0"/>
                                                          <w:marTop w:val="0"/>
                                                          <w:marBottom w:val="0"/>
                                                          <w:divBdr>
                                                            <w:top w:val="none" w:sz="0" w:space="0" w:color="auto"/>
                                                            <w:left w:val="none" w:sz="0" w:space="0" w:color="auto"/>
                                                            <w:bottom w:val="none" w:sz="0" w:space="0" w:color="auto"/>
                                                            <w:right w:val="none" w:sz="0" w:space="0" w:color="auto"/>
                                                          </w:divBdr>
                                                          <w:divsChild>
                                                            <w:div w:id="537282298">
                                                              <w:marLeft w:val="0"/>
                                                              <w:marRight w:val="0"/>
                                                              <w:marTop w:val="0"/>
                                                              <w:marBottom w:val="0"/>
                                                              <w:divBdr>
                                                                <w:top w:val="none" w:sz="0" w:space="0" w:color="auto"/>
                                                                <w:left w:val="none" w:sz="0" w:space="0" w:color="auto"/>
                                                                <w:bottom w:val="none" w:sz="0" w:space="0" w:color="auto"/>
                                                                <w:right w:val="none" w:sz="0" w:space="0" w:color="auto"/>
                                                              </w:divBdr>
                                                            </w:div>
                                                          </w:divsChild>
                                                        </w:div>
                                                        <w:div w:id="722143558">
                                                          <w:marLeft w:val="0"/>
                                                          <w:marRight w:val="0"/>
                                                          <w:marTop w:val="0"/>
                                                          <w:marBottom w:val="0"/>
                                                          <w:divBdr>
                                                            <w:top w:val="none" w:sz="0" w:space="0" w:color="auto"/>
                                                            <w:left w:val="none" w:sz="0" w:space="0" w:color="auto"/>
                                                            <w:bottom w:val="none" w:sz="0" w:space="0" w:color="auto"/>
                                                            <w:right w:val="none" w:sz="0" w:space="0" w:color="auto"/>
                                                          </w:divBdr>
                                                          <w:divsChild>
                                                            <w:div w:id="1111783677">
                                                              <w:marLeft w:val="0"/>
                                                              <w:marRight w:val="0"/>
                                                              <w:marTop w:val="0"/>
                                                              <w:marBottom w:val="0"/>
                                                              <w:divBdr>
                                                                <w:top w:val="none" w:sz="0" w:space="0" w:color="auto"/>
                                                                <w:left w:val="none" w:sz="0" w:space="0" w:color="auto"/>
                                                                <w:bottom w:val="none" w:sz="0" w:space="0" w:color="auto"/>
                                                                <w:right w:val="none" w:sz="0" w:space="0" w:color="auto"/>
                                                              </w:divBdr>
                                                            </w:div>
                                                          </w:divsChild>
                                                        </w:div>
                                                        <w:div w:id="1323774245">
                                                          <w:marLeft w:val="0"/>
                                                          <w:marRight w:val="0"/>
                                                          <w:marTop w:val="0"/>
                                                          <w:marBottom w:val="0"/>
                                                          <w:divBdr>
                                                            <w:top w:val="none" w:sz="0" w:space="0" w:color="auto"/>
                                                            <w:left w:val="none" w:sz="0" w:space="0" w:color="auto"/>
                                                            <w:bottom w:val="none" w:sz="0" w:space="0" w:color="auto"/>
                                                            <w:right w:val="none" w:sz="0" w:space="0" w:color="auto"/>
                                                          </w:divBdr>
                                                          <w:divsChild>
                                                            <w:div w:id="1195003675">
                                                              <w:marLeft w:val="0"/>
                                                              <w:marRight w:val="0"/>
                                                              <w:marTop w:val="0"/>
                                                              <w:marBottom w:val="0"/>
                                                              <w:divBdr>
                                                                <w:top w:val="none" w:sz="0" w:space="0" w:color="auto"/>
                                                                <w:left w:val="none" w:sz="0" w:space="0" w:color="auto"/>
                                                                <w:bottom w:val="none" w:sz="0" w:space="0" w:color="auto"/>
                                                                <w:right w:val="none" w:sz="0" w:space="0" w:color="auto"/>
                                                              </w:divBdr>
                                                            </w:div>
                                                          </w:divsChild>
                                                        </w:div>
                                                        <w:div w:id="276107530">
                                                          <w:marLeft w:val="0"/>
                                                          <w:marRight w:val="0"/>
                                                          <w:marTop w:val="0"/>
                                                          <w:marBottom w:val="0"/>
                                                          <w:divBdr>
                                                            <w:top w:val="none" w:sz="0" w:space="0" w:color="auto"/>
                                                            <w:left w:val="none" w:sz="0" w:space="0" w:color="auto"/>
                                                            <w:bottom w:val="none" w:sz="0" w:space="0" w:color="auto"/>
                                                            <w:right w:val="none" w:sz="0" w:space="0" w:color="auto"/>
                                                          </w:divBdr>
                                                          <w:divsChild>
                                                            <w:div w:id="18520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496511">
                                          <w:marLeft w:val="0"/>
                                          <w:marRight w:val="0"/>
                                          <w:marTop w:val="0"/>
                                          <w:marBottom w:val="0"/>
                                          <w:divBdr>
                                            <w:top w:val="none" w:sz="0" w:space="0" w:color="auto"/>
                                            <w:left w:val="none" w:sz="0" w:space="0" w:color="auto"/>
                                            <w:bottom w:val="none" w:sz="0" w:space="0" w:color="auto"/>
                                            <w:right w:val="none" w:sz="0" w:space="0" w:color="auto"/>
                                          </w:divBdr>
                                          <w:divsChild>
                                            <w:div w:id="322902829">
                                              <w:marLeft w:val="0"/>
                                              <w:marRight w:val="0"/>
                                              <w:marTop w:val="0"/>
                                              <w:marBottom w:val="0"/>
                                              <w:divBdr>
                                                <w:top w:val="none" w:sz="0" w:space="0" w:color="auto"/>
                                                <w:left w:val="none" w:sz="0" w:space="0" w:color="auto"/>
                                                <w:bottom w:val="none" w:sz="0" w:space="0" w:color="auto"/>
                                                <w:right w:val="none" w:sz="0" w:space="0" w:color="auto"/>
                                              </w:divBdr>
                                              <w:divsChild>
                                                <w:div w:id="11023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992233">
          <w:marLeft w:val="0"/>
          <w:marRight w:val="0"/>
          <w:marTop w:val="0"/>
          <w:marBottom w:val="0"/>
          <w:divBdr>
            <w:top w:val="none" w:sz="0" w:space="0" w:color="auto"/>
            <w:left w:val="none" w:sz="0" w:space="0" w:color="auto"/>
            <w:bottom w:val="none" w:sz="0" w:space="0" w:color="auto"/>
            <w:right w:val="none" w:sz="0" w:space="0" w:color="auto"/>
          </w:divBdr>
          <w:divsChild>
            <w:div w:id="1756393638">
              <w:marLeft w:val="0"/>
              <w:marRight w:val="0"/>
              <w:marTop w:val="0"/>
              <w:marBottom w:val="0"/>
              <w:divBdr>
                <w:top w:val="none" w:sz="0" w:space="0" w:color="auto"/>
                <w:left w:val="none" w:sz="0" w:space="0" w:color="auto"/>
                <w:bottom w:val="none" w:sz="0" w:space="0" w:color="auto"/>
                <w:right w:val="none" w:sz="0" w:space="0" w:color="auto"/>
              </w:divBdr>
              <w:divsChild>
                <w:div w:id="909848722">
                  <w:marLeft w:val="0"/>
                  <w:marRight w:val="0"/>
                  <w:marTop w:val="0"/>
                  <w:marBottom w:val="0"/>
                  <w:divBdr>
                    <w:top w:val="none" w:sz="0" w:space="0" w:color="auto"/>
                    <w:left w:val="none" w:sz="0" w:space="0" w:color="auto"/>
                    <w:bottom w:val="none" w:sz="0" w:space="0" w:color="auto"/>
                    <w:right w:val="none" w:sz="0" w:space="0" w:color="auto"/>
                  </w:divBdr>
                  <w:divsChild>
                    <w:div w:id="11761457">
                      <w:marLeft w:val="0"/>
                      <w:marRight w:val="0"/>
                      <w:marTop w:val="0"/>
                      <w:marBottom w:val="0"/>
                      <w:divBdr>
                        <w:top w:val="none" w:sz="0" w:space="0" w:color="auto"/>
                        <w:left w:val="none" w:sz="0" w:space="0" w:color="auto"/>
                        <w:bottom w:val="none" w:sz="0" w:space="0" w:color="auto"/>
                        <w:right w:val="none" w:sz="0" w:space="0" w:color="auto"/>
                      </w:divBdr>
                      <w:divsChild>
                        <w:div w:id="9764977">
                          <w:marLeft w:val="0"/>
                          <w:marRight w:val="0"/>
                          <w:marTop w:val="0"/>
                          <w:marBottom w:val="0"/>
                          <w:divBdr>
                            <w:top w:val="none" w:sz="0" w:space="0" w:color="auto"/>
                            <w:left w:val="none" w:sz="0" w:space="0" w:color="auto"/>
                            <w:bottom w:val="none" w:sz="0" w:space="0" w:color="auto"/>
                            <w:right w:val="none" w:sz="0" w:space="0" w:color="auto"/>
                          </w:divBdr>
                          <w:divsChild>
                            <w:div w:id="37509556">
                              <w:marLeft w:val="0"/>
                              <w:marRight w:val="0"/>
                              <w:marTop w:val="0"/>
                              <w:marBottom w:val="0"/>
                              <w:divBdr>
                                <w:top w:val="none" w:sz="0" w:space="0" w:color="auto"/>
                                <w:left w:val="none" w:sz="0" w:space="0" w:color="auto"/>
                                <w:bottom w:val="none" w:sz="0" w:space="0" w:color="auto"/>
                                <w:right w:val="none" w:sz="0" w:space="0" w:color="auto"/>
                              </w:divBdr>
                              <w:divsChild>
                                <w:div w:id="1877306903">
                                  <w:marLeft w:val="0"/>
                                  <w:marRight w:val="0"/>
                                  <w:marTop w:val="0"/>
                                  <w:marBottom w:val="0"/>
                                  <w:divBdr>
                                    <w:top w:val="none" w:sz="0" w:space="0" w:color="auto"/>
                                    <w:left w:val="none" w:sz="0" w:space="0" w:color="auto"/>
                                    <w:bottom w:val="none" w:sz="0" w:space="0" w:color="auto"/>
                                    <w:right w:val="none" w:sz="0" w:space="0" w:color="auto"/>
                                  </w:divBdr>
                                  <w:divsChild>
                                    <w:div w:id="1956909566">
                                      <w:marLeft w:val="0"/>
                                      <w:marRight w:val="0"/>
                                      <w:marTop w:val="0"/>
                                      <w:marBottom w:val="0"/>
                                      <w:divBdr>
                                        <w:top w:val="none" w:sz="0" w:space="0" w:color="auto"/>
                                        <w:left w:val="none" w:sz="0" w:space="0" w:color="auto"/>
                                        <w:bottom w:val="none" w:sz="0" w:space="0" w:color="auto"/>
                                        <w:right w:val="none" w:sz="0" w:space="0" w:color="auto"/>
                                      </w:divBdr>
                                      <w:divsChild>
                                        <w:div w:id="462816429">
                                          <w:marLeft w:val="0"/>
                                          <w:marRight w:val="0"/>
                                          <w:marTop w:val="0"/>
                                          <w:marBottom w:val="0"/>
                                          <w:divBdr>
                                            <w:top w:val="none" w:sz="0" w:space="0" w:color="auto"/>
                                            <w:left w:val="none" w:sz="0" w:space="0" w:color="auto"/>
                                            <w:bottom w:val="none" w:sz="0" w:space="0" w:color="auto"/>
                                            <w:right w:val="none" w:sz="0" w:space="0" w:color="auto"/>
                                          </w:divBdr>
                                          <w:divsChild>
                                            <w:div w:id="1762750319">
                                              <w:marLeft w:val="0"/>
                                              <w:marRight w:val="0"/>
                                              <w:marTop w:val="0"/>
                                              <w:marBottom w:val="0"/>
                                              <w:divBdr>
                                                <w:top w:val="none" w:sz="0" w:space="0" w:color="auto"/>
                                                <w:left w:val="none" w:sz="0" w:space="0" w:color="auto"/>
                                                <w:bottom w:val="none" w:sz="0" w:space="0" w:color="auto"/>
                                                <w:right w:val="none" w:sz="0" w:space="0" w:color="auto"/>
                                              </w:divBdr>
                                              <w:divsChild>
                                                <w:div w:id="1114523752">
                                                  <w:marLeft w:val="0"/>
                                                  <w:marRight w:val="0"/>
                                                  <w:marTop w:val="0"/>
                                                  <w:marBottom w:val="0"/>
                                                  <w:divBdr>
                                                    <w:top w:val="none" w:sz="0" w:space="0" w:color="auto"/>
                                                    <w:left w:val="none" w:sz="0" w:space="0" w:color="auto"/>
                                                    <w:bottom w:val="none" w:sz="0" w:space="0" w:color="auto"/>
                                                    <w:right w:val="none" w:sz="0" w:space="0" w:color="auto"/>
                                                  </w:divBdr>
                                                  <w:divsChild>
                                                    <w:div w:id="469250420">
                                                      <w:marLeft w:val="0"/>
                                                      <w:marRight w:val="0"/>
                                                      <w:marTop w:val="0"/>
                                                      <w:marBottom w:val="0"/>
                                                      <w:divBdr>
                                                        <w:top w:val="none" w:sz="0" w:space="0" w:color="auto"/>
                                                        <w:left w:val="none" w:sz="0" w:space="0" w:color="auto"/>
                                                        <w:bottom w:val="none" w:sz="0" w:space="0" w:color="auto"/>
                                                        <w:right w:val="none" w:sz="0" w:space="0" w:color="auto"/>
                                                      </w:divBdr>
                                                      <w:divsChild>
                                                        <w:div w:id="1892880996">
                                                          <w:marLeft w:val="0"/>
                                                          <w:marRight w:val="0"/>
                                                          <w:marTop w:val="0"/>
                                                          <w:marBottom w:val="0"/>
                                                          <w:divBdr>
                                                            <w:top w:val="none" w:sz="0" w:space="0" w:color="auto"/>
                                                            <w:left w:val="none" w:sz="0" w:space="0" w:color="auto"/>
                                                            <w:bottom w:val="none" w:sz="0" w:space="0" w:color="auto"/>
                                                            <w:right w:val="none" w:sz="0" w:space="0" w:color="auto"/>
                                                          </w:divBdr>
                                                          <w:divsChild>
                                                            <w:div w:id="83496076">
                                                              <w:marLeft w:val="0"/>
                                                              <w:marRight w:val="0"/>
                                                              <w:marTop w:val="0"/>
                                                              <w:marBottom w:val="0"/>
                                                              <w:divBdr>
                                                                <w:top w:val="none" w:sz="0" w:space="0" w:color="auto"/>
                                                                <w:left w:val="none" w:sz="0" w:space="0" w:color="auto"/>
                                                                <w:bottom w:val="none" w:sz="0" w:space="0" w:color="auto"/>
                                                                <w:right w:val="none" w:sz="0" w:space="0" w:color="auto"/>
                                                              </w:divBdr>
                                                              <w:divsChild>
                                                                <w:div w:id="20905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887402">
                                      <w:marLeft w:val="0"/>
                                      <w:marRight w:val="0"/>
                                      <w:marTop w:val="0"/>
                                      <w:marBottom w:val="0"/>
                                      <w:divBdr>
                                        <w:top w:val="none" w:sz="0" w:space="0" w:color="auto"/>
                                        <w:left w:val="none" w:sz="0" w:space="0" w:color="auto"/>
                                        <w:bottom w:val="none" w:sz="0" w:space="0" w:color="auto"/>
                                        <w:right w:val="none" w:sz="0" w:space="0" w:color="auto"/>
                                      </w:divBdr>
                                      <w:divsChild>
                                        <w:div w:id="2005742207">
                                          <w:marLeft w:val="0"/>
                                          <w:marRight w:val="0"/>
                                          <w:marTop w:val="0"/>
                                          <w:marBottom w:val="0"/>
                                          <w:divBdr>
                                            <w:top w:val="none" w:sz="0" w:space="0" w:color="auto"/>
                                            <w:left w:val="none" w:sz="0" w:space="0" w:color="auto"/>
                                            <w:bottom w:val="none" w:sz="0" w:space="0" w:color="auto"/>
                                            <w:right w:val="none" w:sz="0" w:space="0" w:color="auto"/>
                                          </w:divBdr>
                                          <w:divsChild>
                                            <w:div w:id="1543052650">
                                              <w:marLeft w:val="0"/>
                                              <w:marRight w:val="0"/>
                                              <w:marTop w:val="0"/>
                                              <w:marBottom w:val="0"/>
                                              <w:divBdr>
                                                <w:top w:val="none" w:sz="0" w:space="0" w:color="auto"/>
                                                <w:left w:val="none" w:sz="0" w:space="0" w:color="auto"/>
                                                <w:bottom w:val="none" w:sz="0" w:space="0" w:color="auto"/>
                                                <w:right w:val="none" w:sz="0" w:space="0" w:color="auto"/>
                                              </w:divBdr>
                                              <w:divsChild>
                                                <w:div w:id="380981421">
                                                  <w:marLeft w:val="0"/>
                                                  <w:marRight w:val="0"/>
                                                  <w:marTop w:val="0"/>
                                                  <w:marBottom w:val="0"/>
                                                  <w:divBdr>
                                                    <w:top w:val="none" w:sz="0" w:space="0" w:color="auto"/>
                                                    <w:left w:val="none" w:sz="0" w:space="0" w:color="auto"/>
                                                    <w:bottom w:val="none" w:sz="0" w:space="0" w:color="auto"/>
                                                    <w:right w:val="none" w:sz="0" w:space="0" w:color="auto"/>
                                                  </w:divBdr>
                                                  <w:divsChild>
                                                    <w:div w:id="363285260">
                                                      <w:marLeft w:val="0"/>
                                                      <w:marRight w:val="0"/>
                                                      <w:marTop w:val="0"/>
                                                      <w:marBottom w:val="0"/>
                                                      <w:divBdr>
                                                        <w:top w:val="none" w:sz="0" w:space="0" w:color="auto"/>
                                                        <w:left w:val="none" w:sz="0" w:space="0" w:color="auto"/>
                                                        <w:bottom w:val="none" w:sz="0" w:space="0" w:color="auto"/>
                                                        <w:right w:val="none" w:sz="0" w:space="0" w:color="auto"/>
                                                      </w:divBdr>
                                                      <w:divsChild>
                                                        <w:div w:id="1631282650">
                                                          <w:marLeft w:val="0"/>
                                                          <w:marRight w:val="0"/>
                                                          <w:marTop w:val="0"/>
                                                          <w:marBottom w:val="0"/>
                                                          <w:divBdr>
                                                            <w:top w:val="none" w:sz="0" w:space="0" w:color="auto"/>
                                                            <w:left w:val="none" w:sz="0" w:space="0" w:color="auto"/>
                                                            <w:bottom w:val="none" w:sz="0" w:space="0" w:color="auto"/>
                                                            <w:right w:val="none" w:sz="0" w:space="0" w:color="auto"/>
                                                          </w:divBdr>
                                                          <w:divsChild>
                                                            <w:div w:id="15051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96908">
                                                  <w:marLeft w:val="0"/>
                                                  <w:marRight w:val="0"/>
                                                  <w:marTop w:val="0"/>
                                                  <w:marBottom w:val="0"/>
                                                  <w:divBdr>
                                                    <w:top w:val="none" w:sz="0" w:space="0" w:color="auto"/>
                                                    <w:left w:val="none" w:sz="0" w:space="0" w:color="auto"/>
                                                    <w:bottom w:val="none" w:sz="0" w:space="0" w:color="auto"/>
                                                    <w:right w:val="none" w:sz="0" w:space="0" w:color="auto"/>
                                                  </w:divBdr>
                                                  <w:divsChild>
                                                    <w:div w:id="89205117">
                                                      <w:marLeft w:val="0"/>
                                                      <w:marRight w:val="0"/>
                                                      <w:marTop w:val="0"/>
                                                      <w:marBottom w:val="0"/>
                                                      <w:divBdr>
                                                        <w:top w:val="none" w:sz="0" w:space="0" w:color="auto"/>
                                                        <w:left w:val="none" w:sz="0" w:space="0" w:color="auto"/>
                                                        <w:bottom w:val="none" w:sz="0" w:space="0" w:color="auto"/>
                                                        <w:right w:val="none" w:sz="0" w:space="0" w:color="auto"/>
                                                      </w:divBdr>
                                                      <w:divsChild>
                                                        <w:div w:id="5876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2791">
                                                  <w:marLeft w:val="0"/>
                                                  <w:marRight w:val="0"/>
                                                  <w:marTop w:val="0"/>
                                                  <w:marBottom w:val="0"/>
                                                  <w:divBdr>
                                                    <w:top w:val="none" w:sz="0" w:space="0" w:color="auto"/>
                                                    <w:left w:val="none" w:sz="0" w:space="0" w:color="auto"/>
                                                    <w:bottom w:val="none" w:sz="0" w:space="0" w:color="auto"/>
                                                    <w:right w:val="none" w:sz="0" w:space="0" w:color="auto"/>
                                                  </w:divBdr>
                                                  <w:divsChild>
                                                    <w:div w:id="969046239">
                                                      <w:marLeft w:val="0"/>
                                                      <w:marRight w:val="0"/>
                                                      <w:marTop w:val="0"/>
                                                      <w:marBottom w:val="0"/>
                                                      <w:divBdr>
                                                        <w:top w:val="none" w:sz="0" w:space="0" w:color="auto"/>
                                                        <w:left w:val="none" w:sz="0" w:space="0" w:color="auto"/>
                                                        <w:bottom w:val="none" w:sz="0" w:space="0" w:color="auto"/>
                                                        <w:right w:val="none" w:sz="0" w:space="0" w:color="auto"/>
                                                      </w:divBdr>
                                                      <w:divsChild>
                                                        <w:div w:id="13267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1539">
                                                  <w:marLeft w:val="0"/>
                                                  <w:marRight w:val="0"/>
                                                  <w:marTop w:val="0"/>
                                                  <w:marBottom w:val="0"/>
                                                  <w:divBdr>
                                                    <w:top w:val="none" w:sz="0" w:space="0" w:color="auto"/>
                                                    <w:left w:val="none" w:sz="0" w:space="0" w:color="auto"/>
                                                    <w:bottom w:val="none" w:sz="0" w:space="0" w:color="auto"/>
                                                    <w:right w:val="none" w:sz="0" w:space="0" w:color="auto"/>
                                                  </w:divBdr>
                                                  <w:divsChild>
                                                    <w:div w:id="1174370708">
                                                      <w:marLeft w:val="0"/>
                                                      <w:marRight w:val="0"/>
                                                      <w:marTop w:val="0"/>
                                                      <w:marBottom w:val="0"/>
                                                      <w:divBdr>
                                                        <w:top w:val="none" w:sz="0" w:space="0" w:color="auto"/>
                                                        <w:left w:val="none" w:sz="0" w:space="0" w:color="auto"/>
                                                        <w:bottom w:val="none" w:sz="0" w:space="0" w:color="auto"/>
                                                        <w:right w:val="none" w:sz="0" w:space="0" w:color="auto"/>
                                                      </w:divBdr>
                                                      <w:divsChild>
                                                        <w:div w:id="2025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127664">
              <w:marLeft w:val="0"/>
              <w:marRight w:val="0"/>
              <w:marTop w:val="0"/>
              <w:marBottom w:val="0"/>
              <w:divBdr>
                <w:top w:val="none" w:sz="0" w:space="0" w:color="auto"/>
                <w:left w:val="none" w:sz="0" w:space="0" w:color="auto"/>
                <w:bottom w:val="none" w:sz="0" w:space="0" w:color="auto"/>
                <w:right w:val="none" w:sz="0" w:space="0" w:color="auto"/>
              </w:divBdr>
              <w:divsChild>
                <w:div w:id="90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3777">
      <w:bodyDiv w:val="1"/>
      <w:marLeft w:val="0"/>
      <w:marRight w:val="0"/>
      <w:marTop w:val="0"/>
      <w:marBottom w:val="0"/>
      <w:divBdr>
        <w:top w:val="none" w:sz="0" w:space="0" w:color="auto"/>
        <w:left w:val="none" w:sz="0" w:space="0" w:color="auto"/>
        <w:bottom w:val="none" w:sz="0" w:space="0" w:color="auto"/>
        <w:right w:val="none" w:sz="0" w:space="0" w:color="auto"/>
      </w:divBdr>
    </w:div>
    <w:div w:id="1976636102">
      <w:bodyDiv w:val="1"/>
      <w:marLeft w:val="0"/>
      <w:marRight w:val="0"/>
      <w:marTop w:val="0"/>
      <w:marBottom w:val="0"/>
      <w:divBdr>
        <w:top w:val="none" w:sz="0" w:space="0" w:color="auto"/>
        <w:left w:val="none" w:sz="0" w:space="0" w:color="auto"/>
        <w:bottom w:val="none" w:sz="0" w:space="0" w:color="auto"/>
        <w:right w:val="none" w:sz="0" w:space="0" w:color="auto"/>
      </w:divBdr>
    </w:div>
    <w:div w:id="20556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15</Pages>
  <Words>3478</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 Marhils</dc:creator>
  <cp:lastModifiedBy>SDI 1084</cp:lastModifiedBy>
  <cp:revision>9</cp:revision>
  <dcterms:created xsi:type="dcterms:W3CDTF">2025-05-09T09:07:00Z</dcterms:created>
  <dcterms:modified xsi:type="dcterms:W3CDTF">2025-05-15T08:11:00Z</dcterms:modified>
</cp:coreProperties>
</file>